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1BC64" w14:textId="789DBF10" w:rsidR="0042650C" w:rsidRPr="00A57F7D" w:rsidRDefault="0042650C">
      <w:pPr>
        <w:rPr>
          <w:highlight w:val="yellow"/>
        </w:rPr>
      </w:pPr>
      <w:r w:rsidRPr="00A57F7D">
        <w:rPr>
          <w:rFonts w:ascii="Arial" w:eastAsia="Times New Roman" w:hAnsi="Arial" w:cs="Arial"/>
          <w:b/>
          <w:bCs/>
          <w:noProof/>
          <w:sz w:val="32"/>
          <w:szCs w:val="32"/>
          <w:highlight w:val="yellow"/>
          <w:lang w:eastAsia="sl-SI"/>
        </w:rPr>
        <w:drawing>
          <wp:anchor distT="0" distB="0" distL="114300" distR="114300" simplePos="0" relativeHeight="251659264" behindDoc="1" locked="0" layoutInCell="1" allowOverlap="1" wp14:anchorId="5D117A32" wp14:editId="17DE4C9B">
            <wp:simplePos x="0" y="0"/>
            <wp:positionH relativeFrom="column">
              <wp:posOffset>-918845</wp:posOffset>
            </wp:positionH>
            <wp:positionV relativeFrom="paragraph">
              <wp:posOffset>-955040</wp:posOffset>
            </wp:positionV>
            <wp:extent cx="7597309" cy="10746105"/>
            <wp:effectExtent l="0" t="0" r="3810" b="0"/>
            <wp:wrapNone/>
            <wp:docPr id="1072757710"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757710" name="Slika 1072757710"/>
                    <pic:cNvPicPr/>
                  </pic:nvPicPr>
                  <pic:blipFill>
                    <a:blip r:embed="rId8">
                      <a:extLst>
                        <a:ext uri="{28A0092B-C50C-407E-A947-70E740481C1C}">
                          <a14:useLocalDpi xmlns:a14="http://schemas.microsoft.com/office/drawing/2010/main" val="0"/>
                        </a:ext>
                      </a:extLst>
                    </a:blip>
                    <a:stretch>
                      <a:fillRect/>
                    </a:stretch>
                  </pic:blipFill>
                  <pic:spPr>
                    <a:xfrm>
                      <a:off x="0" y="0"/>
                      <a:ext cx="7609651" cy="10763563"/>
                    </a:xfrm>
                    <a:prstGeom prst="rect">
                      <a:avLst/>
                    </a:prstGeom>
                  </pic:spPr>
                </pic:pic>
              </a:graphicData>
            </a:graphic>
            <wp14:sizeRelH relativeFrom="margin">
              <wp14:pctWidth>0</wp14:pctWidth>
            </wp14:sizeRelH>
            <wp14:sizeRelV relativeFrom="margin">
              <wp14:pctHeight>0</wp14:pctHeight>
            </wp14:sizeRelV>
          </wp:anchor>
        </w:drawing>
      </w:r>
    </w:p>
    <w:p w14:paraId="6B265C9A" w14:textId="60640842" w:rsidR="0042650C" w:rsidRPr="00A57F7D" w:rsidRDefault="0042650C">
      <w:pPr>
        <w:rPr>
          <w:highlight w:val="yellow"/>
        </w:rPr>
      </w:pPr>
      <w:r w:rsidRPr="00A57F7D">
        <w:rPr>
          <w:highlight w:val="yellow"/>
        </w:rPr>
        <w:br w:type="page"/>
      </w:r>
    </w:p>
    <w:p w14:paraId="671FAC0D" w14:textId="77777777" w:rsidR="00374D8F" w:rsidRPr="00A57F7D" w:rsidRDefault="00374D8F">
      <w:pPr>
        <w:rPr>
          <w:rFonts w:ascii="Arial" w:eastAsia="Times New Roman" w:hAnsi="Arial" w:cs="Arial"/>
          <w:color w:val="000000" w:themeColor="text1"/>
          <w:sz w:val="24"/>
          <w:szCs w:val="24"/>
          <w:highlight w:val="yellow"/>
          <w:lang w:eastAsia="sl-SI"/>
        </w:rPr>
      </w:pPr>
    </w:p>
    <w:p w14:paraId="51455B3B" w14:textId="77777777" w:rsidR="00374D8F" w:rsidRPr="00A57F7D" w:rsidRDefault="00374D8F">
      <w:pPr>
        <w:rPr>
          <w:rFonts w:ascii="Arial" w:eastAsia="Times New Roman" w:hAnsi="Arial" w:cs="Arial"/>
          <w:color w:val="000000" w:themeColor="text1"/>
          <w:sz w:val="24"/>
          <w:szCs w:val="24"/>
          <w:highlight w:val="yellow"/>
          <w:lang w:eastAsia="sl-SI"/>
        </w:rPr>
      </w:pPr>
    </w:p>
    <w:p w14:paraId="154093D1" w14:textId="77777777" w:rsidR="00374D8F" w:rsidRPr="00A57F7D" w:rsidRDefault="00374D8F">
      <w:pPr>
        <w:rPr>
          <w:rFonts w:ascii="Arial" w:eastAsia="Times New Roman" w:hAnsi="Arial" w:cs="Arial"/>
          <w:color w:val="000000" w:themeColor="text1"/>
          <w:sz w:val="24"/>
          <w:szCs w:val="24"/>
          <w:highlight w:val="yellow"/>
          <w:lang w:eastAsia="sl-SI"/>
        </w:rPr>
      </w:pPr>
    </w:p>
    <w:p w14:paraId="0DEFA7A0" w14:textId="77777777" w:rsidR="00374D8F" w:rsidRPr="00A57F7D" w:rsidRDefault="00374D8F">
      <w:pPr>
        <w:rPr>
          <w:rFonts w:ascii="Arial" w:eastAsia="Times New Roman" w:hAnsi="Arial" w:cs="Arial"/>
          <w:color w:val="000000" w:themeColor="text1"/>
          <w:sz w:val="24"/>
          <w:szCs w:val="24"/>
          <w:highlight w:val="yellow"/>
          <w:lang w:eastAsia="sl-SI"/>
        </w:rPr>
      </w:pPr>
    </w:p>
    <w:p w14:paraId="627FD345" w14:textId="77777777" w:rsidR="00374D8F" w:rsidRPr="00A57F7D" w:rsidRDefault="00374D8F">
      <w:pPr>
        <w:rPr>
          <w:rFonts w:ascii="Arial" w:eastAsia="Times New Roman" w:hAnsi="Arial" w:cs="Arial"/>
          <w:color w:val="000000" w:themeColor="text1"/>
          <w:sz w:val="24"/>
          <w:szCs w:val="24"/>
          <w:highlight w:val="yellow"/>
          <w:lang w:eastAsia="sl-SI"/>
        </w:rPr>
      </w:pPr>
    </w:p>
    <w:p w14:paraId="082456D5" w14:textId="77777777" w:rsidR="00374D8F" w:rsidRPr="00A57F7D" w:rsidRDefault="00374D8F">
      <w:pPr>
        <w:rPr>
          <w:rFonts w:ascii="Arial" w:eastAsia="Times New Roman" w:hAnsi="Arial" w:cs="Arial"/>
          <w:color w:val="000000" w:themeColor="text1"/>
          <w:sz w:val="24"/>
          <w:szCs w:val="24"/>
          <w:highlight w:val="yellow"/>
          <w:lang w:eastAsia="sl-SI"/>
        </w:rPr>
      </w:pPr>
    </w:p>
    <w:p w14:paraId="7D85FC16" w14:textId="77777777" w:rsidR="00374D8F" w:rsidRPr="00A57F7D" w:rsidRDefault="00374D8F">
      <w:pPr>
        <w:rPr>
          <w:rFonts w:ascii="Arial" w:eastAsia="Times New Roman" w:hAnsi="Arial" w:cs="Arial"/>
          <w:color w:val="000000" w:themeColor="text1"/>
          <w:sz w:val="24"/>
          <w:szCs w:val="24"/>
          <w:highlight w:val="yellow"/>
          <w:lang w:eastAsia="sl-SI"/>
        </w:rPr>
      </w:pPr>
    </w:p>
    <w:p w14:paraId="5910C1B4" w14:textId="77777777" w:rsidR="00374D8F" w:rsidRPr="00A57F7D" w:rsidRDefault="00374D8F">
      <w:pPr>
        <w:rPr>
          <w:rFonts w:ascii="Arial" w:eastAsia="Times New Roman" w:hAnsi="Arial" w:cs="Arial"/>
          <w:color w:val="000000" w:themeColor="text1"/>
          <w:sz w:val="24"/>
          <w:szCs w:val="24"/>
          <w:highlight w:val="yellow"/>
          <w:lang w:eastAsia="sl-SI"/>
        </w:rPr>
      </w:pPr>
    </w:p>
    <w:p w14:paraId="2D97F834" w14:textId="77777777" w:rsidR="00374D8F" w:rsidRPr="00A57F7D" w:rsidRDefault="00374D8F">
      <w:pPr>
        <w:rPr>
          <w:rFonts w:ascii="Arial" w:eastAsia="Times New Roman" w:hAnsi="Arial" w:cs="Arial"/>
          <w:color w:val="000000" w:themeColor="text1"/>
          <w:sz w:val="24"/>
          <w:szCs w:val="24"/>
          <w:highlight w:val="yellow"/>
          <w:lang w:eastAsia="sl-SI"/>
        </w:rPr>
      </w:pPr>
    </w:p>
    <w:p w14:paraId="0409160C" w14:textId="77777777" w:rsidR="00374D8F" w:rsidRPr="00A57F7D" w:rsidRDefault="00374D8F">
      <w:pPr>
        <w:rPr>
          <w:rFonts w:ascii="Arial" w:eastAsia="Times New Roman" w:hAnsi="Arial" w:cs="Arial"/>
          <w:color w:val="000000" w:themeColor="text1"/>
          <w:sz w:val="24"/>
          <w:szCs w:val="24"/>
          <w:highlight w:val="yellow"/>
          <w:lang w:eastAsia="sl-SI"/>
        </w:rPr>
      </w:pPr>
    </w:p>
    <w:p w14:paraId="5FFED42C" w14:textId="77777777" w:rsidR="00374D8F" w:rsidRPr="00A57F7D" w:rsidRDefault="00374D8F">
      <w:pPr>
        <w:rPr>
          <w:rFonts w:ascii="Arial" w:eastAsia="Times New Roman" w:hAnsi="Arial" w:cs="Arial"/>
          <w:color w:val="000000" w:themeColor="text1"/>
          <w:sz w:val="24"/>
          <w:szCs w:val="24"/>
          <w:highlight w:val="yellow"/>
          <w:lang w:eastAsia="sl-SI"/>
        </w:rPr>
      </w:pPr>
    </w:p>
    <w:p w14:paraId="041ED45C" w14:textId="77777777" w:rsidR="00374D8F" w:rsidRPr="00A57F7D" w:rsidRDefault="00374D8F">
      <w:pPr>
        <w:rPr>
          <w:rFonts w:ascii="Arial" w:eastAsia="Times New Roman" w:hAnsi="Arial" w:cs="Arial"/>
          <w:color w:val="000000" w:themeColor="text1"/>
          <w:sz w:val="24"/>
          <w:szCs w:val="24"/>
          <w:highlight w:val="yellow"/>
          <w:lang w:eastAsia="sl-SI"/>
        </w:rPr>
      </w:pPr>
    </w:p>
    <w:p w14:paraId="0C818E25" w14:textId="77777777" w:rsidR="00374D8F" w:rsidRPr="00A57F7D" w:rsidRDefault="00374D8F">
      <w:pPr>
        <w:rPr>
          <w:rFonts w:ascii="Arial" w:eastAsia="Times New Roman" w:hAnsi="Arial" w:cs="Arial"/>
          <w:color w:val="000000" w:themeColor="text1"/>
          <w:sz w:val="24"/>
          <w:szCs w:val="24"/>
          <w:highlight w:val="yellow"/>
          <w:lang w:eastAsia="sl-SI"/>
        </w:rPr>
      </w:pPr>
    </w:p>
    <w:p w14:paraId="0FFA8864" w14:textId="77777777" w:rsidR="00374D8F" w:rsidRPr="00A57F7D" w:rsidRDefault="00374D8F">
      <w:pPr>
        <w:rPr>
          <w:rFonts w:ascii="Arial" w:eastAsia="Times New Roman" w:hAnsi="Arial" w:cs="Arial"/>
          <w:color w:val="000000" w:themeColor="text1"/>
          <w:sz w:val="24"/>
          <w:szCs w:val="24"/>
          <w:highlight w:val="yellow"/>
          <w:lang w:eastAsia="sl-SI"/>
        </w:rPr>
      </w:pPr>
    </w:p>
    <w:p w14:paraId="0B03437E" w14:textId="77777777" w:rsidR="00374D8F" w:rsidRPr="00A57F7D" w:rsidRDefault="00374D8F">
      <w:pPr>
        <w:rPr>
          <w:rFonts w:ascii="Arial" w:eastAsia="Times New Roman" w:hAnsi="Arial" w:cs="Arial"/>
          <w:color w:val="000000" w:themeColor="text1"/>
          <w:sz w:val="24"/>
          <w:szCs w:val="24"/>
          <w:highlight w:val="yellow"/>
          <w:lang w:eastAsia="sl-SI"/>
        </w:rPr>
      </w:pPr>
    </w:p>
    <w:p w14:paraId="32970F32" w14:textId="77777777" w:rsidR="00374D8F" w:rsidRPr="00A57F7D" w:rsidRDefault="00374D8F">
      <w:pPr>
        <w:rPr>
          <w:rFonts w:ascii="Arial" w:eastAsia="Times New Roman" w:hAnsi="Arial" w:cs="Arial"/>
          <w:color w:val="000000" w:themeColor="text1"/>
          <w:sz w:val="24"/>
          <w:szCs w:val="24"/>
          <w:highlight w:val="yellow"/>
          <w:lang w:eastAsia="sl-SI"/>
        </w:rPr>
      </w:pPr>
    </w:p>
    <w:p w14:paraId="65D87AEA" w14:textId="77777777" w:rsidR="00374D8F" w:rsidRPr="00A57F7D" w:rsidRDefault="00374D8F">
      <w:pPr>
        <w:rPr>
          <w:rFonts w:ascii="Arial" w:eastAsia="Times New Roman" w:hAnsi="Arial" w:cs="Arial"/>
          <w:color w:val="000000" w:themeColor="text1"/>
          <w:sz w:val="24"/>
          <w:szCs w:val="24"/>
          <w:highlight w:val="yellow"/>
          <w:lang w:eastAsia="sl-SI"/>
        </w:rPr>
      </w:pPr>
    </w:p>
    <w:p w14:paraId="68919489" w14:textId="77777777" w:rsidR="00374D8F" w:rsidRPr="00A57F7D" w:rsidRDefault="00374D8F">
      <w:pPr>
        <w:rPr>
          <w:rFonts w:ascii="Arial" w:eastAsia="Times New Roman" w:hAnsi="Arial" w:cs="Arial"/>
          <w:color w:val="000000" w:themeColor="text1"/>
          <w:sz w:val="24"/>
          <w:szCs w:val="24"/>
          <w:highlight w:val="yellow"/>
          <w:lang w:eastAsia="sl-SI"/>
        </w:rPr>
      </w:pPr>
    </w:p>
    <w:p w14:paraId="6D74C9BC" w14:textId="77777777" w:rsidR="00374D8F" w:rsidRPr="00A57F7D" w:rsidRDefault="00374D8F">
      <w:pPr>
        <w:rPr>
          <w:rFonts w:ascii="Arial" w:eastAsia="Times New Roman" w:hAnsi="Arial" w:cs="Arial"/>
          <w:color w:val="000000" w:themeColor="text1"/>
          <w:sz w:val="24"/>
          <w:szCs w:val="24"/>
          <w:highlight w:val="yellow"/>
          <w:lang w:eastAsia="sl-SI"/>
        </w:rPr>
      </w:pPr>
    </w:p>
    <w:p w14:paraId="3415DFDF" w14:textId="77777777" w:rsidR="00374D8F" w:rsidRPr="00A57F7D" w:rsidRDefault="00374D8F">
      <w:pPr>
        <w:rPr>
          <w:rFonts w:ascii="Arial" w:eastAsia="Times New Roman" w:hAnsi="Arial" w:cs="Arial"/>
          <w:color w:val="000000" w:themeColor="text1"/>
          <w:sz w:val="24"/>
          <w:szCs w:val="24"/>
          <w:highlight w:val="yellow"/>
          <w:lang w:eastAsia="sl-SI"/>
        </w:rPr>
      </w:pPr>
    </w:p>
    <w:p w14:paraId="42CF7FCB" w14:textId="77777777" w:rsidR="00374D8F" w:rsidRPr="00A57F7D" w:rsidRDefault="00374D8F">
      <w:pPr>
        <w:rPr>
          <w:rFonts w:ascii="Arial" w:eastAsia="Times New Roman" w:hAnsi="Arial" w:cs="Arial"/>
          <w:color w:val="000000" w:themeColor="text1"/>
          <w:sz w:val="24"/>
          <w:szCs w:val="24"/>
          <w:highlight w:val="yellow"/>
          <w:lang w:eastAsia="sl-SI"/>
        </w:rPr>
      </w:pPr>
    </w:p>
    <w:p w14:paraId="4BFAFD59" w14:textId="77777777" w:rsidR="00374D8F" w:rsidRPr="003D75D9" w:rsidRDefault="00374D8F">
      <w:pPr>
        <w:rPr>
          <w:rFonts w:ascii="Arial" w:eastAsia="Times New Roman" w:hAnsi="Arial" w:cs="Arial"/>
          <w:color w:val="000000" w:themeColor="text1"/>
          <w:sz w:val="24"/>
          <w:szCs w:val="24"/>
          <w:lang w:eastAsia="sl-SI"/>
        </w:rPr>
      </w:pPr>
    </w:p>
    <w:p w14:paraId="2D03AA52" w14:textId="2D666344" w:rsidR="00374D8F" w:rsidRPr="003D75D9" w:rsidRDefault="00374D8F" w:rsidP="00374D8F">
      <w:pPr>
        <w:spacing w:after="0"/>
        <w:rPr>
          <w:rFonts w:ascii="Arial" w:eastAsia="Times New Roman" w:hAnsi="Arial" w:cs="Arial"/>
          <w:color w:val="000000" w:themeColor="text1"/>
          <w:sz w:val="24"/>
          <w:szCs w:val="24"/>
          <w:lang w:eastAsia="sl-SI"/>
        </w:rPr>
      </w:pPr>
      <w:r w:rsidRPr="003D75D9">
        <w:rPr>
          <w:rFonts w:ascii="Arial" w:eastAsia="Times New Roman" w:hAnsi="Arial" w:cs="Arial"/>
          <w:color w:val="000000" w:themeColor="text1"/>
          <w:sz w:val="24"/>
          <w:szCs w:val="24"/>
          <w:lang w:eastAsia="sl-SI"/>
        </w:rPr>
        <w:t>Republika Slovenija</w:t>
      </w:r>
    </w:p>
    <w:p w14:paraId="539DF2CA" w14:textId="77777777" w:rsidR="00374D8F" w:rsidRPr="003D75D9" w:rsidRDefault="00374D8F" w:rsidP="00374D8F">
      <w:pPr>
        <w:spacing w:after="0"/>
        <w:rPr>
          <w:rFonts w:ascii="Arial" w:eastAsia="Times New Roman" w:hAnsi="Arial" w:cs="Arial"/>
          <w:color w:val="000000" w:themeColor="text1"/>
          <w:sz w:val="24"/>
          <w:szCs w:val="24"/>
          <w:lang w:eastAsia="sl-SI"/>
        </w:rPr>
      </w:pPr>
      <w:r w:rsidRPr="003D75D9">
        <w:rPr>
          <w:rFonts w:ascii="Arial" w:eastAsia="Times New Roman" w:hAnsi="Arial" w:cs="Arial"/>
          <w:color w:val="000000" w:themeColor="text1"/>
          <w:sz w:val="24"/>
          <w:szCs w:val="24"/>
          <w:lang w:eastAsia="sl-SI"/>
        </w:rPr>
        <w:t>Ministrstvo za okolje, podnebje in energijo</w:t>
      </w:r>
    </w:p>
    <w:p w14:paraId="24303AE2" w14:textId="77777777" w:rsidR="00374D8F" w:rsidRPr="003D75D9" w:rsidRDefault="00374D8F" w:rsidP="00374D8F">
      <w:pPr>
        <w:spacing w:after="0"/>
        <w:rPr>
          <w:rFonts w:ascii="Arial" w:eastAsia="Times New Roman" w:hAnsi="Arial" w:cs="Arial"/>
          <w:color w:val="000000" w:themeColor="text1"/>
          <w:sz w:val="24"/>
          <w:szCs w:val="24"/>
          <w:lang w:eastAsia="sl-SI"/>
        </w:rPr>
      </w:pPr>
    </w:p>
    <w:p w14:paraId="7A15749A" w14:textId="77777777" w:rsidR="00374D8F" w:rsidRPr="003D75D9" w:rsidRDefault="00374D8F" w:rsidP="00374D8F">
      <w:pPr>
        <w:spacing w:after="0"/>
        <w:rPr>
          <w:rFonts w:ascii="Arial" w:eastAsia="Times New Roman" w:hAnsi="Arial" w:cs="Arial"/>
          <w:color w:val="000000" w:themeColor="text1"/>
          <w:sz w:val="24"/>
          <w:szCs w:val="24"/>
          <w:lang w:eastAsia="sl-SI"/>
        </w:rPr>
      </w:pPr>
      <w:r w:rsidRPr="003D75D9">
        <w:rPr>
          <w:rFonts w:ascii="Arial" w:eastAsia="Times New Roman" w:hAnsi="Arial" w:cs="Arial"/>
          <w:color w:val="000000" w:themeColor="text1"/>
          <w:sz w:val="24"/>
          <w:szCs w:val="24"/>
          <w:lang w:eastAsia="sl-SI"/>
        </w:rPr>
        <w:t>Langusova ulica 4</w:t>
      </w:r>
    </w:p>
    <w:p w14:paraId="1EC96527" w14:textId="77777777" w:rsidR="00374D8F" w:rsidRPr="003D75D9" w:rsidRDefault="00374D8F" w:rsidP="00374D8F">
      <w:pPr>
        <w:spacing w:after="0"/>
        <w:rPr>
          <w:rFonts w:ascii="Arial" w:eastAsia="Times New Roman" w:hAnsi="Arial" w:cs="Arial"/>
          <w:color w:val="000000" w:themeColor="text1"/>
          <w:sz w:val="24"/>
          <w:szCs w:val="24"/>
          <w:lang w:eastAsia="sl-SI"/>
        </w:rPr>
      </w:pPr>
      <w:r w:rsidRPr="003D75D9">
        <w:rPr>
          <w:rFonts w:ascii="Arial" w:eastAsia="Times New Roman" w:hAnsi="Arial" w:cs="Arial"/>
          <w:color w:val="000000" w:themeColor="text1"/>
          <w:sz w:val="24"/>
          <w:szCs w:val="24"/>
          <w:lang w:eastAsia="sl-SI"/>
        </w:rPr>
        <w:t>1000 Ljubljana</w:t>
      </w:r>
    </w:p>
    <w:p w14:paraId="7D61295A" w14:textId="77777777" w:rsidR="00374D8F" w:rsidRPr="003D75D9" w:rsidRDefault="00374D8F" w:rsidP="00374D8F">
      <w:pPr>
        <w:spacing w:after="0"/>
        <w:rPr>
          <w:rFonts w:ascii="Arial" w:eastAsia="Times New Roman" w:hAnsi="Arial" w:cs="Arial"/>
          <w:color w:val="000000" w:themeColor="text1"/>
          <w:sz w:val="24"/>
          <w:szCs w:val="24"/>
          <w:lang w:eastAsia="sl-SI"/>
        </w:rPr>
      </w:pPr>
    </w:p>
    <w:p w14:paraId="60216E57" w14:textId="277AFED4" w:rsidR="00374D8F" w:rsidRPr="003D75D9" w:rsidRDefault="00374D8F" w:rsidP="00374D8F">
      <w:pPr>
        <w:spacing w:after="0"/>
        <w:rPr>
          <w:rFonts w:ascii="Arial" w:eastAsia="Times New Roman" w:hAnsi="Arial" w:cs="Arial"/>
          <w:color w:val="000000" w:themeColor="text1"/>
          <w:sz w:val="24"/>
          <w:szCs w:val="24"/>
          <w:lang w:eastAsia="sl-SI"/>
        </w:rPr>
      </w:pPr>
      <w:r w:rsidRPr="003D75D9">
        <w:rPr>
          <w:rFonts w:ascii="Arial" w:eastAsia="Times New Roman" w:hAnsi="Arial" w:cs="Arial"/>
          <w:color w:val="000000" w:themeColor="text1"/>
          <w:sz w:val="24"/>
          <w:szCs w:val="24"/>
          <w:lang w:eastAsia="sl-SI"/>
        </w:rPr>
        <w:t>+ 386 1 478 82 00</w:t>
      </w:r>
    </w:p>
    <w:p w14:paraId="322E2AE6" w14:textId="22DEA1B2" w:rsidR="00374D8F" w:rsidRPr="00374D8F" w:rsidRDefault="00032C2E" w:rsidP="00374D8F">
      <w:pPr>
        <w:spacing w:after="0"/>
        <w:rPr>
          <w:rFonts w:ascii="Arial" w:eastAsia="Times New Roman" w:hAnsi="Arial" w:cs="Arial"/>
          <w:color w:val="000000" w:themeColor="text1"/>
          <w:sz w:val="24"/>
          <w:szCs w:val="24"/>
          <w:lang w:eastAsia="sl-SI"/>
        </w:rPr>
      </w:pPr>
      <w:hyperlink r:id="rId9" w:history="1">
        <w:r w:rsidR="00374D8F" w:rsidRPr="003D75D9">
          <w:rPr>
            <w:rStyle w:val="Hyperlink"/>
            <w:rFonts w:ascii="Arial" w:eastAsia="Times New Roman" w:hAnsi="Arial" w:cs="Arial"/>
            <w:sz w:val="24"/>
            <w:szCs w:val="24"/>
            <w:lang w:eastAsia="sl-SI"/>
          </w:rPr>
          <w:t>gp.mope@gov.si</w:t>
        </w:r>
      </w:hyperlink>
    </w:p>
    <w:p w14:paraId="5542CBE5" w14:textId="77777777" w:rsidR="00374D8F" w:rsidRPr="00374D8F" w:rsidRDefault="00374D8F" w:rsidP="00374D8F">
      <w:pPr>
        <w:rPr>
          <w:rFonts w:ascii="Arial" w:eastAsia="Times New Roman" w:hAnsi="Arial" w:cs="Arial"/>
          <w:color w:val="000000" w:themeColor="text1"/>
          <w:sz w:val="24"/>
          <w:szCs w:val="24"/>
          <w:lang w:eastAsia="sl-SI"/>
        </w:rPr>
      </w:pPr>
    </w:p>
    <w:p w14:paraId="43FA5862" w14:textId="0C186438" w:rsidR="00374D8F" w:rsidRDefault="00374D8F" w:rsidP="00374D8F">
      <w:pPr>
        <w:rPr>
          <w:rFonts w:ascii="Arial" w:eastAsia="Times New Roman" w:hAnsi="Arial" w:cs="Arial"/>
          <w:b/>
          <w:bCs/>
          <w:color w:val="000000" w:themeColor="text1"/>
          <w:sz w:val="32"/>
          <w:szCs w:val="32"/>
          <w:lang w:eastAsia="sl-SI"/>
        </w:rPr>
      </w:pPr>
      <w:r>
        <w:rPr>
          <w:rFonts w:ascii="Arial" w:eastAsia="Times New Roman" w:hAnsi="Arial" w:cs="Arial"/>
          <w:b/>
          <w:bCs/>
          <w:color w:val="000000" w:themeColor="text1"/>
          <w:sz w:val="32"/>
          <w:szCs w:val="32"/>
          <w:lang w:eastAsia="sl-SI"/>
        </w:rPr>
        <w:br w:type="page"/>
      </w:r>
    </w:p>
    <w:p w14:paraId="305FDBFE" w14:textId="3E998DF5" w:rsidR="00955F9E" w:rsidRPr="000718CA" w:rsidRDefault="0042650C" w:rsidP="000718CA">
      <w:pPr>
        <w:rPr>
          <w:rFonts w:ascii="Arial" w:eastAsia="Times New Roman" w:hAnsi="Arial" w:cs="Arial"/>
          <w:b/>
          <w:bCs/>
          <w:color w:val="000000" w:themeColor="text1"/>
          <w:sz w:val="32"/>
          <w:szCs w:val="32"/>
          <w:lang w:eastAsia="sl-SI"/>
        </w:rPr>
      </w:pPr>
      <w:r>
        <w:rPr>
          <w:rFonts w:ascii="Arial" w:eastAsia="Times New Roman" w:hAnsi="Arial" w:cs="Arial"/>
          <w:b/>
          <w:bCs/>
          <w:color w:val="000000" w:themeColor="text1"/>
          <w:sz w:val="32"/>
          <w:szCs w:val="32"/>
          <w:lang w:eastAsia="sl-SI"/>
        </w:rPr>
        <w:lastRenderedPageBreak/>
        <w:t>Avtor</w:t>
      </w:r>
      <w:r w:rsidR="00955F9E">
        <w:rPr>
          <w:rFonts w:ascii="Arial" w:eastAsia="Times New Roman" w:hAnsi="Arial" w:cs="Arial"/>
          <w:b/>
          <w:bCs/>
          <w:color w:val="000000" w:themeColor="text1"/>
          <w:sz w:val="32"/>
          <w:szCs w:val="32"/>
          <w:lang w:eastAsia="sl-SI"/>
        </w:rPr>
        <w:t>ji</w:t>
      </w:r>
    </w:p>
    <w:p w14:paraId="2F6688E8" w14:textId="77777777" w:rsidR="00955F9E" w:rsidRDefault="00955F9E" w:rsidP="00955F9E">
      <w:pPr>
        <w:pStyle w:val="StranIJS-TekstDesno"/>
        <w:jc w:val="both"/>
        <w:rPr>
          <w:rFonts w:ascii="Arial" w:hAnsi="Arial" w:cs="Arial"/>
          <w:szCs w:val="22"/>
        </w:rPr>
      </w:pPr>
    </w:p>
    <w:p w14:paraId="25F1DD95" w14:textId="367558E0" w:rsidR="00955F9E" w:rsidRPr="00955F9E" w:rsidRDefault="00955F9E" w:rsidP="00D1557B">
      <w:pPr>
        <w:pStyle w:val="TEKSTDesnoAvtorji"/>
        <w:ind w:left="4395" w:hanging="4395"/>
        <w:jc w:val="both"/>
        <w:rPr>
          <w:rFonts w:ascii="Arial" w:hAnsi="Arial" w:cs="Arial"/>
          <w:szCs w:val="22"/>
        </w:rPr>
      </w:pPr>
      <w:r w:rsidRPr="00955F9E">
        <w:rPr>
          <w:rFonts w:ascii="Arial" w:hAnsi="Arial" w:cs="Arial"/>
          <w:b/>
          <w:szCs w:val="22"/>
        </w:rPr>
        <w:t>Koordinator in urednik:</w:t>
      </w:r>
      <w:r w:rsidRPr="00955F9E">
        <w:rPr>
          <w:rFonts w:ascii="Arial" w:hAnsi="Arial" w:cs="Arial"/>
          <w:b/>
          <w:szCs w:val="22"/>
        </w:rPr>
        <w:tab/>
      </w:r>
      <w:r w:rsidR="00D1557B">
        <w:rPr>
          <w:rFonts w:ascii="Arial" w:hAnsi="Arial" w:cs="Arial"/>
          <w:bCs/>
          <w:szCs w:val="22"/>
        </w:rPr>
        <w:t>Tina Kobilšek (MOPE)</w:t>
      </w:r>
      <w:r w:rsidR="00BE6CC2">
        <w:rPr>
          <w:rFonts w:ascii="Arial" w:hAnsi="Arial" w:cs="Arial"/>
          <w:bCs/>
          <w:szCs w:val="22"/>
        </w:rPr>
        <w:t>, Katarina Trstenjak in</w:t>
      </w:r>
      <w:r w:rsidR="00D1557B">
        <w:rPr>
          <w:rFonts w:ascii="Arial" w:hAnsi="Arial" w:cs="Arial"/>
          <w:bCs/>
          <w:szCs w:val="22"/>
        </w:rPr>
        <w:t xml:space="preserve"> </w:t>
      </w:r>
      <w:r w:rsidRPr="00955F9E">
        <w:rPr>
          <w:rFonts w:ascii="Arial" w:hAnsi="Arial" w:cs="Arial"/>
          <w:szCs w:val="22"/>
        </w:rPr>
        <w:t>Matjaž Česen (IJS-CEU)</w:t>
      </w:r>
    </w:p>
    <w:p w14:paraId="4ACE71A6" w14:textId="77777777" w:rsidR="00955F9E" w:rsidRPr="00955F9E" w:rsidRDefault="00955F9E" w:rsidP="00955F9E">
      <w:pPr>
        <w:pStyle w:val="TEKSTDesnoAvtorji"/>
        <w:jc w:val="both"/>
        <w:rPr>
          <w:rFonts w:ascii="Arial" w:hAnsi="Arial" w:cs="Arial"/>
          <w:szCs w:val="22"/>
        </w:rPr>
      </w:pPr>
    </w:p>
    <w:p w14:paraId="6CEAC2F2" w14:textId="77777777" w:rsidR="00955F9E" w:rsidRPr="00955F9E" w:rsidRDefault="00955F9E" w:rsidP="00955F9E">
      <w:pPr>
        <w:pStyle w:val="BodyText"/>
        <w:rPr>
          <w:rFonts w:ascii="Arial" w:hAnsi="Arial" w:cs="Arial"/>
          <w:b/>
          <w:szCs w:val="22"/>
        </w:rPr>
      </w:pPr>
      <w:r w:rsidRPr="00955F9E">
        <w:rPr>
          <w:rFonts w:ascii="Arial" w:hAnsi="Arial" w:cs="Arial"/>
          <w:b/>
          <w:szCs w:val="22"/>
        </w:rPr>
        <w:t>Avtorji/uredniki poglavij:</w:t>
      </w:r>
    </w:p>
    <w:p w14:paraId="0545AF5C" w14:textId="74EFA8D7" w:rsidR="00955F9E" w:rsidRPr="00955F9E" w:rsidRDefault="00955F9E" w:rsidP="00955F9E">
      <w:pPr>
        <w:pStyle w:val="TEKSTDesnoAvtorji"/>
        <w:jc w:val="both"/>
        <w:rPr>
          <w:rFonts w:ascii="Arial" w:hAnsi="Arial" w:cs="Arial"/>
          <w:szCs w:val="22"/>
        </w:rPr>
      </w:pPr>
      <w:r w:rsidRPr="00955F9E">
        <w:rPr>
          <w:rFonts w:ascii="Arial" w:hAnsi="Arial" w:cs="Arial"/>
          <w:b/>
          <w:szCs w:val="22"/>
        </w:rPr>
        <w:t>Razširjen povzetek</w:t>
      </w:r>
      <w:r w:rsidRPr="00955F9E">
        <w:rPr>
          <w:rFonts w:ascii="Arial" w:hAnsi="Arial" w:cs="Arial"/>
          <w:b/>
          <w:szCs w:val="22"/>
        </w:rPr>
        <w:tab/>
      </w:r>
      <w:r w:rsidRPr="00955F9E">
        <w:rPr>
          <w:rFonts w:ascii="Arial" w:hAnsi="Arial" w:cs="Arial"/>
          <w:szCs w:val="22"/>
        </w:rPr>
        <w:t>Matjaž Česen, Katarina Trstenjak (IJS-CEU), Tajda Mekinda Majaron (ARSO)</w:t>
      </w:r>
    </w:p>
    <w:p w14:paraId="5D651032" w14:textId="77777777" w:rsidR="00955F9E" w:rsidRPr="00955F9E" w:rsidRDefault="00955F9E" w:rsidP="00955F9E">
      <w:pPr>
        <w:pStyle w:val="BodyText"/>
        <w:rPr>
          <w:rFonts w:ascii="Arial" w:hAnsi="Arial" w:cs="Arial"/>
          <w:szCs w:val="22"/>
        </w:rPr>
      </w:pPr>
    </w:p>
    <w:p w14:paraId="092B3BB7" w14:textId="4948CC30" w:rsidR="00955F9E" w:rsidRPr="00955F9E" w:rsidRDefault="00955F9E" w:rsidP="00955F9E">
      <w:pPr>
        <w:pStyle w:val="TEKSTDesnoAvtorji"/>
        <w:jc w:val="both"/>
        <w:rPr>
          <w:rFonts w:ascii="Arial" w:hAnsi="Arial" w:cs="Arial"/>
          <w:szCs w:val="22"/>
        </w:rPr>
      </w:pPr>
      <w:r w:rsidRPr="00955F9E">
        <w:rPr>
          <w:rFonts w:ascii="Arial" w:hAnsi="Arial" w:cs="Arial"/>
          <w:b/>
          <w:szCs w:val="22"/>
        </w:rPr>
        <w:t>Nacionalne razmere</w:t>
      </w:r>
      <w:r w:rsidRPr="00955F9E">
        <w:rPr>
          <w:rFonts w:ascii="Arial" w:hAnsi="Arial" w:cs="Arial"/>
          <w:b/>
          <w:szCs w:val="22"/>
        </w:rPr>
        <w:tab/>
      </w:r>
      <w:r w:rsidRPr="00955F9E">
        <w:rPr>
          <w:rFonts w:ascii="Arial" w:hAnsi="Arial" w:cs="Arial"/>
          <w:szCs w:val="22"/>
        </w:rPr>
        <w:t>ARSO,</w:t>
      </w:r>
      <w:r w:rsidRPr="00955F9E">
        <w:rPr>
          <w:rFonts w:ascii="Arial" w:hAnsi="Arial" w:cs="Arial"/>
          <w:b/>
          <w:szCs w:val="22"/>
        </w:rPr>
        <w:t xml:space="preserve"> </w:t>
      </w:r>
      <w:r w:rsidRPr="00955F9E">
        <w:rPr>
          <w:rFonts w:ascii="Arial" w:hAnsi="Arial" w:cs="Arial"/>
          <w:szCs w:val="22"/>
        </w:rPr>
        <w:t>Matjaž Česen</w:t>
      </w:r>
      <w:r w:rsidRPr="00955F9E">
        <w:rPr>
          <w:rFonts w:ascii="Arial" w:hAnsi="Arial" w:cs="Arial"/>
          <w:b/>
          <w:szCs w:val="22"/>
        </w:rPr>
        <w:t xml:space="preserve">, </w:t>
      </w:r>
      <w:r w:rsidRPr="00955F9E">
        <w:rPr>
          <w:rFonts w:ascii="Arial" w:hAnsi="Arial" w:cs="Arial"/>
          <w:szCs w:val="22"/>
        </w:rPr>
        <w:t>Katarina Trstenjak, Ana Marija Udovič, Andreja Urbančič (vsi IJS-CEU)</w:t>
      </w:r>
    </w:p>
    <w:p w14:paraId="5A9E7E05" w14:textId="77777777" w:rsidR="00955F9E" w:rsidRPr="00955F9E" w:rsidRDefault="00955F9E" w:rsidP="00955F9E">
      <w:pPr>
        <w:pStyle w:val="BodyText"/>
        <w:rPr>
          <w:rFonts w:ascii="Arial" w:hAnsi="Arial" w:cs="Arial"/>
          <w:b/>
          <w:szCs w:val="22"/>
        </w:rPr>
      </w:pPr>
    </w:p>
    <w:p w14:paraId="0D557BE8" w14:textId="08CE24A8" w:rsidR="00955F9E" w:rsidRPr="00955F9E" w:rsidRDefault="00955F9E" w:rsidP="00955F9E">
      <w:pPr>
        <w:pStyle w:val="TEKSTDesnoAvtorji"/>
        <w:jc w:val="both"/>
        <w:rPr>
          <w:rFonts w:ascii="Arial" w:hAnsi="Arial" w:cs="Arial"/>
          <w:szCs w:val="22"/>
        </w:rPr>
      </w:pPr>
      <w:r w:rsidRPr="00955F9E">
        <w:rPr>
          <w:rFonts w:ascii="Arial" w:hAnsi="Arial" w:cs="Arial"/>
          <w:b/>
          <w:bCs/>
          <w:szCs w:val="22"/>
        </w:rPr>
        <w:t>Evidence emisij toplogrednih plinov</w:t>
      </w:r>
      <w:r w:rsidRPr="00955F9E">
        <w:rPr>
          <w:rFonts w:ascii="Arial" w:hAnsi="Arial" w:cs="Arial"/>
          <w:szCs w:val="22"/>
        </w:rPr>
        <w:tab/>
        <w:t>Tajda Mekinda Majaron, Romana Stare (ARSO)</w:t>
      </w:r>
    </w:p>
    <w:p w14:paraId="237F30F3" w14:textId="77777777" w:rsidR="00955F9E" w:rsidRPr="00955F9E" w:rsidRDefault="00955F9E" w:rsidP="00955F9E">
      <w:pPr>
        <w:pStyle w:val="BodyText"/>
        <w:rPr>
          <w:rFonts w:ascii="Arial" w:hAnsi="Arial" w:cs="Arial"/>
          <w:b/>
          <w:szCs w:val="22"/>
        </w:rPr>
      </w:pPr>
    </w:p>
    <w:p w14:paraId="6185A08F" w14:textId="676104FD" w:rsidR="00955F9E" w:rsidRPr="00955F9E" w:rsidRDefault="00955F9E" w:rsidP="00955F9E">
      <w:pPr>
        <w:pStyle w:val="TEKSTDesnoAvtorji"/>
        <w:jc w:val="both"/>
        <w:rPr>
          <w:rFonts w:ascii="Arial" w:hAnsi="Arial" w:cs="Arial"/>
          <w:b/>
          <w:szCs w:val="22"/>
        </w:rPr>
      </w:pPr>
      <w:r w:rsidRPr="00955F9E">
        <w:rPr>
          <w:rFonts w:ascii="Arial" w:hAnsi="Arial" w:cs="Arial"/>
          <w:b/>
          <w:bCs/>
          <w:szCs w:val="22"/>
        </w:rPr>
        <w:t xml:space="preserve">Ukrepi in usmeritve </w:t>
      </w:r>
      <w:r w:rsidRPr="00955F9E">
        <w:rPr>
          <w:rFonts w:ascii="Arial" w:hAnsi="Arial" w:cs="Arial"/>
          <w:szCs w:val="22"/>
        </w:rPr>
        <w:tab/>
      </w:r>
      <w:bookmarkStart w:id="0" w:name="_Hlk122683006"/>
      <w:r w:rsidRPr="00955F9E">
        <w:rPr>
          <w:rFonts w:ascii="Arial" w:hAnsi="Arial" w:cs="Arial"/>
          <w:szCs w:val="22"/>
        </w:rPr>
        <w:t xml:space="preserve">Matjaž Česen, Andreja Urbančič, Katarina Trstenjak, Barbara Petelin Visočnik, Gašper Stegnar, Marko Đorić, Matevž Pušnik, Tadeja Janša, Ana Marija </w:t>
      </w:r>
      <w:r w:rsidR="00BE6CC2">
        <w:rPr>
          <w:rFonts w:ascii="Arial" w:hAnsi="Arial" w:cs="Arial"/>
          <w:szCs w:val="22"/>
        </w:rPr>
        <w:t>Spindler</w:t>
      </w:r>
      <w:r w:rsidRPr="00955F9E">
        <w:rPr>
          <w:rFonts w:ascii="Arial" w:hAnsi="Arial" w:cs="Arial"/>
          <w:szCs w:val="22"/>
        </w:rPr>
        <w:t>, Jure Čižman, Tomaž Fatur, Edvard Košnjek (vsi IJS-CEU), Lea Rikato Ružić (PNZ), Jože Verbič (KIS), Boštjan Mali, Gal Kušar (oba GIS)</w:t>
      </w:r>
      <w:bookmarkEnd w:id="0"/>
    </w:p>
    <w:p w14:paraId="5E6D7653" w14:textId="77777777" w:rsidR="00955F9E" w:rsidRPr="00955F9E" w:rsidRDefault="00955F9E" w:rsidP="00955F9E">
      <w:pPr>
        <w:pStyle w:val="BodyText"/>
        <w:rPr>
          <w:rFonts w:ascii="Arial" w:hAnsi="Arial" w:cs="Arial"/>
          <w:szCs w:val="22"/>
        </w:rPr>
      </w:pPr>
    </w:p>
    <w:p w14:paraId="286128F8" w14:textId="10095473" w:rsidR="00955F9E" w:rsidRPr="00955F9E" w:rsidRDefault="00955F9E" w:rsidP="00955F9E">
      <w:pPr>
        <w:pStyle w:val="TEKSTDesnoAvtorji"/>
        <w:jc w:val="both"/>
        <w:rPr>
          <w:rFonts w:ascii="Arial" w:hAnsi="Arial" w:cs="Arial"/>
          <w:b/>
          <w:szCs w:val="22"/>
        </w:rPr>
      </w:pPr>
      <w:r w:rsidRPr="00955F9E">
        <w:rPr>
          <w:rFonts w:ascii="Arial" w:hAnsi="Arial" w:cs="Arial"/>
          <w:b/>
          <w:bCs/>
          <w:szCs w:val="22"/>
        </w:rPr>
        <w:t>Projekcije emisij toplogrednih plinov</w:t>
      </w:r>
      <w:r w:rsidRPr="00955F9E">
        <w:rPr>
          <w:rFonts w:ascii="Arial" w:hAnsi="Arial" w:cs="Arial"/>
          <w:szCs w:val="22"/>
        </w:rPr>
        <w:tab/>
        <w:t>Matjaž Česen, Matevž Pušnik, Andreja Urbančič,</w:t>
      </w:r>
      <w:r w:rsidR="00BE6CC2">
        <w:rPr>
          <w:rFonts w:ascii="Arial" w:hAnsi="Arial" w:cs="Arial"/>
          <w:szCs w:val="22"/>
        </w:rPr>
        <w:t xml:space="preserve"> Stane Merše</w:t>
      </w:r>
      <w:r w:rsidR="00E42F8B">
        <w:rPr>
          <w:rFonts w:ascii="Arial" w:hAnsi="Arial" w:cs="Arial"/>
          <w:szCs w:val="22"/>
        </w:rPr>
        <w:t>,</w:t>
      </w:r>
      <w:r w:rsidRPr="00955F9E">
        <w:rPr>
          <w:rFonts w:ascii="Arial" w:hAnsi="Arial" w:cs="Arial"/>
          <w:szCs w:val="22"/>
        </w:rPr>
        <w:t xml:space="preserve"> Marko Đorić (vsi IJS-CEU), Jože Verbič (KIS), Boštjan Mali (GIS)</w:t>
      </w:r>
    </w:p>
    <w:p w14:paraId="326D6B44" w14:textId="77777777" w:rsidR="00955F9E" w:rsidRPr="00955F9E" w:rsidRDefault="00955F9E" w:rsidP="00955F9E">
      <w:pPr>
        <w:pStyle w:val="BodyText"/>
        <w:rPr>
          <w:rFonts w:ascii="Arial" w:hAnsi="Arial" w:cs="Arial"/>
          <w:b/>
          <w:szCs w:val="22"/>
        </w:rPr>
      </w:pPr>
    </w:p>
    <w:p w14:paraId="2AB8D9E2" w14:textId="50F980E4" w:rsidR="00955F9E" w:rsidRPr="00955F9E" w:rsidRDefault="00955F9E" w:rsidP="00955F9E">
      <w:pPr>
        <w:pStyle w:val="TEKSTDesnoAvtorji"/>
        <w:jc w:val="both"/>
        <w:rPr>
          <w:rFonts w:ascii="Arial" w:hAnsi="Arial" w:cs="Arial"/>
          <w:b/>
          <w:szCs w:val="22"/>
        </w:rPr>
      </w:pPr>
      <w:r w:rsidRPr="00955F9E">
        <w:rPr>
          <w:rFonts w:ascii="Arial" w:hAnsi="Arial" w:cs="Arial"/>
          <w:b/>
          <w:szCs w:val="22"/>
        </w:rPr>
        <w:t>Učinki podnebnih sprememb, ranljivost in prilagajanje</w:t>
      </w:r>
      <w:r w:rsidRPr="00955F9E">
        <w:rPr>
          <w:rFonts w:ascii="Arial" w:hAnsi="Arial" w:cs="Arial"/>
          <w:b/>
          <w:szCs w:val="22"/>
        </w:rPr>
        <w:tab/>
      </w:r>
    </w:p>
    <w:p w14:paraId="46AB9056" w14:textId="3C4FCB2D" w:rsidR="00D1557B" w:rsidRDefault="00955F9E" w:rsidP="00D1557B">
      <w:pPr>
        <w:pStyle w:val="TEKSTDesnoAvtorji"/>
        <w:jc w:val="both"/>
        <w:rPr>
          <w:rFonts w:ascii="Arial" w:hAnsi="Arial" w:cs="Arial"/>
          <w:szCs w:val="22"/>
        </w:rPr>
      </w:pPr>
      <w:r w:rsidRPr="00955F9E">
        <w:rPr>
          <w:rFonts w:ascii="Arial" w:hAnsi="Arial" w:cs="Arial"/>
          <w:b/>
          <w:szCs w:val="22"/>
        </w:rPr>
        <w:tab/>
      </w:r>
      <w:r w:rsidRPr="00955F9E">
        <w:rPr>
          <w:rFonts w:ascii="Arial" w:hAnsi="Arial" w:cs="Arial"/>
          <w:szCs w:val="22"/>
        </w:rPr>
        <w:t xml:space="preserve">Nataša Kovač, Zala Strojin Božič (MOPE), </w:t>
      </w:r>
      <w:r w:rsidR="002B3EC1">
        <w:rPr>
          <w:rFonts w:ascii="Arial" w:hAnsi="Arial" w:cs="Arial"/>
          <w:szCs w:val="22"/>
        </w:rPr>
        <w:t xml:space="preserve">ARSO, </w:t>
      </w:r>
      <w:r w:rsidRPr="00955F9E">
        <w:rPr>
          <w:rFonts w:ascii="Arial" w:hAnsi="Arial" w:cs="Arial"/>
          <w:szCs w:val="22"/>
        </w:rPr>
        <w:t>Katarina Trstenjak (IJS-CEU)</w:t>
      </w:r>
    </w:p>
    <w:p w14:paraId="1362D22B" w14:textId="77777777" w:rsidR="00D1557B" w:rsidRPr="00D1557B" w:rsidRDefault="00D1557B" w:rsidP="00D1557B">
      <w:pPr>
        <w:pStyle w:val="TEKSTDesnoAvtorji"/>
        <w:jc w:val="both"/>
        <w:rPr>
          <w:rFonts w:ascii="Arial" w:hAnsi="Arial" w:cs="Arial"/>
          <w:szCs w:val="22"/>
        </w:rPr>
      </w:pPr>
    </w:p>
    <w:p w14:paraId="53A816DC" w14:textId="0ED27EC0" w:rsidR="00955F9E" w:rsidRDefault="00955F9E" w:rsidP="00955F9E">
      <w:pPr>
        <w:pStyle w:val="TEKSTDesnoAvtorji"/>
        <w:jc w:val="both"/>
        <w:rPr>
          <w:rFonts w:ascii="Arial" w:hAnsi="Arial" w:cs="Arial"/>
          <w:szCs w:val="22"/>
        </w:rPr>
      </w:pPr>
      <w:r w:rsidRPr="00955F9E">
        <w:rPr>
          <w:rFonts w:ascii="Arial" w:hAnsi="Arial" w:cs="Arial"/>
          <w:b/>
          <w:bCs/>
          <w:szCs w:val="22"/>
        </w:rPr>
        <w:t>Finančni viri in prenos tehnologij</w:t>
      </w:r>
      <w:r w:rsidRPr="00955F9E">
        <w:rPr>
          <w:rFonts w:ascii="Arial" w:hAnsi="Arial" w:cs="Arial"/>
          <w:szCs w:val="22"/>
        </w:rPr>
        <w:tab/>
        <w:t xml:space="preserve">Aja Ropret Homar (MOPE)  </w:t>
      </w:r>
    </w:p>
    <w:p w14:paraId="5065898D" w14:textId="77777777" w:rsidR="004F7B81" w:rsidRDefault="004F7B81" w:rsidP="004F7B81">
      <w:pPr>
        <w:pStyle w:val="TEKSTDesnoAvtorji"/>
        <w:ind w:left="0" w:firstLine="0"/>
        <w:jc w:val="both"/>
        <w:rPr>
          <w:rFonts w:ascii="Arial" w:hAnsi="Arial" w:cs="Arial"/>
          <w:szCs w:val="22"/>
        </w:rPr>
      </w:pPr>
    </w:p>
    <w:p w14:paraId="2987115C" w14:textId="3CFCFC3D" w:rsidR="00D1557B" w:rsidRPr="00D1557B" w:rsidRDefault="00D1557B" w:rsidP="004F7B81">
      <w:pPr>
        <w:pStyle w:val="TEKSTDesnoAvtorji"/>
        <w:ind w:left="0" w:firstLine="0"/>
        <w:jc w:val="both"/>
        <w:rPr>
          <w:rFonts w:ascii="Arial" w:hAnsi="Arial" w:cs="Arial"/>
          <w:b/>
          <w:bCs/>
          <w:szCs w:val="22"/>
        </w:rPr>
      </w:pPr>
      <w:r>
        <w:rPr>
          <w:rFonts w:ascii="Arial" w:hAnsi="Arial" w:cs="Arial"/>
          <w:b/>
          <w:bCs/>
          <w:szCs w:val="22"/>
        </w:rPr>
        <w:t xml:space="preserve">Druge informacije </w:t>
      </w:r>
      <w:r>
        <w:rPr>
          <w:rFonts w:ascii="Arial" w:hAnsi="Arial" w:cs="Arial"/>
          <w:b/>
          <w:bCs/>
          <w:szCs w:val="22"/>
        </w:rPr>
        <w:tab/>
      </w:r>
      <w:r w:rsidRPr="00D1557B">
        <w:rPr>
          <w:rFonts w:ascii="Arial" w:hAnsi="Arial" w:cs="Arial"/>
          <w:szCs w:val="22"/>
        </w:rPr>
        <w:t>Ksenija Škrilec, Ana Novak (MZEZ)</w:t>
      </w:r>
      <w:r w:rsidRPr="00D1557B">
        <w:rPr>
          <w:rFonts w:ascii="Arial" w:hAnsi="Arial" w:cs="Arial"/>
          <w:b/>
          <w:bCs/>
          <w:szCs w:val="22"/>
        </w:rPr>
        <w:tab/>
      </w:r>
    </w:p>
    <w:p w14:paraId="07B6D849" w14:textId="77777777" w:rsidR="00D1557B" w:rsidRPr="00955F9E" w:rsidRDefault="00D1557B" w:rsidP="00955F9E">
      <w:pPr>
        <w:pStyle w:val="TEKSTDesnoAvtorji"/>
        <w:jc w:val="both"/>
        <w:rPr>
          <w:rFonts w:ascii="Arial" w:hAnsi="Arial" w:cs="Arial"/>
          <w:szCs w:val="22"/>
        </w:rPr>
      </w:pPr>
    </w:p>
    <w:p w14:paraId="4B9B6D65" w14:textId="3B122700" w:rsidR="0042650C" w:rsidRDefault="0042650C" w:rsidP="0042650C">
      <w:pPr>
        <w:rPr>
          <w:rFonts w:ascii="Arial" w:eastAsia="Times New Roman" w:hAnsi="Arial" w:cs="Arial"/>
          <w:color w:val="000000" w:themeColor="text1"/>
          <w:highlight w:val="yellow"/>
          <w:lang w:eastAsia="sl-SI"/>
        </w:rPr>
      </w:pPr>
    </w:p>
    <w:p w14:paraId="725B059E" w14:textId="5BFAB44D" w:rsidR="00955F9E" w:rsidRPr="00D1557B" w:rsidRDefault="00955F9E">
      <w:r>
        <w:rPr>
          <w:rFonts w:ascii="Arial" w:hAnsi="Arial" w:cs="Arial"/>
        </w:rPr>
        <w:br w:type="page"/>
      </w:r>
    </w:p>
    <w:p w14:paraId="1E2A8444" w14:textId="77777777" w:rsidR="00955F9E" w:rsidRPr="00955F9E" w:rsidRDefault="00955F9E" w:rsidP="00955F9E">
      <w:pPr>
        <w:rPr>
          <w:rFonts w:ascii="Arial" w:hAnsi="Arial" w:cs="Arial"/>
        </w:rPr>
      </w:pPr>
    </w:p>
    <w:p w14:paraId="19FE7458" w14:textId="77777777" w:rsidR="0042650C" w:rsidRPr="003D75D9" w:rsidRDefault="0042650C" w:rsidP="0042650C">
      <w:pPr>
        <w:rPr>
          <w:rFonts w:ascii="Arial" w:eastAsia="Times New Roman" w:hAnsi="Arial" w:cs="Arial"/>
          <w:b/>
          <w:bCs/>
          <w:color w:val="000000" w:themeColor="text1"/>
          <w:sz w:val="32"/>
          <w:szCs w:val="32"/>
          <w:lang w:eastAsia="sl-SI"/>
        </w:rPr>
      </w:pPr>
      <w:r w:rsidRPr="003D75D9">
        <w:rPr>
          <w:rFonts w:ascii="Arial" w:eastAsia="Times New Roman" w:hAnsi="Arial" w:cs="Arial"/>
          <w:b/>
          <w:bCs/>
          <w:color w:val="000000" w:themeColor="text1"/>
          <w:sz w:val="32"/>
          <w:szCs w:val="32"/>
          <w:lang w:eastAsia="sl-SI"/>
        </w:rPr>
        <w:t>Legenda</w:t>
      </w:r>
    </w:p>
    <w:p w14:paraId="51C21621" w14:textId="7C34B141" w:rsidR="0042650C" w:rsidRPr="003D75D9" w:rsidRDefault="001A696B" w:rsidP="0042650C">
      <w:pPr>
        <w:rPr>
          <w:rFonts w:ascii="Arial" w:eastAsia="Times New Roman" w:hAnsi="Arial" w:cs="Arial"/>
          <w:b/>
          <w:bCs/>
          <w:color w:val="000000" w:themeColor="text1"/>
          <w:sz w:val="32"/>
          <w:szCs w:val="32"/>
          <w:lang w:eastAsia="sl-SI"/>
        </w:rPr>
      </w:pPr>
      <w:r w:rsidRPr="003D75D9">
        <w:rPr>
          <w:rFonts w:ascii="Arial" w:eastAsia="Times New Roman" w:hAnsi="Arial" w:cs="Arial"/>
          <w:b/>
          <w:bCs/>
          <w:noProof/>
          <w:color w:val="000000" w:themeColor="text1"/>
          <w:sz w:val="32"/>
          <w:szCs w:val="32"/>
          <w:lang w:eastAsia="sl-SI"/>
        </w:rPr>
        <mc:AlternateContent>
          <mc:Choice Requires="wps">
            <w:drawing>
              <wp:anchor distT="0" distB="0" distL="114300" distR="114300" simplePos="0" relativeHeight="251674624" behindDoc="0" locked="0" layoutInCell="1" allowOverlap="1" wp14:anchorId="0C80F610" wp14:editId="389A47F8">
                <wp:simplePos x="0" y="0"/>
                <wp:positionH relativeFrom="column">
                  <wp:posOffset>-1298</wp:posOffset>
                </wp:positionH>
                <wp:positionV relativeFrom="paragraph">
                  <wp:posOffset>46327</wp:posOffset>
                </wp:positionV>
                <wp:extent cx="0" cy="556592"/>
                <wp:effectExtent l="19050" t="0" r="19050" b="34290"/>
                <wp:wrapNone/>
                <wp:docPr id="660936937" name="Raven povezovalnik 18"/>
                <wp:cNvGraphicFramePr/>
                <a:graphic xmlns:a="http://schemas.openxmlformats.org/drawingml/2006/main">
                  <a:graphicData uri="http://schemas.microsoft.com/office/word/2010/wordprocessingShape">
                    <wps:wsp>
                      <wps:cNvCnPr/>
                      <wps:spPr>
                        <a:xfrm>
                          <a:off x="0" y="0"/>
                          <a:ext cx="0" cy="556592"/>
                        </a:xfrm>
                        <a:prstGeom prst="line">
                          <a:avLst/>
                        </a:prstGeom>
                        <a:ln w="38100">
                          <a:solidFill>
                            <a:srgbClr val="529DB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7DE457" id="Raven povezovalnik 18"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pt,3.65pt" to="-.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" strokecolor="#529dba" strokeweight="3pt">
                <v:stroke joinstyle="miter"/>
              </v:line>
            </w:pict>
          </mc:Fallback>
        </mc:AlternateContent>
      </w:r>
    </w:p>
    <w:p w14:paraId="1DD7D8BE" w14:textId="77777777" w:rsidR="0042650C" w:rsidRPr="003D75D9" w:rsidRDefault="0042650C" w:rsidP="0042650C">
      <w:pPr>
        <w:rPr>
          <w:rFonts w:ascii="Arial" w:eastAsia="Times New Roman" w:hAnsi="Arial" w:cs="Arial"/>
          <w:lang w:eastAsia="sl-SI"/>
        </w:rPr>
      </w:pPr>
      <w:r w:rsidRPr="003D75D9">
        <w:rPr>
          <w:rFonts w:ascii="Arial" w:eastAsia="Times New Roman" w:hAnsi="Arial" w:cs="Arial"/>
          <w:b/>
          <w:bCs/>
          <w:sz w:val="32"/>
          <w:szCs w:val="32"/>
          <w:lang w:eastAsia="sl-SI"/>
        </w:rPr>
        <w:t xml:space="preserve">      </w:t>
      </w:r>
      <w:r w:rsidRPr="003D75D9">
        <w:rPr>
          <w:rFonts w:ascii="Arial" w:eastAsia="Times New Roman" w:hAnsi="Arial" w:cs="Arial"/>
          <w:lang w:eastAsia="sl-SI"/>
        </w:rPr>
        <w:t>Skupno besedilo EU in držav članic</w:t>
      </w:r>
    </w:p>
    <w:p w14:paraId="7CA2A1F3" w14:textId="77777777" w:rsidR="0042650C" w:rsidRPr="003D75D9" w:rsidRDefault="0042650C" w:rsidP="0042650C">
      <w:pPr>
        <w:rPr>
          <w:rFonts w:ascii="Arial" w:eastAsia="Times New Roman" w:hAnsi="Arial" w:cs="Arial"/>
          <w:lang w:eastAsia="sl-SI"/>
        </w:rPr>
      </w:pPr>
    </w:p>
    <w:p w14:paraId="062BD893" w14:textId="77777777" w:rsidR="0042650C" w:rsidRPr="003D75D9" w:rsidRDefault="0042650C" w:rsidP="0042650C">
      <w:pPr>
        <w:ind w:left="1416" w:firstLine="708"/>
        <w:rPr>
          <w:rFonts w:ascii="Arial" w:eastAsia="Times New Roman" w:hAnsi="Arial" w:cs="Arial"/>
          <w:lang w:eastAsia="sl-SI"/>
        </w:rPr>
      </w:pPr>
      <w:r w:rsidRPr="003D75D9">
        <w:rPr>
          <w:rFonts w:ascii="Arial" w:eastAsia="Times New Roman" w:hAnsi="Arial" w:cs="Arial"/>
          <w:noProof/>
          <w:lang w:eastAsia="sl-SI"/>
        </w:rPr>
        <mc:AlternateContent>
          <mc:Choice Requires="wps">
            <w:drawing>
              <wp:anchor distT="0" distB="0" distL="114300" distR="114300" simplePos="0" relativeHeight="251662336" behindDoc="0" locked="0" layoutInCell="1" allowOverlap="1" wp14:anchorId="1B1E735E" wp14:editId="7A3C9E68">
                <wp:simplePos x="0" y="0"/>
                <wp:positionH relativeFrom="margin">
                  <wp:align>left</wp:align>
                </wp:positionH>
                <wp:positionV relativeFrom="paragraph">
                  <wp:posOffset>264505</wp:posOffset>
                </wp:positionV>
                <wp:extent cx="982980" cy="416560"/>
                <wp:effectExtent l="0" t="0" r="26670" b="21590"/>
                <wp:wrapNone/>
                <wp:docPr id="1166565355" name="Rectangle 2"/>
                <wp:cNvGraphicFramePr/>
                <a:graphic xmlns:a="http://schemas.openxmlformats.org/drawingml/2006/main">
                  <a:graphicData uri="http://schemas.microsoft.com/office/word/2010/wordprocessingShape">
                    <wps:wsp>
                      <wps:cNvSpPr/>
                      <wps:spPr>
                        <a:xfrm>
                          <a:off x="0" y="0"/>
                          <a:ext cx="982980" cy="416560"/>
                        </a:xfrm>
                        <a:prstGeom prst="rect">
                          <a:avLst/>
                        </a:prstGeom>
                        <a:solidFill>
                          <a:srgbClr val="E8E8E8">
                            <a:lumMod val="90000"/>
                          </a:srgbClr>
                        </a:solid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643BD8B" id="Rectangle 2" o:spid="_x0000_s1026" style="position:absolute;margin-left:0;margin-top:20.85pt;width:77.4pt;height:32.8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" fillcolor="#d1d1d1" strokecolor="windowText" strokeweight=".5pt">
                <w10:wrap anchorx="margin"/>
              </v:rect>
            </w:pict>
          </mc:Fallback>
        </mc:AlternateContent>
      </w:r>
    </w:p>
    <w:p w14:paraId="62E4EEC7" w14:textId="7D82D401" w:rsidR="00085C01" w:rsidRPr="003D75D9" w:rsidRDefault="00085C01" w:rsidP="00085C01">
      <w:pPr>
        <w:ind w:left="2124"/>
        <w:rPr>
          <w:rFonts w:ascii="Arial" w:eastAsia="Times New Roman" w:hAnsi="Arial" w:cs="Arial"/>
          <w:lang w:eastAsia="sl-SI"/>
        </w:rPr>
      </w:pPr>
      <w:r w:rsidRPr="003D75D9">
        <w:rPr>
          <w:rFonts w:ascii="Arial" w:eastAsia="Times New Roman" w:hAnsi="Arial" w:cs="Arial"/>
          <w:lang w:eastAsia="sl-SI"/>
        </w:rPr>
        <w:t>Modalitete, postopki in smernice za okvir preglednosti ukrepov in podpore iz</w:t>
      </w:r>
      <w:r w:rsidR="00CB4F63" w:rsidRPr="003D75D9">
        <w:rPr>
          <w:rFonts w:ascii="Arial" w:eastAsia="Times New Roman" w:hAnsi="Arial" w:cs="Arial"/>
          <w:lang w:eastAsia="sl-SI"/>
        </w:rPr>
        <w:t xml:space="preserve"> 13.</w:t>
      </w:r>
      <w:r w:rsidRPr="003D75D9">
        <w:rPr>
          <w:rFonts w:ascii="Arial" w:eastAsia="Times New Roman" w:hAnsi="Arial" w:cs="Arial"/>
          <w:lang w:eastAsia="sl-SI"/>
        </w:rPr>
        <w:t xml:space="preserve"> člena Pariškega sporazuma, kot je zapisano v Odločitvi 18/CMA.1, </w:t>
      </w:r>
      <w:hyperlink r:id="rId10" w:history="1">
        <w:r w:rsidRPr="003D75D9">
          <w:rPr>
            <w:rStyle w:val="Hyperlink"/>
            <w:rFonts w:ascii="Arial" w:eastAsia="Times New Roman" w:hAnsi="Arial" w:cs="Arial"/>
            <w:lang w:eastAsia="sl-SI"/>
          </w:rPr>
          <w:t>CMA2018_03a02E.pdf</w:t>
        </w:r>
      </w:hyperlink>
      <w:r w:rsidRPr="003D75D9">
        <w:rPr>
          <w:rFonts w:ascii="Arial" w:eastAsia="Times New Roman" w:hAnsi="Arial" w:cs="Arial"/>
          <w:lang w:eastAsia="sl-SI"/>
        </w:rPr>
        <w:t xml:space="preserve"> </w:t>
      </w:r>
    </w:p>
    <w:p w14:paraId="7B3BCB34" w14:textId="77777777" w:rsidR="0042650C" w:rsidRPr="00A57F7D" w:rsidRDefault="0042650C" w:rsidP="0042650C">
      <w:pPr>
        <w:rPr>
          <w:rFonts w:ascii="Arial" w:eastAsia="Times New Roman" w:hAnsi="Arial" w:cs="Arial"/>
          <w:highlight w:val="yellow"/>
          <w:lang w:eastAsia="sl-SI"/>
        </w:rPr>
      </w:pPr>
    </w:p>
    <w:p w14:paraId="65E8A950" w14:textId="67BA81C2" w:rsidR="0042650C" w:rsidRPr="00A57F7D" w:rsidRDefault="0042650C">
      <w:pPr>
        <w:rPr>
          <w:highlight w:val="yellow"/>
        </w:rPr>
      </w:pPr>
    </w:p>
    <w:p w14:paraId="7910ED21" w14:textId="77777777" w:rsidR="0042650C" w:rsidRPr="00A57F7D" w:rsidRDefault="0042650C">
      <w:pPr>
        <w:rPr>
          <w:highlight w:val="yellow"/>
        </w:rPr>
      </w:pPr>
      <w:r w:rsidRPr="00A57F7D">
        <w:rPr>
          <w:highlight w:val="yellow"/>
        </w:rPr>
        <w:br w:type="page"/>
      </w:r>
    </w:p>
    <w:sdt>
      <w:sdtPr>
        <w:rPr>
          <w:rFonts w:ascii="Arial" w:eastAsiaTheme="minorHAnsi" w:hAnsi="Arial" w:cs="Arial"/>
          <w:color w:val="auto"/>
          <w:sz w:val="22"/>
          <w:szCs w:val="22"/>
          <w:highlight w:val="yellow"/>
          <w:lang w:eastAsia="en-US"/>
        </w:rPr>
        <w:id w:val="1507165942"/>
        <w:docPartObj>
          <w:docPartGallery w:val="Table of Contents"/>
          <w:docPartUnique/>
        </w:docPartObj>
      </w:sdtPr>
      <w:sdtEndPr>
        <w:rPr>
          <w:b/>
          <w:bCs/>
          <w:highlight w:val="none"/>
        </w:rPr>
      </w:sdtEndPr>
      <w:sdtContent>
        <w:p w14:paraId="6228DBAE" w14:textId="4A95C40A" w:rsidR="007F1EB9" w:rsidRPr="004C2BDB" w:rsidRDefault="00D1557B">
          <w:pPr>
            <w:pStyle w:val="TOCHeading"/>
            <w:rPr>
              <w:rFonts w:ascii="Arial" w:hAnsi="Arial" w:cs="Arial"/>
            </w:rPr>
          </w:pPr>
          <w:r w:rsidRPr="004C2BDB">
            <w:rPr>
              <w:rFonts w:ascii="Arial" w:hAnsi="Arial" w:cs="Arial"/>
            </w:rPr>
            <w:t>Kazalo v</w:t>
          </w:r>
          <w:r w:rsidR="007F1EB9" w:rsidRPr="004C2BDB">
            <w:rPr>
              <w:rFonts w:ascii="Arial" w:hAnsi="Arial" w:cs="Arial"/>
            </w:rPr>
            <w:t>sebin</w:t>
          </w:r>
          <w:r w:rsidRPr="004C2BDB">
            <w:rPr>
              <w:rFonts w:ascii="Arial" w:hAnsi="Arial" w:cs="Arial"/>
            </w:rPr>
            <w:t>e</w:t>
          </w:r>
        </w:p>
        <w:p w14:paraId="07686E28" w14:textId="7824C5F7" w:rsidR="00B92112" w:rsidRPr="004C2BDB" w:rsidRDefault="007F1EB9">
          <w:pPr>
            <w:pStyle w:val="TOC1"/>
            <w:rPr>
              <w:b w:val="0"/>
              <w:bCs w:val="0"/>
              <w:kern w:val="2"/>
              <w:sz w:val="24"/>
              <w:szCs w:val="24"/>
              <w14:ligatures w14:val="standardContextual"/>
            </w:rPr>
          </w:pPr>
          <w:r w:rsidRPr="004C2BDB">
            <w:fldChar w:fldCharType="begin"/>
          </w:r>
          <w:r w:rsidRPr="004C2BDB">
            <w:instrText xml:space="preserve"> TOC \o "1-3" \h \z \u </w:instrText>
          </w:r>
          <w:r w:rsidRPr="004C2BDB">
            <w:fldChar w:fldCharType="separate"/>
          </w:r>
          <w:hyperlink w:anchor="_Toc196300789" w:history="1">
            <w:r w:rsidR="00B92112" w:rsidRPr="004C2BDB">
              <w:rPr>
                <w:rStyle w:val="Hyperlink"/>
              </w:rPr>
              <w:t>Razširjen povzetek</w:t>
            </w:r>
            <w:r w:rsidR="00B92112" w:rsidRPr="004C2BDB">
              <w:rPr>
                <w:webHidden/>
              </w:rPr>
              <w:tab/>
            </w:r>
            <w:r w:rsidR="00B92112" w:rsidRPr="004C2BDB">
              <w:rPr>
                <w:webHidden/>
              </w:rPr>
              <w:fldChar w:fldCharType="begin"/>
            </w:r>
            <w:r w:rsidR="00B92112" w:rsidRPr="004C2BDB">
              <w:rPr>
                <w:webHidden/>
              </w:rPr>
              <w:instrText xml:space="preserve"> PAGEREF _Toc196300789 \h </w:instrText>
            </w:r>
            <w:r w:rsidR="00B92112" w:rsidRPr="004C2BDB">
              <w:rPr>
                <w:webHidden/>
              </w:rPr>
            </w:r>
            <w:r w:rsidR="00B92112" w:rsidRPr="004C2BDB">
              <w:rPr>
                <w:webHidden/>
              </w:rPr>
              <w:fldChar w:fldCharType="separate"/>
            </w:r>
            <w:r w:rsidR="00032C2E">
              <w:rPr>
                <w:webHidden/>
              </w:rPr>
              <w:t>15</w:t>
            </w:r>
            <w:r w:rsidR="00B92112" w:rsidRPr="004C2BDB">
              <w:rPr>
                <w:webHidden/>
              </w:rPr>
              <w:fldChar w:fldCharType="end"/>
            </w:r>
          </w:hyperlink>
        </w:p>
        <w:p w14:paraId="4C569EB7" w14:textId="3D8FBC77" w:rsidR="00B92112" w:rsidRPr="004C2BDB" w:rsidRDefault="00032C2E">
          <w:pPr>
            <w:pStyle w:val="TOC1"/>
            <w:rPr>
              <w:b w:val="0"/>
              <w:bCs w:val="0"/>
              <w:kern w:val="2"/>
              <w:sz w:val="24"/>
              <w:szCs w:val="24"/>
              <w14:ligatures w14:val="standardContextual"/>
            </w:rPr>
          </w:pPr>
          <w:hyperlink w:anchor="_Toc196300790" w:history="1">
            <w:r w:rsidR="00B92112" w:rsidRPr="004C2BDB">
              <w:rPr>
                <w:rStyle w:val="Hyperlink"/>
              </w:rPr>
              <w:t>I Nacionalno poročilo o evidencah antropogenih emisij toplogrednih plinov po virih in odvzemov po ponorih</w:t>
            </w:r>
            <w:r w:rsidR="00B92112" w:rsidRPr="004C2BDB">
              <w:rPr>
                <w:webHidden/>
              </w:rPr>
              <w:tab/>
            </w:r>
            <w:r w:rsidR="00B92112" w:rsidRPr="004C2BDB">
              <w:rPr>
                <w:webHidden/>
              </w:rPr>
              <w:fldChar w:fldCharType="begin"/>
            </w:r>
            <w:r w:rsidR="00B92112" w:rsidRPr="004C2BDB">
              <w:rPr>
                <w:webHidden/>
              </w:rPr>
              <w:instrText xml:space="preserve"> PAGEREF _Toc196300790 \h </w:instrText>
            </w:r>
            <w:r w:rsidR="00B92112" w:rsidRPr="004C2BDB">
              <w:rPr>
                <w:webHidden/>
              </w:rPr>
            </w:r>
            <w:r w:rsidR="00B92112" w:rsidRPr="004C2BDB">
              <w:rPr>
                <w:webHidden/>
              </w:rPr>
              <w:fldChar w:fldCharType="separate"/>
            </w:r>
            <w:r>
              <w:rPr>
                <w:webHidden/>
              </w:rPr>
              <w:t>22</w:t>
            </w:r>
            <w:r w:rsidR="00B92112" w:rsidRPr="004C2BDB">
              <w:rPr>
                <w:webHidden/>
              </w:rPr>
              <w:fldChar w:fldCharType="end"/>
            </w:r>
          </w:hyperlink>
        </w:p>
        <w:p w14:paraId="3213B670" w14:textId="10EA33B6" w:rsidR="00B92112" w:rsidRPr="004C2BDB" w:rsidRDefault="00032C2E">
          <w:pPr>
            <w:pStyle w:val="TOC1"/>
            <w:rPr>
              <w:b w:val="0"/>
              <w:bCs w:val="0"/>
              <w:kern w:val="2"/>
              <w:sz w:val="24"/>
              <w:szCs w:val="24"/>
              <w14:ligatures w14:val="standardContextual"/>
            </w:rPr>
          </w:pPr>
          <w:hyperlink w:anchor="_Toc196300791" w:history="1">
            <w:r w:rsidR="00B92112" w:rsidRPr="004C2BDB">
              <w:rPr>
                <w:rStyle w:val="Hyperlink"/>
              </w:rPr>
              <w:t>II Informacije, potrebne za spremljanje napredka pri izvajanju in doseganju nacionalno določenih prispevkov v skladu s 4. členom Pariškega sporazuma</w:t>
            </w:r>
            <w:r w:rsidR="00B92112" w:rsidRPr="004C2BDB">
              <w:rPr>
                <w:webHidden/>
              </w:rPr>
              <w:tab/>
            </w:r>
            <w:r w:rsidR="00B92112" w:rsidRPr="004C2BDB">
              <w:rPr>
                <w:webHidden/>
              </w:rPr>
              <w:fldChar w:fldCharType="begin"/>
            </w:r>
            <w:r w:rsidR="00B92112" w:rsidRPr="004C2BDB">
              <w:rPr>
                <w:webHidden/>
              </w:rPr>
              <w:instrText xml:space="preserve"> PAGEREF _Toc196300791 \h </w:instrText>
            </w:r>
            <w:r w:rsidR="00B92112" w:rsidRPr="004C2BDB">
              <w:rPr>
                <w:webHidden/>
              </w:rPr>
            </w:r>
            <w:r w:rsidR="00B92112" w:rsidRPr="004C2BDB">
              <w:rPr>
                <w:webHidden/>
              </w:rPr>
              <w:fldChar w:fldCharType="separate"/>
            </w:r>
            <w:r>
              <w:rPr>
                <w:webHidden/>
              </w:rPr>
              <w:t>23</w:t>
            </w:r>
            <w:r w:rsidR="00B92112" w:rsidRPr="004C2BDB">
              <w:rPr>
                <w:webHidden/>
              </w:rPr>
              <w:fldChar w:fldCharType="end"/>
            </w:r>
          </w:hyperlink>
        </w:p>
        <w:p w14:paraId="394AA601" w14:textId="7F3BF0CC"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792" w:history="1">
            <w:r w:rsidR="00B92112" w:rsidRPr="004C2BDB">
              <w:rPr>
                <w:rStyle w:val="Hyperlink"/>
                <w:rFonts w:ascii="Arial" w:hAnsi="Arial" w:cs="Arial"/>
                <w:noProof/>
              </w:rPr>
              <w:t>II.A Nacionalne okoliščine in institucionalne ureditve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23</w:t>
            </w:r>
            <w:r w:rsidR="00B92112" w:rsidRPr="004C2BDB">
              <w:rPr>
                <w:rFonts w:ascii="Arial" w:hAnsi="Arial" w:cs="Arial"/>
                <w:noProof/>
                <w:webHidden/>
              </w:rPr>
              <w:fldChar w:fldCharType="end"/>
            </w:r>
          </w:hyperlink>
        </w:p>
        <w:p w14:paraId="7FCF3A7E" w14:textId="32CECA20"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3" w:history="1">
            <w:r w:rsidR="00B92112" w:rsidRPr="004C2BDB">
              <w:rPr>
                <w:rStyle w:val="Hyperlink"/>
                <w:rFonts w:ascii="Arial" w:hAnsi="Arial" w:cs="Arial"/>
                <w:noProof/>
              </w:rPr>
              <w:t>II.A.1 Državna ureditev</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23</w:t>
            </w:r>
            <w:r w:rsidR="00B92112" w:rsidRPr="004C2BDB">
              <w:rPr>
                <w:rFonts w:ascii="Arial" w:hAnsi="Arial" w:cs="Arial"/>
                <w:noProof/>
                <w:webHidden/>
              </w:rPr>
              <w:fldChar w:fldCharType="end"/>
            </w:r>
          </w:hyperlink>
        </w:p>
        <w:p w14:paraId="4C03F493" w14:textId="387B2D17"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4" w:history="1">
            <w:r w:rsidR="00B92112" w:rsidRPr="004C2BDB">
              <w:rPr>
                <w:rStyle w:val="Hyperlink"/>
                <w:rFonts w:ascii="Arial" w:hAnsi="Arial" w:cs="Arial"/>
                <w:noProof/>
              </w:rPr>
              <w:t>II.A.2 Prebivalstvo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23</w:t>
            </w:r>
            <w:r w:rsidR="00B92112" w:rsidRPr="004C2BDB">
              <w:rPr>
                <w:rFonts w:ascii="Arial" w:hAnsi="Arial" w:cs="Arial"/>
                <w:noProof/>
                <w:webHidden/>
              </w:rPr>
              <w:fldChar w:fldCharType="end"/>
            </w:r>
          </w:hyperlink>
        </w:p>
        <w:p w14:paraId="4ECA8E88" w14:textId="4E88E1ED"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5" w:history="1">
            <w:r w:rsidR="00B92112" w:rsidRPr="004C2BDB">
              <w:rPr>
                <w:rStyle w:val="Hyperlink"/>
                <w:rFonts w:ascii="Arial" w:hAnsi="Arial" w:cs="Arial"/>
                <w:noProof/>
              </w:rPr>
              <w:t>II.A.3 Geografski profil</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24</w:t>
            </w:r>
            <w:r w:rsidR="00B92112" w:rsidRPr="004C2BDB">
              <w:rPr>
                <w:rFonts w:ascii="Arial" w:hAnsi="Arial" w:cs="Arial"/>
                <w:noProof/>
                <w:webHidden/>
              </w:rPr>
              <w:fldChar w:fldCharType="end"/>
            </w:r>
          </w:hyperlink>
        </w:p>
        <w:p w14:paraId="4BCADD29" w14:textId="061EFFE5"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6" w:history="1">
            <w:r w:rsidR="00B92112" w:rsidRPr="004C2BDB">
              <w:rPr>
                <w:rStyle w:val="Hyperlink"/>
                <w:rFonts w:ascii="Arial" w:hAnsi="Arial" w:cs="Arial"/>
                <w:noProof/>
              </w:rPr>
              <w:t>II.A.4 Ekonomski profil</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25</w:t>
            </w:r>
            <w:r w:rsidR="00B92112" w:rsidRPr="004C2BDB">
              <w:rPr>
                <w:rFonts w:ascii="Arial" w:hAnsi="Arial" w:cs="Arial"/>
                <w:noProof/>
                <w:webHidden/>
              </w:rPr>
              <w:fldChar w:fldCharType="end"/>
            </w:r>
          </w:hyperlink>
        </w:p>
        <w:p w14:paraId="40933AFF" w14:textId="5A617203"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7" w:history="1">
            <w:r w:rsidR="00B92112" w:rsidRPr="004C2BDB">
              <w:rPr>
                <w:rStyle w:val="Hyperlink"/>
                <w:rFonts w:ascii="Arial" w:hAnsi="Arial" w:cs="Arial"/>
                <w:noProof/>
              </w:rPr>
              <w:t>II.A.5 Podnebni profil</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_Toc196300797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26</w:t>
            </w:r>
            <w:r w:rsidR="00B92112" w:rsidRPr="004C2BDB">
              <w:rPr>
                <w:rFonts w:ascii="Arial" w:hAnsi="Arial" w:cs="Arial"/>
                <w:noProof/>
                <w:webHidden/>
              </w:rPr>
              <w:fldChar w:fldCharType="end"/>
            </w:r>
          </w:hyperlink>
        </w:p>
        <w:p w14:paraId="6B4B1EF4" w14:textId="37884805"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8" w:history="1">
            <w:r w:rsidR="00B92112" w:rsidRPr="004C2BDB">
              <w:rPr>
                <w:rStyle w:val="Hyperlink"/>
                <w:rFonts w:ascii="Arial" w:hAnsi="Arial" w:cs="Arial"/>
                <w:noProof/>
              </w:rPr>
              <w:t>II.A.6 Sektorske podrobnosti – Energetika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29</w:t>
            </w:r>
            <w:r w:rsidR="00B92112" w:rsidRPr="004C2BDB">
              <w:rPr>
                <w:rFonts w:ascii="Arial" w:hAnsi="Arial" w:cs="Arial"/>
                <w:noProof/>
                <w:webHidden/>
              </w:rPr>
              <w:fldChar w:fldCharType="end"/>
            </w:r>
          </w:hyperlink>
        </w:p>
        <w:p w14:paraId="3BEF5A12" w14:textId="59DADE17"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799" w:history="1">
            <w:r w:rsidR="00B92112" w:rsidRPr="004C2BDB">
              <w:rPr>
                <w:rStyle w:val="Hyperlink"/>
                <w:rFonts w:ascii="Arial" w:hAnsi="Arial" w:cs="Arial"/>
                <w:noProof/>
              </w:rPr>
              <w:t>II.A.7 Sektorske podrobnosti – Promet</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_Toc196300799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33</w:t>
            </w:r>
            <w:r w:rsidR="00B92112" w:rsidRPr="004C2BDB">
              <w:rPr>
                <w:rFonts w:ascii="Arial" w:hAnsi="Arial" w:cs="Arial"/>
                <w:noProof/>
                <w:webHidden/>
              </w:rPr>
              <w:fldChar w:fldCharType="end"/>
            </w:r>
          </w:hyperlink>
        </w:p>
        <w:p w14:paraId="685F3FE0" w14:textId="421E4363"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0" w:history="1">
            <w:r w:rsidR="00B92112" w:rsidRPr="004C2BDB">
              <w:rPr>
                <w:rStyle w:val="Hyperlink"/>
                <w:rFonts w:ascii="Arial" w:hAnsi="Arial" w:cs="Arial"/>
                <w:noProof/>
              </w:rPr>
              <w:t>II.A.8 Sektorske podrobnosti – Industrija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36</w:t>
            </w:r>
            <w:r w:rsidR="00B92112" w:rsidRPr="004C2BDB">
              <w:rPr>
                <w:rFonts w:ascii="Arial" w:hAnsi="Arial" w:cs="Arial"/>
                <w:noProof/>
                <w:webHidden/>
              </w:rPr>
              <w:fldChar w:fldCharType="end"/>
            </w:r>
          </w:hyperlink>
        </w:p>
        <w:p w14:paraId="29225E53" w14:textId="5D47C183"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1" w:history="1">
            <w:r w:rsidR="00B92112" w:rsidRPr="004C2BDB">
              <w:rPr>
                <w:rStyle w:val="Hyperlink"/>
                <w:rFonts w:ascii="Arial" w:hAnsi="Arial" w:cs="Arial"/>
                <w:noProof/>
              </w:rPr>
              <w:t>II.A.9 Sektorske podrobnosti – Stanovanja in struktura urbanih območij</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36</w:t>
            </w:r>
            <w:r w:rsidR="00B92112" w:rsidRPr="004C2BDB">
              <w:rPr>
                <w:rFonts w:ascii="Arial" w:hAnsi="Arial" w:cs="Arial"/>
                <w:noProof/>
                <w:webHidden/>
              </w:rPr>
              <w:fldChar w:fldCharType="end"/>
            </w:r>
          </w:hyperlink>
        </w:p>
        <w:p w14:paraId="268969D9" w14:textId="51DCDDB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2" w:history="1">
            <w:r w:rsidR="00B92112" w:rsidRPr="004C2BDB">
              <w:rPr>
                <w:rStyle w:val="Hyperlink"/>
                <w:rFonts w:ascii="Arial" w:hAnsi="Arial" w:cs="Arial"/>
                <w:noProof/>
              </w:rPr>
              <w:t>II.A.10 Sektorske podrobnosti – Kmetijstvo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37</w:t>
            </w:r>
            <w:r w:rsidR="00B92112" w:rsidRPr="004C2BDB">
              <w:rPr>
                <w:rFonts w:ascii="Arial" w:hAnsi="Arial" w:cs="Arial"/>
                <w:noProof/>
                <w:webHidden/>
              </w:rPr>
              <w:fldChar w:fldCharType="end"/>
            </w:r>
          </w:hyperlink>
        </w:p>
        <w:p w14:paraId="00AE7F8E" w14:textId="78F5D935"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3" w:history="1">
            <w:r w:rsidR="00B92112" w:rsidRPr="004C2BDB">
              <w:rPr>
                <w:rStyle w:val="Hyperlink"/>
                <w:rFonts w:ascii="Arial" w:hAnsi="Arial" w:cs="Arial"/>
                <w:noProof/>
              </w:rPr>
              <w:t>II.A.11 Sektorske podrobnosti – Raba tal in gozdarstvo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37</w:t>
            </w:r>
            <w:r w:rsidR="00B92112" w:rsidRPr="004C2BDB">
              <w:rPr>
                <w:rFonts w:ascii="Arial" w:hAnsi="Arial" w:cs="Arial"/>
                <w:noProof/>
                <w:webHidden/>
              </w:rPr>
              <w:fldChar w:fldCharType="end"/>
            </w:r>
          </w:hyperlink>
        </w:p>
        <w:p w14:paraId="41601645" w14:textId="6C2BAA2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4" w:history="1">
            <w:r w:rsidR="00B92112" w:rsidRPr="004C2BDB">
              <w:rPr>
                <w:rStyle w:val="Hyperlink"/>
                <w:rFonts w:ascii="Arial" w:hAnsi="Arial" w:cs="Arial"/>
                <w:noProof/>
              </w:rPr>
              <w:t>II.A.12 Sektorske podrobnosti – Odpadki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38</w:t>
            </w:r>
            <w:r w:rsidR="00B92112" w:rsidRPr="004C2BDB">
              <w:rPr>
                <w:rFonts w:ascii="Arial" w:hAnsi="Arial" w:cs="Arial"/>
                <w:noProof/>
                <w:webHidden/>
              </w:rPr>
              <w:fldChar w:fldCharType="end"/>
            </w:r>
          </w:hyperlink>
        </w:p>
        <w:p w14:paraId="1E432AF0" w14:textId="52DBB324"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5" w:history="1">
            <w:r w:rsidR="00B92112" w:rsidRPr="004C2BDB">
              <w:rPr>
                <w:rStyle w:val="Hyperlink"/>
                <w:rFonts w:ascii="Arial" w:hAnsi="Arial" w:cs="Arial"/>
                <w:noProof/>
              </w:rPr>
              <w:t>II.A.13 Institucionalne ureditve za spremljanje napredka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39</w:t>
            </w:r>
            <w:r w:rsidR="00B92112" w:rsidRPr="004C2BDB">
              <w:rPr>
                <w:rFonts w:ascii="Arial" w:hAnsi="Arial" w:cs="Arial"/>
                <w:noProof/>
                <w:webHidden/>
              </w:rPr>
              <w:fldChar w:fldCharType="end"/>
            </w:r>
          </w:hyperlink>
        </w:p>
        <w:p w14:paraId="11D2FE46" w14:textId="24C10CE6"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6" w:history="1">
            <w:r w:rsidR="00B92112" w:rsidRPr="004C2BDB">
              <w:rPr>
                <w:rStyle w:val="Hyperlink"/>
                <w:rFonts w:ascii="Arial" w:hAnsi="Arial" w:cs="Arial"/>
                <w:noProof/>
              </w:rPr>
              <w:t>II.A.14 Dogovori za izvajanje in spremljanje izvajanja podnebne politike ter poročanje o njej, arhiviranje informacij in vključevanje deležnikov</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41</w:t>
            </w:r>
            <w:r w:rsidR="00B92112" w:rsidRPr="004C2BDB">
              <w:rPr>
                <w:rFonts w:ascii="Arial" w:hAnsi="Arial" w:cs="Arial"/>
                <w:noProof/>
                <w:webHidden/>
              </w:rPr>
              <w:fldChar w:fldCharType="end"/>
            </w:r>
          </w:hyperlink>
        </w:p>
        <w:p w14:paraId="66718909" w14:textId="4998EE3E"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07" w:history="1">
            <w:r w:rsidR="00B92112" w:rsidRPr="004C2BDB">
              <w:rPr>
                <w:rStyle w:val="Hyperlink"/>
                <w:rFonts w:ascii="Arial" w:hAnsi="Arial" w:cs="Arial"/>
                <w:noProof/>
              </w:rPr>
              <w:t>II.B Opis nacionalno določenega prispevka pogodbenice v skladu s 4. členom Pariškega sporazuma, vključno s posodobitvami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_Toc196300807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43</w:t>
            </w:r>
            <w:r w:rsidR="00B92112" w:rsidRPr="004C2BDB">
              <w:rPr>
                <w:rFonts w:ascii="Arial" w:hAnsi="Arial" w:cs="Arial"/>
                <w:noProof/>
                <w:webHidden/>
              </w:rPr>
              <w:fldChar w:fldCharType="end"/>
            </w:r>
          </w:hyperlink>
        </w:p>
        <w:p w14:paraId="2CA314A8" w14:textId="0A9F82FF"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08" w:history="1">
            <w:r w:rsidR="00B92112" w:rsidRPr="004C2BDB">
              <w:rPr>
                <w:rStyle w:val="Hyperlink"/>
                <w:rFonts w:ascii="Arial" w:hAnsi="Arial" w:cs="Arial"/>
                <w:noProof/>
              </w:rPr>
              <w:t>II.C Informacije, potrebne za spremljanje napredka pri izvajanju in doseganju nacionalno določenih prispevkov v skladu s 4. členom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45</w:t>
            </w:r>
            <w:r w:rsidR="00B92112" w:rsidRPr="004C2BDB">
              <w:rPr>
                <w:rFonts w:ascii="Arial" w:hAnsi="Arial" w:cs="Arial"/>
                <w:noProof/>
                <w:webHidden/>
              </w:rPr>
              <w:fldChar w:fldCharType="end"/>
            </w:r>
          </w:hyperlink>
        </w:p>
        <w:p w14:paraId="075C4A93" w14:textId="4E5F1B73"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09" w:history="1">
            <w:r w:rsidR="00B92112" w:rsidRPr="004C2BDB">
              <w:rPr>
                <w:rStyle w:val="Hyperlink"/>
                <w:rFonts w:ascii="Arial" w:hAnsi="Arial" w:cs="Arial"/>
                <w:noProof/>
              </w:rPr>
              <w:t>II.C.1 Indikator</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_Toc196300809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47</w:t>
            </w:r>
            <w:r w:rsidR="00B92112" w:rsidRPr="004C2BDB">
              <w:rPr>
                <w:rFonts w:ascii="Arial" w:hAnsi="Arial" w:cs="Arial"/>
                <w:noProof/>
                <w:webHidden/>
              </w:rPr>
              <w:fldChar w:fldCharType="end"/>
            </w:r>
          </w:hyperlink>
        </w:p>
        <w:p w14:paraId="7AA59F33" w14:textId="001D3FD1"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0" w:history="1">
            <w:r w:rsidR="00B92112" w:rsidRPr="004C2BDB">
              <w:rPr>
                <w:rStyle w:val="Hyperlink"/>
                <w:rFonts w:ascii="Arial" w:hAnsi="Arial" w:cs="Arial"/>
                <w:noProof/>
              </w:rPr>
              <w:t>II.C.2 Metodologije in računovodski pristop</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47</w:t>
            </w:r>
            <w:r w:rsidR="00B92112" w:rsidRPr="004C2BDB">
              <w:rPr>
                <w:rFonts w:ascii="Arial" w:hAnsi="Arial" w:cs="Arial"/>
                <w:noProof/>
                <w:webHidden/>
              </w:rPr>
              <w:fldChar w:fldCharType="end"/>
            </w:r>
          </w:hyperlink>
        </w:p>
        <w:p w14:paraId="3ED95167" w14:textId="784B68C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1" w:history="1">
            <w:r w:rsidR="00B92112" w:rsidRPr="004C2BDB">
              <w:rPr>
                <w:rStyle w:val="Hyperlink"/>
                <w:rFonts w:ascii="Arial" w:hAnsi="Arial" w:cs="Arial"/>
                <w:noProof/>
              </w:rPr>
              <w:t>II.C.3 Strukturiran povzetek – stanje napredka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48</w:t>
            </w:r>
            <w:r w:rsidR="00B92112" w:rsidRPr="004C2BDB">
              <w:rPr>
                <w:rFonts w:ascii="Arial" w:hAnsi="Arial" w:cs="Arial"/>
                <w:noProof/>
                <w:webHidden/>
              </w:rPr>
              <w:fldChar w:fldCharType="end"/>
            </w:r>
          </w:hyperlink>
        </w:p>
        <w:p w14:paraId="3214A938" w14:textId="741F8D7D"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12" w:history="1">
            <w:r w:rsidR="00B92112" w:rsidRPr="004C2BDB">
              <w:rPr>
                <w:rStyle w:val="Hyperlink"/>
                <w:rFonts w:ascii="Arial" w:hAnsi="Arial" w:cs="Arial"/>
                <w:noProof/>
              </w:rPr>
              <w:t>II.D Politike in ukrepi za blaženje podnebnih sprememb, aktivnosti in načrti, vključno s tistimi s stranskimi koristmi blaženja, ki izhajajo iz prilagoditvenih ukrepov in načrtov za gospodarsko diverzifikacijo in so povezani z izvajanjem in doseganjem nacionalno določenega prispevka v skladu s 4. členom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49</w:t>
            </w:r>
            <w:r w:rsidR="00B92112" w:rsidRPr="004C2BDB">
              <w:rPr>
                <w:rFonts w:ascii="Arial" w:hAnsi="Arial" w:cs="Arial"/>
                <w:noProof/>
                <w:webHidden/>
              </w:rPr>
              <w:fldChar w:fldCharType="end"/>
            </w:r>
          </w:hyperlink>
        </w:p>
        <w:p w14:paraId="5DACAA26" w14:textId="54A182B0"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3" w:history="1">
            <w:r w:rsidR="00B92112" w:rsidRPr="004C2BDB">
              <w:rPr>
                <w:rStyle w:val="Hyperlink"/>
                <w:rFonts w:ascii="Arial" w:hAnsi="Arial" w:cs="Arial"/>
                <w:noProof/>
              </w:rPr>
              <w:t>II.D.1 Večsektorski ukrepi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50</w:t>
            </w:r>
            <w:r w:rsidR="00B92112" w:rsidRPr="004C2BDB">
              <w:rPr>
                <w:rFonts w:ascii="Arial" w:hAnsi="Arial" w:cs="Arial"/>
                <w:noProof/>
                <w:webHidden/>
              </w:rPr>
              <w:fldChar w:fldCharType="end"/>
            </w:r>
          </w:hyperlink>
        </w:p>
        <w:p w14:paraId="440867B8" w14:textId="5E78804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4" w:history="1">
            <w:r w:rsidR="00B92112" w:rsidRPr="004C2BDB">
              <w:rPr>
                <w:rStyle w:val="Hyperlink"/>
                <w:rFonts w:ascii="Arial" w:hAnsi="Arial" w:cs="Arial"/>
                <w:noProof/>
              </w:rPr>
              <w:t>II.D.2 Oskrba z energijo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59</w:t>
            </w:r>
            <w:r w:rsidR="00B92112" w:rsidRPr="004C2BDB">
              <w:rPr>
                <w:rFonts w:ascii="Arial" w:hAnsi="Arial" w:cs="Arial"/>
                <w:noProof/>
                <w:webHidden/>
              </w:rPr>
              <w:fldChar w:fldCharType="end"/>
            </w:r>
          </w:hyperlink>
        </w:p>
        <w:p w14:paraId="117FD79C" w14:textId="68A39F8E"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5" w:history="1">
            <w:r w:rsidR="00B92112" w:rsidRPr="004C2BDB">
              <w:rPr>
                <w:rStyle w:val="Hyperlink"/>
                <w:rFonts w:ascii="Arial" w:hAnsi="Arial" w:cs="Arial"/>
                <w:noProof/>
              </w:rPr>
              <w:t>II.D.3 Raba energije – industrija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67</w:t>
            </w:r>
            <w:r w:rsidR="00B92112" w:rsidRPr="004C2BDB">
              <w:rPr>
                <w:rFonts w:ascii="Arial" w:hAnsi="Arial" w:cs="Arial"/>
                <w:noProof/>
                <w:webHidden/>
              </w:rPr>
              <w:fldChar w:fldCharType="end"/>
            </w:r>
          </w:hyperlink>
        </w:p>
        <w:p w14:paraId="707F465F" w14:textId="5CE8590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6" w:history="1">
            <w:r w:rsidR="00B92112" w:rsidRPr="004C2BDB">
              <w:rPr>
                <w:rStyle w:val="Hyperlink"/>
                <w:rFonts w:ascii="Arial" w:hAnsi="Arial" w:cs="Arial"/>
                <w:noProof/>
              </w:rPr>
              <w:t>II.D.4 Raba energije – stavbe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69</w:t>
            </w:r>
            <w:r w:rsidR="00B92112" w:rsidRPr="004C2BDB">
              <w:rPr>
                <w:rFonts w:ascii="Arial" w:hAnsi="Arial" w:cs="Arial"/>
                <w:noProof/>
                <w:webHidden/>
              </w:rPr>
              <w:fldChar w:fldCharType="end"/>
            </w:r>
          </w:hyperlink>
        </w:p>
        <w:p w14:paraId="5DBBAE62" w14:textId="108DAA49"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7" w:history="1">
            <w:r w:rsidR="00B92112" w:rsidRPr="004C2BDB">
              <w:rPr>
                <w:rStyle w:val="Hyperlink"/>
                <w:rFonts w:ascii="Arial" w:hAnsi="Arial" w:cs="Arial"/>
                <w:noProof/>
              </w:rPr>
              <w:t>II.D.5 Raba energije – promet</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_Toc196300817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76</w:t>
            </w:r>
            <w:r w:rsidR="00B92112" w:rsidRPr="004C2BDB">
              <w:rPr>
                <w:rFonts w:ascii="Arial" w:hAnsi="Arial" w:cs="Arial"/>
                <w:noProof/>
                <w:webHidden/>
              </w:rPr>
              <w:fldChar w:fldCharType="end"/>
            </w:r>
          </w:hyperlink>
        </w:p>
        <w:p w14:paraId="041DD9D2" w14:textId="2CD81128"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8" w:history="1">
            <w:r w:rsidR="00B92112" w:rsidRPr="004C2BDB">
              <w:rPr>
                <w:rStyle w:val="Hyperlink"/>
                <w:rFonts w:ascii="Arial" w:hAnsi="Arial" w:cs="Arial"/>
                <w:noProof/>
              </w:rPr>
              <w:t>II.D.6 Industrijski procesi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84</w:t>
            </w:r>
            <w:r w:rsidR="00B92112" w:rsidRPr="004C2BDB">
              <w:rPr>
                <w:rFonts w:ascii="Arial" w:hAnsi="Arial" w:cs="Arial"/>
                <w:noProof/>
                <w:webHidden/>
              </w:rPr>
              <w:fldChar w:fldCharType="end"/>
            </w:r>
          </w:hyperlink>
        </w:p>
        <w:p w14:paraId="0839F634" w14:textId="7F91656B"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19" w:history="1">
            <w:r w:rsidR="00B92112" w:rsidRPr="004C2BDB">
              <w:rPr>
                <w:rStyle w:val="Hyperlink"/>
                <w:rFonts w:ascii="Arial" w:hAnsi="Arial" w:cs="Arial"/>
                <w:noProof/>
              </w:rPr>
              <w:t>II.D.7 Kmetijstvo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_Toc196300819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85</w:t>
            </w:r>
            <w:r w:rsidR="00B92112" w:rsidRPr="004C2BDB">
              <w:rPr>
                <w:rFonts w:ascii="Arial" w:hAnsi="Arial" w:cs="Arial"/>
                <w:noProof/>
                <w:webHidden/>
              </w:rPr>
              <w:fldChar w:fldCharType="end"/>
            </w:r>
          </w:hyperlink>
        </w:p>
        <w:p w14:paraId="32A6E31C" w14:textId="2ECD404E"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0" w:history="1">
            <w:r w:rsidR="00B92112" w:rsidRPr="004C2BDB">
              <w:rPr>
                <w:rStyle w:val="Hyperlink"/>
                <w:rFonts w:ascii="Arial" w:hAnsi="Arial" w:cs="Arial"/>
                <w:noProof/>
              </w:rPr>
              <w:t>II.D.8 Raba zemljišč, sprememba rabe zemljišč in gozdarstvo (LULUCF)</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86</w:t>
            </w:r>
            <w:r w:rsidR="00B92112" w:rsidRPr="004C2BDB">
              <w:rPr>
                <w:rFonts w:ascii="Arial" w:hAnsi="Arial" w:cs="Arial"/>
                <w:noProof/>
                <w:webHidden/>
              </w:rPr>
              <w:fldChar w:fldCharType="end"/>
            </w:r>
          </w:hyperlink>
        </w:p>
        <w:p w14:paraId="4763882E" w14:textId="0A747206"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1" w:history="1">
            <w:r w:rsidR="00B92112" w:rsidRPr="004C2BDB">
              <w:rPr>
                <w:rStyle w:val="Hyperlink"/>
                <w:rFonts w:ascii="Arial" w:hAnsi="Arial" w:cs="Arial"/>
                <w:noProof/>
              </w:rPr>
              <w:t>II.D.9 Odpadki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87</w:t>
            </w:r>
            <w:r w:rsidR="00B92112" w:rsidRPr="004C2BDB">
              <w:rPr>
                <w:rFonts w:ascii="Arial" w:hAnsi="Arial" w:cs="Arial"/>
                <w:noProof/>
                <w:webHidden/>
              </w:rPr>
              <w:fldChar w:fldCharType="end"/>
            </w:r>
          </w:hyperlink>
        </w:p>
        <w:p w14:paraId="506C32D6" w14:textId="5AD3C9CA"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2" w:history="1">
            <w:r w:rsidR="00B92112" w:rsidRPr="004C2BDB">
              <w:rPr>
                <w:rStyle w:val="Hyperlink"/>
                <w:rFonts w:ascii="Arial" w:hAnsi="Arial" w:cs="Arial"/>
                <w:noProof/>
              </w:rPr>
              <w:t>II.D.10 Druge informacije o politikah in ukrepih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106</w:t>
            </w:r>
            <w:r w:rsidR="00B92112" w:rsidRPr="004C2BDB">
              <w:rPr>
                <w:rFonts w:ascii="Arial" w:hAnsi="Arial" w:cs="Arial"/>
                <w:noProof/>
                <w:webHidden/>
              </w:rPr>
              <w:fldChar w:fldCharType="end"/>
            </w:r>
          </w:hyperlink>
        </w:p>
        <w:p w14:paraId="61E72BAF" w14:textId="2D135F26"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23" w:history="1">
            <w:r w:rsidR="00B92112" w:rsidRPr="004C2BDB">
              <w:rPr>
                <w:rStyle w:val="Hyperlink"/>
                <w:rFonts w:ascii="Arial" w:hAnsi="Arial" w:cs="Arial"/>
                <w:noProof/>
              </w:rPr>
              <w:t>II.E Povzetek emisij in odvzemov toplogrednih plinov</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108</w:t>
            </w:r>
            <w:r w:rsidR="00B92112" w:rsidRPr="004C2BDB">
              <w:rPr>
                <w:rFonts w:ascii="Arial" w:hAnsi="Arial" w:cs="Arial"/>
                <w:noProof/>
                <w:webHidden/>
              </w:rPr>
              <w:fldChar w:fldCharType="end"/>
            </w:r>
          </w:hyperlink>
        </w:p>
        <w:p w14:paraId="7C83C0A5" w14:textId="3B754E0A"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24" w:history="1">
            <w:r w:rsidR="00B92112" w:rsidRPr="004C2BDB">
              <w:rPr>
                <w:rStyle w:val="Hyperlink"/>
                <w:rFonts w:ascii="Arial" w:hAnsi="Arial" w:cs="Arial"/>
                <w:noProof/>
              </w:rPr>
              <w:t>II.F. Projekcije emisij in ponorov toplogrednih plinov, kjer je ustrezno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111</w:t>
            </w:r>
            <w:r w:rsidR="00B92112" w:rsidRPr="004C2BDB">
              <w:rPr>
                <w:rFonts w:ascii="Arial" w:hAnsi="Arial" w:cs="Arial"/>
                <w:noProof/>
                <w:webHidden/>
              </w:rPr>
              <w:fldChar w:fldCharType="end"/>
            </w:r>
          </w:hyperlink>
        </w:p>
        <w:p w14:paraId="6582859B" w14:textId="05C2597C"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5" w:history="1">
            <w:r w:rsidR="00B92112" w:rsidRPr="004C2BDB">
              <w:rPr>
                <w:rStyle w:val="Hyperlink"/>
                <w:rFonts w:ascii="Arial" w:hAnsi="Arial" w:cs="Arial"/>
                <w:noProof/>
              </w:rPr>
              <w:t>II.F.1 Opredelitev scenarijev</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112</w:t>
            </w:r>
            <w:r w:rsidR="00B92112" w:rsidRPr="004C2BDB">
              <w:rPr>
                <w:rFonts w:ascii="Arial" w:hAnsi="Arial" w:cs="Arial"/>
                <w:noProof/>
                <w:webHidden/>
              </w:rPr>
              <w:fldChar w:fldCharType="end"/>
            </w:r>
          </w:hyperlink>
        </w:p>
        <w:p w14:paraId="5B4C7B53" w14:textId="70FAE882"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6" w:history="1">
            <w:r w:rsidR="00B92112" w:rsidRPr="004C2BDB">
              <w:rPr>
                <w:rStyle w:val="Hyperlink"/>
                <w:rFonts w:ascii="Arial" w:eastAsia="Times New Roman" w:hAnsi="Arial" w:cs="Arial"/>
                <w:noProof/>
                <w:lang w:eastAsia="sl-SI"/>
              </w:rPr>
              <w:t>II.F.2 Opredelitev sektorjev v projekcijah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115</w:t>
            </w:r>
            <w:r w:rsidR="00B92112" w:rsidRPr="004C2BDB">
              <w:rPr>
                <w:rFonts w:ascii="Arial" w:hAnsi="Arial" w:cs="Arial"/>
                <w:noProof/>
                <w:webHidden/>
              </w:rPr>
              <w:fldChar w:fldCharType="end"/>
            </w:r>
          </w:hyperlink>
        </w:p>
        <w:p w14:paraId="20240E33" w14:textId="5B4D1BA5"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7" w:history="1">
            <w:r w:rsidR="00B92112" w:rsidRPr="004C2BDB">
              <w:rPr>
                <w:rStyle w:val="Hyperlink"/>
                <w:rFonts w:ascii="Arial" w:hAnsi="Arial" w:cs="Arial"/>
                <w:noProof/>
              </w:rPr>
              <w:t>II.F.3 Izsledki projekcij</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_Toc196300827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115</w:t>
            </w:r>
            <w:r w:rsidR="00B92112" w:rsidRPr="004C2BDB">
              <w:rPr>
                <w:rFonts w:ascii="Arial" w:hAnsi="Arial" w:cs="Arial"/>
                <w:noProof/>
                <w:webHidden/>
              </w:rPr>
              <w:fldChar w:fldCharType="end"/>
            </w:r>
          </w:hyperlink>
        </w:p>
        <w:p w14:paraId="22417559" w14:textId="37BFB68A"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8" w:history="1">
            <w:r w:rsidR="00B92112" w:rsidRPr="004C2BDB">
              <w:rPr>
                <w:rStyle w:val="Hyperlink"/>
                <w:rFonts w:ascii="Arial" w:hAnsi="Arial" w:cs="Arial"/>
                <w:noProof/>
              </w:rPr>
              <w:t>II.F.4 Emisije po sektorjih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120</w:t>
            </w:r>
            <w:r w:rsidR="00B92112" w:rsidRPr="004C2BDB">
              <w:rPr>
                <w:rFonts w:ascii="Arial" w:hAnsi="Arial" w:cs="Arial"/>
                <w:noProof/>
                <w:webHidden/>
              </w:rPr>
              <w:fldChar w:fldCharType="end"/>
            </w:r>
          </w:hyperlink>
        </w:p>
        <w:p w14:paraId="443FA15C" w14:textId="3AA0A1DF"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29" w:history="1">
            <w:r w:rsidR="00B92112" w:rsidRPr="004C2BDB">
              <w:rPr>
                <w:rStyle w:val="Hyperlink"/>
                <w:rFonts w:ascii="Arial" w:hAnsi="Arial" w:cs="Arial"/>
                <w:noProof/>
              </w:rPr>
              <w:t>II.F.5 EU ETS v projekcijah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_Toc196300829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129</w:t>
            </w:r>
            <w:r w:rsidR="00B92112" w:rsidRPr="004C2BDB">
              <w:rPr>
                <w:rFonts w:ascii="Arial" w:hAnsi="Arial" w:cs="Arial"/>
                <w:noProof/>
                <w:webHidden/>
              </w:rPr>
              <w:fldChar w:fldCharType="end"/>
            </w:r>
          </w:hyperlink>
        </w:p>
        <w:p w14:paraId="581E31F1" w14:textId="7DFF9C14"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0" w:history="1">
            <w:r w:rsidR="00B92112" w:rsidRPr="004C2BDB">
              <w:rPr>
                <w:rStyle w:val="Hyperlink"/>
                <w:rFonts w:ascii="Arial" w:hAnsi="Arial" w:cs="Arial"/>
                <w:noProof/>
              </w:rPr>
              <w:t>II.F.6 neETS v projekcijah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131</w:t>
            </w:r>
            <w:r w:rsidR="00B92112" w:rsidRPr="004C2BDB">
              <w:rPr>
                <w:rFonts w:ascii="Arial" w:hAnsi="Arial" w:cs="Arial"/>
                <w:noProof/>
                <w:webHidden/>
              </w:rPr>
              <w:fldChar w:fldCharType="end"/>
            </w:r>
          </w:hyperlink>
        </w:p>
        <w:p w14:paraId="196EDD7E" w14:textId="67F9A1B5"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1" w:history="1">
            <w:r w:rsidR="00B92112" w:rsidRPr="004C2BDB">
              <w:rPr>
                <w:rStyle w:val="Hyperlink"/>
                <w:rFonts w:ascii="Arial" w:hAnsi="Arial" w:cs="Arial"/>
                <w:noProof/>
              </w:rPr>
              <w:t>II.F.7 Primerjava s projekcijami v predhodnih poročilih</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134</w:t>
            </w:r>
            <w:r w:rsidR="00B92112" w:rsidRPr="004C2BDB">
              <w:rPr>
                <w:rFonts w:ascii="Arial" w:hAnsi="Arial" w:cs="Arial"/>
                <w:noProof/>
                <w:webHidden/>
              </w:rPr>
              <w:fldChar w:fldCharType="end"/>
            </w:r>
          </w:hyperlink>
        </w:p>
        <w:p w14:paraId="4D33F6AD" w14:textId="05171521"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2" w:history="1">
            <w:r w:rsidR="00B92112" w:rsidRPr="004C2BDB">
              <w:rPr>
                <w:rStyle w:val="Hyperlink"/>
                <w:rFonts w:ascii="Arial" w:hAnsi="Arial" w:cs="Arial"/>
                <w:noProof/>
              </w:rPr>
              <w:t>II.F.8. Ključni parametri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134</w:t>
            </w:r>
            <w:r w:rsidR="00B92112" w:rsidRPr="004C2BDB">
              <w:rPr>
                <w:rFonts w:ascii="Arial" w:hAnsi="Arial" w:cs="Arial"/>
                <w:noProof/>
                <w:webHidden/>
              </w:rPr>
              <w:fldChar w:fldCharType="end"/>
            </w:r>
          </w:hyperlink>
        </w:p>
        <w:p w14:paraId="5D8B24C3" w14:textId="7BDD198B"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3" w:history="1">
            <w:r w:rsidR="00B92112" w:rsidRPr="004C2BDB">
              <w:rPr>
                <w:rStyle w:val="Hyperlink"/>
                <w:rFonts w:ascii="Arial" w:hAnsi="Arial" w:cs="Arial"/>
                <w:noProof/>
              </w:rPr>
              <w:t>II.F.9. Občutljivost projekcij</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135</w:t>
            </w:r>
            <w:r w:rsidR="00B92112" w:rsidRPr="004C2BDB">
              <w:rPr>
                <w:rFonts w:ascii="Arial" w:hAnsi="Arial" w:cs="Arial"/>
                <w:noProof/>
                <w:webHidden/>
              </w:rPr>
              <w:fldChar w:fldCharType="end"/>
            </w:r>
          </w:hyperlink>
        </w:p>
        <w:p w14:paraId="3E0E257B" w14:textId="5DF234E4"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4" w:history="1">
            <w:r w:rsidR="00B92112" w:rsidRPr="004C2BDB">
              <w:rPr>
                <w:rStyle w:val="Hyperlink"/>
                <w:rFonts w:ascii="Arial" w:hAnsi="Arial" w:cs="Arial"/>
                <w:noProof/>
              </w:rPr>
              <w:t>II.F.10. Metodologija projekcij</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136</w:t>
            </w:r>
            <w:r w:rsidR="00B92112" w:rsidRPr="004C2BDB">
              <w:rPr>
                <w:rFonts w:ascii="Arial" w:hAnsi="Arial" w:cs="Arial"/>
                <w:noProof/>
                <w:webHidden/>
              </w:rPr>
              <w:fldChar w:fldCharType="end"/>
            </w:r>
          </w:hyperlink>
        </w:p>
        <w:p w14:paraId="3FC0B4F4" w14:textId="5BABF276" w:rsidR="00B92112" w:rsidRPr="004C2BDB" w:rsidRDefault="00032C2E">
          <w:pPr>
            <w:pStyle w:val="TOC3"/>
            <w:tabs>
              <w:tab w:val="right" w:leader="dot" w:pos="9063"/>
            </w:tabs>
            <w:rPr>
              <w:rFonts w:ascii="Arial" w:eastAsiaTheme="minorEastAsia" w:hAnsi="Arial" w:cs="Arial"/>
              <w:noProof/>
              <w:kern w:val="2"/>
              <w:sz w:val="24"/>
              <w:szCs w:val="24"/>
              <w:lang w:eastAsia="sl-SI"/>
              <w14:ligatures w14:val="standardContextual"/>
            </w:rPr>
          </w:pPr>
          <w:hyperlink w:anchor="_Toc196300835" w:history="1">
            <w:r w:rsidR="00B92112" w:rsidRPr="004C2BDB">
              <w:rPr>
                <w:rStyle w:val="Hyperlink"/>
                <w:rFonts w:ascii="Arial" w:hAnsi="Arial" w:cs="Arial"/>
                <w:noProof/>
              </w:rPr>
              <w:t>II.F.11 Ključni kazalniki za oceno napredka pri doseganju NDC</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138</w:t>
            </w:r>
            <w:r w:rsidR="00B92112" w:rsidRPr="004C2BDB">
              <w:rPr>
                <w:rFonts w:ascii="Arial" w:hAnsi="Arial" w:cs="Arial"/>
                <w:noProof/>
                <w:webHidden/>
              </w:rPr>
              <w:fldChar w:fldCharType="end"/>
            </w:r>
          </w:hyperlink>
        </w:p>
        <w:p w14:paraId="5EEAC33D" w14:textId="751184EE"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36" w:history="1">
            <w:r w:rsidR="00B92112" w:rsidRPr="004C2BDB">
              <w:rPr>
                <w:rStyle w:val="Hyperlink"/>
                <w:rFonts w:ascii="Arial" w:hAnsi="Arial" w:cs="Arial"/>
                <w:noProof/>
              </w:rPr>
              <w:t>II.G Druge informacije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138</w:t>
            </w:r>
            <w:r w:rsidR="00B92112" w:rsidRPr="004C2BDB">
              <w:rPr>
                <w:rFonts w:ascii="Arial" w:hAnsi="Arial" w:cs="Arial"/>
                <w:noProof/>
                <w:webHidden/>
              </w:rPr>
              <w:fldChar w:fldCharType="end"/>
            </w:r>
          </w:hyperlink>
        </w:p>
        <w:p w14:paraId="6F50E9C0" w14:textId="0615B8B9" w:rsidR="00B92112" w:rsidRPr="004C2BDB" w:rsidRDefault="00032C2E">
          <w:pPr>
            <w:pStyle w:val="TOC1"/>
            <w:rPr>
              <w:b w:val="0"/>
              <w:bCs w:val="0"/>
              <w:kern w:val="2"/>
              <w:sz w:val="24"/>
              <w:szCs w:val="24"/>
              <w14:ligatures w14:val="standardContextual"/>
            </w:rPr>
          </w:pPr>
          <w:hyperlink w:anchor="_Toc196300837" w:history="1">
            <w:r w:rsidR="00B92112" w:rsidRPr="004C2BDB">
              <w:rPr>
                <w:rStyle w:val="Hyperlink"/>
              </w:rPr>
              <w:t>III Informacije v zvezi z vplivi podnebnih sprememb in prilagajanjem nanje v skladu s 7. členom Pariškega sporazuma</w:t>
            </w:r>
            <w:r w:rsidR="00B92112" w:rsidRPr="004C2BDB">
              <w:rPr>
                <w:webHidden/>
              </w:rPr>
              <w:tab/>
            </w:r>
            <w:r w:rsidR="00B92112" w:rsidRPr="004C2BDB">
              <w:rPr>
                <w:webHidden/>
              </w:rPr>
              <w:fldChar w:fldCharType="begin"/>
            </w:r>
            <w:r w:rsidR="00B92112" w:rsidRPr="004C2BDB">
              <w:rPr>
                <w:webHidden/>
              </w:rPr>
              <w:instrText xml:space="preserve"> PAGEREF _Toc196300837 \h </w:instrText>
            </w:r>
            <w:r w:rsidR="00B92112" w:rsidRPr="004C2BDB">
              <w:rPr>
                <w:webHidden/>
              </w:rPr>
            </w:r>
            <w:r w:rsidR="00B92112" w:rsidRPr="004C2BDB">
              <w:rPr>
                <w:webHidden/>
              </w:rPr>
              <w:fldChar w:fldCharType="separate"/>
            </w:r>
            <w:r>
              <w:rPr>
                <w:webHidden/>
              </w:rPr>
              <w:t>139</w:t>
            </w:r>
            <w:r w:rsidR="00B92112" w:rsidRPr="004C2BDB">
              <w:rPr>
                <w:webHidden/>
              </w:rPr>
              <w:fldChar w:fldCharType="end"/>
            </w:r>
          </w:hyperlink>
        </w:p>
        <w:p w14:paraId="0E246EDA" w14:textId="13FC8497"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38" w:history="1">
            <w:r w:rsidR="00B92112" w:rsidRPr="004C2BDB">
              <w:rPr>
                <w:rStyle w:val="Hyperlink"/>
                <w:rFonts w:ascii="Arial" w:hAnsi="Arial" w:cs="Arial"/>
                <w:noProof/>
              </w:rPr>
              <w:t>III.A Nacionalne okoliščine, institucionalne ureditve in pravni okviri</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139</w:t>
            </w:r>
            <w:r w:rsidR="00B92112" w:rsidRPr="004C2BDB">
              <w:rPr>
                <w:rFonts w:ascii="Arial" w:hAnsi="Arial" w:cs="Arial"/>
                <w:noProof/>
                <w:webHidden/>
              </w:rPr>
              <w:fldChar w:fldCharType="end"/>
            </w:r>
          </w:hyperlink>
        </w:p>
        <w:p w14:paraId="26BD5DAA" w14:textId="26C14A00"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39" w:history="1">
            <w:r w:rsidR="00B92112" w:rsidRPr="004C2BDB">
              <w:rPr>
                <w:rStyle w:val="Hyperlink"/>
                <w:rFonts w:ascii="Arial" w:hAnsi="Arial" w:cs="Arial"/>
                <w:noProof/>
              </w:rPr>
              <w:t>III.B Vplivi, tveganja in ranljivosti, kjer je primerno</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_Toc196300839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140</w:t>
            </w:r>
            <w:r w:rsidR="00B92112" w:rsidRPr="004C2BDB">
              <w:rPr>
                <w:rFonts w:ascii="Arial" w:hAnsi="Arial" w:cs="Arial"/>
                <w:noProof/>
                <w:webHidden/>
              </w:rPr>
              <w:fldChar w:fldCharType="end"/>
            </w:r>
          </w:hyperlink>
        </w:p>
        <w:p w14:paraId="49BF0CA3" w14:textId="6CBA2BAE"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0" w:history="1">
            <w:r w:rsidR="00B92112" w:rsidRPr="004C2BDB">
              <w:rPr>
                <w:rStyle w:val="Hyperlink"/>
                <w:rFonts w:ascii="Arial" w:hAnsi="Arial" w:cs="Arial"/>
                <w:noProof/>
              </w:rPr>
              <w:t>III.C. Prilagoditvene prioritete in ovire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150</w:t>
            </w:r>
            <w:r w:rsidR="00B92112" w:rsidRPr="004C2BDB">
              <w:rPr>
                <w:rFonts w:ascii="Arial" w:hAnsi="Arial" w:cs="Arial"/>
                <w:noProof/>
                <w:webHidden/>
              </w:rPr>
              <w:fldChar w:fldCharType="end"/>
            </w:r>
          </w:hyperlink>
        </w:p>
        <w:p w14:paraId="4154A6CD" w14:textId="78051396"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1" w:history="1">
            <w:r w:rsidR="00B92112" w:rsidRPr="004C2BDB">
              <w:rPr>
                <w:rStyle w:val="Hyperlink"/>
                <w:rFonts w:ascii="Arial" w:hAnsi="Arial" w:cs="Arial"/>
                <w:noProof/>
              </w:rPr>
              <w:t>III.D. Prilagoditvene strategije, politike, načrti, cilji in ukrepi za vključitev prilagajanja v nacionalne politike in strategije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151</w:t>
            </w:r>
            <w:r w:rsidR="00B92112" w:rsidRPr="004C2BDB">
              <w:rPr>
                <w:rFonts w:ascii="Arial" w:hAnsi="Arial" w:cs="Arial"/>
                <w:noProof/>
                <w:webHidden/>
              </w:rPr>
              <w:fldChar w:fldCharType="end"/>
            </w:r>
          </w:hyperlink>
        </w:p>
        <w:p w14:paraId="678FDB4A" w14:textId="00C0BB25"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2" w:history="1">
            <w:r w:rsidR="00B92112" w:rsidRPr="004C2BDB">
              <w:rPr>
                <w:rStyle w:val="Hyperlink"/>
                <w:rFonts w:ascii="Arial" w:hAnsi="Arial" w:cs="Arial"/>
                <w:noProof/>
              </w:rPr>
              <w:t>III.E. Napredek pri izvajanju prilagajanja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157</w:t>
            </w:r>
            <w:r w:rsidR="00B92112" w:rsidRPr="004C2BDB">
              <w:rPr>
                <w:rFonts w:ascii="Arial" w:hAnsi="Arial" w:cs="Arial"/>
                <w:noProof/>
                <w:webHidden/>
              </w:rPr>
              <w:fldChar w:fldCharType="end"/>
            </w:r>
          </w:hyperlink>
        </w:p>
        <w:p w14:paraId="14DC9767" w14:textId="28975027"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3" w:history="1">
            <w:r w:rsidR="00B92112" w:rsidRPr="004C2BDB">
              <w:rPr>
                <w:rStyle w:val="Hyperlink"/>
                <w:rFonts w:ascii="Arial" w:hAnsi="Arial" w:cs="Arial"/>
                <w:noProof/>
              </w:rPr>
              <w:t>III.F. Spremljanje in ocenjevanje ukrepov in procesov prilagajanja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_Toc196300843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159</w:t>
            </w:r>
            <w:r w:rsidR="00B92112" w:rsidRPr="004C2BDB">
              <w:rPr>
                <w:rFonts w:ascii="Arial" w:hAnsi="Arial" w:cs="Arial"/>
                <w:noProof/>
                <w:webHidden/>
              </w:rPr>
              <w:fldChar w:fldCharType="end"/>
            </w:r>
          </w:hyperlink>
        </w:p>
        <w:p w14:paraId="6DA90502" w14:textId="21D0BC80"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4" w:history="1">
            <w:r w:rsidR="00B92112" w:rsidRPr="004C2BDB">
              <w:rPr>
                <w:rStyle w:val="Hyperlink"/>
                <w:rFonts w:ascii="Arial" w:hAnsi="Arial" w:cs="Arial"/>
                <w:noProof/>
              </w:rPr>
              <w:t>III.G Informacije v zvezi s preprečevanjem, zmanjševanjem in obravnavanjem izgube in škode, povezane z vplivi podnebnih sprememb</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_Toc196300844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159</w:t>
            </w:r>
            <w:r w:rsidR="00B92112" w:rsidRPr="004C2BDB">
              <w:rPr>
                <w:rFonts w:ascii="Arial" w:hAnsi="Arial" w:cs="Arial"/>
                <w:noProof/>
                <w:webHidden/>
              </w:rPr>
              <w:fldChar w:fldCharType="end"/>
            </w:r>
          </w:hyperlink>
        </w:p>
        <w:p w14:paraId="08321F95" w14:textId="30C056C6"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5" w:history="1">
            <w:r w:rsidR="00B92112" w:rsidRPr="004C2BDB">
              <w:rPr>
                <w:rStyle w:val="Hyperlink"/>
                <w:rFonts w:ascii="Arial" w:hAnsi="Arial" w:cs="Arial"/>
                <w:noProof/>
              </w:rPr>
              <w:t>III.H. Sodelovanje, dobre prakse, izkušnje in pridobljene lekcije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_Toc196300845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160</w:t>
            </w:r>
            <w:r w:rsidR="00B92112" w:rsidRPr="004C2BDB">
              <w:rPr>
                <w:rFonts w:ascii="Arial" w:hAnsi="Arial" w:cs="Arial"/>
                <w:noProof/>
                <w:webHidden/>
              </w:rPr>
              <w:fldChar w:fldCharType="end"/>
            </w:r>
          </w:hyperlink>
        </w:p>
        <w:p w14:paraId="05F2425E" w14:textId="799E05D6"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6" w:history="1">
            <w:r w:rsidR="00B92112" w:rsidRPr="004C2BDB">
              <w:rPr>
                <w:rStyle w:val="Hyperlink"/>
                <w:rFonts w:ascii="Arial" w:hAnsi="Arial" w:cs="Arial"/>
                <w:noProof/>
              </w:rPr>
              <w:t>III.I. Kakršne koli druge informacije v zvezi z vplivi podnebnih sprememb in prilagajanjem v skladu s 7. členom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_Toc196300846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161</w:t>
            </w:r>
            <w:r w:rsidR="00B92112" w:rsidRPr="004C2BDB">
              <w:rPr>
                <w:rFonts w:ascii="Arial" w:hAnsi="Arial" w:cs="Arial"/>
                <w:noProof/>
                <w:webHidden/>
              </w:rPr>
              <w:fldChar w:fldCharType="end"/>
            </w:r>
          </w:hyperlink>
        </w:p>
        <w:p w14:paraId="39E8BC35" w14:textId="198C00CD" w:rsidR="00B92112" w:rsidRPr="004C2BDB" w:rsidRDefault="00032C2E">
          <w:pPr>
            <w:pStyle w:val="TOC1"/>
            <w:rPr>
              <w:b w:val="0"/>
              <w:bCs w:val="0"/>
              <w:kern w:val="2"/>
              <w:sz w:val="24"/>
              <w:szCs w:val="24"/>
              <w14:ligatures w14:val="standardContextual"/>
            </w:rPr>
          </w:pPr>
          <w:hyperlink w:anchor="_Toc196300847" w:history="1">
            <w:r w:rsidR="00B92112" w:rsidRPr="004C2BDB">
              <w:rPr>
                <w:rStyle w:val="Hyperlink"/>
              </w:rPr>
              <w:t>IV Informacije o finančni podpori, razvoju in prenosu tehnologij ter krepitvi zmogljivosti, zagotovljeni in mobilizirani v skladu z 9.–11. členom Pariškega sporazuma</w:t>
            </w:r>
            <w:r w:rsidR="00B92112" w:rsidRPr="004C2BDB">
              <w:rPr>
                <w:webHidden/>
              </w:rPr>
              <w:tab/>
            </w:r>
            <w:r w:rsidR="00B92112" w:rsidRPr="004C2BDB">
              <w:rPr>
                <w:webHidden/>
              </w:rPr>
              <w:fldChar w:fldCharType="begin"/>
            </w:r>
            <w:r w:rsidR="00B92112" w:rsidRPr="004C2BDB">
              <w:rPr>
                <w:webHidden/>
              </w:rPr>
              <w:instrText xml:space="preserve"> PAGEREF _Toc196300847 \h </w:instrText>
            </w:r>
            <w:r w:rsidR="00B92112" w:rsidRPr="004C2BDB">
              <w:rPr>
                <w:webHidden/>
              </w:rPr>
            </w:r>
            <w:r w:rsidR="00B92112" w:rsidRPr="004C2BDB">
              <w:rPr>
                <w:webHidden/>
              </w:rPr>
              <w:fldChar w:fldCharType="separate"/>
            </w:r>
            <w:r>
              <w:rPr>
                <w:webHidden/>
              </w:rPr>
              <w:t>162</w:t>
            </w:r>
            <w:r w:rsidR="00B92112" w:rsidRPr="004C2BDB">
              <w:rPr>
                <w:webHidden/>
              </w:rPr>
              <w:fldChar w:fldCharType="end"/>
            </w:r>
          </w:hyperlink>
        </w:p>
        <w:p w14:paraId="30890F9A" w14:textId="7DE4B9DE"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8" w:history="1">
            <w:r w:rsidR="00B92112" w:rsidRPr="004C2BDB">
              <w:rPr>
                <w:rStyle w:val="Hyperlink"/>
                <w:rFonts w:ascii="Arial" w:hAnsi="Arial" w:cs="Arial"/>
                <w:noProof/>
              </w:rPr>
              <w:t>IV.A. Nacionalne okoliščine in institucionalne ureditve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_Toc196300848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162</w:t>
            </w:r>
            <w:r w:rsidR="00B92112" w:rsidRPr="004C2BDB">
              <w:rPr>
                <w:rFonts w:ascii="Arial" w:hAnsi="Arial" w:cs="Arial"/>
                <w:noProof/>
                <w:webHidden/>
              </w:rPr>
              <w:fldChar w:fldCharType="end"/>
            </w:r>
          </w:hyperlink>
        </w:p>
        <w:p w14:paraId="15285253" w14:textId="25B4C86B"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49" w:history="1">
            <w:r w:rsidR="00B92112" w:rsidRPr="004C2BDB">
              <w:rPr>
                <w:rStyle w:val="Hyperlink"/>
                <w:rFonts w:ascii="Arial" w:hAnsi="Arial" w:cs="Arial"/>
                <w:noProof/>
              </w:rPr>
              <w:t>IV.B. Osnovne predpostavke, opredelitve in metodologije</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_Toc196300849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164</w:t>
            </w:r>
            <w:r w:rsidR="00B92112" w:rsidRPr="004C2BDB">
              <w:rPr>
                <w:rFonts w:ascii="Arial" w:hAnsi="Arial" w:cs="Arial"/>
                <w:noProof/>
                <w:webHidden/>
              </w:rPr>
              <w:fldChar w:fldCharType="end"/>
            </w:r>
          </w:hyperlink>
        </w:p>
        <w:p w14:paraId="46EB09A7" w14:textId="6368F2E7"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50" w:history="1">
            <w:r w:rsidR="00B92112" w:rsidRPr="004C2BDB">
              <w:rPr>
                <w:rStyle w:val="Hyperlink"/>
                <w:rFonts w:ascii="Arial" w:hAnsi="Arial" w:cs="Arial"/>
                <w:noProof/>
              </w:rPr>
              <w:t>IV.C. Informacije o zagotovljeni in mobilizirani finančni podpori v skladu s členom 9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_Toc196300850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168</w:t>
            </w:r>
            <w:r w:rsidR="00B92112" w:rsidRPr="004C2BDB">
              <w:rPr>
                <w:rFonts w:ascii="Arial" w:hAnsi="Arial" w:cs="Arial"/>
                <w:noProof/>
                <w:webHidden/>
              </w:rPr>
              <w:fldChar w:fldCharType="end"/>
            </w:r>
          </w:hyperlink>
        </w:p>
        <w:p w14:paraId="41DE1ACB" w14:textId="41EA58F1"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51" w:history="1">
            <w:r w:rsidR="00B92112" w:rsidRPr="004C2BDB">
              <w:rPr>
                <w:rStyle w:val="Hyperlink"/>
                <w:rFonts w:ascii="Arial" w:hAnsi="Arial" w:cs="Arial"/>
                <w:noProof/>
              </w:rPr>
              <w:t>IV.D Informacije o podpori za razvoj in prenos tehnologij, zagotovljeni v skladu z 10. členom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_Toc196300851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171</w:t>
            </w:r>
            <w:r w:rsidR="00B92112" w:rsidRPr="004C2BDB">
              <w:rPr>
                <w:rFonts w:ascii="Arial" w:hAnsi="Arial" w:cs="Arial"/>
                <w:noProof/>
                <w:webHidden/>
              </w:rPr>
              <w:fldChar w:fldCharType="end"/>
            </w:r>
          </w:hyperlink>
        </w:p>
        <w:p w14:paraId="00B6B065" w14:textId="2582BD42"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52" w:history="1">
            <w:r w:rsidR="00B92112" w:rsidRPr="004C2BDB">
              <w:rPr>
                <w:rStyle w:val="Hyperlink"/>
                <w:rFonts w:ascii="Arial" w:hAnsi="Arial" w:cs="Arial"/>
                <w:noProof/>
              </w:rPr>
              <w:t>IV.E. Informacije o podpori za krepitev zmogljivosti, zagotovljeni v skladu s 11. členom Pariškega sporazuma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_Toc196300852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175</w:t>
            </w:r>
            <w:r w:rsidR="00B92112" w:rsidRPr="004C2BDB">
              <w:rPr>
                <w:rFonts w:ascii="Arial" w:hAnsi="Arial" w:cs="Arial"/>
                <w:noProof/>
                <w:webHidden/>
              </w:rPr>
              <w:fldChar w:fldCharType="end"/>
            </w:r>
          </w:hyperlink>
        </w:p>
        <w:p w14:paraId="7B99D393" w14:textId="4002EFB1" w:rsidR="00B92112" w:rsidRPr="004C2BDB" w:rsidRDefault="00032C2E">
          <w:pPr>
            <w:pStyle w:val="TOC1"/>
            <w:rPr>
              <w:b w:val="0"/>
              <w:bCs w:val="0"/>
              <w:kern w:val="2"/>
              <w:sz w:val="24"/>
              <w:szCs w:val="24"/>
              <w14:ligatures w14:val="standardContextual"/>
            </w:rPr>
          </w:pPr>
          <w:hyperlink w:anchor="_Toc196300853" w:history="1">
            <w:r w:rsidR="00B92112" w:rsidRPr="004C2BDB">
              <w:rPr>
                <w:rStyle w:val="Hyperlink"/>
              </w:rPr>
              <w:t>V Informacije o potrebni in prejeti finančni podpori, podpori za razvoj in prenos tehnologij ter podpori za krepitev zmogljivosti v skladu z 9.–11. členom Pariškega sporazuma</w:t>
            </w:r>
            <w:r w:rsidR="00B92112" w:rsidRPr="004C2BDB">
              <w:rPr>
                <w:webHidden/>
              </w:rPr>
              <w:tab/>
            </w:r>
            <w:r w:rsidR="00B92112" w:rsidRPr="004C2BDB">
              <w:rPr>
                <w:webHidden/>
              </w:rPr>
              <w:fldChar w:fldCharType="begin"/>
            </w:r>
            <w:r w:rsidR="00B92112" w:rsidRPr="004C2BDB">
              <w:rPr>
                <w:webHidden/>
              </w:rPr>
              <w:instrText xml:space="preserve"> PAGEREF _Toc196300853 \h </w:instrText>
            </w:r>
            <w:r w:rsidR="00B92112" w:rsidRPr="004C2BDB">
              <w:rPr>
                <w:webHidden/>
              </w:rPr>
            </w:r>
            <w:r w:rsidR="00B92112" w:rsidRPr="004C2BDB">
              <w:rPr>
                <w:webHidden/>
              </w:rPr>
              <w:fldChar w:fldCharType="separate"/>
            </w:r>
            <w:r>
              <w:rPr>
                <w:webHidden/>
              </w:rPr>
              <w:t>181</w:t>
            </w:r>
            <w:r w:rsidR="00B92112" w:rsidRPr="004C2BDB">
              <w:rPr>
                <w:webHidden/>
              </w:rPr>
              <w:fldChar w:fldCharType="end"/>
            </w:r>
          </w:hyperlink>
        </w:p>
        <w:p w14:paraId="5756BA25" w14:textId="18C5573B" w:rsidR="00B92112" w:rsidRPr="004C2BDB" w:rsidRDefault="00032C2E">
          <w:pPr>
            <w:pStyle w:val="TOC1"/>
            <w:rPr>
              <w:b w:val="0"/>
              <w:bCs w:val="0"/>
              <w:kern w:val="2"/>
              <w:sz w:val="24"/>
              <w:szCs w:val="24"/>
              <w14:ligatures w14:val="standardContextual"/>
            </w:rPr>
          </w:pPr>
          <w:hyperlink w:anchor="_Toc196300854" w:history="1">
            <w:r w:rsidR="00B92112" w:rsidRPr="004C2BDB">
              <w:rPr>
                <w:rStyle w:val="Hyperlink"/>
              </w:rPr>
              <w:t>VI Informacije, o katerih je treba poročati ob skupni predložitvi nacionalnih sporočil in dvoletnih poročil o preglednosti vsaka štiri leta</w:t>
            </w:r>
            <w:r w:rsidR="00B92112" w:rsidRPr="004C2BDB">
              <w:rPr>
                <w:webHidden/>
              </w:rPr>
              <w:tab/>
            </w:r>
            <w:r w:rsidR="00B92112" w:rsidRPr="004C2BDB">
              <w:rPr>
                <w:webHidden/>
              </w:rPr>
              <w:fldChar w:fldCharType="begin"/>
            </w:r>
            <w:r w:rsidR="00B92112" w:rsidRPr="004C2BDB">
              <w:rPr>
                <w:webHidden/>
              </w:rPr>
              <w:instrText xml:space="preserve"> PAGEREF _Toc196300854 \h </w:instrText>
            </w:r>
            <w:r w:rsidR="00B92112" w:rsidRPr="004C2BDB">
              <w:rPr>
                <w:webHidden/>
              </w:rPr>
            </w:r>
            <w:r w:rsidR="00B92112" w:rsidRPr="004C2BDB">
              <w:rPr>
                <w:webHidden/>
              </w:rPr>
              <w:fldChar w:fldCharType="separate"/>
            </w:r>
            <w:r>
              <w:rPr>
                <w:webHidden/>
              </w:rPr>
              <w:t>182</w:t>
            </w:r>
            <w:r w:rsidR="00B92112" w:rsidRPr="004C2BDB">
              <w:rPr>
                <w:webHidden/>
              </w:rPr>
              <w:fldChar w:fldCharType="end"/>
            </w:r>
          </w:hyperlink>
        </w:p>
        <w:p w14:paraId="352FF9AE" w14:textId="5C469BF8" w:rsidR="00B92112" w:rsidRPr="004C2BDB" w:rsidRDefault="00032C2E">
          <w:pPr>
            <w:pStyle w:val="TOC1"/>
            <w:rPr>
              <w:b w:val="0"/>
              <w:bCs w:val="0"/>
              <w:kern w:val="2"/>
              <w:sz w:val="24"/>
              <w:szCs w:val="24"/>
              <w14:ligatures w14:val="standardContextual"/>
            </w:rPr>
          </w:pPr>
          <w:hyperlink w:anchor="_Toc196300855" w:history="1">
            <w:r w:rsidR="00B92112" w:rsidRPr="004C2BDB">
              <w:rPr>
                <w:rStyle w:val="Hyperlink"/>
              </w:rPr>
              <w:t>VII    Informacije o prilagodljivosti</w:t>
            </w:r>
            <w:r w:rsidR="00B92112" w:rsidRPr="004C2BDB">
              <w:rPr>
                <w:webHidden/>
              </w:rPr>
              <w:tab/>
            </w:r>
            <w:r w:rsidR="00B92112" w:rsidRPr="004C2BDB">
              <w:rPr>
                <w:webHidden/>
              </w:rPr>
              <w:fldChar w:fldCharType="begin"/>
            </w:r>
            <w:r w:rsidR="00B92112" w:rsidRPr="004C2BDB">
              <w:rPr>
                <w:webHidden/>
              </w:rPr>
              <w:instrText xml:space="preserve"> PAGEREF _Toc196300855 \h </w:instrText>
            </w:r>
            <w:r w:rsidR="00B92112" w:rsidRPr="004C2BDB">
              <w:rPr>
                <w:webHidden/>
              </w:rPr>
            </w:r>
            <w:r w:rsidR="00B92112" w:rsidRPr="004C2BDB">
              <w:rPr>
                <w:webHidden/>
              </w:rPr>
              <w:fldChar w:fldCharType="separate"/>
            </w:r>
            <w:r>
              <w:rPr>
                <w:webHidden/>
              </w:rPr>
              <w:t>183</w:t>
            </w:r>
            <w:r w:rsidR="00B92112" w:rsidRPr="004C2BDB">
              <w:rPr>
                <w:webHidden/>
              </w:rPr>
              <w:fldChar w:fldCharType="end"/>
            </w:r>
          </w:hyperlink>
        </w:p>
        <w:p w14:paraId="0C8A52B1" w14:textId="429F6D94" w:rsidR="00B92112" w:rsidRPr="004C2BDB" w:rsidRDefault="00032C2E">
          <w:pPr>
            <w:pStyle w:val="TOC1"/>
            <w:rPr>
              <w:b w:val="0"/>
              <w:bCs w:val="0"/>
              <w:kern w:val="2"/>
              <w:sz w:val="24"/>
              <w:szCs w:val="24"/>
              <w14:ligatures w14:val="standardContextual"/>
            </w:rPr>
          </w:pPr>
          <w:hyperlink w:anchor="_Toc196300856" w:history="1">
            <w:r w:rsidR="00B92112" w:rsidRPr="004C2BDB">
              <w:rPr>
                <w:rStyle w:val="Hyperlink"/>
              </w:rPr>
              <w:t>VIII Izboljšave pri poročanju skozi čas</w:t>
            </w:r>
            <w:r w:rsidR="00B92112" w:rsidRPr="004C2BDB">
              <w:rPr>
                <w:webHidden/>
              </w:rPr>
              <w:tab/>
            </w:r>
            <w:r w:rsidR="00B92112" w:rsidRPr="004C2BDB">
              <w:rPr>
                <w:webHidden/>
              </w:rPr>
              <w:fldChar w:fldCharType="begin"/>
            </w:r>
            <w:r w:rsidR="00B92112" w:rsidRPr="004C2BDB">
              <w:rPr>
                <w:webHidden/>
              </w:rPr>
              <w:instrText xml:space="preserve"> PAGEREF _Toc196300856 \h </w:instrText>
            </w:r>
            <w:r w:rsidR="00B92112" w:rsidRPr="004C2BDB">
              <w:rPr>
                <w:webHidden/>
              </w:rPr>
            </w:r>
            <w:r w:rsidR="00B92112" w:rsidRPr="004C2BDB">
              <w:rPr>
                <w:webHidden/>
              </w:rPr>
              <w:fldChar w:fldCharType="separate"/>
            </w:r>
            <w:r>
              <w:rPr>
                <w:webHidden/>
              </w:rPr>
              <w:t>184</w:t>
            </w:r>
            <w:r w:rsidR="00B92112" w:rsidRPr="004C2BDB">
              <w:rPr>
                <w:webHidden/>
              </w:rPr>
              <w:fldChar w:fldCharType="end"/>
            </w:r>
          </w:hyperlink>
        </w:p>
        <w:p w14:paraId="319318E8" w14:textId="2818CAE6" w:rsidR="00B92112" w:rsidRPr="004C2BDB" w:rsidRDefault="00032C2E">
          <w:pPr>
            <w:pStyle w:val="TOC1"/>
            <w:rPr>
              <w:b w:val="0"/>
              <w:bCs w:val="0"/>
              <w:kern w:val="2"/>
              <w:sz w:val="24"/>
              <w:szCs w:val="24"/>
              <w14:ligatures w14:val="standardContextual"/>
            </w:rPr>
          </w:pPr>
          <w:hyperlink w:anchor="_Toc196300857" w:history="1">
            <w:r w:rsidR="00B92112" w:rsidRPr="004C2BDB">
              <w:rPr>
                <w:rStyle w:val="Hyperlink"/>
              </w:rPr>
              <w:t>IX Druge informacije, ki jih pogodbenica šteje za pomembne za dosego cilja Pariškega sporazuma in primerne za vključitev v dvoletno poročilo o preglednosti</w:t>
            </w:r>
            <w:r w:rsidR="00B92112" w:rsidRPr="004C2BDB">
              <w:rPr>
                <w:webHidden/>
              </w:rPr>
              <w:tab/>
            </w:r>
            <w:r w:rsidR="00B92112" w:rsidRPr="004C2BDB">
              <w:rPr>
                <w:webHidden/>
              </w:rPr>
              <w:fldChar w:fldCharType="begin"/>
            </w:r>
            <w:r w:rsidR="00B92112" w:rsidRPr="004C2BDB">
              <w:rPr>
                <w:webHidden/>
              </w:rPr>
              <w:instrText xml:space="preserve"> PAGEREF _Toc196300857 \h </w:instrText>
            </w:r>
            <w:r w:rsidR="00B92112" w:rsidRPr="004C2BDB">
              <w:rPr>
                <w:webHidden/>
              </w:rPr>
            </w:r>
            <w:r w:rsidR="00B92112" w:rsidRPr="004C2BDB">
              <w:rPr>
                <w:webHidden/>
              </w:rPr>
              <w:fldChar w:fldCharType="separate"/>
            </w:r>
            <w:r>
              <w:rPr>
                <w:webHidden/>
              </w:rPr>
              <w:t>185</w:t>
            </w:r>
            <w:r w:rsidR="00B92112" w:rsidRPr="004C2BDB">
              <w:rPr>
                <w:webHidden/>
              </w:rPr>
              <w:fldChar w:fldCharType="end"/>
            </w:r>
          </w:hyperlink>
        </w:p>
        <w:p w14:paraId="732F567E" w14:textId="015AB40B" w:rsidR="00B92112" w:rsidRPr="004C2BDB" w:rsidRDefault="00032C2E">
          <w:pPr>
            <w:pStyle w:val="TOC1"/>
            <w:rPr>
              <w:b w:val="0"/>
              <w:bCs w:val="0"/>
              <w:kern w:val="2"/>
              <w:sz w:val="24"/>
              <w:szCs w:val="24"/>
              <w14:ligatures w14:val="standardContextual"/>
            </w:rPr>
          </w:pPr>
          <w:hyperlink w:anchor="_Toc196300858" w:history="1">
            <w:r w:rsidR="00B92112" w:rsidRPr="004C2BDB">
              <w:rPr>
                <w:rStyle w:val="Hyperlink"/>
              </w:rPr>
              <w:t>Priloge</w:t>
            </w:r>
            <w:r w:rsidR="00B92112" w:rsidRPr="004C2BDB">
              <w:rPr>
                <w:webHidden/>
              </w:rPr>
              <w:tab/>
            </w:r>
            <w:r w:rsidR="00B92112" w:rsidRPr="004C2BDB">
              <w:rPr>
                <w:webHidden/>
              </w:rPr>
              <w:fldChar w:fldCharType="begin"/>
            </w:r>
            <w:r w:rsidR="00B92112" w:rsidRPr="004C2BDB">
              <w:rPr>
                <w:webHidden/>
              </w:rPr>
              <w:instrText xml:space="preserve"> PAGEREF _Toc196300858 \h </w:instrText>
            </w:r>
            <w:r w:rsidR="00B92112" w:rsidRPr="004C2BDB">
              <w:rPr>
                <w:webHidden/>
              </w:rPr>
            </w:r>
            <w:r w:rsidR="00B92112" w:rsidRPr="004C2BDB">
              <w:rPr>
                <w:webHidden/>
              </w:rPr>
              <w:fldChar w:fldCharType="separate"/>
            </w:r>
            <w:r>
              <w:rPr>
                <w:webHidden/>
              </w:rPr>
              <w:t>186</w:t>
            </w:r>
            <w:r w:rsidR="00B92112" w:rsidRPr="004C2BDB">
              <w:rPr>
                <w:webHidden/>
              </w:rPr>
              <w:fldChar w:fldCharType="end"/>
            </w:r>
          </w:hyperlink>
        </w:p>
        <w:p w14:paraId="7A161449" w14:textId="70E98011"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59" w:history="1">
            <w:r w:rsidR="00B92112" w:rsidRPr="004C2BDB">
              <w:rPr>
                <w:rStyle w:val="Hyperlink"/>
                <w:rFonts w:ascii="Arial" w:hAnsi="Arial" w:cs="Arial"/>
                <w:noProof/>
              </w:rPr>
              <w:t>Priloga 1: Skupne preglednične oblike informacij, potrebnih za spremljanje napredka</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_Toc196300859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187</w:t>
            </w:r>
            <w:r w:rsidR="00B92112" w:rsidRPr="004C2BDB">
              <w:rPr>
                <w:rFonts w:ascii="Arial" w:hAnsi="Arial" w:cs="Arial"/>
                <w:noProof/>
                <w:webHidden/>
              </w:rPr>
              <w:fldChar w:fldCharType="end"/>
            </w:r>
          </w:hyperlink>
        </w:p>
        <w:p w14:paraId="3C151FBE" w14:textId="552DC3AE" w:rsidR="00B92112" w:rsidRPr="004C2BDB" w:rsidRDefault="00032C2E">
          <w:pPr>
            <w:pStyle w:val="TOC2"/>
            <w:tabs>
              <w:tab w:val="right" w:leader="dot" w:pos="9063"/>
            </w:tabs>
            <w:rPr>
              <w:rFonts w:ascii="Arial" w:hAnsi="Arial" w:cs="Arial"/>
              <w:noProof/>
              <w:kern w:val="2"/>
              <w:sz w:val="24"/>
              <w:szCs w:val="24"/>
              <w14:ligatures w14:val="standardContextual"/>
            </w:rPr>
          </w:pPr>
          <w:hyperlink w:anchor="_Toc196300860" w:history="1">
            <w:r w:rsidR="00B92112" w:rsidRPr="004C2BDB">
              <w:rPr>
                <w:rStyle w:val="Hyperlink"/>
                <w:rFonts w:ascii="Arial" w:hAnsi="Arial" w:cs="Arial"/>
                <w:noProof/>
              </w:rPr>
              <w:t>Priloga 2: Metodologija, uporabljena za identifikacijo emisij toplogrednih plinov iz mednarodnega letalstva in pomorstva v okviru nacionalno določenega prispevka EU (NDC)</w:t>
            </w:r>
            <w:r w:rsidR="00B92112" w:rsidRPr="004C2BDB">
              <w:rPr>
                <w:rFonts w:ascii="Arial" w:hAnsi="Arial" w:cs="Arial"/>
                <w:noProof/>
                <w:webHidden/>
              </w:rPr>
              <w:tab/>
            </w:r>
            <w:r w:rsidR="00B92112" w:rsidRPr="004C2BDB">
              <w:rPr>
                <w:rFonts w:ascii="Arial" w:hAnsi="Arial" w:cs="Arial"/>
                <w:noProof/>
                <w:webHidden/>
              </w:rPr>
              <w:fldChar w:fldCharType="begin"/>
            </w:r>
            <w:r w:rsidR="00B92112" w:rsidRPr="004C2BDB">
              <w:rPr>
                <w:rFonts w:ascii="Arial" w:hAnsi="Arial" w:cs="Arial"/>
                <w:noProof/>
                <w:webHidden/>
              </w:rPr>
              <w:instrText xml:space="preserve"> PAGEREF _Toc196300860 \h </w:instrText>
            </w:r>
            <w:r w:rsidR="00B92112" w:rsidRPr="004C2BDB">
              <w:rPr>
                <w:rFonts w:ascii="Arial" w:hAnsi="Arial" w:cs="Arial"/>
                <w:noProof/>
                <w:webHidden/>
              </w:rPr>
            </w:r>
            <w:r w:rsidR="00B92112" w:rsidRPr="004C2BDB">
              <w:rPr>
                <w:rFonts w:ascii="Arial" w:hAnsi="Arial" w:cs="Arial"/>
                <w:noProof/>
                <w:webHidden/>
              </w:rPr>
              <w:fldChar w:fldCharType="separate"/>
            </w:r>
            <w:r>
              <w:rPr>
                <w:rFonts w:ascii="Arial" w:hAnsi="Arial" w:cs="Arial"/>
                <w:noProof/>
                <w:webHidden/>
              </w:rPr>
              <w:t>199</w:t>
            </w:r>
            <w:r w:rsidR="00B92112" w:rsidRPr="004C2BDB">
              <w:rPr>
                <w:rFonts w:ascii="Arial" w:hAnsi="Arial" w:cs="Arial"/>
                <w:noProof/>
                <w:webHidden/>
              </w:rPr>
              <w:fldChar w:fldCharType="end"/>
            </w:r>
          </w:hyperlink>
        </w:p>
        <w:p w14:paraId="548094E3" w14:textId="56A438C1" w:rsidR="007F1EB9" w:rsidRPr="004C2BDB" w:rsidRDefault="007F1EB9">
          <w:pPr>
            <w:rPr>
              <w:rFonts w:ascii="Arial" w:hAnsi="Arial" w:cs="Arial"/>
            </w:rPr>
          </w:pPr>
          <w:r w:rsidRPr="004C2BDB">
            <w:rPr>
              <w:rFonts w:ascii="Arial" w:hAnsi="Arial" w:cs="Arial"/>
              <w:b/>
              <w:bCs/>
            </w:rPr>
            <w:fldChar w:fldCharType="end"/>
          </w:r>
        </w:p>
      </w:sdtContent>
    </w:sdt>
    <w:p w14:paraId="33DE06E0" w14:textId="186E968C" w:rsidR="00A265FE" w:rsidRPr="00B92112" w:rsidRDefault="00A265FE">
      <w:r w:rsidRPr="00B92112">
        <w:br w:type="page"/>
      </w:r>
    </w:p>
    <w:p w14:paraId="5BA0E958" w14:textId="08F576DB" w:rsidR="006F6EC3" w:rsidRPr="003D75D9" w:rsidRDefault="006F6EC3" w:rsidP="002D2843">
      <w:pPr>
        <w:rPr>
          <w:rFonts w:ascii="Arial" w:hAnsi="Arial" w:cs="Arial"/>
          <w:b/>
          <w:bCs/>
          <w:sz w:val="32"/>
          <w:szCs w:val="32"/>
        </w:rPr>
      </w:pPr>
      <w:r w:rsidRPr="003D75D9">
        <w:rPr>
          <w:rFonts w:ascii="Arial" w:hAnsi="Arial" w:cs="Arial"/>
          <w:b/>
          <w:bCs/>
          <w:sz w:val="32"/>
          <w:szCs w:val="32"/>
        </w:rPr>
        <w:lastRenderedPageBreak/>
        <w:t>Seznam kratic</w:t>
      </w:r>
    </w:p>
    <w:tbl>
      <w:tblPr>
        <w:tblW w:w="8895" w:type="dxa"/>
        <w:tblCellMar>
          <w:left w:w="70" w:type="dxa"/>
          <w:right w:w="70" w:type="dxa"/>
        </w:tblCellMar>
        <w:tblLook w:val="04A0" w:firstRow="1" w:lastRow="0" w:firstColumn="1" w:lastColumn="0" w:noHBand="0" w:noVBand="1"/>
      </w:tblPr>
      <w:tblGrid>
        <w:gridCol w:w="1351"/>
        <w:gridCol w:w="960"/>
        <w:gridCol w:w="6584"/>
      </w:tblGrid>
      <w:tr w:rsidR="006F6EC3" w:rsidRPr="00A463F9" w14:paraId="26FB9CDF" w14:textId="77777777" w:rsidTr="00241178">
        <w:trPr>
          <w:trHeight w:val="300"/>
        </w:trPr>
        <w:tc>
          <w:tcPr>
            <w:tcW w:w="1351" w:type="dxa"/>
            <w:shd w:val="clear" w:color="auto" w:fill="auto"/>
            <w:noWrap/>
            <w:vAlign w:val="center"/>
          </w:tcPr>
          <w:p w14:paraId="4724BA59" w14:textId="77777777" w:rsidR="006F6EC3" w:rsidRPr="00A463F9" w:rsidRDefault="006F6EC3" w:rsidP="002D2843">
            <w:pPr>
              <w:spacing w:after="0" w:line="240" w:lineRule="auto"/>
              <w:contextualSpacing/>
              <w:jc w:val="both"/>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AGEN-RS</w:t>
            </w:r>
          </w:p>
        </w:tc>
        <w:tc>
          <w:tcPr>
            <w:tcW w:w="960" w:type="dxa"/>
            <w:shd w:val="clear" w:color="auto" w:fill="auto"/>
            <w:noWrap/>
            <w:vAlign w:val="bottom"/>
          </w:tcPr>
          <w:p w14:paraId="670DB8F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147D539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Agencija RS za energijo</w:t>
            </w:r>
          </w:p>
        </w:tc>
      </w:tr>
      <w:tr w:rsidR="006F6EC3" w:rsidRPr="00A463F9" w14:paraId="37D26B8C" w14:textId="77777777" w:rsidTr="00241178">
        <w:trPr>
          <w:trHeight w:val="300"/>
        </w:trPr>
        <w:tc>
          <w:tcPr>
            <w:tcW w:w="1351" w:type="dxa"/>
            <w:shd w:val="clear" w:color="auto" w:fill="auto"/>
            <w:noWrap/>
            <w:vAlign w:val="center"/>
            <w:hideMark/>
          </w:tcPr>
          <w:p w14:paraId="1DBDDD8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ARSO</w:t>
            </w:r>
          </w:p>
        </w:tc>
        <w:tc>
          <w:tcPr>
            <w:tcW w:w="960" w:type="dxa"/>
            <w:shd w:val="clear" w:color="auto" w:fill="auto"/>
            <w:noWrap/>
            <w:vAlign w:val="bottom"/>
            <w:hideMark/>
          </w:tcPr>
          <w:p w14:paraId="17E80E3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C76E23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Agencija Republike Slovenije za okolje</w:t>
            </w:r>
          </w:p>
        </w:tc>
      </w:tr>
      <w:tr w:rsidR="006F6EC3" w:rsidRPr="00A463F9" w14:paraId="190BEF35" w14:textId="77777777" w:rsidTr="00241178">
        <w:trPr>
          <w:trHeight w:val="300"/>
        </w:trPr>
        <w:tc>
          <w:tcPr>
            <w:tcW w:w="1351" w:type="dxa"/>
            <w:shd w:val="clear" w:color="auto" w:fill="auto"/>
            <w:noWrap/>
            <w:vAlign w:val="center"/>
            <w:hideMark/>
          </w:tcPr>
          <w:p w14:paraId="1E74997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BAT</w:t>
            </w:r>
          </w:p>
        </w:tc>
        <w:tc>
          <w:tcPr>
            <w:tcW w:w="960" w:type="dxa"/>
            <w:shd w:val="clear" w:color="auto" w:fill="auto"/>
            <w:noWrap/>
            <w:vAlign w:val="bottom"/>
            <w:hideMark/>
          </w:tcPr>
          <w:p w14:paraId="7A3098F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56905B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Najboljše razpoložljive tehnike</w:t>
            </w:r>
          </w:p>
        </w:tc>
      </w:tr>
      <w:tr w:rsidR="006F6EC3" w:rsidRPr="00A463F9" w14:paraId="48AC743E" w14:textId="77777777" w:rsidTr="00241178">
        <w:trPr>
          <w:trHeight w:val="300"/>
        </w:trPr>
        <w:tc>
          <w:tcPr>
            <w:tcW w:w="1351" w:type="dxa"/>
            <w:shd w:val="clear" w:color="auto" w:fill="auto"/>
            <w:noWrap/>
            <w:vAlign w:val="center"/>
            <w:hideMark/>
          </w:tcPr>
          <w:p w14:paraId="79E4758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BDP</w:t>
            </w:r>
          </w:p>
        </w:tc>
        <w:tc>
          <w:tcPr>
            <w:tcW w:w="960" w:type="dxa"/>
            <w:shd w:val="clear" w:color="auto" w:fill="auto"/>
            <w:noWrap/>
            <w:vAlign w:val="bottom"/>
            <w:hideMark/>
          </w:tcPr>
          <w:p w14:paraId="4C7EB65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4269EF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Bruto domači proizvod</w:t>
            </w:r>
          </w:p>
        </w:tc>
      </w:tr>
      <w:tr w:rsidR="006F6EC3" w:rsidRPr="00A463F9" w14:paraId="72C060E1" w14:textId="77777777" w:rsidTr="00241178">
        <w:trPr>
          <w:trHeight w:val="300"/>
        </w:trPr>
        <w:tc>
          <w:tcPr>
            <w:tcW w:w="1351" w:type="dxa"/>
            <w:shd w:val="clear" w:color="auto" w:fill="auto"/>
            <w:noWrap/>
            <w:vAlign w:val="center"/>
            <w:hideMark/>
          </w:tcPr>
          <w:p w14:paraId="1AF44F8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BEV</w:t>
            </w:r>
          </w:p>
        </w:tc>
        <w:tc>
          <w:tcPr>
            <w:tcW w:w="960" w:type="dxa"/>
            <w:shd w:val="clear" w:color="auto" w:fill="auto"/>
            <w:noWrap/>
            <w:vAlign w:val="bottom"/>
            <w:hideMark/>
          </w:tcPr>
          <w:p w14:paraId="299CDD0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1D8BC6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Baterijska električna vozila</w:t>
            </w:r>
          </w:p>
        </w:tc>
      </w:tr>
      <w:tr w:rsidR="006F6EC3" w:rsidRPr="00A463F9" w14:paraId="6A20A516" w14:textId="77777777" w:rsidTr="00241178">
        <w:trPr>
          <w:trHeight w:val="300"/>
        </w:trPr>
        <w:tc>
          <w:tcPr>
            <w:tcW w:w="1351" w:type="dxa"/>
            <w:shd w:val="clear" w:color="auto" w:fill="auto"/>
            <w:noWrap/>
            <w:vAlign w:val="center"/>
            <w:hideMark/>
          </w:tcPr>
          <w:p w14:paraId="5951910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Borzen</w:t>
            </w:r>
          </w:p>
        </w:tc>
        <w:tc>
          <w:tcPr>
            <w:tcW w:w="960" w:type="dxa"/>
            <w:shd w:val="clear" w:color="auto" w:fill="auto"/>
            <w:noWrap/>
            <w:vAlign w:val="bottom"/>
            <w:hideMark/>
          </w:tcPr>
          <w:p w14:paraId="29366D2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805307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Operater trga z elektriko in Center za podpore OVE/SPTE</w:t>
            </w:r>
          </w:p>
        </w:tc>
      </w:tr>
      <w:tr w:rsidR="006F6EC3" w:rsidRPr="00A463F9" w14:paraId="0D455923" w14:textId="77777777" w:rsidTr="00241178">
        <w:trPr>
          <w:trHeight w:val="300"/>
        </w:trPr>
        <w:tc>
          <w:tcPr>
            <w:tcW w:w="1351" w:type="dxa"/>
            <w:shd w:val="clear" w:color="auto" w:fill="auto"/>
            <w:noWrap/>
            <w:vAlign w:val="center"/>
          </w:tcPr>
          <w:p w14:paraId="016A19C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BR5/NC8</w:t>
            </w:r>
          </w:p>
        </w:tc>
        <w:tc>
          <w:tcPr>
            <w:tcW w:w="960" w:type="dxa"/>
            <w:shd w:val="clear" w:color="auto" w:fill="auto"/>
            <w:noWrap/>
            <w:vAlign w:val="bottom"/>
          </w:tcPr>
          <w:p w14:paraId="5E6AD60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43A0DCD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5. Dveletno poročilo in 8. Nacionalno poročilo UNFCCC</w:t>
            </w:r>
          </w:p>
        </w:tc>
      </w:tr>
      <w:tr w:rsidR="006F6EC3" w:rsidRPr="00A463F9" w14:paraId="21B3D757" w14:textId="77777777" w:rsidTr="00241178">
        <w:trPr>
          <w:trHeight w:val="300"/>
        </w:trPr>
        <w:tc>
          <w:tcPr>
            <w:tcW w:w="1351" w:type="dxa"/>
            <w:shd w:val="clear" w:color="auto" w:fill="auto"/>
            <w:noWrap/>
            <w:vAlign w:val="center"/>
            <w:hideMark/>
          </w:tcPr>
          <w:p w14:paraId="3879413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BRT</w:t>
            </w:r>
          </w:p>
        </w:tc>
        <w:tc>
          <w:tcPr>
            <w:tcW w:w="960" w:type="dxa"/>
            <w:shd w:val="clear" w:color="auto" w:fill="auto"/>
            <w:noWrap/>
            <w:vAlign w:val="bottom"/>
            <w:hideMark/>
          </w:tcPr>
          <w:p w14:paraId="1EC6FED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32A881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glej tudi ETS2</w:t>
            </w:r>
          </w:p>
        </w:tc>
      </w:tr>
      <w:tr w:rsidR="006F6EC3" w:rsidRPr="00A463F9" w14:paraId="65751993" w14:textId="77777777" w:rsidTr="00241178">
        <w:trPr>
          <w:trHeight w:val="300"/>
        </w:trPr>
        <w:tc>
          <w:tcPr>
            <w:tcW w:w="1351" w:type="dxa"/>
            <w:shd w:val="clear" w:color="auto" w:fill="auto"/>
            <w:noWrap/>
            <w:vAlign w:val="center"/>
            <w:hideMark/>
          </w:tcPr>
          <w:p w14:paraId="0B58D73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CAP</w:t>
            </w:r>
          </w:p>
        </w:tc>
        <w:tc>
          <w:tcPr>
            <w:tcW w:w="960" w:type="dxa"/>
            <w:shd w:val="clear" w:color="auto" w:fill="auto"/>
            <w:noWrap/>
            <w:vAlign w:val="bottom"/>
            <w:hideMark/>
          </w:tcPr>
          <w:p w14:paraId="6A43F0D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B7BBFA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Skupna kmetijska politika</w:t>
            </w:r>
          </w:p>
        </w:tc>
      </w:tr>
      <w:tr w:rsidR="006F6EC3" w:rsidRPr="00A463F9" w14:paraId="15AC4721" w14:textId="77777777" w:rsidTr="00241178">
        <w:trPr>
          <w:trHeight w:val="300"/>
        </w:trPr>
        <w:tc>
          <w:tcPr>
            <w:tcW w:w="1351" w:type="dxa"/>
            <w:shd w:val="clear" w:color="auto" w:fill="auto"/>
            <w:noWrap/>
            <w:vAlign w:val="center"/>
            <w:hideMark/>
          </w:tcPr>
          <w:p w14:paraId="5863126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CCU</w:t>
            </w:r>
          </w:p>
        </w:tc>
        <w:tc>
          <w:tcPr>
            <w:tcW w:w="960" w:type="dxa"/>
            <w:shd w:val="clear" w:color="auto" w:fill="auto"/>
            <w:noWrap/>
            <w:vAlign w:val="bottom"/>
            <w:hideMark/>
          </w:tcPr>
          <w:p w14:paraId="6BC6499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101307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Zajem in uporaba ogljika</w:t>
            </w:r>
          </w:p>
        </w:tc>
      </w:tr>
      <w:tr w:rsidR="006F6EC3" w:rsidRPr="00A463F9" w14:paraId="76B254F2" w14:textId="77777777" w:rsidTr="00241178">
        <w:trPr>
          <w:trHeight w:val="360"/>
        </w:trPr>
        <w:tc>
          <w:tcPr>
            <w:tcW w:w="1351" w:type="dxa"/>
            <w:shd w:val="clear" w:color="auto" w:fill="auto"/>
            <w:noWrap/>
            <w:vAlign w:val="center"/>
            <w:hideMark/>
          </w:tcPr>
          <w:p w14:paraId="0D317BE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CH</w:t>
            </w:r>
            <w:r w:rsidRPr="00A463F9">
              <w:rPr>
                <w:rFonts w:ascii="Arial" w:eastAsia="Times New Roman" w:hAnsi="Arial" w:cs="Arial"/>
                <w:color w:val="000000"/>
                <w:sz w:val="20"/>
                <w:szCs w:val="20"/>
                <w:vertAlign w:val="subscript"/>
                <w:lang w:eastAsia="sl-SI"/>
              </w:rPr>
              <w:t>4</w:t>
            </w:r>
          </w:p>
        </w:tc>
        <w:tc>
          <w:tcPr>
            <w:tcW w:w="960" w:type="dxa"/>
            <w:shd w:val="clear" w:color="auto" w:fill="auto"/>
            <w:noWrap/>
            <w:vAlign w:val="bottom"/>
            <w:hideMark/>
          </w:tcPr>
          <w:p w14:paraId="3E6C231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58BFE9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Metan</w:t>
            </w:r>
          </w:p>
        </w:tc>
      </w:tr>
      <w:tr w:rsidR="006F6EC3" w:rsidRPr="00A463F9" w14:paraId="57917967" w14:textId="77777777" w:rsidTr="00241178">
        <w:trPr>
          <w:trHeight w:val="360"/>
        </w:trPr>
        <w:tc>
          <w:tcPr>
            <w:tcW w:w="1351" w:type="dxa"/>
            <w:shd w:val="clear" w:color="auto" w:fill="auto"/>
            <w:noWrap/>
            <w:vAlign w:val="center"/>
            <w:hideMark/>
          </w:tcPr>
          <w:p w14:paraId="3271B84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CO</w:t>
            </w:r>
            <w:r w:rsidRPr="00A463F9">
              <w:rPr>
                <w:rFonts w:ascii="Arial" w:eastAsia="Times New Roman" w:hAnsi="Arial" w:cs="Arial"/>
                <w:color w:val="000000"/>
                <w:sz w:val="20"/>
                <w:szCs w:val="20"/>
                <w:vertAlign w:val="subscript"/>
                <w:lang w:eastAsia="sl-SI"/>
              </w:rPr>
              <w:t>2</w:t>
            </w:r>
          </w:p>
        </w:tc>
        <w:tc>
          <w:tcPr>
            <w:tcW w:w="960" w:type="dxa"/>
            <w:shd w:val="clear" w:color="auto" w:fill="auto"/>
            <w:noWrap/>
            <w:vAlign w:val="bottom"/>
            <w:hideMark/>
          </w:tcPr>
          <w:p w14:paraId="4FB873D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2418B7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Ogljikov dioksid</w:t>
            </w:r>
          </w:p>
        </w:tc>
      </w:tr>
      <w:tr w:rsidR="006F6EC3" w:rsidRPr="00A463F9" w14:paraId="1C67BA4D" w14:textId="77777777" w:rsidTr="00241178">
        <w:trPr>
          <w:trHeight w:val="300"/>
        </w:trPr>
        <w:tc>
          <w:tcPr>
            <w:tcW w:w="1351" w:type="dxa"/>
            <w:shd w:val="clear" w:color="auto" w:fill="auto"/>
            <w:noWrap/>
            <w:vAlign w:val="center"/>
            <w:hideMark/>
          </w:tcPr>
          <w:p w14:paraId="02EB3E6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CORSIA</w:t>
            </w:r>
          </w:p>
        </w:tc>
        <w:tc>
          <w:tcPr>
            <w:tcW w:w="960" w:type="dxa"/>
            <w:shd w:val="clear" w:color="auto" w:fill="auto"/>
            <w:noWrap/>
            <w:vAlign w:val="bottom"/>
            <w:hideMark/>
          </w:tcPr>
          <w:p w14:paraId="15C5FB6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749FC7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Sistem izravnave in zmanjšanja emisij ogljika za mednarodno letalstvo</w:t>
            </w:r>
          </w:p>
        </w:tc>
      </w:tr>
      <w:tr w:rsidR="006F6EC3" w:rsidRPr="00A463F9" w14:paraId="6B7446F2" w14:textId="77777777" w:rsidTr="00241178">
        <w:trPr>
          <w:trHeight w:val="300"/>
        </w:trPr>
        <w:tc>
          <w:tcPr>
            <w:tcW w:w="1351" w:type="dxa"/>
            <w:shd w:val="clear" w:color="auto" w:fill="auto"/>
            <w:noWrap/>
            <w:vAlign w:val="center"/>
            <w:hideMark/>
          </w:tcPr>
          <w:p w14:paraId="5262D79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CPS</w:t>
            </w:r>
          </w:p>
        </w:tc>
        <w:tc>
          <w:tcPr>
            <w:tcW w:w="960" w:type="dxa"/>
            <w:shd w:val="clear" w:color="auto" w:fill="auto"/>
            <w:noWrap/>
            <w:vAlign w:val="bottom"/>
            <w:hideMark/>
          </w:tcPr>
          <w:p w14:paraId="34F6925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2596B3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Celostna prometna strategija</w:t>
            </w:r>
          </w:p>
        </w:tc>
      </w:tr>
      <w:tr w:rsidR="006F6EC3" w:rsidRPr="00A463F9" w14:paraId="25CF098E" w14:textId="77777777" w:rsidTr="00241178">
        <w:trPr>
          <w:trHeight w:val="300"/>
        </w:trPr>
        <w:tc>
          <w:tcPr>
            <w:tcW w:w="1351" w:type="dxa"/>
            <w:shd w:val="clear" w:color="auto" w:fill="auto"/>
            <w:noWrap/>
            <w:vAlign w:val="center"/>
            <w:hideMark/>
          </w:tcPr>
          <w:p w14:paraId="66D2A3E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CPVO</w:t>
            </w:r>
          </w:p>
        </w:tc>
        <w:tc>
          <w:tcPr>
            <w:tcW w:w="960" w:type="dxa"/>
            <w:shd w:val="clear" w:color="auto" w:fill="auto"/>
            <w:noWrap/>
            <w:vAlign w:val="bottom"/>
            <w:hideMark/>
          </w:tcPr>
          <w:p w14:paraId="39E5D33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0E4D51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Celovita presoja vplivov na okolje</w:t>
            </w:r>
          </w:p>
        </w:tc>
      </w:tr>
      <w:tr w:rsidR="006F6EC3" w:rsidRPr="00A463F9" w14:paraId="70A274A1" w14:textId="77777777" w:rsidTr="00241178">
        <w:trPr>
          <w:trHeight w:val="300"/>
        </w:trPr>
        <w:tc>
          <w:tcPr>
            <w:tcW w:w="1351" w:type="dxa"/>
            <w:shd w:val="clear" w:color="auto" w:fill="auto"/>
            <w:noWrap/>
            <w:vAlign w:val="center"/>
            <w:hideMark/>
          </w:tcPr>
          <w:p w14:paraId="12AE434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CRF</w:t>
            </w:r>
          </w:p>
        </w:tc>
        <w:tc>
          <w:tcPr>
            <w:tcW w:w="960" w:type="dxa"/>
            <w:shd w:val="clear" w:color="auto" w:fill="auto"/>
            <w:noWrap/>
            <w:vAlign w:val="bottom"/>
            <w:hideMark/>
          </w:tcPr>
          <w:p w14:paraId="425811E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7B472B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Skupni poročevalski format</w:t>
            </w:r>
          </w:p>
        </w:tc>
      </w:tr>
      <w:tr w:rsidR="006F6EC3" w:rsidRPr="00A463F9" w14:paraId="382F3E32" w14:textId="77777777" w:rsidTr="00241178">
        <w:trPr>
          <w:trHeight w:val="300"/>
        </w:trPr>
        <w:tc>
          <w:tcPr>
            <w:tcW w:w="1351" w:type="dxa"/>
            <w:shd w:val="clear" w:color="auto" w:fill="auto"/>
            <w:noWrap/>
            <w:vAlign w:val="center"/>
            <w:hideMark/>
          </w:tcPr>
          <w:p w14:paraId="236138A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ČHE</w:t>
            </w:r>
          </w:p>
        </w:tc>
        <w:tc>
          <w:tcPr>
            <w:tcW w:w="960" w:type="dxa"/>
            <w:shd w:val="clear" w:color="auto" w:fill="auto"/>
            <w:noWrap/>
            <w:vAlign w:val="bottom"/>
            <w:hideMark/>
          </w:tcPr>
          <w:p w14:paraId="63C640F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7B6503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Črpalna hidroelektrarna</w:t>
            </w:r>
          </w:p>
        </w:tc>
      </w:tr>
      <w:tr w:rsidR="006F6EC3" w:rsidRPr="00A463F9" w14:paraId="37EB2E9E" w14:textId="77777777" w:rsidTr="00241178">
        <w:trPr>
          <w:trHeight w:val="300"/>
        </w:trPr>
        <w:tc>
          <w:tcPr>
            <w:tcW w:w="1351" w:type="dxa"/>
            <w:shd w:val="clear" w:color="auto" w:fill="auto"/>
            <w:noWrap/>
            <w:vAlign w:val="center"/>
            <w:hideMark/>
          </w:tcPr>
          <w:p w14:paraId="0771C83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DARS</w:t>
            </w:r>
          </w:p>
        </w:tc>
        <w:tc>
          <w:tcPr>
            <w:tcW w:w="960" w:type="dxa"/>
            <w:shd w:val="clear" w:color="auto" w:fill="auto"/>
            <w:noWrap/>
            <w:vAlign w:val="bottom"/>
            <w:hideMark/>
          </w:tcPr>
          <w:p w14:paraId="331A23A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CD73A7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Družba za avtoceste v Republiki Sloveniji</w:t>
            </w:r>
          </w:p>
        </w:tc>
      </w:tr>
      <w:tr w:rsidR="006F6EC3" w:rsidRPr="00A463F9" w14:paraId="707821DD" w14:textId="77777777" w:rsidTr="00241178">
        <w:trPr>
          <w:trHeight w:val="300"/>
        </w:trPr>
        <w:tc>
          <w:tcPr>
            <w:tcW w:w="1351" w:type="dxa"/>
            <w:shd w:val="clear" w:color="auto" w:fill="auto"/>
            <w:noWrap/>
            <w:vAlign w:val="center"/>
            <w:hideMark/>
          </w:tcPr>
          <w:p w14:paraId="5468242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DO</w:t>
            </w:r>
          </w:p>
        </w:tc>
        <w:tc>
          <w:tcPr>
            <w:tcW w:w="960" w:type="dxa"/>
            <w:shd w:val="clear" w:color="auto" w:fill="auto"/>
            <w:noWrap/>
            <w:vAlign w:val="bottom"/>
            <w:hideMark/>
          </w:tcPr>
          <w:p w14:paraId="3A3F2A2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441196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Daljinsko ogrevanje</w:t>
            </w:r>
          </w:p>
        </w:tc>
      </w:tr>
      <w:tr w:rsidR="006F6EC3" w:rsidRPr="00A463F9" w14:paraId="1B5FBD53" w14:textId="77777777" w:rsidTr="00241178">
        <w:trPr>
          <w:trHeight w:val="300"/>
        </w:trPr>
        <w:tc>
          <w:tcPr>
            <w:tcW w:w="1351" w:type="dxa"/>
            <w:shd w:val="clear" w:color="auto" w:fill="auto"/>
            <w:noWrap/>
            <w:vAlign w:val="center"/>
            <w:hideMark/>
          </w:tcPr>
          <w:p w14:paraId="4BB803E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DPN</w:t>
            </w:r>
          </w:p>
        </w:tc>
        <w:tc>
          <w:tcPr>
            <w:tcW w:w="960" w:type="dxa"/>
            <w:shd w:val="clear" w:color="auto" w:fill="auto"/>
            <w:noWrap/>
            <w:vAlign w:val="bottom"/>
            <w:hideMark/>
          </w:tcPr>
          <w:p w14:paraId="6D79E4D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84C1F7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Državni prostorski načrt</w:t>
            </w:r>
          </w:p>
        </w:tc>
      </w:tr>
      <w:tr w:rsidR="006F6EC3" w:rsidRPr="00A463F9" w14:paraId="584A39D2" w14:textId="77777777" w:rsidTr="00241178">
        <w:trPr>
          <w:trHeight w:val="300"/>
        </w:trPr>
        <w:tc>
          <w:tcPr>
            <w:tcW w:w="1351" w:type="dxa"/>
            <w:shd w:val="clear" w:color="auto" w:fill="auto"/>
            <w:noWrap/>
            <w:vAlign w:val="center"/>
            <w:hideMark/>
          </w:tcPr>
          <w:p w14:paraId="42EEC95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DRSI</w:t>
            </w:r>
          </w:p>
        </w:tc>
        <w:tc>
          <w:tcPr>
            <w:tcW w:w="960" w:type="dxa"/>
            <w:shd w:val="clear" w:color="auto" w:fill="auto"/>
            <w:noWrap/>
            <w:vAlign w:val="bottom"/>
            <w:hideMark/>
          </w:tcPr>
          <w:p w14:paraId="5DAE93D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D6AE11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Direkcija za infrastrukturo</w:t>
            </w:r>
          </w:p>
        </w:tc>
      </w:tr>
      <w:tr w:rsidR="006F6EC3" w:rsidRPr="00A463F9" w14:paraId="3B7AECFF" w14:textId="77777777" w:rsidTr="00241178">
        <w:trPr>
          <w:trHeight w:val="300"/>
        </w:trPr>
        <w:tc>
          <w:tcPr>
            <w:tcW w:w="1351" w:type="dxa"/>
            <w:shd w:val="clear" w:color="auto" w:fill="auto"/>
            <w:noWrap/>
            <w:vAlign w:val="center"/>
            <w:hideMark/>
          </w:tcPr>
          <w:p w14:paraId="329920E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DSEPS</w:t>
            </w:r>
          </w:p>
        </w:tc>
        <w:tc>
          <w:tcPr>
            <w:tcW w:w="960" w:type="dxa"/>
            <w:shd w:val="clear" w:color="auto" w:fill="auto"/>
            <w:noWrap/>
            <w:vAlign w:val="bottom"/>
            <w:hideMark/>
          </w:tcPr>
          <w:p w14:paraId="3790222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F7BCD2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Dolgoročna strategija energetske prenove stavb do leta 2050</w:t>
            </w:r>
          </w:p>
        </w:tc>
      </w:tr>
      <w:tr w:rsidR="006F6EC3" w:rsidRPr="00A463F9" w14:paraId="70470F66" w14:textId="77777777" w:rsidTr="00241178">
        <w:trPr>
          <w:trHeight w:val="300"/>
        </w:trPr>
        <w:tc>
          <w:tcPr>
            <w:tcW w:w="1351" w:type="dxa"/>
            <w:shd w:val="clear" w:color="auto" w:fill="auto"/>
            <w:noWrap/>
            <w:vAlign w:val="center"/>
            <w:hideMark/>
          </w:tcPr>
          <w:p w14:paraId="75E2CE9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DUJPP</w:t>
            </w:r>
          </w:p>
        </w:tc>
        <w:tc>
          <w:tcPr>
            <w:tcW w:w="960" w:type="dxa"/>
            <w:shd w:val="clear" w:color="auto" w:fill="auto"/>
            <w:noWrap/>
            <w:vAlign w:val="bottom"/>
            <w:hideMark/>
          </w:tcPr>
          <w:p w14:paraId="191BB26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696BFC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Družba za upravljanje javnega potniškega prometa</w:t>
            </w:r>
          </w:p>
        </w:tc>
      </w:tr>
      <w:tr w:rsidR="006F6EC3" w:rsidRPr="00A463F9" w14:paraId="7E7152E8" w14:textId="77777777" w:rsidTr="00241178">
        <w:trPr>
          <w:trHeight w:val="300"/>
        </w:trPr>
        <w:tc>
          <w:tcPr>
            <w:tcW w:w="1351" w:type="dxa"/>
            <w:shd w:val="clear" w:color="auto" w:fill="auto"/>
            <w:noWrap/>
            <w:vAlign w:val="center"/>
            <w:hideMark/>
          </w:tcPr>
          <w:p w14:paraId="7126B66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EEA</w:t>
            </w:r>
          </w:p>
        </w:tc>
        <w:tc>
          <w:tcPr>
            <w:tcW w:w="960" w:type="dxa"/>
            <w:shd w:val="clear" w:color="auto" w:fill="auto"/>
            <w:noWrap/>
            <w:vAlign w:val="bottom"/>
            <w:hideMark/>
          </w:tcPr>
          <w:p w14:paraId="7530CB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C07B32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Evropska okoljska agencija</w:t>
            </w:r>
          </w:p>
        </w:tc>
      </w:tr>
      <w:tr w:rsidR="006F6EC3" w:rsidRPr="00A463F9" w14:paraId="261DE158" w14:textId="77777777" w:rsidTr="00241178">
        <w:trPr>
          <w:trHeight w:val="300"/>
        </w:trPr>
        <w:tc>
          <w:tcPr>
            <w:tcW w:w="1351" w:type="dxa"/>
            <w:shd w:val="clear" w:color="auto" w:fill="auto"/>
            <w:noWrap/>
            <w:vAlign w:val="center"/>
            <w:hideMark/>
          </w:tcPr>
          <w:p w14:paraId="5C8689D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EED</w:t>
            </w:r>
          </w:p>
        </w:tc>
        <w:tc>
          <w:tcPr>
            <w:tcW w:w="960" w:type="dxa"/>
            <w:shd w:val="clear" w:color="auto" w:fill="auto"/>
            <w:noWrap/>
            <w:vAlign w:val="bottom"/>
            <w:hideMark/>
          </w:tcPr>
          <w:p w14:paraId="3062C4D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82532E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Direktiva o energetski učinkovitosti</w:t>
            </w:r>
          </w:p>
        </w:tc>
      </w:tr>
      <w:tr w:rsidR="006F6EC3" w:rsidRPr="00A463F9" w14:paraId="5E3B0080" w14:textId="77777777" w:rsidTr="00241178">
        <w:trPr>
          <w:trHeight w:val="300"/>
        </w:trPr>
        <w:tc>
          <w:tcPr>
            <w:tcW w:w="1351" w:type="dxa"/>
            <w:shd w:val="clear" w:color="auto" w:fill="auto"/>
            <w:noWrap/>
            <w:vAlign w:val="center"/>
          </w:tcPr>
          <w:p w14:paraId="635AAD4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Eko sklad</w:t>
            </w:r>
          </w:p>
        </w:tc>
        <w:tc>
          <w:tcPr>
            <w:tcW w:w="960" w:type="dxa"/>
            <w:shd w:val="clear" w:color="auto" w:fill="auto"/>
            <w:noWrap/>
            <w:vAlign w:val="bottom"/>
          </w:tcPr>
          <w:p w14:paraId="28B590F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58876BA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Slovenski okoljski javni sklad</w:t>
            </w:r>
          </w:p>
        </w:tc>
      </w:tr>
      <w:tr w:rsidR="006F6EC3" w:rsidRPr="00A463F9" w14:paraId="165B069C" w14:textId="77777777" w:rsidTr="00241178">
        <w:trPr>
          <w:trHeight w:val="300"/>
        </w:trPr>
        <w:tc>
          <w:tcPr>
            <w:tcW w:w="1351" w:type="dxa"/>
            <w:shd w:val="clear" w:color="auto" w:fill="auto"/>
            <w:noWrap/>
            <w:vAlign w:val="center"/>
            <w:hideMark/>
          </w:tcPr>
          <w:p w14:paraId="188F05D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ELES</w:t>
            </w:r>
          </w:p>
        </w:tc>
        <w:tc>
          <w:tcPr>
            <w:tcW w:w="960" w:type="dxa"/>
            <w:shd w:val="clear" w:color="auto" w:fill="auto"/>
            <w:noWrap/>
            <w:vAlign w:val="bottom"/>
            <w:hideMark/>
          </w:tcPr>
          <w:p w14:paraId="41E0E78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C1FADC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Operater prenosnega in distribucijskega omrežja</w:t>
            </w:r>
          </w:p>
        </w:tc>
      </w:tr>
      <w:tr w:rsidR="006F6EC3" w:rsidRPr="00A463F9" w14:paraId="7205BB48" w14:textId="77777777" w:rsidTr="00241178">
        <w:trPr>
          <w:trHeight w:val="300"/>
        </w:trPr>
        <w:tc>
          <w:tcPr>
            <w:tcW w:w="1351" w:type="dxa"/>
            <w:shd w:val="clear" w:color="auto" w:fill="auto"/>
            <w:noWrap/>
            <w:vAlign w:val="center"/>
            <w:hideMark/>
          </w:tcPr>
          <w:p w14:paraId="3D195BA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ELKO</w:t>
            </w:r>
          </w:p>
        </w:tc>
        <w:tc>
          <w:tcPr>
            <w:tcW w:w="960" w:type="dxa"/>
            <w:shd w:val="clear" w:color="auto" w:fill="auto"/>
            <w:noWrap/>
            <w:vAlign w:val="bottom"/>
            <w:hideMark/>
          </w:tcPr>
          <w:p w14:paraId="10DCD18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25E2D8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Ekstra lahko kurilno olje</w:t>
            </w:r>
          </w:p>
        </w:tc>
      </w:tr>
      <w:tr w:rsidR="006F6EC3" w:rsidRPr="00A463F9" w14:paraId="40AEFAD0" w14:textId="77777777" w:rsidTr="00241178">
        <w:trPr>
          <w:trHeight w:val="300"/>
        </w:trPr>
        <w:tc>
          <w:tcPr>
            <w:tcW w:w="1351" w:type="dxa"/>
            <w:shd w:val="clear" w:color="auto" w:fill="auto"/>
            <w:noWrap/>
            <w:vAlign w:val="center"/>
            <w:hideMark/>
          </w:tcPr>
          <w:p w14:paraId="60EEA32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ENSVET</w:t>
            </w:r>
          </w:p>
        </w:tc>
        <w:tc>
          <w:tcPr>
            <w:tcW w:w="960" w:type="dxa"/>
            <w:shd w:val="clear" w:color="auto" w:fill="auto"/>
            <w:noWrap/>
            <w:vAlign w:val="bottom"/>
            <w:hideMark/>
          </w:tcPr>
          <w:p w14:paraId="3DF70D6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9C90AC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Mreža svetovalnic za energetsko svetovanje</w:t>
            </w:r>
          </w:p>
        </w:tc>
      </w:tr>
      <w:tr w:rsidR="006F6EC3" w:rsidRPr="00A463F9" w14:paraId="327B4422" w14:textId="77777777" w:rsidTr="00241178">
        <w:trPr>
          <w:trHeight w:val="300"/>
        </w:trPr>
        <w:tc>
          <w:tcPr>
            <w:tcW w:w="1351" w:type="dxa"/>
            <w:shd w:val="clear" w:color="auto" w:fill="auto"/>
            <w:noWrap/>
            <w:vAlign w:val="center"/>
            <w:hideMark/>
          </w:tcPr>
          <w:p w14:paraId="13D8CFD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EPO</w:t>
            </w:r>
          </w:p>
        </w:tc>
        <w:tc>
          <w:tcPr>
            <w:tcW w:w="960" w:type="dxa"/>
            <w:shd w:val="clear" w:color="auto" w:fill="auto"/>
            <w:noWrap/>
            <w:vAlign w:val="bottom"/>
            <w:hideMark/>
          </w:tcPr>
          <w:p w14:paraId="7FAA092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92DF0C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Energetsko pogodbeništvo</w:t>
            </w:r>
          </w:p>
        </w:tc>
      </w:tr>
      <w:tr w:rsidR="006F6EC3" w:rsidRPr="00A463F9" w14:paraId="7A83689E" w14:textId="77777777" w:rsidTr="00241178">
        <w:trPr>
          <w:trHeight w:val="300"/>
        </w:trPr>
        <w:tc>
          <w:tcPr>
            <w:tcW w:w="1351" w:type="dxa"/>
            <w:shd w:val="clear" w:color="auto" w:fill="auto"/>
            <w:noWrap/>
            <w:vAlign w:val="center"/>
          </w:tcPr>
          <w:p w14:paraId="3DF1A28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ESR (neETS)</w:t>
            </w:r>
          </w:p>
        </w:tc>
        <w:tc>
          <w:tcPr>
            <w:tcW w:w="960" w:type="dxa"/>
            <w:shd w:val="clear" w:color="auto" w:fill="auto"/>
            <w:noWrap/>
            <w:vAlign w:val="bottom"/>
          </w:tcPr>
          <w:p w14:paraId="79F49DC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3856F1B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Uredba o delitvi napora (tudi neETS)</w:t>
            </w:r>
          </w:p>
        </w:tc>
      </w:tr>
      <w:tr w:rsidR="006F6EC3" w:rsidRPr="00A463F9" w14:paraId="7118A8F9" w14:textId="77777777" w:rsidTr="00241178">
        <w:trPr>
          <w:trHeight w:val="300"/>
        </w:trPr>
        <w:tc>
          <w:tcPr>
            <w:tcW w:w="1351" w:type="dxa"/>
            <w:shd w:val="clear" w:color="auto" w:fill="auto"/>
            <w:noWrap/>
            <w:vAlign w:val="center"/>
            <w:hideMark/>
          </w:tcPr>
          <w:p w14:paraId="1E517AA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ESRR</w:t>
            </w:r>
          </w:p>
        </w:tc>
        <w:tc>
          <w:tcPr>
            <w:tcW w:w="960" w:type="dxa"/>
            <w:shd w:val="clear" w:color="auto" w:fill="auto"/>
            <w:noWrap/>
            <w:vAlign w:val="bottom"/>
            <w:hideMark/>
          </w:tcPr>
          <w:p w14:paraId="36D9FE1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3F60B3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Evropski sklad za regionalni razvoj</w:t>
            </w:r>
          </w:p>
        </w:tc>
      </w:tr>
      <w:tr w:rsidR="006F6EC3" w:rsidRPr="00A463F9" w14:paraId="0C2D1B33" w14:textId="77777777" w:rsidTr="00241178">
        <w:trPr>
          <w:trHeight w:val="300"/>
        </w:trPr>
        <w:tc>
          <w:tcPr>
            <w:tcW w:w="1351" w:type="dxa"/>
            <w:shd w:val="clear" w:color="auto" w:fill="auto"/>
            <w:noWrap/>
            <w:vAlign w:val="center"/>
            <w:hideMark/>
          </w:tcPr>
          <w:p w14:paraId="5A17458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ESS</w:t>
            </w:r>
          </w:p>
        </w:tc>
        <w:tc>
          <w:tcPr>
            <w:tcW w:w="960" w:type="dxa"/>
            <w:shd w:val="clear" w:color="auto" w:fill="auto"/>
            <w:noWrap/>
            <w:vAlign w:val="bottom"/>
            <w:hideMark/>
          </w:tcPr>
          <w:p w14:paraId="49D41E0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991747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Evropski socialni sklad</w:t>
            </w:r>
          </w:p>
        </w:tc>
      </w:tr>
      <w:tr w:rsidR="006F6EC3" w:rsidRPr="00A463F9" w14:paraId="13195B08" w14:textId="77777777" w:rsidTr="00241178">
        <w:trPr>
          <w:trHeight w:val="300"/>
        </w:trPr>
        <w:tc>
          <w:tcPr>
            <w:tcW w:w="1351" w:type="dxa"/>
            <w:shd w:val="clear" w:color="auto" w:fill="auto"/>
            <w:noWrap/>
            <w:vAlign w:val="center"/>
          </w:tcPr>
          <w:p w14:paraId="3979289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ETS2 (BRT)</w:t>
            </w:r>
          </w:p>
        </w:tc>
        <w:tc>
          <w:tcPr>
            <w:tcW w:w="960" w:type="dxa"/>
            <w:shd w:val="clear" w:color="auto" w:fill="auto"/>
            <w:noWrap/>
            <w:vAlign w:val="bottom"/>
          </w:tcPr>
          <w:p w14:paraId="7816805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1245995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Drugi sistem trgovanja s pravicami do emisij, ki se bo začel 2027</w:t>
            </w:r>
          </w:p>
        </w:tc>
      </w:tr>
      <w:tr w:rsidR="006F6EC3" w:rsidRPr="00A463F9" w14:paraId="52F48D9C" w14:textId="77777777" w:rsidTr="00241178">
        <w:trPr>
          <w:trHeight w:val="300"/>
        </w:trPr>
        <w:tc>
          <w:tcPr>
            <w:tcW w:w="1351" w:type="dxa"/>
            <w:shd w:val="clear" w:color="auto" w:fill="auto"/>
            <w:noWrap/>
            <w:vAlign w:val="center"/>
          </w:tcPr>
          <w:p w14:paraId="4EC5F80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EU ETS(1)</w:t>
            </w:r>
          </w:p>
        </w:tc>
        <w:tc>
          <w:tcPr>
            <w:tcW w:w="960" w:type="dxa"/>
            <w:shd w:val="clear" w:color="auto" w:fill="auto"/>
            <w:noWrap/>
            <w:vAlign w:val="bottom"/>
          </w:tcPr>
          <w:p w14:paraId="1BC81DC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672A0AF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Sistem trgovanja s pravicami do emisij, ki se je začel leta 2005</w:t>
            </w:r>
          </w:p>
        </w:tc>
      </w:tr>
      <w:tr w:rsidR="006F6EC3" w:rsidRPr="00A463F9" w14:paraId="0D0B30C2" w14:textId="77777777" w:rsidTr="00241178">
        <w:trPr>
          <w:trHeight w:val="300"/>
        </w:trPr>
        <w:tc>
          <w:tcPr>
            <w:tcW w:w="1351" w:type="dxa"/>
            <w:shd w:val="clear" w:color="auto" w:fill="auto"/>
            <w:noWrap/>
            <w:vAlign w:val="center"/>
          </w:tcPr>
          <w:p w14:paraId="0AE983A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EU, EU-27</w:t>
            </w:r>
          </w:p>
        </w:tc>
        <w:tc>
          <w:tcPr>
            <w:tcW w:w="960" w:type="dxa"/>
            <w:shd w:val="clear" w:color="auto" w:fill="auto"/>
            <w:noWrap/>
            <w:vAlign w:val="bottom"/>
          </w:tcPr>
          <w:p w14:paraId="3B6B3E7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1C47E43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Evropska unija</w:t>
            </w:r>
          </w:p>
        </w:tc>
      </w:tr>
      <w:tr w:rsidR="006F6EC3" w:rsidRPr="00A463F9" w14:paraId="10665A29" w14:textId="77777777" w:rsidTr="00241178">
        <w:trPr>
          <w:trHeight w:val="300"/>
        </w:trPr>
        <w:tc>
          <w:tcPr>
            <w:tcW w:w="1351" w:type="dxa"/>
            <w:shd w:val="clear" w:color="auto" w:fill="auto"/>
            <w:noWrap/>
            <w:vAlign w:val="center"/>
          </w:tcPr>
          <w:p w14:paraId="015A31F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EURO-CORDEX</w:t>
            </w:r>
          </w:p>
        </w:tc>
        <w:tc>
          <w:tcPr>
            <w:tcW w:w="960" w:type="dxa"/>
            <w:shd w:val="clear" w:color="auto" w:fill="auto"/>
            <w:noWrap/>
            <w:vAlign w:val="bottom"/>
          </w:tcPr>
          <w:p w14:paraId="7C3C4A2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2FF6214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Regionalni podnebni model</w:t>
            </w:r>
          </w:p>
        </w:tc>
      </w:tr>
      <w:tr w:rsidR="006F6EC3" w:rsidRPr="00A463F9" w14:paraId="4D7FA852" w14:textId="77777777" w:rsidTr="00241178">
        <w:trPr>
          <w:trHeight w:val="300"/>
        </w:trPr>
        <w:tc>
          <w:tcPr>
            <w:tcW w:w="1351" w:type="dxa"/>
            <w:shd w:val="clear" w:color="auto" w:fill="auto"/>
            <w:noWrap/>
            <w:vAlign w:val="center"/>
          </w:tcPr>
          <w:p w14:paraId="419D9C6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Eurostat</w:t>
            </w:r>
          </w:p>
        </w:tc>
        <w:tc>
          <w:tcPr>
            <w:tcW w:w="960" w:type="dxa"/>
            <w:shd w:val="clear" w:color="auto" w:fill="auto"/>
            <w:noWrap/>
            <w:vAlign w:val="bottom"/>
          </w:tcPr>
          <w:p w14:paraId="5686F10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11D9041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Evropski statistični urad</w:t>
            </w:r>
          </w:p>
        </w:tc>
      </w:tr>
      <w:tr w:rsidR="006F6EC3" w:rsidRPr="00A463F9" w14:paraId="69D1A2AA" w14:textId="77777777" w:rsidTr="00241178">
        <w:trPr>
          <w:trHeight w:val="300"/>
        </w:trPr>
        <w:tc>
          <w:tcPr>
            <w:tcW w:w="1351" w:type="dxa"/>
            <w:shd w:val="clear" w:color="auto" w:fill="auto"/>
            <w:noWrap/>
            <w:vAlign w:val="center"/>
            <w:hideMark/>
          </w:tcPr>
          <w:p w14:paraId="35693F2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EZ-1</w:t>
            </w:r>
          </w:p>
        </w:tc>
        <w:tc>
          <w:tcPr>
            <w:tcW w:w="960" w:type="dxa"/>
            <w:shd w:val="clear" w:color="auto" w:fill="auto"/>
            <w:noWrap/>
            <w:vAlign w:val="bottom"/>
            <w:hideMark/>
          </w:tcPr>
          <w:p w14:paraId="21A9CF6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A86A0C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Energetski zakon</w:t>
            </w:r>
          </w:p>
        </w:tc>
      </w:tr>
      <w:tr w:rsidR="006F6EC3" w:rsidRPr="00A463F9" w14:paraId="5082BD8B" w14:textId="77777777" w:rsidTr="00241178">
        <w:trPr>
          <w:trHeight w:val="300"/>
        </w:trPr>
        <w:tc>
          <w:tcPr>
            <w:tcW w:w="1351" w:type="dxa"/>
            <w:shd w:val="clear" w:color="auto" w:fill="auto"/>
            <w:noWrap/>
            <w:vAlign w:val="center"/>
            <w:hideMark/>
          </w:tcPr>
          <w:p w14:paraId="2A5A477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FAO</w:t>
            </w:r>
          </w:p>
        </w:tc>
        <w:tc>
          <w:tcPr>
            <w:tcW w:w="960" w:type="dxa"/>
            <w:shd w:val="clear" w:color="auto" w:fill="auto"/>
            <w:noWrap/>
            <w:vAlign w:val="bottom"/>
            <w:hideMark/>
          </w:tcPr>
          <w:p w14:paraId="6473CBA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958034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Organizacija Združenih narodov za kmetijstvo</w:t>
            </w:r>
          </w:p>
        </w:tc>
      </w:tr>
      <w:tr w:rsidR="006F6EC3" w:rsidRPr="00A463F9" w14:paraId="1D082C6E" w14:textId="77777777" w:rsidTr="00241178">
        <w:trPr>
          <w:trHeight w:val="300"/>
        </w:trPr>
        <w:tc>
          <w:tcPr>
            <w:tcW w:w="1351" w:type="dxa"/>
            <w:shd w:val="clear" w:color="auto" w:fill="auto"/>
            <w:noWrap/>
            <w:vAlign w:val="center"/>
            <w:hideMark/>
          </w:tcPr>
          <w:p w14:paraId="42AE55E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FCEV</w:t>
            </w:r>
          </w:p>
        </w:tc>
        <w:tc>
          <w:tcPr>
            <w:tcW w:w="960" w:type="dxa"/>
            <w:shd w:val="clear" w:color="auto" w:fill="auto"/>
            <w:noWrap/>
            <w:vAlign w:val="bottom"/>
            <w:hideMark/>
          </w:tcPr>
          <w:p w14:paraId="3522B25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F21C17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Vozila z gorivno celico</w:t>
            </w:r>
          </w:p>
        </w:tc>
      </w:tr>
      <w:tr w:rsidR="006F6EC3" w:rsidRPr="00A463F9" w14:paraId="7E070C11" w14:textId="77777777" w:rsidTr="00241178">
        <w:trPr>
          <w:trHeight w:val="360"/>
        </w:trPr>
        <w:tc>
          <w:tcPr>
            <w:tcW w:w="1351" w:type="dxa"/>
            <w:shd w:val="clear" w:color="auto" w:fill="auto"/>
            <w:noWrap/>
            <w:vAlign w:val="center"/>
            <w:hideMark/>
          </w:tcPr>
          <w:p w14:paraId="5D9D39E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F-plini</w:t>
            </w:r>
          </w:p>
        </w:tc>
        <w:tc>
          <w:tcPr>
            <w:tcW w:w="960" w:type="dxa"/>
            <w:shd w:val="clear" w:color="auto" w:fill="auto"/>
            <w:noWrap/>
            <w:vAlign w:val="bottom"/>
            <w:hideMark/>
          </w:tcPr>
          <w:p w14:paraId="73C3006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AF32CB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Fluorirani toplogredni plini (zajema HFC, PFC in SF</w:t>
            </w:r>
            <w:r w:rsidRPr="00A463F9">
              <w:rPr>
                <w:rFonts w:ascii="Arial" w:eastAsia="Times New Roman" w:hAnsi="Arial" w:cs="Arial"/>
                <w:color w:val="000000"/>
                <w:sz w:val="20"/>
                <w:szCs w:val="20"/>
                <w:vertAlign w:val="subscript"/>
                <w:lang w:eastAsia="sl-SI"/>
              </w:rPr>
              <w:t>6</w:t>
            </w:r>
            <w:r w:rsidRPr="00A463F9">
              <w:rPr>
                <w:rFonts w:ascii="Arial" w:eastAsia="Times New Roman" w:hAnsi="Arial" w:cs="Arial"/>
                <w:color w:val="000000"/>
                <w:sz w:val="20"/>
                <w:szCs w:val="20"/>
                <w:lang w:eastAsia="sl-SI"/>
              </w:rPr>
              <w:t>)</w:t>
            </w:r>
          </w:p>
        </w:tc>
      </w:tr>
      <w:tr w:rsidR="006F6EC3" w:rsidRPr="00A463F9" w14:paraId="30DF0E25" w14:textId="77777777" w:rsidTr="00241178">
        <w:trPr>
          <w:trHeight w:val="300"/>
        </w:trPr>
        <w:tc>
          <w:tcPr>
            <w:tcW w:w="1351" w:type="dxa"/>
            <w:shd w:val="clear" w:color="auto" w:fill="auto"/>
            <w:noWrap/>
            <w:vAlign w:val="center"/>
            <w:hideMark/>
          </w:tcPr>
          <w:p w14:paraId="6F66F31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lastRenderedPageBreak/>
              <w:t>GCF</w:t>
            </w:r>
          </w:p>
        </w:tc>
        <w:tc>
          <w:tcPr>
            <w:tcW w:w="960" w:type="dxa"/>
            <w:shd w:val="clear" w:color="auto" w:fill="auto"/>
            <w:noWrap/>
            <w:vAlign w:val="bottom"/>
            <w:hideMark/>
          </w:tcPr>
          <w:p w14:paraId="5B88B09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5EA843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Zeleni podnebni sklad</w:t>
            </w:r>
          </w:p>
        </w:tc>
      </w:tr>
      <w:tr w:rsidR="006F6EC3" w:rsidRPr="00A463F9" w14:paraId="24E88795" w14:textId="77777777" w:rsidTr="00241178">
        <w:trPr>
          <w:trHeight w:val="300"/>
        </w:trPr>
        <w:tc>
          <w:tcPr>
            <w:tcW w:w="1351" w:type="dxa"/>
            <w:shd w:val="clear" w:color="auto" w:fill="auto"/>
            <w:noWrap/>
            <w:vAlign w:val="center"/>
            <w:hideMark/>
          </w:tcPr>
          <w:p w14:paraId="782E64F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GEF</w:t>
            </w:r>
          </w:p>
        </w:tc>
        <w:tc>
          <w:tcPr>
            <w:tcW w:w="960" w:type="dxa"/>
            <w:shd w:val="clear" w:color="auto" w:fill="auto"/>
            <w:noWrap/>
            <w:vAlign w:val="bottom"/>
            <w:hideMark/>
          </w:tcPr>
          <w:p w14:paraId="26E3B15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8183CF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Globalni sklad za okolje</w:t>
            </w:r>
          </w:p>
        </w:tc>
      </w:tr>
      <w:tr w:rsidR="006F6EC3" w:rsidRPr="00A463F9" w14:paraId="598C373A" w14:textId="77777777" w:rsidTr="00241178">
        <w:trPr>
          <w:trHeight w:val="300"/>
        </w:trPr>
        <w:tc>
          <w:tcPr>
            <w:tcW w:w="1351" w:type="dxa"/>
            <w:shd w:val="clear" w:color="auto" w:fill="auto"/>
            <w:noWrap/>
            <w:vAlign w:val="center"/>
            <w:hideMark/>
          </w:tcPr>
          <w:p w14:paraId="07A6388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GIS</w:t>
            </w:r>
          </w:p>
        </w:tc>
        <w:tc>
          <w:tcPr>
            <w:tcW w:w="960" w:type="dxa"/>
            <w:shd w:val="clear" w:color="auto" w:fill="auto"/>
            <w:noWrap/>
            <w:vAlign w:val="bottom"/>
            <w:hideMark/>
          </w:tcPr>
          <w:p w14:paraId="0ED3148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2C7E43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Gozdarski inštitut Slovenije</w:t>
            </w:r>
          </w:p>
        </w:tc>
      </w:tr>
      <w:tr w:rsidR="006F6EC3" w:rsidRPr="00A463F9" w14:paraId="37C95437" w14:textId="77777777" w:rsidTr="00241178">
        <w:trPr>
          <w:trHeight w:val="300"/>
        </w:trPr>
        <w:tc>
          <w:tcPr>
            <w:tcW w:w="1351" w:type="dxa"/>
            <w:shd w:val="clear" w:color="auto" w:fill="auto"/>
            <w:noWrap/>
            <w:vAlign w:val="center"/>
            <w:hideMark/>
          </w:tcPr>
          <w:p w14:paraId="732F8CF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HE</w:t>
            </w:r>
          </w:p>
        </w:tc>
        <w:tc>
          <w:tcPr>
            <w:tcW w:w="960" w:type="dxa"/>
            <w:shd w:val="clear" w:color="auto" w:fill="auto"/>
            <w:noWrap/>
            <w:vAlign w:val="bottom"/>
            <w:hideMark/>
          </w:tcPr>
          <w:p w14:paraId="023F412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FB3978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Hidroelektrarna</w:t>
            </w:r>
          </w:p>
        </w:tc>
      </w:tr>
      <w:tr w:rsidR="006F6EC3" w:rsidRPr="00A463F9" w14:paraId="40EEBD8A" w14:textId="77777777" w:rsidTr="00241178">
        <w:trPr>
          <w:trHeight w:val="300"/>
        </w:trPr>
        <w:tc>
          <w:tcPr>
            <w:tcW w:w="1351" w:type="dxa"/>
            <w:shd w:val="clear" w:color="auto" w:fill="auto"/>
            <w:noWrap/>
            <w:vAlign w:val="center"/>
            <w:hideMark/>
          </w:tcPr>
          <w:p w14:paraId="41B08C9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HFC</w:t>
            </w:r>
          </w:p>
        </w:tc>
        <w:tc>
          <w:tcPr>
            <w:tcW w:w="960" w:type="dxa"/>
            <w:shd w:val="clear" w:color="auto" w:fill="auto"/>
            <w:noWrap/>
            <w:vAlign w:val="bottom"/>
            <w:hideMark/>
          </w:tcPr>
          <w:p w14:paraId="2D0F133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660F6F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Fluoroogljikovodik</w:t>
            </w:r>
          </w:p>
        </w:tc>
      </w:tr>
      <w:tr w:rsidR="006F6EC3" w:rsidRPr="00A463F9" w14:paraId="4314A43E" w14:textId="77777777" w:rsidTr="00241178">
        <w:trPr>
          <w:trHeight w:val="300"/>
        </w:trPr>
        <w:tc>
          <w:tcPr>
            <w:tcW w:w="1351" w:type="dxa"/>
            <w:shd w:val="clear" w:color="auto" w:fill="auto"/>
            <w:noWrap/>
            <w:vAlign w:val="center"/>
            <w:hideMark/>
          </w:tcPr>
          <w:p w14:paraId="21EA3B3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HIP</w:t>
            </w:r>
          </w:p>
        </w:tc>
        <w:tc>
          <w:tcPr>
            <w:tcW w:w="960" w:type="dxa"/>
            <w:shd w:val="clear" w:color="auto" w:fill="auto"/>
            <w:noWrap/>
            <w:vAlign w:val="bottom"/>
            <w:hideMark/>
          </w:tcPr>
          <w:p w14:paraId="31EF606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752806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Hitro izboljšanje ponudbe</w:t>
            </w:r>
          </w:p>
        </w:tc>
      </w:tr>
      <w:tr w:rsidR="006F6EC3" w:rsidRPr="00A463F9" w14:paraId="7026934C" w14:textId="77777777" w:rsidTr="00241178">
        <w:trPr>
          <w:trHeight w:val="300"/>
        </w:trPr>
        <w:tc>
          <w:tcPr>
            <w:tcW w:w="1351" w:type="dxa"/>
            <w:shd w:val="clear" w:color="auto" w:fill="auto"/>
            <w:noWrap/>
            <w:vAlign w:val="center"/>
            <w:hideMark/>
          </w:tcPr>
          <w:p w14:paraId="09EDBA8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IBRD</w:t>
            </w:r>
          </w:p>
        </w:tc>
        <w:tc>
          <w:tcPr>
            <w:tcW w:w="960" w:type="dxa"/>
            <w:shd w:val="clear" w:color="auto" w:fill="auto"/>
            <w:noWrap/>
            <w:vAlign w:val="bottom"/>
            <w:hideMark/>
          </w:tcPr>
          <w:p w14:paraId="0019F5B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EF3F5B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Mednarodna banka za obnovo in razvoj</w:t>
            </w:r>
          </w:p>
        </w:tc>
      </w:tr>
      <w:tr w:rsidR="006F6EC3" w:rsidRPr="00A463F9" w14:paraId="646F55CD" w14:textId="77777777" w:rsidTr="00241178">
        <w:trPr>
          <w:trHeight w:val="300"/>
        </w:trPr>
        <w:tc>
          <w:tcPr>
            <w:tcW w:w="1351" w:type="dxa"/>
            <w:shd w:val="clear" w:color="auto" w:fill="auto"/>
            <w:noWrap/>
            <w:vAlign w:val="center"/>
            <w:hideMark/>
          </w:tcPr>
          <w:p w14:paraId="12EDB10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IDA</w:t>
            </w:r>
          </w:p>
        </w:tc>
        <w:tc>
          <w:tcPr>
            <w:tcW w:w="960" w:type="dxa"/>
            <w:shd w:val="clear" w:color="auto" w:fill="auto"/>
            <w:noWrap/>
            <w:vAlign w:val="bottom"/>
            <w:hideMark/>
          </w:tcPr>
          <w:p w14:paraId="43AD8BC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3D8EFA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Mednarodna razvojna organizacija</w:t>
            </w:r>
          </w:p>
        </w:tc>
      </w:tr>
      <w:tr w:rsidR="006F6EC3" w:rsidRPr="00A463F9" w14:paraId="2258B35B" w14:textId="77777777" w:rsidTr="00241178">
        <w:trPr>
          <w:trHeight w:val="300"/>
        </w:trPr>
        <w:tc>
          <w:tcPr>
            <w:tcW w:w="1351" w:type="dxa"/>
            <w:shd w:val="clear" w:color="auto" w:fill="auto"/>
            <w:noWrap/>
            <w:vAlign w:val="center"/>
            <w:hideMark/>
          </w:tcPr>
          <w:p w14:paraId="1E3B7BD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IJPP</w:t>
            </w:r>
          </w:p>
        </w:tc>
        <w:tc>
          <w:tcPr>
            <w:tcW w:w="960" w:type="dxa"/>
            <w:shd w:val="clear" w:color="auto" w:fill="auto"/>
            <w:noWrap/>
            <w:vAlign w:val="bottom"/>
            <w:hideMark/>
          </w:tcPr>
          <w:p w14:paraId="6B0B46F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AAF4E3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Integriran javni potniški promet</w:t>
            </w:r>
          </w:p>
        </w:tc>
      </w:tr>
      <w:tr w:rsidR="006F6EC3" w:rsidRPr="00A463F9" w14:paraId="19022B93" w14:textId="77777777" w:rsidTr="00241178">
        <w:trPr>
          <w:trHeight w:val="300"/>
        </w:trPr>
        <w:tc>
          <w:tcPr>
            <w:tcW w:w="1351" w:type="dxa"/>
            <w:shd w:val="clear" w:color="auto" w:fill="auto"/>
            <w:noWrap/>
            <w:vAlign w:val="center"/>
            <w:hideMark/>
          </w:tcPr>
          <w:p w14:paraId="3FE56AF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IPCC</w:t>
            </w:r>
          </w:p>
        </w:tc>
        <w:tc>
          <w:tcPr>
            <w:tcW w:w="960" w:type="dxa"/>
            <w:shd w:val="clear" w:color="auto" w:fill="auto"/>
            <w:noWrap/>
            <w:vAlign w:val="bottom"/>
            <w:hideMark/>
          </w:tcPr>
          <w:p w14:paraId="5F44AB4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86C2CD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Medvladni forum za podnebne spremembe</w:t>
            </w:r>
          </w:p>
        </w:tc>
      </w:tr>
      <w:tr w:rsidR="006F6EC3" w:rsidRPr="00A463F9" w14:paraId="111420F6" w14:textId="77777777" w:rsidTr="00241178">
        <w:trPr>
          <w:trHeight w:val="300"/>
        </w:trPr>
        <w:tc>
          <w:tcPr>
            <w:tcW w:w="1351" w:type="dxa"/>
            <w:shd w:val="clear" w:color="auto" w:fill="auto"/>
            <w:noWrap/>
            <w:vAlign w:val="center"/>
            <w:hideMark/>
          </w:tcPr>
          <w:p w14:paraId="034E619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JE</w:t>
            </w:r>
          </w:p>
        </w:tc>
        <w:tc>
          <w:tcPr>
            <w:tcW w:w="960" w:type="dxa"/>
            <w:shd w:val="clear" w:color="auto" w:fill="auto"/>
            <w:noWrap/>
            <w:vAlign w:val="bottom"/>
            <w:hideMark/>
          </w:tcPr>
          <w:p w14:paraId="7102F11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8E7D64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Jedrska energija</w:t>
            </w:r>
          </w:p>
        </w:tc>
      </w:tr>
      <w:tr w:rsidR="006F6EC3" w:rsidRPr="00A463F9" w14:paraId="736BAC97" w14:textId="77777777" w:rsidTr="00241178">
        <w:trPr>
          <w:trHeight w:val="300"/>
        </w:trPr>
        <w:tc>
          <w:tcPr>
            <w:tcW w:w="1351" w:type="dxa"/>
            <w:shd w:val="clear" w:color="auto" w:fill="auto"/>
            <w:noWrap/>
            <w:vAlign w:val="center"/>
          </w:tcPr>
          <w:p w14:paraId="4C41359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JRC-IDEES</w:t>
            </w:r>
          </w:p>
        </w:tc>
        <w:tc>
          <w:tcPr>
            <w:tcW w:w="960" w:type="dxa"/>
            <w:shd w:val="clear" w:color="auto" w:fill="auto"/>
            <w:noWrap/>
            <w:vAlign w:val="bottom"/>
          </w:tcPr>
          <w:p w14:paraId="7CB0B7F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228F6D9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Integralna baza evropskega energetskega sistema Skupnega raziskovalnega središča</w:t>
            </w:r>
          </w:p>
        </w:tc>
      </w:tr>
      <w:tr w:rsidR="006F6EC3" w:rsidRPr="00A463F9" w14:paraId="12C43911" w14:textId="77777777" w:rsidTr="00241178">
        <w:trPr>
          <w:trHeight w:val="300"/>
        </w:trPr>
        <w:tc>
          <w:tcPr>
            <w:tcW w:w="1351" w:type="dxa"/>
            <w:shd w:val="clear" w:color="auto" w:fill="auto"/>
            <w:noWrap/>
            <w:vAlign w:val="center"/>
            <w:hideMark/>
          </w:tcPr>
          <w:p w14:paraId="04C9174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KIS</w:t>
            </w:r>
          </w:p>
        </w:tc>
        <w:tc>
          <w:tcPr>
            <w:tcW w:w="960" w:type="dxa"/>
            <w:shd w:val="clear" w:color="auto" w:fill="auto"/>
            <w:noWrap/>
            <w:vAlign w:val="bottom"/>
            <w:hideMark/>
          </w:tcPr>
          <w:p w14:paraId="318F443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03956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Kmetijski inštitut Slovenije</w:t>
            </w:r>
          </w:p>
        </w:tc>
      </w:tr>
      <w:tr w:rsidR="006F6EC3" w:rsidRPr="00A463F9" w14:paraId="1F59ADDE" w14:textId="77777777" w:rsidTr="00241178">
        <w:trPr>
          <w:trHeight w:val="300"/>
        </w:trPr>
        <w:tc>
          <w:tcPr>
            <w:tcW w:w="1351" w:type="dxa"/>
            <w:shd w:val="clear" w:color="auto" w:fill="auto"/>
            <w:noWrap/>
            <w:vAlign w:val="center"/>
            <w:hideMark/>
          </w:tcPr>
          <w:p w14:paraId="0CCDE9F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KS</w:t>
            </w:r>
          </w:p>
        </w:tc>
        <w:tc>
          <w:tcPr>
            <w:tcW w:w="960" w:type="dxa"/>
            <w:shd w:val="clear" w:color="auto" w:fill="auto"/>
            <w:noWrap/>
            <w:vAlign w:val="bottom"/>
            <w:hideMark/>
          </w:tcPr>
          <w:p w14:paraId="52946ED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36CC8A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Kohezijski sklad</w:t>
            </w:r>
          </w:p>
        </w:tc>
      </w:tr>
      <w:tr w:rsidR="006F6EC3" w:rsidRPr="00A463F9" w14:paraId="1A13301B" w14:textId="77777777" w:rsidTr="00241178">
        <w:trPr>
          <w:trHeight w:val="300"/>
        </w:trPr>
        <w:tc>
          <w:tcPr>
            <w:tcW w:w="1351" w:type="dxa"/>
            <w:shd w:val="clear" w:color="auto" w:fill="auto"/>
            <w:noWrap/>
            <w:vAlign w:val="center"/>
            <w:hideMark/>
          </w:tcPr>
          <w:p w14:paraId="4E6FEE4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LEK</w:t>
            </w:r>
          </w:p>
        </w:tc>
        <w:tc>
          <w:tcPr>
            <w:tcW w:w="960" w:type="dxa"/>
            <w:shd w:val="clear" w:color="auto" w:fill="auto"/>
            <w:noWrap/>
            <w:vAlign w:val="bottom"/>
            <w:hideMark/>
          </w:tcPr>
          <w:p w14:paraId="3714B7F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0E3467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Lokalni energetski koncepti</w:t>
            </w:r>
          </w:p>
        </w:tc>
      </w:tr>
      <w:tr w:rsidR="006F6EC3" w:rsidRPr="00A463F9" w14:paraId="0979D7FE" w14:textId="77777777" w:rsidTr="00241178">
        <w:trPr>
          <w:trHeight w:val="300"/>
        </w:trPr>
        <w:tc>
          <w:tcPr>
            <w:tcW w:w="1351" w:type="dxa"/>
            <w:shd w:val="clear" w:color="auto" w:fill="auto"/>
            <w:noWrap/>
            <w:vAlign w:val="center"/>
            <w:hideMark/>
          </w:tcPr>
          <w:p w14:paraId="6D292C5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LULUCF</w:t>
            </w:r>
          </w:p>
        </w:tc>
        <w:tc>
          <w:tcPr>
            <w:tcW w:w="960" w:type="dxa"/>
            <w:shd w:val="clear" w:color="auto" w:fill="auto"/>
            <w:noWrap/>
            <w:vAlign w:val="bottom"/>
            <w:hideMark/>
          </w:tcPr>
          <w:p w14:paraId="5F97BA3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AD0708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Raba tal, sprememba rabe tal in gozdarstvo</w:t>
            </w:r>
          </w:p>
        </w:tc>
      </w:tr>
      <w:tr w:rsidR="006F6EC3" w:rsidRPr="00A463F9" w14:paraId="326B804D" w14:textId="77777777" w:rsidTr="00241178">
        <w:trPr>
          <w:trHeight w:val="300"/>
        </w:trPr>
        <w:tc>
          <w:tcPr>
            <w:tcW w:w="1351" w:type="dxa"/>
            <w:shd w:val="clear" w:color="auto" w:fill="auto"/>
            <w:noWrap/>
            <w:vAlign w:val="center"/>
            <w:hideMark/>
          </w:tcPr>
          <w:p w14:paraId="225FE2C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LUR+</w:t>
            </w:r>
          </w:p>
        </w:tc>
        <w:tc>
          <w:tcPr>
            <w:tcW w:w="960" w:type="dxa"/>
            <w:shd w:val="clear" w:color="auto" w:fill="auto"/>
            <w:noWrap/>
            <w:vAlign w:val="bottom"/>
            <w:hideMark/>
          </w:tcPr>
          <w:p w14:paraId="538C767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EA887B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Ljubljanska urbana regija</w:t>
            </w:r>
          </w:p>
        </w:tc>
      </w:tr>
      <w:tr w:rsidR="006F6EC3" w:rsidRPr="00A463F9" w14:paraId="36D92D01" w14:textId="77777777" w:rsidTr="00241178">
        <w:trPr>
          <w:trHeight w:val="300"/>
        </w:trPr>
        <w:tc>
          <w:tcPr>
            <w:tcW w:w="1351" w:type="dxa"/>
            <w:shd w:val="clear" w:color="auto" w:fill="auto"/>
            <w:noWrap/>
            <w:vAlign w:val="center"/>
            <w:hideMark/>
          </w:tcPr>
          <w:p w14:paraId="6125D75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MaaS</w:t>
            </w:r>
          </w:p>
        </w:tc>
        <w:tc>
          <w:tcPr>
            <w:tcW w:w="960" w:type="dxa"/>
            <w:shd w:val="clear" w:color="auto" w:fill="auto"/>
            <w:noWrap/>
            <w:vAlign w:val="bottom"/>
            <w:hideMark/>
          </w:tcPr>
          <w:p w14:paraId="03C449B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C4C515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Mobilnost kot storitev</w:t>
            </w:r>
          </w:p>
        </w:tc>
      </w:tr>
      <w:tr w:rsidR="006F6EC3" w:rsidRPr="00A463F9" w14:paraId="0F2EEC3D" w14:textId="77777777" w:rsidTr="00241178">
        <w:trPr>
          <w:trHeight w:val="300"/>
        </w:trPr>
        <w:tc>
          <w:tcPr>
            <w:tcW w:w="1351" w:type="dxa"/>
            <w:shd w:val="clear" w:color="auto" w:fill="auto"/>
            <w:noWrap/>
            <w:vAlign w:val="center"/>
            <w:hideMark/>
          </w:tcPr>
          <w:p w14:paraId="44A0544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MC</w:t>
            </w:r>
          </w:p>
        </w:tc>
        <w:tc>
          <w:tcPr>
            <w:tcW w:w="960" w:type="dxa"/>
            <w:shd w:val="clear" w:color="auto" w:fill="auto"/>
            <w:noWrap/>
            <w:vAlign w:val="bottom"/>
            <w:hideMark/>
          </w:tcPr>
          <w:p w14:paraId="55CD3A1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D3AADE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kulturo</w:t>
            </w:r>
          </w:p>
        </w:tc>
      </w:tr>
      <w:tr w:rsidR="006F6EC3" w:rsidRPr="00A463F9" w14:paraId="0A93F5C0" w14:textId="77777777" w:rsidTr="00241178">
        <w:trPr>
          <w:trHeight w:val="300"/>
        </w:trPr>
        <w:tc>
          <w:tcPr>
            <w:tcW w:w="1351" w:type="dxa"/>
            <w:shd w:val="clear" w:color="auto" w:fill="auto"/>
            <w:noWrap/>
            <w:vAlign w:val="center"/>
            <w:hideMark/>
          </w:tcPr>
          <w:p w14:paraId="162987C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MDDSZ</w:t>
            </w:r>
          </w:p>
        </w:tc>
        <w:tc>
          <w:tcPr>
            <w:tcW w:w="960" w:type="dxa"/>
            <w:shd w:val="clear" w:color="auto" w:fill="auto"/>
            <w:noWrap/>
            <w:vAlign w:val="bottom"/>
            <w:hideMark/>
          </w:tcPr>
          <w:p w14:paraId="524B7A5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4A0742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delo, družino, socialne zadeve in enake možnosti</w:t>
            </w:r>
          </w:p>
        </w:tc>
      </w:tr>
      <w:tr w:rsidR="006F6EC3" w:rsidRPr="00A463F9" w14:paraId="18BBDD01" w14:textId="77777777" w:rsidTr="00241178">
        <w:trPr>
          <w:trHeight w:val="300"/>
        </w:trPr>
        <w:tc>
          <w:tcPr>
            <w:tcW w:w="1351" w:type="dxa"/>
            <w:shd w:val="clear" w:color="auto" w:fill="auto"/>
            <w:noWrap/>
            <w:vAlign w:val="center"/>
            <w:hideMark/>
          </w:tcPr>
          <w:p w14:paraId="69477F7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MF</w:t>
            </w:r>
          </w:p>
        </w:tc>
        <w:tc>
          <w:tcPr>
            <w:tcW w:w="960" w:type="dxa"/>
            <w:shd w:val="clear" w:color="auto" w:fill="auto"/>
            <w:noWrap/>
            <w:vAlign w:val="bottom"/>
            <w:hideMark/>
          </w:tcPr>
          <w:p w14:paraId="76F20BB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EB74AC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finance</w:t>
            </w:r>
          </w:p>
        </w:tc>
      </w:tr>
      <w:tr w:rsidR="006F6EC3" w:rsidRPr="00A463F9" w14:paraId="7F721A04" w14:textId="77777777" w:rsidTr="00241178">
        <w:trPr>
          <w:trHeight w:val="300"/>
        </w:trPr>
        <w:tc>
          <w:tcPr>
            <w:tcW w:w="1351" w:type="dxa"/>
            <w:shd w:val="clear" w:color="auto" w:fill="auto"/>
            <w:noWrap/>
            <w:vAlign w:val="center"/>
            <w:hideMark/>
          </w:tcPr>
          <w:p w14:paraId="7A1A31B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MGTŠ</w:t>
            </w:r>
          </w:p>
        </w:tc>
        <w:tc>
          <w:tcPr>
            <w:tcW w:w="960" w:type="dxa"/>
            <w:shd w:val="clear" w:color="auto" w:fill="auto"/>
            <w:noWrap/>
            <w:vAlign w:val="bottom"/>
            <w:hideMark/>
          </w:tcPr>
          <w:p w14:paraId="59F36A0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A37F2F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gospodarstvo, turizem in šport</w:t>
            </w:r>
          </w:p>
        </w:tc>
      </w:tr>
      <w:tr w:rsidR="006F6EC3" w:rsidRPr="00A463F9" w14:paraId="59317A89" w14:textId="77777777" w:rsidTr="00241178">
        <w:trPr>
          <w:trHeight w:val="300"/>
        </w:trPr>
        <w:tc>
          <w:tcPr>
            <w:tcW w:w="1351" w:type="dxa"/>
            <w:shd w:val="clear" w:color="auto" w:fill="auto"/>
            <w:noWrap/>
            <w:vAlign w:val="center"/>
            <w:hideMark/>
          </w:tcPr>
          <w:p w14:paraId="575D158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MJU</w:t>
            </w:r>
          </w:p>
        </w:tc>
        <w:tc>
          <w:tcPr>
            <w:tcW w:w="960" w:type="dxa"/>
            <w:shd w:val="clear" w:color="auto" w:fill="auto"/>
            <w:noWrap/>
            <w:vAlign w:val="bottom"/>
            <w:hideMark/>
          </w:tcPr>
          <w:p w14:paraId="29106CB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627353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javno upravo</w:t>
            </w:r>
          </w:p>
        </w:tc>
      </w:tr>
      <w:tr w:rsidR="006F6EC3" w:rsidRPr="00A463F9" w14:paraId="29A13466" w14:textId="77777777" w:rsidTr="00241178">
        <w:trPr>
          <w:trHeight w:val="300"/>
        </w:trPr>
        <w:tc>
          <w:tcPr>
            <w:tcW w:w="1351" w:type="dxa"/>
            <w:shd w:val="clear" w:color="auto" w:fill="auto"/>
            <w:noWrap/>
            <w:vAlign w:val="center"/>
            <w:hideMark/>
          </w:tcPr>
          <w:p w14:paraId="5A36C7D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MKGP</w:t>
            </w:r>
          </w:p>
        </w:tc>
        <w:tc>
          <w:tcPr>
            <w:tcW w:w="960" w:type="dxa"/>
            <w:shd w:val="clear" w:color="auto" w:fill="auto"/>
            <w:noWrap/>
            <w:vAlign w:val="bottom"/>
            <w:hideMark/>
          </w:tcPr>
          <w:p w14:paraId="029D566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9096CD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kmetijstvo, gozdarstvo in prehrano</w:t>
            </w:r>
          </w:p>
        </w:tc>
      </w:tr>
      <w:tr w:rsidR="006F6EC3" w:rsidRPr="00A463F9" w14:paraId="0AE69CB2" w14:textId="77777777" w:rsidTr="00241178">
        <w:trPr>
          <w:trHeight w:val="300"/>
        </w:trPr>
        <w:tc>
          <w:tcPr>
            <w:tcW w:w="1351" w:type="dxa"/>
            <w:shd w:val="clear" w:color="auto" w:fill="auto"/>
            <w:noWrap/>
            <w:vAlign w:val="center"/>
            <w:hideMark/>
          </w:tcPr>
          <w:p w14:paraId="2863F1B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MKRR</w:t>
            </w:r>
          </w:p>
        </w:tc>
        <w:tc>
          <w:tcPr>
            <w:tcW w:w="960" w:type="dxa"/>
            <w:shd w:val="clear" w:color="auto" w:fill="auto"/>
            <w:noWrap/>
            <w:vAlign w:val="bottom"/>
            <w:hideMark/>
          </w:tcPr>
          <w:p w14:paraId="1D3BD57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B78F89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kohezijo in regionalni razvoj</w:t>
            </w:r>
          </w:p>
        </w:tc>
      </w:tr>
      <w:tr w:rsidR="006F6EC3" w:rsidRPr="00A463F9" w14:paraId="2D713FF5" w14:textId="77777777" w:rsidTr="00241178">
        <w:trPr>
          <w:trHeight w:val="300"/>
        </w:trPr>
        <w:tc>
          <w:tcPr>
            <w:tcW w:w="1351" w:type="dxa"/>
            <w:shd w:val="clear" w:color="auto" w:fill="auto"/>
            <w:noWrap/>
            <w:vAlign w:val="center"/>
            <w:hideMark/>
          </w:tcPr>
          <w:p w14:paraId="4C15FD3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MNVP</w:t>
            </w:r>
          </w:p>
        </w:tc>
        <w:tc>
          <w:tcPr>
            <w:tcW w:w="960" w:type="dxa"/>
            <w:shd w:val="clear" w:color="auto" w:fill="auto"/>
            <w:noWrap/>
            <w:vAlign w:val="bottom"/>
            <w:hideMark/>
          </w:tcPr>
          <w:p w14:paraId="02A08C7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43A58E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naravne vire in prostor</w:t>
            </w:r>
          </w:p>
        </w:tc>
      </w:tr>
      <w:tr w:rsidR="006F6EC3" w:rsidRPr="00A463F9" w14:paraId="56D8CAA7" w14:textId="77777777" w:rsidTr="00241178">
        <w:trPr>
          <w:trHeight w:val="300"/>
        </w:trPr>
        <w:tc>
          <w:tcPr>
            <w:tcW w:w="1351" w:type="dxa"/>
            <w:shd w:val="clear" w:color="auto" w:fill="auto"/>
            <w:noWrap/>
            <w:vAlign w:val="center"/>
            <w:hideMark/>
          </w:tcPr>
          <w:p w14:paraId="6CAF60A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MOPE</w:t>
            </w:r>
          </w:p>
        </w:tc>
        <w:tc>
          <w:tcPr>
            <w:tcW w:w="960" w:type="dxa"/>
            <w:shd w:val="clear" w:color="auto" w:fill="auto"/>
            <w:noWrap/>
            <w:vAlign w:val="bottom"/>
            <w:hideMark/>
          </w:tcPr>
          <w:p w14:paraId="1F1C184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3DB159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okolje, podnebje in energijo</w:t>
            </w:r>
          </w:p>
        </w:tc>
      </w:tr>
      <w:tr w:rsidR="006F6EC3" w:rsidRPr="00A463F9" w14:paraId="6E33EF9F" w14:textId="77777777" w:rsidTr="00241178">
        <w:trPr>
          <w:trHeight w:val="300"/>
        </w:trPr>
        <w:tc>
          <w:tcPr>
            <w:tcW w:w="1351" w:type="dxa"/>
            <w:shd w:val="clear" w:color="auto" w:fill="auto"/>
            <w:noWrap/>
            <w:vAlign w:val="center"/>
            <w:hideMark/>
          </w:tcPr>
          <w:p w14:paraId="55E33F5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MSP</w:t>
            </w:r>
          </w:p>
        </w:tc>
        <w:tc>
          <w:tcPr>
            <w:tcW w:w="960" w:type="dxa"/>
            <w:shd w:val="clear" w:color="auto" w:fill="auto"/>
            <w:noWrap/>
            <w:vAlign w:val="bottom"/>
            <w:hideMark/>
          </w:tcPr>
          <w:p w14:paraId="0A028C5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ECE5F8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Mala in srednje velika podjetja</w:t>
            </w:r>
          </w:p>
        </w:tc>
      </w:tr>
      <w:tr w:rsidR="006F6EC3" w:rsidRPr="00A463F9" w14:paraId="37CECB31" w14:textId="77777777" w:rsidTr="00241178">
        <w:trPr>
          <w:trHeight w:val="300"/>
        </w:trPr>
        <w:tc>
          <w:tcPr>
            <w:tcW w:w="1351" w:type="dxa"/>
            <w:shd w:val="clear" w:color="auto" w:fill="auto"/>
            <w:noWrap/>
            <w:vAlign w:val="center"/>
            <w:hideMark/>
          </w:tcPr>
          <w:p w14:paraId="597C935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MSP</w:t>
            </w:r>
          </w:p>
        </w:tc>
        <w:tc>
          <w:tcPr>
            <w:tcW w:w="960" w:type="dxa"/>
            <w:shd w:val="clear" w:color="auto" w:fill="auto"/>
            <w:noWrap/>
            <w:vAlign w:val="bottom"/>
            <w:hideMark/>
          </w:tcPr>
          <w:p w14:paraId="1B2D055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933805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solidarno prihodnost</w:t>
            </w:r>
          </w:p>
        </w:tc>
      </w:tr>
      <w:tr w:rsidR="006F6EC3" w:rsidRPr="00A463F9" w14:paraId="5C39DEF8" w14:textId="77777777" w:rsidTr="00241178">
        <w:trPr>
          <w:trHeight w:val="300"/>
        </w:trPr>
        <w:tc>
          <w:tcPr>
            <w:tcW w:w="1351" w:type="dxa"/>
            <w:shd w:val="clear" w:color="auto" w:fill="auto"/>
            <w:noWrap/>
            <w:vAlign w:val="center"/>
            <w:hideMark/>
          </w:tcPr>
          <w:p w14:paraId="1355E4E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MVI</w:t>
            </w:r>
          </w:p>
        </w:tc>
        <w:tc>
          <w:tcPr>
            <w:tcW w:w="960" w:type="dxa"/>
            <w:shd w:val="clear" w:color="auto" w:fill="auto"/>
            <w:noWrap/>
            <w:vAlign w:val="bottom"/>
            <w:hideMark/>
          </w:tcPr>
          <w:p w14:paraId="613A498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424A0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vzgojo in izobraževanje</w:t>
            </w:r>
          </w:p>
        </w:tc>
      </w:tr>
      <w:tr w:rsidR="006F6EC3" w:rsidRPr="00A463F9" w14:paraId="02A279F0" w14:textId="77777777" w:rsidTr="00241178">
        <w:trPr>
          <w:trHeight w:val="300"/>
        </w:trPr>
        <w:tc>
          <w:tcPr>
            <w:tcW w:w="1351" w:type="dxa"/>
            <w:shd w:val="clear" w:color="auto" w:fill="auto"/>
            <w:noWrap/>
            <w:vAlign w:val="center"/>
            <w:hideMark/>
          </w:tcPr>
          <w:p w14:paraId="332BABA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MVZI</w:t>
            </w:r>
          </w:p>
        </w:tc>
        <w:tc>
          <w:tcPr>
            <w:tcW w:w="960" w:type="dxa"/>
            <w:shd w:val="clear" w:color="auto" w:fill="auto"/>
            <w:noWrap/>
            <w:vAlign w:val="bottom"/>
            <w:hideMark/>
          </w:tcPr>
          <w:p w14:paraId="2D65248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C36F00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visoko šolstvo, znanost in inovacije</w:t>
            </w:r>
          </w:p>
        </w:tc>
      </w:tr>
      <w:tr w:rsidR="006F6EC3" w:rsidRPr="00A463F9" w14:paraId="0650E09E" w14:textId="77777777" w:rsidTr="00241178">
        <w:trPr>
          <w:trHeight w:val="300"/>
        </w:trPr>
        <w:tc>
          <w:tcPr>
            <w:tcW w:w="1351" w:type="dxa"/>
            <w:shd w:val="clear" w:color="auto" w:fill="auto"/>
            <w:noWrap/>
            <w:vAlign w:val="center"/>
            <w:hideMark/>
          </w:tcPr>
          <w:p w14:paraId="2E2C8D4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MZ</w:t>
            </w:r>
          </w:p>
        </w:tc>
        <w:tc>
          <w:tcPr>
            <w:tcW w:w="960" w:type="dxa"/>
            <w:shd w:val="clear" w:color="auto" w:fill="auto"/>
            <w:noWrap/>
            <w:vAlign w:val="bottom"/>
            <w:hideMark/>
          </w:tcPr>
          <w:p w14:paraId="7E35CE1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1312B2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zdravje</w:t>
            </w:r>
          </w:p>
        </w:tc>
      </w:tr>
      <w:tr w:rsidR="006F6EC3" w:rsidRPr="00A463F9" w14:paraId="7E6DA209" w14:textId="77777777" w:rsidTr="00241178">
        <w:trPr>
          <w:trHeight w:val="300"/>
        </w:trPr>
        <w:tc>
          <w:tcPr>
            <w:tcW w:w="1351" w:type="dxa"/>
            <w:shd w:val="clear" w:color="auto" w:fill="auto"/>
            <w:noWrap/>
            <w:vAlign w:val="center"/>
            <w:hideMark/>
          </w:tcPr>
          <w:p w14:paraId="67C5CD7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MZEZ</w:t>
            </w:r>
          </w:p>
        </w:tc>
        <w:tc>
          <w:tcPr>
            <w:tcW w:w="960" w:type="dxa"/>
            <w:shd w:val="clear" w:color="auto" w:fill="auto"/>
            <w:noWrap/>
            <w:vAlign w:val="bottom"/>
            <w:hideMark/>
          </w:tcPr>
          <w:p w14:paraId="2A680D5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4D3DA6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zunanje in evropske zadeve</w:t>
            </w:r>
          </w:p>
        </w:tc>
      </w:tr>
      <w:tr w:rsidR="006F6EC3" w:rsidRPr="00A463F9" w14:paraId="643E04C0" w14:textId="77777777" w:rsidTr="00241178">
        <w:trPr>
          <w:trHeight w:val="300"/>
        </w:trPr>
        <w:tc>
          <w:tcPr>
            <w:tcW w:w="1351" w:type="dxa"/>
            <w:shd w:val="clear" w:color="auto" w:fill="auto"/>
            <w:noWrap/>
            <w:vAlign w:val="center"/>
            <w:hideMark/>
          </w:tcPr>
          <w:p w14:paraId="4EEE3B9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MZI</w:t>
            </w:r>
          </w:p>
        </w:tc>
        <w:tc>
          <w:tcPr>
            <w:tcW w:w="960" w:type="dxa"/>
            <w:shd w:val="clear" w:color="auto" w:fill="auto"/>
            <w:noWrap/>
            <w:vAlign w:val="bottom"/>
            <w:hideMark/>
          </w:tcPr>
          <w:p w14:paraId="246FECB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4D9D7F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Ministrstvo za infrastrukturo</w:t>
            </w:r>
          </w:p>
        </w:tc>
      </w:tr>
      <w:tr w:rsidR="006F6EC3" w:rsidRPr="00A463F9" w14:paraId="1BDAC163" w14:textId="77777777" w:rsidTr="00241178">
        <w:trPr>
          <w:trHeight w:val="360"/>
        </w:trPr>
        <w:tc>
          <w:tcPr>
            <w:tcW w:w="1351" w:type="dxa"/>
            <w:shd w:val="clear" w:color="auto" w:fill="auto"/>
            <w:noWrap/>
            <w:vAlign w:val="center"/>
            <w:hideMark/>
          </w:tcPr>
          <w:p w14:paraId="3A492F9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w:t>
            </w:r>
            <w:r w:rsidRPr="00A463F9">
              <w:rPr>
                <w:rFonts w:ascii="Arial" w:eastAsia="Times New Roman" w:hAnsi="Arial" w:cs="Arial"/>
                <w:color w:val="000000"/>
                <w:sz w:val="20"/>
                <w:szCs w:val="20"/>
                <w:vertAlign w:val="subscript"/>
                <w:lang w:eastAsia="sl-SI"/>
              </w:rPr>
              <w:t>2</w:t>
            </w:r>
            <w:r w:rsidRPr="00A463F9">
              <w:rPr>
                <w:rFonts w:ascii="Arial" w:eastAsia="Times New Roman" w:hAnsi="Arial" w:cs="Arial"/>
                <w:color w:val="000000"/>
                <w:sz w:val="20"/>
                <w:szCs w:val="20"/>
                <w:lang w:eastAsia="sl-SI"/>
              </w:rPr>
              <w:t>O</w:t>
            </w:r>
          </w:p>
        </w:tc>
        <w:tc>
          <w:tcPr>
            <w:tcW w:w="960" w:type="dxa"/>
            <w:shd w:val="clear" w:color="auto" w:fill="auto"/>
            <w:noWrap/>
            <w:vAlign w:val="bottom"/>
            <w:hideMark/>
          </w:tcPr>
          <w:p w14:paraId="24B4692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8331C8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Didušikov oksid</w:t>
            </w:r>
          </w:p>
        </w:tc>
      </w:tr>
      <w:tr w:rsidR="006F6EC3" w:rsidRPr="00A463F9" w14:paraId="52610308" w14:textId="77777777" w:rsidTr="00241178">
        <w:trPr>
          <w:trHeight w:val="300"/>
        </w:trPr>
        <w:tc>
          <w:tcPr>
            <w:tcW w:w="1351" w:type="dxa"/>
            <w:shd w:val="clear" w:color="auto" w:fill="auto"/>
            <w:noWrap/>
            <w:vAlign w:val="center"/>
            <w:hideMark/>
          </w:tcPr>
          <w:p w14:paraId="3239B1F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NAP</w:t>
            </w:r>
          </w:p>
        </w:tc>
        <w:tc>
          <w:tcPr>
            <w:tcW w:w="960" w:type="dxa"/>
            <w:shd w:val="clear" w:color="auto" w:fill="auto"/>
            <w:noWrap/>
            <w:vAlign w:val="bottom"/>
            <w:hideMark/>
          </w:tcPr>
          <w:p w14:paraId="6A6DBAC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EA45BC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Nacionalna točka dostopa</w:t>
            </w:r>
          </w:p>
        </w:tc>
      </w:tr>
      <w:tr w:rsidR="006F6EC3" w:rsidRPr="00A463F9" w14:paraId="3BF5B9D5" w14:textId="77777777" w:rsidTr="00241178">
        <w:trPr>
          <w:trHeight w:val="300"/>
        </w:trPr>
        <w:tc>
          <w:tcPr>
            <w:tcW w:w="1351" w:type="dxa"/>
            <w:shd w:val="clear" w:color="auto" w:fill="auto"/>
            <w:noWrap/>
            <w:vAlign w:val="center"/>
            <w:hideMark/>
          </w:tcPr>
          <w:p w14:paraId="6EBE36C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NCUP</w:t>
            </w:r>
          </w:p>
        </w:tc>
        <w:tc>
          <w:tcPr>
            <w:tcW w:w="960" w:type="dxa"/>
            <w:shd w:val="clear" w:color="auto" w:fill="auto"/>
            <w:noWrap/>
            <w:vAlign w:val="bottom"/>
            <w:hideMark/>
          </w:tcPr>
          <w:p w14:paraId="1248473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9E0B11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Nacionalni center za upravljanje prometa Republike Slovenije</w:t>
            </w:r>
          </w:p>
        </w:tc>
      </w:tr>
      <w:tr w:rsidR="006F6EC3" w:rsidRPr="00A463F9" w14:paraId="13373FF3" w14:textId="77777777" w:rsidTr="00241178">
        <w:trPr>
          <w:trHeight w:val="300"/>
        </w:trPr>
        <w:tc>
          <w:tcPr>
            <w:tcW w:w="1351" w:type="dxa"/>
            <w:shd w:val="clear" w:color="auto" w:fill="auto"/>
            <w:noWrap/>
            <w:vAlign w:val="center"/>
            <w:hideMark/>
          </w:tcPr>
          <w:p w14:paraId="5CE7068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NDC</w:t>
            </w:r>
          </w:p>
        </w:tc>
        <w:tc>
          <w:tcPr>
            <w:tcW w:w="960" w:type="dxa"/>
            <w:shd w:val="clear" w:color="auto" w:fill="auto"/>
            <w:noWrap/>
            <w:vAlign w:val="bottom"/>
            <w:hideMark/>
          </w:tcPr>
          <w:p w14:paraId="25F172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ACE30E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Nacionalno določeni prispevki</w:t>
            </w:r>
          </w:p>
        </w:tc>
      </w:tr>
      <w:tr w:rsidR="006F6EC3" w:rsidRPr="00A463F9" w14:paraId="6A24C363" w14:textId="77777777" w:rsidTr="00241178">
        <w:trPr>
          <w:trHeight w:val="300"/>
        </w:trPr>
        <w:tc>
          <w:tcPr>
            <w:tcW w:w="1351" w:type="dxa"/>
            <w:shd w:val="clear" w:color="auto" w:fill="auto"/>
            <w:noWrap/>
            <w:vAlign w:val="center"/>
            <w:hideMark/>
          </w:tcPr>
          <w:p w14:paraId="499D16E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NEPN</w:t>
            </w:r>
          </w:p>
        </w:tc>
        <w:tc>
          <w:tcPr>
            <w:tcW w:w="960" w:type="dxa"/>
            <w:shd w:val="clear" w:color="auto" w:fill="auto"/>
            <w:noWrap/>
            <w:vAlign w:val="bottom"/>
            <w:hideMark/>
          </w:tcPr>
          <w:p w14:paraId="2A85978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212110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Nacionalni energetski in podnebni načrt</w:t>
            </w:r>
          </w:p>
        </w:tc>
      </w:tr>
      <w:tr w:rsidR="006F6EC3" w:rsidRPr="00A463F9" w14:paraId="6AACBD79" w14:textId="77777777" w:rsidTr="00241178">
        <w:trPr>
          <w:trHeight w:val="300"/>
        </w:trPr>
        <w:tc>
          <w:tcPr>
            <w:tcW w:w="1351" w:type="dxa"/>
            <w:shd w:val="clear" w:color="auto" w:fill="auto"/>
            <w:noWrap/>
            <w:vAlign w:val="center"/>
            <w:hideMark/>
          </w:tcPr>
          <w:p w14:paraId="1F68987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NID</w:t>
            </w:r>
          </w:p>
        </w:tc>
        <w:tc>
          <w:tcPr>
            <w:tcW w:w="960" w:type="dxa"/>
            <w:shd w:val="clear" w:color="auto" w:fill="auto"/>
            <w:noWrap/>
            <w:vAlign w:val="bottom"/>
            <w:hideMark/>
          </w:tcPr>
          <w:p w14:paraId="0AAEBFF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D0818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Nacionalno poročilo o evidencah</w:t>
            </w:r>
          </w:p>
        </w:tc>
      </w:tr>
      <w:tr w:rsidR="006F6EC3" w:rsidRPr="00A463F9" w14:paraId="4695F7E6" w14:textId="77777777" w:rsidTr="00241178">
        <w:trPr>
          <w:trHeight w:val="300"/>
        </w:trPr>
        <w:tc>
          <w:tcPr>
            <w:tcW w:w="1351" w:type="dxa"/>
            <w:shd w:val="clear" w:color="auto" w:fill="auto"/>
            <w:noWrap/>
            <w:vAlign w:val="center"/>
            <w:hideMark/>
          </w:tcPr>
          <w:p w14:paraId="7FEDC9F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NO</w:t>
            </w:r>
          </w:p>
        </w:tc>
        <w:tc>
          <w:tcPr>
            <w:tcW w:w="960" w:type="dxa"/>
            <w:shd w:val="clear" w:color="auto" w:fill="auto"/>
            <w:noWrap/>
            <w:vAlign w:val="bottom"/>
            <w:hideMark/>
          </w:tcPr>
          <w:p w14:paraId="6069B7A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2B6B6F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Nizkoogljični viri (npr. sintetična goriva, vodik)</w:t>
            </w:r>
          </w:p>
        </w:tc>
      </w:tr>
      <w:tr w:rsidR="006F6EC3" w:rsidRPr="00A463F9" w14:paraId="3F754CD1" w14:textId="77777777" w:rsidTr="00241178">
        <w:trPr>
          <w:trHeight w:val="300"/>
        </w:trPr>
        <w:tc>
          <w:tcPr>
            <w:tcW w:w="1351" w:type="dxa"/>
            <w:shd w:val="clear" w:color="auto" w:fill="auto"/>
            <w:noWrap/>
            <w:vAlign w:val="center"/>
            <w:hideMark/>
          </w:tcPr>
          <w:p w14:paraId="0254080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NOO</w:t>
            </w:r>
          </w:p>
        </w:tc>
        <w:tc>
          <w:tcPr>
            <w:tcW w:w="960" w:type="dxa"/>
            <w:shd w:val="clear" w:color="auto" w:fill="auto"/>
            <w:noWrap/>
            <w:vAlign w:val="bottom"/>
            <w:hideMark/>
          </w:tcPr>
          <w:p w14:paraId="6CC597D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35FDB8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Načrt za okrevanje in odpornost</w:t>
            </w:r>
          </w:p>
        </w:tc>
      </w:tr>
      <w:tr w:rsidR="006F6EC3" w:rsidRPr="00A463F9" w14:paraId="4EC9C5A3" w14:textId="77777777" w:rsidTr="00241178">
        <w:trPr>
          <w:trHeight w:val="300"/>
        </w:trPr>
        <w:tc>
          <w:tcPr>
            <w:tcW w:w="1351" w:type="dxa"/>
            <w:shd w:val="clear" w:color="auto" w:fill="auto"/>
            <w:noWrap/>
            <w:vAlign w:val="center"/>
            <w:hideMark/>
          </w:tcPr>
          <w:p w14:paraId="1210BD2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ODA</w:t>
            </w:r>
          </w:p>
        </w:tc>
        <w:tc>
          <w:tcPr>
            <w:tcW w:w="960" w:type="dxa"/>
            <w:shd w:val="clear" w:color="auto" w:fill="auto"/>
            <w:noWrap/>
            <w:vAlign w:val="bottom"/>
            <w:hideMark/>
          </w:tcPr>
          <w:p w14:paraId="27344E3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CAA5D4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Uradna razvojna pomoč</w:t>
            </w:r>
          </w:p>
        </w:tc>
      </w:tr>
      <w:tr w:rsidR="006F6EC3" w:rsidRPr="00A463F9" w14:paraId="26442168" w14:textId="77777777" w:rsidTr="00241178">
        <w:trPr>
          <w:trHeight w:val="300"/>
        </w:trPr>
        <w:tc>
          <w:tcPr>
            <w:tcW w:w="1351" w:type="dxa"/>
            <w:shd w:val="clear" w:color="auto" w:fill="auto"/>
            <w:noWrap/>
            <w:vAlign w:val="center"/>
          </w:tcPr>
          <w:p w14:paraId="2DAFCB5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OECD DAC</w:t>
            </w:r>
          </w:p>
        </w:tc>
        <w:tc>
          <w:tcPr>
            <w:tcW w:w="960" w:type="dxa"/>
            <w:shd w:val="clear" w:color="auto" w:fill="auto"/>
            <w:noWrap/>
            <w:vAlign w:val="bottom"/>
          </w:tcPr>
          <w:p w14:paraId="4C17B8B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4517347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Odbor za razvojno pomoč pri Organizaciji za gospodarsko sodelovanje in razvoj</w:t>
            </w:r>
          </w:p>
        </w:tc>
      </w:tr>
      <w:tr w:rsidR="006F6EC3" w:rsidRPr="00A463F9" w14:paraId="49A063A0" w14:textId="77777777" w:rsidTr="00241178">
        <w:trPr>
          <w:trHeight w:val="300"/>
        </w:trPr>
        <w:tc>
          <w:tcPr>
            <w:tcW w:w="1351" w:type="dxa"/>
            <w:shd w:val="clear" w:color="auto" w:fill="auto"/>
            <w:noWrap/>
            <w:vAlign w:val="center"/>
            <w:hideMark/>
          </w:tcPr>
          <w:p w14:paraId="1EC24F6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lastRenderedPageBreak/>
              <w:t xml:space="preserve">OOF </w:t>
            </w:r>
          </w:p>
        </w:tc>
        <w:tc>
          <w:tcPr>
            <w:tcW w:w="960" w:type="dxa"/>
            <w:shd w:val="clear" w:color="auto" w:fill="auto"/>
            <w:noWrap/>
            <w:vAlign w:val="bottom"/>
            <w:hideMark/>
          </w:tcPr>
          <w:p w14:paraId="1F6CD3D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D08E75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Drugi uradni tokovi pomoči</w:t>
            </w:r>
          </w:p>
        </w:tc>
      </w:tr>
      <w:tr w:rsidR="006F6EC3" w:rsidRPr="00A463F9" w14:paraId="4C06B770" w14:textId="77777777" w:rsidTr="00241178">
        <w:trPr>
          <w:trHeight w:val="300"/>
        </w:trPr>
        <w:tc>
          <w:tcPr>
            <w:tcW w:w="1351" w:type="dxa"/>
            <w:shd w:val="clear" w:color="auto" w:fill="auto"/>
            <w:noWrap/>
            <w:vAlign w:val="center"/>
            <w:hideMark/>
          </w:tcPr>
          <w:p w14:paraId="291ADB9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OP EKP</w:t>
            </w:r>
          </w:p>
        </w:tc>
        <w:tc>
          <w:tcPr>
            <w:tcW w:w="960" w:type="dxa"/>
            <w:shd w:val="clear" w:color="auto" w:fill="auto"/>
            <w:noWrap/>
            <w:vAlign w:val="bottom"/>
            <w:hideMark/>
          </w:tcPr>
          <w:p w14:paraId="06675AB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60F178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Operativni program za izvajanje Evropske kohezijske politike</w:t>
            </w:r>
          </w:p>
        </w:tc>
      </w:tr>
      <w:tr w:rsidR="006F6EC3" w:rsidRPr="00A463F9" w14:paraId="1FDD0199" w14:textId="77777777" w:rsidTr="00241178">
        <w:trPr>
          <w:trHeight w:val="300"/>
        </w:trPr>
        <w:tc>
          <w:tcPr>
            <w:tcW w:w="1351" w:type="dxa"/>
            <w:shd w:val="clear" w:color="auto" w:fill="auto"/>
            <w:noWrap/>
            <w:vAlign w:val="center"/>
            <w:hideMark/>
          </w:tcPr>
          <w:p w14:paraId="38B8274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OT</w:t>
            </w:r>
          </w:p>
        </w:tc>
        <w:tc>
          <w:tcPr>
            <w:tcW w:w="960" w:type="dxa"/>
            <w:shd w:val="clear" w:color="auto" w:fill="auto"/>
            <w:noWrap/>
            <w:vAlign w:val="bottom"/>
            <w:hideMark/>
          </w:tcPr>
          <w:p w14:paraId="0BC744E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6AB2CA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Odvečna toplota</w:t>
            </w:r>
          </w:p>
        </w:tc>
      </w:tr>
      <w:tr w:rsidR="006F6EC3" w:rsidRPr="00A463F9" w14:paraId="593B72A1" w14:textId="77777777" w:rsidTr="00241178">
        <w:trPr>
          <w:trHeight w:val="300"/>
        </w:trPr>
        <w:tc>
          <w:tcPr>
            <w:tcW w:w="1351" w:type="dxa"/>
            <w:shd w:val="clear" w:color="auto" w:fill="auto"/>
            <w:noWrap/>
            <w:vAlign w:val="center"/>
            <w:hideMark/>
          </w:tcPr>
          <w:p w14:paraId="7C93190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OVE</w:t>
            </w:r>
          </w:p>
        </w:tc>
        <w:tc>
          <w:tcPr>
            <w:tcW w:w="960" w:type="dxa"/>
            <w:shd w:val="clear" w:color="auto" w:fill="auto"/>
            <w:noWrap/>
            <w:vAlign w:val="bottom"/>
            <w:hideMark/>
          </w:tcPr>
          <w:p w14:paraId="3234289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605027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Obnovljivi viri energije</w:t>
            </w:r>
          </w:p>
        </w:tc>
      </w:tr>
      <w:tr w:rsidR="006F6EC3" w:rsidRPr="00A463F9" w14:paraId="7BBD57D7" w14:textId="77777777" w:rsidTr="00241178">
        <w:trPr>
          <w:trHeight w:val="300"/>
        </w:trPr>
        <w:tc>
          <w:tcPr>
            <w:tcW w:w="1351" w:type="dxa"/>
            <w:shd w:val="clear" w:color="auto" w:fill="auto"/>
            <w:noWrap/>
            <w:vAlign w:val="center"/>
            <w:hideMark/>
          </w:tcPr>
          <w:p w14:paraId="58A9729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PFC</w:t>
            </w:r>
          </w:p>
        </w:tc>
        <w:tc>
          <w:tcPr>
            <w:tcW w:w="960" w:type="dxa"/>
            <w:shd w:val="clear" w:color="auto" w:fill="auto"/>
            <w:noWrap/>
            <w:vAlign w:val="bottom"/>
            <w:hideMark/>
          </w:tcPr>
          <w:p w14:paraId="779CE39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8D4EE0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Perfluorirani ogljikovodiki</w:t>
            </w:r>
          </w:p>
        </w:tc>
      </w:tr>
      <w:tr w:rsidR="006F6EC3" w:rsidRPr="00A463F9" w14:paraId="1C9B56D7" w14:textId="77777777" w:rsidTr="00241178">
        <w:trPr>
          <w:trHeight w:val="300"/>
        </w:trPr>
        <w:tc>
          <w:tcPr>
            <w:tcW w:w="1351" w:type="dxa"/>
            <w:shd w:val="clear" w:color="auto" w:fill="auto"/>
            <w:noWrap/>
            <w:vAlign w:val="center"/>
            <w:hideMark/>
          </w:tcPr>
          <w:p w14:paraId="29DFBB4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PHEV</w:t>
            </w:r>
          </w:p>
        </w:tc>
        <w:tc>
          <w:tcPr>
            <w:tcW w:w="960" w:type="dxa"/>
            <w:shd w:val="clear" w:color="auto" w:fill="auto"/>
            <w:noWrap/>
            <w:vAlign w:val="bottom"/>
            <w:hideMark/>
          </w:tcPr>
          <w:p w14:paraId="071F990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23EC1B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Priključni hibridi</w:t>
            </w:r>
          </w:p>
        </w:tc>
      </w:tr>
      <w:tr w:rsidR="006F6EC3" w:rsidRPr="00A463F9" w14:paraId="01839008" w14:textId="77777777" w:rsidTr="00241178">
        <w:trPr>
          <w:trHeight w:val="300"/>
        </w:trPr>
        <w:tc>
          <w:tcPr>
            <w:tcW w:w="1351" w:type="dxa"/>
            <w:shd w:val="clear" w:color="auto" w:fill="auto"/>
            <w:noWrap/>
            <w:vAlign w:val="center"/>
            <w:hideMark/>
          </w:tcPr>
          <w:p w14:paraId="0E5F2E2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PP-EPS</w:t>
            </w:r>
          </w:p>
        </w:tc>
        <w:tc>
          <w:tcPr>
            <w:tcW w:w="960" w:type="dxa"/>
            <w:shd w:val="clear" w:color="auto" w:fill="auto"/>
            <w:noWrap/>
            <w:vAlign w:val="bottom"/>
            <w:hideMark/>
          </w:tcPr>
          <w:p w14:paraId="747A62E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6316F3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Projektna pisarna za energetsko prenovo stavb</w:t>
            </w:r>
          </w:p>
        </w:tc>
      </w:tr>
      <w:tr w:rsidR="006F6EC3" w:rsidRPr="00A463F9" w14:paraId="7ECAB0C9" w14:textId="77777777" w:rsidTr="00241178">
        <w:trPr>
          <w:trHeight w:val="300"/>
        </w:trPr>
        <w:tc>
          <w:tcPr>
            <w:tcW w:w="1351" w:type="dxa"/>
            <w:shd w:val="clear" w:color="auto" w:fill="auto"/>
            <w:noWrap/>
            <w:vAlign w:val="center"/>
            <w:hideMark/>
          </w:tcPr>
          <w:p w14:paraId="2F39459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PURES</w:t>
            </w:r>
          </w:p>
        </w:tc>
        <w:tc>
          <w:tcPr>
            <w:tcW w:w="960" w:type="dxa"/>
            <w:shd w:val="clear" w:color="auto" w:fill="auto"/>
            <w:noWrap/>
            <w:vAlign w:val="bottom"/>
            <w:hideMark/>
          </w:tcPr>
          <w:p w14:paraId="432FA50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5DA9D2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Pravilnik o učinkoviti rabi energije v stavbah</w:t>
            </w:r>
          </w:p>
        </w:tc>
      </w:tr>
      <w:tr w:rsidR="006F6EC3" w:rsidRPr="00A463F9" w14:paraId="1E1F1D2F" w14:textId="77777777" w:rsidTr="00241178">
        <w:trPr>
          <w:trHeight w:val="300"/>
        </w:trPr>
        <w:tc>
          <w:tcPr>
            <w:tcW w:w="1351" w:type="dxa"/>
            <w:shd w:val="clear" w:color="auto" w:fill="auto"/>
            <w:noWrap/>
            <w:vAlign w:val="center"/>
            <w:hideMark/>
          </w:tcPr>
          <w:p w14:paraId="40ECF8E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PV</w:t>
            </w:r>
          </w:p>
        </w:tc>
        <w:tc>
          <w:tcPr>
            <w:tcW w:w="960" w:type="dxa"/>
            <w:shd w:val="clear" w:color="auto" w:fill="auto"/>
            <w:noWrap/>
            <w:vAlign w:val="bottom"/>
            <w:hideMark/>
          </w:tcPr>
          <w:p w14:paraId="5E1535F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EC5321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Fotovoltaični sistemi (sončna elektrarna)</w:t>
            </w:r>
          </w:p>
        </w:tc>
      </w:tr>
      <w:tr w:rsidR="006F6EC3" w:rsidRPr="00A463F9" w14:paraId="30B6C95B" w14:textId="77777777" w:rsidTr="00241178">
        <w:trPr>
          <w:trHeight w:val="300"/>
        </w:trPr>
        <w:tc>
          <w:tcPr>
            <w:tcW w:w="1351" w:type="dxa"/>
            <w:shd w:val="clear" w:color="auto" w:fill="auto"/>
            <w:noWrap/>
            <w:vAlign w:val="center"/>
            <w:hideMark/>
          </w:tcPr>
          <w:p w14:paraId="2AAF478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PVO</w:t>
            </w:r>
          </w:p>
        </w:tc>
        <w:tc>
          <w:tcPr>
            <w:tcW w:w="960" w:type="dxa"/>
            <w:shd w:val="clear" w:color="auto" w:fill="auto"/>
            <w:noWrap/>
            <w:vAlign w:val="bottom"/>
            <w:hideMark/>
          </w:tcPr>
          <w:p w14:paraId="2158BDE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479D39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Presoja vplivov na okolje</w:t>
            </w:r>
          </w:p>
        </w:tc>
      </w:tr>
      <w:tr w:rsidR="006F6EC3" w:rsidRPr="00A463F9" w14:paraId="4CEB4EB7" w14:textId="77777777" w:rsidTr="00241178">
        <w:trPr>
          <w:trHeight w:val="300"/>
        </w:trPr>
        <w:tc>
          <w:tcPr>
            <w:tcW w:w="1351" w:type="dxa"/>
            <w:shd w:val="clear" w:color="auto" w:fill="auto"/>
            <w:noWrap/>
            <w:vAlign w:val="center"/>
            <w:hideMark/>
          </w:tcPr>
          <w:p w14:paraId="6F5773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Re-Co</w:t>
            </w:r>
          </w:p>
        </w:tc>
        <w:tc>
          <w:tcPr>
            <w:tcW w:w="960" w:type="dxa"/>
            <w:shd w:val="clear" w:color="auto" w:fill="auto"/>
            <w:noWrap/>
            <w:vAlign w:val="bottom"/>
            <w:hideMark/>
          </w:tcPr>
          <w:p w14:paraId="0902BE8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954952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Pregled in optimizacija delovanja obstoječih tehničnih sistemov v stavbah</w:t>
            </w:r>
          </w:p>
        </w:tc>
      </w:tr>
      <w:tr w:rsidR="006F6EC3" w:rsidRPr="00A463F9" w14:paraId="377D578B" w14:textId="77777777" w:rsidTr="00241178">
        <w:trPr>
          <w:trHeight w:val="300"/>
        </w:trPr>
        <w:tc>
          <w:tcPr>
            <w:tcW w:w="1351" w:type="dxa"/>
            <w:shd w:val="clear" w:color="auto" w:fill="auto"/>
            <w:noWrap/>
            <w:vAlign w:val="center"/>
            <w:hideMark/>
          </w:tcPr>
          <w:p w14:paraId="7A378FE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RRF</w:t>
            </w:r>
          </w:p>
        </w:tc>
        <w:tc>
          <w:tcPr>
            <w:tcW w:w="960" w:type="dxa"/>
            <w:shd w:val="clear" w:color="auto" w:fill="auto"/>
            <w:noWrap/>
            <w:vAlign w:val="bottom"/>
            <w:hideMark/>
          </w:tcPr>
          <w:p w14:paraId="40979CE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36C296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Sklad za okrevanje in odpornost</w:t>
            </w:r>
          </w:p>
        </w:tc>
      </w:tr>
      <w:tr w:rsidR="006F6EC3" w:rsidRPr="00A463F9" w14:paraId="28932CF9" w14:textId="77777777" w:rsidTr="00241178">
        <w:trPr>
          <w:trHeight w:val="300"/>
        </w:trPr>
        <w:tc>
          <w:tcPr>
            <w:tcW w:w="1351" w:type="dxa"/>
            <w:shd w:val="clear" w:color="auto" w:fill="auto"/>
            <w:noWrap/>
            <w:vAlign w:val="center"/>
            <w:hideMark/>
          </w:tcPr>
          <w:p w14:paraId="5E94446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RRI</w:t>
            </w:r>
          </w:p>
        </w:tc>
        <w:tc>
          <w:tcPr>
            <w:tcW w:w="960" w:type="dxa"/>
            <w:shd w:val="clear" w:color="auto" w:fill="auto"/>
            <w:noWrap/>
            <w:vAlign w:val="bottom"/>
            <w:hideMark/>
          </w:tcPr>
          <w:p w14:paraId="7910827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969529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Raziskav, razvoj in inovacije</w:t>
            </w:r>
          </w:p>
        </w:tc>
      </w:tr>
      <w:tr w:rsidR="006F6EC3" w:rsidRPr="00A463F9" w14:paraId="7C51FDE7" w14:textId="77777777" w:rsidTr="00241178">
        <w:trPr>
          <w:trHeight w:val="300"/>
        </w:trPr>
        <w:tc>
          <w:tcPr>
            <w:tcW w:w="1351" w:type="dxa"/>
            <w:shd w:val="clear" w:color="auto" w:fill="auto"/>
            <w:noWrap/>
            <w:vAlign w:val="center"/>
            <w:hideMark/>
          </w:tcPr>
          <w:p w14:paraId="3131216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S5</w:t>
            </w:r>
          </w:p>
        </w:tc>
        <w:tc>
          <w:tcPr>
            <w:tcW w:w="960" w:type="dxa"/>
            <w:shd w:val="clear" w:color="auto" w:fill="auto"/>
            <w:noWrap/>
            <w:vAlign w:val="bottom"/>
            <w:hideMark/>
          </w:tcPr>
          <w:p w14:paraId="44DC2BB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D84D7A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Strategija pametne specializacije</w:t>
            </w:r>
          </w:p>
        </w:tc>
      </w:tr>
      <w:tr w:rsidR="006F6EC3" w:rsidRPr="00A463F9" w14:paraId="2D5E915E" w14:textId="77777777" w:rsidTr="00241178">
        <w:trPr>
          <w:trHeight w:val="300"/>
        </w:trPr>
        <w:tc>
          <w:tcPr>
            <w:tcW w:w="1351" w:type="dxa"/>
            <w:shd w:val="clear" w:color="auto" w:fill="auto"/>
            <w:noWrap/>
            <w:vAlign w:val="center"/>
            <w:hideMark/>
          </w:tcPr>
          <w:p w14:paraId="708677C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SCF</w:t>
            </w:r>
          </w:p>
        </w:tc>
        <w:tc>
          <w:tcPr>
            <w:tcW w:w="960" w:type="dxa"/>
            <w:shd w:val="clear" w:color="auto" w:fill="auto"/>
            <w:noWrap/>
            <w:vAlign w:val="bottom"/>
            <w:hideMark/>
          </w:tcPr>
          <w:p w14:paraId="71AD3C9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DFA7B7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Socialni sklad za podnebje</w:t>
            </w:r>
          </w:p>
        </w:tc>
      </w:tr>
      <w:tr w:rsidR="006F6EC3" w:rsidRPr="00A463F9" w14:paraId="48CEF54C" w14:textId="77777777" w:rsidTr="00241178">
        <w:trPr>
          <w:trHeight w:val="300"/>
        </w:trPr>
        <w:tc>
          <w:tcPr>
            <w:tcW w:w="1351" w:type="dxa"/>
            <w:shd w:val="clear" w:color="auto" w:fill="auto"/>
            <w:noWrap/>
            <w:vAlign w:val="center"/>
            <w:hideMark/>
          </w:tcPr>
          <w:p w14:paraId="1FFB8B8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SDO</w:t>
            </w:r>
          </w:p>
        </w:tc>
        <w:tc>
          <w:tcPr>
            <w:tcW w:w="960" w:type="dxa"/>
            <w:shd w:val="clear" w:color="auto" w:fill="auto"/>
            <w:noWrap/>
            <w:vAlign w:val="bottom"/>
            <w:hideMark/>
          </w:tcPr>
          <w:p w14:paraId="1024A5B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8F637F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Sistem daljinskega ogrevanja</w:t>
            </w:r>
          </w:p>
        </w:tc>
      </w:tr>
      <w:tr w:rsidR="006F6EC3" w:rsidRPr="00A463F9" w14:paraId="5141BE13" w14:textId="77777777" w:rsidTr="00241178">
        <w:trPr>
          <w:trHeight w:val="300"/>
        </w:trPr>
        <w:tc>
          <w:tcPr>
            <w:tcW w:w="1351" w:type="dxa"/>
            <w:shd w:val="clear" w:color="auto" w:fill="auto"/>
            <w:noWrap/>
            <w:vAlign w:val="center"/>
            <w:hideMark/>
          </w:tcPr>
          <w:p w14:paraId="46A53F4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SDOH</w:t>
            </w:r>
          </w:p>
        </w:tc>
        <w:tc>
          <w:tcPr>
            <w:tcW w:w="960" w:type="dxa"/>
            <w:shd w:val="clear" w:color="auto" w:fill="auto"/>
            <w:noWrap/>
            <w:vAlign w:val="bottom"/>
            <w:hideMark/>
          </w:tcPr>
          <w:p w14:paraId="4C79320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08108F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Sistem daljinskega ogrevanja in hlajenja</w:t>
            </w:r>
          </w:p>
        </w:tc>
      </w:tr>
      <w:tr w:rsidR="006F6EC3" w:rsidRPr="00A463F9" w14:paraId="01F037FF" w14:textId="77777777" w:rsidTr="00241178">
        <w:trPr>
          <w:trHeight w:val="360"/>
        </w:trPr>
        <w:tc>
          <w:tcPr>
            <w:tcW w:w="1351" w:type="dxa"/>
            <w:shd w:val="clear" w:color="auto" w:fill="auto"/>
            <w:noWrap/>
            <w:vAlign w:val="center"/>
            <w:hideMark/>
          </w:tcPr>
          <w:p w14:paraId="6225D0A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SF</w:t>
            </w:r>
            <w:r w:rsidRPr="00A463F9">
              <w:rPr>
                <w:rFonts w:ascii="Arial" w:eastAsia="Times New Roman" w:hAnsi="Arial" w:cs="Arial"/>
                <w:color w:val="000000"/>
                <w:sz w:val="20"/>
                <w:szCs w:val="20"/>
                <w:vertAlign w:val="subscript"/>
                <w:lang w:eastAsia="sl-SI"/>
              </w:rPr>
              <w:t>6</w:t>
            </w:r>
          </w:p>
        </w:tc>
        <w:tc>
          <w:tcPr>
            <w:tcW w:w="960" w:type="dxa"/>
            <w:shd w:val="clear" w:color="auto" w:fill="auto"/>
            <w:noWrap/>
            <w:vAlign w:val="bottom"/>
            <w:hideMark/>
          </w:tcPr>
          <w:p w14:paraId="5FC2197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456D32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Žveplov heksafluorid</w:t>
            </w:r>
          </w:p>
        </w:tc>
      </w:tr>
      <w:tr w:rsidR="006F6EC3" w:rsidRPr="00A463F9" w14:paraId="6405E9D5" w14:textId="77777777" w:rsidTr="00241178">
        <w:trPr>
          <w:trHeight w:val="300"/>
        </w:trPr>
        <w:tc>
          <w:tcPr>
            <w:tcW w:w="1351" w:type="dxa"/>
            <w:shd w:val="clear" w:color="auto" w:fill="auto"/>
            <w:noWrap/>
            <w:vAlign w:val="center"/>
            <w:hideMark/>
          </w:tcPr>
          <w:p w14:paraId="77A0F28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SHEE</w:t>
            </w:r>
          </w:p>
        </w:tc>
        <w:tc>
          <w:tcPr>
            <w:tcW w:w="960" w:type="dxa"/>
            <w:shd w:val="clear" w:color="auto" w:fill="auto"/>
            <w:noWrap/>
            <w:vAlign w:val="bottom"/>
            <w:hideMark/>
          </w:tcPr>
          <w:p w14:paraId="7484E40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92DFB1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sistemi hranjenja električne energije</w:t>
            </w:r>
          </w:p>
        </w:tc>
      </w:tr>
      <w:tr w:rsidR="006F6EC3" w:rsidRPr="00A463F9" w14:paraId="598FE8AA" w14:textId="77777777" w:rsidTr="00241178">
        <w:trPr>
          <w:trHeight w:val="300"/>
        </w:trPr>
        <w:tc>
          <w:tcPr>
            <w:tcW w:w="1351" w:type="dxa"/>
            <w:shd w:val="clear" w:color="auto" w:fill="auto"/>
            <w:noWrap/>
            <w:vAlign w:val="center"/>
            <w:hideMark/>
          </w:tcPr>
          <w:p w14:paraId="51E879B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SiMO</w:t>
            </w:r>
          </w:p>
        </w:tc>
        <w:tc>
          <w:tcPr>
            <w:tcW w:w="960" w:type="dxa"/>
            <w:shd w:val="clear" w:color="auto" w:fill="auto"/>
            <w:noWrap/>
            <w:vAlign w:val="bottom"/>
            <w:hideMark/>
          </w:tcPr>
          <w:p w14:paraId="5E92BD3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E72EA3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Slovenski nacionalni načrtovalec poti</w:t>
            </w:r>
          </w:p>
        </w:tc>
      </w:tr>
      <w:tr w:rsidR="006F6EC3" w:rsidRPr="00A463F9" w14:paraId="10750A8D" w14:textId="77777777" w:rsidTr="00241178">
        <w:trPr>
          <w:trHeight w:val="300"/>
        </w:trPr>
        <w:tc>
          <w:tcPr>
            <w:tcW w:w="1351" w:type="dxa"/>
            <w:shd w:val="clear" w:color="auto" w:fill="auto"/>
            <w:noWrap/>
            <w:vAlign w:val="center"/>
          </w:tcPr>
          <w:p w14:paraId="00DDB3C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SLO kTG</w:t>
            </w:r>
          </w:p>
        </w:tc>
        <w:tc>
          <w:tcPr>
            <w:tcW w:w="960" w:type="dxa"/>
            <w:shd w:val="clear" w:color="auto" w:fill="auto"/>
            <w:noWrap/>
            <w:vAlign w:val="bottom"/>
          </w:tcPr>
          <w:p w14:paraId="5447847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56B247B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Kazalniki trajnostne gradnje za Slovenijo</w:t>
            </w:r>
          </w:p>
        </w:tc>
      </w:tr>
      <w:tr w:rsidR="006F6EC3" w:rsidRPr="00A463F9" w14:paraId="478FCD51" w14:textId="77777777" w:rsidTr="00241178">
        <w:trPr>
          <w:trHeight w:val="300"/>
        </w:trPr>
        <w:tc>
          <w:tcPr>
            <w:tcW w:w="1351" w:type="dxa"/>
            <w:shd w:val="clear" w:color="auto" w:fill="auto"/>
            <w:noWrap/>
            <w:vAlign w:val="center"/>
            <w:hideMark/>
          </w:tcPr>
          <w:p w14:paraId="75226E0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SME</w:t>
            </w:r>
          </w:p>
        </w:tc>
        <w:tc>
          <w:tcPr>
            <w:tcW w:w="960" w:type="dxa"/>
            <w:shd w:val="clear" w:color="auto" w:fill="auto"/>
            <w:noWrap/>
            <w:vAlign w:val="bottom"/>
            <w:hideMark/>
          </w:tcPr>
          <w:p w14:paraId="44E311B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62AEB4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glej MSP</w:t>
            </w:r>
          </w:p>
        </w:tc>
      </w:tr>
      <w:tr w:rsidR="006F6EC3" w:rsidRPr="00A463F9" w14:paraId="2A9751E6" w14:textId="77777777" w:rsidTr="00241178">
        <w:trPr>
          <w:trHeight w:val="300"/>
        </w:trPr>
        <w:tc>
          <w:tcPr>
            <w:tcW w:w="1351" w:type="dxa"/>
            <w:shd w:val="clear" w:color="auto" w:fill="auto"/>
            <w:noWrap/>
            <w:vAlign w:val="center"/>
            <w:hideMark/>
          </w:tcPr>
          <w:p w14:paraId="72C478C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SPP</w:t>
            </w:r>
          </w:p>
        </w:tc>
        <w:tc>
          <w:tcPr>
            <w:tcW w:w="960" w:type="dxa"/>
            <w:shd w:val="clear" w:color="auto" w:fill="auto"/>
            <w:noWrap/>
            <w:vAlign w:val="bottom"/>
            <w:hideMark/>
          </w:tcPr>
          <w:p w14:paraId="765B9BF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37BAC8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Evropski sklad za pravični prehod</w:t>
            </w:r>
          </w:p>
        </w:tc>
      </w:tr>
      <w:tr w:rsidR="006F6EC3" w:rsidRPr="00A463F9" w14:paraId="6942ABBC" w14:textId="77777777" w:rsidTr="00241178">
        <w:trPr>
          <w:trHeight w:val="300"/>
        </w:trPr>
        <w:tc>
          <w:tcPr>
            <w:tcW w:w="1351" w:type="dxa"/>
            <w:shd w:val="clear" w:color="auto" w:fill="auto"/>
            <w:noWrap/>
            <w:vAlign w:val="center"/>
            <w:hideMark/>
          </w:tcPr>
          <w:p w14:paraId="0A2DB2A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SPTE</w:t>
            </w:r>
          </w:p>
        </w:tc>
        <w:tc>
          <w:tcPr>
            <w:tcW w:w="960" w:type="dxa"/>
            <w:shd w:val="clear" w:color="auto" w:fill="auto"/>
            <w:noWrap/>
            <w:vAlign w:val="bottom"/>
            <w:hideMark/>
          </w:tcPr>
          <w:p w14:paraId="162AAEA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7E7BAA5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Soproizvodnja električne energije in toplote</w:t>
            </w:r>
          </w:p>
        </w:tc>
      </w:tr>
      <w:tr w:rsidR="006F6EC3" w:rsidRPr="00A463F9" w14:paraId="27A139F8" w14:textId="77777777" w:rsidTr="00241178">
        <w:trPr>
          <w:trHeight w:val="300"/>
        </w:trPr>
        <w:tc>
          <w:tcPr>
            <w:tcW w:w="1351" w:type="dxa"/>
            <w:shd w:val="clear" w:color="auto" w:fill="auto"/>
            <w:noWrap/>
            <w:vAlign w:val="center"/>
            <w:hideMark/>
          </w:tcPr>
          <w:p w14:paraId="3DC34D4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SRIP</w:t>
            </w:r>
          </w:p>
        </w:tc>
        <w:tc>
          <w:tcPr>
            <w:tcW w:w="960" w:type="dxa"/>
            <w:shd w:val="clear" w:color="auto" w:fill="auto"/>
            <w:noWrap/>
            <w:vAlign w:val="bottom"/>
            <w:hideMark/>
          </w:tcPr>
          <w:p w14:paraId="08793C1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E0241C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Strateška razvojno-inovacijska partnerstva</w:t>
            </w:r>
          </w:p>
        </w:tc>
      </w:tr>
      <w:tr w:rsidR="006F6EC3" w:rsidRPr="00A463F9" w14:paraId="78BFD4CC" w14:textId="77777777" w:rsidTr="00241178">
        <w:trPr>
          <w:trHeight w:val="300"/>
        </w:trPr>
        <w:tc>
          <w:tcPr>
            <w:tcW w:w="1351" w:type="dxa"/>
            <w:shd w:val="clear" w:color="auto" w:fill="auto"/>
            <w:noWrap/>
            <w:vAlign w:val="center"/>
            <w:hideMark/>
          </w:tcPr>
          <w:p w14:paraId="6F39A30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SURS</w:t>
            </w:r>
          </w:p>
        </w:tc>
        <w:tc>
          <w:tcPr>
            <w:tcW w:w="960" w:type="dxa"/>
            <w:shd w:val="clear" w:color="auto" w:fill="auto"/>
            <w:noWrap/>
            <w:vAlign w:val="bottom"/>
            <w:hideMark/>
          </w:tcPr>
          <w:p w14:paraId="1131204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4AF6B9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Statistični urad Republike Slovenije</w:t>
            </w:r>
          </w:p>
        </w:tc>
      </w:tr>
      <w:tr w:rsidR="006F6EC3" w:rsidRPr="00A463F9" w14:paraId="6972AC0A" w14:textId="77777777" w:rsidTr="00241178">
        <w:trPr>
          <w:trHeight w:val="300"/>
        </w:trPr>
        <w:tc>
          <w:tcPr>
            <w:tcW w:w="1351" w:type="dxa"/>
            <w:shd w:val="clear" w:color="auto" w:fill="auto"/>
            <w:noWrap/>
            <w:vAlign w:val="center"/>
            <w:hideMark/>
          </w:tcPr>
          <w:p w14:paraId="72539ED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SŽ</w:t>
            </w:r>
          </w:p>
        </w:tc>
        <w:tc>
          <w:tcPr>
            <w:tcW w:w="960" w:type="dxa"/>
            <w:shd w:val="clear" w:color="auto" w:fill="auto"/>
            <w:noWrap/>
            <w:vAlign w:val="bottom"/>
            <w:hideMark/>
          </w:tcPr>
          <w:p w14:paraId="0D01FE1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07CA92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Slovenske železnice</w:t>
            </w:r>
          </w:p>
        </w:tc>
      </w:tr>
      <w:tr w:rsidR="006F6EC3" w:rsidRPr="00A463F9" w14:paraId="2EA9F601" w14:textId="77777777" w:rsidTr="00241178">
        <w:trPr>
          <w:trHeight w:val="300"/>
        </w:trPr>
        <w:tc>
          <w:tcPr>
            <w:tcW w:w="1351" w:type="dxa"/>
            <w:shd w:val="clear" w:color="auto" w:fill="auto"/>
            <w:noWrap/>
            <w:vAlign w:val="center"/>
            <w:hideMark/>
          </w:tcPr>
          <w:p w14:paraId="6F3ED82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TEN-T</w:t>
            </w:r>
          </w:p>
        </w:tc>
        <w:tc>
          <w:tcPr>
            <w:tcW w:w="960" w:type="dxa"/>
            <w:shd w:val="clear" w:color="auto" w:fill="auto"/>
            <w:noWrap/>
            <w:vAlign w:val="bottom"/>
            <w:hideMark/>
          </w:tcPr>
          <w:p w14:paraId="58F7CFF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5F2621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Vseevropsko prometno omrežje</w:t>
            </w:r>
          </w:p>
        </w:tc>
      </w:tr>
      <w:tr w:rsidR="006F6EC3" w:rsidRPr="00A463F9" w14:paraId="1A78DE61" w14:textId="77777777" w:rsidTr="00241178">
        <w:trPr>
          <w:trHeight w:val="300"/>
        </w:trPr>
        <w:tc>
          <w:tcPr>
            <w:tcW w:w="1351" w:type="dxa"/>
            <w:shd w:val="clear" w:color="auto" w:fill="auto"/>
            <w:noWrap/>
            <w:vAlign w:val="center"/>
            <w:hideMark/>
          </w:tcPr>
          <w:p w14:paraId="494F628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TEŠ</w:t>
            </w:r>
          </w:p>
        </w:tc>
        <w:tc>
          <w:tcPr>
            <w:tcW w:w="960" w:type="dxa"/>
            <w:shd w:val="clear" w:color="auto" w:fill="auto"/>
            <w:noWrap/>
            <w:vAlign w:val="bottom"/>
            <w:hideMark/>
          </w:tcPr>
          <w:p w14:paraId="05847B1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671E55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Termoelektrarna Šoštanj</w:t>
            </w:r>
          </w:p>
        </w:tc>
      </w:tr>
      <w:tr w:rsidR="006F6EC3" w:rsidRPr="00A463F9" w14:paraId="4B122136" w14:textId="77777777" w:rsidTr="00241178">
        <w:trPr>
          <w:trHeight w:val="300"/>
        </w:trPr>
        <w:tc>
          <w:tcPr>
            <w:tcW w:w="1351" w:type="dxa"/>
            <w:shd w:val="clear" w:color="auto" w:fill="auto"/>
            <w:noWrap/>
            <w:vAlign w:val="center"/>
            <w:hideMark/>
          </w:tcPr>
          <w:p w14:paraId="29F7EE8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TET</w:t>
            </w:r>
          </w:p>
        </w:tc>
        <w:tc>
          <w:tcPr>
            <w:tcW w:w="960" w:type="dxa"/>
            <w:shd w:val="clear" w:color="auto" w:fill="auto"/>
            <w:noWrap/>
            <w:vAlign w:val="bottom"/>
            <w:hideMark/>
          </w:tcPr>
          <w:p w14:paraId="278783B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4D5044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Termoelektrarna Trbovlje</w:t>
            </w:r>
          </w:p>
        </w:tc>
      </w:tr>
      <w:tr w:rsidR="006F6EC3" w:rsidRPr="00A463F9" w14:paraId="4868F945" w14:textId="77777777" w:rsidTr="00241178">
        <w:trPr>
          <w:trHeight w:val="300"/>
        </w:trPr>
        <w:tc>
          <w:tcPr>
            <w:tcW w:w="1351" w:type="dxa"/>
            <w:shd w:val="clear" w:color="auto" w:fill="auto"/>
            <w:noWrap/>
            <w:vAlign w:val="center"/>
            <w:hideMark/>
          </w:tcPr>
          <w:p w14:paraId="1190F36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TE-TOL</w:t>
            </w:r>
          </w:p>
        </w:tc>
        <w:tc>
          <w:tcPr>
            <w:tcW w:w="960" w:type="dxa"/>
            <w:shd w:val="clear" w:color="auto" w:fill="auto"/>
            <w:noWrap/>
            <w:vAlign w:val="bottom"/>
            <w:hideMark/>
          </w:tcPr>
          <w:p w14:paraId="00D687A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11E748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Termoelektrarna toplarna Ljubljana</w:t>
            </w:r>
          </w:p>
        </w:tc>
      </w:tr>
      <w:tr w:rsidR="006F6EC3" w:rsidRPr="00A463F9" w14:paraId="4E933BD2" w14:textId="77777777" w:rsidTr="00241178">
        <w:trPr>
          <w:trHeight w:val="300"/>
        </w:trPr>
        <w:tc>
          <w:tcPr>
            <w:tcW w:w="1351" w:type="dxa"/>
            <w:shd w:val="clear" w:color="auto" w:fill="auto"/>
            <w:noWrap/>
            <w:vAlign w:val="center"/>
            <w:hideMark/>
          </w:tcPr>
          <w:p w14:paraId="7E2FA10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TGP</w:t>
            </w:r>
          </w:p>
        </w:tc>
        <w:tc>
          <w:tcPr>
            <w:tcW w:w="960" w:type="dxa"/>
            <w:shd w:val="clear" w:color="auto" w:fill="auto"/>
            <w:noWrap/>
            <w:vAlign w:val="bottom"/>
            <w:hideMark/>
          </w:tcPr>
          <w:p w14:paraId="0441AF5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66F1353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Toplogredni plini</w:t>
            </w:r>
          </w:p>
        </w:tc>
      </w:tr>
      <w:tr w:rsidR="006F6EC3" w:rsidRPr="00A463F9" w14:paraId="3D76C7F5" w14:textId="77777777" w:rsidTr="00241178">
        <w:trPr>
          <w:trHeight w:val="300"/>
        </w:trPr>
        <w:tc>
          <w:tcPr>
            <w:tcW w:w="1351" w:type="dxa"/>
            <w:shd w:val="clear" w:color="auto" w:fill="auto"/>
            <w:noWrap/>
            <w:vAlign w:val="center"/>
          </w:tcPr>
          <w:p w14:paraId="016AD40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UNFCCC</w:t>
            </w:r>
          </w:p>
        </w:tc>
        <w:tc>
          <w:tcPr>
            <w:tcW w:w="960" w:type="dxa"/>
            <w:shd w:val="clear" w:color="auto" w:fill="auto"/>
            <w:noWrap/>
            <w:vAlign w:val="bottom"/>
          </w:tcPr>
          <w:p w14:paraId="7A54401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tcPr>
          <w:p w14:paraId="0D2AC93C"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Okvirna konvencije ZN o spremembi podnebja</w:t>
            </w:r>
          </w:p>
        </w:tc>
      </w:tr>
      <w:tr w:rsidR="006F6EC3" w:rsidRPr="00A463F9" w14:paraId="299BD2EE" w14:textId="77777777" w:rsidTr="00241178">
        <w:trPr>
          <w:trHeight w:val="300"/>
        </w:trPr>
        <w:tc>
          <w:tcPr>
            <w:tcW w:w="1351" w:type="dxa"/>
            <w:shd w:val="clear" w:color="auto" w:fill="auto"/>
            <w:noWrap/>
            <w:vAlign w:val="center"/>
            <w:hideMark/>
          </w:tcPr>
          <w:p w14:paraId="10E1CE9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UNP</w:t>
            </w:r>
          </w:p>
        </w:tc>
        <w:tc>
          <w:tcPr>
            <w:tcW w:w="960" w:type="dxa"/>
            <w:shd w:val="clear" w:color="auto" w:fill="auto"/>
            <w:noWrap/>
            <w:vAlign w:val="bottom"/>
            <w:hideMark/>
          </w:tcPr>
          <w:p w14:paraId="41BEF60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5F16AD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Utekočinjen naftni plin</w:t>
            </w:r>
          </w:p>
        </w:tc>
      </w:tr>
      <w:tr w:rsidR="006F6EC3" w:rsidRPr="00A463F9" w14:paraId="0D784EBD" w14:textId="77777777" w:rsidTr="00241178">
        <w:trPr>
          <w:trHeight w:val="300"/>
        </w:trPr>
        <w:tc>
          <w:tcPr>
            <w:tcW w:w="1351" w:type="dxa"/>
            <w:shd w:val="clear" w:color="auto" w:fill="auto"/>
            <w:noWrap/>
            <w:vAlign w:val="center"/>
            <w:hideMark/>
          </w:tcPr>
          <w:p w14:paraId="59F7C9B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UP</w:t>
            </w:r>
          </w:p>
        </w:tc>
        <w:tc>
          <w:tcPr>
            <w:tcW w:w="960" w:type="dxa"/>
            <w:shd w:val="clear" w:color="auto" w:fill="auto"/>
            <w:noWrap/>
            <w:vAlign w:val="bottom"/>
            <w:hideMark/>
          </w:tcPr>
          <w:p w14:paraId="1202D98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1260250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Upravljanje povpraševanja</w:t>
            </w:r>
          </w:p>
        </w:tc>
      </w:tr>
      <w:tr w:rsidR="006F6EC3" w:rsidRPr="00A463F9" w14:paraId="4CB1A86A" w14:textId="77777777" w:rsidTr="00241178">
        <w:trPr>
          <w:trHeight w:val="300"/>
        </w:trPr>
        <w:tc>
          <w:tcPr>
            <w:tcW w:w="1351" w:type="dxa"/>
            <w:shd w:val="clear" w:color="auto" w:fill="auto"/>
            <w:noWrap/>
            <w:vAlign w:val="center"/>
            <w:hideMark/>
          </w:tcPr>
          <w:p w14:paraId="5B71650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URE</w:t>
            </w:r>
          </w:p>
        </w:tc>
        <w:tc>
          <w:tcPr>
            <w:tcW w:w="960" w:type="dxa"/>
            <w:shd w:val="clear" w:color="auto" w:fill="auto"/>
            <w:noWrap/>
            <w:vAlign w:val="bottom"/>
            <w:hideMark/>
          </w:tcPr>
          <w:p w14:paraId="283E8D0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2B3F45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Učinkovita raba energije</w:t>
            </w:r>
          </w:p>
        </w:tc>
      </w:tr>
      <w:tr w:rsidR="006F6EC3" w:rsidRPr="00A463F9" w14:paraId="24E5E7A3" w14:textId="77777777" w:rsidTr="00241178">
        <w:trPr>
          <w:trHeight w:val="300"/>
        </w:trPr>
        <w:tc>
          <w:tcPr>
            <w:tcW w:w="1351" w:type="dxa"/>
            <w:shd w:val="clear" w:color="auto" w:fill="auto"/>
            <w:noWrap/>
            <w:vAlign w:val="center"/>
            <w:hideMark/>
          </w:tcPr>
          <w:p w14:paraId="5696B92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UZP</w:t>
            </w:r>
          </w:p>
        </w:tc>
        <w:tc>
          <w:tcPr>
            <w:tcW w:w="960" w:type="dxa"/>
            <w:shd w:val="clear" w:color="auto" w:fill="auto"/>
            <w:noWrap/>
            <w:vAlign w:val="bottom"/>
            <w:hideMark/>
          </w:tcPr>
          <w:p w14:paraId="6F4B264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108425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Utekočinjen zemeljski plin</w:t>
            </w:r>
          </w:p>
        </w:tc>
      </w:tr>
      <w:tr w:rsidR="006F6EC3" w:rsidRPr="00A463F9" w14:paraId="58C960F3" w14:textId="77777777" w:rsidTr="00241178">
        <w:trPr>
          <w:trHeight w:val="300"/>
        </w:trPr>
        <w:tc>
          <w:tcPr>
            <w:tcW w:w="1351" w:type="dxa"/>
            <w:shd w:val="clear" w:color="auto" w:fill="auto"/>
            <w:noWrap/>
            <w:vAlign w:val="center"/>
            <w:hideMark/>
          </w:tcPr>
          <w:p w14:paraId="22F41E8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VE</w:t>
            </w:r>
          </w:p>
        </w:tc>
        <w:tc>
          <w:tcPr>
            <w:tcW w:w="960" w:type="dxa"/>
            <w:shd w:val="clear" w:color="auto" w:fill="auto"/>
            <w:noWrap/>
            <w:vAlign w:val="bottom"/>
            <w:hideMark/>
          </w:tcPr>
          <w:p w14:paraId="0A42D68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12C3A67"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Vetrna elektrarna</w:t>
            </w:r>
          </w:p>
        </w:tc>
      </w:tr>
      <w:tr w:rsidR="006F6EC3" w:rsidRPr="00A463F9" w14:paraId="516F4DA0" w14:textId="77777777" w:rsidTr="00241178">
        <w:trPr>
          <w:trHeight w:val="300"/>
        </w:trPr>
        <w:tc>
          <w:tcPr>
            <w:tcW w:w="1351" w:type="dxa"/>
            <w:shd w:val="clear" w:color="auto" w:fill="auto"/>
            <w:noWrap/>
            <w:vAlign w:val="center"/>
            <w:hideMark/>
          </w:tcPr>
          <w:p w14:paraId="40993AD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WAM</w:t>
            </w:r>
          </w:p>
        </w:tc>
        <w:tc>
          <w:tcPr>
            <w:tcW w:w="960" w:type="dxa"/>
            <w:shd w:val="clear" w:color="auto" w:fill="auto"/>
            <w:noWrap/>
            <w:vAlign w:val="bottom"/>
            <w:hideMark/>
          </w:tcPr>
          <w:p w14:paraId="51725D6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B75634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 dodatnimi ukrepi</w:t>
            </w:r>
          </w:p>
        </w:tc>
      </w:tr>
      <w:tr w:rsidR="006F6EC3" w:rsidRPr="00A463F9" w14:paraId="1D331192" w14:textId="77777777" w:rsidTr="00241178">
        <w:trPr>
          <w:trHeight w:val="300"/>
        </w:trPr>
        <w:tc>
          <w:tcPr>
            <w:tcW w:w="1351" w:type="dxa"/>
            <w:shd w:val="clear" w:color="auto" w:fill="auto"/>
            <w:noWrap/>
            <w:vAlign w:val="center"/>
            <w:hideMark/>
          </w:tcPr>
          <w:p w14:paraId="3601C5F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WM</w:t>
            </w:r>
          </w:p>
        </w:tc>
        <w:tc>
          <w:tcPr>
            <w:tcW w:w="960" w:type="dxa"/>
            <w:shd w:val="clear" w:color="auto" w:fill="auto"/>
            <w:noWrap/>
            <w:vAlign w:val="bottom"/>
            <w:hideMark/>
          </w:tcPr>
          <w:p w14:paraId="7D159D6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1455DF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 ukrepi</w:t>
            </w:r>
          </w:p>
        </w:tc>
      </w:tr>
      <w:tr w:rsidR="006F6EC3" w:rsidRPr="00A463F9" w14:paraId="1C2464D2" w14:textId="77777777" w:rsidTr="00241178">
        <w:trPr>
          <w:trHeight w:val="300"/>
        </w:trPr>
        <w:tc>
          <w:tcPr>
            <w:tcW w:w="1351" w:type="dxa"/>
            <w:shd w:val="clear" w:color="auto" w:fill="auto"/>
            <w:noWrap/>
            <w:vAlign w:val="center"/>
            <w:hideMark/>
          </w:tcPr>
          <w:p w14:paraId="4B35C80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ZeJN</w:t>
            </w:r>
          </w:p>
        </w:tc>
        <w:tc>
          <w:tcPr>
            <w:tcW w:w="960" w:type="dxa"/>
            <w:shd w:val="clear" w:color="auto" w:fill="auto"/>
            <w:noWrap/>
            <w:vAlign w:val="bottom"/>
            <w:hideMark/>
          </w:tcPr>
          <w:p w14:paraId="6947CB5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0251EE0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Zeleno javno naročanje</w:t>
            </w:r>
          </w:p>
        </w:tc>
      </w:tr>
      <w:tr w:rsidR="006F6EC3" w:rsidRPr="00A463F9" w14:paraId="42D589FA" w14:textId="77777777" w:rsidTr="00241178">
        <w:trPr>
          <w:trHeight w:val="300"/>
        </w:trPr>
        <w:tc>
          <w:tcPr>
            <w:tcW w:w="1351" w:type="dxa"/>
            <w:shd w:val="clear" w:color="auto" w:fill="auto"/>
            <w:noWrap/>
            <w:vAlign w:val="center"/>
            <w:hideMark/>
          </w:tcPr>
          <w:p w14:paraId="3B3C9892"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ZER(O)</w:t>
            </w:r>
          </w:p>
        </w:tc>
        <w:tc>
          <w:tcPr>
            <w:tcW w:w="960" w:type="dxa"/>
            <w:shd w:val="clear" w:color="auto" w:fill="auto"/>
            <w:noWrap/>
            <w:vAlign w:val="bottom"/>
            <w:hideMark/>
          </w:tcPr>
          <w:p w14:paraId="1EB5E01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261F3DF"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Program za zmanjševanje energetske revščine z investicijami</w:t>
            </w:r>
          </w:p>
        </w:tc>
      </w:tr>
      <w:tr w:rsidR="006F6EC3" w:rsidRPr="00A463F9" w14:paraId="4E7B2973" w14:textId="77777777" w:rsidTr="00241178">
        <w:trPr>
          <w:trHeight w:val="300"/>
        </w:trPr>
        <w:tc>
          <w:tcPr>
            <w:tcW w:w="1351" w:type="dxa"/>
            <w:shd w:val="clear" w:color="auto" w:fill="auto"/>
            <w:noWrap/>
            <w:vAlign w:val="center"/>
            <w:hideMark/>
          </w:tcPr>
          <w:p w14:paraId="151B1F1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ZOEE</w:t>
            </w:r>
          </w:p>
        </w:tc>
        <w:tc>
          <w:tcPr>
            <w:tcW w:w="960" w:type="dxa"/>
            <w:shd w:val="clear" w:color="auto" w:fill="auto"/>
            <w:noWrap/>
            <w:vAlign w:val="bottom"/>
            <w:hideMark/>
          </w:tcPr>
          <w:p w14:paraId="4C84F5C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23D571C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oskrbi z električno energijo</w:t>
            </w:r>
          </w:p>
        </w:tc>
      </w:tr>
      <w:tr w:rsidR="006F6EC3" w:rsidRPr="00A463F9" w14:paraId="480F3794" w14:textId="77777777" w:rsidTr="00241178">
        <w:trPr>
          <w:trHeight w:val="300"/>
        </w:trPr>
        <w:tc>
          <w:tcPr>
            <w:tcW w:w="1351" w:type="dxa"/>
            <w:shd w:val="clear" w:color="auto" w:fill="auto"/>
            <w:noWrap/>
            <w:vAlign w:val="center"/>
            <w:hideMark/>
          </w:tcPr>
          <w:p w14:paraId="65F1FD29"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ZP</w:t>
            </w:r>
          </w:p>
        </w:tc>
        <w:tc>
          <w:tcPr>
            <w:tcW w:w="960" w:type="dxa"/>
            <w:shd w:val="clear" w:color="auto" w:fill="auto"/>
            <w:noWrap/>
            <w:vAlign w:val="bottom"/>
            <w:hideMark/>
          </w:tcPr>
          <w:p w14:paraId="0F8A0CA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E150936"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Zemeljski plin</w:t>
            </w:r>
          </w:p>
        </w:tc>
      </w:tr>
      <w:tr w:rsidR="006F6EC3" w:rsidRPr="00A463F9" w14:paraId="783575C0" w14:textId="77777777" w:rsidTr="00241178">
        <w:trPr>
          <w:trHeight w:val="300"/>
        </w:trPr>
        <w:tc>
          <w:tcPr>
            <w:tcW w:w="1351" w:type="dxa"/>
            <w:shd w:val="clear" w:color="auto" w:fill="auto"/>
            <w:noWrap/>
            <w:vAlign w:val="center"/>
            <w:hideMark/>
          </w:tcPr>
          <w:p w14:paraId="0AD4163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ZPN</w:t>
            </w:r>
          </w:p>
        </w:tc>
        <w:tc>
          <w:tcPr>
            <w:tcW w:w="960" w:type="dxa"/>
            <w:shd w:val="clear" w:color="auto" w:fill="auto"/>
            <w:noWrap/>
            <w:vAlign w:val="bottom"/>
            <w:hideMark/>
          </w:tcPr>
          <w:p w14:paraId="0565E41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30EC66EE"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prostorskem načrtovanju</w:t>
            </w:r>
          </w:p>
        </w:tc>
      </w:tr>
      <w:tr w:rsidR="006F6EC3" w:rsidRPr="00A463F9" w14:paraId="0AF39CDE" w14:textId="77777777" w:rsidTr="00241178">
        <w:trPr>
          <w:trHeight w:val="300"/>
        </w:trPr>
        <w:tc>
          <w:tcPr>
            <w:tcW w:w="1351" w:type="dxa"/>
            <w:shd w:val="clear" w:color="auto" w:fill="auto"/>
            <w:noWrap/>
            <w:vAlign w:val="center"/>
            <w:hideMark/>
          </w:tcPr>
          <w:p w14:paraId="35F336EB"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lastRenderedPageBreak/>
              <w:t>ZSInv</w:t>
            </w:r>
          </w:p>
        </w:tc>
        <w:tc>
          <w:tcPr>
            <w:tcW w:w="960" w:type="dxa"/>
            <w:shd w:val="clear" w:color="auto" w:fill="auto"/>
            <w:noWrap/>
            <w:vAlign w:val="bottom"/>
            <w:hideMark/>
          </w:tcPr>
          <w:p w14:paraId="4E8EAC1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26BC1B8"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spodbujanju investicij</w:t>
            </w:r>
          </w:p>
        </w:tc>
      </w:tr>
      <w:tr w:rsidR="006F6EC3" w:rsidRPr="00A463F9" w14:paraId="23C47E09" w14:textId="77777777" w:rsidTr="00241178">
        <w:trPr>
          <w:trHeight w:val="300"/>
        </w:trPr>
        <w:tc>
          <w:tcPr>
            <w:tcW w:w="1351" w:type="dxa"/>
            <w:shd w:val="clear" w:color="auto" w:fill="auto"/>
            <w:noWrap/>
            <w:vAlign w:val="center"/>
            <w:hideMark/>
          </w:tcPr>
          <w:p w14:paraId="3ED5AF24"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ZSROVE</w:t>
            </w:r>
          </w:p>
        </w:tc>
        <w:tc>
          <w:tcPr>
            <w:tcW w:w="960" w:type="dxa"/>
            <w:shd w:val="clear" w:color="auto" w:fill="auto"/>
            <w:noWrap/>
            <w:vAlign w:val="bottom"/>
            <w:hideMark/>
          </w:tcPr>
          <w:p w14:paraId="26ACBE4A"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C0CD7E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spodbujanju rabe obnovljivih virov energije</w:t>
            </w:r>
          </w:p>
        </w:tc>
      </w:tr>
      <w:tr w:rsidR="006F6EC3" w:rsidRPr="00A463F9" w14:paraId="391CCFBA" w14:textId="77777777" w:rsidTr="00241178">
        <w:trPr>
          <w:trHeight w:val="300"/>
        </w:trPr>
        <w:tc>
          <w:tcPr>
            <w:tcW w:w="1351" w:type="dxa"/>
            <w:shd w:val="clear" w:color="auto" w:fill="auto"/>
            <w:noWrap/>
            <w:vAlign w:val="center"/>
            <w:hideMark/>
          </w:tcPr>
          <w:p w14:paraId="4423D81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ZURE</w:t>
            </w:r>
          </w:p>
        </w:tc>
        <w:tc>
          <w:tcPr>
            <w:tcW w:w="960" w:type="dxa"/>
            <w:shd w:val="clear" w:color="auto" w:fill="auto"/>
            <w:noWrap/>
            <w:vAlign w:val="bottom"/>
            <w:hideMark/>
          </w:tcPr>
          <w:p w14:paraId="2E24D1E1"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55946613"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učinkoviti rabi energije</w:t>
            </w:r>
          </w:p>
        </w:tc>
      </w:tr>
      <w:tr w:rsidR="006F6EC3" w:rsidRPr="00A463F9" w14:paraId="46C25D9D" w14:textId="77777777" w:rsidTr="00241178">
        <w:trPr>
          <w:trHeight w:val="300"/>
        </w:trPr>
        <w:tc>
          <w:tcPr>
            <w:tcW w:w="1351" w:type="dxa"/>
            <w:shd w:val="clear" w:color="auto" w:fill="auto"/>
            <w:noWrap/>
            <w:vAlign w:val="center"/>
            <w:hideMark/>
          </w:tcPr>
          <w:p w14:paraId="2159F0D5"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ZVO</w:t>
            </w:r>
          </w:p>
        </w:tc>
        <w:tc>
          <w:tcPr>
            <w:tcW w:w="960" w:type="dxa"/>
            <w:shd w:val="clear" w:color="auto" w:fill="auto"/>
            <w:noWrap/>
            <w:vAlign w:val="bottom"/>
            <w:hideMark/>
          </w:tcPr>
          <w:p w14:paraId="1278E230"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p>
        </w:tc>
        <w:tc>
          <w:tcPr>
            <w:tcW w:w="6584" w:type="dxa"/>
            <w:shd w:val="clear" w:color="auto" w:fill="auto"/>
            <w:noWrap/>
            <w:vAlign w:val="center"/>
            <w:hideMark/>
          </w:tcPr>
          <w:p w14:paraId="428A17DD" w14:textId="77777777" w:rsidR="006F6EC3" w:rsidRPr="00A463F9" w:rsidRDefault="006F6EC3" w:rsidP="002D2843">
            <w:pPr>
              <w:spacing w:after="0" w:line="240" w:lineRule="auto"/>
              <w:contextualSpacing/>
              <w:rPr>
                <w:rFonts w:ascii="Arial" w:eastAsia="Times New Roman" w:hAnsi="Arial" w:cs="Arial"/>
                <w:color w:val="000000"/>
                <w:sz w:val="20"/>
                <w:szCs w:val="20"/>
                <w:lang w:eastAsia="sl-SI"/>
              </w:rPr>
            </w:pPr>
            <w:r w:rsidRPr="00A463F9">
              <w:rPr>
                <w:rFonts w:ascii="Arial" w:eastAsia="Times New Roman" w:hAnsi="Arial" w:cs="Arial"/>
                <w:color w:val="000000"/>
                <w:sz w:val="20"/>
                <w:szCs w:val="20"/>
                <w:lang w:eastAsia="sl-SI"/>
              </w:rPr>
              <w:t>Zakon o varstvu okolja</w:t>
            </w:r>
          </w:p>
        </w:tc>
      </w:tr>
    </w:tbl>
    <w:p w14:paraId="298E3231" w14:textId="77777777" w:rsidR="006F6EC3" w:rsidRPr="002D2843" w:rsidRDefault="006F6EC3" w:rsidP="006F6EC3">
      <w:pPr>
        <w:spacing w:after="0"/>
        <w:rPr>
          <w:rFonts w:ascii="Arial" w:hAnsi="Arial" w:cs="Arial"/>
        </w:rPr>
      </w:pPr>
    </w:p>
    <w:p w14:paraId="4F2859B1" w14:textId="77777777" w:rsidR="006F6EC3" w:rsidRPr="002D2843" w:rsidRDefault="006F6EC3" w:rsidP="006F6EC3">
      <w:pPr>
        <w:spacing w:after="0"/>
        <w:contextualSpacing/>
        <w:jc w:val="both"/>
        <w:rPr>
          <w:rFonts w:ascii="Arial" w:hAnsi="Arial" w:cs="Arial"/>
        </w:rPr>
      </w:pPr>
      <w:r w:rsidRPr="002D2843">
        <w:rPr>
          <w:rFonts w:ascii="Arial" w:hAnsi="Arial" w:cs="Arial"/>
        </w:rPr>
        <w:br w:type="page"/>
      </w:r>
    </w:p>
    <w:p w14:paraId="17C11293" w14:textId="64B23E52" w:rsidR="00A265FE" w:rsidRPr="003D75D9" w:rsidRDefault="00A265FE">
      <w:pPr>
        <w:pStyle w:val="TableofFigures"/>
        <w:rPr>
          <w:rFonts w:ascii="Arial" w:hAnsi="Arial" w:cs="Arial"/>
          <w:b/>
          <w:bCs/>
          <w:sz w:val="32"/>
          <w:szCs w:val="32"/>
        </w:rPr>
      </w:pPr>
      <w:r w:rsidRPr="003D75D9">
        <w:rPr>
          <w:rFonts w:ascii="Arial" w:hAnsi="Arial" w:cs="Arial"/>
          <w:b/>
          <w:bCs/>
          <w:sz w:val="32"/>
          <w:szCs w:val="32"/>
        </w:rPr>
        <w:lastRenderedPageBreak/>
        <w:t>Kazalo slik</w:t>
      </w:r>
    </w:p>
    <w:p w14:paraId="3D072063" w14:textId="77777777" w:rsidR="00A265FE" w:rsidRPr="003D75D9" w:rsidRDefault="00A265FE" w:rsidP="002D2843">
      <w:pPr>
        <w:pStyle w:val="TableofFigures"/>
        <w:jc w:val="both"/>
        <w:rPr>
          <w:rFonts w:ascii="Arial" w:hAnsi="Arial" w:cs="Arial"/>
          <w:sz w:val="22"/>
          <w:szCs w:val="22"/>
        </w:rPr>
      </w:pPr>
    </w:p>
    <w:p w14:paraId="1CF6C5A3" w14:textId="64F24327" w:rsidR="00A265FE" w:rsidRPr="00A463F9" w:rsidRDefault="00A265FE" w:rsidP="002D2843">
      <w:pPr>
        <w:pStyle w:val="TableofFigures"/>
        <w:jc w:val="both"/>
        <w:rPr>
          <w:rFonts w:ascii="Arial" w:eastAsiaTheme="minorEastAsia" w:hAnsi="Arial" w:cs="Arial"/>
          <w:noProof/>
          <w:kern w:val="2"/>
          <w:szCs w:val="20"/>
          <w:lang w:eastAsia="sl-SI"/>
          <w14:ligatures w14:val="standardContextual"/>
        </w:rPr>
      </w:pPr>
      <w:r w:rsidRPr="00A463F9">
        <w:rPr>
          <w:rFonts w:ascii="Arial" w:hAnsi="Arial" w:cs="Arial"/>
          <w:szCs w:val="20"/>
        </w:rPr>
        <w:fldChar w:fldCharType="begin"/>
      </w:r>
      <w:r w:rsidRPr="00A463F9">
        <w:rPr>
          <w:rFonts w:ascii="Arial" w:hAnsi="Arial" w:cs="Arial"/>
          <w:szCs w:val="20"/>
        </w:rPr>
        <w:instrText xml:space="preserve"> TOC \h \z \t "NIKA SLIKE" \c </w:instrText>
      </w:r>
      <w:r w:rsidRPr="00A463F9">
        <w:rPr>
          <w:rFonts w:ascii="Arial" w:hAnsi="Arial" w:cs="Arial"/>
          <w:szCs w:val="20"/>
        </w:rPr>
        <w:fldChar w:fldCharType="separate"/>
      </w:r>
      <w:hyperlink w:anchor="_Toc193193974" w:history="1">
        <w:r w:rsidRPr="00A463F9">
          <w:rPr>
            <w:rStyle w:val="Hyperlink"/>
            <w:rFonts w:ascii="Arial" w:eastAsiaTheme="majorEastAsia" w:hAnsi="Arial" w:cs="Arial"/>
            <w:noProof/>
            <w:szCs w:val="20"/>
          </w:rPr>
          <w:t>Slika 1: Dosedanji potek emisij do leta 2020 in potek emisij po projekcijah z ukrepi, z dodatnimi ukrepi ter brez ukrepov od leta 2025 do leta 2040 (vir: ARSO, IJS-CEU, KIS)</w:t>
        </w:r>
        <w:r w:rsidRPr="00A463F9">
          <w:rPr>
            <w:rFonts w:ascii="Arial" w:hAnsi="Arial" w:cs="Arial"/>
            <w:noProof/>
            <w:webHidden/>
            <w:szCs w:val="20"/>
          </w:rPr>
          <w:tab/>
        </w:r>
        <w:r w:rsidRPr="00A463F9">
          <w:rPr>
            <w:rFonts w:ascii="Arial" w:hAnsi="Arial" w:cs="Arial"/>
            <w:noProof/>
            <w:webHidden/>
            <w:szCs w:val="20"/>
          </w:rPr>
          <w:fldChar w:fldCharType="begin"/>
        </w:r>
        <w:r w:rsidRPr="00A463F9">
          <w:rPr>
            <w:rFonts w:ascii="Arial" w:hAnsi="Arial" w:cs="Arial"/>
            <w:noProof/>
            <w:webHidden/>
            <w:szCs w:val="20"/>
          </w:rPr>
          <w:instrText xml:space="preserve"> PAGEREF _Toc193193974 \h </w:instrText>
        </w:r>
        <w:r w:rsidRPr="00A463F9">
          <w:rPr>
            <w:rFonts w:ascii="Arial" w:hAnsi="Arial" w:cs="Arial"/>
            <w:noProof/>
            <w:webHidden/>
            <w:szCs w:val="20"/>
          </w:rPr>
        </w:r>
        <w:r w:rsidRPr="00A463F9">
          <w:rPr>
            <w:rFonts w:ascii="Arial" w:hAnsi="Arial" w:cs="Arial"/>
            <w:noProof/>
            <w:webHidden/>
            <w:szCs w:val="20"/>
          </w:rPr>
          <w:fldChar w:fldCharType="separate"/>
        </w:r>
        <w:r w:rsidRPr="00A463F9">
          <w:rPr>
            <w:rFonts w:ascii="Arial" w:hAnsi="Arial" w:cs="Arial"/>
            <w:noProof/>
            <w:webHidden/>
            <w:szCs w:val="20"/>
          </w:rPr>
          <w:t>13</w:t>
        </w:r>
        <w:r w:rsidRPr="00A463F9">
          <w:rPr>
            <w:rFonts w:ascii="Arial" w:hAnsi="Arial" w:cs="Arial"/>
            <w:noProof/>
            <w:webHidden/>
            <w:szCs w:val="20"/>
          </w:rPr>
          <w:fldChar w:fldCharType="end"/>
        </w:r>
      </w:hyperlink>
    </w:p>
    <w:p w14:paraId="4208C53F" w14:textId="47E0E63E"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75" w:history="1">
        <w:r w:rsidR="00A265FE" w:rsidRPr="00A463F9">
          <w:rPr>
            <w:rStyle w:val="Hyperlink"/>
            <w:rFonts w:ascii="Arial" w:eastAsiaTheme="majorEastAsia" w:hAnsi="Arial" w:cs="Arial"/>
            <w:noProof/>
            <w:szCs w:val="20"/>
          </w:rPr>
          <w:t>Slika 2: Deleži posameznih kategorij pokrovnosti in rabe tal (%), 2018 (vir: Kazalniki okolja ARSO)</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_Toc193193975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18</w:t>
        </w:r>
        <w:r w:rsidR="00A265FE" w:rsidRPr="00A463F9">
          <w:rPr>
            <w:rFonts w:ascii="Arial" w:hAnsi="Arial" w:cs="Arial"/>
            <w:noProof/>
            <w:webHidden/>
            <w:szCs w:val="20"/>
          </w:rPr>
          <w:fldChar w:fldCharType="end"/>
        </w:r>
      </w:hyperlink>
    </w:p>
    <w:p w14:paraId="6583E337" w14:textId="3064DE07"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76" w:history="1">
        <w:r w:rsidR="00A265FE" w:rsidRPr="00A463F9">
          <w:rPr>
            <w:rStyle w:val="Hyperlink"/>
            <w:rFonts w:ascii="Arial" w:eastAsiaTheme="majorEastAsia" w:hAnsi="Arial" w:cs="Arial"/>
            <w:noProof/>
            <w:szCs w:val="20"/>
          </w:rPr>
          <w:t>Slika 3: Emisijska produktivnost Slovenije v primerjavi z EU27 v obdobju 2010–2022 (vir: EUROSTAT)</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_Toc193193976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19</w:t>
        </w:r>
        <w:r w:rsidR="00A265FE" w:rsidRPr="00A463F9">
          <w:rPr>
            <w:rFonts w:ascii="Arial" w:hAnsi="Arial" w:cs="Arial"/>
            <w:noProof/>
            <w:webHidden/>
            <w:szCs w:val="20"/>
          </w:rPr>
          <w:fldChar w:fldCharType="end"/>
        </w:r>
      </w:hyperlink>
    </w:p>
    <w:p w14:paraId="0FB0B350" w14:textId="47B4A47A"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77" w:history="1">
        <w:r w:rsidR="00A265FE" w:rsidRPr="00A463F9">
          <w:rPr>
            <w:rStyle w:val="Hyperlink"/>
            <w:rFonts w:ascii="Arial" w:eastAsiaTheme="majorEastAsia" w:hAnsi="Arial" w:cs="Arial"/>
            <w:noProof/>
            <w:szCs w:val="20"/>
          </w:rPr>
          <w:t>Slika 4: Odklon letne povprečne temperature zraka na državni ravni od leta 1950 do leta 2023 glede na povprečje tridesetletnega primerjalnega obdobja 1991–2020</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_Toc193193977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21</w:t>
        </w:r>
        <w:r w:rsidR="00A265FE" w:rsidRPr="00A463F9">
          <w:rPr>
            <w:rFonts w:ascii="Arial" w:hAnsi="Arial" w:cs="Arial"/>
            <w:noProof/>
            <w:webHidden/>
            <w:szCs w:val="20"/>
          </w:rPr>
          <w:fldChar w:fldCharType="end"/>
        </w:r>
      </w:hyperlink>
    </w:p>
    <w:p w14:paraId="08DBC0FC" w14:textId="68DA525E"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78" w:history="1">
        <w:r w:rsidR="00A265FE" w:rsidRPr="00A463F9">
          <w:rPr>
            <w:rStyle w:val="Hyperlink"/>
            <w:rFonts w:ascii="Arial" w:eastAsiaTheme="majorEastAsia" w:hAnsi="Arial" w:cs="Arial"/>
            <w:noProof/>
            <w:szCs w:val="20"/>
          </w:rPr>
          <w:t>Slika 5: Relativni odklon letne višine padavin na državni ravni od leta 1950 do leta 2023 glede na povprečje tridesetletnega primerjalnega obdobja 1991–2020. Nadpovprečno namočena leta so označena z zeleno, podpovprečno namočena pa z rjavo barvo. Leto 2023 je označeno s temnejšo barvo.</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_Toc193193978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21</w:t>
        </w:r>
        <w:r w:rsidR="00A265FE" w:rsidRPr="00A463F9">
          <w:rPr>
            <w:rFonts w:ascii="Arial" w:hAnsi="Arial" w:cs="Arial"/>
            <w:noProof/>
            <w:webHidden/>
            <w:szCs w:val="20"/>
          </w:rPr>
          <w:fldChar w:fldCharType="end"/>
        </w:r>
      </w:hyperlink>
    </w:p>
    <w:p w14:paraId="71872A82" w14:textId="226CAB7A"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79" w:history="1">
        <w:r w:rsidR="00A265FE" w:rsidRPr="00A463F9">
          <w:rPr>
            <w:rStyle w:val="Hyperlink"/>
            <w:rFonts w:ascii="Arial" w:eastAsiaTheme="majorEastAsia" w:hAnsi="Arial" w:cs="Arial"/>
            <w:noProof/>
            <w:szCs w:val="20"/>
          </w:rPr>
          <w:t>Slika 6: Odklon povprečne temperature zraka leta 2023 od povprečja tridesetletnega primerjalnega obdobja 1991–2020</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_Toc193193979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23</w:t>
        </w:r>
        <w:r w:rsidR="00A265FE" w:rsidRPr="00A463F9">
          <w:rPr>
            <w:rFonts w:ascii="Arial" w:hAnsi="Arial" w:cs="Arial"/>
            <w:noProof/>
            <w:webHidden/>
            <w:szCs w:val="20"/>
          </w:rPr>
          <w:fldChar w:fldCharType="end"/>
        </w:r>
      </w:hyperlink>
    </w:p>
    <w:p w14:paraId="6976A872" w14:textId="49399BC4"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0" w:history="1">
        <w:r w:rsidR="00A265FE" w:rsidRPr="00A463F9">
          <w:rPr>
            <w:rStyle w:val="Hyperlink"/>
            <w:rFonts w:ascii="Arial" w:eastAsiaTheme="majorEastAsia" w:hAnsi="Arial" w:cs="Arial"/>
            <w:noProof/>
            <w:szCs w:val="20"/>
          </w:rPr>
          <w:t>Slika 7: Relativni odklon padavin poleti na državni ravni od leta 1950 do leta 2023 glede na povprečje tridesetletnega primerjalnega obdobja 1991–2020. Nadpovprečno namočena leta so označena z zeleno, podpovprečno namočena pa z rjavo barvo. Poletje leta 2023 je označeno s temnejšo barvo.</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_Toc193193980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23</w:t>
        </w:r>
        <w:r w:rsidR="00A265FE" w:rsidRPr="00A463F9">
          <w:rPr>
            <w:rFonts w:ascii="Arial" w:hAnsi="Arial" w:cs="Arial"/>
            <w:noProof/>
            <w:webHidden/>
            <w:szCs w:val="20"/>
          </w:rPr>
          <w:fldChar w:fldCharType="end"/>
        </w:r>
      </w:hyperlink>
    </w:p>
    <w:p w14:paraId="08291AEC" w14:textId="25256B0F"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1" w:history="1">
        <w:r w:rsidR="00A265FE" w:rsidRPr="00A463F9">
          <w:rPr>
            <w:rStyle w:val="Hyperlink"/>
            <w:rFonts w:ascii="Arial" w:eastAsiaTheme="majorEastAsia" w:hAnsi="Arial" w:cs="Arial"/>
            <w:noProof/>
            <w:szCs w:val="20"/>
            <w:lang w:eastAsia="sl-SI"/>
          </w:rPr>
          <w:t>Slika 8: Oskrba z energijo po energentih v obdobju 1992–2023 (vir: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_Toc193193981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24</w:t>
        </w:r>
        <w:r w:rsidR="00A265FE" w:rsidRPr="00A463F9">
          <w:rPr>
            <w:rFonts w:ascii="Arial" w:hAnsi="Arial" w:cs="Arial"/>
            <w:noProof/>
            <w:webHidden/>
            <w:szCs w:val="20"/>
          </w:rPr>
          <w:fldChar w:fldCharType="end"/>
        </w:r>
      </w:hyperlink>
    </w:p>
    <w:p w14:paraId="2BFA8CBA" w14:textId="2761ACA8"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2" w:history="1">
        <w:r w:rsidR="00A265FE" w:rsidRPr="00A463F9">
          <w:rPr>
            <w:rStyle w:val="Hyperlink"/>
            <w:rFonts w:ascii="Arial" w:eastAsiaTheme="majorEastAsia" w:hAnsi="Arial" w:cs="Arial"/>
            <w:noProof/>
            <w:szCs w:val="20"/>
            <w:lang w:eastAsia="sl-SI"/>
          </w:rPr>
          <w:t>Slika 9:</w:t>
        </w:r>
        <w:r w:rsidR="00A265FE" w:rsidRPr="00A463F9">
          <w:rPr>
            <w:rFonts w:ascii="Arial" w:eastAsiaTheme="minorEastAsia" w:hAnsi="Arial" w:cs="Arial"/>
            <w:noProof/>
            <w:kern w:val="2"/>
            <w:szCs w:val="20"/>
            <w:lang w:eastAsia="sl-SI"/>
            <w14:ligatures w14:val="standardContextual"/>
          </w:rPr>
          <w:tab/>
        </w:r>
        <w:r w:rsidR="00A265FE" w:rsidRPr="00A463F9">
          <w:rPr>
            <w:rStyle w:val="Hyperlink"/>
            <w:rFonts w:ascii="Arial" w:eastAsiaTheme="majorEastAsia" w:hAnsi="Arial" w:cs="Arial"/>
            <w:noProof/>
            <w:szCs w:val="20"/>
            <w:lang w:eastAsia="sl-SI"/>
          </w:rPr>
          <w:t>Raba končne energije po sektorjih v obdobju 1992–2023 (vir: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_Toc193193982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25</w:t>
        </w:r>
        <w:r w:rsidR="00A265FE" w:rsidRPr="00A463F9">
          <w:rPr>
            <w:rFonts w:ascii="Arial" w:hAnsi="Arial" w:cs="Arial"/>
            <w:noProof/>
            <w:webHidden/>
            <w:szCs w:val="20"/>
          </w:rPr>
          <w:fldChar w:fldCharType="end"/>
        </w:r>
      </w:hyperlink>
    </w:p>
    <w:p w14:paraId="45F58FDD" w14:textId="31E51E5B"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3" w:history="1">
        <w:r w:rsidR="00A265FE" w:rsidRPr="00A463F9">
          <w:rPr>
            <w:rStyle w:val="Hyperlink"/>
            <w:rFonts w:ascii="Arial" w:eastAsiaTheme="majorEastAsia" w:hAnsi="Arial" w:cs="Arial"/>
            <w:noProof/>
            <w:szCs w:val="20"/>
            <w:lang w:eastAsia="sl-SI"/>
          </w:rPr>
          <w:t>Slika 10: Proizvodnja električne energije na generatorju za glavna goriva (vir: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_Toc193193983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27</w:t>
        </w:r>
        <w:r w:rsidR="00A265FE" w:rsidRPr="00A463F9">
          <w:rPr>
            <w:rFonts w:ascii="Arial" w:hAnsi="Arial" w:cs="Arial"/>
            <w:noProof/>
            <w:webHidden/>
            <w:szCs w:val="20"/>
          </w:rPr>
          <w:fldChar w:fldCharType="end"/>
        </w:r>
      </w:hyperlink>
    </w:p>
    <w:p w14:paraId="789CF862" w14:textId="5FA29B22"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4" w:history="1">
        <w:r w:rsidR="00A265FE" w:rsidRPr="00A463F9">
          <w:rPr>
            <w:rStyle w:val="Hyperlink"/>
            <w:rFonts w:ascii="Arial" w:eastAsiaTheme="majorEastAsia" w:hAnsi="Arial" w:cs="Arial"/>
            <w:noProof/>
            <w:szCs w:val="20"/>
            <w:lang w:eastAsia="sl-SI"/>
          </w:rPr>
          <w:t>Slika 11: Potniški kilometri za prevoz z osebnimi avtomobili, v cestnem javnem potniškem prometu in železniškem potniškem prometu (vir: Eurostat in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_Toc193193984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28</w:t>
        </w:r>
        <w:r w:rsidR="00A265FE" w:rsidRPr="00A463F9">
          <w:rPr>
            <w:rFonts w:ascii="Arial" w:hAnsi="Arial" w:cs="Arial"/>
            <w:noProof/>
            <w:webHidden/>
            <w:szCs w:val="20"/>
          </w:rPr>
          <w:fldChar w:fldCharType="end"/>
        </w:r>
      </w:hyperlink>
    </w:p>
    <w:p w14:paraId="38F1C568" w14:textId="35A5ECD4"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5" w:history="1">
        <w:r w:rsidR="00A265FE" w:rsidRPr="00A463F9">
          <w:rPr>
            <w:rStyle w:val="Hyperlink"/>
            <w:rFonts w:ascii="Arial" w:eastAsiaTheme="majorEastAsia" w:hAnsi="Arial" w:cs="Arial"/>
            <w:noProof/>
            <w:szCs w:val="20"/>
            <w:lang w:eastAsia="sl-SI"/>
          </w:rPr>
          <w:t>Slika 12: Število prepeljanih potnikov z mestnim, cestnim (primestnim) in železniškim javnim prevozom ter letališkim potniškim prometom (vir: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_Toc193193985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29</w:t>
        </w:r>
        <w:r w:rsidR="00A265FE" w:rsidRPr="00A463F9">
          <w:rPr>
            <w:rFonts w:ascii="Arial" w:hAnsi="Arial" w:cs="Arial"/>
            <w:noProof/>
            <w:webHidden/>
            <w:szCs w:val="20"/>
          </w:rPr>
          <w:fldChar w:fldCharType="end"/>
        </w:r>
      </w:hyperlink>
    </w:p>
    <w:p w14:paraId="2E2EFFB9" w14:textId="7D42DD8A"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6" w:history="1">
        <w:r w:rsidR="00A265FE" w:rsidRPr="00A463F9">
          <w:rPr>
            <w:rStyle w:val="Hyperlink"/>
            <w:rFonts w:ascii="Arial" w:eastAsiaTheme="majorEastAsia" w:hAnsi="Arial" w:cs="Arial"/>
            <w:noProof/>
            <w:szCs w:val="20"/>
            <w:lang w:eastAsia="sl-SI"/>
          </w:rPr>
          <w:t>Slika 13: Gibanje cestnega in železniškega blagovnega prevoza (vir: SURS)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_Toc193193986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30</w:t>
        </w:r>
        <w:r w:rsidR="00A265FE" w:rsidRPr="00A463F9">
          <w:rPr>
            <w:rFonts w:ascii="Arial" w:hAnsi="Arial" w:cs="Arial"/>
            <w:noProof/>
            <w:webHidden/>
            <w:szCs w:val="20"/>
          </w:rPr>
          <w:fldChar w:fldCharType="end"/>
        </w:r>
      </w:hyperlink>
    </w:p>
    <w:p w14:paraId="5C1526FC" w14:textId="75549AE5"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7" w:history="1">
        <w:r w:rsidR="00A265FE" w:rsidRPr="00A463F9">
          <w:rPr>
            <w:rStyle w:val="Hyperlink"/>
            <w:rFonts w:ascii="Arial" w:eastAsiaTheme="majorEastAsia" w:hAnsi="Arial" w:cs="Arial"/>
            <w:noProof/>
            <w:szCs w:val="20"/>
          </w:rPr>
          <w:t>Slika 14: Emisije TGP po plinih (vir: ARSO)</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_Toc193193987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114</w:t>
        </w:r>
        <w:r w:rsidR="00A265FE" w:rsidRPr="00A463F9">
          <w:rPr>
            <w:rFonts w:ascii="Arial" w:hAnsi="Arial" w:cs="Arial"/>
            <w:noProof/>
            <w:webHidden/>
            <w:szCs w:val="20"/>
          </w:rPr>
          <w:fldChar w:fldCharType="end"/>
        </w:r>
      </w:hyperlink>
    </w:p>
    <w:p w14:paraId="32857607" w14:textId="75DCB724"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8" w:history="1">
        <w:r w:rsidR="00A265FE" w:rsidRPr="00A463F9">
          <w:rPr>
            <w:rStyle w:val="Hyperlink"/>
            <w:rFonts w:ascii="Arial" w:eastAsiaTheme="majorEastAsia" w:hAnsi="Arial" w:cs="Arial"/>
            <w:noProof/>
            <w:szCs w:val="20"/>
          </w:rPr>
          <w:t>Slika 15: Emisije TGP v Sloveniji po sektorjih (vir: ARSO)</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_Toc193193988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115</w:t>
        </w:r>
        <w:r w:rsidR="00A265FE" w:rsidRPr="00A463F9">
          <w:rPr>
            <w:rFonts w:ascii="Arial" w:hAnsi="Arial" w:cs="Arial"/>
            <w:noProof/>
            <w:webHidden/>
            <w:szCs w:val="20"/>
          </w:rPr>
          <w:fldChar w:fldCharType="end"/>
        </w:r>
      </w:hyperlink>
    </w:p>
    <w:p w14:paraId="450DB446" w14:textId="59C013B5"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89" w:history="1">
        <w:r w:rsidR="00A265FE" w:rsidRPr="00A463F9">
          <w:rPr>
            <w:rStyle w:val="Hyperlink"/>
            <w:rFonts w:ascii="Arial" w:eastAsiaTheme="majorEastAsia" w:hAnsi="Arial" w:cs="Arial"/>
            <w:noProof/>
            <w:szCs w:val="20"/>
          </w:rPr>
          <w:t>Slika 16: Dosedanji potek emisij brez ponorov do leta 2022 in potek emisij po projekcijah z ukrepi in z dodatnimi ukrepi od leta 2025 do leta 2040 (vir: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_Toc193193989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122</w:t>
        </w:r>
        <w:r w:rsidR="00A265FE" w:rsidRPr="00A463F9">
          <w:rPr>
            <w:rFonts w:ascii="Arial" w:hAnsi="Arial" w:cs="Arial"/>
            <w:noProof/>
            <w:webHidden/>
            <w:szCs w:val="20"/>
          </w:rPr>
          <w:fldChar w:fldCharType="end"/>
        </w:r>
      </w:hyperlink>
    </w:p>
    <w:p w14:paraId="39C9B114" w14:textId="2AD8CF62"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0" w:history="1">
        <w:r w:rsidR="00A265FE" w:rsidRPr="00A463F9">
          <w:rPr>
            <w:rStyle w:val="Hyperlink"/>
            <w:rFonts w:ascii="Arial" w:eastAsiaTheme="majorEastAsia" w:hAnsi="Arial" w:cs="Arial"/>
            <w:noProof/>
            <w:szCs w:val="20"/>
          </w:rPr>
          <w:t>Slika 17: Sektorska struktura emisij TGP v izbranih preteklih letih ter po projekciji z ukrepi in z dodatnimi ukrepi za leta 2025, 2030 in 2040 – levo skupne emisije, desno struktura emisij v odstotkih (vir: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_Toc193193990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122</w:t>
        </w:r>
        <w:r w:rsidR="00A265FE" w:rsidRPr="00A463F9">
          <w:rPr>
            <w:rFonts w:ascii="Arial" w:hAnsi="Arial" w:cs="Arial"/>
            <w:noProof/>
            <w:webHidden/>
            <w:szCs w:val="20"/>
          </w:rPr>
          <w:fldChar w:fldCharType="end"/>
        </w:r>
      </w:hyperlink>
    </w:p>
    <w:p w14:paraId="099B2955" w14:textId="59AFC150"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1" w:history="1">
        <w:r w:rsidR="00A265FE" w:rsidRPr="00A463F9">
          <w:rPr>
            <w:rStyle w:val="Hyperlink"/>
            <w:rFonts w:ascii="Arial" w:eastAsiaTheme="majorEastAsia" w:hAnsi="Arial" w:cs="Arial"/>
            <w:noProof/>
            <w:szCs w:val="20"/>
          </w:rPr>
          <w:t>Slika 18: Dosedanji potek emisij CO2 brez ponorov do vključno leta 2022 ter projekcije do leta 2040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_Toc193193991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123</w:t>
        </w:r>
        <w:r w:rsidR="00A265FE" w:rsidRPr="00A463F9">
          <w:rPr>
            <w:rFonts w:ascii="Arial" w:hAnsi="Arial" w:cs="Arial"/>
            <w:noProof/>
            <w:webHidden/>
            <w:szCs w:val="20"/>
          </w:rPr>
          <w:fldChar w:fldCharType="end"/>
        </w:r>
      </w:hyperlink>
    </w:p>
    <w:p w14:paraId="208D45EC" w14:textId="019280E3"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2" w:history="1">
        <w:r w:rsidR="00A265FE" w:rsidRPr="00A463F9">
          <w:rPr>
            <w:rStyle w:val="Hyperlink"/>
            <w:rFonts w:ascii="Arial" w:eastAsiaTheme="majorEastAsia" w:hAnsi="Arial" w:cs="Arial"/>
            <w:noProof/>
            <w:szCs w:val="20"/>
          </w:rPr>
          <w:t>Slika 19: Dosedanji potek emisij CH4 brez ponorov do vključno leta 2022 in potek po projekcijah z ukrepi in z dodatnimi ukrepi do leta 2040 (vir: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_Toc193193992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124</w:t>
        </w:r>
        <w:r w:rsidR="00A265FE" w:rsidRPr="00A463F9">
          <w:rPr>
            <w:rFonts w:ascii="Arial" w:hAnsi="Arial" w:cs="Arial"/>
            <w:noProof/>
            <w:webHidden/>
            <w:szCs w:val="20"/>
          </w:rPr>
          <w:fldChar w:fldCharType="end"/>
        </w:r>
      </w:hyperlink>
    </w:p>
    <w:p w14:paraId="66C0305F" w14:textId="0CF687CC"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3" w:history="1">
        <w:r w:rsidR="00A265FE" w:rsidRPr="00A463F9">
          <w:rPr>
            <w:rStyle w:val="Hyperlink"/>
            <w:rFonts w:ascii="Arial" w:eastAsiaTheme="majorEastAsia" w:hAnsi="Arial" w:cs="Arial"/>
            <w:noProof/>
            <w:szCs w:val="20"/>
          </w:rPr>
          <w:t>Slika 20: Dosedanji potek emisij N2O brez ponorov do vključno leta 2022 in potek po projekcijah z ukrepi in z dodatnimi ukrepi do leta 2040 (vir: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_Toc193193993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125</w:t>
        </w:r>
        <w:r w:rsidR="00A265FE" w:rsidRPr="00A463F9">
          <w:rPr>
            <w:rFonts w:ascii="Arial" w:hAnsi="Arial" w:cs="Arial"/>
            <w:noProof/>
            <w:webHidden/>
            <w:szCs w:val="20"/>
          </w:rPr>
          <w:fldChar w:fldCharType="end"/>
        </w:r>
      </w:hyperlink>
    </w:p>
    <w:p w14:paraId="760C8AD8" w14:textId="0F8CC75A"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4" w:history="1">
        <w:r w:rsidR="00A265FE" w:rsidRPr="00A463F9">
          <w:rPr>
            <w:rStyle w:val="Hyperlink"/>
            <w:rFonts w:ascii="Arial" w:eastAsiaTheme="majorEastAsia" w:hAnsi="Arial" w:cs="Arial"/>
            <w:noProof/>
            <w:szCs w:val="20"/>
          </w:rPr>
          <w:t>Slika 21: Dosedanji potek emisij F-plinov do vključno leta 2022 in potek po projekcijah do leta 2040 (vir:ARSO,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_Toc193193994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126</w:t>
        </w:r>
        <w:r w:rsidR="00A265FE" w:rsidRPr="00A463F9">
          <w:rPr>
            <w:rFonts w:ascii="Arial" w:hAnsi="Arial" w:cs="Arial"/>
            <w:noProof/>
            <w:webHidden/>
            <w:szCs w:val="20"/>
          </w:rPr>
          <w:fldChar w:fldCharType="end"/>
        </w:r>
      </w:hyperlink>
    </w:p>
    <w:p w14:paraId="5A37749B" w14:textId="390F7AE5"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5" w:history="1">
        <w:r w:rsidR="00A265FE" w:rsidRPr="00A463F9">
          <w:rPr>
            <w:rStyle w:val="Hyperlink"/>
            <w:rFonts w:ascii="Arial" w:eastAsiaTheme="majorEastAsia" w:hAnsi="Arial" w:cs="Arial"/>
            <w:noProof/>
            <w:szCs w:val="20"/>
          </w:rPr>
          <w:t>Slika 22: Emisije TGP sektorja transformacije in ubežne emisije – potek emisij do leta 2022 ter projekcije z ukrepi in z dodatnimi ukrepi do leta 2040 (levo) in razdelitev emisij na EU ETS ter neETS (desno) (vir: ARSO in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_Toc193193995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127</w:t>
        </w:r>
        <w:r w:rsidR="00A265FE" w:rsidRPr="00A463F9">
          <w:rPr>
            <w:rFonts w:ascii="Arial" w:hAnsi="Arial" w:cs="Arial"/>
            <w:noProof/>
            <w:webHidden/>
            <w:szCs w:val="20"/>
          </w:rPr>
          <w:fldChar w:fldCharType="end"/>
        </w:r>
      </w:hyperlink>
    </w:p>
    <w:p w14:paraId="1C814D21" w14:textId="7A51D357"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6" w:history="1">
        <w:r w:rsidR="00A265FE" w:rsidRPr="00A463F9">
          <w:rPr>
            <w:rStyle w:val="Hyperlink"/>
            <w:rFonts w:ascii="Arial" w:eastAsiaTheme="majorEastAsia" w:hAnsi="Arial" w:cs="Arial"/>
            <w:noProof/>
            <w:szCs w:val="20"/>
          </w:rPr>
          <w:t>Slika 23: Emisije TGP iz zgorevanja goriv v industriji in gradbeništvu – potek emisij v letih 1986–2022 ter projekcije z ukrepi in z dodatnimi ukrepi do leta 2040 (levo) in razdelitev emisij na EU ETS in neETS (desno) (vir: ARSO in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_Toc193193996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128</w:t>
        </w:r>
        <w:r w:rsidR="00A265FE" w:rsidRPr="00A463F9">
          <w:rPr>
            <w:rFonts w:ascii="Arial" w:hAnsi="Arial" w:cs="Arial"/>
            <w:noProof/>
            <w:webHidden/>
            <w:szCs w:val="20"/>
          </w:rPr>
          <w:fldChar w:fldCharType="end"/>
        </w:r>
      </w:hyperlink>
    </w:p>
    <w:p w14:paraId="2778B744" w14:textId="6C47154B"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7" w:history="1">
        <w:r w:rsidR="00A265FE" w:rsidRPr="00A463F9">
          <w:rPr>
            <w:rStyle w:val="Hyperlink"/>
            <w:rFonts w:ascii="Arial" w:eastAsiaTheme="majorEastAsia" w:hAnsi="Arial" w:cs="Arial"/>
            <w:noProof/>
            <w:szCs w:val="20"/>
          </w:rPr>
          <w:t>Slika 24: Emisije TGP iz prometa (levo) in za sektor široka raba (desno) v letih 1986–2022 ter po projekcijah z ukrepi in z dodatnimi ukrepi do leta 2040 (vir: ARSO in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_Toc193193997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129</w:t>
        </w:r>
        <w:r w:rsidR="00A265FE" w:rsidRPr="00A463F9">
          <w:rPr>
            <w:rFonts w:ascii="Arial" w:hAnsi="Arial" w:cs="Arial"/>
            <w:noProof/>
            <w:webHidden/>
            <w:szCs w:val="20"/>
          </w:rPr>
          <w:fldChar w:fldCharType="end"/>
        </w:r>
      </w:hyperlink>
    </w:p>
    <w:p w14:paraId="5D1B8218" w14:textId="3BC48582"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8" w:history="1">
        <w:r w:rsidR="00A265FE" w:rsidRPr="00A463F9">
          <w:rPr>
            <w:rStyle w:val="Hyperlink"/>
            <w:rFonts w:ascii="Arial" w:eastAsiaTheme="majorEastAsia" w:hAnsi="Arial" w:cs="Arial"/>
            <w:noProof/>
            <w:szCs w:val="20"/>
          </w:rPr>
          <w:t>Slika 25: Emisije TGP iz industrijskih procesov – potek emisij v letih 1986–2022 ter projekcije z ukrepi, z dodatnimi ukrepi in brez ukrepov do leta 2040 (levo) in razdelitev emisij na EU ETS in neETS (desno) (vir: ARSO in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_Toc193193998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130</w:t>
        </w:r>
        <w:r w:rsidR="00A265FE" w:rsidRPr="00A463F9">
          <w:rPr>
            <w:rFonts w:ascii="Arial" w:hAnsi="Arial" w:cs="Arial"/>
            <w:noProof/>
            <w:webHidden/>
            <w:szCs w:val="20"/>
          </w:rPr>
          <w:fldChar w:fldCharType="end"/>
        </w:r>
      </w:hyperlink>
    </w:p>
    <w:p w14:paraId="035ABD1F" w14:textId="45681F1D"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3999" w:history="1">
        <w:r w:rsidR="00A265FE" w:rsidRPr="00A463F9">
          <w:rPr>
            <w:rStyle w:val="Hyperlink"/>
            <w:rFonts w:ascii="Arial" w:eastAsiaTheme="majorEastAsia" w:hAnsi="Arial" w:cs="Arial"/>
            <w:noProof/>
            <w:szCs w:val="20"/>
          </w:rPr>
          <w:t>Slika 26: Emisije TGP iz kmetijstva (levo) in iz odpadkov (desno) v letih 1986–2022 ter po projekcijah z ukrepi in z dodatnimi ukrepi do leta 2040 (vir: ARSO, KIS, IJS-CEU)</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_Toc193193999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132</w:t>
        </w:r>
        <w:r w:rsidR="00A265FE" w:rsidRPr="00A463F9">
          <w:rPr>
            <w:rFonts w:ascii="Arial" w:hAnsi="Arial" w:cs="Arial"/>
            <w:noProof/>
            <w:webHidden/>
            <w:szCs w:val="20"/>
          </w:rPr>
          <w:fldChar w:fldCharType="end"/>
        </w:r>
      </w:hyperlink>
    </w:p>
    <w:p w14:paraId="4B15FF0A" w14:textId="1BE6DB11"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0" w:history="1">
        <w:r w:rsidR="00A265FE" w:rsidRPr="00A463F9">
          <w:rPr>
            <w:rStyle w:val="Hyperlink"/>
            <w:rFonts w:ascii="Arial" w:eastAsiaTheme="majorEastAsia" w:hAnsi="Arial" w:cs="Arial"/>
            <w:noProof/>
            <w:szCs w:val="20"/>
          </w:rPr>
          <w:t>Slika 27: Dosedanji potek ponorov do leta 2020 in potek ponorov po projekcijah z ukrepi in z dodatnimi ukrepi do leta 2040 (vir: ARSO, GIS)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_Toc193194000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133</w:t>
        </w:r>
        <w:r w:rsidR="00A265FE" w:rsidRPr="00A463F9">
          <w:rPr>
            <w:rFonts w:ascii="Arial" w:hAnsi="Arial" w:cs="Arial"/>
            <w:noProof/>
            <w:webHidden/>
            <w:szCs w:val="20"/>
          </w:rPr>
          <w:fldChar w:fldCharType="end"/>
        </w:r>
      </w:hyperlink>
    </w:p>
    <w:p w14:paraId="25E605FD" w14:textId="3C24C2E7"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1" w:history="1">
        <w:r w:rsidR="00A265FE" w:rsidRPr="00A463F9">
          <w:rPr>
            <w:rStyle w:val="Hyperlink"/>
            <w:rFonts w:ascii="Arial" w:eastAsiaTheme="majorEastAsia" w:hAnsi="Arial" w:cs="Arial"/>
            <w:noProof/>
            <w:szCs w:val="20"/>
          </w:rPr>
          <w:t>Slika 28: Dosedanji potek emisij neETS v obdobju 2005−2022 ter potek emisij po projekcijah z ukrepi ter z dodatnimi ukrepi za leta od 2025 do 2040 v primerjavi s ciljno trajektorijo 2013–2020 in 2021–2025 ter ciljem 2030 (vir: ARSO,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_Toc193194001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138</w:t>
        </w:r>
        <w:r w:rsidR="00A265FE" w:rsidRPr="00A463F9">
          <w:rPr>
            <w:rFonts w:ascii="Arial" w:hAnsi="Arial" w:cs="Arial"/>
            <w:noProof/>
            <w:webHidden/>
            <w:szCs w:val="20"/>
          </w:rPr>
          <w:fldChar w:fldCharType="end"/>
        </w:r>
      </w:hyperlink>
    </w:p>
    <w:p w14:paraId="04808F35" w14:textId="5314C918"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2" w:history="1">
        <w:r w:rsidR="00A265FE" w:rsidRPr="00A463F9">
          <w:rPr>
            <w:rStyle w:val="Hyperlink"/>
            <w:rFonts w:ascii="Arial" w:eastAsiaTheme="majorEastAsia" w:hAnsi="Arial" w:cs="Arial"/>
            <w:noProof/>
            <w:szCs w:val="20"/>
          </w:rPr>
          <w:t>Slika 29: Struktura emisij neETS v letih 2005 in 2022 ter po projekcijah za leta 2025, 2030 in 2040 (vir: IJS-CEU, KIS)</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_Toc193194002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139</w:t>
        </w:r>
        <w:r w:rsidR="00A265FE" w:rsidRPr="00A463F9">
          <w:rPr>
            <w:rFonts w:ascii="Arial" w:hAnsi="Arial" w:cs="Arial"/>
            <w:noProof/>
            <w:webHidden/>
            <w:szCs w:val="20"/>
          </w:rPr>
          <w:fldChar w:fldCharType="end"/>
        </w:r>
      </w:hyperlink>
    </w:p>
    <w:p w14:paraId="5302A4FE" w14:textId="343066A6"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3" w:history="1">
        <w:r w:rsidR="00A265FE" w:rsidRPr="00A463F9">
          <w:rPr>
            <w:rStyle w:val="Hyperlink"/>
            <w:rFonts w:ascii="Arial" w:eastAsiaTheme="majorEastAsia" w:hAnsi="Arial" w:cs="Arial"/>
            <w:noProof/>
            <w:szCs w:val="20"/>
          </w:rPr>
          <w:t>Slika 30: Primerjava projekcij iz VI. nacionalnega poročila (VI. NC), drugega dveletnega poročila (BR 2), VII. nacionalnega poročila (VII. NC) in skupnih projekcij četrtega dveletnega poročila ter VIII. nacionalnega poročila (BR 4 in VIII. NC) s projekcijami v tem poročilu (BTR 1)</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_Toc193194003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141</w:t>
        </w:r>
        <w:r w:rsidR="00A265FE" w:rsidRPr="00A463F9">
          <w:rPr>
            <w:rFonts w:ascii="Arial" w:hAnsi="Arial" w:cs="Arial"/>
            <w:noProof/>
            <w:webHidden/>
            <w:szCs w:val="20"/>
          </w:rPr>
          <w:fldChar w:fldCharType="end"/>
        </w:r>
      </w:hyperlink>
    </w:p>
    <w:p w14:paraId="27807BB7" w14:textId="00B3934B"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4" w:history="1">
        <w:r w:rsidR="00A265FE" w:rsidRPr="00A463F9">
          <w:rPr>
            <w:rStyle w:val="Hyperlink"/>
            <w:rFonts w:ascii="Arial" w:eastAsiaTheme="majorEastAsia" w:hAnsi="Arial" w:cs="Arial"/>
            <w:noProof/>
            <w:szCs w:val="20"/>
          </w:rPr>
          <w:t>Slika 31: Modeli</w:t>
        </w:r>
        <w:r w:rsidR="00A265FE" w:rsidRPr="00A463F9">
          <w:rPr>
            <w:rStyle w:val="Hyperlink"/>
            <w:rFonts w:ascii="Arial" w:eastAsiaTheme="majorEastAsia" w:hAnsi="Arial" w:cs="Arial"/>
            <w:noProof/>
            <w:szCs w:val="20"/>
            <w:lang w:eastAsia="en-GB"/>
          </w:rPr>
          <w:t xml:space="preserve"> za pripravo projekcij, uporabljenih v NEPN, in povezave med njimi</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_Toc193194004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144</w:t>
        </w:r>
        <w:r w:rsidR="00A265FE" w:rsidRPr="00A463F9">
          <w:rPr>
            <w:rFonts w:ascii="Arial" w:hAnsi="Arial" w:cs="Arial"/>
            <w:noProof/>
            <w:webHidden/>
            <w:szCs w:val="20"/>
          </w:rPr>
          <w:fldChar w:fldCharType="end"/>
        </w:r>
      </w:hyperlink>
    </w:p>
    <w:p w14:paraId="0716F459" w14:textId="517F1A73"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5" w:history="1">
        <w:r w:rsidR="00A265FE" w:rsidRPr="00A463F9">
          <w:rPr>
            <w:rStyle w:val="Hyperlink"/>
            <w:rFonts w:ascii="Arial" w:eastAsiaTheme="majorEastAsia" w:hAnsi="Arial" w:cs="Arial"/>
            <w:noProof/>
            <w:szCs w:val="20"/>
          </w:rPr>
          <w:t>Slika 32: Podnebne regije v Sloveniji v 12-kilometrski ločljivosti</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_Toc193194005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149</w:t>
        </w:r>
        <w:r w:rsidR="00A265FE" w:rsidRPr="00A463F9">
          <w:rPr>
            <w:rFonts w:ascii="Arial" w:hAnsi="Arial" w:cs="Arial"/>
            <w:noProof/>
            <w:webHidden/>
            <w:szCs w:val="20"/>
          </w:rPr>
          <w:fldChar w:fldCharType="end"/>
        </w:r>
      </w:hyperlink>
    </w:p>
    <w:p w14:paraId="16A8BE25" w14:textId="6AFC7ABD"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6" w:history="1">
        <w:r w:rsidR="00A265FE" w:rsidRPr="00A463F9">
          <w:rPr>
            <w:rStyle w:val="Hyperlink"/>
            <w:rFonts w:ascii="Arial" w:eastAsiaTheme="majorEastAsia" w:hAnsi="Arial" w:cs="Arial"/>
            <w:noProof/>
            <w:szCs w:val="20"/>
          </w:rPr>
          <w:t>Slika 33: Časovni potek spremembe letne povprečne temperature zraka v Sloveniji do konca 21. stoletja za tri scenarije izpustov, vključno z razponi odstopanj. Prikazan je odklon od povprečja v obdobju 1981–2010. Debele črte označujejo glajeno mediano modelskih projekcij, zgornji in spodnji rob ovojnic pa označujeta glajene največje in najmanjše vrednosti modelskih projekcij.</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_Toc193194006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150</w:t>
        </w:r>
        <w:r w:rsidR="00A265FE" w:rsidRPr="00A463F9">
          <w:rPr>
            <w:rFonts w:ascii="Arial" w:hAnsi="Arial" w:cs="Arial"/>
            <w:noProof/>
            <w:webHidden/>
            <w:szCs w:val="20"/>
          </w:rPr>
          <w:fldChar w:fldCharType="end"/>
        </w:r>
      </w:hyperlink>
    </w:p>
    <w:p w14:paraId="629353AD" w14:textId="2A700A79"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7" w:history="1">
        <w:r w:rsidR="00A265FE" w:rsidRPr="00A463F9">
          <w:rPr>
            <w:rStyle w:val="Hyperlink"/>
            <w:rFonts w:ascii="Arial" w:eastAsiaTheme="majorEastAsia" w:hAnsi="Arial" w:cs="Arial"/>
            <w:noProof/>
            <w:szCs w:val="20"/>
          </w:rPr>
          <w:t>Slika 34: Sprememba povprečnega števila vročih dni na leto v treh projekcijskih obdobjih glede na povprečje v obdobju 1981–2010 za scenarija izpustov RCP4.5 (zgoraj) in RCP8.5 (spodaj)</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_Toc193194007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151</w:t>
        </w:r>
        <w:r w:rsidR="00A265FE" w:rsidRPr="00A463F9">
          <w:rPr>
            <w:rFonts w:ascii="Arial" w:hAnsi="Arial" w:cs="Arial"/>
            <w:noProof/>
            <w:webHidden/>
            <w:szCs w:val="20"/>
          </w:rPr>
          <w:fldChar w:fldCharType="end"/>
        </w:r>
      </w:hyperlink>
    </w:p>
    <w:p w14:paraId="48FE0391" w14:textId="37F62FE4"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8" w:history="1">
        <w:r w:rsidR="00A265FE" w:rsidRPr="00A463F9">
          <w:rPr>
            <w:rStyle w:val="Hyperlink"/>
            <w:rFonts w:ascii="Arial" w:eastAsiaTheme="majorEastAsia" w:hAnsi="Arial" w:cs="Arial"/>
            <w:noProof/>
            <w:szCs w:val="20"/>
          </w:rPr>
          <w:t>Slika 35: Časovni potek spremembe letne količine padavin v Sloveniji do konca 21. stoletja za tri scenarije izpustov, vključno z razponi odstopanj. Prikazana je relativna količina glede na povprečje v obdobju 1981–2010. Debele črte označujejo glajeno mediano modelskih projekcij, zgornji in spodnji rob ovojnic pa označujeta glajene največje in najmanjše vrednosti modelskih projekcij.</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_Toc193194008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152</w:t>
        </w:r>
        <w:r w:rsidR="00A265FE" w:rsidRPr="00A463F9">
          <w:rPr>
            <w:rFonts w:ascii="Arial" w:hAnsi="Arial" w:cs="Arial"/>
            <w:noProof/>
            <w:webHidden/>
            <w:szCs w:val="20"/>
          </w:rPr>
          <w:fldChar w:fldCharType="end"/>
        </w:r>
      </w:hyperlink>
    </w:p>
    <w:p w14:paraId="53DBA4D8" w14:textId="217F0D89"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09" w:history="1">
        <w:r w:rsidR="00A265FE" w:rsidRPr="00A463F9">
          <w:rPr>
            <w:rStyle w:val="Hyperlink"/>
            <w:rFonts w:ascii="Arial" w:eastAsiaTheme="majorEastAsia" w:hAnsi="Arial" w:cs="Arial"/>
            <w:noProof/>
            <w:szCs w:val="20"/>
          </w:rPr>
          <w:t>Slika 36: Sprememba povprečne letne količine padavin v treh projekcijskih obdobjih glede na povprečje v obdobju 1981–2010 in pripadajoča zanesljivost spremembe za scenarija izpustov RCP4.5 (levo) in RCP8.5 (desno). Siva barva označuje nizko zanesljivost (velike razlike med modeli ansambla), zelena barva pomeni, da ni sprememb (spremembe so manjše od naravne spremenljivosti), oranžna barva pa označuje visoko zanesljivost (usklajene spremembe med modeli ansambla).</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_Toc193194009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152</w:t>
        </w:r>
        <w:r w:rsidR="00A265FE" w:rsidRPr="00A463F9">
          <w:rPr>
            <w:rFonts w:ascii="Arial" w:hAnsi="Arial" w:cs="Arial"/>
            <w:noProof/>
            <w:webHidden/>
            <w:szCs w:val="20"/>
          </w:rPr>
          <w:fldChar w:fldCharType="end"/>
        </w:r>
      </w:hyperlink>
    </w:p>
    <w:p w14:paraId="2C4FE423" w14:textId="68A0CD32"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10" w:history="1">
        <w:r w:rsidR="00A265FE" w:rsidRPr="00A463F9">
          <w:rPr>
            <w:rStyle w:val="Hyperlink"/>
            <w:rFonts w:ascii="Arial" w:eastAsiaTheme="majorEastAsia" w:hAnsi="Arial" w:cs="Arial"/>
            <w:noProof/>
            <w:szCs w:val="20"/>
          </w:rPr>
          <w:t>Slika 37: V</w:t>
        </w:r>
        <w:r w:rsidR="00A265FE" w:rsidRPr="00A463F9">
          <w:rPr>
            <w:rStyle w:val="Hyperlink"/>
            <w:rFonts w:ascii="Arial" w:eastAsiaTheme="majorEastAsia" w:hAnsi="Arial" w:cs="Arial"/>
            <w:noProof/>
            <w:szCs w:val="20"/>
            <w:lang w:val="en-GB"/>
          </w:rPr>
          <w:t>rednosti povprečne poletne meteorološke vodne bilance za Slovenijo med letoma 1981 in 2022 in število regij z izjemno kmetijsko sušo v posameznem letu (zgoraj) ter jakost poletne kmetijske suše, izražene s percentilnim razredom po regijah med letoma 1981 in 2022 v primerjavi z obdobjem 1961–2020</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_Toc193194010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155</w:t>
        </w:r>
        <w:r w:rsidR="00A265FE" w:rsidRPr="00A463F9">
          <w:rPr>
            <w:rFonts w:ascii="Arial" w:hAnsi="Arial" w:cs="Arial"/>
            <w:noProof/>
            <w:webHidden/>
            <w:szCs w:val="20"/>
          </w:rPr>
          <w:fldChar w:fldCharType="end"/>
        </w:r>
      </w:hyperlink>
    </w:p>
    <w:p w14:paraId="0FEFDB40" w14:textId="18A1E612"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11" w:history="1">
        <w:r w:rsidR="00A265FE" w:rsidRPr="00A463F9">
          <w:rPr>
            <w:rStyle w:val="Hyperlink"/>
            <w:rFonts w:ascii="Arial" w:eastAsiaTheme="majorEastAsia" w:hAnsi="Arial" w:cs="Arial"/>
            <w:noProof/>
            <w:szCs w:val="20"/>
            <w:lang w:val="en-GB"/>
          </w:rPr>
          <w:t>Slika 38: Obseg Triglavskega ledenika med letoma 1946 in 2020</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_Toc193194011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156</w:t>
        </w:r>
        <w:r w:rsidR="00A265FE" w:rsidRPr="00A463F9">
          <w:rPr>
            <w:rFonts w:ascii="Arial" w:hAnsi="Arial" w:cs="Arial"/>
            <w:noProof/>
            <w:webHidden/>
            <w:szCs w:val="20"/>
          </w:rPr>
          <w:fldChar w:fldCharType="end"/>
        </w:r>
      </w:hyperlink>
    </w:p>
    <w:p w14:paraId="7FBAD321" w14:textId="4403E5E3"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12" w:history="1">
        <w:r w:rsidR="00A265FE" w:rsidRPr="00A463F9">
          <w:rPr>
            <w:rStyle w:val="Hyperlink"/>
            <w:rFonts w:ascii="Arial" w:eastAsiaTheme="majorEastAsia" w:hAnsi="Arial" w:cs="Arial"/>
            <w:noProof/>
            <w:szCs w:val="20"/>
            <w:lang w:val="en-GB"/>
          </w:rPr>
          <w:t>Slika 39: Trend osutosti in poškodovanosti gozdov</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_Toc193194012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157</w:t>
        </w:r>
        <w:r w:rsidR="00A265FE" w:rsidRPr="00A463F9">
          <w:rPr>
            <w:rFonts w:ascii="Arial" w:hAnsi="Arial" w:cs="Arial"/>
            <w:noProof/>
            <w:webHidden/>
            <w:szCs w:val="20"/>
          </w:rPr>
          <w:fldChar w:fldCharType="end"/>
        </w:r>
      </w:hyperlink>
    </w:p>
    <w:p w14:paraId="3D4291A0" w14:textId="4F89B75F"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13" w:history="1">
        <w:r w:rsidR="00A265FE" w:rsidRPr="00A463F9">
          <w:rPr>
            <w:rStyle w:val="Hyperlink"/>
            <w:rFonts w:ascii="Arial" w:eastAsiaTheme="majorEastAsia" w:hAnsi="Arial" w:cs="Arial"/>
            <w:noProof/>
            <w:szCs w:val="20"/>
          </w:rPr>
          <w:t>Slika 40: Shematični prikaz zaporedja korakov pri izdelavi ocene ranljivosti in tveganja (Smithers in Dworak, 2023)</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_Toc193194013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163</w:t>
        </w:r>
        <w:r w:rsidR="00A265FE" w:rsidRPr="00A463F9">
          <w:rPr>
            <w:rFonts w:ascii="Arial" w:hAnsi="Arial" w:cs="Arial"/>
            <w:noProof/>
            <w:webHidden/>
            <w:szCs w:val="20"/>
          </w:rPr>
          <w:fldChar w:fldCharType="end"/>
        </w:r>
      </w:hyperlink>
    </w:p>
    <w:p w14:paraId="3DD96BAF" w14:textId="5AFC0AD1" w:rsidR="00A265FE" w:rsidRPr="00A463F9" w:rsidRDefault="00032C2E" w:rsidP="002D2843">
      <w:pPr>
        <w:pStyle w:val="TableofFigures"/>
        <w:jc w:val="both"/>
        <w:rPr>
          <w:rFonts w:ascii="Arial" w:eastAsiaTheme="minorEastAsia" w:hAnsi="Arial" w:cs="Arial"/>
          <w:noProof/>
          <w:kern w:val="2"/>
          <w:szCs w:val="20"/>
          <w:lang w:eastAsia="sl-SI"/>
          <w14:ligatures w14:val="standardContextual"/>
        </w:rPr>
      </w:pPr>
      <w:hyperlink w:anchor="_Toc193194014" w:history="1">
        <w:r w:rsidR="00A265FE" w:rsidRPr="00A463F9">
          <w:rPr>
            <w:rStyle w:val="Hyperlink"/>
            <w:rFonts w:ascii="Arial" w:eastAsiaTheme="majorEastAsia" w:hAnsi="Arial" w:cs="Arial"/>
            <w:noProof/>
            <w:szCs w:val="20"/>
          </w:rPr>
          <w:t>Slika 41: Skupno podnebno financiranje po kanalih in vrsti podpore, 2021–2022</w:t>
        </w:r>
        <w:r w:rsidR="00A265FE" w:rsidRPr="00A463F9">
          <w:rPr>
            <w:rFonts w:ascii="Arial" w:hAnsi="Arial" w:cs="Arial"/>
            <w:noProof/>
            <w:webHidden/>
            <w:szCs w:val="20"/>
          </w:rPr>
          <w:tab/>
        </w:r>
        <w:r w:rsidR="00A265FE" w:rsidRPr="00A463F9">
          <w:rPr>
            <w:rFonts w:ascii="Arial" w:hAnsi="Arial" w:cs="Arial"/>
            <w:noProof/>
            <w:webHidden/>
            <w:szCs w:val="20"/>
          </w:rPr>
          <w:fldChar w:fldCharType="begin"/>
        </w:r>
        <w:r w:rsidR="00A265FE" w:rsidRPr="00A463F9">
          <w:rPr>
            <w:rFonts w:ascii="Arial" w:hAnsi="Arial" w:cs="Arial"/>
            <w:noProof/>
            <w:webHidden/>
            <w:szCs w:val="20"/>
          </w:rPr>
          <w:instrText xml:space="preserve"> PAGEREF _Toc193194014 \h </w:instrText>
        </w:r>
        <w:r w:rsidR="00A265FE" w:rsidRPr="00A463F9">
          <w:rPr>
            <w:rFonts w:ascii="Arial" w:hAnsi="Arial" w:cs="Arial"/>
            <w:noProof/>
            <w:webHidden/>
            <w:szCs w:val="20"/>
          </w:rPr>
        </w:r>
        <w:r w:rsidR="00A265FE" w:rsidRPr="00A463F9">
          <w:rPr>
            <w:rFonts w:ascii="Arial" w:hAnsi="Arial" w:cs="Arial"/>
            <w:noProof/>
            <w:webHidden/>
            <w:szCs w:val="20"/>
          </w:rPr>
          <w:fldChar w:fldCharType="separate"/>
        </w:r>
        <w:r w:rsidR="00A265FE" w:rsidRPr="00A463F9">
          <w:rPr>
            <w:rFonts w:ascii="Arial" w:hAnsi="Arial" w:cs="Arial"/>
            <w:noProof/>
            <w:webHidden/>
            <w:szCs w:val="20"/>
          </w:rPr>
          <w:t>179</w:t>
        </w:r>
        <w:r w:rsidR="00A265FE" w:rsidRPr="00A463F9">
          <w:rPr>
            <w:rFonts w:ascii="Arial" w:hAnsi="Arial" w:cs="Arial"/>
            <w:noProof/>
            <w:webHidden/>
            <w:szCs w:val="20"/>
          </w:rPr>
          <w:fldChar w:fldCharType="end"/>
        </w:r>
      </w:hyperlink>
    </w:p>
    <w:p w14:paraId="65923540" w14:textId="628C8ACC" w:rsidR="00A265FE" w:rsidRPr="00A463F9" w:rsidRDefault="00A265FE" w:rsidP="002D2843">
      <w:pPr>
        <w:jc w:val="both"/>
        <w:rPr>
          <w:rFonts w:ascii="Arial" w:hAnsi="Arial" w:cs="Arial"/>
          <w:sz w:val="20"/>
          <w:szCs w:val="20"/>
          <w:highlight w:val="yellow"/>
        </w:rPr>
      </w:pPr>
      <w:r w:rsidRPr="00A463F9">
        <w:rPr>
          <w:rFonts w:ascii="Arial" w:hAnsi="Arial" w:cs="Arial"/>
          <w:sz w:val="20"/>
          <w:szCs w:val="20"/>
        </w:rPr>
        <w:fldChar w:fldCharType="end"/>
      </w:r>
    </w:p>
    <w:p w14:paraId="44B5A1E1" w14:textId="77777777" w:rsidR="00A265FE" w:rsidRPr="00A463F9" w:rsidRDefault="00A265FE">
      <w:pPr>
        <w:rPr>
          <w:rFonts w:ascii="Arial" w:hAnsi="Arial" w:cs="Arial"/>
          <w:sz w:val="20"/>
          <w:szCs w:val="20"/>
          <w:highlight w:val="yellow"/>
        </w:rPr>
      </w:pPr>
      <w:r w:rsidRPr="00A463F9">
        <w:rPr>
          <w:rFonts w:ascii="Arial" w:hAnsi="Arial" w:cs="Arial"/>
          <w:sz w:val="20"/>
          <w:szCs w:val="20"/>
          <w:highlight w:val="yellow"/>
        </w:rPr>
        <w:br w:type="page"/>
      </w:r>
    </w:p>
    <w:p w14:paraId="7E92D89A" w14:textId="250DB3D2" w:rsidR="0042650C" w:rsidRPr="003D75D9" w:rsidRDefault="00A265FE">
      <w:pPr>
        <w:rPr>
          <w:rFonts w:ascii="Arial" w:hAnsi="Arial" w:cs="Arial"/>
          <w:b/>
          <w:bCs/>
          <w:sz w:val="32"/>
          <w:szCs w:val="32"/>
        </w:rPr>
      </w:pPr>
      <w:r w:rsidRPr="003D75D9">
        <w:rPr>
          <w:rFonts w:ascii="Arial" w:hAnsi="Arial" w:cs="Arial"/>
          <w:b/>
          <w:bCs/>
          <w:sz w:val="32"/>
          <w:szCs w:val="32"/>
        </w:rPr>
        <w:lastRenderedPageBreak/>
        <w:t>Kazalo preglednic</w:t>
      </w:r>
    </w:p>
    <w:p w14:paraId="733DA7CC" w14:textId="0A767310" w:rsidR="006022BE" w:rsidRPr="00A463F9" w:rsidRDefault="006022BE">
      <w:pPr>
        <w:pStyle w:val="TableofFigures"/>
        <w:rPr>
          <w:rFonts w:ascii="Arial" w:eastAsiaTheme="minorEastAsia" w:hAnsi="Arial" w:cs="Arial"/>
          <w:noProof/>
          <w:kern w:val="2"/>
          <w:szCs w:val="20"/>
          <w:lang w:eastAsia="sl-SI"/>
          <w14:ligatures w14:val="standardContextual"/>
        </w:rPr>
      </w:pPr>
      <w:r w:rsidRPr="00A463F9">
        <w:rPr>
          <w:rFonts w:ascii="Arial" w:hAnsi="Arial" w:cs="Arial"/>
          <w:szCs w:val="20"/>
        </w:rPr>
        <w:fldChar w:fldCharType="begin"/>
      </w:r>
      <w:r w:rsidRPr="00A463F9">
        <w:rPr>
          <w:rFonts w:ascii="Arial" w:hAnsi="Arial" w:cs="Arial"/>
          <w:szCs w:val="20"/>
        </w:rPr>
        <w:instrText xml:space="preserve"> TOC \h \z \t "nika tabelee" \c </w:instrText>
      </w:r>
      <w:r w:rsidRPr="00A463F9">
        <w:rPr>
          <w:rFonts w:ascii="Arial" w:hAnsi="Arial" w:cs="Arial"/>
          <w:szCs w:val="20"/>
        </w:rPr>
        <w:fldChar w:fldCharType="separate"/>
      </w:r>
      <w:hyperlink w:anchor="_Toc193195386" w:history="1">
        <w:r w:rsidRPr="00A463F9">
          <w:rPr>
            <w:rStyle w:val="Hyperlink"/>
            <w:rFonts w:ascii="Arial" w:eastAsiaTheme="majorEastAsia" w:hAnsi="Arial" w:cs="Arial"/>
            <w:noProof/>
            <w:szCs w:val="20"/>
          </w:rPr>
          <w:t>Preglednica 1: Raba končne energije ter struktura po sektorjih in energentih v izbranih letih (vir: SURS)</w:t>
        </w:r>
        <w:r w:rsidRPr="00A463F9">
          <w:rPr>
            <w:rFonts w:ascii="Arial" w:hAnsi="Arial" w:cs="Arial"/>
            <w:noProof/>
            <w:webHidden/>
            <w:szCs w:val="20"/>
          </w:rPr>
          <w:tab/>
        </w:r>
        <w:r w:rsidRPr="00A463F9">
          <w:rPr>
            <w:rFonts w:ascii="Arial" w:hAnsi="Arial" w:cs="Arial"/>
            <w:noProof/>
            <w:webHidden/>
            <w:szCs w:val="20"/>
          </w:rPr>
          <w:fldChar w:fldCharType="begin"/>
        </w:r>
        <w:r w:rsidRPr="00A463F9">
          <w:rPr>
            <w:rFonts w:ascii="Arial" w:hAnsi="Arial" w:cs="Arial"/>
            <w:noProof/>
            <w:webHidden/>
            <w:szCs w:val="20"/>
          </w:rPr>
          <w:instrText xml:space="preserve"> PAGEREF _Toc193195386 \h </w:instrText>
        </w:r>
        <w:r w:rsidRPr="00A463F9">
          <w:rPr>
            <w:rFonts w:ascii="Arial" w:hAnsi="Arial" w:cs="Arial"/>
            <w:noProof/>
            <w:webHidden/>
            <w:szCs w:val="20"/>
          </w:rPr>
        </w:r>
        <w:r w:rsidRPr="00A463F9">
          <w:rPr>
            <w:rFonts w:ascii="Arial" w:hAnsi="Arial" w:cs="Arial"/>
            <w:noProof/>
            <w:webHidden/>
            <w:szCs w:val="20"/>
          </w:rPr>
          <w:fldChar w:fldCharType="separate"/>
        </w:r>
        <w:r w:rsidRPr="00A463F9">
          <w:rPr>
            <w:rFonts w:ascii="Arial" w:hAnsi="Arial" w:cs="Arial"/>
            <w:noProof/>
            <w:webHidden/>
            <w:szCs w:val="20"/>
          </w:rPr>
          <w:t>27</w:t>
        </w:r>
        <w:r w:rsidRPr="00A463F9">
          <w:rPr>
            <w:rFonts w:ascii="Arial" w:hAnsi="Arial" w:cs="Arial"/>
            <w:noProof/>
            <w:webHidden/>
            <w:szCs w:val="20"/>
          </w:rPr>
          <w:fldChar w:fldCharType="end"/>
        </w:r>
      </w:hyperlink>
    </w:p>
    <w:p w14:paraId="1F5B3406" w14:textId="2CD63673"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87" w:history="1">
        <w:r w:rsidR="006022BE" w:rsidRPr="00A463F9">
          <w:rPr>
            <w:rStyle w:val="Hyperlink"/>
            <w:rFonts w:ascii="Arial" w:eastAsiaTheme="majorEastAsia" w:hAnsi="Arial" w:cs="Arial"/>
            <w:noProof/>
            <w:szCs w:val="20"/>
          </w:rPr>
          <w:t>Preglednica 2: Opis NDC EU</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_Toc193195387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40</w:t>
        </w:r>
        <w:r w:rsidR="006022BE" w:rsidRPr="00A463F9">
          <w:rPr>
            <w:rFonts w:ascii="Arial" w:hAnsi="Arial" w:cs="Arial"/>
            <w:noProof/>
            <w:webHidden/>
            <w:szCs w:val="20"/>
          </w:rPr>
          <w:fldChar w:fldCharType="end"/>
        </w:r>
      </w:hyperlink>
    </w:p>
    <w:p w14:paraId="08E787D9" w14:textId="05465718"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88" w:history="1">
        <w:r w:rsidR="006022BE" w:rsidRPr="00A463F9">
          <w:rPr>
            <w:rStyle w:val="Hyperlink"/>
            <w:rFonts w:ascii="Arial" w:eastAsiaTheme="majorEastAsia" w:hAnsi="Arial" w:cs="Arial"/>
            <w:noProof/>
            <w:szCs w:val="20"/>
          </w:rPr>
          <w:t>Preglednica 3: Kazalnik za spremljanje napredka</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_Toc193195388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43</w:t>
        </w:r>
        <w:r w:rsidR="006022BE" w:rsidRPr="00A463F9">
          <w:rPr>
            <w:rFonts w:ascii="Arial" w:hAnsi="Arial" w:cs="Arial"/>
            <w:noProof/>
            <w:webHidden/>
            <w:szCs w:val="20"/>
          </w:rPr>
          <w:fldChar w:fldCharType="end"/>
        </w:r>
      </w:hyperlink>
    </w:p>
    <w:p w14:paraId="3553561E" w14:textId="406CCA18"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89" w:history="1">
        <w:r w:rsidR="006022BE" w:rsidRPr="00A463F9">
          <w:rPr>
            <w:rStyle w:val="Hyperlink"/>
            <w:rFonts w:ascii="Arial" w:eastAsiaTheme="majorEastAsia" w:hAnsi="Arial" w:cs="Arial"/>
            <w:noProof/>
            <w:szCs w:val="20"/>
          </w:rPr>
          <w:t>Preglednica 4: Povzetek napredka pri izvajanju in doseganju NDC</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_Toc193195389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44</w:t>
        </w:r>
        <w:r w:rsidR="006022BE" w:rsidRPr="00A463F9">
          <w:rPr>
            <w:rFonts w:ascii="Arial" w:hAnsi="Arial" w:cs="Arial"/>
            <w:noProof/>
            <w:webHidden/>
            <w:szCs w:val="20"/>
          </w:rPr>
          <w:fldChar w:fldCharType="end"/>
        </w:r>
      </w:hyperlink>
    </w:p>
    <w:p w14:paraId="591B7EE9" w14:textId="51F6D6D1"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0" w:history="1">
        <w:r w:rsidR="006022BE" w:rsidRPr="00A463F9">
          <w:rPr>
            <w:rStyle w:val="Hyperlink"/>
            <w:rFonts w:ascii="Arial" w:eastAsiaTheme="majorEastAsia" w:hAnsi="Arial" w:cs="Arial"/>
            <w:noProof/>
            <w:szCs w:val="20"/>
          </w:rPr>
          <w:t>Preglednica 5: Pregled emisij TGP v EU ETS v letih 2005, 2020 in 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_Toc193195390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47</w:t>
        </w:r>
        <w:r w:rsidR="006022BE" w:rsidRPr="00A463F9">
          <w:rPr>
            <w:rFonts w:ascii="Arial" w:hAnsi="Arial" w:cs="Arial"/>
            <w:noProof/>
            <w:webHidden/>
            <w:szCs w:val="20"/>
          </w:rPr>
          <w:fldChar w:fldCharType="end"/>
        </w:r>
      </w:hyperlink>
    </w:p>
    <w:p w14:paraId="0EE08B76" w14:textId="59295C13"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1" w:history="1">
        <w:r w:rsidR="006022BE" w:rsidRPr="00A463F9">
          <w:rPr>
            <w:rStyle w:val="Hyperlink"/>
            <w:rFonts w:ascii="Arial" w:eastAsiaTheme="majorEastAsia" w:hAnsi="Arial" w:cs="Arial"/>
            <w:noProof/>
            <w:szCs w:val="20"/>
          </w:rPr>
          <w:t>Preglednica 6: Tabela ukrepov</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_Toc193195391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112</w:t>
        </w:r>
        <w:r w:rsidR="006022BE" w:rsidRPr="00A463F9">
          <w:rPr>
            <w:rFonts w:ascii="Arial" w:hAnsi="Arial" w:cs="Arial"/>
            <w:noProof/>
            <w:webHidden/>
            <w:szCs w:val="20"/>
          </w:rPr>
          <w:fldChar w:fldCharType="end"/>
        </w:r>
      </w:hyperlink>
    </w:p>
    <w:p w14:paraId="5752E709" w14:textId="373B7292"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2" w:history="1">
        <w:r w:rsidR="006022BE" w:rsidRPr="00A463F9">
          <w:rPr>
            <w:rStyle w:val="Hyperlink"/>
            <w:rFonts w:ascii="Arial" w:eastAsiaTheme="majorEastAsia" w:hAnsi="Arial" w:cs="Arial"/>
            <w:noProof/>
            <w:szCs w:val="20"/>
          </w:rPr>
          <w:t>Preglednica 7: Predstavitev glavnih pogojev v scenarijih z ukrepi in z dodatnimi ukrepi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_Toc193195392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122</w:t>
        </w:r>
        <w:r w:rsidR="006022BE" w:rsidRPr="00A463F9">
          <w:rPr>
            <w:rFonts w:ascii="Arial" w:hAnsi="Arial" w:cs="Arial"/>
            <w:noProof/>
            <w:webHidden/>
            <w:szCs w:val="20"/>
          </w:rPr>
          <w:fldChar w:fldCharType="end"/>
        </w:r>
      </w:hyperlink>
    </w:p>
    <w:p w14:paraId="227634D0" w14:textId="2472C3FD"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3" w:history="1">
        <w:r w:rsidR="006022BE" w:rsidRPr="00A463F9">
          <w:rPr>
            <w:rStyle w:val="Hyperlink"/>
            <w:rFonts w:ascii="Arial" w:eastAsiaTheme="majorEastAsia" w:hAnsi="Arial" w:cs="Arial"/>
            <w:noProof/>
            <w:szCs w:val="20"/>
          </w:rPr>
          <w:t>Preglednica 8: Povezava sektorjev v projekcijah s CRF sektorji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_Toc193195393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123</w:t>
        </w:r>
        <w:r w:rsidR="006022BE" w:rsidRPr="00A463F9">
          <w:rPr>
            <w:rFonts w:ascii="Arial" w:hAnsi="Arial" w:cs="Arial"/>
            <w:noProof/>
            <w:webHidden/>
            <w:szCs w:val="20"/>
          </w:rPr>
          <w:fldChar w:fldCharType="end"/>
        </w:r>
      </w:hyperlink>
    </w:p>
    <w:p w14:paraId="2BD4E2A9" w14:textId="4AA6EAC9"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4" w:history="1">
        <w:r w:rsidR="006022BE" w:rsidRPr="00A463F9">
          <w:rPr>
            <w:rStyle w:val="Hyperlink"/>
            <w:rFonts w:ascii="Arial" w:eastAsiaTheme="majorEastAsia" w:hAnsi="Arial" w:cs="Arial"/>
            <w:noProof/>
            <w:szCs w:val="20"/>
          </w:rPr>
          <w:t>Preglenica 9: Projekcije emisij iz prodaje goriv mednarodnemu letalstvu in mednarodnemu pomorstvu (vir: IJS-CEU)</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_Toc193195394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134</w:t>
        </w:r>
        <w:r w:rsidR="006022BE" w:rsidRPr="00A463F9">
          <w:rPr>
            <w:rFonts w:ascii="Arial" w:hAnsi="Arial" w:cs="Arial"/>
            <w:noProof/>
            <w:webHidden/>
            <w:szCs w:val="20"/>
          </w:rPr>
          <w:fldChar w:fldCharType="end"/>
        </w:r>
      </w:hyperlink>
    </w:p>
    <w:p w14:paraId="210831BB" w14:textId="2268BC6C"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5" w:history="1">
        <w:r w:rsidR="006022BE" w:rsidRPr="00A463F9">
          <w:rPr>
            <w:rStyle w:val="Hyperlink"/>
            <w:rFonts w:ascii="Arial" w:eastAsiaTheme="majorEastAsia" w:hAnsi="Arial" w:cs="Arial"/>
            <w:noProof/>
            <w:szCs w:val="20"/>
          </w:rPr>
          <w:t>Preglednica 10: Projekcije emisij TGP in ponorov po scenariju z ukrepi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_Toc193195395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136</w:t>
        </w:r>
        <w:r w:rsidR="006022BE" w:rsidRPr="00A463F9">
          <w:rPr>
            <w:rFonts w:ascii="Arial" w:hAnsi="Arial" w:cs="Arial"/>
            <w:noProof/>
            <w:webHidden/>
            <w:szCs w:val="20"/>
          </w:rPr>
          <w:fldChar w:fldCharType="end"/>
        </w:r>
      </w:hyperlink>
    </w:p>
    <w:p w14:paraId="52689F96" w14:textId="055C8C12"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6" w:history="1">
        <w:r w:rsidR="006022BE" w:rsidRPr="00A463F9">
          <w:rPr>
            <w:rStyle w:val="Hyperlink"/>
            <w:rFonts w:ascii="Arial" w:eastAsiaTheme="majorEastAsia" w:hAnsi="Arial" w:cs="Arial"/>
            <w:noProof/>
            <w:szCs w:val="20"/>
            <w:lang w:val="en-GB" w:eastAsia="sl-SI"/>
          </w:rPr>
          <w:t>Preglednica 11: Projekcije emisij TGP in ponorov po scenariju z dodatnimi ukrepi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_Toc193195396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136</w:t>
        </w:r>
        <w:r w:rsidR="006022BE" w:rsidRPr="00A463F9">
          <w:rPr>
            <w:rFonts w:ascii="Arial" w:hAnsi="Arial" w:cs="Arial"/>
            <w:noProof/>
            <w:webHidden/>
            <w:szCs w:val="20"/>
          </w:rPr>
          <w:fldChar w:fldCharType="end"/>
        </w:r>
      </w:hyperlink>
    </w:p>
    <w:p w14:paraId="12BF105E" w14:textId="201DA65E"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7" w:history="1">
        <w:r w:rsidR="006022BE" w:rsidRPr="00A463F9">
          <w:rPr>
            <w:rStyle w:val="Hyperlink"/>
            <w:rFonts w:ascii="Arial" w:eastAsiaTheme="majorEastAsia" w:hAnsi="Arial" w:cs="Arial"/>
            <w:noProof/>
            <w:szCs w:val="20"/>
            <w:lang w:eastAsia="sl-SI"/>
          </w:rPr>
          <w:t>Preglednica 12: Dejanske emisije EU ETS v letih 2005, 2020, 2022 ter projekcije emisij z ukrepi in z dodatnimi ukrepi do leta 2040 (vir: ARSO, IJS-CEU, KIS)</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_Toc193195397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138</w:t>
        </w:r>
        <w:r w:rsidR="006022BE" w:rsidRPr="00A463F9">
          <w:rPr>
            <w:rFonts w:ascii="Arial" w:hAnsi="Arial" w:cs="Arial"/>
            <w:noProof/>
            <w:webHidden/>
            <w:szCs w:val="20"/>
          </w:rPr>
          <w:fldChar w:fldCharType="end"/>
        </w:r>
      </w:hyperlink>
    </w:p>
    <w:p w14:paraId="46E39594" w14:textId="5FC50641"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8" w:history="1">
        <w:r w:rsidR="006022BE" w:rsidRPr="00A463F9">
          <w:rPr>
            <w:rStyle w:val="Hyperlink"/>
            <w:rFonts w:ascii="Arial" w:eastAsiaTheme="majorEastAsia" w:hAnsi="Arial" w:cs="Arial"/>
            <w:noProof/>
            <w:szCs w:val="20"/>
          </w:rPr>
          <w:t>Preglednica 13: Delež EU ETS emisij v skupnih emisijah TGP po sektorjih</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_Toc193195398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138</w:t>
        </w:r>
        <w:r w:rsidR="006022BE" w:rsidRPr="00A463F9">
          <w:rPr>
            <w:rFonts w:ascii="Arial" w:hAnsi="Arial" w:cs="Arial"/>
            <w:noProof/>
            <w:webHidden/>
            <w:szCs w:val="20"/>
          </w:rPr>
          <w:fldChar w:fldCharType="end"/>
        </w:r>
      </w:hyperlink>
    </w:p>
    <w:p w14:paraId="23EE27C8" w14:textId="0A0D53AB"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399" w:history="1">
        <w:r w:rsidR="006022BE" w:rsidRPr="00A463F9">
          <w:rPr>
            <w:rStyle w:val="Hyperlink"/>
            <w:rFonts w:ascii="Arial" w:eastAsiaTheme="majorEastAsia" w:hAnsi="Arial" w:cs="Arial"/>
            <w:noProof/>
            <w:szCs w:val="20"/>
          </w:rPr>
          <w:t>Preglednica 14: Ciljna trajektorija za emisije neETS v obdobju 2021−2025 (vir: EK)</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_Toc193195399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139</w:t>
        </w:r>
        <w:r w:rsidR="006022BE" w:rsidRPr="00A463F9">
          <w:rPr>
            <w:rFonts w:ascii="Arial" w:hAnsi="Arial" w:cs="Arial"/>
            <w:noProof/>
            <w:webHidden/>
            <w:szCs w:val="20"/>
          </w:rPr>
          <w:fldChar w:fldCharType="end"/>
        </w:r>
      </w:hyperlink>
    </w:p>
    <w:p w14:paraId="0278F568" w14:textId="14177040"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0" w:history="1">
        <w:r w:rsidR="006022BE" w:rsidRPr="00A463F9">
          <w:rPr>
            <w:rStyle w:val="Hyperlink"/>
            <w:rFonts w:ascii="Arial" w:eastAsiaTheme="majorEastAsia" w:hAnsi="Arial" w:cs="Arial"/>
            <w:noProof/>
            <w:szCs w:val="20"/>
            <w:lang w:eastAsia="sl-SI"/>
          </w:rPr>
          <w:t>Preglednica 15: Emisije virov, ki niso vključeni v EU ETS (neETS), v letih 2005, 2020, 2022 in projekcija z ukrepi ter z dodatnimi ukrepi do leta 2040</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_Toc193195400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141</w:t>
        </w:r>
        <w:r w:rsidR="006022BE" w:rsidRPr="00A463F9">
          <w:rPr>
            <w:rFonts w:ascii="Arial" w:hAnsi="Arial" w:cs="Arial"/>
            <w:noProof/>
            <w:webHidden/>
            <w:szCs w:val="20"/>
          </w:rPr>
          <w:fldChar w:fldCharType="end"/>
        </w:r>
      </w:hyperlink>
    </w:p>
    <w:p w14:paraId="756B50C6" w14:textId="11398B22"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1" w:history="1">
        <w:r w:rsidR="006022BE" w:rsidRPr="00A463F9">
          <w:rPr>
            <w:rStyle w:val="Hyperlink"/>
            <w:rFonts w:ascii="Arial" w:eastAsiaTheme="majorEastAsia" w:hAnsi="Arial" w:cs="Arial"/>
            <w:noProof/>
            <w:szCs w:val="20"/>
          </w:rPr>
          <w:t>Preglednica 16: Občutljivost projekcij emisij TGP v sektorju promet glede na predvidevanja glede tranzitnega prometa in izvajanja ukrepov v prometu</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_Toc193195401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143</w:t>
        </w:r>
        <w:r w:rsidR="006022BE" w:rsidRPr="00A463F9">
          <w:rPr>
            <w:rFonts w:ascii="Arial" w:hAnsi="Arial" w:cs="Arial"/>
            <w:noProof/>
            <w:webHidden/>
            <w:szCs w:val="20"/>
          </w:rPr>
          <w:fldChar w:fldCharType="end"/>
        </w:r>
      </w:hyperlink>
    </w:p>
    <w:p w14:paraId="3106AC67" w14:textId="69046D4A"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2" w:history="1">
        <w:r w:rsidR="006022BE" w:rsidRPr="00A463F9">
          <w:rPr>
            <w:rStyle w:val="Hyperlink"/>
            <w:rFonts w:ascii="Arial" w:eastAsiaTheme="majorEastAsia" w:hAnsi="Arial" w:cs="Arial"/>
            <w:noProof/>
            <w:szCs w:val="20"/>
          </w:rPr>
          <w:t>Preglednica 17: Občutljivost projekcij vseh emisij TGP glede na predvidevanja glede tranzitnega prometa in izvajanja ukrepov prometne in okoljske politike</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_Toc193195402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144</w:t>
        </w:r>
        <w:r w:rsidR="006022BE" w:rsidRPr="00A463F9">
          <w:rPr>
            <w:rFonts w:ascii="Arial" w:hAnsi="Arial" w:cs="Arial"/>
            <w:noProof/>
            <w:webHidden/>
            <w:szCs w:val="20"/>
          </w:rPr>
          <w:fldChar w:fldCharType="end"/>
        </w:r>
      </w:hyperlink>
    </w:p>
    <w:p w14:paraId="6810A82F" w14:textId="38D9C2EE"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3" w:history="1">
        <w:r w:rsidR="006022BE" w:rsidRPr="00A463F9">
          <w:rPr>
            <w:rStyle w:val="Hyperlink"/>
            <w:rFonts w:ascii="Arial" w:eastAsiaTheme="majorEastAsia" w:hAnsi="Arial" w:cs="Arial"/>
            <w:noProof/>
            <w:szCs w:val="20"/>
            <w:lang w:eastAsia="sl-SI"/>
          </w:rPr>
          <w:t>Preglednica 18: Občutljivost projekcij emisij TGP neETS glede na predvidevanja glede tranzitnega prometa in izvajanja ukrepov trajnostne prometne in okoljske politike</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_Toc193195403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144</w:t>
        </w:r>
        <w:r w:rsidR="006022BE" w:rsidRPr="00A463F9">
          <w:rPr>
            <w:rFonts w:ascii="Arial" w:hAnsi="Arial" w:cs="Arial"/>
            <w:noProof/>
            <w:webHidden/>
            <w:szCs w:val="20"/>
          </w:rPr>
          <w:fldChar w:fldCharType="end"/>
        </w:r>
      </w:hyperlink>
    </w:p>
    <w:p w14:paraId="6210F8D3" w14:textId="6890A544"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4" w:history="1">
        <w:r w:rsidR="006022BE" w:rsidRPr="00A463F9">
          <w:rPr>
            <w:rStyle w:val="Hyperlink"/>
            <w:rFonts w:ascii="Arial" w:eastAsiaTheme="majorEastAsia" w:hAnsi="Arial" w:cs="Arial"/>
            <w:noProof/>
            <w:szCs w:val="20"/>
          </w:rPr>
          <w:t>Preglednica 19: Finančna podpora, zagotovljena v letu 2021</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_Toc193195404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180</w:t>
        </w:r>
        <w:r w:rsidR="006022BE" w:rsidRPr="00A463F9">
          <w:rPr>
            <w:rFonts w:ascii="Arial" w:hAnsi="Arial" w:cs="Arial"/>
            <w:noProof/>
            <w:webHidden/>
            <w:szCs w:val="20"/>
          </w:rPr>
          <w:fldChar w:fldCharType="end"/>
        </w:r>
      </w:hyperlink>
    </w:p>
    <w:p w14:paraId="4026AA1E" w14:textId="53D83FAB"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5" w:history="1">
        <w:r w:rsidR="006022BE" w:rsidRPr="00A463F9">
          <w:rPr>
            <w:rStyle w:val="Hyperlink"/>
            <w:rFonts w:ascii="Arial" w:eastAsiaTheme="majorEastAsia" w:hAnsi="Arial" w:cs="Arial"/>
            <w:noProof/>
            <w:szCs w:val="20"/>
          </w:rPr>
          <w:t>Preglednica 20: Finančna podpora, zagotovljena v letu 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_Toc193195405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180</w:t>
        </w:r>
        <w:r w:rsidR="006022BE" w:rsidRPr="00A463F9">
          <w:rPr>
            <w:rFonts w:ascii="Arial" w:hAnsi="Arial" w:cs="Arial"/>
            <w:noProof/>
            <w:webHidden/>
            <w:szCs w:val="20"/>
          </w:rPr>
          <w:fldChar w:fldCharType="end"/>
        </w:r>
      </w:hyperlink>
    </w:p>
    <w:p w14:paraId="26591738" w14:textId="56A0CD30"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6" w:history="1">
        <w:r w:rsidR="006022BE" w:rsidRPr="00A463F9">
          <w:rPr>
            <w:rStyle w:val="Hyperlink"/>
            <w:rFonts w:ascii="Arial" w:eastAsiaTheme="majorEastAsia" w:hAnsi="Arial" w:cs="Arial"/>
            <w:noProof/>
            <w:szCs w:val="20"/>
          </w:rPr>
          <w:t>Preglednica 21: Dvostranska finančna podpora, zagotovljena po sektorjih</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_Toc193195406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181</w:t>
        </w:r>
        <w:r w:rsidR="006022BE" w:rsidRPr="00A463F9">
          <w:rPr>
            <w:rFonts w:ascii="Arial" w:hAnsi="Arial" w:cs="Arial"/>
            <w:noProof/>
            <w:webHidden/>
            <w:szCs w:val="20"/>
          </w:rPr>
          <w:fldChar w:fldCharType="end"/>
        </w:r>
      </w:hyperlink>
    </w:p>
    <w:p w14:paraId="42DC7C69" w14:textId="7BB3606F"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7" w:history="1">
        <w:r w:rsidR="006022BE" w:rsidRPr="00A463F9">
          <w:rPr>
            <w:rStyle w:val="Hyperlink"/>
            <w:rFonts w:ascii="Arial" w:eastAsiaTheme="majorEastAsia" w:hAnsi="Arial" w:cs="Arial"/>
            <w:noProof/>
            <w:szCs w:val="20"/>
          </w:rPr>
          <w:t>Preglednica 22: Finančna podpora, mobilizirana v letih 2021 in 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_Toc193195407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181</w:t>
        </w:r>
        <w:r w:rsidR="006022BE" w:rsidRPr="00A463F9">
          <w:rPr>
            <w:rFonts w:ascii="Arial" w:hAnsi="Arial" w:cs="Arial"/>
            <w:noProof/>
            <w:webHidden/>
            <w:szCs w:val="20"/>
          </w:rPr>
          <w:fldChar w:fldCharType="end"/>
        </w:r>
      </w:hyperlink>
    </w:p>
    <w:p w14:paraId="1F9DA369" w14:textId="4D4B3E53"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8" w:history="1">
        <w:r w:rsidR="006022BE" w:rsidRPr="00A463F9">
          <w:rPr>
            <w:rStyle w:val="Hyperlink"/>
            <w:rFonts w:ascii="Arial" w:eastAsiaTheme="majorEastAsia" w:hAnsi="Arial" w:cs="Arial"/>
            <w:noProof/>
            <w:szCs w:val="20"/>
          </w:rPr>
          <w:t>Preglednica 23: Finančna podpora, mobilizirana v letih 2021 in 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_Toc193195408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181</w:t>
        </w:r>
        <w:r w:rsidR="006022BE" w:rsidRPr="00A463F9">
          <w:rPr>
            <w:rFonts w:ascii="Arial" w:hAnsi="Arial" w:cs="Arial"/>
            <w:noProof/>
            <w:webHidden/>
            <w:szCs w:val="20"/>
          </w:rPr>
          <w:fldChar w:fldCharType="end"/>
        </w:r>
      </w:hyperlink>
    </w:p>
    <w:p w14:paraId="7D92AFC2" w14:textId="2FFCF888"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09" w:history="1">
        <w:r w:rsidR="006022BE" w:rsidRPr="00A463F9">
          <w:rPr>
            <w:rStyle w:val="Hyperlink"/>
            <w:rFonts w:ascii="Arial" w:eastAsiaTheme="majorEastAsia" w:hAnsi="Arial" w:cs="Arial"/>
            <w:noProof/>
            <w:szCs w:val="20"/>
            <w:lang w:eastAsia="sl-SI"/>
          </w:rPr>
          <w:t>Preglednica 24: Študija primera 1 – Satelitske slike in modeliranje poplav reke v Indiji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_Toc193195409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183</w:t>
        </w:r>
        <w:r w:rsidR="006022BE" w:rsidRPr="00A463F9">
          <w:rPr>
            <w:rFonts w:ascii="Arial" w:hAnsi="Arial" w:cs="Arial"/>
            <w:noProof/>
            <w:webHidden/>
            <w:szCs w:val="20"/>
          </w:rPr>
          <w:fldChar w:fldCharType="end"/>
        </w:r>
      </w:hyperlink>
    </w:p>
    <w:p w14:paraId="7F6DA3A7" w14:textId="6F5EB360"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0" w:history="1">
        <w:r w:rsidR="006022BE" w:rsidRPr="00A463F9">
          <w:rPr>
            <w:rStyle w:val="Hyperlink"/>
            <w:rFonts w:ascii="Arial" w:eastAsiaTheme="majorEastAsia" w:hAnsi="Arial" w:cs="Arial"/>
            <w:noProof/>
            <w:szCs w:val="20"/>
          </w:rPr>
          <w:t>Preglednica 25: Študija primera 2 – Trajnostno upravljanje vode in drugih virov za boljše zdravje in preživetje v Ruandi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_Toc193195410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183</w:t>
        </w:r>
        <w:r w:rsidR="006022BE" w:rsidRPr="00A463F9">
          <w:rPr>
            <w:rFonts w:ascii="Arial" w:hAnsi="Arial" w:cs="Arial"/>
            <w:noProof/>
            <w:webHidden/>
            <w:szCs w:val="20"/>
          </w:rPr>
          <w:fldChar w:fldCharType="end"/>
        </w:r>
      </w:hyperlink>
    </w:p>
    <w:p w14:paraId="2C2C3960" w14:textId="7431509F"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1" w:history="1">
        <w:r w:rsidR="006022BE" w:rsidRPr="00A463F9">
          <w:rPr>
            <w:rStyle w:val="Hyperlink"/>
            <w:rFonts w:ascii="Arial" w:eastAsiaTheme="majorEastAsia" w:hAnsi="Arial" w:cs="Arial"/>
            <w:noProof/>
            <w:szCs w:val="20"/>
          </w:rPr>
          <w:t>Preglednica 26: Ukrepi in dejavnosti, povezani s podporo za razvoj in prenos tehnologij, 2021–2022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_Toc193195411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186</w:t>
        </w:r>
        <w:r w:rsidR="006022BE" w:rsidRPr="00A463F9">
          <w:rPr>
            <w:rFonts w:ascii="Arial" w:hAnsi="Arial" w:cs="Arial"/>
            <w:noProof/>
            <w:webHidden/>
            <w:szCs w:val="20"/>
          </w:rPr>
          <w:fldChar w:fldCharType="end"/>
        </w:r>
      </w:hyperlink>
    </w:p>
    <w:p w14:paraId="37A1ED85" w14:textId="47246E95"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2" w:history="1">
        <w:r w:rsidR="006022BE" w:rsidRPr="00A463F9">
          <w:rPr>
            <w:rStyle w:val="Hyperlink"/>
            <w:rFonts w:ascii="Arial" w:eastAsiaTheme="majorEastAsia" w:hAnsi="Arial" w:cs="Arial"/>
            <w:noProof/>
            <w:szCs w:val="20"/>
          </w:rPr>
          <w:t>Preglednica 27: Študija primera 1 – Podpora ženskemu družbeno odgovornem podjetništvu v Bosni in Hercegovini</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_Toc193195412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188</w:t>
        </w:r>
        <w:r w:rsidR="006022BE" w:rsidRPr="00A463F9">
          <w:rPr>
            <w:rFonts w:ascii="Arial" w:hAnsi="Arial" w:cs="Arial"/>
            <w:noProof/>
            <w:webHidden/>
            <w:szCs w:val="20"/>
          </w:rPr>
          <w:fldChar w:fldCharType="end"/>
        </w:r>
      </w:hyperlink>
    </w:p>
    <w:p w14:paraId="5A21D265" w14:textId="0DDF1F19"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3" w:history="1">
        <w:r w:rsidR="006022BE" w:rsidRPr="00A463F9">
          <w:rPr>
            <w:rStyle w:val="Hyperlink"/>
            <w:rFonts w:ascii="Arial" w:eastAsiaTheme="majorEastAsia" w:hAnsi="Arial" w:cs="Arial"/>
            <w:noProof/>
            <w:szCs w:val="20"/>
          </w:rPr>
          <w:t>Preglednica 28: Ukrepi in dejavnosti, povezani s podporo za krepitev zmogljivosti, 2021–2022</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_Toc193195413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194</w:t>
        </w:r>
        <w:r w:rsidR="006022BE" w:rsidRPr="00A463F9">
          <w:rPr>
            <w:rFonts w:ascii="Arial" w:hAnsi="Arial" w:cs="Arial"/>
            <w:noProof/>
            <w:webHidden/>
            <w:szCs w:val="20"/>
          </w:rPr>
          <w:fldChar w:fldCharType="end"/>
        </w:r>
      </w:hyperlink>
    </w:p>
    <w:p w14:paraId="5E9146AE" w14:textId="4B6936E7"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4" w:history="1">
        <w:r w:rsidR="006022BE" w:rsidRPr="00A463F9">
          <w:rPr>
            <w:rStyle w:val="Hyperlink"/>
            <w:rFonts w:ascii="Arial" w:eastAsiaTheme="majorEastAsia" w:hAnsi="Arial" w:cs="Arial"/>
            <w:noProof/>
            <w:szCs w:val="20"/>
            <w:lang w:val="en-GB"/>
          </w:rPr>
          <w:t>Preglednica 29</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_Toc193195414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215</w:t>
        </w:r>
        <w:r w:rsidR="006022BE" w:rsidRPr="00A463F9">
          <w:rPr>
            <w:rFonts w:ascii="Arial" w:hAnsi="Arial" w:cs="Arial"/>
            <w:noProof/>
            <w:webHidden/>
            <w:szCs w:val="20"/>
          </w:rPr>
          <w:fldChar w:fldCharType="end"/>
        </w:r>
      </w:hyperlink>
    </w:p>
    <w:p w14:paraId="065160D3" w14:textId="47C4A334"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5" w:history="1">
        <w:r w:rsidR="006022BE" w:rsidRPr="00A463F9">
          <w:rPr>
            <w:rStyle w:val="Hyperlink"/>
            <w:rFonts w:ascii="Arial" w:eastAsiaTheme="majorEastAsia" w:hAnsi="Arial" w:cs="Arial"/>
            <w:noProof/>
            <w:szCs w:val="20"/>
          </w:rPr>
          <w:t>Preglednica 30: Emisije iz letalstva, zajete v obsegu EU NDC</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_Toc193195415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220</w:t>
        </w:r>
        <w:r w:rsidR="006022BE" w:rsidRPr="00A463F9">
          <w:rPr>
            <w:rFonts w:ascii="Arial" w:hAnsi="Arial" w:cs="Arial"/>
            <w:noProof/>
            <w:webHidden/>
            <w:szCs w:val="20"/>
          </w:rPr>
          <w:fldChar w:fldCharType="end"/>
        </w:r>
      </w:hyperlink>
    </w:p>
    <w:p w14:paraId="7AFC296F" w14:textId="4BB977BD" w:rsidR="006022BE" w:rsidRPr="00A463F9" w:rsidRDefault="00032C2E">
      <w:pPr>
        <w:pStyle w:val="TableofFigures"/>
        <w:rPr>
          <w:rFonts w:ascii="Arial" w:eastAsiaTheme="minorEastAsia" w:hAnsi="Arial" w:cs="Arial"/>
          <w:noProof/>
          <w:kern w:val="2"/>
          <w:szCs w:val="20"/>
          <w:lang w:eastAsia="sl-SI"/>
          <w14:ligatures w14:val="standardContextual"/>
        </w:rPr>
      </w:pPr>
      <w:hyperlink w:anchor="_Toc193195416" w:history="1">
        <w:r w:rsidR="006022BE" w:rsidRPr="00A463F9">
          <w:rPr>
            <w:rStyle w:val="Hyperlink"/>
            <w:rFonts w:ascii="Arial" w:eastAsiaTheme="majorEastAsia" w:hAnsi="Arial" w:cs="Arial"/>
            <w:noProof/>
            <w:szCs w:val="20"/>
          </w:rPr>
          <w:t>Preglednica 31: Emisije pomorske plovbe, ki jih zajema EU NDC</w:t>
        </w:r>
        <w:r w:rsidR="006022BE" w:rsidRPr="00A463F9">
          <w:rPr>
            <w:rFonts w:ascii="Arial" w:hAnsi="Arial" w:cs="Arial"/>
            <w:noProof/>
            <w:webHidden/>
            <w:szCs w:val="20"/>
          </w:rPr>
          <w:tab/>
        </w:r>
        <w:r w:rsidR="006022BE" w:rsidRPr="00A463F9">
          <w:rPr>
            <w:rFonts w:ascii="Arial" w:hAnsi="Arial" w:cs="Arial"/>
            <w:noProof/>
            <w:webHidden/>
            <w:szCs w:val="20"/>
          </w:rPr>
          <w:fldChar w:fldCharType="begin"/>
        </w:r>
        <w:r w:rsidR="006022BE" w:rsidRPr="00A463F9">
          <w:rPr>
            <w:rFonts w:ascii="Arial" w:hAnsi="Arial" w:cs="Arial"/>
            <w:noProof/>
            <w:webHidden/>
            <w:szCs w:val="20"/>
          </w:rPr>
          <w:instrText xml:space="preserve"> PAGEREF _Toc193195416 \h </w:instrText>
        </w:r>
        <w:r w:rsidR="006022BE" w:rsidRPr="00A463F9">
          <w:rPr>
            <w:rFonts w:ascii="Arial" w:hAnsi="Arial" w:cs="Arial"/>
            <w:noProof/>
            <w:webHidden/>
            <w:szCs w:val="20"/>
          </w:rPr>
        </w:r>
        <w:r w:rsidR="006022BE" w:rsidRPr="00A463F9">
          <w:rPr>
            <w:rFonts w:ascii="Arial" w:hAnsi="Arial" w:cs="Arial"/>
            <w:noProof/>
            <w:webHidden/>
            <w:szCs w:val="20"/>
          </w:rPr>
          <w:fldChar w:fldCharType="separate"/>
        </w:r>
        <w:r w:rsidR="006022BE" w:rsidRPr="00A463F9">
          <w:rPr>
            <w:rFonts w:ascii="Arial" w:hAnsi="Arial" w:cs="Arial"/>
            <w:noProof/>
            <w:webHidden/>
            <w:szCs w:val="20"/>
          </w:rPr>
          <w:t>221</w:t>
        </w:r>
        <w:r w:rsidR="006022BE" w:rsidRPr="00A463F9">
          <w:rPr>
            <w:rFonts w:ascii="Arial" w:hAnsi="Arial" w:cs="Arial"/>
            <w:noProof/>
            <w:webHidden/>
            <w:szCs w:val="20"/>
          </w:rPr>
          <w:fldChar w:fldCharType="end"/>
        </w:r>
      </w:hyperlink>
    </w:p>
    <w:p w14:paraId="31295F46" w14:textId="77777777" w:rsidR="004572E9" w:rsidRPr="00A463F9" w:rsidRDefault="006022BE">
      <w:pPr>
        <w:rPr>
          <w:rFonts w:ascii="Arial" w:hAnsi="Arial" w:cs="Arial"/>
          <w:sz w:val="20"/>
          <w:szCs w:val="20"/>
          <w:highlight w:val="yellow"/>
        </w:rPr>
      </w:pPr>
      <w:r w:rsidRPr="00A463F9">
        <w:rPr>
          <w:rFonts w:ascii="Arial" w:hAnsi="Arial" w:cs="Arial"/>
          <w:sz w:val="20"/>
          <w:szCs w:val="20"/>
        </w:rPr>
        <w:fldChar w:fldCharType="end"/>
      </w:r>
    </w:p>
    <w:p w14:paraId="6B12692A" w14:textId="77777777" w:rsidR="004572E9" w:rsidRPr="00A463F9" w:rsidRDefault="004572E9">
      <w:pPr>
        <w:rPr>
          <w:rFonts w:ascii="Arial" w:hAnsi="Arial" w:cs="Arial"/>
          <w:sz w:val="20"/>
          <w:szCs w:val="20"/>
          <w:highlight w:val="yellow"/>
        </w:rPr>
      </w:pPr>
      <w:r w:rsidRPr="00A463F9">
        <w:rPr>
          <w:rFonts w:ascii="Arial" w:hAnsi="Arial" w:cs="Arial"/>
          <w:sz w:val="20"/>
          <w:szCs w:val="20"/>
          <w:highlight w:val="yellow"/>
        </w:rPr>
        <w:br w:type="page"/>
      </w:r>
    </w:p>
    <w:p w14:paraId="502551A7" w14:textId="06C510BE" w:rsidR="0042650C" w:rsidRPr="007F1EB9" w:rsidRDefault="00B8347D" w:rsidP="007F1EB9">
      <w:pPr>
        <w:pStyle w:val="Heading1"/>
      </w:pPr>
      <w:bookmarkStart w:id="1" w:name="_Toc196300789"/>
      <w:r w:rsidRPr="007F1EB9">
        <w:lastRenderedPageBreak/>
        <w:t>Razširjen povzetek</w:t>
      </w:r>
      <w:bookmarkEnd w:id="1"/>
    </w:p>
    <w:p w14:paraId="2EA8FB8D" w14:textId="77777777" w:rsidR="00B8347D" w:rsidRDefault="00B8347D">
      <w:pPr>
        <w:rPr>
          <w:rFonts w:ascii="Arial" w:hAnsi="Arial" w:cs="Arial"/>
          <w:b/>
          <w:bCs/>
        </w:rPr>
      </w:pPr>
      <w:r w:rsidRPr="00B8347D">
        <w:rPr>
          <w:rFonts w:ascii="Arial" w:hAnsi="Arial" w:cs="Arial"/>
          <w:b/>
          <w:bCs/>
        </w:rPr>
        <w:t xml:space="preserve">Nacionalne okoliščine </w:t>
      </w:r>
    </w:p>
    <w:p w14:paraId="06F5028E" w14:textId="77777777" w:rsidR="00B8347D" w:rsidRPr="00B8347D" w:rsidRDefault="00B8347D" w:rsidP="00B8347D">
      <w:pPr>
        <w:jc w:val="both"/>
        <w:rPr>
          <w:rFonts w:ascii="Arial" w:hAnsi="Arial" w:cs="Arial"/>
        </w:rPr>
      </w:pPr>
      <w:r w:rsidRPr="00B8347D">
        <w:rPr>
          <w:rFonts w:ascii="Arial" w:hAnsi="Arial" w:cs="Arial"/>
        </w:rPr>
        <w:t xml:space="preserve">Slovenija je po politični ureditvi parlamentarna demokracija. Od 1. maja 2004 je članica Evropske unije. V Sloveniji je 212 občin, ki so temeljne lokalne skupnosti. </w:t>
      </w:r>
    </w:p>
    <w:p w14:paraId="006FBE22" w14:textId="0D44FDA3" w:rsidR="00B8347D" w:rsidRPr="00B8347D" w:rsidRDefault="00B8347D" w:rsidP="00B8347D">
      <w:pPr>
        <w:jc w:val="both"/>
        <w:rPr>
          <w:rFonts w:ascii="Arial" w:hAnsi="Arial" w:cs="Arial"/>
        </w:rPr>
      </w:pPr>
      <w:r w:rsidRPr="00B8347D">
        <w:rPr>
          <w:rFonts w:ascii="Arial" w:hAnsi="Arial" w:cs="Arial"/>
        </w:rPr>
        <w:t>Za pripravo in izvajanje okoljske in podnebne politike ter zakonodaje je pristojno Ministrstvo za okolje, podnebje in energij</w:t>
      </w:r>
      <w:r w:rsidR="00F83A51">
        <w:rPr>
          <w:rFonts w:ascii="Arial" w:hAnsi="Arial" w:cs="Arial"/>
        </w:rPr>
        <w:t>o</w:t>
      </w:r>
      <w:r w:rsidR="001115B9">
        <w:rPr>
          <w:rFonts w:ascii="Arial" w:hAnsi="Arial" w:cs="Arial"/>
        </w:rPr>
        <w:t xml:space="preserve"> Republike Slovenije</w:t>
      </w:r>
      <w:r w:rsidRPr="00B8347D">
        <w:rPr>
          <w:rFonts w:ascii="Arial" w:hAnsi="Arial" w:cs="Arial"/>
        </w:rPr>
        <w:t xml:space="preserve"> (MOPE). MOPE tudi koordinira pripravo ukrepov za izvajanje podnebne politike skupaj z drugimi </w:t>
      </w:r>
      <w:r w:rsidR="00F83A51">
        <w:rPr>
          <w:rFonts w:ascii="Arial" w:hAnsi="Arial" w:cs="Arial"/>
        </w:rPr>
        <w:t xml:space="preserve">ustreznimi </w:t>
      </w:r>
      <w:r w:rsidRPr="00B8347D">
        <w:rPr>
          <w:rFonts w:ascii="Arial" w:hAnsi="Arial" w:cs="Arial"/>
        </w:rPr>
        <w:t>resorji. Priprava evidenc emisij in poročanje</w:t>
      </w:r>
      <w:r w:rsidR="00474CA3">
        <w:rPr>
          <w:rFonts w:ascii="Arial" w:hAnsi="Arial" w:cs="Arial"/>
        </w:rPr>
        <w:t xml:space="preserve"> o njih</w:t>
      </w:r>
      <w:r w:rsidRPr="00B8347D">
        <w:rPr>
          <w:rFonts w:ascii="Arial" w:hAnsi="Arial" w:cs="Arial"/>
        </w:rPr>
        <w:t xml:space="preserve"> je naloga Agencije </w:t>
      </w:r>
      <w:r w:rsidR="00F83A51">
        <w:rPr>
          <w:rFonts w:ascii="Arial" w:hAnsi="Arial" w:cs="Arial"/>
        </w:rPr>
        <w:t>R</w:t>
      </w:r>
      <w:r w:rsidRPr="00B8347D">
        <w:rPr>
          <w:rFonts w:ascii="Arial" w:hAnsi="Arial" w:cs="Arial"/>
        </w:rPr>
        <w:t xml:space="preserve">epublike Slovenije za okolje (ARSO), ki je organ v sestavi MOPE. </w:t>
      </w:r>
    </w:p>
    <w:p w14:paraId="59DDC8D6" w14:textId="1952F127" w:rsidR="00B8347D" w:rsidRPr="00B8347D" w:rsidRDefault="00B8347D" w:rsidP="00B8347D">
      <w:pPr>
        <w:jc w:val="both"/>
        <w:rPr>
          <w:rFonts w:ascii="Arial" w:hAnsi="Arial" w:cs="Arial"/>
        </w:rPr>
      </w:pPr>
      <w:r w:rsidRPr="00B8347D">
        <w:rPr>
          <w:rFonts w:ascii="Arial" w:hAnsi="Arial" w:cs="Arial"/>
        </w:rPr>
        <w:t xml:space="preserve">Leta 2023 je </w:t>
      </w:r>
      <w:r w:rsidR="00F83A51">
        <w:rPr>
          <w:rFonts w:ascii="Arial" w:hAnsi="Arial" w:cs="Arial"/>
        </w:rPr>
        <w:t xml:space="preserve">imela </w:t>
      </w:r>
      <w:r w:rsidRPr="00B8347D">
        <w:rPr>
          <w:rFonts w:ascii="Arial" w:hAnsi="Arial" w:cs="Arial"/>
        </w:rPr>
        <w:t>Slovenij</w:t>
      </w:r>
      <w:r w:rsidR="00F83A51">
        <w:rPr>
          <w:rFonts w:ascii="Arial" w:hAnsi="Arial" w:cs="Arial"/>
        </w:rPr>
        <w:t>a</w:t>
      </w:r>
      <w:r w:rsidRPr="00B8347D">
        <w:rPr>
          <w:rFonts w:ascii="Arial" w:hAnsi="Arial" w:cs="Arial"/>
        </w:rPr>
        <w:t xml:space="preserve"> 2.116.972</w:t>
      </w:r>
      <w:r w:rsidR="00F83A51">
        <w:rPr>
          <w:rFonts w:ascii="Arial" w:hAnsi="Arial" w:cs="Arial"/>
        </w:rPr>
        <w:t xml:space="preserve"> prebivalcev</w:t>
      </w:r>
      <w:r w:rsidRPr="00B8347D">
        <w:rPr>
          <w:rFonts w:ascii="Arial" w:hAnsi="Arial" w:cs="Arial"/>
        </w:rPr>
        <w:t xml:space="preserve">, kar je približno 7000 več kot leto prej. Povečanje je posledica priseljevanja, saj je naravni prirast že sedmo leto zapored negativen. Gostota prebivalstva je zmerna. </w:t>
      </w:r>
    </w:p>
    <w:p w14:paraId="2C6E9336" w14:textId="04C8C657" w:rsidR="00B8347D" w:rsidRPr="00B8347D" w:rsidRDefault="00B8347D" w:rsidP="00B8347D">
      <w:pPr>
        <w:jc w:val="both"/>
        <w:rPr>
          <w:rFonts w:ascii="Arial" w:hAnsi="Arial" w:cs="Arial"/>
        </w:rPr>
      </w:pPr>
      <w:r w:rsidRPr="00B8347D">
        <w:rPr>
          <w:rFonts w:ascii="Arial" w:hAnsi="Arial" w:cs="Arial"/>
        </w:rPr>
        <w:t xml:space="preserve">Slovenija leži v srednji Evropi in </w:t>
      </w:r>
      <w:r w:rsidR="00474CA3">
        <w:rPr>
          <w:rFonts w:ascii="Arial" w:hAnsi="Arial" w:cs="Arial"/>
        </w:rPr>
        <w:t xml:space="preserve">na severu </w:t>
      </w:r>
      <w:r w:rsidRPr="00B8347D">
        <w:rPr>
          <w:rFonts w:ascii="Arial" w:hAnsi="Arial" w:cs="Arial"/>
        </w:rPr>
        <w:t xml:space="preserve">meji na Avstrijo, na </w:t>
      </w:r>
      <w:r w:rsidR="00474CA3">
        <w:rPr>
          <w:rFonts w:ascii="Arial" w:hAnsi="Arial" w:cs="Arial"/>
        </w:rPr>
        <w:t>vzhodu</w:t>
      </w:r>
      <w:r w:rsidR="00474CA3" w:rsidRPr="00B8347D">
        <w:rPr>
          <w:rFonts w:ascii="Arial" w:hAnsi="Arial" w:cs="Arial"/>
        </w:rPr>
        <w:t xml:space="preserve"> </w:t>
      </w:r>
      <w:r w:rsidRPr="00B8347D">
        <w:rPr>
          <w:rFonts w:ascii="Arial" w:hAnsi="Arial" w:cs="Arial"/>
        </w:rPr>
        <w:t xml:space="preserve">na Madžarsko, na </w:t>
      </w:r>
      <w:r w:rsidR="00474CA3">
        <w:rPr>
          <w:rFonts w:ascii="Arial" w:hAnsi="Arial" w:cs="Arial"/>
        </w:rPr>
        <w:t>jugu</w:t>
      </w:r>
      <w:r w:rsidR="00474CA3" w:rsidRPr="00B8347D">
        <w:rPr>
          <w:rFonts w:ascii="Arial" w:hAnsi="Arial" w:cs="Arial"/>
        </w:rPr>
        <w:t xml:space="preserve"> </w:t>
      </w:r>
      <w:r w:rsidRPr="00B8347D">
        <w:rPr>
          <w:rFonts w:ascii="Arial" w:hAnsi="Arial" w:cs="Arial"/>
        </w:rPr>
        <w:t xml:space="preserve">na Hrvaško in na </w:t>
      </w:r>
      <w:r w:rsidR="00474CA3">
        <w:rPr>
          <w:rFonts w:ascii="Arial" w:hAnsi="Arial" w:cs="Arial"/>
        </w:rPr>
        <w:t>zahodu</w:t>
      </w:r>
      <w:r w:rsidR="00474CA3" w:rsidRPr="00B8347D">
        <w:rPr>
          <w:rFonts w:ascii="Arial" w:hAnsi="Arial" w:cs="Arial"/>
        </w:rPr>
        <w:t xml:space="preserve"> </w:t>
      </w:r>
      <w:r w:rsidRPr="00B8347D">
        <w:rPr>
          <w:rFonts w:ascii="Arial" w:hAnsi="Arial" w:cs="Arial"/>
        </w:rPr>
        <w:t xml:space="preserve">na Italijo. Površina </w:t>
      </w:r>
      <w:r w:rsidR="00D24C60">
        <w:rPr>
          <w:rFonts w:ascii="Arial" w:hAnsi="Arial" w:cs="Arial"/>
        </w:rPr>
        <w:t xml:space="preserve">slovenskega </w:t>
      </w:r>
      <w:r w:rsidRPr="00B8347D">
        <w:rPr>
          <w:rFonts w:ascii="Arial" w:hAnsi="Arial" w:cs="Arial"/>
        </w:rPr>
        <w:t xml:space="preserve">ozemlja </w:t>
      </w:r>
      <w:r w:rsidR="00FC3C5D">
        <w:rPr>
          <w:rFonts w:ascii="Arial" w:hAnsi="Arial" w:cs="Arial"/>
        </w:rPr>
        <w:t xml:space="preserve">meri </w:t>
      </w:r>
      <w:r w:rsidRPr="00B8347D">
        <w:rPr>
          <w:rFonts w:ascii="Arial" w:hAnsi="Arial" w:cs="Arial"/>
        </w:rPr>
        <w:t>20.273 km</w:t>
      </w:r>
      <w:r w:rsidRPr="00A57F7D">
        <w:rPr>
          <w:rFonts w:ascii="Arial" w:hAnsi="Arial" w:cs="Arial"/>
          <w:vertAlign w:val="superscript"/>
        </w:rPr>
        <w:t>2</w:t>
      </w:r>
      <w:r w:rsidRPr="00B8347D">
        <w:rPr>
          <w:rFonts w:ascii="Arial" w:hAnsi="Arial" w:cs="Arial"/>
        </w:rPr>
        <w:t xml:space="preserve">. Pokrajinsko in biotsko je </w:t>
      </w:r>
      <w:r w:rsidR="00D24C60">
        <w:rPr>
          <w:rFonts w:ascii="Arial" w:hAnsi="Arial" w:cs="Arial"/>
        </w:rPr>
        <w:t xml:space="preserve">Slovenija </w:t>
      </w:r>
      <w:r w:rsidRPr="00B8347D">
        <w:rPr>
          <w:rFonts w:ascii="Arial" w:hAnsi="Arial" w:cs="Arial"/>
        </w:rPr>
        <w:t xml:space="preserve">zelo raznolika. Največji del njene površine pokriva gozd (58 %).  </w:t>
      </w:r>
    </w:p>
    <w:p w14:paraId="291238EA" w14:textId="125E3077" w:rsidR="00B8347D" w:rsidRPr="00B8347D" w:rsidRDefault="00B8347D" w:rsidP="00B8347D">
      <w:pPr>
        <w:jc w:val="both"/>
        <w:rPr>
          <w:rFonts w:ascii="Arial" w:hAnsi="Arial" w:cs="Arial"/>
        </w:rPr>
      </w:pPr>
      <w:r w:rsidRPr="00B8347D">
        <w:rPr>
          <w:rFonts w:ascii="Arial" w:hAnsi="Arial" w:cs="Arial"/>
        </w:rPr>
        <w:t xml:space="preserve">Podnebne spremembe se v Sloveniji </w:t>
      </w:r>
      <w:r w:rsidR="00D24C60">
        <w:rPr>
          <w:rFonts w:ascii="Arial" w:hAnsi="Arial" w:cs="Arial"/>
        </w:rPr>
        <w:t>najočitneje</w:t>
      </w:r>
      <w:r w:rsidRPr="00B8347D">
        <w:rPr>
          <w:rFonts w:ascii="Arial" w:hAnsi="Arial" w:cs="Arial"/>
        </w:rPr>
        <w:t xml:space="preserve"> kažejo s segrevanjem ozračja. Povprečna letna temperatura je v obdobju 1950–2023 narasla za 2 °C. Padavinske spremembe niso enotne </w:t>
      </w:r>
      <w:r w:rsidR="00474CA3">
        <w:rPr>
          <w:rFonts w:ascii="Arial" w:hAnsi="Arial" w:cs="Arial"/>
        </w:rPr>
        <w:t>ter</w:t>
      </w:r>
      <w:r w:rsidR="00474CA3" w:rsidRPr="00B8347D">
        <w:rPr>
          <w:rFonts w:ascii="Arial" w:hAnsi="Arial" w:cs="Arial"/>
        </w:rPr>
        <w:t xml:space="preserve"> </w:t>
      </w:r>
      <w:r w:rsidRPr="00B8347D">
        <w:rPr>
          <w:rFonts w:ascii="Arial" w:hAnsi="Arial" w:cs="Arial"/>
        </w:rPr>
        <w:t xml:space="preserve">so močno prostorsko </w:t>
      </w:r>
      <w:r w:rsidR="00474CA3">
        <w:rPr>
          <w:rFonts w:ascii="Arial" w:hAnsi="Arial" w:cs="Arial"/>
        </w:rPr>
        <w:t xml:space="preserve">in </w:t>
      </w:r>
      <w:r w:rsidRPr="00B8347D">
        <w:rPr>
          <w:rFonts w:ascii="Arial" w:hAnsi="Arial" w:cs="Arial"/>
        </w:rPr>
        <w:t>časovno spremenljive. Med letoma 1950 in 2023 se je letna količina padavin zmanjšala</w:t>
      </w:r>
      <w:r w:rsidR="00474CA3">
        <w:rPr>
          <w:rFonts w:ascii="Arial" w:hAnsi="Arial" w:cs="Arial"/>
        </w:rPr>
        <w:t xml:space="preserve"> za</w:t>
      </w:r>
      <w:r w:rsidRPr="00B8347D">
        <w:rPr>
          <w:rFonts w:ascii="Arial" w:hAnsi="Arial" w:cs="Arial"/>
        </w:rPr>
        <w:t xml:space="preserve"> do 2 % na desetletje, razen v severovzhodni Sloveniji, kjer je trend naraščajoč. </w:t>
      </w:r>
    </w:p>
    <w:p w14:paraId="3B1E289F" w14:textId="0ED2DA50" w:rsidR="00B8347D" w:rsidRPr="00B8347D" w:rsidRDefault="00B8347D" w:rsidP="00B8347D">
      <w:pPr>
        <w:jc w:val="both"/>
        <w:rPr>
          <w:rFonts w:ascii="Arial" w:hAnsi="Arial" w:cs="Arial"/>
        </w:rPr>
      </w:pPr>
      <w:r w:rsidRPr="00B8347D">
        <w:rPr>
          <w:rFonts w:ascii="Arial" w:hAnsi="Arial" w:cs="Arial"/>
        </w:rPr>
        <w:t>Bruto domači proizvod (BDP) Slovenije je leta 2023 znašal 63.951 </w:t>
      </w:r>
      <w:r w:rsidR="006A109B">
        <w:rPr>
          <w:rFonts w:ascii="Arial" w:hAnsi="Arial" w:cs="Arial"/>
        </w:rPr>
        <w:t>milijonov evrov</w:t>
      </w:r>
      <w:r w:rsidRPr="00B8347D">
        <w:rPr>
          <w:rFonts w:ascii="Arial" w:hAnsi="Arial" w:cs="Arial"/>
        </w:rPr>
        <w:t xml:space="preserve">, v </w:t>
      </w:r>
      <w:r w:rsidR="00474CA3" w:rsidRPr="00B8347D">
        <w:rPr>
          <w:rFonts w:ascii="Arial" w:hAnsi="Arial" w:cs="Arial"/>
        </w:rPr>
        <w:t>let</w:t>
      </w:r>
      <w:r w:rsidR="00474CA3">
        <w:rPr>
          <w:rFonts w:ascii="Arial" w:hAnsi="Arial" w:cs="Arial"/>
        </w:rPr>
        <w:t>ih</w:t>
      </w:r>
      <w:r w:rsidR="00474CA3" w:rsidRPr="00B8347D">
        <w:rPr>
          <w:rFonts w:ascii="Arial" w:hAnsi="Arial" w:cs="Arial"/>
        </w:rPr>
        <w:t xml:space="preserve"> </w:t>
      </w:r>
      <w:r w:rsidRPr="00B8347D">
        <w:rPr>
          <w:rFonts w:ascii="Arial" w:hAnsi="Arial" w:cs="Arial"/>
        </w:rPr>
        <w:t xml:space="preserve">2022 in 2023 je slovensko gospodarstvo popolnoma okrevalo po pandemiji </w:t>
      </w:r>
      <w:r w:rsidR="00474CA3">
        <w:rPr>
          <w:rFonts w:ascii="Arial" w:hAnsi="Arial" w:cs="Arial"/>
        </w:rPr>
        <w:t>c</w:t>
      </w:r>
      <w:r w:rsidR="00474CA3" w:rsidRPr="00B8347D">
        <w:rPr>
          <w:rFonts w:ascii="Arial" w:hAnsi="Arial" w:cs="Arial"/>
        </w:rPr>
        <w:t>ovid</w:t>
      </w:r>
      <w:r w:rsidR="00474CA3">
        <w:rPr>
          <w:rFonts w:ascii="Arial" w:hAnsi="Arial" w:cs="Arial"/>
        </w:rPr>
        <w:t>a-</w:t>
      </w:r>
      <w:r w:rsidRPr="00B8347D">
        <w:rPr>
          <w:rFonts w:ascii="Arial" w:hAnsi="Arial" w:cs="Arial"/>
        </w:rPr>
        <w:t xml:space="preserve">19. Gospodarska razvitost Slovenije (merjena z BDP na prebivalca po kupni moči) je </w:t>
      </w:r>
      <w:r w:rsidR="00FC3C5D">
        <w:rPr>
          <w:rFonts w:ascii="Arial" w:hAnsi="Arial" w:cs="Arial"/>
        </w:rPr>
        <w:t xml:space="preserve">dosegla </w:t>
      </w:r>
      <w:r w:rsidRPr="00B8347D">
        <w:rPr>
          <w:rFonts w:ascii="Arial" w:hAnsi="Arial" w:cs="Arial"/>
        </w:rPr>
        <w:t xml:space="preserve">v letu 2023 </w:t>
      </w:r>
      <w:r w:rsidR="00FC3C5D">
        <w:rPr>
          <w:rFonts w:ascii="Arial" w:hAnsi="Arial" w:cs="Arial"/>
        </w:rPr>
        <w:t xml:space="preserve">91 % </w:t>
      </w:r>
      <w:r w:rsidR="00FC3C5D" w:rsidRPr="00B8347D">
        <w:rPr>
          <w:rFonts w:ascii="Arial" w:hAnsi="Arial" w:cs="Arial"/>
        </w:rPr>
        <w:t>povprečj</w:t>
      </w:r>
      <w:r w:rsidR="00FC3C5D">
        <w:rPr>
          <w:rFonts w:ascii="Arial" w:hAnsi="Arial" w:cs="Arial"/>
        </w:rPr>
        <w:t>a</w:t>
      </w:r>
      <w:r w:rsidR="00FC3C5D" w:rsidRPr="00B8347D">
        <w:rPr>
          <w:rFonts w:ascii="Arial" w:hAnsi="Arial" w:cs="Arial"/>
        </w:rPr>
        <w:t xml:space="preserve"> </w:t>
      </w:r>
      <w:r w:rsidRPr="00B8347D">
        <w:rPr>
          <w:rFonts w:ascii="Arial" w:hAnsi="Arial" w:cs="Arial"/>
        </w:rPr>
        <w:t xml:space="preserve">EU. V strukturi dodane vrednosti ima najvišji delež industrija, </w:t>
      </w:r>
      <w:r w:rsidR="00FF0CE7">
        <w:rPr>
          <w:rFonts w:ascii="Arial" w:hAnsi="Arial" w:cs="Arial"/>
        </w:rPr>
        <w:t>v kateri</w:t>
      </w:r>
      <w:r w:rsidR="00FF0CE7" w:rsidRPr="00B8347D">
        <w:rPr>
          <w:rFonts w:ascii="Arial" w:hAnsi="Arial" w:cs="Arial"/>
        </w:rPr>
        <w:t xml:space="preserve"> </w:t>
      </w:r>
      <w:r w:rsidRPr="00B8347D">
        <w:rPr>
          <w:rFonts w:ascii="Arial" w:hAnsi="Arial" w:cs="Arial"/>
        </w:rPr>
        <w:t xml:space="preserve">prevladujejo predelovalne dejavnosti, sledi trgovina. Uvoz </w:t>
      </w:r>
      <w:r w:rsidR="00FF0CE7">
        <w:rPr>
          <w:rFonts w:ascii="Arial" w:hAnsi="Arial" w:cs="Arial"/>
        </w:rPr>
        <w:t xml:space="preserve">je </w:t>
      </w:r>
      <w:r w:rsidRPr="00B8347D">
        <w:rPr>
          <w:rFonts w:ascii="Arial" w:hAnsi="Arial" w:cs="Arial"/>
        </w:rPr>
        <w:t xml:space="preserve">leta 2023 znašal 57,1 milijarde </w:t>
      </w:r>
      <w:r w:rsidR="006A109B">
        <w:rPr>
          <w:rFonts w:ascii="Arial" w:hAnsi="Arial" w:cs="Arial"/>
        </w:rPr>
        <w:t xml:space="preserve">evrov </w:t>
      </w:r>
      <w:r w:rsidRPr="00B8347D">
        <w:rPr>
          <w:rFonts w:ascii="Arial" w:hAnsi="Arial" w:cs="Arial"/>
        </w:rPr>
        <w:t>blaga, izvoz pa 54,9 milijard</w:t>
      </w:r>
      <w:r w:rsidR="002958C7">
        <w:rPr>
          <w:rFonts w:ascii="Arial" w:hAnsi="Arial" w:cs="Arial"/>
        </w:rPr>
        <w:t>e</w:t>
      </w:r>
      <w:r w:rsidRPr="00B8347D">
        <w:rPr>
          <w:rFonts w:ascii="Arial" w:hAnsi="Arial" w:cs="Arial"/>
        </w:rPr>
        <w:t xml:space="preserve"> </w:t>
      </w:r>
      <w:r w:rsidR="002958C7">
        <w:rPr>
          <w:rFonts w:ascii="Arial" w:hAnsi="Arial" w:cs="Arial"/>
        </w:rPr>
        <w:t>evrov</w:t>
      </w:r>
      <w:r w:rsidRPr="00B8347D">
        <w:rPr>
          <w:rFonts w:ascii="Arial" w:hAnsi="Arial" w:cs="Arial"/>
        </w:rPr>
        <w:t>. Stopnja delovne aktivnosti (20</w:t>
      </w:r>
      <w:r w:rsidR="00FC3C5D">
        <w:rPr>
          <w:rFonts w:ascii="Arial" w:hAnsi="Arial" w:cs="Arial"/>
        </w:rPr>
        <w:t>–</w:t>
      </w:r>
      <w:r w:rsidRPr="00B8347D">
        <w:rPr>
          <w:rFonts w:ascii="Arial" w:hAnsi="Arial" w:cs="Arial"/>
        </w:rPr>
        <w:t xml:space="preserve">64 let) je v letu 2023 v Sloveniji znašala 77,5 %, kar je bilo nad povprečjem EU (75,3 % v letu 2023). Stopnja tveganja revščine delovno aktivnih oseb pa je v letu 2023 znašala 5,8 %, kar je tudi boljše od povprečja EU (8,3 % v letu 2023). </w:t>
      </w:r>
    </w:p>
    <w:p w14:paraId="0F093DC5" w14:textId="5BC7209D" w:rsidR="00B8347D" w:rsidRPr="00B8347D" w:rsidRDefault="00B8347D" w:rsidP="00B8347D">
      <w:pPr>
        <w:jc w:val="both"/>
        <w:rPr>
          <w:rFonts w:ascii="Arial" w:hAnsi="Arial" w:cs="Arial"/>
        </w:rPr>
      </w:pPr>
      <w:r w:rsidRPr="00B8347D">
        <w:rPr>
          <w:rFonts w:ascii="Arial" w:hAnsi="Arial" w:cs="Arial"/>
        </w:rPr>
        <w:t xml:space="preserve">Oskrba z energijo je bila leta 2023 za 17 % nižja kot leta 2005. Najvišja vrednost je bila dosežena leta 2008. Največji delež imajo tekoča goriva, sledijo jedrska energija, obnovljivi viri energije, trdna goriva </w:t>
      </w:r>
      <w:r w:rsidR="00FF0CE7">
        <w:rPr>
          <w:rFonts w:ascii="Arial" w:hAnsi="Arial" w:cs="Arial"/>
        </w:rPr>
        <w:t xml:space="preserve">in </w:t>
      </w:r>
      <w:r w:rsidRPr="00B8347D">
        <w:rPr>
          <w:rFonts w:ascii="Arial" w:hAnsi="Arial" w:cs="Arial"/>
        </w:rPr>
        <w:t xml:space="preserve">zemeljski plin. Premog je edini domači vir fosilnih goriv. Obnovljivi viri (prevladujeta les in hidroenergija) </w:t>
      </w:r>
      <w:r w:rsidR="00EC0AF5">
        <w:rPr>
          <w:rFonts w:ascii="Arial" w:hAnsi="Arial" w:cs="Arial"/>
        </w:rPr>
        <w:t>sestavljajo</w:t>
      </w:r>
      <w:r w:rsidR="00FF0CE7" w:rsidRPr="00B8347D">
        <w:rPr>
          <w:rFonts w:ascii="Arial" w:hAnsi="Arial" w:cs="Arial"/>
        </w:rPr>
        <w:t xml:space="preserve"> </w:t>
      </w:r>
      <w:r w:rsidRPr="00B8347D">
        <w:rPr>
          <w:rFonts w:ascii="Arial" w:hAnsi="Arial" w:cs="Arial"/>
        </w:rPr>
        <w:t xml:space="preserve">20-odstotni delež. Od leta 1992 se je povečala raba končne energije zaradi povečanja rabe v sektorjih promet in </w:t>
      </w:r>
      <w:r w:rsidR="00EC0AF5">
        <w:rPr>
          <w:rFonts w:ascii="Arial" w:hAnsi="Arial" w:cs="Arial"/>
        </w:rPr>
        <w:t xml:space="preserve">druga </w:t>
      </w:r>
      <w:r w:rsidRPr="00B8347D">
        <w:rPr>
          <w:rFonts w:ascii="Arial" w:hAnsi="Arial" w:cs="Arial"/>
        </w:rPr>
        <w:t xml:space="preserve">raba. V prometu se porabi 41 % končne energije, kar je bistveno več kot v </w:t>
      </w:r>
      <w:r w:rsidR="00EC0AF5">
        <w:rPr>
          <w:rFonts w:ascii="Arial" w:hAnsi="Arial" w:cs="Arial"/>
        </w:rPr>
        <w:t xml:space="preserve">drugih </w:t>
      </w:r>
      <w:r w:rsidRPr="00B8347D">
        <w:rPr>
          <w:rFonts w:ascii="Arial" w:hAnsi="Arial" w:cs="Arial"/>
        </w:rPr>
        <w:t>sektorjih. V letu 2023 je bilo največ električne energije proizveden</w:t>
      </w:r>
      <w:r w:rsidR="00FF0CE7">
        <w:rPr>
          <w:rFonts w:ascii="Arial" w:hAnsi="Arial" w:cs="Arial"/>
        </w:rPr>
        <w:t>e</w:t>
      </w:r>
      <w:r w:rsidRPr="00B8347D">
        <w:rPr>
          <w:rFonts w:ascii="Arial" w:hAnsi="Arial" w:cs="Arial"/>
        </w:rPr>
        <w:t xml:space="preserve"> iz OVE (40 %), sledil</w:t>
      </w:r>
      <w:r w:rsidR="00EC0AF5">
        <w:rPr>
          <w:rFonts w:ascii="Arial" w:hAnsi="Arial" w:cs="Arial"/>
        </w:rPr>
        <w:t>i</w:t>
      </w:r>
      <w:r w:rsidRPr="00B8347D">
        <w:rPr>
          <w:rFonts w:ascii="Arial" w:hAnsi="Arial" w:cs="Arial"/>
        </w:rPr>
        <w:t xml:space="preserve"> </w:t>
      </w:r>
      <w:r w:rsidR="00EC0AF5">
        <w:rPr>
          <w:rFonts w:ascii="Arial" w:hAnsi="Arial" w:cs="Arial"/>
        </w:rPr>
        <w:t>sta</w:t>
      </w:r>
      <w:r w:rsidR="00EC0AF5" w:rsidRPr="00B8347D">
        <w:rPr>
          <w:rFonts w:ascii="Arial" w:hAnsi="Arial" w:cs="Arial"/>
        </w:rPr>
        <w:t xml:space="preserve"> </w:t>
      </w:r>
      <w:r w:rsidRPr="00B8347D">
        <w:rPr>
          <w:rFonts w:ascii="Arial" w:hAnsi="Arial" w:cs="Arial"/>
        </w:rPr>
        <w:t xml:space="preserve">proizvodnja z jedrsko energijo (35 %) in proizvodnja iz trdnih goriv (20 %). </w:t>
      </w:r>
    </w:p>
    <w:p w14:paraId="70937885" w14:textId="01F7C83C" w:rsidR="00B8347D" w:rsidRPr="00B8347D" w:rsidRDefault="00B8347D" w:rsidP="00B8347D">
      <w:pPr>
        <w:jc w:val="both"/>
        <w:rPr>
          <w:rFonts w:ascii="Arial" w:hAnsi="Arial" w:cs="Arial"/>
        </w:rPr>
      </w:pPr>
      <w:r w:rsidRPr="00B8347D">
        <w:rPr>
          <w:rFonts w:ascii="Arial" w:hAnsi="Arial" w:cs="Arial"/>
        </w:rPr>
        <w:t xml:space="preserve">Obseg cestnega tovornega in avtomobilskega prometa se je v Sloveniji do začetka krize v letu 2009 vztrajno povečeval. Povečevanje avtomobilskega prometa je bilo posledica vse večjega števila vozil (motorizacija je leta 2023 znašala 579 osebnih vozil na 1000 prebivalcev) in povečevanja povprečnega števila prevoženih kilometrov. Po izrazitem padcu potniških kilometrov (pkm) v javnem potniškem prometu je v zadnjih letih prisotna rahla rast, vendar še </w:t>
      </w:r>
      <w:r w:rsidR="003C118D">
        <w:rPr>
          <w:rFonts w:ascii="Arial" w:hAnsi="Arial" w:cs="Arial"/>
        </w:rPr>
        <w:t>ni dosežena</w:t>
      </w:r>
      <w:r w:rsidRPr="00B8347D">
        <w:rPr>
          <w:rFonts w:ascii="Arial" w:hAnsi="Arial" w:cs="Arial"/>
        </w:rPr>
        <w:t xml:space="preserve"> </w:t>
      </w:r>
      <w:r w:rsidR="003C118D" w:rsidRPr="00B8347D">
        <w:rPr>
          <w:rFonts w:ascii="Arial" w:hAnsi="Arial" w:cs="Arial"/>
        </w:rPr>
        <w:t>rav</w:t>
      </w:r>
      <w:r w:rsidR="003C118D">
        <w:rPr>
          <w:rFonts w:ascii="Arial" w:hAnsi="Arial" w:cs="Arial"/>
        </w:rPr>
        <w:t>en</w:t>
      </w:r>
      <w:r w:rsidR="003C118D" w:rsidRPr="00B8347D">
        <w:rPr>
          <w:rFonts w:ascii="Arial" w:hAnsi="Arial" w:cs="Arial"/>
        </w:rPr>
        <w:t xml:space="preserve"> </w:t>
      </w:r>
      <w:r w:rsidRPr="00B8347D">
        <w:rPr>
          <w:rFonts w:ascii="Arial" w:hAnsi="Arial" w:cs="Arial"/>
        </w:rPr>
        <w:t xml:space="preserve">pred pandemijo iz leta 2019. Avtomobili </w:t>
      </w:r>
      <w:r w:rsidR="00EC0AF5">
        <w:rPr>
          <w:rFonts w:ascii="Arial" w:hAnsi="Arial" w:cs="Arial"/>
        </w:rPr>
        <w:t xml:space="preserve">sestavljajo </w:t>
      </w:r>
      <w:r w:rsidRPr="00B8347D">
        <w:rPr>
          <w:rFonts w:ascii="Arial" w:hAnsi="Arial" w:cs="Arial"/>
        </w:rPr>
        <w:t xml:space="preserve">93 % potniškega </w:t>
      </w:r>
      <w:r w:rsidRPr="00B8347D">
        <w:rPr>
          <w:rFonts w:ascii="Arial" w:hAnsi="Arial" w:cs="Arial"/>
        </w:rPr>
        <w:lastRenderedPageBreak/>
        <w:t xml:space="preserve">prometa. Tovorni promet zaznamujejo lega Slovenije na križišču dveh koridorjev, izvozno usmerjeno gospodarstvo in pristanišče Luka Koper. Ti trije dejavniki so pripomogli k visoki rasti blagovnega prometa, h kateri velik del prispevajo tudi tuji prevozniki. Delež železniškega blagovnega prevoza v skupnem kopenskem prevozu v zadnjih letih upada, saj ne more dohitevati rasti cestnega blagovnega prometa.   </w:t>
      </w:r>
    </w:p>
    <w:p w14:paraId="64836ADE" w14:textId="5EAEAA5E" w:rsidR="00B8347D" w:rsidRPr="00B8347D" w:rsidRDefault="00B8347D" w:rsidP="00B8347D">
      <w:pPr>
        <w:jc w:val="both"/>
        <w:rPr>
          <w:rFonts w:ascii="Arial" w:hAnsi="Arial" w:cs="Arial"/>
        </w:rPr>
      </w:pPr>
      <w:r w:rsidRPr="00B8347D">
        <w:rPr>
          <w:rFonts w:ascii="Arial" w:hAnsi="Arial" w:cs="Arial"/>
        </w:rPr>
        <w:t xml:space="preserve">V letu 2023 je v Sloveniji nastalo nekaj manj kot 11,4 milijona ton odpadkov, kar je več kot leta 2021, ko </w:t>
      </w:r>
      <w:r w:rsidR="00DC7B11">
        <w:rPr>
          <w:rFonts w:ascii="Arial" w:hAnsi="Arial" w:cs="Arial"/>
        </w:rPr>
        <w:t xml:space="preserve">jih </w:t>
      </w:r>
      <w:r w:rsidRPr="00B8347D">
        <w:rPr>
          <w:rFonts w:ascii="Arial" w:hAnsi="Arial" w:cs="Arial"/>
        </w:rPr>
        <w:t xml:space="preserve">je nastalo 9,4 milijona ton, a manj kot leta 2022, kar je posledica zmanjšanja količine gradbenih odpadkov, ki pa še vedno </w:t>
      </w:r>
      <w:r w:rsidR="00DC7B11">
        <w:rPr>
          <w:rFonts w:ascii="Arial" w:hAnsi="Arial" w:cs="Arial"/>
        </w:rPr>
        <w:t xml:space="preserve">sestavljajo </w:t>
      </w:r>
      <w:r w:rsidRPr="00B8347D">
        <w:rPr>
          <w:rFonts w:ascii="Arial" w:hAnsi="Arial" w:cs="Arial"/>
        </w:rPr>
        <w:t xml:space="preserve">tri četrtine vseh nastalih odpadkov. Pri ravnanju z odpadki so se v preteklosti zgodile velike spremembe, kar je vplivalo na drastično znižanje odloženih odpadkov. </w:t>
      </w:r>
    </w:p>
    <w:p w14:paraId="20A7BDDD" w14:textId="6EF41907" w:rsidR="00B8347D" w:rsidRPr="00B8347D" w:rsidRDefault="00B8347D" w:rsidP="00B8347D">
      <w:pPr>
        <w:jc w:val="both"/>
        <w:rPr>
          <w:rFonts w:ascii="Arial" w:hAnsi="Arial" w:cs="Arial"/>
        </w:rPr>
      </w:pPr>
      <w:r w:rsidRPr="00B8347D">
        <w:rPr>
          <w:rFonts w:ascii="Arial" w:hAnsi="Arial" w:cs="Arial"/>
        </w:rPr>
        <w:t>Po podatkih iz registrskega popisa 2015 je stanovanjski sklad Slovenije leta 2021 obsegal 864.300 stanovanj. Povprečna površina stanovanj</w:t>
      </w:r>
      <w:r w:rsidR="003C118D">
        <w:rPr>
          <w:rFonts w:ascii="Arial" w:hAnsi="Arial" w:cs="Arial"/>
        </w:rPr>
        <w:t>a</w:t>
      </w:r>
      <w:r w:rsidRPr="00B8347D">
        <w:rPr>
          <w:rFonts w:ascii="Arial" w:hAnsi="Arial" w:cs="Arial"/>
        </w:rPr>
        <w:t xml:space="preserve"> </w:t>
      </w:r>
      <w:r w:rsidR="003C118D" w:rsidRPr="00B8347D">
        <w:rPr>
          <w:rFonts w:ascii="Arial" w:hAnsi="Arial" w:cs="Arial"/>
        </w:rPr>
        <w:t>j</w:t>
      </w:r>
      <w:r w:rsidR="00EC0AF5">
        <w:rPr>
          <w:rFonts w:ascii="Arial" w:hAnsi="Arial" w:cs="Arial"/>
        </w:rPr>
        <w:t>e</w:t>
      </w:r>
      <w:r w:rsidR="003C118D" w:rsidRPr="00B8347D">
        <w:rPr>
          <w:rFonts w:ascii="Arial" w:hAnsi="Arial" w:cs="Arial"/>
        </w:rPr>
        <w:t xml:space="preserve"> </w:t>
      </w:r>
      <w:r w:rsidRPr="00B8347D">
        <w:rPr>
          <w:rFonts w:ascii="Arial" w:hAnsi="Arial" w:cs="Arial"/>
        </w:rPr>
        <w:t xml:space="preserve">v letu 2021 </w:t>
      </w:r>
      <w:r w:rsidR="00EC0AF5">
        <w:rPr>
          <w:rFonts w:ascii="Arial" w:hAnsi="Arial" w:cs="Arial"/>
        </w:rPr>
        <w:t xml:space="preserve">merila </w:t>
      </w:r>
      <w:r w:rsidRPr="00B8347D">
        <w:rPr>
          <w:rFonts w:ascii="Arial" w:hAnsi="Arial" w:cs="Arial"/>
        </w:rPr>
        <w:t>83 m</w:t>
      </w:r>
      <w:r w:rsidRPr="00A57F7D">
        <w:rPr>
          <w:rFonts w:ascii="Arial" w:hAnsi="Arial" w:cs="Arial"/>
          <w:vertAlign w:val="superscript"/>
        </w:rPr>
        <w:t>2</w:t>
      </w:r>
      <w:r w:rsidRPr="00B8347D">
        <w:rPr>
          <w:rFonts w:ascii="Arial" w:hAnsi="Arial" w:cs="Arial"/>
        </w:rPr>
        <w:t>.</w:t>
      </w:r>
      <w:r w:rsidR="00261F1B">
        <w:rPr>
          <w:rFonts w:ascii="Arial" w:hAnsi="Arial" w:cs="Arial"/>
        </w:rPr>
        <w:t xml:space="preserve"> </w:t>
      </w:r>
      <w:r w:rsidRPr="00B8347D">
        <w:rPr>
          <w:rFonts w:ascii="Arial" w:hAnsi="Arial" w:cs="Arial"/>
        </w:rPr>
        <w:t xml:space="preserve">Štiri stanovanja od petih so bila naseljena, od teh je bilo vsako 12. najemno. Večji del stanovanj (60 %) je </w:t>
      </w:r>
      <w:r w:rsidR="003C118D">
        <w:rPr>
          <w:rFonts w:ascii="Arial" w:hAnsi="Arial" w:cs="Arial"/>
        </w:rPr>
        <w:t>bi</w:t>
      </w:r>
      <w:r w:rsidR="003C118D" w:rsidRPr="00B8347D">
        <w:rPr>
          <w:rFonts w:ascii="Arial" w:hAnsi="Arial" w:cs="Arial"/>
        </w:rPr>
        <w:t xml:space="preserve">l </w:t>
      </w:r>
      <w:r w:rsidRPr="00B8347D">
        <w:rPr>
          <w:rFonts w:ascii="Arial" w:hAnsi="Arial" w:cs="Arial"/>
        </w:rPr>
        <w:t xml:space="preserve">v eno- ali dvostanovanjskih stavbah. </w:t>
      </w:r>
    </w:p>
    <w:p w14:paraId="5E2B7A62" w14:textId="003C8D4F" w:rsidR="00B8347D" w:rsidRPr="00B8347D" w:rsidRDefault="00B8347D" w:rsidP="00B8347D">
      <w:pPr>
        <w:jc w:val="both"/>
        <w:rPr>
          <w:rFonts w:ascii="Arial" w:hAnsi="Arial" w:cs="Arial"/>
        </w:rPr>
      </w:pPr>
      <w:r w:rsidRPr="00B8347D">
        <w:rPr>
          <w:rFonts w:ascii="Arial" w:hAnsi="Arial" w:cs="Arial"/>
        </w:rPr>
        <w:t xml:space="preserve">Število kmetijskih gospodarstev v Sloveniji upada. Leta 2023 je </w:t>
      </w:r>
      <w:r w:rsidR="00072160">
        <w:rPr>
          <w:rFonts w:ascii="Arial" w:hAnsi="Arial" w:cs="Arial"/>
        </w:rPr>
        <w:t xml:space="preserve">bilo v Sloveniji </w:t>
      </w:r>
      <w:r w:rsidRPr="00B8347D">
        <w:rPr>
          <w:rFonts w:ascii="Arial" w:hAnsi="Arial" w:cs="Arial"/>
        </w:rPr>
        <w:t>50.531</w:t>
      </w:r>
      <w:r w:rsidR="00072160">
        <w:rPr>
          <w:rFonts w:ascii="Arial" w:hAnsi="Arial" w:cs="Arial"/>
        </w:rPr>
        <w:t xml:space="preserve"> kmetijskih gospodarstev</w:t>
      </w:r>
      <w:r w:rsidRPr="00B8347D">
        <w:rPr>
          <w:rFonts w:ascii="Arial" w:hAnsi="Arial" w:cs="Arial"/>
        </w:rPr>
        <w:t>. Se je pa v primerjavi z letom 2020 povečalo število gospodarstev z 20 hektarji zemljišč v uporabi</w:t>
      </w:r>
      <w:r w:rsidR="003C118D" w:rsidRPr="003C118D">
        <w:rPr>
          <w:rFonts w:ascii="Arial" w:hAnsi="Arial" w:cs="Arial"/>
        </w:rPr>
        <w:t xml:space="preserve"> </w:t>
      </w:r>
      <w:r w:rsidR="003C118D" w:rsidRPr="00B8347D">
        <w:rPr>
          <w:rFonts w:ascii="Arial" w:hAnsi="Arial" w:cs="Arial"/>
        </w:rPr>
        <w:t>ali več</w:t>
      </w:r>
      <w:r w:rsidRPr="00B8347D">
        <w:rPr>
          <w:rFonts w:ascii="Arial" w:hAnsi="Arial" w:cs="Arial"/>
        </w:rPr>
        <w:t>. Po novi metodologiji, ki je v veljavi od leta 2023, povprečno kmetijsko gospodarstvo v Sloveniji meri 8,8 ha, od tega je 5 ha trajnih travnikov in pašnikov, 3,4 ha njiv in 0,5 ha trajnih nasadov.</w:t>
      </w:r>
    </w:p>
    <w:p w14:paraId="23950BCA" w14:textId="14E7E116" w:rsidR="00B8347D" w:rsidRDefault="00B8347D" w:rsidP="00B8347D">
      <w:pPr>
        <w:jc w:val="both"/>
        <w:rPr>
          <w:rFonts w:ascii="Arial" w:hAnsi="Arial" w:cs="Arial"/>
        </w:rPr>
      </w:pPr>
      <w:r w:rsidRPr="00B8347D">
        <w:rPr>
          <w:rFonts w:ascii="Arial" w:hAnsi="Arial" w:cs="Arial"/>
        </w:rPr>
        <w:t xml:space="preserve">Slovenija je ena </w:t>
      </w:r>
      <w:r w:rsidR="00DA0205">
        <w:rPr>
          <w:rFonts w:ascii="Arial" w:hAnsi="Arial" w:cs="Arial"/>
        </w:rPr>
        <w:t xml:space="preserve">od </w:t>
      </w:r>
      <w:r w:rsidRPr="00B8347D">
        <w:rPr>
          <w:rFonts w:ascii="Arial" w:hAnsi="Arial" w:cs="Arial"/>
        </w:rPr>
        <w:t xml:space="preserve">bolj industrializiranih držav v Evropi. Ta gospodarska panoga je leta 2022 ustvarila kar 25,7 % slovenskega BDP. Predelovalne dejavnosti so v letu 2022 </w:t>
      </w:r>
      <w:r w:rsidR="003C118D">
        <w:rPr>
          <w:rFonts w:ascii="Arial" w:hAnsi="Arial" w:cs="Arial"/>
        </w:rPr>
        <w:t>prispev</w:t>
      </w:r>
      <w:r w:rsidR="003C118D" w:rsidRPr="00B8347D">
        <w:rPr>
          <w:rFonts w:ascii="Arial" w:hAnsi="Arial" w:cs="Arial"/>
        </w:rPr>
        <w:t xml:space="preserve">ale </w:t>
      </w:r>
      <w:r w:rsidRPr="00B8347D">
        <w:rPr>
          <w:rFonts w:ascii="Arial" w:hAnsi="Arial" w:cs="Arial"/>
        </w:rPr>
        <w:t>22,6</w:t>
      </w:r>
      <w:r w:rsidR="003C118D">
        <w:rPr>
          <w:rFonts w:ascii="Arial" w:hAnsi="Arial" w:cs="Arial"/>
        </w:rPr>
        <w:t>-odstotni</w:t>
      </w:r>
      <w:r w:rsidRPr="00B8347D">
        <w:rPr>
          <w:rFonts w:ascii="Arial" w:hAnsi="Arial" w:cs="Arial"/>
        </w:rPr>
        <w:t xml:space="preserve"> delež dodane vrednosti (leta 1995 je ta delež znašal 25,1 %).</w:t>
      </w:r>
    </w:p>
    <w:p w14:paraId="749AF3FE" w14:textId="77777777" w:rsidR="00B8347D" w:rsidRDefault="00B8347D" w:rsidP="00B8347D">
      <w:pPr>
        <w:jc w:val="both"/>
        <w:rPr>
          <w:rFonts w:ascii="Arial" w:hAnsi="Arial" w:cs="Arial"/>
          <w:b/>
          <w:bCs/>
        </w:rPr>
      </w:pPr>
      <w:r w:rsidRPr="00B8347D">
        <w:rPr>
          <w:rFonts w:ascii="Arial" w:hAnsi="Arial" w:cs="Arial"/>
          <w:b/>
          <w:bCs/>
        </w:rPr>
        <w:t>Politike in ukrepi</w:t>
      </w:r>
    </w:p>
    <w:p w14:paraId="44CCAC1B" w14:textId="6448C7E5" w:rsidR="00B8347D" w:rsidRPr="00B8347D" w:rsidRDefault="00B8347D" w:rsidP="00B8347D">
      <w:pPr>
        <w:jc w:val="both"/>
        <w:rPr>
          <w:rFonts w:ascii="Arial" w:hAnsi="Arial" w:cs="Arial"/>
        </w:rPr>
      </w:pPr>
      <w:r w:rsidRPr="00B8347D">
        <w:rPr>
          <w:rFonts w:ascii="Arial" w:hAnsi="Arial" w:cs="Arial"/>
        </w:rPr>
        <w:t xml:space="preserve">Krovni dokument na področju podnebne politike je Resolucija o Dolgoročni podnebni strategiji Slovenije do leta 2050 (ReDPS50), ki jo je Državni zbor </w:t>
      </w:r>
      <w:r w:rsidR="00072160">
        <w:rPr>
          <w:rFonts w:ascii="Arial" w:hAnsi="Arial" w:cs="Arial"/>
        </w:rPr>
        <w:t xml:space="preserve">Republike Slovenije </w:t>
      </w:r>
      <w:r w:rsidRPr="00B8347D">
        <w:rPr>
          <w:rFonts w:ascii="Arial" w:hAnsi="Arial" w:cs="Arial"/>
        </w:rPr>
        <w:t xml:space="preserve">sprejel marca 2021. Krovni nacionalni cilj je doseči podnebno nevtralnost do leta 2050. Krovni izvedbeni dokument je </w:t>
      </w:r>
      <w:r w:rsidR="003C118D">
        <w:rPr>
          <w:rFonts w:ascii="Arial" w:hAnsi="Arial" w:cs="Arial"/>
        </w:rPr>
        <w:t xml:space="preserve">bil </w:t>
      </w:r>
      <w:r w:rsidRPr="00B8347D">
        <w:rPr>
          <w:rFonts w:ascii="Arial" w:hAnsi="Arial" w:cs="Arial"/>
        </w:rPr>
        <w:t xml:space="preserve">leta 2024 posodobljen in sprejet </w:t>
      </w:r>
      <w:r w:rsidR="003C118D">
        <w:rPr>
          <w:rFonts w:ascii="Arial" w:hAnsi="Arial" w:cs="Arial"/>
        </w:rPr>
        <w:t xml:space="preserve">je bil </w:t>
      </w:r>
      <w:r w:rsidR="00072160">
        <w:rPr>
          <w:rFonts w:ascii="Arial" w:hAnsi="Arial" w:cs="Arial"/>
        </w:rPr>
        <w:t>c</w:t>
      </w:r>
      <w:r w:rsidRPr="00B8347D">
        <w:rPr>
          <w:rFonts w:ascii="Arial" w:hAnsi="Arial" w:cs="Arial"/>
        </w:rPr>
        <w:t xml:space="preserve">eloviti nacionalni energetski in podnebni načrt (NEPN) </w:t>
      </w:r>
      <w:r w:rsidR="00CC2786">
        <w:rPr>
          <w:rFonts w:ascii="Arial" w:hAnsi="Arial" w:cs="Arial"/>
        </w:rPr>
        <w:t xml:space="preserve">v skladu </w:t>
      </w:r>
      <w:r w:rsidRPr="00B8347D">
        <w:rPr>
          <w:rFonts w:ascii="Arial" w:hAnsi="Arial" w:cs="Arial"/>
        </w:rPr>
        <w:t xml:space="preserve">z uredbo o upravljanju energetske unije (2018/1999/EU). Oba krovna dokumenta </w:t>
      </w:r>
      <w:r w:rsidR="003C118D">
        <w:rPr>
          <w:rFonts w:ascii="Arial" w:hAnsi="Arial" w:cs="Arial"/>
        </w:rPr>
        <w:t>temelj</w:t>
      </w:r>
      <w:r w:rsidR="003C118D" w:rsidRPr="00B8347D">
        <w:rPr>
          <w:rFonts w:ascii="Arial" w:hAnsi="Arial" w:cs="Arial"/>
        </w:rPr>
        <w:t xml:space="preserve">ita </w:t>
      </w:r>
      <w:r w:rsidRPr="00B8347D">
        <w:rPr>
          <w:rFonts w:ascii="Arial" w:hAnsi="Arial" w:cs="Arial"/>
        </w:rPr>
        <w:t>na sektorskih strateških dokumentih.</w:t>
      </w:r>
    </w:p>
    <w:p w14:paraId="7AF3532F" w14:textId="1D83DCAF" w:rsidR="00B8347D" w:rsidRPr="00B8347D" w:rsidRDefault="00B8347D" w:rsidP="00B8347D">
      <w:pPr>
        <w:jc w:val="both"/>
        <w:rPr>
          <w:rFonts w:ascii="Arial" w:hAnsi="Arial" w:cs="Arial"/>
        </w:rPr>
      </w:pPr>
      <w:r w:rsidRPr="00B8347D">
        <w:rPr>
          <w:rFonts w:ascii="Arial" w:hAnsi="Arial" w:cs="Arial"/>
        </w:rPr>
        <w:t xml:space="preserve">Večsektorski ukrepi za </w:t>
      </w:r>
      <w:r w:rsidR="00DF2C72">
        <w:rPr>
          <w:rFonts w:ascii="Arial" w:hAnsi="Arial" w:cs="Arial"/>
        </w:rPr>
        <w:t>blaženje</w:t>
      </w:r>
      <w:r w:rsidRPr="00B8347D">
        <w:rPr>
          <w:rFonts w:ascii="Arial" w:hAnsi="Arial" w:cs="Arial"/>
        </w:rPr>
        <w:t xml:space="preserve"> podnebnih sprememb v Sloveniji vključujejo širok nabor fiskalnih, zakonodajnih in ekonomskih mehanizmov, ki vplivajo na različne sektorje, kot so energetika, promet, industrija, kmetijstvo, javni sektor in gospodinjstva. Ti ukrepi so zelo pomembni za doseganje ciljev zmanjšanja emisij toplogrednih plinov in prehod v podnebno nevtralno družbo.</w:t>
      </w:r>
    </w:p>
    <w:p w14:paraId="63CB27EF" w14:textId="6E2347E7" w:rsidR="00B8347D" w:rsidRPr="00B8347D" w:rsidRDefault="00B8347D" w:rsidP="00B8347D">
      <w:pPr>
        <w:jc w:val="both"/>
        <w:rPr>
          <w:rFonts w:ascii="Arial" w:hAnsi="Arial" w:cs="Arial"/>
        </w:rPr>
      </w:pPr>
      <w:r w:rsidRPr="00B8347D">
        <w:rPr>
          <w:rFonts w:ascii="Arial" w:hAnsi="Arial" w:cs="Arial"/>
        </w:rPr>
        <w:t xml:space="preserve">Eden pomembnejših večsektorskih ukrepov je sistem trgovanja z emisijskimi kuponi EU ETS, ki velja za sektorje, kot so proizvodnja električne energije, industrijski procesi in raba energije v industriji. Cilj tega sistema je omogočiti stroškovno učinkovito zmanjšanje emisij in spodbuditi inovacije pri prehodu na nizkoogljične tehnologije. Z letom 2027 </w:t>
      </w:r>
      <w:r w:rsidR="00DF2C72">
        <w:rPr>
          <w:rFonts w:ascii="Arial" w:hAnsi="Arial" w:cs="Arial"/>
        </w:rPr>
        <w:t>bo</w:t>
      </w:r>
      <w:r w:rsidRPr="00B8347D">
        <w:rPr>
          <w:rFonts w:ascii="Arial" w:hAnsi="Arial" w:cs="Arial"/>
        </w:rPr>
        <w:t xml:space="preserve"> sistem razširjen še na rabo energije v prometu in stavbah ter na preostanek rabe energije v industriji. Med ključne fiskalne ukrepe </w:t>
      </w:r>
      <w:r w:rsidR="003C118D" w:rsidRPr="00B8347D">
        <w:rPr>
          <w:rFonts w:ascii="Arial" w:hAnsi="Arial" w:cs="Arial"/>
        </w:rPr>
        <w:t>s</w:t>
      </w:r>
      <w:r w:rsidR="003C118D">
        <w:rPr>
          <w:rFonts w:ascii="Arial" w:hAnsi="Arial" w:cs="Arial"/>
        </w:rPr>
        <w:t>pada</w:t>
      </w:r>
      <w:r w:rsidR="003C118D" w:rsidRPr="00B8347D">
        <w:rPr>
          <w:rFonts w:ascii="Arial" w:hAnsi="Arial" w:cs="Arial"/>
        </w:rPr>
        <w:t xml:space="preserve">jo </w:t>
      </w:r>
      <w:r w:rsidRPr="00B8347D">
        <w:rPr>
          <w:rFonts w:ascii="Arial" w:hAnsi="Arial" w:cs="Arial"/>
        </w:rPr>
        <w:t>okoljske dajatve in davki na energijo, ki so namenjeni zmanjšanju emisij in spodbujanju konkurenčnosti okolju prijaznejših virov energije. Spremembe v okoljskih dajatvah so usmerjene v internalizacijo eksternih stroškov emisij CO</w:t>
      </w:r>
      <w:r w:rsidRPr="00B8347D">
        <w:rPr>
          <w:rFonts w:ascii="Cambria Math" w:hAnsi="Cambria Math" w:cs="Cambria Math"/>
        </w:rPr>
        <w:t>₂</w:t>
      </w:r>
      <w:r w:rsidRPr="00B8347D">
        <w:rPr>
          <w:rFonts w:ascii="Arial" w:hAnsi="Arial" w:cs="Arial"/>
        </w:rPr>
        <w:t xml:space="preserve"> </w:t>
      </w:r>
      <w:r w:rsidR="003C118D">
        <w:rPr>
          <w:rFonts w:ascii="Arial" w:hAnsi="Arial" w:cs="Arial"/>
        </w:rPr>
        <w:t>in</w:t>
      </w:r>
      <w:r w:rsidR="003C118D" w:rsidRPr="00B8347D">
        <w:rPr>
          <w:rFonts w:ascii="Arial" w:hAnsi="Arial" w:cs="Arial"/>
        </w:rPr>
        <w:t xml:space="preserve"> </w:t>
      </w:r>
      <w:r w:rsidRPr="00B8347D">
        <w:rPr>
          <w:rFonts w:ascii="Arial" w:hAnsi="Arial" w:cs="Arial"/>
        </w:rPr>
        <w:t xml:space="preserve">postopno zmanjševanje spodbud za rabo fosilnih goriv. Država izvaja tudi zeleno javno naročanje, ki spodbuja uporabo okolju prijaznih izdelkov in storitev v javnem sektorju. Namen tega ukrepa je zmanjšanje okoljskega odtisa </w:t>
      </w:r>
      <w:r w:rsidR="003C118D">
        <w:rPr>
          <w:rFonts w:ascii="Arial" w:hAnsi="Arial" w:cs="Arial"/>
        </w:rPr>
        <w:t>ter</w:t>
      </w:r>
      <w:r w:rsidR="003C118D" w:rsidRPr="00B8347D">
        <w:rPr>
          <w:rFonts w:ascii="Arial" w:hAnsi="Arial" w:cs="Arial"/>
        </w:rPr>
        <w:t xml:space="preserve"> </w:t>
      </w:r>
      <w:r w:rsidRPr="00B8347D">
        <w:rPr>
          <w:rFonts w:ascii="Arial" w:hAnsi="Arial" w:cs="Arial"/>
        </w:rPr>
        <w:t xml:space="preserve">povečanje energetske učinkovitosti javnih zgradb </w:t>
      </w:r>
      <w:r w:rsidR="003C118D">
        <w:rPr>
          <w:rFonts w:ascii="Arial" w:hAnsi="Arial" w:cs="Arial"/>
        </w:rPr>
        <w:t xml:space="preserve">in </w:t>
      </w:r>
      <w:r w:rsidRPr="00B8347D">
        <w:rPr>
          <w:rFonts w:ascii="Arial" w:hAnsi="Arial" w:cs="Arial"/>
        </w:rPr>
        <w:t xml:space="preserve">infrastrukture. </w:t>
      </w:r>
      <w:r w:rsidRPr="00B8347D">
        <w:rPr>
          <w:rFonts w:ascii="Arial" w:hAnsi="Arial" w:cs="Arial"/>
        </w:rPr>
        <w:lastRenderedPageBreak/>
        <w:t xml:space="preserve">Slovenija je v </w:t>
      </w:r>
      <w:r w:rsidR="00040ECF">
        <w:rPr>
          <w:rFonts w:ascii="Arial" w:hAnsi="Arial" w:cs="Arial"/>
        </w:rPr>
        <w:t xml:space="preserve">okviru </w:t>
      </w:r>
      <w:r w:rsidRPr="00B8347D">
        <w:rPr>
          <w:rFonts w:ascii="Arial" w:hAnsi="Arial" w:cs="Arial"/>
        </w:rPr>
        <w:t xml:space="preserve">načrta za pravični prehod oblikovala različne finančne instrumente za podporo podjetjem pri zelenem prehodu, pri čemer se sredstva usmerjajo v raziskave, inovacije in konkurenčnost na področju podnebno nevtralnih tehnologij. Poleg tega je uveden program nepovratnih sredstev za projekte energetske prenove stavb in večstanovanjskih objektov. Z ukrepi, kot so upravljanje spodbud za fosilna goriva, zelena proračunska politika in spodbujanje trajnostne mobilnosti, Slovenija krepi sistemske spremembe za dosego dolgoročnih podnebnih ciljev. V tem sklopu ukrepov je </w:t>
      </w:r>
      <w:r w:rsidR="00DC3569">
        <w:rPr>
          <w:rFonts w:ascii="Arial" w:hAnsi="Arial" w:cs="Arial"/>
        </w:rPr>
        <w:t xml:space="preserve">treba </w:t>
      </w:r>
      <w:r w:rsidRPr="00B8347D">
        <w:rPr>
          <w:rFonts w:ascii="Arial" w:hAnsi="Arial" w:cs="Arial"/>
        </w:rPr>
        <w:t>poudariti še izobraževanje, usposabljanje, ozaveščanje, obveščanje in promocij</w:t>
      </w:r>
      <w:r w:rsidR="003C118D">
        <w:rPr>
          <w:rFonts w:ascii="Arial" w:hAnsi="Arial" w:cs="Arial"/>
        </w:rPr>
        <w:t>o</w:t>
      </w:r>
      <w:r w:rsidRPr="00B8347D">
        <w:rPr>
          <w:rFonts w:ascii="Arial" w:hAnsi="Arial" w:cs="Arial"/>
        </w:rPr>
        <w:t xml:space="preserve"> ter izboljšanje prostorskega načrtovanj za podporo izvajanju ukrepov URE in OVE, ki </w:t>
      </w:r>
      <w:r w:rsidR="006E7333">
        <w:rPr>
          <w:rFonts w:ascii="Arial" w:hAnsi="Arial" w:cs="Arial"/>
        </w:rPr>
        <w:t>sta</w:t>
      </w:r>
      <w:r w:rsidR="003C118D" w:rsidRPr="00B8347D">
        <w:rPr>
          <w:rFonts w:ascii="Arial" w:hAnsi="Arial" w:cs="Arial"/>
        </w:rPr>
        <w:t xml:space="preserve"> </w:t>
      </w:r>
      <w:r w:rsidRPr="00B8347D">
        <w:rPr>
          <w:rFonts w:ascii="Arial" w:hAnsi="Arial" w:cs="Arial"/>
        </w:rPr>
        <w:t>zelo pomembn</w:t>
      </w:r>
      <w:r w:rsidR="003C118D">
        <w:rPr>
          <w:rFonts w:ascii="Arial" w:hAnsi="Arial" w:cs="Arial"/>
        </w:rPr>
        <w:t>a</w:t>
      </w:r>
      <w:r w:rsidRPr="00B8347D">
        <w:rPr>
          <w:rFonts w:ascii="Arial" w:hAnsi="Arial" w:cs="Arial"/>
        </w:rPr>
        <w:t xml:space="preserve"> podlag</w:t>
      </w:r>
      <w:r w:rsidR="006E7333">
        <w:rPr>
          <w:rFonts w:ascii="Arial" w:hAnsi="Arial" w:cs="Arial"/>
        </w:rPr>
        <w:t>a</w:t>
      </w:r>
      <w:r w:rsidRPr="00B8347D">
        <w:rPr>
          <w:rFonts w:ascii="Arial" w:hAnsi="Arial" w:cs="Arial"/>
        </w:rPr>
        <w:t xml:space="preserve"> za izvajanje </w:t>
      </w:r>
      <w:r w:rsidR="006E7333">
        <w:rPr>
          <w:rFonts w:ascii="Arial" w:hAnsi="Arial" w:cs="Arial"/>
        </w:rPr>
        <w:t>drugih</w:t>
      </w:r>
      <w:r w:rsidR="006E7333" w:rsidRPr="00B8347D">
        <w:rPr>
          <w:rFonts w:ascii="Arial" w:hAnsi="Arial" w:cs="Arial"/>
        </w:rPr>
        <w:t xml:space="preserve"> </w:t>
      </w:r>
      <w:r w:rsidRPr="00B8347D">
        <w:rPr>
          <w:rFonts w:ascii="Arial" w:hAnsi="Arial" w:cs="Arial"/>
        </w:rPr>
        <w:t>ukrepov.</w:t>
      </w:r>
    </w:p>
    <w:p w14:paraId="03C7F164" w14:textId="011949B5" w:rsidR="00B8347D" w:rsidRPr="00B8347D" w:rsidRDefault="00B8347D" w:rsidP="00B8347D">
      <w:pPr>
        <w:jc w:val="both"/>
        <w:rPr>
          <w:rFonts w:ascii="Arial" w:hAnsi="Arial" w:cs="Arial"/>
        </w:rPr>
      </w:pPr>
      <w:r w:rsidRPr="00B8347D">
        <w:rPr>
          <w:rFonts w:ascii="Arial" w:hAnsi="Arial" w:cs="Arial"/>
        </w:rPr>
        <w:t xml:space="preserve">Slovenija v sektorju oskrbe z energijo izvaja ambiciozne ukrepe za razogljičenje in povečanje deleža obnovljivih virov energije (OVE). Ključni cilj je postopna opustitev rabe premoga za proizvodnjo električne energije do leta 2033, kar bo nadomeščeno z obnovljivimi viri in nizkoogljičnimi tehnologijami. Slovenija spodbuja razvoj pametnih omrežij, ki omogočajo </w:t>
      </w:r>
      <w:r w:rsidR="000A0F3D">
        <w:rPr>
          <w:rFonts w:ascii="Arial" w:hAnsi="Arial" w:cs="Arial"/>
        </w:rPr>
        <w:t xml:space="preserve">učinkovitejše vključevanje </w:t>
      </w:r>
      <w:r w:rsidRPr="00B8347D">
        <w:rPr>
          <w:rFonts w:ascii="Arial" w:hAnsi="Arial" w:cs="Arial"/>
        </w:rPr>
        <w:t>OVE, ter povečuje vlaganja v hranilnike energije in prožne rešitve upravljanja električn</w:t>
      </w:r>
      <w:r w:rsidR="009B6E81">
        <w:rPr>
          <w:rFonts w:ascii="Arial" w:hAnsi="Arial" w:cs="Arial"/>
        </w:rPr>
        <w:t>e</w:t>
      </w:r>
      <w:r w:rsidRPr="00B8347D">
        <w:rPr>
          <w:rFonts w:ascii="Arial" w:hAnsi="Arial" w:cs="Arial"/>
        </w:rPr>
        <w:t xml:space="preserve"> energij</w:t>
      </w:r>
      <w:r w:rsidR="009B6E81">
        <w:rPr>
          <w:rFonts w:ascii="Arial" w:hAnsi="Arial" w:cs="Arial"/>
        </w:rPr>
        <w:t>e</w:t>
      </w:r>
      <w:r w:rsidRPr="00B8347D">
        <w:rPr>
          <w:rFonts w:ascii="Arial" w:hAnsi="Arial" w:cs="Arial"/>
        </w:rPr>
        <w:t xml:space="preserve">.  </w:t>
      </w:r>
    </w:p>
    <w:p w14:paraId="28843C95" w14:textId="6073830B" w:rsidR="00B8347D" w:rsidRPr="00B8347D" w:rsidRDefault="00B8347D" w:rsidP="00B8347D">
      <w:pPr>
        <w:jc w:val="both"/>
        <w:rPr>
          <w:rFonts w:ascii="Arial" w:hAnsi="Arial" w:cs="Arial"/>
        </w:rPr>
      </w:pPr>
      <w:r w:rsidRPr="00B8347D">
        <w:rPr>
          <w:rFonts w:ascii="Arial" w:hAnsi="Arial" w:cs="Arial"/>
        </w:rPr>
        <w:t xml:space="preserve">V industriji se energetska učinkovitost izboljšuje z elektrifikacijo procesov, uporabo zemeljskega plina kot prehodnega energenta </w:t>
      </w:r>
      <w:r w:rsidR="00A24D4B">
        <w:rPr>
          <w:rFonts w:ascii="Arial" w:hAnsi="Arial" w:cs="Arial"/>
        </w:rPr>
        <w:t>in</w:t>
      </w:r>
      <w:r w:rsidR="00A24D4B" w:rsidRPr="00B8347D">
        <w:rPr>
          <w:rFonts w:ascii="Arial" w:hAnsi="Arial" w:cs="Arial"/>
        </w:rPr>
        <w:t xml:space="preserve"> </w:t>
      </w:r>
      <w:r w:rsidRPr="00B8347D">
        <w:rPr>
          <w:rFonts w:ascii="Arial" w:hAnsi="Arial" w:cs="Arial"/>
        </w:rPr>
        <w:t xml:space="preserve">optimizacijo snovne učinkovitosti. Ukrepi vključujejo spodbude za uvedbo nizkoogljičnih tehnologij, zamenjavo zastarelih sistemov </w:t>
      </w:r>
      <w:r w:rsidR="00A24D4B">
        <w:rPr>
          <w:rFonts w:ascii="Arial" w:hAnsi="Arial" w:cs="Arial"/>
        </w:rPr>
        <w:t>in</w:t>
      </w:r>
      <w:r w:rsidR="00A24D4B" w:rsidRPr="00B8347D">
        <w:rPr>
          <w:rFonts w:ascii="Arial" w:hAnsi="Arial" w:cs="Arial"/>
        </w:rPr>
        <w:t xml:space="preserve"> </w:t>
      </w:r>
      <w:r w:rsidRPr="00B8347D">
        <w:rPr>
          <w:rFonts w:ascii="Arial" w:hAnsi="Arial" w:cs="Arial"/>
        </w:rPr>
        <w:t xml:space="preserve">povečano uporabo odpadne toplote. Industrijska podjetja sodelujejo v sistemu trgovanja z </w:t>
      </w:r>
      <w:r w:rsidR="00DF2C72">
        <w:rPr>
          <w:rFonts w:ascii="Arial" w:hAnsi="Arial" w:cs="Arial"/>
        </w:rPr>
        <w:t>emisijskimi kuponi</w:t>
      </w:r>
      <w:r w:rsidRPr="00B8347D">
        <w:rPr>
          <w:rFonts w:ascii="Arial" w:hAnsi="Arial" w:cs="Arial"/>
        </w:rPr>
        <w:t xml:space="preserve"> EU ETS, ki jih dodatno spodbuja</w:t>
      </w:r>
      <w:r w:rsidR="00A711F5">
        <w:rPr>
          <w:rFonts w:ascii="Arial" w:hAnsi="Arial" w:cs="Arial"/>
        </w:rPr>
        <w:t>jo</w:t>
      </w:r>
      <w:r w:rsidRPr="00B8347D">
        <w:rPr>
          <w:rFonts w:ascii="Arial" w:hAnsi="Arial" w:cs="Arial"/>
        </w:rPr>
        <w:t xml:space="preserve"> k inovacijam in zmanjšanju emisij.</w:t>
      </w:r>
    </w:p>
    <w:p w14:paraId="7414DCE5" w14:textId="0B3CB806" w:rsidR="00B8347D" w:rsidRPr="00B8347D" w:rsidRDefault="00B8347D" w:rsidP="00B8347D">
      <w:pPr>
        <w:jc w:val="both"/>
        <w:rPr>
          <w:rFonts w:ascii="Arial" w:hAnsi="Arial" w:cs="Arial"/>
        </w:rPr>
      </w:pPr>
      <w:r w:rsidRPr="00B8347D">
        <w:rPr>
          <w:rFonts w:ascii="Arial" w:hAnsi="Arial" w:cs="Arial"/>
        </w:rPr>
        <w:t>Pri stavbah je cilj povečati energetsko učinkovitost z obsežnimi programi energetske prenove, ki vključujejo izboljšano izolacijo, učinkovitejše ogrevalne sisteme in uporabo toplotnih črpalk. Slovenija zagotavlja subvencije za prehod na obnovljive vire energije, hkrati pa uvaja strožje standarde za novogradnje.</w:t>
      </w:r>
    </w:p>
    <w:p w14:paraId="5F6B22F1" w14:textId="6B7CB96F" w:rsidR="00B8347D" w:rsidRPr="00B8347D" w:rsidRDefault="00B8347D" w:rsidP="00B8347D">
      <w:pPr>
        <w:jc w:val="both"/>
        <w:rPr>
          <w:rFonts w:ascii="Arial" w:hAnsi="Arial" w:cs="Arial"/>
        </w:rPr>
      </w:pPr>
      <w:r w:rsidRPr="00B8347D">
        <w:rPr>
          <w:rFonts w:ascii="Arial" w:hAnsi="Arial" w:cs="Arial"/>
        </w:rPr>
        <w:t>V prometu je poudarek na usklajenem razvoju trajnostne</w:t>
      </w:r>
      <w:r w:rsidR="0082337A">
        <w:rPr>
          <w:rFonts w:ascii="Arial" w:hAnsi="Arial" w:cs="Arial"/>
        </w:rPr>
        <w:t>ga</w:t>
      </w:r>
      <w:r w:rsidRPr="00B8347D">
        <w:rPr>
          <w:rFonts w:ascii="Arial" w:hAnsi="Arial" w:cs="Arial"/>
        </w:rPr>
        <w:t xml:space="preserve"> prometa, kar pomeni, da bo promet v prihodnje v večji meri temeljil na kakovostnem javnem potniškem prometu ter aktivni mobilnosti (kolesarjenje in pešačenje). To bo zahtevalo izboljšanje</w:t>
      </w:r>
      <w:r w:rsidR="0082337A">
        <w:rPr>
          <w:rFonts w:ascii="Arial" w:hAnsi="Arial" w:cs="Arial"/>
        </w:rPr>
        <w:t xml:space="preserve"> celostnega</w:t>
      </w:r>
      <w:r w:rsidRPr="00B8347D">
        <w:rPr>
          <w:rFonts w:ascii="Arial" w:hAnsi="Arial" w:cs="Arial"/>
        </w:rPr>
        <w:t xml:space="preserve"> prometnega načrtovanja na vseh </w:t>
      </w:r>
      <w:r w:rsidR="00A24D4B">
        <w:rPr>
          <w:rFonts w:ascii="Arial" w:hAnsi="Arial" w:cs="Arial"/>
        </w:rPr>
        <w:t>ravne</w:t>
      </w:r>
      <w:r w:rsidR="00A24D4B" w:rsidRPr="00B8347D">
        <w:rPr>
          <w:rFonts w:ascii="Arial" w:hAnsi="Arial" w:cs="Arial"/>
        </w:rPr>
        <w:t xml:space="preserve">h </w:t>
      </w:r>
      <w:r w:rsidRPr="00B8347D">
        <w:rPr>
          <w:rFonts w:ascii="Arial" w:hAnsi="Arial" w:cs="Arial"/>
        </w:rPr>
        <w:t xml:space="preserve">in </w:t>
      </w:r>
      <w:r w:rsidR="00A24D4B">
        <w:rPr>
          <w:rFonts w:ascii="Arial" w:hAnsi="Arial" w:cs="Arial"/>
        </w:rPr>
        <w:t>uresničeva</w:t>
      </w:r>
      <w:r w:rsidR="00A24D4B" w:rsidRPr="00B8347D">
        <w:rPr>
          <w:rFonts w:ascii="Arial" w:hAnsi="Arial" w:cs="Arial"/>
        </w:rPr>
        <w:t>nj</w:t>
      </w:r>
      <w:r w:rsidR="00E40977">
        <w:rPr>
          <w:rFonts w:ascii="Arial" w:hAnsi="Arial" w:cs="Arial"/>
        </w:rPr>
        <w:t>e</w:t>
      </w:r>
      <w:r w:rsidR="00A24D4B" w:rsidRPr="00B8347D">
        <w:rPr>
          <w:rFonts w:ascii="Arial" w:hAnsi="Arial" w:cs="Arial"/>
        </w:rPr>
        <w:t xml:space="preserve"> </w:t>
      </w:r>
      <w:r w:rsidRPr="00B8347D">
        <w:rPr>
          <w:rFonts w:ascii="Arial" w:hAnsi="Arial" w:cs="Arial"/>
        </w:rPr>
        <w:t>teh načrtov. Kljub temu bo pomemben del poti še vedno opravljen z avtomobili</w:t>
      </w:r>
      <w:r w:rsidR="00A24D4B">
        <w:rPr>
          <w:rFonts w:ascii="Arial" w:hAnsi="Arial" w:cs="Arial"/>
        </w:rPr>
        <w:t>,</w:t>
      </w:r>
      <w:r w:rsidRPr="00B8347D">
        <w:rPr>
          <w:rFonts w:ascii="Arial" w:hAnsi="Arial" w:cs="Arial"/>
        </w:rPr>
        <w:t xml:space="preserve"> zato bodo izvedeni ukrepi za spodbujanje elektrifikacije voznega parka </w:t>
      </w:r>
      <w:r w:rsidR="00A24D4B">
        <w:rPr>
          <w:rFonts w:ascii="Arial" w:hAnsi="Arial" w:cs="Arial"/>
        </w:rPr>
        <w:t>in</w:t>
      </w:r>
      <w:r w:rsidR="00A24D4B" w:rsidRPr="00B8347D">
        <w:rPr>
          <w:rFonts w:ascii="Arial" w:hAnsi="Arial" w:cs="Arial"/>
        </w:rPr>
        <w:t xml:space="preserve"> </w:t>
      </w:r>
      <w:r w:rsidRPr="00B8347D">
        <w:rPr>
          <w:rFonts w:ascii="Arial" w:hAnsi="Arial" w:cs="Arial"/>
        </w:rPr>
        <w:t>razvoj drugih alternativnih goriv. Ukrepi bodo usmerjeni v izboljšanje polnilne</w:t>
      </w:r>
      <w:r w:rsidR="0082337A">
        <w:rPr>
          <w:rFonts w:ascii="Arial" w:hAnsi="Arial" w:cs="Arial"/>
        </w:rPr>
        <w:t xml:space="preserve"> in oskrbovalne</w:t>
      </w:r>
      <w:r w:rsidRPr="00B8347D">
        <w:rPr>
          <w:rFonts w:ascii="Arial" w:hAnsi="Arial" w:cs="Arial"/>
        </w:rPr>
        <w:t xml:space="preserve"> infrastrukture za vozila na alternativna goriva, spodbude za nakup električnih vozil in vozil na druga alternativna goriva ter razvoj</w:t>
      </w:r>
      <w:r w:rsidR="0082337A">
        <w:rPr>
          <w:rFonts w:ascii="Arial" w:hAnsi="Arial" w:cs="Arial"/>
        </w:rPr>
        <w:t xml:space="preserve"> polnilne infrastrukture za hitro polnjenje električnih vozil</w:t>
      </w:r>
      <w:r w:rsidRPr="00B8347D">
        <w:rPr>
          <w:rFonts w:ascii="Arial" w:hAnsi="Arial" w:cs="Arial"/>
        </w:rPr>
        <w:t xml:space="preserve"> na ključnih prometnih koridorjih. Pomemben poudarek v ukrepih je </w:t>
      </w:r>
      <w:r w:rsidR="00A24D4B">
        <w:rPr>
          <w:rFonts w:ascii="Arial" w:hAnsi="Arial" w:cs="Arial"/>
        </w:rPr>
        <w:t>namenjen</w:t>
      </w:r>
      <w:r w:rsidR="00A24D4B" w:rsidRPr="00B8347D">
        <w:rPr>
          <w:rFonts w:ascii="Arial" w:hAnsi="Arial" w:cs="Arial"/>
        </w:rPr>
        <w:t xml:space="preserve"> </w:t>
      </w:r>
      <w:r w:rsidRPr="00B8347D">
        <w:rPr>
          <w:rFonts w:ascii="Arial" w:hAnsi="Arial" w:cs="Arial"/>
        </w:rPr>
        <w:t xml:space="preserve">izboljšanju železniške infrastrukture, kar bo omogočilo dodaten razvoj prevoza tovora in potnikov po tirih. Izvedena bo modernizacija prog, uvedeni bodo hitrejši vlaki in </w:t>
      </w:r>
      <w:r w:rsidR="000A0F3D">
        <w:rPr>
          <w:rFonts w:ascii="Arial" w:hAnsi="Arial" w:cs="Arial"/>
        </w:rPr>
        <w:t>bolj bodo vključeni drugi</w:t>
      </w:r>
      <w:r w:rsidR="00A24D4B" w:rsidRPr="00B8347D">
        <w:rPr>
          <w:rFonts w:ascii="Arial" w:hAnsi="Arial" w:cs="Arial"/>
        </w:rPr>
        <w:t xml:space="preserve"> </w:t>
      </w:r>
      <w:r w:rsidRPr="00B8347D">
        <w:rPr>
          <w:rFonts w:ascii="Arial" w:hAnsi="Arial" w:cs="Arial"/>
        </w:rPr>
        <w:t xml:space="preserve">načini javnega prevoza. </w:t>
      </w:r>
      <w:r w:rsidR="00897F75">
        <w:rPr>
          <w:rFonts w:ascii="Arial" w:hAnsi="Arial" w:cs="Arial"/>
        </w:rPr>
        <w:t xml:space="preserve">Poleg tega </w:t>
      </w:r>
      <w:r w:rsidRPr="00B8347D">
        <w:rPr>
          <w:rFonts w:ascii="Arial" w:hAnsi="Arial" w:cs="Arial"/>
        </w:rPr>
        <w:t xml:space="preserve">se bo </w:t>
      </w:r>
      <w:r w:rsidR="00897F75" w:rsidRPr="00B8347D">
        <w:rPr>
          <w:rFonts w:ascii="Arial" w:hAnsi="Arial" w:cs="Arial"/>
        </w:rPr>
        <w:t>izved</w:t>
      </w:r>
      <w:r w:rsidR="00897F75">
        <w:rPr>
          <w:rFonts w:ascii="Arial" w:hAnsi="Arial" w:cs="Arial"/>
        </w:rPr>
        <w:t>el tudi</w:t>
      </w:r>
      <w:r w:rsidR="00897F75" w:rsidRPr="00B8347D">
        <w:rPr>
          <w:rFonts w:ascii="Arial" w:hAnsi="Arial" w:cs="Arial"/>
        </w:rPr>
        <w:t xml:space="preserve"> </w:t>
      </w:r>
      <w:r w:rsidRPr="00B8347D">
        <w:rPr>
          <w:rFonts w:ascii="Arial" w:hAnsi="Arial" w:cs="Arial"/>
        </w:rPr>
        <w:t xml:space="preserve">sklop ukrepov, ki bodo zmanjšali privlačnost osebnega avtomobila za prevoze, kot so </w:t>
      </w:r>
      <w:r w:rsidR="004F2B0D">
        <w:rPr>
          <w:rFonts w:ascii="Arial" w:hAnsi="Arial" w:cs="Arial"/>
        </w:rPr>
        <w:t xml:space="preserve">na primer </w:t>
      </w:r>
      <w:r w:rsidRPr="00B8347D">
        <w:rPr>
          <w:rFonts w:ascii="Arial" w:hAnsi="Arial" w:cs="Arial"/>
        </w:rPr>
        <w:t xml:space="preserve">takse za vstop v mesto, upravljanje parkiranja, omejitev hitrosti </w:t>
      </w:r>
      <w:r w:rsidR="00A24D4B">
        <w:rPr>
          <w:rFonts w:ascii="Arial" w:hAnsi="Arial" w:cs="Arial"/>
        </w:rPr>
        <w:t>in</w:t>
      </w:r>
      <w:r w:rsidR="00A24D4B" w:rsidRPr="00B8347D">
        <w:rPr>
          <w:rFonts w:ascii="Arial" w:hAnsi="Arial" w:cs="Arial"/>
        </w:rPr>
        <w:t xml:space="preserve"> </w:t>
      </w:r>
      <w:r w:rsidRPr="00B8347D">
        <w:rPr>
          <w:rFonts w:ascii="Arial" w:hAnsi="Arial" w:cs="Arial"/>
        </w:rPr>
        <w:t>tudi spodbude za opustitev drugega avtomobila – spodbude za razvoj sopotništva.</w:t>
      </w:r>
    </w:p>
    <w:p w14:paraId="2C286B2B" w14:textId="2AE2C04D" w:rsidR="00B8347D" w:rsidRPr="00B8347D" w:rsidRDefault="00B8347D" w:rsidP="00B8347D">
      <w:pPr>
        <w:jc w:val="both"/>
        <w:rPr>
          <w:rFonts w:ascii="Arial" w:hAnsi="Arial" w:cs="Arial"/>
        </w:rPr>
      </w:pPr>
      <w:r w:rsidRPr="00B8347D">
        <w:rPr>
          <w:rFonts w:ascii="Arial" w:hAnsi="Arial" w:cs="Arial"/>
        </w:rPr>
        <w:t>Pri industrijskih procesih se ukrepi osredotočajo na zmanjšanje emisij F-plinov in izhajajo iz izvajanja zakonodaje</w:t>
      </w:r>
      <w:r w:rsidR="00A24D4B" w:rsidRPr="00A24D4B">
        <w:rPr>
          <w:rFonts w:ascii="Arial" w:hAnsi="Arial" w:cs="Arial"/>
        </w:rPr>
        <w:t xml:space="preserve"> </w:t>
      </w:r>
      <w:r w:rsidR="00A24D4B" w:rsidRPr="00B8347D">
        <w:rPr>
          <w:rFonts w:ascii="Arial" w:hAnsi="Arial" w:cs="Arial"/>
        </w:rPr>
        <w:t>EU</w:t>
      </w:r>
      <w:r w:rsidRPr="00B8347D">
        <w:rPr>
          <w:rFonts w:ascii="Arial" w:hAnsi="Arial" w:cs="Arial"/>
        </w:rPr>
        <w:t xml:space="preserve">. </w:t>
      </w:r>
    </w:p>
    <w:p w14:paraId="25A40E84" w14:textId="412518BA" w:rsidR="00B8347D" w:rsidRPr="00B8347D" w:rsidRDefault="00B8347D" w:rsidP="00B8347D">
      <w:pPr>
        <w:jc w:val="both"/>
        <w:rPr>
          <w:rFonts w:ascii="Arial" w:hAnsi="Arial" w:cs="Arial"/>
        </w:rPr>
      </w:pPr>
      <w:r w:rsidRPr="00B8347D">
        <w:rPr>
          <w:rFonts w:ascii="Arial" w:hAnsi="Arial" w:cs="Arial"/>
        </w:rPr>
        <w:t xml:space="preserve">V kmetijstvu Slovenija izvaja ukrepe za zmanjšanje emisij toplogrednih plinov z izboljšanjem učinkovitosti reje živali, optimizacijo uporabe gnojil in spodbujanjem ekološkega kmetovanja. Delež kmetijskih zemljišč za ekološko pridelavo se povečuje, pri čemer prevladuje trajno </w:t>
      </w:r>
      <w:r w:rsidRPr="00B8347D">
        <w:rPr>
          <w:rFonts w:ascii="Arial" w:hAnsi="Arial" w:cs="Arial"/>
        </w:rPr>
        <w:lastRenderedPageBreak/>
        <w:t xml:space="preserve">travinje. Kmetijski sektor se osredotoča na zmanjšanje emisij metana in dušikovega oksida, predvsem </w:t>
      </w:r>
      <w:r w:rsidR="00DA6927">
        <w:rPr>
          <w:rFonts w:ascii="Arial" w:hAnsi="Arial" w:cs="Arial"/>
        </w:rPr>
        <w:t xml:space="preserve">s </w:t>
      </w:r>
      <w:r w:rsidR="00DA6927" w:rsidRPr="00B8347D">
        <w:rPr>
          <w:rFonts w:ascii="Arial" w:hAnsi="Arial" w:cs="Arial"/>
        </w:rPr>
        <w:t>pametn</w:t>
      </w:r>
      <w:r w:rsidR="00DA6927">
        <w:rPr>
          <w:rFonts w:ascii="Arial" w:hAnsi="Arial" w:cs="Arial"/>
        </w:rPr>
        <w:t>im</w:t>
      </w:r>
      <w:r w:rsidR="00DA6927" w:rsidRPr="00B8347D">
        <w:rPr>
          <w:rFonts w:ascii="Arial" w:hAnsi="Arial" w:cs="Arial"/>
        </w:rPr>
        <w:t xml:space="preserve"> gnojenj</w:t>
      </w:r>
      <w:r w:rsidR="00DA6927">
        <w:rPr>
          <w:rFonts w:ascii="Arial" w:hAnsi="Arial" w:cs="Arial"/>
        </w:rPr>
        <w:t>em</w:t>
      </w:r>
      <w:r w:rsidR="00DA6927" w:rsidRPr="00B8347D">
        <w:rPr>
          <w:rFonts w:ascii="Arial" w:hAnsi="Arial" w:cs="Arial"/>
        </w:rPr>
        <w:t xml:space="preserve"> </w:t>
      </w:r>
      <w:r w:rsidRPr="00B8347D">
        <w:rPr>
          <w:rFonts w:ascii="Arial" w:hAnsi="Arial" w:cs="Arial"/>
        </w:rPr>
        <w:t xml:space="preserve">in </w:t>
      </w:r>
      <w:r w:rsidR="00DA6927" w:rsidRPr="00B8347D">
        <w:rPr>
          <w:rFonts w:ascii="Arial" w:hAnsi="Arial" w:cs="Arial"/>
        </w:rPr>
        <w:t>prehod</w:t>
      </w:r>
      <w:r w:rsidR="00DA6927">
        <w:rPr>
          <w:rFonts w:ascii="Arial" w:hAnsi="Arial" w:cs="Arial"/>
        </w:rPr>
        <w:t>om</w:t>
      </w:r>
      <w:r w:rsidR="00DA6927" w:rsidRPr="00B8347D">
        <w:rPr>
          <w:rFonts w:ascii="Arial" w:hAnsi="Arial" w:cs="Arial"/>
        </w:rPr>
        <w:t xml:space="preserve"> </w:t>
      </w:r>
      <w:r w:rsidRPr="00B8347D">
        <w:rPr>
          <w:rFonts w:ascii="Arial" w:hAnsi="Arial" w:cs="Arial"/>
        </w:rPr>
        <w:t>na nizkoemisijske rejske sisteme.</w:t>
      </w:r>
    </w:p>
    <w:p w14:paraId="21CD92C8" w14:textId="5E0E9FFF" w:rsidR="00B8347D" w:rsidRPr="00B8347D" w:rsidRDefault="00B8347D" w:rsidP="00B8347D">
      <w:pPr>
        <w:jc w:val="both"/>
        <w:rPr>
          <w:rFonts w:ascii="Arial" w:hAnsi="Arial" w:cs="Arial"/>
        </w:rPr>
      </w:pPr>
      <w:r w:rsidRPr="00B8347D">
        <w:rPr>
          <w:rFonts w:ascii="Arial" w:hAnsi="Arial" w:cs="Arial"/>
        </w:rPr>
        <w:t xml:space="preserve">Slovenija si v sektorju LULUCF prizadeva za povečanje naravnih ponorov ogljika, trajnostno gospodarjenje z gozdovi in obnovo degradiranih ekosistemov. Ključni ukrepi vključujejo prilagoditev drevesne sestave in izboljšanje odpornosti gozdov </w:t>
      </w:r>
      <w:r w:rsidR="00DA6927">
        <w:rPr>
          <w:rFonts w:ascii="Arial" w:hAnsi="Arial" w:cs="Arial"/>
        </w:rPr>
        <w:t>proti</w:t>
      </w:r>
      <w:r w:rsidR="00DA6927" w:rsidRPr="00B8347D">
        <w:rPr>
          <w:rFonts w:ascii="Arial" w:hAnsi="Arial" w:cs="Arial"/>
        </w:rPr>
        <w:t xml:space="preserve"> podnebn</w:t>
      </w:r>
      <w:r w:rsidR="00DA6927">
        <w:rPr>
          <w:rFonts w:ascii="Arial" w:hAnsi="Arial" w:cs="Arial"/>
        </w:rPr>
        <w:t>im</w:t>
      </w:r>
      <w:r w:rsidR="00DA6927" w:rsidRPr="00B8347D">
        <w:rPr>
          <w:rFonts w:ascii="Arial" w:hAnsi="Arial" w:cs="Arial"/>
        </w:rPr>
        <w:t xml:space="preserve"> sprememb</w:t>
      </w:r>
      <w:r w:rsidR="00DA6927">
        <w:rPr>
          <w:rFonts w:ascii="Arial" w:hAnsi="Arial" w:cs="Arial"/>
        </w:rPr>
        <w:t>am</w:t>
      </w:r>
      <w:r w:rsidRPr="00B8347D">
        <w:rPr>
          <w:rFonts w:ascii="Arial" w:hAnsi="Arial" w:cs="Arial"/>
        </w:rPr>
        <w:t xml:space="preserve">. Slovenija si prizadeva za trajnostno upravljanje gozdov, pri čemer sledi smernicam Nacionalnega gozdarskega programa, ki določa ukrepe za večnamensko rabo gozdov in večjo aktivnost v zasebnih gozdovih. Pomemben del ukrepov je usmerjen v povečano rabo lesa v gradbeništvu, kar omogoča dolgoročno shranjevanje ogljika. Slovenija spodbuja investicije v predelavo lesa, kar prispeva k zmanjšanju neto emisij. Hkrati potekajo ukrepi za obnovo naravnih ekosistemov, kot so močvirja, barja in travniki, saj imajo pomembno vlogo pri shranjevanju ogljika. </w:t>
      </w:r>
    </w:p>
    <w:p w14:paraId="5CAB1EC4" w14:textId="77777777" w:rsidR="00B8347D" w:rsidRDefault="00B8347D" w:rsidP="00B8347D">
      <w:pPr>
        <w:jc w:val="both"/>
        <w:rPr>
          <w:rFonts w:ascii="Arial" w:hAnsi="Arial" w:cs="Arial"/>
        </w:rPr>
      </w:pPr>
      <w:r w:rsidRPr="00B8347D">
        <w:rPr>
          <w:rFonts w:ascii="Arial" w:hAnsi="Arial" w:cs="Arial"/>
        </w:rPr>
        <w:t>V sektorju ravnanja z odpadki so ključni ukrepi usmerjeni v zmanjšanje nastajanja odpadkov, povečanje recikliranja in zmanjšanje količine odloženih biorazgradljivih odpadkov. Slovenija izvaja ukrepe za preprečevanje nastajanja odpadkov, spodbuja ponovno uporabo in izboljšuje ločeno zbiranje odpadkov. Sprejeti so bili tudi ukrepi za zajem odlagališčnega plina, ki se uporablja za proizvodnjo energije, s čimer se zmanjšujejo emisije metana.</w:t>
      </w:r>
    </w:p>
    <w:p w14:paraId="7856D1E1" w14:textId="77777777" w:rsidR="00B8347D" w:rsidRPr="00B8347D" w:rsidRDefault="00B8347D" w:rsidP="00B8347D">
      <w:pPr>
        <w:jc w:val="both"/>
        <w:rPr>
          <w:rFonts w:ascii="Arial" w:hAnsi="Arial" w:cs="Arial"/>
          <w:b/>
          <w:bCs/>
        </w:rPr>
      </w:pPr>
      <w:r w:rsidRPr="00B8347D">
        <w:rPr>
          <w:rFonts w:ascii="Arial" w:hAnsi="Arial" w:cs="Arial"/>
          <w:b/>
          <w:bCs/>
        </w:rPr>
        <w:t xml:space="preserve">Evidence emisij toplogrednih plinov </w:t>
      </w:r>
    </w:p>
    <w:p w14:paraId="6724DA8A" w14:textId="36DA3FCB" w:rsidR="00B8347D" w:rsidRPr="00B8347D" w:rsidRDefault="00B8347D" w:rsidP="00B8347D">
      <w:pPr>
        <w:jc w:val="both"/>
        <w:rPr>
          <w:rFonts w:ascii="Arial" w:hAnsi="Arial" w:cs="Arial"/>
        </w:rPr>
      </w:pPr>
      <w:r w:rsidRPr="00B8347D">
        <w:rPr>
          <w:rFonts w:ascii="Arial" w:hAnsi="Arial" w:cs="Arial"/>
        </w:rPr>
        <w:t xml:space="preserve">Emisije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w:t>
      </w:r>
      <w:r w:rsidR="00B02D0B">
        <w:rPr>
          <w:rFonts w:ascii="Arial" w:hAnsi="Arial" w:cs="Arial"/>
        </w:rPr>
        <w:t xml:space="preserve">sestavljajo </w:t>
      </w:r>
      <w:r w:rsidRPr="00B8347D">
        <w:rPr>
          <w:rFonts w:ascii="Arial" w:hAnsi="Arial" w:cs="Arial"/>
        </w:rPr>
        <w:t xml:space="preserve">daleč največji delež vseh emisij toplogrednih plinov (leta 2022 81,3 %), predvsem zaradi zgorevanja goriv in industrijskih procesov. V primerjavi z letom 1986 so bile </w:t>
      </w:r>
      <w:r w:rsidR="00404349" w:rsidRPr="00B8347D">
        <w:rPr>
          <w:rFonts w:ascii="Arial" w:hAnsi="Arial" w:cs="Arial"/>
        </w:rPr>
        <w:t>emisij</w:t>
      </w:r>
      <w:r w:rsidR="00404349">
        <w:rPr>
          <w:rFonts w:ascii="Arial" w:hAnsi="Arial" w:cs="Arial"/>
        </w:rPr>
        <w:t>e</w:t>
      </w:r>
      <w:r w:rsidR="00404349" w:rsidRPr="00B8347D">
        <w:rPr>
          <w:rFonts w:ascii="Arial" w:hAnsi="Arial" w:cs="Arial"/>
        </w:rPr>
        <w:t xml:space="preserve"> </w:t>
      </w:r>
      <w:r w:rsidR="00B02D0B" w:rsidRPr="00AF3FEE">
        <w:rPr>
          <w:rFonts w:ascii="Arial" w:hAnsi="Arial" w:cs="Arial"/>
        </w:rPr>
        <w:t>CO</w:t>
      </w:r>
      <w:r w:rsidR="00B02D0B" w:rsidRPr="00AF3FEE">
        <w:rPr>
          <w:rFonts w:ascii="Arial" w:hAnsi="Arial" w:cs="Arial"/>
          <w:vertAlign w:val="subscript"/>
        </w:rPr>
        <w:t>2</w:t>
      </w:r>
      <w:r w:rsidR="00404349" w:rsidRPr="00B8347D">
        <w:rPr>
          <w:rFonts w:ascii="Arial" w:hAnsi="Arial" w:cs="Arial"/>
        </w:rPr>
        <w:t xml:space="preserve"> </w:t>
      </w:r>
      <w:r w:rsidRPr="00B8347D">
        <w:rPr>
          <w:rFonts w:ascii="Arial" w:hAnsi="Arial" w:cs="Arial"/>
        </w:rPr>
        <w:t>leta 2022 za 24,2 % nižje. Emisije metana (</w:t>
      </w:r>
      <w:r w:rsidR="00E92E20" w:rsidRPr="006E70B0">
        <w:rPr>
          <w:rFonts w:ascii="Arial" w:hAnsi="Arial" w:cs="Arial"/>
          <w:color w:val="000000"/>
        </w:rPr>
        <w:t>CH</w:t>
      </w:r>
      <w:r w:rsidR="00E92E20" w:rsidRPr="00734DE4">
        <w:rPr>
          <w:rFonts w:ascii="Arial" w:hAnsi="Arial" w:cs="Arial"/>
          <w:color w:val="000000"/>
          <w:vertAlign w:val="subscript"/>
        </w:rPr>
        <w:t>4</w:t>
      </w:r>
      <w:r w:rsidRPr="00B8347D">
        <w:rPr>
          <w:rFonts w:ascii="Arial" w:hAnsi="Arial" w:cs="Arial"/>
        </w:rPr>
        <w:t xml:space="preserve">) so </w:t>
      </w:r>
      <w:r w:rsidR="00B02D0B">
        <w:rPr>
          <w:rFonts w:ascii="Arial" w:hAnsi="Arial" w:cs="Arial"/>
        </w:rPr>
        <w:t>sestavljale</w:t>
      </w:r>
      <w:r w:rsidR="00404349" w:rsidRPr="00B8347D">
        <w:rPr>
          <w:rFonts w:ascii="Arial" w:hAnsi="Arial" w:cs="Arial"/>
        </w:rPr>
        <w:t xml:space="preserve"> </w:t>
      </w:r>
      <w:r w:rsidRPr="00B8347D">
        <w:rPr>
          <w:rFonts w:ascii="Arial" w:hAnsi="Arial" w:cs="Arial"/>
        </w:rPr>
        <w:t>12,2 % vseh emisij in so bile za 34,8 % nižje kot leta 1986, medtem ko so emisije didušikovega oksida (</w:t>
      </w:r>
      <w:r w:rsidR="00E92E20" w:rsidRPr="006E70B0">
        <w:rPr>
          <w:rFonts w:ascii="Arial" w:hAnsi="Arial" w:cs="Arial"/>
          <w:color w:val="000000"/>
        </w:rPr>
        <w:t>N</w:t>
      </w:r>
      <w:r w:rsidR="00E92E20" w:rsidRPr="00734DE4">
        <w:rPr>
          <w:rFonts w:ascii="Arial" w:hAnsi="Arial" w:cs="Arial"/>
          <w:color w:val="000000"/>
          <w:vertAlign w:val="subscript"/>
        </w:rPr>
        <w:t>2</w:t>
      </w:r>
      <w:r w:rsidR="00E92E20" w:rsidRPr="006E70B0">
        <w:rPr>
          <w:rFonts w:ascii="Arial" w:hAnsi="Arial" w:cs="Arial"/>
          <w:color w:val="000000"/>
        </w:rPr>
        <w:t>O</w:t>
      </w:r>
      <w:r w:rsidRPr="00B8347D">
        <w:rPr>
          <w:rFonts w:ascii="Arial" w:hAnsi="Arial" w:cs="Arial"/>
        </w:rPr>
        <w:t xml:space="preserve">) </w:t>
      </w:r>
      <w:r w:rsidR="00B02D0B">
        <w:rPr>
          <w:rFonts w:ascii="Arial" w:hAnsi="Arial" w:cs="Arial"/>
        </w:rPr>
        <w:t>sestavljale</w:t>
      </w:r>
      <w:r w:rsidR="00404349" w:rsidRPr="00B8347D">
        <w:rPr>
          <w:rFonts w:ascii="Arial" w:hAnsi="Arial" w:cs="Arial"/>
        </w:rPr>
        <w:t xml:space="preserve"> </w:t>
      </w:r>
      <w:r w:rsidRPr="00B8347D">
        <w:rPr>
          <w:rFonts w:ascii="Arial" w:hAnsi="Arial" w:cs="Arial"/>
        </w:rPr>
        <w:t xml:space="preserve">4,5 % emisij in so bile nižje za 3,2 %. F-plini so prispevali 2 % emisij, z različnimi trendi za posamezne pline.  </w:t>
      </w:r>
    </w:p>
    <w:p w14:paraId="0BE0CC7C" w14:textId="5E3877A7" w:rsidR="00B8347D" w:rsidRDefault="00B8347D" w:rsidP="00B8347D">
      <w:pPr>
        <w:jc w:val="both"/>
        <w:rPr>
          <w:rFonts w:ascii="Arial" w:hAnsi="Arial" w:cs="Arial"/>
        </w:rPr>
      </w:pPr>
      <w:r w:rsidRPr="00B8347D">
        <w:rPr>
          <w:rFonts w:ascii="Arial" w:hAnsi="Arial" w:cs="Arial"/>
        </w:rPr>
        <w:t xml:space="preserve">Največ emisij nastaja v sektorju energetike, ki zajema oskrbo z energijo in njeno rabo. Leta 2022 je </w:t>
      </w:r>
      <w:r w:rsidR="00715A52">
        <w:rPr>
          <w:rFonts w:ascii="Arial" w:hAnsi="Arial" w:cs="Arial"/>
        </w:rPr>
        <w:t xml:space="preserve">v tem sektorju nastalo </w:t>
      </w:r>
      <w:r w:rsidRPr="00B8347D">
        <w:rPr>
          <w:rFonts w:ascii="Arial" w:hAnsi="Arial" w:cs="Arial"/>
        </w:rPr>
        <w:t xml:space="preserve">79,3 % skupnih emisij toplogrednih plinov. Emisije v tem sektorju so bile za 24,7 % nižje kot leta 1986, čeprav so emisije iz prometa v istem obdobju narasle za 182,5 %. Sektor predelovalnih dejavnosti in gradbeništva je </w:t>
      </w:r>
      <w:r w:rsidR="00715A52">
        <w:rPr>
          <w:rFonts w:ascii="Arial" w:hAnsi="Arial" w:cs="Arial"/>
        </w:rPr>
        <w:t xml:space="preserve">dosegel </w:t>
      </w:r>
      <w:r w:rsidRPr="00B8347D">
        <w:rPr>
          <w:rFonts w:ascii="Arial" w:hAnsi="Arial" w:cs="Arial"/>
        </w:rPr>
        <w:t>občutno zmanjšanje emisij (</w:t>
      </w:r>
      <w:r w:rsidR="00383C5A">
        <w:rPr>
          <w:rFonts w:ascii="Arial" w:hAnsi="Arial" w:cs="Arial"/>
        </w:rPr>
        <w:t>–</w:t>
      </w:r>
      <w:r w:rsidRPr="00B8347D">
        <w:rPr>
          <w:rFonts w:ascii="Arial" w:hAnsi="Arial" w:cs="Arial"/>
        </w:rPr>
        <w:t xml:space="preserve">61,1 %) zaradi gospodarskih kriz in ukrepov za zmanjšanje emisij. Kmetijstvo, ki </w:t>
      </w:r>
      <w:r w:rsidR="00383C5A">
        <w:rPr>
          <w:rFonts w:ascii="Arial" w:hAnsi="Arial" w:cs="Arial"/>
        </w:rPr>
        <w:t>pr</w:t>
      </w:r>
      <w:r w:rsidR="00715A52">
        <w:rPr>
          <w:rFonts w:ascii="Arial" w:hAnsi="Arial" w:cs="Arial"/>
        </w:rPr>
        <w:t>ispeva</w:t>
      </w:r>
      <w:r w:rsidR="00383C5A" w:rsidRPr="00B8347D">
        <w:rPr>
          <w:rFonts w:ascii="Arial" w:hAnsi="Arial" w:cs="Arial"/>
        </w:rPr>
        <w:t xml:space="preserve"> </w:t>
      </w:r>
      <w:r w:rsidRPr="00B8347D">
        <w:rPr>
          <w:rFonts w:ascii="Arial" w:hAnsi="Arial" w:cs="Arial"/>
        </w:rPr>
        <w:t xml:space="preserve">10,9 % vseh emisij, je glavni vir metana in didušikovega oksida, emisije pa so se zmanjšale za 16,3 %. Emisije iz odpadkov so bile za 45,5 % nižje kot leta 1986. V sektorju LULUCF, </w:t>
      </w:r>
      <w:r w:rsidR="00383C5A">
        <w:rPr>
          <w:rFonts w:ascii="Arial" w:hAnsi="Arial" w:cs="Arial"/>
        </w:rPr>
        <w:t>v katerem</w:t>
      </w:r>
      <w:r w:rsidR="00383C5A" w:rsidRPr="00B8347D">
        <w:rPr>
          <w:rFonts w:ascii="Arial" w:hAnsi="Arial" w:cs="Arial"/>
        </w:rPr>
        <w:t xml:space="preserve"> </w:t>
      </w:r>
      <w:r w:rsidRPr="00B8347D">
        <w:rPr>
          <w:rFonts w:ascii="Arial" w:hAnsi="Arial" w:cs="Arial"/>
        </w:rPr>
        <w:t xml:space="preserve">so slovenski gozdovi v zadnjih letih utrpeli naravne nesreče, so neto ponori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leta 2022 znašali </w:t>
      </w:r>
      <w:r w:rsidR="00383C5A">
        <w:rPr>
          <w:rFonts w:ascii="Arial" w:hAnsi="Arial" w:cs="Arial"/>
        </w:rPr>
        <w:t>–</w:t>
      </w:r>
      <w:r w:rsidRPr="00B8347D">
        <w:rPr>
          <w:rFonts w:ascii="Arial" w:hAnsi="Arial" w:cs="Arial"/>
        </w:rPr>
        <w:t>173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in so bili bistveno nižji od ravni preteklih let.</w:t>
      </w:r>
    </w:p>
    <w:p w14:paraId="164A9160" w14:textId="5BAA9D1A" w:rsidR="00B8347D" w:rsidRPr="00B8347D" w:rsidRDefault="00B8347D" w:rsidP="00B8347D">
      <w:pPr>
        <w:jc w:val="both"/>
        <w:rPr>
          <w:rFonts w:ascii="Arial" w:hAnsi="Arial" w:cs="Arial"/>
          <w:b/>
          <w:bCs/>
        </w:rPr>
      </w:pPr>
      <w:r w:rsidRPr="00B8347D">
        <w:rPr>
          <w:rFonts w:ascii="Arial" w:hAnsi="Arial" w:cs="Arial"/>
          <w:b/>
          <w:bCs/>
        </w:rPr>
        <w:t>Projekcije emisij in odvzemov</w:t>
      </w:r>
    </w:p>
    <w:p w14:paraId="332B2C23" w14:textId="569D131E" w:rsidR="00B8347D" w:rsidRPr="00B8347D" w:rsidRDefault="00B8347D" w:rsidP="00B8347D">
      <w:pPr>
        <w:jc w:val="both"/>
        <w:rPr>
          <w:rFonts w:ascii="Arial" w:hAnsi="Arial" w:cs="Arial"/>
        </w:rPr>
      </w:pPr>
      <w:r w:rsidRPr="00B8347D">
        <w:rPr>
          <w:rFonts w:ascii="Arial" w:hAnsi="Arial" w:cs="Arial"/>
        </w:rPr>
        <w:t xml:space="preserve">Projekcije so bile pripravljene v letih 2023 in 2024 s prenovo NEPN. </w:t>
      </w:r>
      <w:r w:rsidR="00FD0BBF">
        <w:rPr>
          <w:rFonts w:ascii="Arial" w:hAnsi="Arial" w:cs="Arial"/>
        </w:rPr>
        <w:t>N</w:t>
      </w:r>
      <w:r w:rsidRPr="00B8347D">
        <w:rPr>
          <w:rFonts w:ascii="Arial" w:hAnsi="Arial" w:cs="Arial"/>
        </w:rPr>
        <w:t xml:space="preserve">arejene </w:t>
      </w:r>
      <w:r w:rsidR="00FD0BBF" w:rsidRPr="00B8347D">
        <w:rPr>
          <w:rFonts w:ascii="Arial" w:hAnsi="Arial" w:cs="Arial"/>
        </w:rPr>
        <w:t xml:space="preserve">so bile </w:t>
      </w:r>
      <w:r w:rsidRPr="00B8347D">
        <w:rPr>
          <w:rFonts w:ascii="Arial" w:hAnsi="Arial" w:cs="Arial"/>
        </w:rPr>
        <w:t xml:space="preserve">do leta 2050 v petletnih korakih. Za namen tega poročila so predstavljene projekcije do leta 2040 v primerjavi z zadnjimi razpoložljivimi evidencami. </w:t>
      </w:r>
      <w:r w:rsidR="00FD0BBF">
        <w:rPr>
          <w:rFonts w:ascii="Arial" w:hAnsi="Arial" w:cs="Arial"/>
        </w:rPr>
        <w:t>Osnov</w:t>
      </w:r>
      <w:r w:rsidR="00FD0BBF" w:rsidRPr="00B8347D">
        <w:rPr>
          <w:rFonts w:ascii="Arial" w:hAnsi="Arial" w:cs="Arial"/>
        </w:rPr>
        <w:t xml:space="preserve">no </w:t>
      </w:r>
      <w:r w:rsidRPr="00B8347D">
        <w:rPr>
          <w:rFonts w:ascii="Arial" w:hAnsi="Arial" w:cs="Arial"/>
        </w:rPr>
        <w:t>leto za projekcije in kalibracijo modelov je leto 2020, nekateri modeli pa so bili dodatno kalibrirani tudi za leti 2019 oz</w:t>
      </w:r>
      <w:r w:rsidR="004F2B0D">
        <w:rPr>
          <w:rFonts w:ascii="Arial" w:hAnsi="Arial" w:cs="Arial"/>
        </w:rPr>
        <w:t>iroma</w:t>
      </w:r>
      <w:r w:rsidRPr="00B8347D">
        <w:rPr>
          <w:rFonts w:ascii="Arial" w:hAnsi="Arial" w:cs="Arial"/>
        </w:rPr>
        <w:t xml:space="preserve"> 2021</w:t>
      </w:r>
      <w:r w:rsidR="00FD0BBF">
        <w:rPr>
          <w:rFonts w:ascii="Arial" w:hAnsi="Arial" w:cs="Arial"/>
        </w:rPr>
        <w:t>.</w:t>
      </w:r>
    </w:p>
    <w:p w14:paraId="01C98324" w14:textId="62F35936" w:rsidR="00B8347D" w:rsidRPr="00B8347D" w:rsidRDefault="00B8347D" w:rsidP="00B8347D">
      <w:pPr>
        <w:jc w:val="both"/>
        <w:rPr>
          <w:rFonts w:ascii="Arial" w:hAnsi="Arial" w:cs="Arial"/>
        </w:rPr>
      </w:pPr>
      <w:r w:rsidRPr="00B8347D">
        <w:rPr>
          <w:rFonts w:ascii="Arial" w:hAnsi="Arial" w:cs="Arial"/>
        </w:rPr>
        <w:t>Po projekciji z ukrepi se emisije do leta 2025 znižajo na 16.479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do leta 2030 na 16.325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do leta 2040 </w:t>
      </w:r>
      <w:r w:rsidR="00FD0BBF">
        <w:rPr>
          <w:rFonts w:ascii="Arial" w:hAnsi="Arial" w:cs="Arial"/>
        </w:rPr>
        <w:t xml:space="preserve">pa </w:t>
      </w:r>
      <w:r w:rsidRPr="00B8347D">
        <w:rPr>
          <w:rFonts w:ascii="Arial" w:hAnsi="Arial" w:cs="Arial"/>
        </w:rPr>
        <w:t>se še dodatno znižajo</w:t>
      </w:r>
      <w:r w:rsidR="00FD0BBF">
        <w:rPr>
          <w:rFonts w:ascii="Arial" w:hAnsi="Arial" w:cs="Arial"/>
        </w:rPr>
        <w:t>,</w:t>
      </w:r>
      <w:r w:rsidRPr="00B8347D">
        <w:rPr>
          <w:rFonts w:ascii="Arial" w:hAnsi="Arial" w:cs="Arial"/>
        </w:rPr>
        <w:t xml:space="preserve"> in sicer so za 31 % nižje kot leta 2030. Po projekciji z dodatnimi ukrepi se emisije zmanjšajo leta 2025 na 15.916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Leta 2030 znašajo 13.376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leta 2040 pa se občutno znižajo</w:t>
      </w:r>
      <w:r w:rsidR="00FC43B8">
        <w:rPr>
          <w:rFonts w:ascii="Arial" w:hAnsi="Arial" w:cs="Arial"/>
        </w:rPr>
        <w:t>,</w:t>
      </w:r>
      <w:r w:rsidRPr="00B8347D">
        <w:rPr>
          <w:rFonts w:ascii="Arial" w:hAnsi="Arial" w:cs="Arial"/>
        </w:rPr>
        <w:t xml:space="preserve"> in sicer za 56 % glede na leto 2030.</w:t>
      </w:r>
    </w:p>
    <w:p w14:paraId="51467E39" w14:textId="1953B094" w:rsidR="00B8347D" w:rsidRDefault="00716115" w:rsidP="00B8347D">
      <w:pPr>
        <w:jc w:val="center"/>
        <w:rPr>
          <w:rFonts w:ascii="Arial" w:hAnsi="Arial" w:cs="Arial"/>
        </w:rPr>
      </w:pPr>
      <w:r w:rsidRPr="00716115">
        <w:rPr>
          <w:noProof/>
        </w:rPr>
        <w:lastRenderedPageBreak/>
        <w:drawing>
          <wp:inline distT="0" distB="0" distL="0" distR="0" wp14:anchorId="11E6C6C1" wp14:editId="0A41CC9F">
            <wp:extent cx="4572000" cy="2362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72000" cy="2362200"/>
                    </a:xfrm>
                    <a:prstGeom prst="rect">
                      <a:avLst/>
                    </a:prstGeom>
                    <a:noFill/>
                    <a:ln>
                      <a:noFill/>
                    </a:ln>
                  </pic:spPr>
                </pic:pic>
              </a:graphicData>
            </a:graphic>
          </wp:inline>
        </w:drawing>
      </w:r>
    </w:p>
    <w:p w14:paraId="1915CE37" w14:textId="77777777" w:rsidR="00B8347D" w:rsidRDefault="00B8347D" w:rsidP="007F1EB9">
      <w:pPr>
        <w:pStyle w:val="NIKASLIKE"/>
      </w:pPr>
      <w:bookmarkStart w:id="2" w:name="_Toc193193974"/>
      <w:r w:rsidRPr="00B8347D">
        <w:t>Slika 1: Dosedanji potek emisij do leta 2020 in potek emisij po projekcijah z ukrepi, z dodatnimi ukrepi ter brez ukrepov od leta 2025 do leta 2040 (vir: ARSO, IJS-CEU, KIS)</w:t>
      </w:r>
      <w:bookmarkEnd w:id="2"/>
      <w:r w:rsidRPr="00B8347D">
        <w:t xml:space="preserve"> </w:t>
      </w:r>
    </w:p>
    <w:p w14:paraId="24E10E2D" w14:textId="2A1E0638" w:rsidR="00B8347D" w:rsidRPr="00B8347D" w:rsidRDefault="00B8347D" w:rsidP="00B8347D">
      <w:pPr>
        <w:jc w:val="both"/>
        <w:rPr>
          <w:rFonts w:ascii="Arial" w:hAnsi="Arial" w:cs="Arial"/>
        </w:rPr>
      </w:pPr>
      <w:r w:rsidRPr="00B8347D">
        <w:rPr>
          <w:rFonts w:ascii="Arial" w:hAnsi="Arial" w:cs="Arial"/>
        </w:rPr>
        <w:t xml:space="preserve">Emisije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w:t>
      </w:r>
      <w:r w:rsidR="00FC43B8">
        <w:rPr>
          <w:rFonts w:ascii="Arial" w:hAnsi="Arial" w:cs="Arial"/>
        </w:rPr>
        <w:t xml:space="preserve">sestavljajo </w:t>
      </w:r>
      <w:r w:rsidRPr="00B8347D">
        <w:rPr>
          <w:rFonts w:ascii="Arial" w:hAnsi="Arial" w:cs="Arial"/>
        </w:rPr>
        <w:t>večji del emisij toplogrednih plinov</w:t>
      </w:r>
      <w:r w:rsidR="0024256B">
        <w:rPr>
          <w:rFonts w:ascii="Arial" w:hAnsi="Arial" w:cs="Arial"/>
        </w:rPr>
        <w:t xml:space="preserve"> (TGP)</w:t>
      </w:r>
      <w:r w:rsidRPr="00B8347D">
        <w:rPr>
          <w:rFonts w:ascii="Arial" w:hAnsi="Arial" w:cs="Arial"/>
        </w:rPr>
        <w:t xml:space="preserve"> v Sloveniji. Po projekciji z ukrepi se njihov delež v skupnih emisijah </w:t>
      </w:r>
      <w:r w:rsidR="00FC43B8" w:rsidRPr="00B8347D">
        <w:rPr>
          <w:rFonts w:ascii="Arial" w:hAnsi="Arial" w:cs="Arial"/>
        </w:rPr>
        <w:t xml:space="preserve">TGP </w:t>
      </w:r>
      <w:r w:rsidRPr="00B8347D">
        <w:rPr>
          <w:rFonts w:ascii="Arial" w:hAnsi="Arial" w:cs="Arial"/>
        </w:rPr>
        <w:t xml:space="preserve">z 81 % leta 2022 poveča na 84 % v letu 2030, do leta 2040 pa </w:t>
      </w:r>
      <w:r w:rsidR="00FD0BBF">
        <w:rPr>
          <w:rFonts w:ascii="Arial" w:hAnsi="Arial" w:cs="Arial"/>
        </w:rPr>
        <w:t xml:space="preserve">se </w:t>
      </w:r>
      <w:r w:rsidRPr="00B8347D">
        <w:rPr>
          <w:rFonts w:ascii="Arial" w:hAnsi="Arial" w:cs="Arial"/>
        </w:rPr>
        <w:t xml:space="preserve">zmanjša na 80 %. V projekciji z dodatnimi ukrepi se delež počasi zmanjšuje do leta 2030 na 80 %, po letu 2030 pa se močno zmanjša na 64 % leta 2040. Emisije metana leta 2022 </w:t>
      </w:r>
      <w:r w:rsidR="00FC43B8">
        <w:rPr>
          <w:rFonts w:ascii="Arial" w:hAnsi="Arial" w:cs="Arial"/>
        </w:rPr>
        <w:t xml:space="preserve">prispevajo </w:t>
      </w:r>
      <w:r w:rsidRPr="00B8347D">
        <w:rPr>
          <w:rFonts w:ascii="Arial" w:hAnsi="Arial" w:cs="Arial"/>
        </w:rPr>
        <w:t xml:space="preserve">12 %. V projekcijah z ukrepi se delež zmanjša in leta 2030 znaša 11 %, do leta 2040 pa se poveča na 14 %. V projekcijah z dodatnimi ukrepi se delež po letu 2030, ko znaša 13 %, poveča še bolj, tako da leta 2040 doseže 24 %. Emisije </w:t>
      </w:r>
      <w:r w:rsidR="00E92E20" w:rsidRPr="006E70B0">
        <w:rPr>
          <w:rFonts w:ascii="Arial" w:hAnsi="Arial" w:cs="Arial"/>
          <w:color w:val="000000"/>
        </w:rPr>
        <w:t>N</w:t>
      </w:r>
      <w:r w:rsidR="00E92E20" w:rsidRPr="00734DE4">
        <w:rPr>
          <w:rFonts w:ascii="Arial" w:hAnsi="Arial" w:cs="Arial"/>
          <w:color w:val="000000"/>
          <w:vertAlign w:val="subscript"/>
        </w:rPr>
        <w:t>2</w:t>
      </w:r>
      <w:r w:rsidR="00E92E20" w:rsidRPr="006E70B0">
        <w:rPr>
          <w:rFonts w:ascii="Arial" w:hAnsi="Arial" w:cs="Arial"/>
          <w:color w:val="000000"/>
        </w:rPr>
        <w:t>O</w:t>
      </w:r>
      <w:r w:rsidRPr="00B8347D">
        <w:rPr>
          <w:rFonts w:ascii="Arial" w:hAnsi="Arial" w:cs="Arial"/>
        </w:rPr>
        <w:t xml:space="preserve"> leta 2022 </w:t>
      </w:r>
      <w:r w:rsidR="00FC43B8">
        <w:rPr>
          <w:rFonts w:ascii="Arial" w:hAnsi="Arial" w:cs="Arial"/>
        </w:rPr>
        <w:t>prispevajo</w:t>
      </w:r>
      <w:r w:rsidR="00FD0BBF" w:rsidRPr="00B8347D">
        <w:rPr>
          <w:rFonts w:ascii="Arial" w:hAnsi="Arial" w:cs="Arial"/>
        </w:rPr>
        <w:t xml:space="preserve"> </w:t>
      </w:r>
      <w:r w:rsidRPr="00B8347D">
        <w:rPr>
          <w:rFonts w:ascii="Arial" w:hAnsi="Arial" w:cs="Arial"/>
        </w:rPr>
        <w:t xml:space="preserve">5 % skupnih emisij. Do leta 2030 se delež po projekciji z ukrepi zmanjša na 4 % in do leta 2040 poveča na 6 %, po projekciji z dodatnimi ukrepi pa se delež leta 2030 ohrani (5 %), do leta 2040 pa poveča na 11 %. Emisije F-plinov se po projekciji do leta 2040 občutno znižajo. </w:t>
      </w:r>
    </w:p>
    <w:p w14:paraId="68E98BA4" w14:textId="7521798B" w:rsidR="00B8347D" w:rsidRPr="00B8347D" w:rsidRDefault="00B8347D" w:rsidP="00B8347D">
      <w:pPr>
        <w:jc w:val="both"/>
        <w:rPr>
          <w:rFonts w:ascii="Arial" w:hAnsi="Arial" w:cs="Arial"/>
        </w:rPr>
      </w:pPr>
      <w:r w:rsidRPr="00B8347D">
        <w:rPr>
          <w:rFonts w:ascii="Arial" w:hAnsi="Arial" w:cs="Arial"/>
        </w:rPr>
        <w:t xml:space="preserve">Po obeh projekcijah se emisije iz transformacij in ubežnih emisij do leta 2030 povečajo, po projekciji z ukrepi za 15 %, z dodatnimi ukrepi pa za 3 %, do leta 2040 pa znatno zmanjšajo, po projekciji z ukrepi za 76 %, z dodatnimi ukrepi pa za 82 %. Emisije iz industrije se po projekciji z ukrepi do leta 2040 povečajo, tako da so </w:t>
      </w:r>
      <w:r w:rsidR="00FD0BBF">
        <w:rPr>
          <w:rFonts w:ascii="Arial" w:hAnsi="Arial" w:cs="Arial"/>
        </w:rPr>
        <w:t xml:space="preserve">za </w:t>
      </w:r>
      <w:r w:rsidRPr="00B8347D">
        <w:rPr>
          <w:rFonts w:ascii="Arial" w:hAnsi="Arial" w:cs="Arial"/>
        </w:rPr>
        <w:t xml:space="preserve">24 % višje kot leta 2022, po projekciji z dodatnimi ukrepi pa zmanjšajo in so leta 2040 za 54 % nižje kot leta 2022. V industriji tako kot v transformacijah prevladujejo emisije EU ETS, vendar manj izrazito. V skupnih emisijah promet leta 2022 </w:t>
      </w:r>
      <w:r w:rsidR="00FD0BBF">
        <w:rPr>
          <w:rFonts w:ascii="Arial" w:hAnsi="Arial" w:cs="Arial"/>
        </w:rPr>
        <w:t>p</w:t>
      </w:r>
      <w:r w:rsidR="00FC43B8">
        <w:rPr>
          <w:rFonts w:ascii="Arial" w:hAnsi="Arial" w:cs="Arial"/>
        </w:rPr>
        <w:t>rispeva</w:t>
      </w:r>
      <w:r w:rsidR="00FD0BBF" w:rsidRPr="00B8347D">
        <w:rPr>
          <w:rFonts w:ascii="Arial" w:hAnsi="Arial" w:cs="Arial"/>
        </w:rPr>
        <w:t xml:space="preserve"> </w:t>
      </w:r>
      <w:r w:rsidRPr="00B8347D">
        <w:rPr>
          <w:rFonts w:ascii="Arial" w:hAnsi="Arial" w:cs="Arial"/>
        </w:rPr>
        <w:t>37 %</w:t>
      </w:r>
      <w:r w:rsidR="00FC43B8">
        <w:rPr>
          <w:rFonts w:ascii="Arial" w:hAnsi="Arial" w:cs="Arial"/>
        </w:rPr>
        <w:t>,</w:t>
      </w:r>
      <w:r w:rsidRPr="00B8347D">
        <w:rPr>
          <w:rFonts w:ascii="Arial" w:hAnsi="Arial" w:cs="Arial"/>
        </w:rPr>
        <w:t xml:space="preserve"> </w:t>
      </w:r>
      <w:r w:rsidR="00FD0BBF">
        <w:rPr>
          <w:rFonts w:ascii="Arial" w:hAnsi="Arial" w:cs="Arial"/>
        </w:rPr>
        <w:t>torej največ od vseh sektorjev</w:t>
      </w:r>
      <w:r w:rsidRPr="00B8347D">
        <w:rPr>
          <w:rFonts w:ascii="Arial" w:hAnsi="Arial" w:cs="Arial"/>
        </w:rPr>
        <w:t xml:space="preserve">. Emisije se po projekciji z ukrepi povečujejo do leta 2030, potem pa </w:t>
      </w:r>
      <w:r w:rsidR="00FD0BBF">
        <w:rPr>
          <w:rFonts w:ascii="Arial" w:hAnsi="Arial" w:cs="Arial"/>
        </w:rPr>
        <w:t xml:space="preserve">se </w:t>
      </w:r>
      <w:r w:rsidRPr="00B8347D">
        <w:rPr>
          <w:rFonts w:ascii="Arial" w:hAnsi="Arial" w:cs="Arial"/>
        </w:rPr>
        <w:t>zmanjšajo. Po projekciji z dodatnimi ukrepi se emisije zmanjšujejo od leta 2025 dalje in so leta 2030 glede na</w:t>
      </w:r>
      <w:r w:rsidR="00FD0BBF">
        <w:rPr>
          <w:rFonts w:ascii="Arial" w:hAnsi="Arial" w:cs="Arial"/>
        </w:rPr>
        <w:t xml:space="preserve"> leto</w:t>
      </w:r>
      <w:r w:rsidRPr="00B8347D">
        <w:rPr>
          <w:rFonts w:ascii="Arial" w:hAnsi="Arial" w:cs="Arial"/>
        </w:rPr>
        <w:t xml:space="preserve"> 2022 nižje za 25 %, leta 2040 pa za 71 %. Emisije iz široke rabe se po obeh projekcijah zmanjšujejo, zaradi česar se zmanjšuje tudi delež v skupnih emisijah. Leta 2022 </w:t>
      </w:r>
      <w:r w:rsidR="00B2738D">
        <w:rPr>
          <w:rFonts w:ascii="Arial" w:hAnsi="Arial" w:cs="Arial"/>
        </w:rPr>
        <w:t xml:space="preserve">znaša </w:t>
      </w:r>
      <w:r w:rsidRPr="00B8347D">
        <w:rPr>
          <w:rFonts w:ascii="Arial" w:hAnsi="Arial" w:cs="Arial"/>
        </w:rPr>
        <w:t xml:space="preserve">8 %, v letu 2030 pa le 6 % v obeh projekcijah. Do leta 2040 delež sektorja na tej ravni ostane v projekciji z ukrepi, medtem ko v projekciji z dodatnimi ukrepi </w:t>
      </w:r>
      <w:r w:rsidR="00DC3569">
        <w:rPr>
          <w:rFonts w:ascii="Arial" w:hAnsi="Arial" w:cs="Arial"/>
        </w:rPr>
        <w:t xml:space="preserve">znova </w:t>
      </w:r>
      <w:r w:rsidRPr="00B8347D">
        <w:rPr>
          <w:rFonts w:ascii="Arial" w:hAnsi="Arial" w:cs="Arial"/>
        </w:rPr>
        <w:t xml:space="preserve">doseže 8 %. K skupnim emisijam sektor industrijski procesi leta 2022 prispeva 7 %. Delež se ne spremeni bistveno, v projekciji z ukrepi se zmanjša na 6 % leta 2030 in poveča na 9 % leta 2040, v projekciji z dodatnimi ukrepi pa se poveča na 8 % leta 2030 in leta 2040 ostane enak. Emisije v kmetijstvu se med leti ne spreminjajo bistveno. Leta 2022 so bile za 2 % nižje kot leta 2017. Tudi v projekcijah se ne pričakuje </w:t>
      </w:r>
      <w:r w:rsidR="00FD0BBF" w:rsidRPr="00B8347D">
        <w:rPr>
          <w:rFonts w:ascii="Arial" w:hAnsi="Arial" w:cs="Arial"/>
        </w:rPr>
        <w:t>pomembn</w:t>
      </w:r>
      <w:r w:rsidR="00FD0BBF">
        <w:rPr>
          <w:rFonts w:ascii="Arial" w:hAnsi="Arial" w:cs="Arial"/>
        </w:rPr>
        <w:t>o</w:t>
      </w:r>
      <w:r w:rsidR="00FD0BBF" w:rsidRPr="00B8347D">
        <w:rPr>
          <w:rFonts w:ascii="Arial" w:hAnsi="Arial" w:cs="Arial"/>
        </w:rPr>
        <w:t xml:space="preserve"> </w:t>
      </w:r>
      <w:r w:rsidRPr="00B8347D">
        <w:rPr>
          <w:rFonts w:ascii="Arial" w:hAnsi="Arial" w:cs="Arial"/>
        </w:rPr>
        <w:t>zmanjšanj</w:t>
      </w:r>
      <w:r w:rsidR="00FD0BBF">
        <w:rPr>
          <w:rFonts w:ascii="Arial" w:hAnsi="Arial" w:cs="Arial"/>
        </w:rPr>
        <w:t>e</w:t>
      </w:r>
      <w:r w:rsidRPr="00B8347D">
        <w:rPr>
          <w:rFonts w:ascii="Arial" w:hAnsi="Arial" w:cs="Arial"/>
        </w:rPr>
        <w:t xml:space="preserve">. Po projekciji z ukrepi se emisije povečajo, po projekciji z dodatnimi ukrepi pa </w:t>
      </w:r>
      <w:r w:rsidR="00FD0BBF">
        <w:rPr>
          <w:rFonts w:ascii="Arial" w:hAnsi="Arial" w:cs="Arial"/>
        </w:rPr>
        <w:t xml:space="preserve">se </w:t>
      </w:r>
      <w:r w:rsidRPr="00B8347D">
        <w:rPr>
          <w:rFonts w:ascii="Arial" w:hAnsi="Arial" w:cs="Arial"/>
        </w:rPr>
        <w:t xml:space="preserve">zmanjšajo. Leta 2022 odpadki prispevajo 2 % k skupnim emisijam. Do leta 2030 se delež ohrani </w:t>
      </w:r>
      <w:r w:rsidR="00D339DA">
        <w:rPr>
          <w:rFonts w:ascii="Arial" w:hAnsi="Arial" w:cs="Arial"/>
        </w:rPr>
        <w:t>pri</w:t>
      </w:r>
      <w:r w:rsidR="00FD0BBF" w:rsidRPr="00B8347D">
        <w:rPr>
          <w:rFonts w:ascii="Arial" w:hAnsi="Arial" w:cs="Arial"/>
        </w:rPr>
        <w:t xml:space="preserve"> </w:t>
      </w:r>
      <w:r w:rsidRPr="00B8347D">
        <w:rPr>
          <w:rFonts w:ascii="Arial" w:hAnsi="Arial" w:cs="Arial"/>
        </w:rPr>
        <w:t>2 % in po projekciji z ukrepi ostane tak tudi leta 2040. Po projekciji z dodatnimi ukrepi leta 2040 znaša delež 4 %</w:t>
      </w:r>
      <w:r w:rsidR="00D339DA">
        <w:rPr>
          <w:rFonts w:ascii="Arial" w:hAnsi="Arial" w:cs="Arial"/>
        </w:rPr>
        <w:t>.</w:t>
      </w:r>
    </w:p>
    <w:p w14:paraId="53F6B510" w14:textId="24710CAE" w:rsidR="00B8347D" w:rsidRPr="00B8347D" w:rsidRDefault="00B8347D" w:rsidP="00B8347D">
      <w:pPr>
        <w:jc w:val="both"/>
        <w:rPr>
          <w:rFonts w:ascii="Arial" w:hAnsi="Arial" w:cs="Arial"/>
        </w:rPr>
      </w:pPr>
      <w:r w:rsidRPr="00B8347D">
        <w:rPr>
          <w:rFonts w:ascii="Arial" w:hAnsi="Arial" w:cs="Arial"/>
        </w:rPr>
        <w:lastRenderedPageBreak/>
        <w:t xml:space="preserve">Do leta 2030 se po projekciji z ukrepi ponori po zmanjšanju </w:t>
      </w:r>
      <w:r w:rsidR="00DC3569">
        <w:rPr>
          <w:rFonts w:ascii="Arial" w:hAnsi="Arial" w:cs="Arial"/>
        </w:rPr>
        <w:t xml:space="preserve">znova </w:t>
      </w:r>
      <w:r w:rsidRPr="00B8347D">
        <w:rPr>
          <w:rFonts w:ascii="Arial" w:hAnsi="Arial" w:cs="Arial"/>
        </w:rPr>
        <w:t xml:space="preserve">povečajo na </w:t>
      </w:r>
      <w:r w:rsidR="00FD0BBF">
        <w:rPr>
          <w:rFonts w:ascii="Arial" w:hAnsi="Arial" w:cs="Arial"/>
        </w:rPr>
        <w:t>–</w:t>
      </w:r>
      <w:r w:rsidRPr="00B8347D">
        <w:rPr>
          <w:rFonts w:ascii="Arial" w:hAnsi="Arial" w:cs="Arial"/>
        </w:rPr>
        <w:t>792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Po letu 2040 se ponori zmanjšajo na </w:t>
      </w:r>
      <w:r w:rsidR="00FD0BBF">
        <w:rPr>
          <w:rFonts w:ascii="Arial" w:hAnsi="Arial" w:cs="Arial"/>
        </w:rPr>
        <w:t>–</w:t>
      </w:r>
      <w:r w:rsidRPr="00B8347D">
        <w:rPr>
          <w:rFonts w:ascii="Arial" w:hAnsi="Arial" w:cs="Arial"/>
        </w:rPr>
        <w:t>154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kot posledica večje potrebe po sečnji, tudi zaradi neugodne starostne strukture gozdov. V projekciji z dodatnimi ukrepi ponori leta 2030 znašajo </w:t>
      </w:r>
      <w:r w:rsidR="00B56B52">
        <w:rPr>
          <w:rFonts w:ascii="Arial" w:hAnsi="Arial" w:cs="Arial"/>
        </w:rPr>
        <w:t>–</w:t>
      </w:r>
      <w:r w:rsidRPr="00B8347D">
        <w:rPr>
          <w:rFonts w:ascii="Arial" w:hAnsi="Arial" w:cs="Arial"/>
        </w:rPr>
        <w:t>2089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00E92E20">
        <w:rPr>
          <w:rFonts w:ascii="Arial" w:hAnsi="Arial" w:cs="Arial"/>
        </w:rPr>
        <w:t>,</w:t>
      </w:r>
      <w:r w:rsidRPr="00B8347D">
        <w:rPr>
          <w:rFonts w:ascii="Arial" w:hAnsi="Arial" w:cs="Arial"/>
        </w:rPr>
        <w:t xml:space="preserve"> leta 2040 pa </w:t>
      </w:r>
      <w:r w:rsidR="00B56B52">
        <w:rPr>
          <w:rFonts w:ascii="Arial" w:hAnsi="Arial" w:cs="Arial"/>
        </w:rPr>
        <w:t>–</w:t>
      </w:r>
      <w:r w:rsidRPr="00B8347D">
        <w:rPr>
          <w:rFonts w:ascii="Arial" w:hAnsi="Arial" w:cs="Arial"/>
        </w:rPr>
        <w:t>2187,38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w:t>
      </w:r>
    </w:p>
    <w:p w14:paraId="3A8CFEC7" w14:textId="34C01E16" w:rsidR="00B8347D" w:rsidRPr="00B8347D" w:rsidRDefault="00B8347D" w:rsidP="00B8347D">
      <w:pPr>
        <w:jc w:val="both"/>
        <w:rPr>
          <w:rFonts w:ascii="Arial" w:hAnsi="Arial" w:cs="Arial"/>
        </w:rPr>
      </w:pPr>
      <w:r w:rsidRPr="00B8347D">
        <w:rPr>
          <w:rFonts w:ascii="Arial" w:hAnsi="Arial" w:cs="Arial"/>
        </w:rPr>
        <w:t>Emisije virov v EU ETS leta 2030 po projekciji z ukrepi znašajo 5624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in po projekciji z dodatnimi ukrepi 4930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oboje je nekoliko višje kot leta 2022. Po obeh projekcijah se emisije znatno znižajo do leta 2040, v projekciji z ukrepi na 2922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oz</w:t>
      </w:r>
      <w:r w:rsidR="004F2B0D">
        <w:rPr>
          <w:rFonts w:ascii="Arial" w:hAnsi="Arial" w:cs="Arial"/>
        </w:rPr>
        <w:t>iroma</w:t>
      </w:r>
      <w:r w:rsidRPr="00B8347D">
        <w:rPr>
          <w:rFonts w:ascii="Arial" w:hAnsi="Arial" w:cs="Arial"/>
        </w:rPr>
        <w:t xml:space="preserve"> za 40 % glede na leto 2022, v projekciji z dodatnimi ukrepi pa na 1118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oz</w:t>
      </w:r>
      <w:r w:rsidR="004F2B0D">
        <w:rPr>
          <w:rFonts w:ascii="Arial" w:hAnsi="Arial" w:cs="Arial"/>
        </w:rPr>
        <w:t>iroma</w:t>
      </w:r>
      <w:r w:rsidRPr="00B8347D">
        <w:rPr>
          <w:rFonts w:ascii="Arial" w:hAnsi="Arial" w:cs="Arial"/>
        </w:rPr>
        <w:t xml:space="preserve"> za 77 %. Emisije v projekciji z ukrepi se povečajo v vseh sektorjih do leta 2030 glede na leto 2022, in </w:t>
      </w:r>
      <w:r w:rsidR="00B56B52">
        <w:rPr>
          <w:rFonts w:ascii="Arial" w:hAnsi="Arial" w:cs="Arial"/>
        </w:rPr>
        <w:t xml:space="preserve">razen v </w:t>
      </w:r>
      <w:r w:rsidRPr="00B8347D">
        <w:rPr>
          <w:rFonts w:ascii="Arial" w:hAnsi="Arial" w:cs="Arial"/>
        </w:rPr>
        <w:t>industrij</w:t>
      </w:r>
      <w:r w:rsidR="00B56B52">
        <w:rPr>
          <w:rFonts w:ascii="Arial" w:hAnsi="Arial" w:cs="Arial"/>
        </w:rPr>
        <w:t>i</w:t>
      </w:r>
      <w:r w:rsidRPr="00B8347D">
        <w:rPr>
          <w:rFonts w:ascii="Arial" w:hAnsi="Arial" w:cs="Arial"/>
        </w:rPr>
        <w:t xml:space="preserve"> tudi v projekciji z dodatnimi ukrepi. Do leta 2040 pa se povsod zmanjšajo, </w:t>
      </w:r>
      <w:r w:rsidR="00D339DA">
        <w:rPr>
          <w:rFonts w:ascii="Arial" w:hAnsi="Arial" w:cs="Arial"/>
        </w:rPr>
        <w:t>razen</w:t>
      </w:r>
      <w:r w:rsidR="00B56B52">
        <w:rPr>
          <w:rFonts w:ascii="Arial" w:hAnsi="Arial" w:cs="Arial"/>
        </w:rPr>
        <w:t xml:space="preserve"> v</w:t>
      </w:r>
      <w:r w:rsidRPr="00B8347D">
        <w:rPr>
          <w:rFonts w:ascii="Arial" w:hAnsi="Arial" w:cs="Arial"/>
        </w:rPr>
        <w:t xml:space="preserve"> industrijskih </w:t>
      </w:r>
      <w:r w:rsidR="00B56B52" w:rsidRPr="00B8347D">
        <w:rPr>
          <w:rFonts w:ascii="Arial" w:hAnsi="Arial" w:cs="Arial"/>
        </w:rPr>
        <w:t>proces</w:t>
      </w:r>
      <w:r w:rsidR="00B56B52">
        <w:rPr>
          <w:rFonts w:ascii="Arial" w:hAnsi="Arial" w:cs="Arial"/>
        </w:rPr>
        <w:t>ih</w:t>
      </w:r>
      <w:r w:rsidR="00B56B52" w:rsidRPr="00B8347D">
        <w:rPr>
          <w:rFonts w:ascii="Arial" w:hAnsi="Arial" w:cs="Arial"/>
        </w:rPr>
        <w:t xml:space="preserve"> </w:t>
      </w:r>
      <w:r w:rsidRPr="00B8347D">
        <w:rPr>
          <w:rFonts w:ascii="Arial" w:hAnsi="Arial" w:cs="Arial"/>
        </w:rPr>
        <w:t xml:space="preserve">v projekciji z ukrepi. Do leta 2040 se najbolj zmanjšajo ubežne emisije (za 100 %) in emisije v transformacijah (za 79 %), ki tudi </w:t>
      </w:r>
      <w:r w:rsidR="00D339DA">
        <w:rPr>
          <w:rFonts w:ascii="Arial" w:hAnsi="Arial" w:cs="Arial"/>
        </w:rPr>
        <w:t>sestavljajo</w:t>
      </w:r>
      <w:r w:rsidR="00B56B52" w:rsidRPr="00B8347D">
        <w:rPr>
          <w:rFonts w:ascii="Arial" w:hAnsi="Arial" w:cs="Arial"/>
        </w:rPr>
        <w:t xml:space="preserve"> </w:t>
      </w:r>
      <w:r w:rsidRPr="00B8347D">
        <w:rPr>
          <w:rFonts w:ascii="Arial" w:hAnsi="Arial" w:cs="Arial"/>
        </w:rPr>
        <w:t>daleč največji del emisij. V projekciji z dodatnimi ukrepi se do leta 2040 zmanjšajo tako: za 100 % ubežne emisije, za 67 % emisije iz transformacij</w:t>
      </w:r>
      <w:r w:rsidR="00D339DA">
        <w:rPr>
          <w:rFonts w:ascii="Arial" w:hAnsi="Arial" w:cs="Arial"/>
        </w:rPr>
        <w:t>,</w:t>
      </w:r>
      <w:r w:rsidRPr="00B8347D">
        <w:rPr>
          <w:rFonts w:ascii="Arial" w:hAnsi="Arial" w:cs="Arial"/>
        </w:rPr>
        <w:t xml:space="preserve"> za 70 % </w:t>
      </w:r>
      <w:r w:rsidR="00B56B52">
        <w:rPr>
          <w:rFonts w:ascii="Arial" w:hAnsi="Arial" w:cs="Arial"/>
        </w:rPr>
        <w:t xml:space="preserve">emisije </w:t>
      </w:r>
      <w:r w:rsidRPr="00B8347D">
        <w:rPr>
          <w:rFonts w:ascii="Arial" w:hAnsi="Arial" w:cs="Arial"/>
        </w:rPr>
        <w:t xml:space="preserve">iz industrijskih procesov in za 51 % </w:t>
      </w:r>
      <w:r w:rsidR="00B56B52">
        <w:rPr>
          <w:rFonts w:ascii="Arial" w:hAnsi="Arial" w:cs="Arial"/>
        </w:rPr>
        <w:t xml:space="preserve">emisije </w:t>
      </w:r>
      <w:r w:rsidRPr="00B8347D">
        <w:rPr>
          <w:rFonts w:ascii="Arial" w:hAnsi="Arial" w:cs="Arial"/>
        </w:rPr>
        <w:t>iz industrije.</w:t>
      </w:r>
    </w:p>
    <w:p w14:paraId="72D566FE" w14:textId="1817A5C8" w:rsidR="00B8347D" w:rsidRDefault="00B8347D" w:rsidP="00B8347D">
      <w:pPr>
        <w:jc w:val="both"/>
        <w:rPr>
          <w:rFonts w:ascii="Arial" w:hAnsi="Arial" w:cs="Arial"/>
          <w:b/>
          <w:bCs/>
          <w:i/>
          <w:iCs/>
          <w:sz w:val="18"/>
          <w:szCs w:val="18"/>
        </w:rPr>
      </w:pPr>
      <w:r w:rsidRPr="00B8347D">
        <w:rPr>
          <w:rFonts w:ascii="Arial" w:hAnsi="Arial" w:cs="Arial"/>
        </w:rPr>
        <w:t xml:space="preserve">Po projekciji z ukrepi se emisije neETS od leta 2022 do leta 2025 </w:t>
      </w:r>
      <w:r w:rsidR="00D339DA">
        <w:rPr>
          <w:rFonts w:ascii="Arial" w:hAnsi="Arial" w:cs="Arial"/>
        </w:rPr>
        <w:t xml:space="preserve">povečajo </w:t>
      </w:r>
      <w:r w:rsidRPr="00B8347D">
        <w:rPr>
          <w:rFonts w:ascii="Arial" w:hAnsi="Arial" w:cs="Arial"/>
        </w:rPr>
        <w:t>na 10.835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potem pa se začnejo zmanjševati in leta 2030 znašajo 10.701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leta 2040 pa 8372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Po projekciji z dodatnimi ukrepi se emisije do leta 2025 povečajo na 10.528 kt</w:t>
      </w:r>
      <w:r w:rsidR="00E92E20">
        <w:rPr>
          <w:rFonts w:ascii="Arial" w:hAnsi="Arial" w:cs="Arial"/>
        </w:rPr>
        <w:t xml:space="preserve"> ekv. </w:t>
      </w:r>
      <w:r w:rsidR="00E92E20" w:rsidRPr="00AF3FEE">
        <w:rPr>
          <w:rFonts w:ascii="Arial" w:hAnsi="Arial" w:cs="Arial"/>
        </w:rPr>
        <w:t>CO</w:t>
      </w:r>
      <w:r w:rsidR="00E92E20" w:rsidRPr="00AF3FEE">
        <w:rPr>
          <w:rFonts w:ascii="Arial" w:hAnsi="Arial" w:cs="Arial"/>
          <w:vertAlign w:val="subscript"/>
        </w:rPr>
        <w:t>2</w:t>
      </w:r>
      <w:r w:rsidRPr="00B8347D">
        <w:rPr>
          <w:rFonts w:ascii="Arial" w:hAnsi="Arial" w:cs="Arial"/>
        </w:rPr>
        <w:t xml:space="preserve">, do leta 2030 </w:t>
      </w:r>
      <w:r w:rsidR="00D339DA">
        <w:rPr>
          <w:rFonts w:ascii="Arial" w:hAnsi="Arial" w:cs="Arial"/>
        </w:rPr>
        <w:t xml:space="preserve">pa </w:t>
      </w:r>
      <w:r w:rsidR="00B56B52">
        <w:rPr>
          <w:rFonts w:ascii="Arial" w:hAnsi="Arial" w:cs="Arial"/>
        </w:rPr>
        <w:t xml:space="preserve">se </w:t>
      </w:r>
      <w:r w:rsidRPr="00B8347D">
        <w:rPr>
          <w:rFonts w:ascii="Arial" w:hAnsi="Arial" w:cs="Arial"/>
        </w:rPr>
        <w:t>znižajo na 8446 kt</w:t>
      </w:r>
      <w:r w:rsidR="00FF6102">
        <w:rPr>
          <w:rFonts w:ascii="Arial" w:hAnsi="Arial" w:cs="Arial"/>
        </w:rPr>
        <w:t xml:space="preserve"> ekv. </w:t>
      </w:r>
      <w:r w:rsidR="00FF6102" w:rsidRPr="00AF3FEE">
        <w:rPr>
          <w:rFonts w:ascii="Arial" w:hAnsi="Arial" w:cs="Arial"/>
        </w:rPr>
        <w:t>CO</w:t>
      </w:r>
      <w:r w:rsidR="00FF6102" w:rsidRPr="00AF3FEE">
        <w:rPr>
          <w:rFonts w:ascii="Arial" w:hAnsi="Arial" w:cs="Arial"/>
          <w:vertAlign w:val="subscript"/>
        </w:rPr>
        <w:t>2</w:t>
      </w:r>
      <w:r w:rsidRPr="00B8347D">
        <w:rPr>
          <w:rFonts w:ascii="Arial" w:hAnsi="Arial" w:cs="Arial"/>
        </w:rPr>
        <w:t xml:space="preserve"> </w:t>
      </w:r>
      <w:r w:rsidR="00D339DA">
        <w:rPr>
          <w:rFonts w:ascii="Arial" w:hAnsi="Arial" w:cs="Arial"/>
        </w:rPr>
        <w:t xml:space="preserve">in </w:t>
      </w:r>
      <w:r w:rsidRPr="00B8347D">
        <w:rPr>
          <w:rFonts w:ascii="Arial" w:hAnsi="Arial" w:cs="Arial"/>
        </w:rPr>
        <w:t>do leta 2040 na 4656 kt</w:t>
      </w:r>
      <w:r w:rsidR="00FF6102">
        <w:rPr>
          <w:rFonts w:ascii="Arial" w:hAnsi="Arial" w:cs="Arial"/>
        </w:rPr>
        <w:t xml:space="preserve"> ekv. </w:t>
      </w:r>
      <w:r w:rsidR="00FF6102" w:rsidRPr="00AF3FEE">
        <w:rPr>
          <w:rFonts w:ascii="Arial" w:hAnsi="Arial" w:cs="Arial"/>
        </w:rPr>
        <w:t>CO</w:t>
      </w:r>
      <w:r w:rsidR="00FF6102" w:rsidRPr="00AF3FEE">
        <w:rPr>
          <w:rFonts w:ascii="Arial" w:hAnsi="Arial" w:cs="Arial"/>
          <w:vertAlign w:val="subscript"/>
        </w:rPr>
        <w:t>2</w:t>
      </w:r>
      <w:r w:rsidRPr="00B8347D">
        <w:rPr>
          <w:rFonts w:ascii="Arial" w:hAnsi="Arial" w:cs="Arial"/>
        </w:rPr>
        <w:t>.</w:t>
      </w:r>
      <w:r w:rsidRPr="00B8347D">
        <w:rPr>
          <w:rFonts w:ascii="Arial" w:hAnsi="Arial" w:cs="Arial"/>
          <w:b/>
          <w:bCs/>
          <w:i/>
          <w:iCs/>
          <w:sz w:val="18"/>
          <w:szCs w:val="18"/>
        </w:rPr>
        <w:t xml:space="preserve"> </w:t>
      </w:r>
    </w:p>
    <w:p w14:paraId="2DAA599E" w14:textId="016AB50D" w:rsidR="00B8347D" w:rsidRDefault="00B8347D" w:rsidP="00B8347D">
      <w:pPr>
        <w:jc w:val="both"/>
        <w:rPr>
          <w:rFonts w:ascii="Arial" w:hAnsi="Arial" w:cs="Arial"/>
          <w:b/>
          <w:bCs/>
        </w:rPr>
      </w:pPr>
      <w:r w:rsidRPr="00B8347D">
        <w:rPr>
          <w:rFonts w:ascii="Arial" w:hAnsi="Arial" w:cs="Arial"/>
          <w:b/>
          <w:bCs/>
        </w:rPr>
        <w:t>Prilagajanje podnebn</w:t>
      </w:r>
      <w:r w:rsidR="00D339DA">
        <w:rPr>
          <w:rFonts w:ascii="Arial" w:hAnsi="Arial" w:cs="Arial"/>
          <w:b/>
          <w:bCs/>
        </w:rPr>
        <w:t>im</w:t>
      </w:r>
      <w:r w:rsidRPr="00B8347D">
        <w:rPr>
          <w:rFonts w:ascii="Arial" w:hAnsi="Arial" w:cs="Arial"/>
          <w:b/>
          <w:bCs/>
        </w:rPr>
        <w:t xml:space="preserve"> sprememb</w:t>
      </w:r>
      <w:r w:rsidR="00D339DA">
        <w:rPr>
          <w:rFonts w:ascii="Arial" w:hAnsi="Arial" w:cs="Arial"/>
          <w:b/>
          <w:bCs/>
        </w:rPr>
        <w:t>am</w:t>
      </w:r>
    </w:p>
    <w:p w14:paraId="60A10CAE" w14:textId="22678B05" w:rsidR="00B8347D" w:rsidRPr="00B8347D" w:rsidRDefault="00B8347D" w:rsidP="00B8347D">
      <w:pPr>
        <w:jc w:val="both"/>
        <w:rPr>
          <w:rFonts w:ascii="Arial" w:hAnsi="Arial" w:cs="Arial"/>
        </w:rPr>
      </w:pPr>
      <w:r w:rsidRPr="00B8347D">
        <w:rPr>
          <w:rFonts w:ascii="Arial" w:hAnsi="Arial" w:cs="Arial"/>
        </w:rPr>
        <w:t xml:space="preserve">Podnebje v Sloveniji zaznamuje raznolikost, ki je posledica geografske lege, reliefa in bližine morja. Država se sooča s tremi glavnimi podnebnimi tipi: zmerno celinskim na vzhodu, subalpskim v osrednjem delu </w:t>
      </w:r>
      <w:r w:rsidR="00E51A43">
        <w:rPr>
          <w:rFonts w:ascii="Arial" w:hAnsi="Arial" w:cs="Arial"/>
        </w:rPr>
        <w:t>in</w:t>
      </w:r>
      <w:r w:rsidR="00E51A43" w:rsidRPr="00B8347D">
        <w:rPr>
          <w:rFonts w:ascii="Arial" w:hAnsi="Arial" w:cs="Arial"/>
        </w:rPr>
        <w:t xml:space="preserve"> </w:t>
      </w:r>
      <w:r w:rsidRPr="00B8347D">
        <w:rPr>
          <w:rFonts w:ascii="Arial" w:hAnsi="Arial" w:cs="Arial"/>
        </w:rPr>
        <w:t xml:space="preserve">submediteranskim na zahodu. Ta podnebna raznolikost vpliva na prilagoditvene sposobnosti posameznih regij v odzivu na podnebne spremembe. Ključni </w:t>
      </w:r>
      <w:r w:rsidR="00492990">
        <w:rPr>
          <w:rFonts w:ascii="Arial" w:hAnsi="Arial" w:cs="Arial"/>
        </w:rPr>
        <w:t>dejavnik</w:t>
      </w:r>
      <w:r w:rsidR="00492990" w:rsidRPr="00B8347D">
        <w:rPr>
          <w:rFonts w:ascii="Arial" w:hAnsi="Arial" w:cs="Arial"/>
        </w:rPr>
        <w:t xml:space="preserve"> </w:t>
      </w:r>
      <w:r w:rsidRPr="00B8347D">
        <w:rPr>
          <w:rFonts w:ascii="Arial" w:hAnsi="Arial" w:cs="Arial"/>
        </w:rPr>
        <w:t>na področju prilagajanja podnebnim spremembam je</w:t>
      </w:r>
      <w:r w:rsidR="00EF35F6">
        <w:rPr>
          <w:rFonts w:ascii="Arial" w:hAnsi="Arial" w:cs="Arial"/>
        </w:rPr>
        <w:t xml:space="preserve"> MOPE</w:t>
      </w:r>
      <w:r w:rsidRPr="00B8347D">
        <w:rPr>
          <w:rFonts w:ascii="Arial" w:hAnsi="Arial" w:cs="Arial"/>
        </w:rPr>
        <w:t>, ki sodeluje z Agencijo R</w:t>
      </w:r>
      <w:r w:rsidR="002958C7">
        <w:rPr>
          <w:rFonts w:ascii="Arial" w:hAnsi="Arial" w:cs="Arial"/>
        </w:rPr>
        <w:t xml:space="preserve">epublike </w:t>
      </w:r>
      <w:r w:rsidRPr="00B8347D">
        <w:rPr>
          <w:rFonts w:ascii="Arial" w:hAnsi="Arial" w:cs="Arial"/>
        </w:rPr>
        <w:t>S</w:t>
      </w:r>
      <w:r w:rsidR="002958C7">
        <w:rPr>
          <w:rFonts w:ascii="Arial" w:hAnsi="Arial" w:cs="Arial"/>
        </w:rPr>
        <w:t>lovenije</w:t>
      </w:r>
      <w:r w:rsidRPr="00B8347D">
        <w:rPr>
          <w:rFonts w:ascii="Arial" w:hAnsi="Arial" w:cs="Arial"/>
        </w:rPr>
        <w:t xml:space="preserve"> za okolje (ARSO), Upravo R</w:t>
      </w:r>
      <w:r w:rsidR="002958C7">
        <w:rPr>
          <w:rFonts w:ascii="Arial" w:hAnsi="Arial" w:cs="Arial"/>
        </w:rPr>
        <w:t xml:space="preserve">epublike </w:t>
      </w:r>
      <w:r w:rsidRPr="00B8347D">
        <w:rPr>
          <w:rFonts w:ascii="Arial" w:hAnsi="Arial" w:cs="Arial"/>
        </w:rPr>
        <w:t>S</w:t>
      </w:r>
      <w:r w:rsidR="002958C7">
        <w:rPr>
          <w:rFonts w:ascii="Arial" w:hAnsi="Arial" w:cs="Arial"/>
        </w:rPr>
        <w:t>lovenije</w:t>
      </w:r>
      <w:r w:rsidRPr="00B8347D">
        <w:rPr>
          <w:rFonts w:ascii="Arial" w:hAnsi="Arial" w:cs="Arial"/>
        </w:rPr>
        <w:t xml:space="preserve"> za zaščito in reševanje ter Podnebnim svetom, znanstvenoposvetovalnim organom. Leta 2016 je Slovenija sprejela Strateški okvir prilagajanja podnebnim spremembam, </w:t>
      </w:r>
      <w:r w:rsidR="00492990">
        <w:rPr>
          <w:rFonts w:ascii="Arial" w:hAnsi="Arial" w:cs="Arial"/>
        </w:rPr>
        <w:t xml:space="preserve">s </w:t>
      </w:r>
      <w:r w:rsidRPr="00B8347D">
        <w:rPr>
          <w:rFonts w:ascii="Arial" w:hAnsi="Arial" w:cs="Arial"/>
        </w:rPr>
        <w:t>prilagajanje</w:t>
      </w:r>
      <w:r w:rsidR="00492990">
        <w:rPr>
          <w:rFonts w:ascii="Arial" w:hAnsi="Arial" w:cs="Arial"/>
        </w:rPr>
        <w:t>m</w:t>
      </w:r>
      <w:r w:rsidRPr="00B8347D">
        <w:rPr>
          <w:rFonts w:ascii="Arial" w:hAnsi="Arial" w:cs="Arial"/>
        </w:rPr>
        <w:t xml:space="preserve"> </w:t>
      </w:r>
      <w:r w:rsidR="00492990">
        <w:rPr>
          <w:rFonts w:ascii="Arial" w:hAnsi="Arial" w:cs="Arial"/>
        </w:rPr>
        <w:t xml:space="preserve">se ukvarja </w:t>
      </w:r>
      <w:r w:rsidRPr="00B8347D">
        <w:rPr>
          <w:rFonts w:ascii="Arial" w:hAnsi="Arial" w:cs="Arial"/>
        </w:rPr>
        <w:t>tudi Dolgoročn</w:t>
      </w:r>
      <w:r w:rsidR="00492990">
        <w:rPr>
          <w:rFonts w:ascii="Arial" w:hAnsi="Arial" w:cs="Arial"/>
        </w:rPr>
        <w:t>a</w:t>
      </w:r>
      <w:r w:rsidRPr="00B8347D">
        <w:rPr>
          <w:rFonts w:ascii="Arial" w:hAnsi="Arial" w:cs="Arial"/>
        </w:rPr>
        <w:t xml:space="preserve"> podnebn</w:t>
      </w:r>
      <w:r w:rsidR="00492990">
        <w:rPr>
          <w:rFonts w:ascii="Arial" w:hAnsi="Arial" w:cs="Arial"/>
        </w:rPr>
        <w:t>a</w:t>
      </w:r>
      <w:r w:rsidRPr="00B8347D">
        <w:rPr>
          <w:rFonts w:ascii="Arial" w:hAnsi="Arial" w:cs="Arial"/>
        </w:rPr>
        <w:t xml:space="preserve"> strategij</w:t>
      </w:r>
      <w:r w:rsidR="00492990">
        <w:rPr>
          <w:rFonts w:ascii="Arial" w:hAnsi="Arial" w:cs="Arial"/>
        </w:rPr>
        <w:t>a</w:t>
      </w:r>
      <w:r w:rsidRPr="00B8347D">
        <w:rPr>
          <w:rFonts w:ascii="Arial" w:hAnsi="Arial" w:cs="Arial"/>
        </w:rPr>
        <w:t xml:space="preserve"> Slovenije do leta 2050. </w:t>
      </w:r>
    </w:p>
    <w:p w14:paraId="1D705C89" w14:textId="558F505B" w:rsidR="00B8347D" w:rsidRPr="00B8347D" w:rsidRDefault="00B8347D" w:rsidP="00B8347D">
      <w:pPr>
        <w:jc w:val="both"/>
        <w:rPr>
          <w:rFonts w:ascii="Arial" w:hAnsi="Arial" w:cs="Arial"/>
        </w:rPr>
      </w:pPr>
      <w:r w:rsidRPr="00B8347D">
        <w:rPr>
          <w:rFonts w:ascii="Arial" w:hAnsi="Arial" w:cs="Arial"/>
        </w:rPr>
        <w:t xml:space="preserve">Podnebne projekcije, ki temeljijo na modelih EURO-CORDEX, nakazujejo, da se bo povprečna temperatura do konca stoletja zvišala med 1,3 °C (po optimističnem scenariju) in 4,1 °C (po pesimističnem scenariju). To bo privedlo do povečanja </w:t>
      </w:r>
      <w:r w:rsidR="00E51A43">
        <w:rPr>
          <w:rFonts w:ascii="Arial" w:hAnsi="Arial" w:cs="Arial"/>
        </w:rPr>
        <w:t xml:space="preserve">števila </w:t>
      </w:r>
      <w:r w:rsidRPr="00B8347D">
        <w:rPr>
          <w:rFonts w:ascii="Arial" w:hAnsi="Arial" w:cs="Arial"/>
        </w:rPr>
        <w:t>vročinskih valov, daljšanja rastne dobe in večjega obsega suš. Po drugi strani bodo padavinski vzorci postali bolj ekstremni, s pogostejšimi intenzivnimi padavinami in povečanim tveganjem poplav.</w:t>
      </w:r>
    </w:p>
    <w:p w14:paraId="7A9AA7C4" w14:textId="794D08B1" w:rsidR="00B8347D" w:rsidRPr="00B8347D" w:rsidRDefault="00B8347D" w:rsidP="00B8347D">
      <w:pPr>
        <w:jc w:val="both"/>
        <w:rPr>
          <w:rFonts w:ascii="Arial" w:hAnsi="Arial" w:cs="Arial"/>
        </w:rPr>
      </w:pPr>
      <w:r w:rsidRPr="00B8347D">
        <w:rPr>
          <w:rFonts w:ascii="Arial" w:hAnsi="Arial" w:cs="Arial"/>
        </w:rPr>
        <w:t xml:space="preserve">Podnebne spremembe pomembno vplivajo tudi na ključne gospodarske sektorje, vključno s kmetijstvom in gozdarstvom. Pogostejše suše in ekstremni vremenski dogodki ogrožajo pridelavo hrane, zmanjšujejo količino razpoložljive vode in povečujejo gospodarske izgube. Slovenija je ena najbolj ranljivih držav v EU, saj so gospodarske izgube zaradi podnebnih sprememb v obdobju 1980–2023 znašale približno </w:t>
      </w:r>
      <w:r w:rsidR="006A109B">
        <w:rPr>
          <w:rFonts w:ascii="Arial" w:hAnsi="Arial" w:cs="Arial"/>
        </w:rPr>
        <w:t xml:space="preserve">sedem </w:t>
      </w:r>
      <w:r w:rsidRPr="00B8347D">
        <w:rPr>
          <w:rFonts w:ascii="Arial" w:hAnsi="Arial" w:cs="Arial"/>
        </w:rPr>
        <w:t>milijard evrov, kar pomeni najvišjo izgubo na prebivalca v Uniji.</w:t>
      </w:r>
    </w:p>
    <w:p w14:paraId="1A230CA8" w14:textId="1B537241" w:rsidR="00B8347D" w:rsidRPr="00B8347D" w:rsidRDefault="00B8347D" w:rsidP="00B8347D">
      <w:pPr>
        <w:jc w:val="both"/>
        <w:rPr>
          <w:rFonts w:ascii="Arial" w:hAnsi="Arial" w:cs="Arial"/>
        </w:rPr>
      </w:pPr>
      <w:r w:rsidRPr="00B8347D">
        <w:rPr>
          <w:rFonts w:ascii="Arial" w:hAnsi="Arial" w:cs="Arial"/>
        </w:rPr>
        <w:t xml:space="preserve">Kot odgovor na ta tveganja Slovenija pospešuje prilagoditvene ukrepe, vključno s pripravo nacionalne strategije prilagajanja podnebnim spremembam ter regionalnimi akcijskimi načrti. Ključne prednostne naloge vključujejo izboljšanje vodnega upravljanja, protipoplavne zaščite, povečanje odpornosti energetske infrastrukture </w:t>
      </w:r>
      <w:r w:rsidR="00E51A43">
        <w:rPr>
          <w:rFonts w:ascii="Arial" w:hAnsi="Arial" w:cs="Arial"/>
        </w:rPr>
        <w:t>in</w:t>
      </w:r>
      <w:r w:rsidR="00E51A43" w:rsidRPr="00B8347D">
        <w:rPr>
          <w:rFonts w:ascii="Arial" w:hAnsi="Arial" w:cs="Arial"/>
        </w:rPr>
        <w:t xml:space="preserve"> </w:t>
      </w:r>
      <w:r w:rsidRPr="00B8347D">
        <w:rPr>
          <w:rFonts w:ascii="Arial" w:hAnsi="Arial" w:cs="Arial"/>
        </w:rPr>
        <w:t>spodbujanje trajnostnih kmetijskih praks.</w:t>
      </w:r>
    </w:p>
    <w:p w14:paraId="4DA945A6" w14:textId="63EE1B90" w:rsidR="00B8347D" w:rsidRPr="00B8347D" w:rsidRDefault="00B8347D" w:rsidP="00B8347D">
      <w:pPr>
        <w:jc w:val="both"/>
        <w:rPr>
          <w:rFonts w:ascii="Arial" w:hAnsi="Arial" w:cs="Arial"/>
        </w:rPr>
      </w:pPr>
      <w:r w:rsidRPr="00B8347D">
        <w:rPr>
          <w:rFonts w:ascii="Arial" w:hAnsi="Arial" w:cs="Arial"/>
        </w:rPr>
        <w:lastRenderedPageBreak/>
        <w:t xml:space="preserve">Slovenija se je prav tako zavezala k okrepitvi financiranja ukrepov prilagajanja </w:t>
      </w:r>
      <w:r w:rsidR="00D339DA" w:rsidRPr="00B8347D">
        <w:rPr>
          <w:rFonts w:ascii="Arial" w:hAnsi="Arial" w:cs="Arial"/>
        </w:rPr>
        <w:t>podnebn</w:t>
      </w:r>
      <w:r w:rsidR="00D339DA">
        <w:rPr>
          <w:rFonts w:ascii="Arial" w:hAnsi="Arial" w:cs="Arial"/>
        </w:rPr>
        <w:t>im</w:t>
      </w:r>
      <w:r w:rsidR="00D339DA" w:rsidRPr="00B8347D">
        <w:rPr>
          <w:rFonts w:ascii="Arial" w:hAnsi="Arial" w:cs="Arial"/>
        </w:rPr>
        <w:t xml:space="preserve"> sprememb</w:t>
      </w:r>
      <w:r w:rsidR="00D339DA">
        <w:rPr>
          <w:rFonts w:ascii="Arial" w:hAnsi="Arial" w:cs="Arial"/>
        </w:rPr>
        <w:t>am</w:t>
      </w:r>
      <w:r w:rsidRPr="00B8347D">
        <w:rPr>
          <w:rFonts w:ascii="Arial" w:hAnsi="Arial" w:cs="Arial"/>
        </w:rPr>
        <w:t>. Sredstva iz Sklada za podnebne spremembe so bila v letu 2023 v višini 19 milijonov evrov namenjena prilagajanju, poleg tega pa je vlada sprejela petletni sanacijski program, vreden 2,33 milijarde evrov, za obnovo poškodovane infrastrukture po poplavah leta 2023.</w:t>
      </w:r>
    </w:p>
    <w:p w14:paraId="54E3D242" w14:textId="0816F422" w:rsidR="00B8347D" w:rsidRDefault="00B8347D" w:rsidP="00B8347D">
      <w:pPr>
        <w:jc w:val="both"/>
        <w:rPr>
          <w:rFonts w:ascii="Arial" w:hAnsi="Arial" w:cs="Arial"/>
        </w:rPr>
      </w:pPr>
      <w:r w:rsidRPr="00B8347D">
        <w:rPr>
          <w:rFonts w:ascii="Arial" w:hAnsi="Arial" w:cs="Arial"/>
        </w:rPr>
        <w:t xml:space="preserve">Kljub sprejetim ukrepom ostajajo ključni izzivi pomanjkanje strokovnih kadrov, omejeni finančni viri </w:t>
      </w:r>
      <w:r w:rsidR="00E51A43">
        <w:rPr>
          <w:rFonts w:ascii="Arial" w:hAnsi="Arial" w:cs="Arial"/>
        </w:rPr>
        <w:t>in</w:t>
      </w:r>
      <w:r w:rsidR="00E51A43" w:rsidRPr="00B8347D">
        <w:rPr>
          <w:rFonts w:ascii="Arial" w:hAnsi="Arial" w:cs="Arial"/>
        </w:rPr>
        <w:t xml:space="preserve"> </w:t>
      </w:r>
      <w:r w:rsidRPr="00B8347D">
        <w:rPr>
          <w:rFonts w:ascii="Arial" w:hAnsi="Arial" w:cs="Arial"/>
        </w:rPr>
        <w:t xml:space="preserve">potreba po izboljšanju strateškega načrtovanja na vseh ravneh. Da bi </w:t>
      </w:r>
      <w:r w:rsidR="00492990">
        <w:rPr>
          <w:rFonts w:ascii="Arial" w:hAnsi="Arial" w:cs="Arial"/>
        </w:rPr>
        <w:t xml:space="preserve">Slovenija </w:t>
      </w:r>
      <w:r w:rsidRPr="00B8347D">
        <w:rPr>
          <w:rFonts w:ascii="Arial" w:hAnsi="Arial" w:cs="Arial"/>
        </w:rPr>
        <w:t xml:space="preserve">zagotovila odpornost </w:t>
      </w:r>
      <w:r w:rsidR="00E51A43">
        <w:rPr>
          <w:rFonts w:ascii="Arial" w:hAnsi="Arial" w:cs="Arial"/>
        </w:rPr>
        <w:t>proti</w:t>
      </w:r>
      <w:r w:rsidR="00E51A43" w:rsidRPr="00B8347D">
        <w:rPr>
          <w:rFonts w:ascii="Arial" w:hAnsi="Arial" w:cs="Arial"/>
        </w:rPr>
        <w:t xml:space="preserve"> podnebn</w:t>
      </w:r>
      <w:r w:rsidR="00E51A43">
        <w:rPr>
          <w:rFonts w:ascii="Arial" w:hAnsi="Arial" w:cs="Arial"/>
        </w:rPr>
        <w:t>im</w:t>
      </w:r>
      <w:r w:rsidR="00E51A43" w:rsidRPr="00B8347D">
        <w:rPr>
          <w:rFonts w:ascii="Arial" w:hAnsi="Arial" w:cs="Arial"/>
        </w:rPr>
        <w:t xml:space="preserve"> sprememb</w:t>
      </w:r>
      <w:r w:rsidR="00E51A43">
        <w:rPr>
          <w:rFonts w:ascii="Arial" w:hAnsi="Arial" w:cs="Arial"/>
        </w:rPr>
        <w:t>am</w:t>
      </w:r>
      <w:r w:rsidRPr="00B8347D">
        <w:rPr>
          <w:rFonts w:ascii="Arial" w:hAnsi="Arial" w:cs="Arial"/>
        </w:rPr>
        <w:t xml:space="preserve">, mora okrepiti institucionalno zmogljivost, izboljšati spremljanje podnebnih podatkov ter povečati </w:t>
      </w:r>
      <w:r w:rsidR="00860FE1">
        <w:rPr>
          <w:rFonts w:ascii="Arial" w:hAnsi="Arial" w:cs="Arial"/>
        </w:rPr>
        <w:t xml:space="preserve">povezovanje </w:t>
      </w:r>
      <w:r w:rsidRPr="00B8347D">
        <w:rPr>
          <w:rFonts w:ascii="Arial" w:hAnsi="Arial" w:cs="Arial"/>
        </w:rPr>
        <w:t>med sektorskimi politikami in prilagoditvenimi ukrepi.</w:t>
      </w:r>
    </w:p>
    <w:p w14:paraId="264A9953" w14:textId="77777777" w:rsidR="00B8347D" w:rsidRPr="00B8347D" w:rsidRDefault="00B8347D" w:rsidP="00B8347D">
      <w:pPr>
        <w:jc w:val="both"/>
        <w:rPr>
          <w:rFonts w:ascii="Arial" w:hAnsi="Arial" w:cs="Arial"/>
          <w:b/>
          <w:bCs/>
        </w:rPr>
      </w:pPr>
      <w:r w:rsidRPr="00B8347D">
        <w:rPr>
          <w:rFonts w:ascii="Arial" w:hAnsi="Arial" w:cs="Arial"/>
          <w:b/>
          <w:bCs/>
        </w:rPr>
        <w:t xml:space="preserve">Finančni viri in prenos tehnologij </w:t>
      </w:r>
    </w:p>
    <w:p w14:paraId="78B1C0BE" w14:textId="36D1AFED" w:rsidR="00B8347D" w:rsidRPr="00B8347D" w:rsidRDefault="00B8347D" w:rsidP="00B8347D">
      <w:pPr>
        <w:jc w:val="both"/>
        <w:rPr>
          <w:rFonts w:ascii="Arial" w:hAnsi="Arial" w:cs="Arial"/>
        </w:rPr>
      </w:pPr>
      <w:r w:rsidRPr="00B8347D">
        <w:rPr>
          <w:rFonts w:ascii="Arial" w:hAnsi="Arial" w:cs="Arial"/>
        </w:rPr>
        <w:t xml:space="preserve">Slovenija se, čeprav ni zavezana zagotavljanju finančne podpore državam v razvoju, prostovoljno vključuje v podnebno financiranje. To počne prek nacionalnih politik, ki vključujejo Strategijo mednarodnega razvojnega sodelovanja in humanitarne pomoči, pri čemer sta </w:t>
      </w:r>
      <w:r w:rsidR="00DF2C72">
        <w:rPr>
          <w:rFonts w:ascii="Arial" w:hAnsi="Arial" w:cs="Arial"/>
        </w:rPr>
        <w:t>blaženje</w:t>
      </w:r>
      <w:r w:rsidRPr="00B8347D">
        <w:rPr>
          <w:rFonts w:ascii="Arial" w:hAnsi="Arial" w:cs="Arial"/>
        </w:rPr>
        <w:t xml:space="preserve"> podnebnih sprememb in prilagajanje </w:t>
      </w:r>
      <w:r w:rsidR="00D339DA">
        <w:rPr>
          <w:rFonts w:ascii="Arial" w:hAnsi="Arial" w:cs="Arial"/>
        </w:rPr>
        <w:t xml:space="preserve">tem spremembam </w:t>
      </w:r>
      <w:r w:rsidR="00E51A43">
        <w:rPr>
          <w:rFonts w:ascii="Arial" w:hAnsi="Arial" w:cs="Arial"/>
        </w:rPr>
        <w:t>med</w:t>
      </w:r>
      <w:r w:rsidR="00DA0205">
        <w:rPr>
          <w:rFonts w:ascii="Arial" w:hAnsi="Arial" w:cs="Arial"/>
        </w:rPr>
        <w:t xml:space="preserve"> </w:t>
      </w:r>
      <w:r w:rsidR="00D339DA" w:rsidRPr="00B8347D">
        <w:rPr>
          <w:rFonts w:ascii="Arial" w:hAnsi="Arial" w:cs="Arial"/>
        </w:rPr>
        <w:t>prednostni</w:t>
      </w:r>
      <w:r w:rsidR="00D339DA">
        <w:rPr>
          <w:rFonts w:ascii="Arial" w:hAnsi="Arial" w:cs="Arial"/>
        </w:rPr>
        <w:t>mi</w:t>
      </w:r>
      <w:r w:rsidR="00D339DA" w:rsidRPr="00B8347D">
        <w:rPr>
          <w:rFonts w:ascii="Arial" w:hAnsi="Arial" w:cs="Arial"/>
        </w:rPr>
        <w:t xml:space="preserve"> </w:t>
      </w:r>
      <w:r w:rsidR="00E51A43" w:rsidRPr="00B8347D">
        <w:rPr>
          <w:rFonts w:ascii="Arial" w:hAnsi="Arial" w:cs="Arial"/>
        </w:rPr>
        <w:t>področ</w:t>
      </w:r>
      <w:r w:rsidR="00E51A43">
        <w:rPr>
          <w:rFonts w:ascii="Arial" w:hAnsi="Arial" w:cs="Arial"/>
        </w:rPr>
        <w:t>ji</w:t>
      </w:r>
      <w:r w:rsidRPr="00B8347D">
        <w:rPr>
          <w:rFonts w:ascii="Arial" w:hAnsi="Arial" w:cs="Arial"/>
        </w:rPr>
        <w:t>. Ministrstvo za zunanje in evropske zadeve</w:t>
      </w:r>
      <w:r w:rsidR="001115B9">
        <w:rPr>
          <w:rFonts w:ascii="Arial" w:hAnsi="Arial" w:cs="Arial"/>
        </w:rPr>
        <w:t xml:space="preserve"> Republike Slovenije</w:t>
      </w:r>
      <w:r w:rsidRPr="00B8347D">
        <w:rPr>
          <w:rFonts w:ascii="Arial" w:hAnsi="Arial" w:cs="Arial"/>
        </w:rPr>
        <w:t xml:space="preserve"> (MZEZ) je glavni koordinator razvojne pomoči, medtem ko MOPE skrbi za večstransko podnebno financiranje. Podnebno financiranje poteka prek bilateralnih in multilateralnih kanalov. Leta 2021 je Slovenija zagotovila 4,94 milijona evrov, od tega 31,5 % bilateralno, leta 2022 pa 4,76 milijona evrov, pri čemer se je bilateralno financiranje povečalo na 49,3 %. Sredstva so bila usmerjena v sektorje, kot so energija, voda in sanitarne storitve, gozdarstvo in kmetijstvo. Mobilizacija zasebnega financiranja ostaja izziv, saj večina projektov temelji na javnih sredstvih. Na področju razvoja in prenosa tehnologij Slovenija podpira projekte, ki vključujejo napredne tehnološke rešitve</w:t>
      </w:r>
      <w:r w:rsidR="00E51A43">
        <w:rPr>
          <w:rFonts w:ascii="Arial" w:hAnsi="Arial" w:cs="Arial"/>
        </w:rPr>
        <w:t>,</w:t>
      </w:r>
      <w:r w:rsidRPr="00B8347D">
        <w:rPr>
          <w:rFonts w:ascii="Arial" w:hAnsi="Arial" w:cs="Arial"/>
        </w:rPr>
        <w:t xml:space="preserve"> </w:t>
      </w:r>
      <w:r w:rsidR="00E51A43">
        <w:rPr>
          <w:rFonts w:ascii="Arial" w:hAnsi="Arial" w:cs="Arial"/>
        </w:rPr>
        <w:t>na primer</w:t>
      </w:r>
      <w:r w:rsidRPr="00B8347D">
        <w:rPr>
          <w:rFonts w:ascii="Arial" w:hAnsi="Arial" w:cs="Arial"/>
        </w:rPr>
        <w:t xml:space="preserve"> uporabo satelitskih slik za modeliranje poplav v Indiji in projekte za izboljšanje upravljanja vodnih virov v Ruandi. Slovenija se osredotoča na uporabo tehnologij za trajnostni razvoj in izboljšanje prilagodljivosti </w:t>
      </w:r>
      <w:r w:rsidR="009F0B31" w:rsidRPr="00B8347D">
        <w:rPr>
          <w:rFonts w:ascii="Arial" w:hAnsi="Arial" w:cs="Arial"/>
        </w:rPr>
        <w:t>podnebn</w:t>
      </w:r>
      <w:r w:rsidR="009F0B31">
        <w:rPr>
          <w:rFonts w:ascii="Arial" w:hAnsi="Arial" w:cs="Arial"/>
        </w:rPr>
        <w:t>im</w:t>
      </w:r>
      <w:r w:rsidR="009F0B31" w:rsidRPr="00B8347D">
        <w:rPr>
          <w:rFonts w:ascii="Arial" w:hAnsi="Arial" w:cs="Arial"/>
        </w:rPr>
        <w:t xml:space="preserve"> sprememb</w:t>
      </w:r>
      <w:r w:rsidR="009F0B31">
        <w:rPr>
          <w:rFonts w:ascii="Arial" w:hAnsi="Arial" w:cs="Arial"/>
        </w:rPr>
        <w:t>am</w:t>
      </w:r>
      <w:r w:rsidRPr="00B8347D">
        <w:rPr>
          <w:rFonts w:ascii="Arial" w:hAnsi="Arial" w:cs="Arial"/>
        </w:rPr>
        <w:t>, pri čemer večina podpore poteka v fazah rasti in zrelosti tehnologij.</w:t>
      </w:r>
    </w:p>
    <w:p w14:paraId="2C2968AA" w14:textId="2556E2B4" w:rsidR="0042650C" w:rsidRPr="00B8347D" w:rsidRDefault="00B8347D" w:rsidP="00B8347D">
      <w:pPr>
        <w:jc w:val="both"/>
        <w:rPr>
          <w:rFonts w:ascii="Arial" w:hAnsi="Arial" w:cs="Arial"/>
        </w:rPr>
      </w:pPr>
      <w:r w:rsidRPr="00B8347D">
        <w:rPr>
          <w:rFonts w:ascii="Arial" w:hAnsi="Arial" w:cs="Arial"/>
        </w:rPr>
        <w:t>Na področju krepitve zmogljivosti Slovenija financira projekte za razvoj znanj in spretnosti v partnerskih državah. Projekti vključujejo usposabljanja za trajnostno upravljanje naravnih virov, izboljšanje kmetijskih praks in razvoj poslovnih modelov. Pri tem sodelujejo tako javni kot zasebni sektorji, vendar so mehanizmi za sledenje učinko</w:t>
      </w:r>
      <w:r w:rsidR="009F0B31">
        <w:rPr>
          <w:rFonts w:ascii="Arial" w:hAnsi="Arial" w:cs="Arial"/>
        </w:rPr>
        <w:t>m</w:t>
      </w:r>
      <w:r w:rsidRPr="00B8347D">
        <w:rPr>
          <w:rFonts w:ascii="Arial" w:hAnsi="Arial" w:cs="Arial"/>
        </w:rPr>
        <w:t xml:space="preserve"> teh aktivnosti še vedno v razvoju. Slovenija povečuje svojo angažiranost v podnebnem financiranju in sodeluje v večstranskih organizacijah, kot so Svetovna banka, Globalni okoljski sklad (GEF) in Organizacija Združenih narodov za prehrano in kmetijstvo (FAO). S temi sredstvi podpira prilagajanje podnebnim spremembam, izboljšanje energetske učinkovitosti in razvoj trajnostnih tehnologij. Slovenija se bo v prihodnosti osredotočala na večjo mobilizacijo zasebnih sredstev, izboljšanje sistemov za spremljanje učinkov financiranja in krepitev regionalnega sodelovanja pri podnebnih projektih.</w:t>
      </w:r>
      <w:r w:rsidR="0042650C" w:rsidRPr="00B8347D">
        <w:rPr>
          <w:rFonts w:ascii="Arial" w:hAnsi="Arial" w:cs="Arial"/>
        </w:rPr>
        <w:br w:type="page"/>
      </w:r>
    </w:p>
    <w:p w14:paraId="024FC4BC" w14:textId="77777777" w:rsidR="00167EB3" w:rsidRPr="00581773" w:rsidRDefault="00167EB3" w:rsidP="00167EB3">
      <w:pPr>
        <w:pStyle w:val="Heading1"/>
      </w:pPr>
      <w:bookmarkStart w:id="3" w:name="_Toc192499392"/>
      <w:bookmarkStart w:id="4" w:name="_Toc196300790"/>
      <w:bookmarkStart w:id="5" w:name="_Hlk191038112"/>
      <w:r w:rsidRPr="00581773">
        <w:lastRenderedPageBreak/>
        <w:t>I Nacionalno poročilo o evidencah antropogenih emisij toplogrednih plinov po virih in odvzemov po ponorih</w:t>
      </w:r>
      <w:bookmarkEnd w:id="3"/>
      <w:bookmarkEnd w:id="4"/>
    </w:p>
    <w:bookmarkEnd w:id="5"/>
    <w:p w14:paraId="268E7CB3" w14:textId="77777777" w:rsidR="0042650C" w:rsidRPr="00581773" w:rsidRDefault="0042650C" w:rsidP="0042650C"/>
    <w:p w14:paraId="593EE0B3" w14:textId="77777777" w:rsidR="001C4609" w:rsidRPr="00581773" w:rsidRDefault="001C4609" w:rsidP="001C4609">
      <w:pPr>
        <w:jc w:val="both"/>
        <w:rPr>
          <w:rFonts w:ascii="Arial" w:eastAsia="Times New Roman" w:hAnsi="Arial" w:cs="Arial"/>
          <w:lang w:eastAsia="sl-SI"/>
        </w:rPr>
      </w:pPr>
      <w:r w:rsidRPr="00581773">
        <w:rPr>
          <w:rFonts w:ascii="Arial" w:eastAsia="Times New Roman" w:hAnsi="Arial" w:cs="Arial"/>
          <w:lang w:eastAsia="sl-SI"/>
        </w:rPr>
        <w:t>Nacionalno poročilo o evidencah antropogenih emisij toplogrednih plinov po virih in odvzemov po ponorih je bilo oddano posebej in je dostopno na spletni strani Okvirne konvencije Združenih narodov o spremembi podnebja (UNFCCC) (NID z dodatki in CRT).</w:t>
      </w:r>
      <w:r w:rsidRPr="00581773">
        <w:rPr>
          <w:rStyle w:val="FootnoteReference"/>
          <w:rFonts w:ascii="Arial" w:eastAsia="Times New Roman" w:hAnsi="Arial" w:cs="Arial"/>
          <w:lang w:eastAsia="sl-SI"/>
        </w:rPr>
        <w:footnoteReference w:id="1"/>
      </w:r>
      <w:r w:rsidRPr="00581773">
        <w:rPr>
          <w:rFonts w:ascii="Arial" w:eastAsia="Times New Roman" w:hAnsi="Arial" w:cs="Arial"/>
          <w:lang w:eastAsia="sl-SI"/>
        </w:rPr>
        <w:t xml:space="preserve"> </w:t>
      </w:r>
    </w:p>
    <w:p w14:paraId="5468F267" w14:textId="77777777" w:rsidR="0042650C" w:rsidRPr="00A57F7D" w:rsidRDefault="0042650C" w:rsidP="0042650C">
      <w:pPr>
        <w:rPr>
          <w:highlight w:val="yellow"/>
        </w:rPr>
      </w:pPr>
    </w:p>
    <w:p w14:paraId="7606DF5C" w14:textId="77777777" w:rsidR="0042650C" w:rsidRPr="00A57F7D" w:rsidRDefault="0042650C" w:rsidP="0042650C">
      <w:pPr>
        <w:rPr>
          <w:highlight w:val="yellow"/>
        </w:rPr>
      </w:pPr>
    </w:p>
    <w:p w14:paraId="0E2537A2" w14:textId="77777777" w:rsidR="0042650C" w:rsidRPr="00A57F7D" w:rsidRDefault="0042650C" w:rsidP="0042650C">
      <w:pPr>
        <w:rPr>
          <w:highlight w:val="yellow"/>
        </w:rPr>
      </w:pPr>
    </w:p>
    <w:p w14:paraId="15B06F93" w14:textId="77777777" w:rsidR="0042650C" w:rsidRPr="00A57F7D" w:rsidRDefault="0042650C" w:rsidP="0042650C">
      <w:pPr>
        <w:rPr>
          <w:highlight w:val="yellow"/>
        </w:rPr>
      </w:pPr>
    </w:p>
    <w:p w14:paraId="035D2B2B" w14:textId="77777777" w:rsidR="001C4609" w:rsidRPr="00A57F7D" w:rsidRDefault="001C4609" w:rsidP="0042650C">
      <w:pPr>
        <w:rPr>
          <w:highlight w:val="yellow"/>
        </w:rPr>
      </w:pPr>
    </w:p>
    <w:p w14:paraId="4C73ED37" w14:textId="77777777" w:rsidR="001C4609" w:rsidRPr="00A57F7D" w:rsidRDefault="001C4609" w:rsidP="0042650C">
      <w:pPr>
        <w:rPr>
          <w:highlight w:val="yellow"/>
        </w:rPr>
      </w:pPr>
    </w:p>
    <w:p w14:paraId="05C19CFF" w14:textId="77777777" w:rsidR="001C4609" w:rsidRPr="00A57F7D" w:rsidRDefault="001C4609" w:rsidP="0042650C">
      <w:pPr>
        <w:rPr>
          <w:highlight w:val="yellow"/>
        </w:rPr>
      </w:pPr>
    </w:p>
    <w:p w14:paraId="640E6D1F" w14:textId="77777777" w:rsidR="001C4609" w:rsidRPr="00A57F7D" w:rsidRDefault="001C4609" w:rsidP="0042650C">
      <w:pPr>
        <w:rPr>
          <w:highlight w:val="yellow"/>
        </w:rPr>
      </w:pPr>
    </w:p>
    <w:p w14:paraId="1279EA77" w14:textId="77777777" w:rsidR="001C4609" w:rsidRPr="00A57F7D" w:rsidRDefault="001C4609" w:rsidP="0042650C">
      <w:pPr>
        <w:rPr>
          <w:highlight w:val="yellow"/>
        </w:rPr>
      </w:pPr>
    </w:p>
    <w:p w14:paraId="179C4B69" w14:textId="77777777" w:rsidR="001C4609" w:rsidRPr="00A57F7D" w:rsidRDefault="001C4609" w:rsidP="0042650C">
      <w:pPr>
        <w:rPr>
          <w:highlight w:val="yellow"/>
        </w:rPr>
      </w:pPr>
    </w:p>
    <w:p w14:paraId="10EBC5B6" w14:textId="77777777" w:rsidR="001C4609" w:rsidRPr="00A57F7D" w:rsidRDefault="001C4609" w:rsidP="0042650C">
      <w:pPr>
        <w:rPr>
          <w:highlight w:val="yellow"/>
        </w:rPr>
      </w:pPr>
    </w:p>
    <w:p w14:paraId="3BD77EC5" w14:textId="77777777" w:rsidR="001C4609" w:rsidRPr="00A57F7D" w:rsidRDefault="001C4609" w:rsidP="0042650C">
      <w:pPr>
        <w:rPr>
          <w:highlight w:val="yellow"/>
        </w:rPr>
      </w:pPr>
    </w:p>
    <w:p w14:paraId="5B094A7C" w14:textId="77777777" w:rsidR="001C4609" w:rsidRPr="00A57F7D" w:rsidRDefault="001C4609" w:rsidP="0042650C">
      <w:pPr>
        <w:rPr>
          <w:highlight w:val="yellow"/>
        </w:rPr>
      </w:pPr>
    </w:p>
    <w:p w14:paraId="2E140C88" w14:textId="77777777" w:rsidR="001C4609" w:rsidRPr="00A57F7D" w:rsidRDefault="001C4609" w:rsidP="0042650C">
      <w:pPr>
        <w:rPr>
          <w:highlight w:val="yellow"/>
        </w:rPr>
      </w:pPr>
    </w:p>
    <w:p w14:paraId="51E6302E" w14:textId="77777777" w:rsidR="001C4609" w:rsidRPr="00A57F7D" w:rsidRDefault="001C4609" w:rsidP="0042650C">
      <w:pPr>
        <w:rPr>
          <w:highlight w:val="yellow"/>
        </w:rPr>
      </w:pPr>
    </w:p>
    <w:p w14:paraId="714E4AA1" w14:textId="77777777" w:rsidR="001C4609" w:rsidRPr="00A57F7D" w:rsidRDefault="001C4609" w:rsidP="0042650C">
      <w:pPr>
        <w:rPr>
          <w:highlight w:val="yellow"/>
        </w:rPr>
      </w:pPr>
    </w:p>
    <w:p w14:paraId="72A39BE0" w14:textId="77777777" w:rsidR="001C4609" w:rsidRPr="00A57F7D" w:rsidRDefault="001C4609" w:rsidP="0042650C">
      <w:pPr>
        <w:rPr>
          <w:highlight w:val="yellow"/>
        </w:rPr>
      </w:pPr>
    </w:p>
    <w:p w14:paraId="51A32BB0" w14:textId="77777777" w:rsidR="001C4609" w:rsidRPr="00A57F7D" w:rsidRDefault="001C4609" w:rsidP="0042650C">
      <w:pPr>
        <w:rPr>
          <w:highlight w:val="yellow"/>
        </w:rPr>
      </w:pPr>
    </w:p>
    <w:p w14:paraId="6FA23D20" w14:textId="77777777" w:rsidR="001C4609" w:rsidRPr="00A57F7D" w:rsidRDefault="001C4609" w:rsidP="0042650C">
      <w:pPr>
        <w:rPr>
          <w:highlight w:val="yellow"/>
        </w:rPr>
      </w:pPr>
    </w:p>
    <w:p w14:paraId="1DAA4D6D" w14:textId="77777777" w:rsidR="00167EB3" w:rsidRPr="00581773" w:rsidRDefault="00167EB3" w:rsidP="00167EB3">
      <w:pPr>
        <w:pStyle w:val="Heading1"/>
        <w:jc w:val="both"/>
      </w:pPr>
      <w:bookmarkStart w:id="6" w:name="_Toc192499393"/>
      <w:bookmarkStart w:id="7" w:name="_Toc196300791"/>
      <w:r w:rsidRPr="00581773">
        <w:lastRenderedPageBreak/>
        <w:t>II Informacije, potrebne za spremljanje napredka pri izvajanju in doseganju nacionalno določenih prispevkov v skladu s 4. členom Pariškega sporazuma</w:t>
      </w:r>
      <w:bookmarkEnd w:id="6"/>
      <w:bookmarkEnd w:id="7"/>
    </w:p>
    <w:p w14:paraId="58126C25" w14:textId="77777777" w:rsidR="0042650C" w:rsidRPr="00581773" w:rsidRDefault="0042650C" w:rsidP="0042650C"/>
    <w:p w14:paraId="09BDE138" w14:textId="77777777" w:rsidR="001C4609" w:rsidRPr="00581773" w:rsidRDefault="001C4609" w:rsidP="001C4609">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eastAsiaTheme="majorEastAsia"/>
          <w:b w:val="0"/>
          <w:bCs w:val="0"/>
          <w:sz w:val="20"/>
          <w:szCs w:val="20"/>
        </w:rPr>
        <w:t>59.</w:t>
      </w:r>
      <w:r w:rsidRPr="00581773">
        <w:rPr>
          <w:rFonts w:ascii="Arial" w:hAnsi="Arial" w:cs="Arial"/>
          <w:sz w:val="20"/>
          <w:szCs w:val="20"/>
        </w:rPr>
        <w:t xml:space="preserve"> Vsaka pogodbenica mora opisati svoje nacionalne okoliščine, ki so pomembne za napredek pri izvajanju in doseganju svojega nacionalnega določenega prispevka (NDC) v skladu s 4. členom Pariškega sporazuma, vključno s strukturo vlade, profilom prebivalstva, geografskim profilom, gospodarskim profilom, podnebnim profilom ter podrobnostmi po sektorjih (energija, promet, industrija, kmetijstvo, LULUCF (raba zemljišč, sprememba rabe zemljišč in gozdarstvo), odpadki).</w:t>
      </w:r>
    </w:p>
    <w:p w14:paraId="669EFD42" w14:textId="1B99627D" w:rsidR="001C4609" w:rsidRPr="00581773" w:rsidRDefault="001C4609" w:rsidP="001C4609">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eastAsiaTheme="majorEastAsia"/>
          <w:b w:val="0"/>
          <w:bCs w:val="0"/>
          <w:sz w:val="20"/>
          <w:szCs w:val="20"/>
        </w:rPr>
        <w:t>60.</w:t>
      </w:r>
      <w:r w:rsidRPr="00581773">
        <w:rPr>
          <w:rFonts w:ascii="Arial" w:hAnsi="Arial" w:cs="Arial"/>
          <w:sz w:val="20"/>
          <w:szCs w:val="20"/>
        </w:rPr>
        <w:t xml:space="preserve"> Vsaka pogodbenica mora zagotoviti informacije o tem, kako njene nacionalne okoliščine vplivajo na emisije toplogrednih plinov in ponore skozi čas.</w:t>
      </w:r>
    </w:p>
    <w:p w14:paraId="7CDD05E8" w14:textId="77777777" w:rsidR="00167EB3" w:rsidRPr="00581773" w:rsidRDefault="00167EB3" w:rsidP="00167EB3">
      <w:pPr>
        <w:pStyle w:val="Heading2"/>
      </w:pPr>
      <w:bookmarkStart w:id="8" w:name="_Toc192499394"/>
      <w:bookmarkStart w:id="9" w:name="_Toc196300792"/>
      <w:r w:rsidRPr="00581773">
        <w:t>II.A Nacionalne okoliščine in institucionalne ureditve</w:t>
      </w:r>
      <w:bookmarkEnd w:id="8"/>
      <w:bookmarkEnd w:id="9"/>
      <w:r w:rsidRPr="00581773">
        <w:t xml:space="preserve"> </w:t>
      </w:r>
    </w:p>
    <w:p w14:paraId="44BDBB3B" w14:textId="77777777" w:rsidR="00167EB3" w:rsidRPr="00581773" w:rsidRDefault="00167EB3" w:rsidP="00167EB3">
      <w:pPr>
        <w:pStyle w:val="Heading3"/>
      </w:pPr>
      <w:bookmarkStart w:id="10" w:name="_Toc192499395"/>
      <w:bookmarkStart w:id="11" w:name="_Toc196300793"/>
      <w:bookmarkStart w:id="12" w:name="_Hlk120799474"/>
      <w:r w:rsidRPr="00581773">
        <w:t>II.A.1 Državna ureditev</w:t>
      </w:r>
      <w:bookmarkEnd w:id="10"/>
      <w:bookmarkEnd w:id="11"/>
    </w:p>
    <w:p w14:paraId="2151012D" w14:textId="77777777" w:rsidR="001C4609" w:rsidRPr="00581773" w:rsidRDefault="001C4609" w:rsidP="001C4609">
      <w:pPr>
        <w:spacing w:after="120" w:line="245" w:lineRule="auto"/>
        <w:jc w:val="both"/>
        <w:rPr>
          <w:rFonts w:ascii="Arial" w:eastAsia="Calibri" w:hAnsi="Arial" w:cs="Arial"/>
          <w:noProof/>
          <w:szCs w:val="20"/>
          <w:lang w:eastAsia="sl-SI"/>
        </w:rPr>
      </w:pPr>
      <w:r w:rsidRPr="00581773">
        <w:rPr>
          <w:rFonts w:ascii="Arial" w:eastAsia="Calibri" w:hAnsi="Arial" w:cs="Arial"/>
          <w:noProof/>
          <w:szCs w:val="20"/>
          <w:lang w:eastAsia="sl-SI"/>
        </w:rPr>
        <w:t xml:space="preserve">Slovenija je po politični ureditvi parlamentarna demokracija. </w:t>
      </w:r>
      <w:bookmarkEnd w:id="12"/>
      <w:r w:rsidRPr="00581773">
        <w:rPr>
          <w:rFonts w:ascii="Arial" w:eastAsia="Calibri" w:hAnsi="Arial" w:cs="Arial"/>
          <w:noProof/>
          <w:szCs w:val="20"/>
          <w:lang w:eastAsia="sl-SI"/>
        </w:rPr>
        <w:t xml:space="preserve">Predsednik države je izvoljen na neposrednih volitvah za največ dve petletni mandatni obdobji. Državni zbor Republike Slovenije, ki je najvišji zakonodajni organ, sestavlja 90 poslancev, ki so izvoljeni za obdobje štirih let. Vlado oblikuje predsednik vlade; aktualno vlado sestavlja 17 ministrov, od teh so trije brez resorja. </w:t>
      </w:r>
      <w:bookmarkStart w:id="13" w:name="_Hlk120799484"/>
      <w:r w:rsidRPr="00581773">
        <w:rPr>
          <w:rFonts w:ascii="Arial" w:eastAsia="Calibri" w:hAnsi="Arial" w:cs="Arial"/>
          <w:noProof/>
          <w:szCs w:val="20"/>
          <w:lang w:eastAsia="sl-SI"/>
        </w:rPr>
        <w:t>Od 1. maja 2004 je Slovenija članica Evropske unije.</w:t>
      </w:r>
      <w:bookmarkEnd w:id="13"/>
    </w:p>
    <w:p w14:paraId="3BA6D3EB" w14:textId="51B76F08" w:rsidR="001C4609" w:rsidRPr="00581773" w:rsidRDefault="001C4609" w:rsidP="001C4609">
      <w:pPr>
        <w:spacing w:after="120" w:line="245" w:lineRule="auto"/>
        <w:jc w:val="both"/>
        <w:rPr>
          <w:rFonts w:ascii="Arial" w:eastAsia="Calibri" w:hAnsi="Arial" w:cs="Arial"/>
          <w:noProof/>
          <w:szCs w:val="20"/>
          <w:lang w:eastAsia="sl-SI"/>
        </w:rPr>
      </w:pPr>
      <w:r w:rsidRPr="00581773">
        <w:rPr>
          <w:rFonts w:ascii="Arial" w:eastAsia="Calibri" w:hAnsi="Arial" w:cs="Arial"/>
          <w:noProof/>
          <w:szCs w:val="20"/>
          <w:lang w:eastAsia="sl-SI"/>
        </w:rPr>
        <w:t>V skladu z Zakonom o vladi je za politiko in ukrepe na področju podnebnih sprememb pristojno</w:t>
      </w:r>
      <w:r w:rsidR="00EF35F6" w:rsidRPr="00581773">
        <w:rPr>
          <w:rFonts w:ascii="Arial" w:eastAsia="Calibri" w:hAnsi="Arial" w:cs="Arial"/>
          <w:noProof/>
          <w:szCs w:val="20"/>
          <w:lang w:eastAsia="sl-SI"/>
        </w:rPr>
        <w:t xml:space="preserve"> MOPE</w:t>
      </w:r>
      <w:r w:rsidRPr="00581773">
        <w:rPr>
          <w:rFonts w:ascii="Arial" w:eastAsia="Calibri" w:hAnsi="Arial" w:cs="Arial"/>
          <w:noProof/>
          <w:szCs w:val="20"/>
          <w:lang w:eastAsia="sl-SI"/>
        </w:rPr>
        <w:t xml:space="preserve">. MOPE tudi koordinira pripravo ukrepov za izvajanje podnebne politike skupaj z drugimi s tem povezanimi resorji, predvsem s prometom, kmetijstvom in naravo ter prostorom. Prav tako MOPE pripravlja poročila za področje podnebnih vsebin, tako na ravni EU kot na ravni ZN, za kar od ustreznih resorjev pridobi vhodne podatke in dokumente. </w:t>
      </w:r>
      <w:bookmarkStart w:id="14" w:name="_Hlk120799537"/>
      <w:r w:rsidRPr="00581773">
        <w:rPr>
          <w:rFonts w:ascii="Arial" w:eastAsia="Calibri" w:hAnsi="Arial" w:cs="Arial"/>
          <w:noProof/>
          <w:szCs w:val="20"/>
          <w:lang w:eastAsia="sl-SI"/>
        </w:rPr>
        <w:t>Priprava evidenc emisij in poročanje o njih je naloga Agencije Republike Slovenije za okolje (ARSO), ki je organ v sestavi MOPE.</w:t>
      </w:r>
      <w:bookmarkEnd w:id="14"/>
      <w:r w:rsidRPr="00581773">
        <w:rPr>
          <w:rFonts w:ascii="Arial" w:eastAsia="Calibri" w:hAnsi="Arial" w:cs="Arial"/>
          <w:noProof/>
          <w:szCs w:val="20"/>
          <w:lang w:eastAsia="sl-SI"/>
        </w:rPr>
        <w:t xml:space="preserve"> ARSO skrbi tudi za register emisijskih kuponov in za </w:t>
      </w:r>
      <w:r w:rsidR="0083219B" w:rsidRPr="00581773">
        <w:rPr>
          <w:rFonts w:ascii="Arial" w:eastAsia="Calibri" w:hAnsi="Arial" w:cs="Arial"/>
          <w:noProof/>
          <w:szCs w:val="20"/>
          <w:lang w:eastAsia="sl-SI"/>
        </w:rPr>
        <w:t>kazalce</w:t>
      </w:r>
      <w:r w:rsidRPr="00581773">
        <w:rPr>
          <w:rFonts w:ascii="Arial" w:eastAsia="Calibri" w:hAnsi="Arial" w:cs="Arial"/>
          <w:noProof/>
          <w:szCs w:val="20"/>
          <w:lang w:eastAsia="sl-SI"/>
        </w:rPr>
        <w:t xml:space="preserve"> okolja, vključno s </w:t>
      </w:r>
      <w:r w:rsidR="0083219B" w:rsidRPr="00581773">
        <w:rPr>
          <w:rFonts w:ascii="Arial" w:eastAsia="Calibri" w:hAnsi="Arial" w:cs="Arial"/>
          <w:noProof/>
          <w:szCs w:val="20"/>
          <w:lang w:eastAsia="sl-SI"/>
        </w:rPr>
        <w:t>kazalci</w:t>
      </w:r>
      <w:r w:rsidRPr="00581773">
        <w:rPr>
          <w:rFonts w:ascii="Arial" w:eastAsia="Calibri" w:hAnsi="Arial" w:cs="Arial"/>
          <w:noProof/>
          <w:szCs w:val="20"/>
          <w:lang w:eastAsia="sl-SI"/>
        </w:rPr>
        <w:t xml:space="preserve"> na področju podnebnih sprememb. </w:t>
      </w:r>
    </w:p>
    <w:p w14:paraId="2800F9E2" w14:textId="60FC2FCF" w:rsidR="0042650C" w:rsidRPr="00581773" w:rsidRDefault="001C4609" w:rsidP="001C4609">
      <w:pPr>
        <w:spacing w:after="120" w:line="245" w:lineRule="auto"/>
        <w:jc w:val="both"/>
        <w:rPr>
          <w:rFonts w:ascii="Arial" w:eastAsia="Calibri" w:hAnsi="Arial" w:cs="Arial"/>
          <w:noProof/>
          <w:szCs w:val="20"/>
          <w:lang w:eastAsia="sl-SI"/>
        </w:rPr>
      </w:pPr>
      <w:bookmarkStart w:id="15" w:name="_Hlk120799551"/>
      <w:r w:rsidRPr="00581773">
        <w:rPr>
          <w:rFonts w:ascii="Arial" w:eastAsia="Calibri" w:hAnsi="Arial" w:cs="Arial"/>
          <w:noProof/>
          <w:szCs w:val="20"/>
          <w:lang w:eastAsia="sl-SI"/>
        </w:rPr>
        <w:t>V Sloveniji je 212 občin, ki so temeljne lokalne skupnosti,</w:t>
      </w:r>
      <w:bookmarkEnd w:id="15"/>
      <w:r w:rsidRPr="00581773">
        <w:rPr>
          <w:rFonts w:ascii="Arial" w:eastAsia="Calibri" w:hAnsi="Arial" w:cs="Arial"/>
          <w:noProof/>
          <w:szCs w:val="20"/>
          <w:lang w:eastAsia="sl-SI"/>
        </w:rPr>
        <w:t xml:space="preserve"> od tega jih ima 12 status mestne občine. Občine imajo lastno lokalno upravo in proračun. Občinske pristojnosti na področju zmanjševanja emisij toplogrednih plinov so povezane z načrtovanjem prostorskega razvoja, urejanjem lokalnega in javnega prometa (pripravo </w:t>
      </w:r>
      <w:r w:rsidR="00716115" w:rsidRPr="00581773">
        <w:rPr>
          <w:rFonts w:ascii="Arial" w:eastAsia="Calibri" w:hAnsi="Arial" w:cs="Arial"/>
          <w:noProof/>
          <w:szCs w:val="20"/>
          <w:lang w:eastAsia="sl-SI"/>
        </w:rPr>
        <w:t xml:space="preserve">lokalnih prometnih </w:t>
      </w:r>
      <w:r w:rsidRPr="00581773">
        <w:rPr>
          <w:rFonts w:ascii="Arial" w:eastAsia="Calibri" w:hAnsi="Arial" w:cs="Arial"/>
          <w:noProof/>
          <w:szCs w:val="20"/>
          <w:lang w:eastAsia="sl-SI"/>
        </w:rPr>
        <w:t xml:space="preserve">strategij), pripravo lokalnih energetskih zasnov (lokalnih energetskih načrtov) ter zbiranjem in odlaganjem odpadkov. </w:t>
      </w:r>
    </w:p>
    <w:p w14:paraId="4D34A18A" w14:textId="4FB925D2" w:rsidR="0042650C" w:rsidRPr="00581773" w:rsidRDefault="0042650C" w:rsidP="0042650C">
      <w:pPr>
        <w:pStyle w:val="Heading3"/>
      </w:pPr>
      <w:bookmarkStart w:id="16" w:name="_Toc196300794"/>
      <w:r w:rsidRPr="00581773">
        <w:t>II.A.2 Prebivalstvo</w:t>
      </w:r>
      <w:bookmarkEnd w:id="16"/>
    </w:p>
    <w:p w14:paraId="4068BD98" w14:textId="77777777" w:rsidR="001C4609" w:rsidRPr="00581773" w:rsidRDefault="001C4609" w:rsidP="001C4609">
      <w:pPr>
        <w:spacing w:after="120" w:line="245" w:lineRule="auto"/>
        <w:jc w:val="both"/>
        <w:rPr>
          <w:rFonts w:ascii="Arial" w:eastAsia="Calibri" w:hAnsi="Arial" w:cs="Arial"/>
          <w:noProof/>
          <w:szCs w:val="20"/>
          <w:lang w:eastAsia="sl-SI"/>
        </w:rPr>
      </w:pPr>
      <w:r w:rsidRPr="00581773">
        <w:rPr>
          <w:rFonts w:ascii="Arial" w:eastAsia="Calibri" w:hAnsi="Arial" w:cs="Arial"/>
          <w:noProof/>
          <w:szCs w:val="20"/>
          <w:lang w:eastAsia="sl-SI"/>
        </w:rPr>
        <w:t>V začetku leta 2023 je v Sloveniji živelo 2.116.972 prebivalcev. Število prebivalcev se je v tem letu povečalo za približno 7000, čeprav je bil naravni prirast že sedmo leto zapored negativen (–4551 prebivalcev). Skupna rast prebivalstva je bila posledica visokega selitvenega prirasta (11.500). Tujci so 1. januarja 2023 sestavljali 9 % prebivalstva.</w:t>
      </w:r>
    </w:p>
    <w:p w14:paraId="0D3E347B" w14:textId="77777777" w:rsidR="001C4609" w:rsidRPr="00581773" w:rsidRDefault="001C4609" w:rsidP="001C4609">
      <w:pPr>
        <w:spacing w:after="120" w:line="245" w:lineRule="auto"/>
        <w:jc w:val="both"/>
        <w:rPr>
          <w:rFonts w:ascii="Arial" w:eastAsia="Calibri" w:hAnsi="Arial" w:cs="Arial"/>
          <w:noProof/>
          <w:szCs w:val="20"/>
          <w:lang w:eastAsia="sl-SI"/>
        </w:rPr>
      </w:pPr>
      <w:r w:rsidRPr="00581773">
        <w:rPr>
          <w:rFonts w:ascii="Arial" w:eastAsia="Calibri" w:hAnsi="Arial" w:cs="Arial"/>
          <w:noProof/>
          <w:szCs w:val="20"/>
          <w:lang w:eastAsia="sl-SI"/>
        </w:rPr>
        <w:t xml:space="preserve">Slovenija je v začetku leta 2022 ugotovila majhen upad števila prebivalcev, predvsem zaradi visokega števila smrti zaradi epidemije covida-19 v letih 2020 in 2021. V zadnjih štirih desetletjih se je povprečna starost prebivalcev Slovenije povečala za 10 let – s 34,4 leta v začetku leta 1982 na 44 let v začetku leta 2023. V glavnem mestu Ljubljana je na začetku leta 2024 živelo 297.575 prebivalcev, gostota poselitve pa je znašala 1082 prebivalca na km².  </w:t>
      </w:r>
    </w:p>
    <w:p w14:paraId="2670185E" w14:textId="77777777" w:rsidR="001C4609" w:rsidRPr="00581773" w:rsidRDefault="001C4609" w:rsidP="001C4609">
      <w:pPr>
        <w:spacing w:after="120" w:line="245" w:lineRule="auto"/>
        <w:jc w:val="both"/>
        <w:rPr>
          <w:rFonts w:ascii="Arial" w:eastAsia="Calibri" w:hAnsi="Arial" w:cs="Arial"/>
          <w:noProof/>
          <w:szCs w:val="20"/>
          <w:lang w:eastAsia="sl-SI"/>
        </w:rPr>
      </w:pPr>
      <w:r w:rsidRPr="00581773">
        <w:rPr>
          <w:rFonts w:ascii="Arial" w:eastAsia="Calibri" w:hAnsi="Arial" w:cs="Arial"/>
          <w:noProof/>
          <w:szCs w:val="20"/>
          <w:lang w:eastAsia="sl-SI"/>
        </w:rPr>
        <w:lastRenderedPageBreak/>
        <w:t xml:space="preserve">Glede na projekcije prebivalstva EUROPOP2023 naj bi se število prebivalcev Slovenije do leta 2026 še povečevalo, nato pa naj bi se v naslednjih 20 letih pričakovano zmanjševalo. Po napovedih naj bi 1. januarja 2100 Slovenija imela 1.950.820 prebivalcev, kar je za 156.000 manj kot leta 2022. </w:t>
      </w:r>
    </w:p>
    <w:p w14:paraId="049E829C" w14:textId="7D3469AB" w:rsidR="0042650C" w:rsidRPr="00581773" w:rsidRDefault="001C4609" w:rsidP="001C4609">
      <w:pPr>
        <w:spacing w:after="120" w:line="245" w:lineRule="auto"/>
        <w:jc w:val="both"/>
        <w:rPr>
          <w:rFonts w:ascii="Arial" w:eastAsia="Calibri" w:hAnsi="Arial" w:cs="Arial"/>
          <w:szCs w:val="20"/>
          <w:lang w:eastAsia="sl-SI"/>
        </w:rPr>
      </w:pPr>
      <w:r w:rsidRPr="00581773">
        <w:rPr>
          <w:rFonts w:ascii="Arial" w:eastAsia="Calibri" w:hAnsi="Arial" w:cs="Arial"/>
          <w:noProof/>
          <w:szCs w:val="20"/>
          <w:lang w:eastAsia="sl-SI"/>
        </w:rPr>
        <w:t xml:space="preserve">Rodnost naj bi se v prihodnosti nekoliko povečala, vendar bo zaradi manjšega števila žensk v rodni dobi število novorojenčkov še vedno nižje. Pričakovana življenjska doba naj bi se še naprej podaljševala – moški naj bi živeli 89,4 leta, ženske pa 93,3 leta. To bo vplivalo na nadaljnjo povečevanje deleža starejših prebivalcev, saj naj bi prebivalci, stari 65 let ali več, leta 2100 sestavljali 32,1 % prebivalcev Slovenije (leta 2022 so sestavljali 21,1 %). Mladi (stari od 0 do 19 let) naj bi leta 2100 sestavljali 17,7 % prebivalstva. </w:t>
      </w:r>
    </w:p>
    <w:p w14:paraId="1E2D3006" w14:textId="63C7FE7F" w:rsidR="0042650C" w:rsidRPr="00581773" w:rsidRDefault="0042650C" w:rsidP="0042650C">
      <w:pPr>
        <w:pStyle w:val="Heading3"/>
      </w:pPr>
      <w:bookmarkStart w:id="17" w:name="_Toc196300795"/>
      <w:r w:rsidRPr="00581773">
        <w:t>II.A.3 Geografski profil</w:t>
      </w:r>
      <w:bookmarkEnd w:id="17"/>
    </w:p>
    <w:p w14:paraId="77893D31" w14:textId="77777777" w:rsidR="001C4609" w:rsidRPr="00581773" w:rsidRDefault="001C4609" w:rsidP="001C4609">
      <w:pPr>
        <w:spacing w:line="245" w:lineRule="auto"/>
        <w:jc w:val="both"/>
        <w:rPr>
          <w:rFonts w:ascii="Arial" w:eastAsia="Calibri" w:hAnsi="Arial" w:cs="Arial"/>
          <w:noProof/>
        </w:rPr>
      </w:pPr>
      <w:r w:rsidRPr="00581773">
        <w:rPr>
          <w:rFonts w:ascii="Arial" w:eastAsia="Calibri" w:hAnsi="Arial" w:cs="Arial"/>
          <w:noProof/>
        </w:rPr>
        <w:t>Slovenija leži v srednji Evropi z geografskimi koordinatami okrog 46° severne zemljepisne širine in 15° vzhodne zemljepisne dolžine. Površina njenega ozemlja je 20.273 km</w:t>
      </w:r>
      <w:r w:rsidRPr="00581773">
        <w:rPr>
          <w:rFonts w:ascii="Arial" w:eastAsia="Calibri" w:hAnsi="Arial" w:cs="Arial"/>
          <w:noProof/>
          <w:vertAlign w:val="superscript"/>
        </w:rPr>
        <w:t>2</w:t>
      </w:r>
      <w:r w:rsidRPr="00581773">
        <w:rPr>
          <w:rFonts w:ascii="Arial" w:eastAsia="Calibri" w:hAnsi="Arial" w:cs="Arial"/>
          <w:noProof/>
        </w:rPr>
        <w:t xml:space="preserve">. Meji na Italijo, Avstrijo, Madžarsko in Hrvaško, s katero ima najdaljšo državno mejo. </w:t>
      </w:r>
    </w:p>
    <w:p w14:paraId="66FD7B75" w14:textId="77777777" w:rsidR="001C4609" w:rsidRPr="00581773" w:rsidRDefault="001C4609" w:rsidP="001C4609">
      <w:pPr>
        <w:spacing w:line="245" w:lineRule="auto"/>
        <w:jc w:val="both"/>
        <w:rPr>
          <w:rFonts w:ascii="Arial" w:eastAsia="Calibri" w:hAnsi="Arial" w:cs="Arial"/>
          <w:noProof/>
        </w:rPr>
      </w:pPr>
      <w:r w:rsidRPr="00581773">
        <w:rPr>
          <w:rFonts w:ascii="Arial" w:eastAsia="Calibri" w:hAnsi="Arial" w:cs="Arial"/>
          <w:noProof/>
        </w:rPr>
        <w:t>Slovenija je kljub majhnosti zelo raznolika država, saj se na njenem ozemlju srečajo trije pokrajinski tipi. Na severu so pogorja Julijskih Alp, Karavank in Kamniško-Savinjskih Alp, ki se proti jugu postopno spuščajo do Jadranskega morja. Osrednji hriboviti del z mnogimi dolinami in kotlinami, med katerimi je tudi Ljubljanska kotlina z glavnim mestom Ljubljana, je od Jadranskega morja ločen s severnimi obronki Dinarskega gorstva. Na severovzhodu se država izravna v Panonsko nižino. Dolžina morske obale je 46,6 km. Razgibanost terena ponazarja povprečen naklon zemljišča, ki je 25-odstoten. Povprečna višina ozemlja je 550 m.</w:t>
      </w:r>
    </w:p>
    <w:p w14:paraId="436F32E9" w14:textId="3EF3F317" w:rsidR="0042650C" w:rsidRPr="00581773" w:rsidRDefault="00004B52" w:rsidP="001C4609">
      <w:pPr>
        <w:jc w:val="center"/>
      </w:pPr>
      <w:r w:rsidRPr="00581773">
        <w:rPr>
          <w:noProof/>
          <w:lang w:eastAsia="sl-SI"/>
        </w:rPr>
        <w:drawing>
          <wp:inline distT="0" distB="0" distL="0" distR="0" wp14:anchorId="4DD957AA" wp14:editId="2604EBAD">
            <wp:extent cx="5278755" cy="2658745"/>
            <wp:effectExtent l="0" t="0" r="0" b="8255"/>
            <wp:docPr id="17984045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755" cy="2658745"/>
                    </a:xfrm>
                    <a:prstGeom prst="rect">
                      <a:avLst/>
                    </a:prstGeom>
                    <a:noFill/>
                    <a:ln>
                      <a:noFill/>
                    </a:ln>
                  </pic:spPr>
                </pic:pic>
              </a:graphicData>
            </a:graphic>
          </wp:inline>
        </w:drawing>
      </w:r>
    </w:p>
    <w:p w14:paraId="3A50443E" w14:textId="69D4847C" w:rsidR="001C4609" w:rsidRPr="00581773" w:rsidRDefault="001C4609" w:rsidP="0091142E">
      <w:pPr>
        <w:pStyle w:val="NIKASLIKE"/>
      </w:pPr>
      <w:bookmarkStart w:id="18" w:name="_Toc193193975"/>
      <w:r w:rsidRPr="00581773">
        <w:t xml:space="preserve">Slika </w:t>
      </w:r>
      <w:r w:rsidR="003E320C" w:rsidRPr="00581773">
        <w:t>2</w:t>
      </w:r>
      <w:r w:rsidRPr="00581773">
        <w:t xml:space="preserve">: Deleži posameznih kategorij pokrovnosti in rabe tal (%), 2018 (vir: </w:t>
      </w:r>
      <w:r w:rsidR="0083219B" w:rsidRPr="00581773">
        <w:t xml:space="preserve"> Kazalci</w:t>
      </w:r>
      <w:r w:rsidRPr="00581773">
        <w:t xml:space="preserve"> okolja ARSO)</w:t>
      </w:r>
      <w:bookmarkEnd w:id="18"/>
    </w:p>
    <w:p w14:paraId="2F26F16D" w14:textId="77777777" w:rsidR="001C4609" w:rsidRPr="00581773" w:rsidRDefault="001C4609" w:rsidP="001C4609">
      <w:pPr>
        <w:spacing w:line="245" w:lineRule="auto"/>
        <w:jc w:val="both"/>
        <w:rPr>
          <w:rFonts w:ascii="Arial" w:eastAsia="Calibri" w:hAnsi="Arial" w:cs="Arial"/>
          <w:noProof/>
        </w:rPr>
      </w:pPr>
      <w:r w:rsidRPr="00581773">
        <w:rPr>
          <w:rFonts w:ascii="Arial" w:eastAsia="Calibri" w:hAnsi="Arial" w:cs="Arial"/>
          <w:noProof/>
        </w:rPr>
        <w:t xml:space="preserve">Razgibanost, podnebne in pedološke raznolikosti, velike gozdne površine in ohranjanje tradicionalnih načinov upravljanja delov kulturne krajine so vzrok za veliko biotsko raznolikost, ki pa jo podnebne spremembe ogrožajo. </w:t>
      </w:r>
    </w:p>
    <w:p w14:paraId="0408A42A" w14:textId="77777777" w:rsidR="001C4609" w:rsidRPr="00581773" w:rsidRDefault="001C4609" w:rsidP="001C4609">
      <w:pPr>
        <w:spacing w:line="245" w:lineRule="auto"/>
        <w:jc w:val="both"/>
        <w:rPr>
          <w:rFonts w:ascii="Arial" w:eastAsia="Calibri" w:hAnsi="Arial" w:cs="Arial"/>
          <w:noProof/>
        </w:rPr>
      </w:pPr>
      <w:r w:rsidRPr="00581773">
        <w:rPr>
          <w:rFonts w:ascii="Arial" w:eastAsia="Calibri" w:hAnsi="Arial" w:cs="Arial"/>
          <w:noProof/>
        </w:rPr>
        <w:t xml:space="preserve">V Sloveniji živi okrog 22.000 živalskih in 3500 rastlinskih vrst, med njimi je več kot 2000 uvrščenih na rdeči seznam ogroženih rastlinskih in živalskih vrst, zavarovanih pa je več kot 800 živalskih in več kot 300 rastlinskih vrst. V Sloveniji je 355 območij Nature 2000, ki pokrivajo dobrih 37 % ozemlja džave. Območja Nature 2000 v 70 % pokriva gozd, nekaj več kot 20 % je kmetijskih površin. Natura 2000 je evropsko omrežje posebnih varstvenih območij, razglašenih v državah članicah Evropske unije z osnovnim ciljem ohraniti biotsko raznovrstnost </w:t>
      </w:r>
      <w:r w:rsidRPr="00581773">
        <w:rPr>
          <w:rFonts w:ascii="Arial" w:eastAsia="Calibri" w:hAnsi="Arial" w:cs="Arial"/>
          <w:noProof/>
        </w:rPr>
        <w:lastRenderedPageBreak/>
        <w:t xml:space="preserve">za prihodnje rodove. Posebna varstvena območja so torej namenjena ohranjanju živalskih in rastlinskih vrst ter habitatov, ki so redki ali na evropski ravni ogroženi zaradi dejavnosti človeka. </w:t>
      </w:r>
    </w:p>
    <w:p w14:paraId="3435990F" w14:textId="105D0D6C" w:rsidR="001C4609" w:rsidRPr="00581773" w:rsidRDefault="001C4609" w:rsidP="001C4609">
      <w:pPr>
        <w:spacing w:line="245" w:lineRule="auto"/>
        <w:jc w:val="both"/>
        <w:rPr>
          <w:rFonts w:ascii="Arial" w:eastAsia="Calibri" w:hAnsi="Arial" w:cs="Arial"/>
          <w:noProof/>
        </w:rPr>
      </w:pPr>
      <w:r w:rsidRPr="00581773">
        <w:rPr>
          <w:rFonts w:ascii="Arial" w:eastAsia="Calibri" w:hAnsi="Arial" w:cs="Arial"/>
          <w:noProof/>
        </w:rPr>
        <w:t>V Sloveniji imamo en narodni park, tri regijske parke, 47 krajinskih parkov, en strogi naravni rezervat, 57 naravnih rezervatov in 1275 naravnih spomenikov. Zavarovanih je dobrih 13 % površine Slovenije. Od leta 1992 se je delež površine zavarovanih območij povečal za okrog 5,5 odstotne točke.</w:t>
      </w:r>
    </w:p>
    <w:p w14:paraId="6C39CC2A" w14:textId="18B99556" w:rsidR="0042650C" w:rsidRPr="00581773" w:rsidRDefault="0042650C" w:rsidP="0042650C">
      <w:pPr>
        <w:pStyle w:val="Heading3"/>
      </w:pPr>
      <w:bookmarkStart w:id="19" w:name="_Toc196300796"/>
      <w:r w:rsidRPr="00581773">
        <w:t>II.A.4 Ekonomski profil</w:t>
      </w:r>
      <w:bookmarkEnd w:id="19"/>
    </w:p>
    <w:p w14:paraId="02472A1B" w14:textId="450BAE85" w:rsidR="001C4609" w:rsidRPr="00581773" w:rsidRDefault="001C4609" w:rsidP="001C4609">
      <w:pPr>
        <w:spacing w:line="245" w:lineRule="auto"/>
        <w:jc w:val="both"/>
        <w:rPr>
          <w:rFonts w:ascii="Arial" w:eastAsia="Palatino Linotype" w:hAnsi="Arial" w:cs="Arial"/>
        </w:rPr>
      </w:pPr>
      <w:r w:rsidRPr="00581773">
        <w:rPr>
          <w:rFonts w:ascii="Arial" w:eastAsia="Palatino Linotype" w:hAnsi="Arial" w:cs="Arial"/>
        </w:rPr>
        <w:t xml:space="preserve">V letih 2022 in 2023 je slovensko gospodarstvo popolnoma okrevalo po pandemiji covida-19. V letu 2023 se je BDP v primerjavi z letom prej povečal za 12,4 % oziroma na 63.951 </w:t>
      </w:r>
      <w:r w:rsidR="00CB4F63" w:rsidRPr="00581773">
        <w:rPr>
          <w:rFonts w:ascii="Arial" w:eastAsia="Palatino Linotype" w:hAnsi="Arial" w:cs="Arial"/>
        </w:rPr>
        <w:t>milijonov evrov</w:t>
      </w:r>
      <w:r w:rsidRPr="00581773">
        <w:rPr>
          <w:rFonts w:ascii="Arial" w:eastAsia="Palatino Linotype" w:hAnsi="Arial" w:cs="Arial"/>
        </w:rPr>
        <w:t>. To gre pripisati predvsem splošnemu dvigu ravni cen proizvodov, tako da je realna rast BDP v letu 2023 v primerjavi z letom 2022 znašala 2,1 %. K rasti BDP so največ prispevali gradbeništvo, oskrba z energijo, predelovalne dejavnosti ter informacijske in komunikacijske dejavnosti.</w:t>
      </w:r>
    </w:p>
    <w:p w14:paraId="7F26FA50" w14:textId="77777777" w:rsidR="001C4609" w:rsidRPr="00581773" w:rsidRDefault="001C4609" w:rsidP="001C4609">
      <w:pPr>
        <w:spacing w:line="245" w:lineRule="auto"/>
        <w:jc w:val="both"/>
        <w:rPr>
          <w:rFonts w:ascii="Arial" w:eastAsia="Palatino Linotype" w:hAnsi="Arial" w:cs="Arial"/>
        </w:rPr>
      </w:pPr>
      <w:r w:rsidRPr="00581773">
        <w:rPr>
          <w:rFonts w:ascii="Arial" w:eastAsia="Palatino Linotype" w:hAnsi="Arial" w:cs="Arial"/>
        </w:rPr>
        <w:t>Gospodarska razvitost Slovenije (merjena z BDP na prebivalca po kupni moči) je bila v letu 2023 z 91 % povprečja EU večja za 1 odstotno točko kot v letu 2022 in enaka ravnem ob začetku krize (91 % leta 2008). Zaradi nizke ravni investicij je napredek v produktivnosti počasen. Razvojno vrzel v BDP na prebivalca po kupni moči gre pripisati nizki produktivnosti, ki je v letu 2022 dosegla 86 % povprečja EU.</w:t>
      </w:r>
    </w:p>
    <w:p w14:paraId="155DCB39" w14:textId="064C4723" w:rsidR="001C4609" w:rsidRPr="00581773" w:rsidRDefault="001C4609" w:rsidP="001C4609">
      <w:pPr>
        <w:spacing w:line="245" w:lineRule="auto"/>
        <w:jc w:val="both"/>
        <w:rPr>
          <w:rFonts w:ascii="Arial" w:eastAsia="Palatino Linotype" w:hAnsi="Arial" w:cs="Arial"/>
        </w:rPr>
      </w:pPr>
      <w:r w:rsidRPr="00581773">
        <w:rPr>
          <w:rFonts w:ascii="Arial" w:eastAsia="Palatino Linotype" w:hAnsi="Arial" w:cs="Arial"/>
        </w:rPr>
        <w:t xml:space="preserve">V primerjavi z drugimi članicami EU Slovenija še vedno zaostaja (slika </w:t>
      </w:r>
      <w:r w:rsidR="00775EA1" w:rsidRPr="00581773">
        <w:rPr>
          <w:rFonts w:ascii="Arial" w:eastAsia="Palatino Linotype" w:hAnsi="Arial" w:cs="Arial"/>
        </w:rPr>
        <w:t>3</w:t>
      </w:r>
      <w:r w:rsidRPr="00581773">
        <w:rPr>
          <w:rFonts w:ascii="Arial" w:eastAsia="Palatino Linotype" w:hAnsi="Arial" w:cs="Arial"/>
        </w:rPr>
        <w:t xml:space="preserve">) pri ločevanju gospodarske rasti od porabljenih virov in nastanka emisij toplogrednih plinov. V letu 2022 je emisijska produktivnost EU dosegla 3,77 </w:t>
      </w:r>
      <w:r w:rsidR="00CB4F63" w:rsidRPr="00581773">
        <w:rPr>
          <w:rFonts w:ascii="Arial" w:eastAsia="Palatino Linotype" w:hAnsi="Arial" w:cs="Arial"/>
        </w:rPr>
        <w:t>evra</w:t>
      </w:r>
      <w:r w:rsidRPr="00581773">
        <w:rPr>
          <w:rFonts w:ascii="Arial" w:eastAsia="Palatino Linotype" w:hAnsi="Arial" w:cs="Arial"/>
        </w:rPr>
        <w:t xml:space="preserve"> (2010) na kg ekv. CO</w:t>
      </w:r>
      <w:r w:rsidRPr="00581773">
        <w:rPr>
          <w:rFonts w:ascii="Arial" w:eastAsia="Palatino Linotype" w:hAnsi="Arial" w:cs="Arial"/>
          <w:vertAlign w:val="subscript"/>
        </w:rPr>
        <w:t>2</w:t>
      </w:r>
      <w:r w:rsidRPr="00581773">
        <w:rPr>
          <w:rFonts w:ascii="Arial" w:eastAsia="Palatino Linotype" w:hAnsi="Arial" w:cs="Arial"/>
        </w:rPr>
        <w:t xml:space="preserve">, medtem ko je emisijska produktivnost Slovenije znašala 2,93 </w:t>
      </w:r>
      <w:r w:rsidR="00CB4F63" w:rsidRPr="00581773">
        <w:rPr>
          <w:rFonts w:ascii="Arial" w:eastAsia="Palatino Linotype" w:hAnsi="Arial" w:cs="Arial"/>
        </w:rPr>
        <w:t>evra</w:t>
      </w:r>
      <w:r w:rsidRPr="00581773">
        <w:rPr>
          <w:rFonts w:ascii="Arial" w:eastAsia="Palatino Linotype" w:hAnsi="Arial" w:cs="Arial"/>
        </w:rPr>
        <w:t xml:space="preserve"> (2010) na kg ekv. CO</w:t>
      </w:r>
      <w:r w:rsidRPr="00581773">
        <w:rPr>
          <w:rFonts w:ascii="Arial" w:eastAsia="Palatino Linotype" w:hAnsi="Arial" w:cs="Arial"/>
          <w:vertAlign w:val="subscript"/>
        </w:rPr>
        <w:t>2</w:t>
      </w:r>
      <w:r w:rsidRPr="00581773">
        <w:rPr>
          <w:rFonts w:ascii="Arial" w:eastAsia="Palatino Linotype" w:hAnsi="Arial" w:cs="Arial"/>
        </w:rPr>
        <w:t>, kar je za 22 % manj od povprečja EU. V Sloveniji se od leta 2016 sicer emisijska produktivnost stalno povečuje. V letu 2022 se je znova zvišala za 5,4 % glede na leto 2021.</w:t>
      </w:r>
    </w:p>
    <w:p w14:paraId="531E9A9C" w14:textId="71516E1B" w:rsidR="001C4609" w:rsidRPr="00581773" w:rsidRDefault="0086629B" w:rsidP="001C4609">
      <w:pPr>
        <w:spacing w:line="245" w:lineRule="auto"/>
        <w:jc w:val="center"/>
        <w:rPr>
          <w:rFonts w:ascii="Arial" w:eastAsia="Palatino Linotype" w:hAnsi="Arial" w:cs="Arial"/>
        </w:rPr>
      </w:pPr>
      <w:r w:rsidRPr="00581773">
        <w:rPr>
          <w:noProof/>
          <w:lang w:eastAsia="sl-SI"/>
        </w:rPr>
        <w:drawing>
          <wp:inline distT="0" distB="0" distL="0" distR="0" wp14:anchorId="2629448C" wp14:editId="18376E7A">
            <wp:extent cx="4572000" cy="2743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D0EF343" w14:textId="5D8C4FDE" w:rsidR="001C4609" w:rsidRPr="00581773" w:rsidRDefault="001C4609" w:rsidP="0091142E">
      <w:pPr>
        <w:pStyle w:val="NIKASLIKE"/>
      </w:pPr>
      <w:bookmarkStart w:id="20" w:name="_Toc193193976"/>
      <w:r w:rsidRPr="00581773">
        <w:t xml:space="preserve">Slika </w:t>
      </w:r>
      <w:r w:rsidR="003E320C" w:rsidRPr="00581773">
        <w:t>3</w:t>
      </w:r>
      <w:r w:rsidRPr="00581773">
        <w:t>: Emisijska produktivnost Slovenije v primerjavi z EU27 v obdobju 2010–2022 (vir: EUROSTAT)</w:t>
      </w:r>
      <w:bookmarkEnd w:id="20"/>
    </w:p>
    <w:p w14:paraId="5D0ED6C0" w14:textId="77777777" w:rsidR="001C4609" w:rsidRPr="00581773" w:rsidRDefault="001C4609" w:rsidP="001C4609">
      <w:pPr>
        <w:spacing w:line="245" w:lineRule="auto"/>
        <w:jc w:val="both"/>
        <w:rPr>
          <w:rFonts w:ascii="Arial" w:hAnsi="Arial" w:cs="Arial"/>
        </w:rPr>
      </w:pPr>
      <w:r w:rsidRPr="00581773">
        <w:rPr>
          <w:rFonts w:ascii="Arial" w:hAnsi="Arial" w:cs="Arial"/>
        </w:rPr>
        <w:t>V strukturi dodane vrednosti ima največji delež industrija, v kateri prevladujejo predelovalne dejavnosti z 32 %. Drugi najpomembnejši sektor je trgovina, vzdrževanje in popravila motornih vozil s 17 %. Glede na leto 2022 se je daleč najbolj povečal delež dodane vrednosti v dejavnosti oskrba z električno energijo, plinom in paro. Povečala se je tudi dodana vrednost v poslovanju z nepremičninami, storitvenih dejavnostih in gradbeništvu.</w:t>
      </w:r>
    </w:p>
    <w:p w14:paraId="1D5166E2" w14:textId="6D263B36" w:rsidR="001C4609" w:rsidRPr="00581773" w:rsidRDefault="001C4609" w:rsidP="001C4609">
      <w:pPr>
        <w:spacing w:line="245" w:lineRule="auto"/>
        <w:jc w:val="both"/>
        <w:rPr>
          <w:rFonts w:ascii="Arial" w:hAnsi="Arial" w:cs="Arial"/>
        </w:rPr>
      </w:pPr>
      <w:r w:rsidRPr="00581773">
        <w:rPr>
          <w:rFonts w:ascii="Arial" w:hAnsi="Arial" w:cs="Arial"/>
        </w:rPr>
        <w:lastRenderedPageBreak/>
        <w:t xml:space="preserve">V letu 2023 je Slovenija izvozila za 54,9 milijarde </w:t>
      </w:r>
      <w:r w:rsidR="00CB4F63" w:rsidRPr="00581773">
        <w:rPr>
          <w:rFonts w:ascii="Arial" w:hAnsi="Arial" w:cs="Arial"/>
        </w:rPr>
        <w:t>evrov</w:t>
      </w:r>
      <w:r w:rsidRPr="00581773">
        <w:rPr>
          <w:rFonts w:ascii="Arial" w:hAnsi="Arial" w:cs="Arial"/>
        </w:rPr>
        <w:t xml:space="preserve"> blaga, uvoz je znašal 57,1 milijarde </w:t>
      </w:r>
      <w:r w:rsidR="00CB4F63" w:rsidRPr="00581773">
        <w:rPr>
          <w:rFonts w:ascii="Arial" w:hAnsi="Arial" w:cs="Arial"/>
        </w:rPr>
        <w:t>evrov</w:t>
      </w:r>
      <w:r w:rsidRPr="00581773">
        <w:rPr>
          <w:rFonts w:ascii="Arial" w:hAnsi="Arial" w:cs="Arial"/>
        </w:rPr>
        <w:t xml:space="preserve">. Obe vrednosti sta se zelo malo povečali v primerjavi z letom 2022, in sicer izvoz za 5 %, uvoz pa za 1 %. Izvoz je upadel na račun zmanjšanega trgovanja z državami članicami EU (Slovenija je tja izvozila 55,6 % blaga), vrednost z nečlanicami pa se je celo povečala (Slovenija je tja izvozila 44,4 % blaga). Najbolj se je povečal izvoz v Švico, medtem ko se je izvoz v Nemčijo, Italijo, Hrvaško in Avstrijo v primerjavi z letom 2022 nekoliko zmanjšal. V letu 2023 so bili najpomembnejši izvozni izdelki kemični proizvodi, stroji in transportne naprave, ki so skupaj </w:t>
      </w:r>
      <w:r w:rsidRPr="00581773">
        <w:rPr>
          <w:rFonts w:ascii="Arial" w:eastAsia="Calibri" w:hAnsi="Arial" w:cs="Arial"/>
          <w:noProof/>
        </w:rPr>
        <w:t>sestavljali</w:t>
      </w:r>
      <w:r w:rsidRPr="00581773">
        <w:rPr>
          <w:rFonts w:ascii="Arial" w:hAnsi="Arial" w:cs="Arial"/>
        </w:rPr>
        <w:t xml:space="preserve"> 66,4 % celotnega izvoza oz</w:t>
      </w:r>
      <w:r w:rsidRPr="00581773">
        <w:rPr>
          <w:rFonts w:ascii="Arial" w:eastAsia="Palatino Linotype" w:hAnsi="Arial" w:cs="Arial"/>
        </w:rPr>
        <w:t>iroma</w:t>
      </w:r>
      <w:r w:rsidRPr="00581773">
        <w:rPr>
          <w:rFonts w:ascii="Arial" w:hAnsi="Arial" w:cs="Arial"/>
        </w:rPr>
        <w:t xml:space="preserve"> 36,5 milijarde </w:t>
      </w:r>
      <w:r w:rsidR="00CB4F63" w:rsidRPr="00581773">
        <w:rPr>
          <w:rFonts w:ascii="Arial" w:hAnsi="Arial" w:cs="Arial"/>
        </w:rPr>
        <w:t>evrov</w:t>
      </w:r>
      <w:r w:rsidRPr="00581773">
        <w:rPr>
          <w:rFonts w:ascii="Arial" w:hAnsi="Arial" w:cs="Arial"/>
        </w:rPr>
        <w:t xml:space="preserve">. Glede na leto 2022 se je najbolj povečal izvoz kemičnih proizvodov, in sicer za 23 %. Uvoz se je zmanjšal zaradi manjše blagovne menjave z državami članicami EU (iz EU prihaja 56,1 % vsega uvoženega blaga), medtem ko se je trgovanje z nečlanicami povečalo (prihaja 43,9 % vsega uvoženega blaga). Najbolj se je povečal uvoz iz Kitajske in Švice, medtem ko se je uvoz iz sosednjih držav (Nemčije, Italije, Avstrije, Hrvaške) v primerjavi z letom 2022 zmanjšal. V letu 2023 so bili najpomembnejši uvozni izdelki kemični proizvodi, stroji in transportne naprave, ki so skupaj </w:t>
      </w:r>
      <w:r w:rsidRPr="00581773">
        <w:rPr>
          <w:rFonts w:ascii="Arial" w:eastAsia="Calibri" w:hAnsi="Arial" w:cs="Arial"/>
          <w:noProof/>
        </w:rPr>
        <w:t>sestavljali</w:t>
      </w:r>
      <w:r w:rsidRPr="00581773">
        <w:rPr>
          <w:rFonts w:ascii="Arial" w:hAnsi="Arial" w:cs="Arial"/>
        </w:rPr>
        <w:t xml:space="preserve"> 62 % celotnega uvoza oz</w:t>
      </w:r>
      <w:r w:rsidRPr="00581773">
        <w:rPr>
          <w:rFonts w:ascii="Arial" w:eastAsia="Palatino Linotype" w:hAnsi="Arial" w:cs="Arial"/>
        </w:rPr>
        <w:t>iroma</w:t>
      </w:r>
      <w:r w:rsidRPr="00581773">
        <w:rPr>
          <w:rFonts w:ascii="Arial" w:hAnsi="Arial" w:cs="Arial"/>
        </w:rPr>
        <w:t xml:space="preserve"> 35,4 milijarde </w:t>
      </w:r>
      <w:r w:rsidR="00CB4F63" w:rsidRPr="00581773">
        <w:rPr>
          <w:rFonts w:ascii="Arial" w:hAnsi="Arial" w:cs="Arial"/>
        </w:rPr>
        <w:t>evrov</w:t>
      </w:r>
      <w:r w:rsidRPr="00581773">
        <w:rPr>
          <w:rFonts w:ascii="Arial" w:hAnsi="Arial" w:cs="Arial"/>
        </w:rPr>
        <w:t>. Glede na leto 2022 se je najbolj povečal uvoz kemičnih proizvodov (za 23 %), pijač in tobaka (za 17 %) ter živil in živih živali (za 13 %).</w:t>
      </w:r>
    </w:p>
    <w:p w14:paraId="0468D7AA" w14:textId="6EEF8E6B" w:rsidR="00D2345F" w:rsidRPr="00581773" w:rsidRDefault="001C4609" w:rsidP="00D2345F">
      <w:pPr>
        <w:spacing w:line="245" w:lineRule="auto"/>
        <w:jc w:val="both"/>
        <w:rPr>
          <w:rFonts w:ascii="Arial" w:hAnsi="Arial" w:cs="Arial"/>
        </w:rPr>
      </w:pPr>
      <w:r w:rsidRPr="00581773">
        <w:rPr>
          <w:rFonts w:ascii="Arial" w:hAnsi="Arial" w:cs="Arial"/>
        </w:rPr>
        <w:t>Stopnja delovne aktivnosti (v starosti med 20 in 64 let) je v letu 2023 v Sloveniji znašala 77,5 %, kar je bilo nad povprečjem EU (75,3 % v letu 2023). Stopnja tveganja revščine delovno aktivnih oseb pa je v letu 2023 znašala 5,8 %, kar je tudi boljše od povprečja EU (8,3 % v letu 2023). Ob koncu leta 2024 je bilo število delovno aktivnih 948.444 oseb, kar je največ od začetka spremljanja registrskih podatkov o delovno aktivnem prebivalstvu. Največ zaposlenih je bilo v predelovalnih dejavnostih, sledili so trgovina, vzdrževanje in popravila motornih vozil ter izobraževanje.</w:t>
      </w:r>
    </w:p>
    <w:p w14:paraId="579A6747" w14:textId="77777777" w:rsidR="00D2345F" w:rsidRPr="00581773" w:rsidRDefault="00D2345F" w:rsidP="00D2345F">
      <w:pPr>
        <w:pStyle w:val="Heading3"/>
      </w:pPr>
      <w:bookmarkStart w:id="21" w:name="_Toc196300797"/>
      <w:r w:rsidRPr="00581773">
        <w:t>II.A.5 Podnebni profil</w:t>
      </w:r>
      <w:bookmarkEnd w:id="21"/>
    </w:p>
    <w:p w14:paraId="5C98E4F0" w14:textId="77777777" w:rsidR="005A1374" w:rsidRPr="00581773" w:rsidRDefault="005A1374" w:rsidP="005A1374">
      <w:pPr>
        <w:jc w:val="both"/>
        <w:rPr>
          <w:rFonts w:ascii="Arial" w:hAnsi="Arial" w:cs="Arial"/>
        </w:rPr>
      </w:pPr>
      <w:r w:rsidRPr="00581773">
        <w:rPr>
          <w:rFonts w:ascii="Arial" w:hAnsi="Arial" w:cs="Arial"/>
        </w:rPr>
        <w:t>Slovenija ima kljub svoji majhnosti veliko geografsko pokrajinsko raznolikost, saj leži na stičišču štirih glavnih evropskih geografskih enot: Alp, Sredozemlja, Panonske kotline in Dinarskih Alp. Podnebje tega malega dela sveta je prav zaradi prehodnega značaja izredno raznoliko, nanj pa vplivajo trije glavni podnebni tipi: alpsko, sredozemsko in celinsko podnebje. Zaradi raznolike geologije je tako majhno območje zelo dovzetno za zemeljske plazove in drobirske tokove, kar dodatno zaostrujejo čedalje močnejše padavine, ki so pomemben sprožilni dejavnik in se bodo glede na podnebne projekcije v prihodnosti še okrepile.</w:t>
      </w:r>
    </w:p>
    <w:p w14:paraId="7093A5A0" w14:textId="7D5A1598" w:rsidR="005A1374" w:rsidRPr="00581773" w:rsidRDefault="005A1374" w:rsidP="005A1374">
      <w:pPr>
        <w:jc w:val="both"/>
        <w:rPr>
          <w:rFonts w:ascii="Arial" w:hAnsi="Arial" w:cs="Arial"/>
        </w:rPr>
      </w:pPr>
      <w:r w:rsidRPr="00581773">
        <w:rPr>
          <w:rFonts w:ascii="Arial" w:hAnsi="Arial" w:cs="Arial"/>
        </w:rPr>
        <w:t xml:space="preserve">V obdobju 1950–2023 se je povprečna temperatura zraka zvišala za 2,0 °C (slika </w:t>
      </w:r>
      <w:r w:rsidR="00D1557B" w:rsidRPr="00581773">
        <w:rPr>
          <w:rFonts w:ascii="Arial" w:hAnsi="Arial" w:cs="Arial"/>
        </w:rPr>
        <w:t>4</w:t>
      </w:r>
      <w:r w:rsidRPr="00581773">
        <w:rPr>
          <w:rFonts w:ascii="Arial" w:hAnsi="Arial" w:cs="Arial"/>
        </w:rPr>
        <w:t xml:space="preserve">), znatno zvišanje temperature pa je bilo </w:t>
      </w:r>
      <w:r w:rsidR="00D1557B" w:rsidRPr="00581773">
        <w:rPr>
          <w:rFonts w:ascii="Arial" w:hAnsi="Arial" w:cs="Arial"/>
        </w:rPr>
        <w:t>zabeleženo</w:t>
      </w:r>
      <w:r w:rsidRPr="00581773">
        <w:rPr>
          <w:rFonts w:ascii="Arial" w:hAnsi="Arial" w:cs="Arial"/>
        </w:rPr>
        <w:t xml:space="preserve"> od sredine osemdesetih let prejšnjega stoletja. Glede na meritve znaša linearni trend temperature zraka na državni ravni v obdobju 1950–2023 +0,34 °C na desetletje. Največji trend je opazen poleti (+0,44 °C na desetletje), najmanjši jeseni (+0,23 °C na desetletje), medtem ko je trend pozimi in spomladi podoben (+0,33 oziroma +0,31 °C na desetletje). Od leta 1990 znaša linearni trend temperature zraka +0,60 °C na desetletje. Opazne so tudi spremembe temperaturnih kazalnikov. Temperaturni ekstremi, povezani z vročino, postajajo čedalje pogostejši in močnejši, medtem ko ekstremi, povezani z mrazom, postajajo čedalje manj pogosti in manj intenzivni.</w:t>
      </w:r>
    </w:p>
    <w:p w14:paraId="67B9A276" w14:textId="690F1F72" w:rsidR="00D2345F" w:rsidRPr="00581773" w:rsidRDefault="006423D9" w:rsidP="005A1374">
      <w:pPr>
        <w:spacing w:line="245" w:lineRule="auto"/>
        <w:jc w:val="center"/>
        <w:rPr>
          <w:rFonts w:ascii="Arial" w:hAnsi="Arial" w:cs="Arial"/>
        </w:rPr>
      </w:pPr>
      <w:r w:rsidRPr="00581773">
        <w:rPr>
          <w:rFonts w:ascii="Arial" w:hAnsi="Arial" w:cs="Arial"/>
          <w:noProof/>
          <w:lang w:eastAsia="sl-SI"/>
        </w:rPr>
        <w:lastRenderedPageBreak/>
        <w:drawing>
          <wp:inline distT="0" distB="0" distL="0" distR="0" wp14:anchorId="04363ED8" wp14:editId="78EF85A4">
            <wp:extent cx="4057650" cy="2705248"/>
            <wp:effectExtent l="0" t="0" r="0" b="0"/>
            <wp:docPr id="421770471" name="Picture 1" descr="A graph with red and blu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70471" name="Picture 1" descr="A graph with red and blue line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70309" cy="2713687"/>
                    </a:xfrm>
                    <a:prstGeom prst="rect">
                      <a:avLst/>
                    </a:prstGeom>
                  </pic:spPr>
                </pic:pic>
              </a:graphicData>
            </a:graphic>
          </wp:inline>
        </w:drawing>
      </w:r>
    </w:p>
    <w:p w14:paraId="1AD5383E" w14:textId="50EAD663" w:rsidR="005A1374" w:rsidRPr="00581773" w:rsidRDefault="005A1374" w:rsidP="0091142E">
      <w:pPr>
        <w:pStyle w:val="NIKASLIKE"/>
      </w:pPr>
      <w:bookmarkStart w:id="22" w:name="_Toc193193977"/>
      <w:r w:rsidRPr="00581773">
        <w:t xml:space="preserve">Slika </w:t>
      </w:r>
      <w:r w:rsidR="003E320C" w:rsidRPr="00581773">
        <w:t>4</w:t>
      </w:r>
      <w:r w:rsidRPr="00581773">
        <w:t>: Odklon letne povprečne temperature zraka na državni ravni od leta 1950 do leta 2023 glede na povprečje tridesetletnega primerjalnega obdobja 1991–2020</w:t>
      </w:r>
      <w:bookmarkEnd w:id="22"/>
    </w:p>
    <w:p w14:paraId="2B99D1E5" w14:textId="5245C5D1" w:rsidR="005A1374" w:rsidRPr="00581773" w:rsidRDefault="005A1374" w:rsidP="005A1374">
      <w:pPr>
        <w:jc w:val="both"/>
        <w:rPr>
          <w:rFonts w:ascii="Arial" w:hAnsi="Arial" w:cs="Arial"/>
        </w:rPr>
      </w:pPr>
      <w:r w:rsidRPr="00581773">
        <w:rPr>
          <w:rFonts w:ascii="Arial" w:hAnsi="Arial" w:cs="Arial"/>
        </w:rPr>
        <w:t xml:space="preserve">Z višanjem temperature se spreminjajo tudi druge podnebne značilnosti. Signal za padavine ni enakomeren ter je prostorsko in časovno zelo spremenljiv (slika </w:t>
      </w:r>
      <w:r w:rsidR="00D1557B" w:rsidRPr="00581773">
        <w:rPr>
          <w:rFonts w:ascii="Arial" w:hAnsi="Arial" w:cs="Arial"/>
        </w:rPr>
        <w:t>5</w:t>
      </w:r>
      <w:r w:rsidRPr="00581773">
        <w:rPr>
          <w:rFonts w:ascii="Arial" w:hAnsi="Arial" w:cs="Arial"/>
        </w:rPr>
        <w:t>). Od leta 1950 do leta 2023 je opazen trend zmanjševanja letne višine padavin do 2 % na desetletje, razen v severovzhodni Sloveniji, kjer prevladuje trend naraščanja. Nobena od teh sprememb ni statistično značilna, razen na redkih lokacijah. V zadnjih 25 letih (približno od leta 2000) trend zmanjševanja količine padavin stagnira oz</w:t>
      </w:r>
      <w:r w:rsidRPr="00581773">
        <w:rPr>
          <w:rFonts w:ascii="Arial" w:eastAsia="Palatino Linotype" w:hAnsi="Arial" w:cs="Arial"/>
        </w:rPr>
        <w:t>iroma</w:t>
      </w:r>
      <w:r w:rsidRPr="00581773">
        <w:rPr>
          <w:rFonts w:ascii="Arial" w:hAnsi="Arial" w:cs="Arial"/>
        </w:rPr>
        <w:t xml:space="preserve"> se je celo spremenil v trend naraščanja. Linearni trend višine padavin na državni ravni v obdobju 1950–2023 znaša –0,61 % na desetletje, vendar je premajhen, da bi bil statistično značilen. Tudi v drugih letnih časih, vsaj za obdobje 1950–2023, trendi padavin niso statistično značilni.</w:t>
      </w:r>
    </w:p>
    <w:p w14:paraId="38E04FE5" w14:textId="3C6065E8" w:rsidR="005A1374" w:rsidRPr="00581773" w:rsidRDefault="006423D9" w:rsidP="005A1374">
      <w:pPr>
        <w:spacing w:line="245" w:lineRule="auto"/>
        <w:jc w:val="center"/>
        <w:rPr>
          <w:rFonts w:ascii="Arial" w:hAnsi="Arial" w:cs="Arial"/>
          <w:b/>
          <w:bCs/>
          <w:i/>
          <w:iCs/>
          <w:sz w:val="18"/>
          <w:szCs w:val="18"/>
        </w:rPr>
      </w:pPr>
      <w:r w:rsidRPr="00581773">
        <w:rPr>
          <w:rFonts w:ascii="Arial" w:hAnsi="Arial" w:cs="Arial"/>
          <w:b/>
          <w:bCs/>
          <w:i/>
          <w:iCs/>
          <w:noProof/>
          <w:sz w:val="18"/>
          <w:szCs w:val="18"/>
          <w:lang w:eastAsia="sl-SI"/>
        </w:rPr>
        <w:drawing>
          <wp:inline distT="0" distB="0" distL="0" distR="0" wp14:anchorId="593245E7" wp14:editId="700B34A5">
            <wp:extent cx="3933825" cy="2622693"/>
            <wp:effectExtent l="0" t="0" r="0" b="6350"/>
            <wp:docPr id="1873063078" name="Picture 2" descr="A graph with green and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063078" name="Picture 2" descr="A graph with green and orange line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45248" cy="2630308"/>
                    </a:xfrm>
                    <a:prstGeom prst="rect">
                      <a:avLst/>
                    </a:prstGeom>
                  </pic:spPr>
                </pic:pic>
              </a:graphicData>
            </a:graphic>
          </wp:inline>
        </w:drawing>
      </w:r>
    </w:p>
    <w:p w14:paraId="1863EC07" w14:textId="248E32C0" w:rsidR="005A1374" w:rsidRPr="00581773" w:rsidRDefault="005A1374" w:rsidP="0091142E">
      <w:pPr>
        <w:pStyle w:val="NIKASLIKE"/>
      </w:pPr>
      <w:bookmarkStart w:id="23" w:name="_Toc193193978"/>
      <w:r w:rsidRPr="00581773">
        <w:t xml:space="preserve">Slika </w:t>
      </w:r>
      <w:r w:rsidR="003E320C" w:rsidRPr="00581773">
        <w:t>5</w:t>
      </w:r>
      <w:r w:rsidRPr="00581773">
        <w:t>: Relativni odklon letne višine padavin na državni ravni od leta 1950 do leta 2023 glede na povprečje tridesetletnega primerjalnega obdobja 1991–2020. Nadpovprečno namočena leta so označena z zeleno, podpovprečno namočena pa z rjavo barvo. Leto 2023 je označeno s temnejšo barvo.</w:t>
      </w:r>
      <w:bookmarkEnd w:id="23"/>
    </w:p>
    <w:p w14:paraId="325D48CA" w14:textId="77777777" w:rsidR="005A1374" w:rsidRPr="00581773" w:rsidRDefault="005A1374" w:rsidP="005A1374">
      <w:pPr>
        <w:jc w:val="both"/>
        <w:rPr>
          <w:rFonts w:ascii="Arial" w:hAnsi="Arial" w:cs="Arial"/>
        </w:rPr>
      </w:pPr>
      <w:r w:rsidRPr="00581773">
        <w:rPr>
          <w:rFonts w:ascii="Arial" w:hAnsi="Arial" w:cs="Arial"/>
        </w:rPr>
        <w:t xml:space="preserve">V zadnjih šestih desetletjih se je snežna odeja, ki je pomembna za naravno zadrževanje vode, vsaj prepolovila, kar je že opazno vplivalo na rečne pretočne režime, saj so se poznopomladanski viški zmanjšali, poznojesenski viški pa povečali. Čeprav so ekstremni </w:t>
      </w:r>
      <w:r w:rsidRPr="00581773">
        <w:rPr>
          <w:rFonts w:ascii="Arial" w:hAnsi="Arial" w:cs="Arial"/>
        </w:rPr>
        <w:lastRenderedPageBreak/>
        <w:t>dogodki po definiciji redki in je zato težko zaznati njihove značilne spremembe, je opazno, da podnebni kazalniki za ekstremno vročino, ekstremne padavine in sušo kažejo naraščajoč trend tako v jakosti kot tudi v pogostosti.</w:t>
      </w:r>
    </w:p>
    <w:p w14:paraId="3FBE3859" w14:textId="77777777" w:rsidR="005A1374" w:rsidRPr="00581773" w:rsidRDefault="005A1374" w:rsidP="005A1374">
      <w:pPr>
        <w:jc w:val="both"/>
      </w:pPr>
      <w:r w:rsidRPr="00581773">
        <w:rPr>
          <w:rFonts w:ascii="Arial" w:hAnsi="Arial" w:cs="Arial"/>
        </w:rPr>
        <w:t>Agencija Republike Slovenije za okolje (ARSO) pripravlja mesečna, sezonska in letna podnebna poročila, ki so na voljo na spletni strani,</w:t>
      </w:r>
      <w:r w:rsidRPr="00581773">
        <w:rPr>
          <w:rStyle w:val="FootnoteReference"/>
          <w:rFonts w:ascii="Arial" w:hAnsi="Arial" w:cs="Arial"/>
        </w:rPr>
        <w:footnoteReference w:id="2"/>
      </w:r>
      <w:r w:rsidRPr="00581773">
        <w:rPr>
          <w:rFonts w:ascii="Arial" w:hAnsi="Arial" w:cs="Arial"/>
        </w:rPr>
        <w:t xml:space="preserve"> v družbenih medijih ARSO (Facebook,</w:t>
      </w:r>
      <w:r w:rsidRPr="00581773">
        <w:rPr>
          <w:rStyle w:val="FootnoteReference"/>
          <w:rFonts w:ascii="Arial" w:hAnsi="Arial" w:cs="Arial"/>
        </w:rPr>
        <w:footnoteReference w:id="3"/>
      </w:r>
      <w:r w:rsidRPr="00581773">
        <w:rPr>
          <w:rFonts w:ascii="Arial" w:hAnsi="Arial" w:cs="Arial"/>
        </w:rPr>
        <w:t xml:space="preserve"> X</w:t>
      </w:r>
      <w:r w:rsidRPr="00581773">
        <w:rPr>
          <w:rStyle w:val="FootnoteReference"/>
          <w:rFonts w:ascii="Arial" w:hAnsi="Arial" w:cs="Arial"/>
        </w:rPr>
        <w:footnoteReference w:id="4"/>
      </w:r>
      <w:r w:rsidRPr="00581773">
        <w:rPr>
          <w:rFonts w:ascii="Arial" w:hAnsi="Arial" w:cs="Arial"/>
        </w:rPr>
        <w:t>) in mesečnem glasilu ARSO.</w:t>
      </w:r>
      <w:r w:rsidRPr="00581773">
        <w:rPr>
          <w:rStyle w:val="FootnoteReference"/>
          <w:rFonts w:ascii="Arial" w:hAnsi="Arial" w:cs="Arial"/>
        </w:rPr>
        <w:footnoteReference w:id="5"/>
      </w:r>
      <w:r w:rsidRPr="00581773" w:rsidDel="009C1288">
        <w:t xml:space="preserve"> </w:t>
      </w:r>
    </w:p>
    <w:p w14:paraId="5D41994D" w14:textId="38A315E2" w:rsidR="005A1374" w:rsidRPr="00581773" w:rsidRDefault="005A1374" w:rsidP="005A1374">
      <w:pPr>
        <w:rPr>
          <w:b/>
          <w:bCs/>
        </w:rPr>
      </w:pPr>
      <w:bookmarkStart w:id="24" w:name="_Toc191029067"/>
      <w:r w:rsidRPr="00581773">
        <w:rPr>
          <w:b/>
          <w:bCs/>
        </w:rPr>
        <w:t>Podnebne razmere v letih 2022 in 2023</w:t>
      </w:r>
      <w:bookmarkEnd w:id="24"/>
    </w:p>
    <w:p w14:paraId="251ED080" w14:textId="7083BB80" w:rsidR="006423D9" w:rsidRPr="00581773" w:rsidRDefault="005A1374" w:rsidP="005A1374">
      <w:pPr>
        <w:jc w:val="both"/>
        <w:rPr>
          <w:rFonts w:ascii="Arial" w:hAnsi="Arial" w:cs="Arial"/>
        </w:rPr>
      </w:pPr>
      <w:r w:rsidRPr="00581773">
        <w:rPr>
          <w:rFonts w:ascii="Arial" w:hAnsi="Arial" w:cs="Arial"/>
        </w:rPr>
        <w:t>Povprečna temperatura zraka je bila leta 2022 v Sloveniji 10,7 °C. Odklon temperature zraka od povprečja tridesetletnega primerjalnega obdobja 1991</w:t>
      </w:r>
      <w:r w:rsidRPr="00581773">
        <w:rPr>
          <w:rFonts w:ascii="Arial" w:hAnsi="Arial" w:cs="Arial"/>
          <w:i/>
          <w:iCs/>
        </w:rPr>
        <w:t>–</w:t>
      </w:r>
      <w:r w:rsidRPr="00581773">
        <w:rPr>
          <w:rFonts w:ascii="Arial" w:hAnsi="Arial" w:cs="Arial"/>
        </w:rPr>
        <w:t>2020 je na državni ravni znašal skoraj 1,3 °C, kar je takrat pomenilo, da je bilo leto 2022 najtoplejše leto v zgodovini, pozneje pa ga je prehitelo leto 2023. Vsi štirje letni časi v letu 2022 so bili toplejši od povprečja. Najbolj je odstopalo poletje z odklonom 2,1 °C nad povprečjem obdobja 1991</w:t>
      </w:r>
      <w:r w:rsidRPr="00581773">
        <w:rPr>
          <w:rFonts w:ascii="Arial" w:hAnsi="Arial" w:cs="Arial"/>
          <w:i/>
          <w:iCs/>
        </w:rPr>
        <w:t>–</w:t>
      </w:r>
      <w:r w:rsidRPr="00581773">
        <w:rPr>
          <w:rFonts w:ascii="Arial" w:hAnsi="Arial" w:cs="Arial"/>
        </w:rPr>
        <w:t>2020 na državni ravni. Letna količina padavin je bila po vsej državi pod povprečjem obdobja 1991</w:t>
      </w:r>
      <w:r w:rsidRPr="00581773">
        <w:rPr>
          <w:rFonts w:ascii="Arial" w:hAnsi="Arial" w:cs="Arial"/>
          <w:i/>
          <w:iCs/>
        </w:rPr>
        <w:t>–</w:t>
      </w:r>
      <w:r w:rsidRPr="00581773">
        <w:rPr>
          <w:rFonts w:ascii="Arial" w:hAnsi="Arial" w:cs="Arial"/>
        </w:rPr>
        <w:t>2020, na državni ravni pa je v povprečju padlo 1223 mm padavin. Kazalnik višine padavin je znašal približno 85 %, kar leto 2022 uvršča med sedem najbolj sušnih let po letu 1950. Najbolj sušno je bilo poletje, ko je padlo približno 63 % običajne količine padavin, zaradi česar je bilo to eno od treh najbolj sušnih poletij po letu 1950. Kombinacija visokih temperatur in pomanjkanja padavin spomladi in poleti je povzročila sušo in</w:t>
      </w:r>
      <w:r w:rsidR="006423D9" w:rsidRPr="00581773">
        <w:rPr>
          <w:rFonts w:ascii="Arial" w:hAnsi="Arial" w:cs="Arial"/>
        </w:rPr>
        <w:t xml:space="preserve"> julija 2022 botrovala najbolj obsežnemu požaru v zgodovini Slovenije, ki je prizadel več kot 3700 ha slovenskega in okrog 700 ha italijanskega dela Krasa.</w:t>
      </w:r>
    </w:p>
    <w:p w14:paraId="45DE9C60" w14:textId="02A52884" w:rsidR="005A1374" w:rsidRPr="00581773" w:rsidRDefault="005A1374" w:rsidP="005A1374">
      <w:pPr>
        <w:jc w:val="both"/>
        <w:rPr>
          <w:rFonts w:ascii="Arial" w:hAnsi="Arial" w:cs="Arial"/>
        </w:rPr>
      </w:pPr>
      <w:r w:rsidRPr="00581773">
        <w:rPr>
          <w:rFonts w:ascii="Arial" w:hAnsi="Arial" w:cs="Arial"/>
        </w:rPr>
        <w:t>Povprečna temperatura zraka v Sloveniji je leta 2023 nekoliko presegla povprečno temperaturo v do takrat rekordnem letu 2022. Odklon povprečne temperature zraka od povprečja v obdobju 1991</w:t>
      </w:r>
      <w:r w:rsidRPr="00581773">
        <w:rPr>
          <w:rFonts w:ascii="Arial" w:hAnsi="Arial" w:cs="Arial"/>
          <w:i/>
          <w:iCs/>
        </w:rPr>
        <w:t>–</w:t>
      </w:r>
      <w:r w:rsidRPr="00581773">
        <w:rPr>
          <w:rFonts w:ascii="Arial" w:hAnsi="Arial" w:cs="Arial"/>
        </w:rPr>
        <w:t xml:space="preserve">2020 je bil nekoliko nad 1,3 °C (slika </w:t>
      </w:r>
      <w:r w:rsidR="006423D9" w:rsidRPr="00581773">
        <w:rPr>
          <w:rFonts w:ascii="Arial" w:hAnsi="Arial" w:cs="Arial"/>
        </w:rPr>
        <w:t>6</w:t>
      </w:r>
      <w:r w:rsidRPr="00581773">
        <w:rPr>
          <w:rFonts w:ascii="Arial" w:hAnsi="Arial" w:cs="Arial"/>
        </w:rPr>
        <w:t>). Jesen je bila z odklonom 2,5 °C daleč najtoplejša od začetka meritev, in sicer je bila za 0,8 °C toplejša od druge najtoplejše jeseni leta 2006. Tako zima kot poletje sta bila nadpovprečno topla, medtem ko je bila pomlad nekoliko hladnejša od povprečja. Leto 2023 je trinajsto zaporedno leto s pozitivnim temperaturnim odklonom od povprečja obdobja 1991</w:t>
      </w:r>
      <w:r w:rsidRPr="00581773">
        <w:rPr>
          <w:rFonts w:ascii="Arial" w:hAnsi="Arial" w:cs="Arial"/>
          <w:i/>
          <w:iCs/>
        </w:rPr>
        <w:t>–</w:t>
      </w:r>
      <w:r w:rsidRPr="00581773">
        <w:rPr>
          <w:rFonts w:ascii="Arial" w:hAnsi="Arial" w:cs="Arial"/>
        </w:rPr>
        <w:t>2020. V tem tisočletju je bilo le pet let (2001, 2004, 2005, 2006 in 2010) z negativnim temperaturnim odklonom. Letna višina padavin na državni ravni je bila precej nad povprečjem obdobja 1991</w:t>
      </w:r>
      <w:r w:rsidRPr="00581773">
        <w:rPr>
          <w:rFonts w:ascii="Arial" w:hAnsi="Arial" w:cs="Arial"/>
          <w:i/>
          <w:iCs/>
        </w:rPr>
        <w:t>–</w:t>
      </w:r>
      <w:r w:rsidRPr="00581773">
        <w:rPr>
          <w:rFonts w:ascii="Arial" w:hAnsi="Arial" w:cs="Arial"/>
        </w:rPr>
        <w:t xml:space="preserve">2020, saj je bilo </w:t>
      </w:r>
      <w:r w:rsidR="006423D9" w:rsidRPr="00581773">
        <w:rPr>
          <w:rFonts w:ascii="Arial" w:hAnsi="Arial" w:cs="Arial"/>
        </w:rPr>
        <w:t>zabeleženih</w:t>
      </w:r>
      <w:r w:rsidRPr="00581773">
        <w:rPr>
          <w:rFonts w:ascii="Arial" w:hAnsi="Arial" w:cs="Arial"/>
        </w:rPr>
        <w:t xml:space="preserve"> 1866 mm padavin. Kazalnik višine padavin je znašal približno 129 %, kar leto 2023 uvršča med tri najbolj namočena leta po letu 1950. Poletje leta 2023 je bilo z vidika padavin izjemno, saj je kazalnik višine padavin dosegel 163 %. To je največja vrednost vsaj od leta 1950, skoraj za 20 odstotnih točk večja od naslednjega najbolj namočenega poletja leta 1989 (s kazalnikom 145 %). Tako julij kot avgust sta bila zelo namočena. Glavni razlog za veliko količino padavin v avgustu so bile obilne padavine med 3. in 5. avgustom,</w:t>
      </w:r>
      <w:r w:rsidRPr="00581773">
        <w:rPr>
          <w:rFonts w:ascii="Arial" w:hAnsi="Arial" w:cs="Arial"/>
          <w:vertAlign w:val="superscript"/>
        </w:rPr>
        <w:t xml:space="preserve"> </w:t>
      </w:r>
      <w:r w:rsidRPr="00581773">
        <w:rPr>
          <w:rFonts w:ascii="Arial" w:hAnsi="Arial" w:cs="Arial"/>
        </w:rPr>
        <w:t>ko je v obnavljajočih se nalivih od zahodne Slovenije do Koroške in severne Štajerske padla izjemna količina dežja (na nekaterih območjih več kot 300 mm). Te padavine so v kombinaciji s predhodnimi razmerami, in sicer nadpovprečno namočenim julijem, povzročile obsežne poplave in katastrofalno opustošenje v večjem delu Slovenije (v 183 občinah od 212, pri čemer so bile 104 občine hudo prizadete).</w:t>
      </w:r>
    </w:p>
    <w:p w14:paraId="2FC9AD2E" w14:textId="70C239C6" w:rsidR="005E009E" w:rsidRPr="00581773" w:rsidRDefault="006423D9" w:rsidP="005E009E">
      <w:pPr>
        <w:jc w:val="center"/>
        <w:rPr>
          <w:rFonts w:ascii="Arial" w:hAnsi="Arial" w:cs="Arial"/>
        </w:rPr>
      </w:pPr>
      <w:r w:rsidRPr="00581773">
        <w:rPr>
          <w:rFonts w:ascii="Arial" w:hAnsi="Arial" w:cs="Arial"/>
          <w:noProof/>
          <w:lang w:eastAsia="sl-SI"/>
        </w:rPr>
        <w:lastRenderedPageBreak/>
        <w:drawing>
          <wp:inline distT="0" distB="0" distL="0" distR="0" wp14:anchorId="662F5F2F" wp14:editId="2C2319F8">
            <wp:extent cx="4333875" cy="2830656"/>
            <wp:effectExtent l="0" t="0" r="0" b="8255"/>
            <wp:docPr id="1287810256" name="Picture 3" descr="A map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810256" name="Picture 3" descr="A map of the country&#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43158" cy="2836719"/>
                    </a:xfrm>
                    <a:prstGeom prst="rect">
                      <a:avLst/>
                    </a:prstGeom>
                  </pic:spPr>
                </pic:pic>
              </a:graphicData>
            </a:graphic>
          </wp:inline>
        </w:drawing>
      </w:r>
    </w:p>
    <w:p w14:paraId="679D1CCD" w14:textId="1E247450" w:rsidR="005E009E" w:rsidRPr="00581773" w:rsidRDefault="005E009E" w:rsidP="0091142E">
      <w:pPr>
        <w:pStyle w:val="NIKASLIKE"/>
      </w:pPr>
      <w:bookmarkStart w:id="25" w:name="_Toc193193979"/>
      <w:r w:rsidRPr="00581773">
        <w:t xml:space="preserve">Slika </w:t>
      </w:r>
      <w:r w:rsidR="003E320C" w:rsidRPr="00581773">
        <w:t>6</w:t>
      </w:r>
      <w:r w:rsidRPr="00581773">
        <w:t>: Odklon povprečne temperature zraka leta 2023 od povprečja tridesetletnega primerjalnega obdobja 1991–2020</w:t>
      </w:r>
      <w:bookmarkEnd w:id="25"/>
    </w:p>
    <w:p w14:paraId="50C162A8" w14:textId="014BB296" w:rsidR="005E009E" w:rsidRPr="00581773" w:rsidRDefault="006423D9" w:rsidP="005E009E">
      <w:pPr>
        <w:jc w:val="center"/>
        <w:rPr>
          <w:rFonts w:ascii="Arial" w:hAnsi="Arial" w:cs="Arial"/>
          <w:b/>
          <w:bCs/>
          <w:i/>
          <w:iCs/>
          <w:sz w:val="18"/>
          <w:szCs w:val="18"/>
        </w:rPr>
      </w:pPr>
      <w:r w:rsidRPr="00581773">
        <w:rPr>
          <w:rFonts w:ascii="Arial" w:hAnsi="Arial" w:cs="Arial"/>
          <w:b/>
          <w:bCs/>
          <w:i/>
          <w:iCs/>
          <w:noProof/>
          <w:sz w:val="18"/>
          <w:szCs w:val="18"/>
          <w:lang w:eastAsia="sl-SI"/>
        </w:rPr>
        <w:drawing>
          <wp:inline distT="0" distB="0" distL="0" distR="0" wp14:anchorId="500EC935" wp14:editId="67096F99">
            <wp:extent cx="4419600" cy="2946562"/>
            <wp:effectExtent l="0" t="0" r="0" b="6350"/>
            <wp:docPr id="2092687120" name="Picture 4" descr="A graph with green and orang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687120" name="Picture 4" descr="A graph with green and orange line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24232" cy="2949650"/>
                    </a:xfrm>
                    <a:prstGeom prst="rect">
                      <a:avLst/>
                    </a:prstGeom>
                  </pic:spPr>
                </pic:pic>
              </a:graphicData>
            </a:graphic>
          </wp:inline>
        </w:drawing>
      </w:r>
    </w:p>
    <w:p w14:paraId="5F98C4C8" w14:textId="4039E440" w:rsidR="005E009E" w:rsidRPr="00581773" w:rsidRDefault="005E009E" w:rsidP="0091142E">
      <w:pPr>
        <w:pStyle w:val="NIKASLIKE"/>
      </w:pPr>
      <w:bookmarkStart w:id="26" w:name="_Toc193193980"/>
      <w:r w:rsidRPr="00581773">
        <w:t xml:space="preserve">Slika </w:t>
      </w:r>
      <w:r w:rsidR="003E320C" w:rsidRPr="00581773">
        <w:t>7</w:t>
      </w:r>
      <w:r w:rsidRPr="00581773">
        <w:t>: Relativni odklon padavin poleti na državni ravni od leta 1950 do leta 2023 glede na povprečje tridesetletnega primerjalnega obdobja 1991–2020. Nadpovprečno namočena leta so označena z zeleno, podpovprečno namočena pa z rjavo barvo. Poletje leta 2023 je označeno s temnejšo barvo.</w:t>
      </w:r>
      <w:bookmarkEnd w:id="26"/>
    </w:p>
    <w:p w14:paraId="3F9BB3F6" w14:textId="77777777" w:rsidR="005E009E" w:rsidRPr="00581773" w:rsidRDefault="005E009E" w:rsidP="005E009E">
      <w:pPr>
        <w:jc w:val="center"/>
        <w:rPr>
          <w:rFonts w:ascii="Arial" w:hAnsi="Arial" w:cs="Arial"/>
          <w:b/>
          <w:bCs/>
          <w:i/>
          <w:iCs/>
          <w:sz w:val="18"/>
          <w:szCs w:val="18"/>
        </w:rPr>
      </w:pPr>
    </w:p>
    <w:p w14:paraId="45CA0B76" w14:textId="30FAFE46" w:rsidR="0042650C" w:rsidRPr="00581773" w:rsidRDefault="0042650C" w:rsidP="0042650C">
      <w:pPr>
        <w:pStyle w:val="Heading3"/>
      </w:pPr>
      <w:bookmarkStart w:id="27" w:name="_Toc196300798"/>
      <w:r w:rsidRPr="00581773">
        <w:t>II.A.6 Sektorske podrobnosti – Energetika</w:t>
      </w:r>
      <w:bookmarkEnd w:id="27"/>
    </w:p>
    <w:p w14:paraId="50DCB018" w14:textId="77777777" w:rsidR="005E009E" w:rsidRPr="00581773" w:rsidRDefault="005E009E" w:rsidP="005E009E">
      <w:pPr>
        <w:jc w:val="both"/>
        <w:rPr>
          <w:rFonts w:ascii="Arial" w:eastAsia="Times New Roman" w:hAnsi="Arial" w:cs="Arial"/>
          <w:lang w:eastAsia="sl-SI"/>
        </w:rPr>
      </w:pPr>
      <w:r w:rsidRPr="00581773">
        <w:rPr>
          <w:rFonts w:ascii="Arial" w:eastAsia="Times New Roman" w:hAnsi="Arial" w:cs="Arial"/>
          <w:lang w:eastAsia="sl-SI"/>
        </w:rPr>
        <w:t xml:space="preserve">Raba energije je najpomembnejši vir izpustov toplogrednih plinov v Sloveniji. Leta 2022 je ob upoštevanju ubežnih emisij k skupnim izpustom prispevala 79 %. Največja vira izpustov sta promet in proizvodnja električne energije in toplote. </w:t>
      </w:r>
    </w:p>
    <w:p w14:paraId="0A35035C" w14:textId="77777777" w:rsidR="005E009E" w:rsidRPr="00581773" w:rsidRDefault="005E009E" w:rsidP="005E009E">
      <w:pPr>
        <w:jc w:val="both"/>
        <w:rPr>
          <w:rFonts w:ascii="Arial" w:eastAsia="Times New Roman" w:hAnsi="Arial" w:cs="Arial"/>
          <w:b/>
          <w:bCs/>
          <w:lang w:eastAsia="sl-SI"/>
        </w:rPr>
      </w:pPr>
      <w:r w:rsidRPr="00581773">
        <w:rPr>
          <w:rFonts w:ascii="Arial" w:eastAsia="Times New Roman" w:hAnsi="Arial" w:cs="Arial"/>
          <w:b/>
          <w:bCs/>
          <w:lang w:eastAsia="sl-SI"/>
        </w:rPr>
        <w:t>Oskrba z energijo</w:t>
      </w:r>
    </w:p>
    <w:p w14:paraId="247D2A31" w14:textId="77777777" w:rsidR="005E009E" w:rsidRPr="00581773" w:rsidRDefault="005E009E" w:rsidP="005E009E">
      <w:pPr>
        <w:jc w:val="both"/>
        <w:rPr>
          <w:rFonts w:ascii="Arial" w:eastAsia="Times New Roman" w:hAnsi="Arial" w:cs="Arial"/>
          <w:lang w:eastAsia="sl-SI"/>
        </w:rPr>
      </w:pPr>
      <w:r w:rsidRPr="00581773">
        <w:rPr>
          <w:rFonts w:ascii="Arial" w:eastAsia="Times New Roman" w:hAnsi="Arial" w:cs="Arial"/>
          <w:lang w:eastAsia="sl-SI"/>
        </w:rPr>
        <w:t xml:space="preserve">Oskrba z energijo se je po letu 1992 večinoma povečevala in je v letu 2008 dosegla najvišjo vrednost, ko je bila za 50 % večja glede na leto 1992. Zaradi krize, ukrepov učinkovite rabe </w:t>
      </w:r>
      <w:r w:rsidRPr="00581773">
        <w:rPr>
          <w:rFonts w:ascii="Arial" w:eastAsia="Times New Roman" w:hAnsi="Arial" w:cs="Arial"/>
          <w:lang w:eastAsia="sl-SI"/>
        </w:rPr>
        <w:lastRenderedPageBreak/>
        <w:t xml:space="preserve">energije in tudi milejših zim se je potem v glavnem zmanjševala in bila v letu 2015 za 15 % manjša. Sledila je rast do leta 2018, po tem letu pa je sledilo zmanjševanje, ki še vedno traja. V letu 2023 je bila oskrba z energijo za 17 % manjša kot leta 2005. V strukturi oskrbe z energijo so leta 2023 prevladovali naftni proizvodi (35 %), sledila je jedrska energija (24 %), delež obnovljivih virov energije (OVE) je znašal 20 %, trdna goriva so </w:t>
      </w:r>
      <w:r w:rsidRPr="00581773">
        <w:rPr>
          <w:rFonts w:eastAsia="Calibri" w:cs="Arial"/>
          <w:noProof/>
        </w:rPr>
        <w:t>sestavljala</w:t>
      </w:r>
      <w:r w:rsidRPr="00581773">
        <w:rPr>
          <w:rFonts w:ascii="Arial" w:eastAsia="Times New Roman" w:hAnsi="Arial" w:cs="Arial"/>
          <w:lang w:eastAsia="sl-SI"/>
        </w:rPr>
        <w:t xml:space="preserve"> 12 %, zemeljski plin pa je dosegel 11-odstotni delež. Odpadki so zajemali 1 %. V strukturi skupne rabe energije je neto uvoz električne energije znašal –2 % (več električne energije je bilo izvožene kot uvožene). Med fosilnimi gorivi Slovenija proizvaja le trdna goriva. </w:t>
      </w:r>
    </w:p>
    <w:p w14:paraId="70C865A0" w14:textId="77777777" w:rsidR="005E009E" w:rsidRPr="00581773" w:rsidRDefault="005E009E" w:rsidP="005E009E">
      <w:pPr>
        <w:jc w:val="both"/>
        <w:rPr>
          <w:rFonts w:ascii="Arial" w:eastAsia="Times New Roman" w:hAnsi="Arial" w:cs="Arial"/>
          <w:lang w:eastAsia="sl-SI"/>
        </w:rPr>
      </w:pPr>
      <w:r w:rsidRPr="00581773">
        <w:rPr>
          <w:rFonts w:ascii="Arial" w:eastAsia="Times New Roman" w:hAnsi="Arial" w:cs="Arial"/>
          <w:lang w:eastAsia="sl-SI"/>
        </w:rPr>
        <w:t xml:space="preserve">Struktura oskrbe z energijo se je pomembno spremenila v obdobju 1992–2023. Delež tekočih goriv (surova nafta in naftni proizvodi) je naraščal v obdobju 1992–2000, po tem obdobju pa se ohranja na približno 35 %, razen v kovidnih letih 2020 in 2021 ter leta 2008, ko je bila poraba izjemno visoka. Jedrska energija je v obdobju 1992–2014 ohranila približno 20-odstotni delež, po letu 2011 pa se je njen delež zaradi optimizacije delovanja povečal in je leta 2014 znašal 25 %. Pri tem delež niha zaradi 18-mesečnega remontnega cikla elektrarne. Delež plinastih goriv se je v obdobju 1992–2010 gibal okoli 12 %, po letu 2010 pa se je znižal na 10 %. Po rasti je leta 2021 znova dosegel 12 %, vendar je sledilo zmanjšanje zaradi cenovnih šokov. Po letu 2000 se trdna goriva uporabljajo predvsem v proizvodnji električne energije in toplote ter v industriji (proizvodnja papirja in vlaknin, proizvodnja cementa). Njihov delež se postopno zmanjšuje. Delež obnovljivih virov v oskrbi z energijo se po drugi strani povečuje, zlasti po letu 2000, in je leta 2023 dosegel najvišji delež z 20 %. </w:t>
      </w:r>
    </w:p>
    <w:p w14:paraId="6B4326D1" w14:textId="7AAC088C" w:rsidR="005E009E" w:rsidRPr="00581773" w:rsidRDefault="00004B52" w:rsidP="005E009E">
      <w:pPr>
        <w:jc w:val="center"/>
        <w:rPr>
          <w:rFonts w:ascii="Arial" w:eastAsia="Times New Roman" w:hAnsi="Arial" w:cs="Arial"/>
          <w:lang w:eastAsia="sl-SI"/>
        </w:rPr>
      </w:pPr>
      <w:r w:rsidRPr="00581773">
        <w:rPr>
          <w:noProof/>
          <w:lang w:eastAsia="sl-SI"/>
        </w:rPr>
        <w:drawing>
          <wp:inline distT="0" distB="0" distL="0" distR="0" wp14:anchorId="4BB44613" wp14:editId="5DF111FB">
            <wp:extent cx="5278755" cy="4215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755" cy="4215765"/>
                    </a:xfrm>
                    <a:prstGeom prst="rect">
                      <a:avLst/>
                    </a:prstGeom>
                    <a:noFill/>
                    <a:ln>
                      <a:noFill/>
                    </a:ln>
                  </pic:spPr>
                </pic:pic>
              </a:graphicData>
            </a:graphic>
          </wp:inline>
        </w:drawing>
      </w:r>
    </w:p>
    <w:p w14:paraId="622A7FDF" w14:textId="0C836384" w:rsidR="005E009E" w:rsidRPr="00581773" w:rsidRDefault="005E009E" w:rsidP="0091142E">
      <w:pPr>
        <w:pStyle w:val="NIKASLIKE"/>
        <w:rPr>
          <w:lang w:eastAsia="sl-SI"/>
        </w:rPr>
      </w:pPr>
      <w:bookmarkStart w:id="28" w:name="_Toc193193981"/>
      <w:r w:rsidRPr="00581773">
        <w:rPr>
          <w:lang w:eastAsia="sl-SI"/>
        </w:rPr>
        <w:t xml:space="preserve">Slika </w:t>
      </w:r>
      <w:r w:rsidR="003E320C" w:rsidRPr="00581773">
        <w:rPr>
          <w:lang w:eastAsia="sl-SI"/>
        </w:rPr>
        <w:t>8</w:t>
      </w:r>
      <w:r w:rsidRPr="00581773">
        <w:rPr>
          <w:lang w:eastAsia="sl-SI"/>
        </w:rPr>
        <w:t>: Oskrba z energijo po energentih v obdobju 1992–2023 (vir: SURS)</w:t>
      </w:r>
      <w:bookmarkEnd w:id="28"/>
    </w:p>
    <w:p w14:paraId="0E5EF54C" w14:textId="77777777" w:rsidR="007032EB" w:rsidRDefault="007032EB" w:rsidP="0091142E">
      <w:pPr>
        <w:pStyle w:val="NIKASLIKE"/>
        <w:rPr>
          <w:lang w:eastAsia="sl-SI"/>
        </w:rPr>
      </w:pPr>
    </w:p>
    <w:p w14:paraId="33E1AAFF" w14:textId="77777777" w:rsidR="002B585E" w:rsidRPr="00581773" w:rsidRDefault="002B585E" w:rsidP="0091142E">
      <w:pPr>
        <w:pStyle w:val="NIKASLIKE"/>
        <w:rPr>
          <w:lang w:eastAsia="sl-SI"/>
        </w:rPr>
      </w:pPr>
    </w:p>
    <w:p w14:paraId="59B85FC3" w14:textId="77777777" w:rsidR="005E009E" w:rsidRPr="00581773" w:rsidRDefault="005E009E" w:rsidP="005E009E">
      <w:pPr>
        <w:jc w:val="both"/>
        <w:rPr>
          <w:rFonts w:ascii="Arial" w:eastAsia="Times New Roman" w:hAnsi="Arial" w:cs="Arial"/>
          <w:b/>
          <w:bCs/>
          <w:lang w:eastAsia="sl-SI"/>
        </w:rPr>
      </w:pPr>
      <w:r w:rsidRPr="00581773">
        <w:rPr>
          <w:rFonts w:ascii="Arial" w:eastAsia="Times New Roman" w:hAnsi="Arial" w:cs="Arial"/>
          <w:b/>
          <w:bCs/>
          <w:lang w:eastAsia="sl-SI"/>
        </w:rPr>
        <w:lastRenderedPageBreak/>
        <w:t>Raba končne energije</w:t>
      </w:r>
    </w:p>
    <w:p w14:paraId="6303A221" w14:textId="77777777" w:rsidR="005E009E" w:rsidRPr="00581773" w:rsidRDefault="005E009E" w:rsidP="005E009E">
      <w:pPr>
        <w:jc w:val="both"/>
        <w:rPr>
          <w:rFonts w:ascii="Arial" w:eastAsia="Times New Roman" w:hAnsi="Arial" w:cs="Arial"/>
          <w:lang w:eastAsia="sl-SI"/>
        </w:rPr>
      </w:pPr>
      <w:r w:rsidRPr="00581773">
        <w:rPr>
          <w:rFonts w:ascii="Arial" w:eastAsia="Times New Roman" w:hAnsi="Arial" w:cs="Arial"/>
          <w:lang w:eastAsia="sl-SI"/>
        </w:rPr>
        <w:t xml:space="preserve">Leta 2023 je bila raba končne energije glede na leto 1992 višja za 39 %. Najvišja raba je bila dosežena leta 2008 s 5505 ktoe, najnižja pa leta 1992 s 3279 ktoe. K povečanju skupne rabe končne energije v obdobju 1992–2023 je največ prispevalo povečanje v sektorjih promet in druga raba. </w:t>
      </w:r>
    </w:p>
    <w:p w14:paraId="53FE4974" w14:textId="1D6FC779" w:rsidR="005E009E" w:rsidRPr="00581773" w:rsidRDefault="005E009E" w:rsidP="005E009E">
      <w:pPr>
        <w:jc w:val="both"/>
        <w:rPr>
          <w:rFonts w:ascii="Arial" w:eastAsia="Times New Roman" w:hAnsi="Arial" w:cs="Arial"/>
          <w:b/>
          <w:bCs/>
          <w:lang w:eastAsia="sl-SI"/>
        </w:rPr>
      </w:pPr>
      <w:r w:rsidRPr="00581773">
        <w:rPr>
          <w:rFonts w:ascii="Arial" w:eastAsia="Times New Roman" w:hAnsi="Arial" w:cs="Arial"/>
          <w:lang w:eastAsia="sl-SI"/>
        </w:rPr>
        <w:t xml:space="preserve">V prometu je bilo leta 2023 s 1854 ktoe porabljeno za 109 % (za 969 ktoe) več energije kot leta 1992 in za 11 % manj kot leta 2008, ko je bila v prometu porabljena največja količina energije. Leta 1997 je bil dosežen vrh porabe v devetdesetih letih zaradi vpliva bencinskega turizma. Po ukrepih sosednjih držav je raba do leta 2000 upadala. Intenzivno je raba energije v prometu rasla v obdobju 2005–2008, in sicer kot posledica širitve EU in ugodnih cen goriv v Sloveniji. Leta 2009 se je zaradi gospodarske krize in spremembe razmerja med cenami goriv glede na sosednje države raba pomembno zmanjšala. V naslednjih letih je raba v prometu nihala v odvisnosti od razmerja med cenami energentov, leta 2020 pa je bila občutno manjša zaradi ukrepov ob pandemiji covida-19. Na rabo energije v prometu poleg domačega prometa močno vpliva tudi tranzitni promet skozi Slovenijo. Gorivo, prodano vozilom v tranzitnem prometu, pomembno vpliva na energetsko bilanco Slovenije zaradi njene majhnosti, in sicer to gorivo v rabi energije v prometu lahko </w:t>
      </w:r>
      <w:r w:rsidRPr="00581773">
        <w:rPr>
          <w:rFonts w:eastAsia="Calibri" w:cs="Arial"/>
          <w:noProof/>
        </w:rPr>
        <w:t xml:space="preserve">zajema </w:t>
      </w:r>
      <w:r w:rsidRPr="00581773">
        <w:rPr>
          <w:rFonts w:ascii="Arial" w:eastAsia="Times New Roman" w:hAnsi="Arial" w:cs="Arial"/>
          <w:lang w:eastAsia="sl-SI"/>
        </w:rPr>
        <w:t>tudi do 30 %. V prometu se je leta 2023 porabilo 41 % končne energije, kar je bistveno več kot v drugih sektorjih.</w:t>
      </w:r>
    </w:p>
    <w:p w14:paraId="28EB7F4F" w14:textId="23C59F55" w:rsidR="005E009E" w:rsidRPr="00581773" w:rsidRDefault="00C215A9" w:rsidP="005E009E">
      <w:pPr>
        <w:jc w:val="center"/>
        <w:rPr>
          <w:rFonts w:ascii="Arial" w:eastAsia="Times New Roman" w:hAnsi="Arial" w:cs="Arial"/>
          <w:b/>
          <w:bCs/>
          <w:i/>
          <w:iCs/>
          <w:sz w:val="18"/>
          <w:szCs w:val="18"/>
          <w:lang w:eastAsia="sl-SI"/>
        </w:rPr>
      </w:pPr>
      <w:r w:rsidRPr="00581773">
        <w:rPr>
          <w:noProof/>
          <w:lang w:eastAsia="sl-SI"/>
        </w:rPr>
        <w:drawing>
          <wp:inline distT="0" distB="0" distL="0" distR="0" wp14:anchorId="794A16DF" wp14:editId="2A5C5E5A">
            <wp:extent cx="5278755" cy="41179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8755" cy="4117975"/>
                    </a:xfrm>
                    <a:prstGeom prst="rect">
                      <a:avLst/>
                    </a:prstGeom>
                    <a:noFill/>
                    <a:ln>
                      <a:noFill/>
                    </a:ln>
                  </pic:spPr>
                </pic:pic>
              </a:graphicData>
            </a:graphic>
          </wp:inline>
        </w:drawing>
      </w:r>
    </w:p>
    <w:p w14:paraId="4D17E350" w14:textId="78887656" w:rsidR="00570535" w:rsidRPr="00581773" w:rsidRDefault="00570535" w:rsidP="0091142E">
      <w:pPr>
        <w:pStyle w:val="NIKASLIKE"/>
        <w:rPr>
          <w:lang w:eastAsia="sl-SI"/>
        </w:rPr>
      </w:pPr>
      <w:bookmarkStart w:id="29" w:name="_Toc193193982"/>
      <w:r w:rsidRPr="00581773">
        <w:rPr>
          <w:lang w:eastAsia="sl-SI"/>
        </w:rPr>
        <w:t xml:space="preserve">Slika </w:t>
      </w:r>
      <w:r w:rsidR="003E320C" w:rsidRPr="00581773">
        <w:rPr>
          <w:lang w:eastAsia="sl-SI"/>
        </w:rPr>
        <w:t>9</w:t>
      </w:r>
      <w:r w:rsidRPr="00581773">
        <w:rPr>
          <w:lang w:eastAsia="sl-SI"/>
        </w:rPr>
        <w:t>:</w:t>
      </w:r>
      <w:r w:rsidRPr="00581773">
        <w:rPr>
          <w:lang w:eastAsia="sl-SI"/>
        </w:rPr>
        <w:tab/>
        <w:t>Raba končne energije po sektorjih v obdobju 1992–2023 (vir: SURS)</w:t>
      </w:r>
      <w:bookmarkEnd w:id="29"/>
    </w:p>
    <w:p w14:paraId="0353D8BF" w14:textId="77777777" w:rsidR="00570535" w:rsidRPr="00581773" w:rsidRDefault="00570535" w:rsidP="00570535">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Raba energije v predelovalnih dejavnostih in gradbeništvu je počasi rasla do leta 2002, ko so sledila leta hitrejše rasti do leta 2007. Nato so zaradi gospodarske krize sledila leta zmanjševanja rabe. Ponovna rast rabe energije je opazna v letih 2017–2019 zaradi hitrejše gospodarske rasti, v letih 2022 in 2023 pa je nižja raba posledica opustitve proizvodnje primarnega aluminija v Sloveniji in visokih cen energije, kar je vplivalo na zmanjšanje rabe v </w:t>
      </w:r>
      <w:r w:rsidRPr="00581773">
        <w:rPr>
          <w:rFonts w:ascii="Arial" w:eastAsia="Calibri" w:hAnsi="Arial" w:cs="Arial"/>
          <w:szCs w:val="20"/>
          <w:lang w:eastAsia="sl-SI"/>
        </w:rPr>
        <w:lastRenderedPageBreak/>
        <w:t>skoraj vseh panogah. Glede na leto 1992 je bila raba leta 2023 s 1073 ktoe nižja za 6 %. Najvišjo raven je dosegla leta 2006 s 1698 ktoe. Predelovalne dejavnosti in gradbeništvo so leta 2023 prispevali 24-odstotni delež v skupni rabi končne energije.</w:t>
      </w:r>
    </w:p>
    <w:p w14:paraId="42AED4FA" w14:textId="77777777" w:rsidR="00570535" w:rsidRPr="00581773" w:rsidRDefault="00570535" w:rsidP="00570535">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Raba končne energije v gospodinjstvih se je po naraščanju od leta 1998 začela po letu 2005 zmanjševati z nekaterimi variacijami. Gibanje rabe energije v gospodinjstvih je močno odvisno od podnebnih značilnosti. Zmanjševanje energije je posledica izvajanja ukrepov učinkovite rabe energije. V opazovanem obdobju je bila raba energije najvišja leta 2005, in sicer 1424 ktoe. Glede na leto 1992 je bila leta 2023 višja za 2 %. V končni rabi energije so gospodinjstva prispevala 23 %.</w:t>
      </w:r>
    </w:p>
    <w:p w14:paraId="482D6080" w14:textId="77777777" w:rsidR="00570535" w:rsidRPr="00581773" w:rsidRDefault="00570535" w:rsidP="00570535">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V sektorju druga raba (storitveni sektor in kmetijstvo) je bila raba energije leta 2023 glede na leto 1992 višja za 152 %. Največje povečanje se je zgodilo leta 1996, ko se je raba povečala za 150 % zaradi metodoloških sprememb. Od vključno leta 2000 naprej se je raba v tem sektorju večkrat močno spremenila. Od leta 2022 se podatki zbirajo z anketo, kar je tudi vplivalo na povečanje. Pred tem letom je bila raba energije izračunana kot ostanek. Delež v skupni rabi končne energije je leta 2023 znašal 13 %.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850"/>
        <w:gridCol w:w="850"/>
        <w:gridCol w:w="851"/>
        <w:gridCol w:w="850"/>
        <w:gridCol w:w="851"/>
        <w:gridCol w:w="850"/>
        <w:gridCol w:w="851"/>
      </w:tblGrid>
      <w:tr w:rsidR="00570535" w:rsidRPr="00581773" w14:paraId="01CEE27A" w14:textId="77777777" w:rsidTr="006D46D8">
        <w:trPr>
          <w:trHeight w:val="255"/>
          <w:jc w:val="center"/>
        </w:trPr>
        <w:tc>
          <w:tcPr>
            <w:tcW w:w="1980" w:type="dxa"/>
            <w:noWrap/>
            <w:hideMark/>
          </w:tcPr>
          <w:p w14:paraId="69A42E57"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p>
        </w:tc>
        <w:tc>
          <w:tcPr>
            <w:tcW w:w="850" w:type="dxa"/>
            <w:noWrap/>
            <w:hideMark/>
          </w:tcPr>
          <w:p w14:paraId="5A92B6BD"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1992</w:t>
            </w:r>
          </w:p>
        </w:tc>
        <w:tc>
          <w:tcPr>
            <w:tcW w:w="850" w:type="dxa"/>
            <w:noWrap/>
            <w:hideMark/>
          </w:tcPr>
          <w:p w14:paraId="49796985"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2000</w:t>
            </w:r>
          </w:p>
        </w:tc>
        <w:tc>
          <w:tcPr>
            <w:tcW w:w="851" w:type="dxa"/>
            <w:noWrap/>
            <w:hideMark/>
          </w:tcPr>
          <w:p w14:paraId="51D1ECA1"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2010</w:t>
            </w:r>
          </w:p>
        </w:tc>
        <w:tc>
          <w:tcPr>
            <w:tcW w:w="850" w:type="dxa"/>
            <w:noWrap/>
            <w:hideMark/>
          </w:tcPr>
          <w:p w14:paraId="7D6FCA1B"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2015</w:t>
            </w:r>
          </w:p>
        </w:tc>
        <w:tc>
          <w:tcPr>
            <w:tcW w:w="851" w:type="dxa"/>
          </w:tcPr>
          <w:p w14:paraId="44A9640C"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2020</w:t>
            </w:r>
          </w:p>
        </w:tc>
        <w:tc>
          <w:tcPr>
            <w:tcW w:w="850" w:type="dxa"/>
          </w:tcPr>
          <w:p w14:paraId="316FEC1D"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2022</w:t>
            </w:r>
          </w:p>
        </w:tc>
        <w:tc>
          <w:tcPr>
            <w:tcW w:w="851" w:type="dxa"/>
          </w:tcPr>
          <w:p w14:paraId="2DC1E084"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2023</w:t>
            </w:r>
          </w:p>
        </w:tc>
      </w:tr>
      <w:tr w:rsidR="00570535" w:rsidRPr="00581773" w14:paraId="253A4D7F" w14:textId="77777777" w:rsidTr="006D46D8">
        <w:trPr>
          <w:trHeight w:val="255"/>
          <w:jc w:val="center"/>
        </w:trPr>
        <w:tc>
          <w:tcPr>
            <w:tcW w:w="1980" w:type="dxa"/>
            <w:noWrap/>
          </w:tcPr>
          <w:p w14:paraId="78D31079"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Raba končne energije [ktoe]</w:t>
            </w:r>
          </w:p>
        </w:tc>
        <w:tc>
          <w:tcPr>
            <w:tcW w:w="850" w:type="dxa"/>
            <w:noWrap/>
            <w:vAlign w:val="center"/>
          </w:tcPr>
          <w:p w14:paraId="542BEDF7"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3279</w:t>
            </w:r>
          </w:p>
        </w:tc>
        <w:tc>
          <w:tcPr>
            <w:tcW w:w="850" w:type="dxa"/>
            <w:noWrap/>
            <w:vAlign w:val="center"/>
          </w:tcPr>
          <w:p w14:paraId="3454FED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4540</w:t>
            </w:r>
          </w:p>
        </w:tc>
        <w:tc>
          <w:tcPr>
            <w:tcW w:w="851" w:type="dxa"/>
            <w:noWrap/>
            <w:vAlign w:val="center"/>
          </w:tcPr>
          <w:p w14:paraId="3BC0427C"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5034</w:t>
            </w:r>
          </w:p>
        </w:tc>
        <w:tc>
          <w:tcPr>
            <w:tcW w:w="850" w:type="dxa"/>
            <w:noWrap/>
            <w:vAlign w:val="center"/>
          </w:tcPr>
          <w:p w14:paraId="59C36F7A"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4748</w:t>
            </w:r>
          </w:p>
        </w:tc>
        <w:tc>
          <w:tcPr>
            <w:tcW w:w="851" w:type="dxa"/>
            <w:vAlign w:val="center"/>
          </w:tcPr>
          <w:p w14:paraId="399892C2"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4455</w:t>
            </w:r>
          </w:p>
        </w:tc>
        <w:tc>
          <w:tcPr>
            <w:tcW w:w="850" w:type="dxa"/>
            <w:vAlign w:val="center"/>
          </w:tcPr>
          <w:p w14:paraId="2D42E47C"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4785</w:t>
            </w:r>
          </w:p>
        </w:tc>
        <w:tc>
          <w:tcPr>
            <w:tcW w:w="851" w:type="dxa"/>
            <w:vAlign w:val="center"/>
          </w:tcPr>
          <w:p w14:paraId="7A4431E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4548</w:t>
            </w:r>
          </w:p>
        </w:tc>
      </w:tr>
      <w:tr w:rsidR="00570535" w:rsidRPr="00581773" w14:paraId="6634A3E0" w14:textId="77777777" w:rsidTr="006D46D8">
        <w:trPr>
          <w:trHeight w:val="255"/>
          <w:jc w:val="center"/>
        </w:trPr>
        <w:tc>
          <w:tcPr>
            <w:tcW w:w="7933" w:type="dxa"/>
            <w:gridSpan w:val="8"/>
            <w:noWrap/>
          </w:tcPr>
          <w:p w14:paraId="48BBC30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Struktura po sektorjih</w:t>
            </w:r>
          </w:p>
        </w:tc>
      </w:tr>
      <w:tr w:rsidR="00570535" w:rsidRPr="00581773" w14:paraId="4018779D" w14:textId="77777777" w:rsidTr="006D46D8">
        <w:trPr>
          <w:trHeight w:val="255"/>
          <w:jc w:val="center"/>
        </w:trPr>
        <w:tc>
          <w:tcPr>
            <w:tcW w:w="1980" w:type="dxa"/>
            <w:noWrap/>
            <w:vAlign w:val="bottom"/>
          </w:tcPr>
          <w:p w14:paraId="0C7FB027"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Industrija</w:t>
            </w:r>
            <w:r w:rsidRPr="00581773">
              <w:rPr>
                <w:rFonts w:ascii="Arial" w:eastAsia="SimSun" w:hAnsi="Arial" w:cs="Arial"/>
                <w:color w:val="000000"/>
                <w:sz w:val="18"/>
                <w:szCs w:val="18"/>
                <w:vertAlign w:val="superscript"/>
                <w:lang w:eastAsia="sl-SI"/>
              </w:rPr>
              <w:footnoteReference w:id="6"/>
            </w:r>
          </w:p>
        </w:tc>
        <w:tc>
          <w:tcPr>
            <w:tcW w:w="850" w:type="dxa"/>
            <w:noWrap/>
            <w:vAlign w:val="center"/>
          </w:tcPr>
          <w:p w14:paraId="1995919A"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35 %</w:t>
            </w:r>
          </w:p>
        </w:tc>
        <w:tc>
          <w:tcPr>
            <w:tcW w:w="850" w:type="dxa"/>
            <w:noWrap/>
            <w:vAlign w:val="center"/>
          </w:tcPr>
          <w:p w14:paraId="19FF74B9"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31 %</w:t>
            </w:r>
          </w:p>
        </w:tc>
        <w:tc>
          <w:tcPr>
            <w:tcW w:w="851" w:type="dxa"/>
            <w:noWrap/>
            <w:vAlign w:val="center"/>
          </w:tcPr>
          <w:p w14:paraId="782DA463"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25 %</w:t>
            </w:r>
          </w:p>
        </w:tc>
        <w:tc>
          <w:tcPr>
            <w:tcW w:w="850" w:type="dxa"/>
            <w:noWrap/>
            <w:vAlign w:val="center"/>
          </w:tcPr>
          <w:p w14:paraId="0A08593D"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26 %</w:t>
            </w:r>
          </w:p>
        </w:tc>
        <w:tc>
          <w:tcPr>
            <w:tcW w:w="851" w:type="dxa"/>
            <w:vAlign w:val="center"/>
          </w:tcPr>
          <w:p w14:paraId="7D542298"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28 %</w:t>
            </w:r>
          </w:p>
        </w:tc>
        <w:tc>
          <w:tcPr>
            <w:tcW w:w="850" w:type="dxa"/>
            <w:vAlign w:val="center"/>
          </w:tcPr>
          <w:p w14:paraId="1FC00C38"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25 %</w:t>
            </w:r>
          </w:p>
        </w:tc>
        <w:tc>
          <w:tcPr>
            <w:tcW w:w="851" w:type="dxa"/>
            <w:vAlign w:val="center"/>
          </w:tcPr>
          <w:p w14:paraId="25A18282"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24 %</w:t>
            </w:r>
          </w:p>
        </w:tc>
      </w:tr>
      <w:tr w:rsidR="00570535" w:rsidRPr="00581773" w14:paraId="000DF5EA" w14:textId="77777777" w:rsidTr="006D46D8">
        <w:trPr>
          <w:trHeight w:val="255"/>
          <w:jc w:val="center"/>
        </w:trPr>
        <w:tc>
          <w:tcPr>
            <w:tcW w:w="1980" w:type="dxa"/>
            <w:noWrap/>
            <w:vAlign w:val="bottom"/>
          </w:tcPr>
          <w:p w14:paraId="05B19955"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Promet</w:t>
            </w:r>
          </w:p>
        </w:tc>
        <w:tc>
          <w:tcPr>
            <w:tcW w:w="850" w:type="dxa"/>
            <w:noWrap/>
            <w:vAlign w:val="center"/>
          </w:tcPr>
          <w:p w14:paraId="0953F673"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27 %</w:t>
            </w:r>
          </w:p>
        </w:tc>
        <w:tc>
          <w:tcPr>
            <w:tcW w:w="850" w:type="dxa"/>
            <w:noWrap/>
            <w:vAlign w:val="center"/>
          </w:tcPr>
          <w:p w14:paraId="75223F77"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27 %</w:t>
            </w:r>
          </w:p>
        </w:tc>
        <w:tc>
          <w:tcPr>
            <w:tcW w:w="851" w:type="dxa"/>
            <w:noWrap/>
            <w:vAlign w:val="center"/>
          </w:tcPr>
          <w:p w14:paraId="3DE9A015"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36 %</w:t>
            </w:r>
          </w:p>
        </w:tc>
        <w:tc>
          <w:tcPr>
            <w:tcW w:w="850" w:type="dxa"/>
            <w:noWrap/>
            <w:vAlign w:val="center"/>
          </w:tcPr>
          <w:p w14:paraId="46AF162D"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38 %</w:t>
            </w:r>
          </w:p>
        </w:tc>
        <w:tc>
          <w:tcPr>
            <w:tcW w:w="851" w:type="dxa"/>
            <w:vAlign w:val="center"/>
          </w:tcPr>
          <w:p w14:paraId="45F2A04D"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36 %</w:t>
            </w:r>
          </w:p>
        </w:tc>
        <w:tc>
          <w:tcPr>
            <w:tcW w:w="850" w:type="dxa"/>
            <w:vAlign w:val="center"/>
          </w:tcPr>
          <w:p w14:paraId="07FC8FA7"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41 %</w:t>
            </w:r>
          </w:p>
        </w:tc>
        <w:tc>
          <w:tcPr>
            <w:tcW w:w="851" w:type="dxa"/>
            <w:vAlign w:val="center"/>
          </w:tcPr>
          <w:p w14:paraId="7F1FBFCC"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41 %</w:t>
            </w:r>
          </w:p>
        </w:tc>
      </w:tr>
      <w:tr w:rsidR="00570535" w:rsidRPr="00581773" w14:paraId="0D028274" w14:textId="77777777" w:rsidTr="006D46D8">
        <w:trPr>
          <w:trHeight w:val="255"/>
          <w:jc w:val="center"/>
        </w:trPr>
        <w:tc>
          <w:tcPr>
            <w:tcW w:w="1980" w:type="dxa"/>
            <w:noWrap/>
            <w:vAlign w:val="bottom"/>
          </w:tcPr>
          <w:p w14:paraId="329FCEC7"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Gospodinjstva</w:t>
            </w:r>
          </w:p>
        </w:tc>
        <w:tc>
          <w:tcPr>
            <w:tcW w:w="850" w:type="dxa"/>
            <w:noWrap/>
            <w:vAlign w:val="center"/>
          </w:tcPr>
          <w:p w14:paraId="37CC67AF"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31 %</w:t>
            </w:r>
          </w:p>
        </w:tc>
        <w:tc>
          <w:tcPr>
            <w:tcW w:w="850" w:type="dxa"/>
            <w:noWrap/>
            <w:vAlign w:val="center"/>
          </w:tcPr>
          <w:p w14:paraId="37B27F5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27 %</w:t>
            </w:r>
          </w:p>
        </w:tc>
        <w:tc>
          <w:tcPr>
            <w:tcW w:w="851" w:type="dxa"/>
            <w:noWrap/>
            <w:vAlign w:val="center"/>
          </w:tcPr>
          <w:p w14:paraId="55CAF8A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27 %</w:t>
            </w:r>
          </w:p>
        </w:tc>
        <w:tc>
          <w:tcPr>
            <w:tcW w:w="850" w:type="dxa"/>
            <w:noWrap/>
            <w:vAlign w:val="center"/>
          </w:tcPr>
          <w:p w14:paraId="66B106C9"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25 %</w:t>
            </w:r>
          </w:p>
        </w:tc>
        <w:tc>
          <w:tcPr>
            <w:tcW w:w="851" w:type="dxa"/>
            <w:vAlign w:val="center"/>
          </w:tcPr>
          <w:p w14:paraId="305E461B"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24 %</w:t>
            </w:r>
          </w:p>
        </w:tc>
        <w:tc>
          <w:tcPr>
            <w:tcW w:w="850" w:type="dxa"/>
            <w:vAlign w:val="center"/>
          </w:tcPr>
          <w:p w14:paraId="2BB441AB"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22 %</w:t>
            </w:r>
          </w:p>
        </w:tc>
        <w:tc>
          <w:tcPr>
            <w:tcW w:w="851" w:type="dxa"/>
            <w:vAlign w:val="center"/>
          </w:tcPr>
          <w:p w14:paraId="3D47F804"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23 %</w:t>
            </w:r>
          </w:p>
        </w:tc>
      </w:tr>
      <w:tr w:rsidR="00570535" w:rsidRPr="00581773" w14:paraId="3C062603" w14:textId="77777777" w:rsidTr="006D46D8">
        <w:trPr>
          <w:trHeight w:val="255"/>
          <w:jc w:val="center"/>
        </w:trPr>
        <w:tc>
          <w:tcPr>
            <w:tcW w:w="1980" w:type="dxa"/>
            <w:noWrap/>
            <w:vAlign w:val="bottom"/>
          </w:tcPr>
          <w:p w14:paraId="34535D2E" w14:textId="1091E97F"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Druga raba</w:t>
            </w:r>
          </w:p>
        </w:tc>
        <w:tc>
          <w:tcPr>
            <w:tcW w:w="850" w:type="dxa"/>
            <w:noWrap/>
            <w:vAlign w:val="center"/>
          </w:tcPr>
          <w:p w14:paraId="7D2A7AA9"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7 %</w:t>
            </w:r>
          </w:p>
        </w:tc>
        <w:tc>
          <w:tcPr>
            <w:tcW w:w="850" w:type="dxa"/>
            <w:noWrap/>
            <w:vAlign w:val="center"/>
          </w:tcPr>
          <w:p w14:paraId="61B09423"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15 %</w:t>
            </w:r>
          </w:p>
        </w:tc>
        <w:tc>
          <w:tcPr>
            <w:tcW w:w="851" w:type="dxa"/>
            <w:noWrap/>
            <w:vAlign w:val="center"/>
          </w:tcPr>
          <w:p w14:paraId="4E2FEE89"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12 %</w:t>
            </w:r>
          </w:p>
        </w:tc>
        <w:tc>
          <w:tcPr>
            <w:tcW w:w="850" w:type="dxa"/>
            <w:noWrap/>
            <w:vAlign w:val="center"/>
          </w:tcPr>
          <w:p w14:paraId="1FDEE639"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12 %</w:t>
            </w:r>
          </w:p>
        </w:tc>
        <w:tc>
          <w:tcPr>
            <w:tcW w:w="851" w:type="dxa"/>
            <w:vAlign w:val="center"/>
          </w:tcPr>
          <w:p w14:paraId="4532D42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12 %</w:t>
            </w:r>
          </w:p>
        </w:tc>
        <w:tc>
          <w:tcPr>
            <w:tcW w:w="850" w:type="dxa"/>
            <w:vAlign w:val="center"/>
          </w:tcPr>
          <w:p w14:paraId="4A00AB0A"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12 %</w:t>
            </w:r>
          </w:p>
        </w:tc>
        <w:tc>
          <w:tcPr>
            <w:tcW w:w="851" w:type="dxa"/>
            <w:vAlign w:val="center"/>
          </w:tcPr>
          <w:p w14:paraId="16AE6930"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color w:val="000000"/>
                <w:sz w:val="18"/>
                <w:szCs w:val="18"/>
                <w:lang w:eastAsia="sl-SI"/>
              </w:rPr>
              <w:t>13 %</w:t>
            </w:r>
          </w:p>
        </w:tc>
      </w:tr>
      <w:tr w:rsidR="00570535" w:rsidRPr="00581773" w14:paraId="6C9F3499" w14:textId="77777777" w:rsidTr="006D46D8">
        <w:trPr>
          <w:trHeight w:val="255"/>
          <w:jc w:val="center"/>
        </w:trPr>
        <w:tc>
          <w:tcPr>
            <w:tcW w:w="7933" w:type="dxa"/>
            <w:gridSpan w:val="8"/>
            <w:noWrap/>
          </w:tcPr>
          <w:p w14:paraId="52ED172E" w14:textId="77777777" w:rsidR="00570535" w:rsidRPr="00581773" w:rsidRDefault="00570535" w:rsidP="00570535">
            <w:pPr>
              <w:keepNext/>
              <w:keepLines/>
              <w:spacing w:before="60" w:after="60" w:line="247" w:lineRule="auto"/>
              <w:jc w:val="center"/>
              <w:rPr>
                <w:rFonts w:ascii="Arial" w:eastAsia="SimSun" w:hAnsi="Arial" w:cs="Arial"/>
                <w:b/>
                <w:bCs/>
                <w:sz w:val="18"/>
                <w:szCs w:val="18"/>
                <w:lang w:eastAsia="sl-SI"/>
              </w:rPr>
            </w:pPr>
            <w:r w:rsidRPr="00581773">
              <w:rPr>
                <w:rFonts w:ascii="Arial" w:eastAsia="SimSun" w:hAnsi="Arial" w:cs="Arial"/>
                <w:b/>
                <w:bCs/>
                <w:sz w:val="18"/>
                <w:szCs w:val="18"/>
                <w:lang w:eastAsia="sl-SI"/>
              </w:rPr>
              <w:t>Struktura po energentih</w:t>
            </w:r>
          </w:p>
        </w:tc>
      </w:tr>
      <w:tr w:rsidR="00570535" w:rsidRPr="00581773" w14:paraId="32CB8B12" w14:textId="77777777" w:rsidTr="006D46D8">
        <w:trPr>
          <w:trHeight w:val="255"/>
          <w:jc w:val="center"/>
        </w:trPr>
        <w:tc>
          <w:tcPr>
            <w:tcW w:w="1980" w:type="dxa"/>
            <w:noWrap/>
            <w:hideMark/>
          </w:tcPr>
          <w:p w14:paraId="32B1B936"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Trdna goriva</w:t>
            </w:r>
          </w:p>
        </w:tc>
        <w:tc>
          <w:tcPr>
            <w:tcW w:w="850" w:type="dxa"/>
            <w:noWrap/>
            <w:vAlign w:val="center"/>
            <w:hideMark/>
          </w:tcPr>
          <w:p w14:paraId="671B082F"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6 %</w:t>
            </w:r>
          </w:p>
        </w:tc>
        <w:tc>
          <w:tcPr>
            <w:tcW w:w="850" w:type="dxa"/>
            <w:noWrap/>
            <w:vAlign w:val="center"/>
            <w:hideMark/>
          </w:tcPr>
          <w:p w14:paraId="1315DC6D"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2 %</w:t>
            </w:r>
          </w:p>
        </w:tc>
        <w:tc>
          <w:tcPr>
            <w:tcW w:w="851" w:type="dxa"/>
            <w:noWrap/>
            <w:vAlign w:val="center"/>
            <w:hideMark/>
          </w:tcPr>
          <w:p w14:paraId="48B603E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1 %</w:t>
            </w:r>
          </w:p>
        </w:tc>
        <w:tc>
          <w:tcPr>
            <w:tcW w:w="850" w:type="dxa"/>
            <w:noWrap/>
            <w:vAlign w:val="center"/>
            <w:hideMark/>
          </w:tcPr>
          <w:p w14:paraId="09C0D1F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1 %</w:t>
            </w:r>
          </w:p>
        </w:tc>
        <w:bookmarkStart w:id="30" w:name="RANGE!AW9"/>
        <w:tc>
          <w:tcPr>
            <w:tcW w:w="851" w:type="dxa"/>
            <w:vAlign w:val="center"/>
          </w:tcPr>
          <w:p w14:paraId="4543E625"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fldChar w:fldCharType="begin"/>
            </w:r>
            <w:r w:rsidRPr="00581773">
              <w:rPr>
                <w:rFonts w:ascii="Arial" w:eastAsia="SimSun" w:hAnsi="Arial" w:cs="Arial"/>
                <w:color w:val="000000"/>
                <w:sz w:val="18"/>
                <w:szCs w:val="18"/>
                <w:lang w:eastAsia="sl-SI"/>
              </w:rPr>
              <w:instrText xml:space="preserve"> HYPERLINK "file:///D:\\Dokumenti\\Ceusbs\\UNFCCC\\PorocanjePoPariskemSporazumu\\BTR1_2024\\SlikeZaBTR_Energetika_NacRazmere.xlsx" \l "RANGE!AR17" </w:instrText>
            </w:r>
            <w:r w:rsidRPr="00581773">
              <w:rPr>
                <w:rFonts w:ascii="Arial" w:eastAsia="SimSun" w:hAnsi="Arial" w:cs="Arial"/>
                <w:color w:val="000000"/>
                <w:sz w:val="18"/>
                <w:szCs w:val="18"/>
                <w:lang w:eastAsia="sl-SI"/>
              </w:rPr>
            </w:r>
            <w:r w:rsidRPr="00581773">
              <w:rPr>
                <w:rFonts w:ascii="Arial" w:eastAsia="SimSun" w:hAnsi="Arial" w:cs="Arial"/>
                <w:color w:val="000000"/>
                <w:sz w:val="18"/>
                <w:szCs w:val="18"/>
                <w:lang w:eastAsia="sl-SI"/>
              </w:rPr>
              <w:fldChar w:fldCharType="separate"/>
            </w:r>
            <w:r w:rsidRPr="00581773">
              <w:rPr>
                <w:rFonts w:ascii="Arial" w:eastAsia="SimSun" w:hAnsi="Arial" w:cs="Arial"/>
                <w:color w:val="000000"/>
                <w:sz w:val="18"/>
                <w:szCs w:val="18"/>
                <w:u w:val="single"/>
                <w:lang w:eastAsia="sl-SI"/>
              </w:rPr>
              <w:t>1 %</w:t>
            </w:r>
            <w:r w:rsidRPr="00581773">
              <w:rPr>
                <w:rFonts w:ascii="Arial" w:eastAsia="SimSun" w:hAnsi="Arial" w:cs="Arial"/>
                <w:color w:val="000000"/>
                <w:sz w:val="18"/>
                <w:szCs w:val="18"/>
                <w:lang w:eastAsia="sl-SI"/>
              </w:rPr>
              <w:fldChar w:fldCharType="end"/>
            </w:r>
            <w:bookmarkEnd w:id="30"/>
          </w:p>
        </w:tc>
        <w:tc>
          <w:tcPr>
            <w:tcW w:w="850" w:type="dxa"/>
            <w:vAlign w:val="center"/>
          </w:tcPr>
          <w:p w14:paraId="58E0E51E" w14:textId="77777777" w:rsidR="00570535" w:rsidRPr="00581773" w:rsidRDefault="00032C2E" w:rsidP="00570535">
            <w:pPr>
              <w:keepNext/>
              <w:keepLines/>
              <w:spacing w:before="60" w:after="60" w:line="247" w:lineRule="auto"/>
              <w:jc w:val="center"/>
              <w:rPr>
                <w:rFonts w:ascii="Arial" w:eastAsia="SimSun" w:hAnsi="Arial" w:cs="Arial"/>
                <w:sz w:val="18"/>
                <w:szCs w:val="18"/>
                <w:lang w:eastAsia="sl-SI"/>
              </w:rPr>
            </w:pPr>
            <w:hyperlink r:id="rId20" w:anchor="RANGE!AR17" w:history="1">
              <w:r w:rsidR="00570535" w:rsidRPr="00581773">
                <w:rPr>
                  <w:rFonts w:ascii="Arial" w:eastAsia="SimSun" w:hAnsi="Arial" w:cs="Arial"/>
                  <w:color w:val="000000"/>
                  <w:sz w:val="18"/>
                  <w:szCs w:val="18"/>
                  <w:u w:val="single"/>
                  <w:lang w:eastAsia="sl-SI"/>
                </w:rPr>
                <w:t>1 %</w:t>
              </w:r>
            </w:hyperlink>
          </w:p>
        </w:tc>
        <w:tc>
          <w:tcPr>
            <w:tcW w:w="851" w:type="dxa"/>
            <w:vAlign w:val="center"/>
          </w:tcPr>
          <w:p w14:paraId="46C29B45" w14:textId="77777777" w:rsidR="00570535" w:rsidRPr="00581773" w:rsidRDefault="00032C2E" w:rsidP="00570535">
            <w:pPr>
              <w:keepNext/>
              <w:keepLines/>
              <w:spacing w:before="60" w:after="60" w:line="247" w:lineRule="auto"/>
              <w:jc w:val="center"/>
              <w:rPr>
                <w:rFonts w:ascii="Arial" w:eastAsia="SimSun" w:hAnsi="Arial" w:cs="Arial"/>
                <w:sz w:val="18"/>
                <w:szCs w:val="18"/>
                <w:lang w:eastAsia="sl-SI"/>
              </w:rPr>
            </w:pPr>
            <w:hyperlink r:id="rId21" w:anchor="RANGE!AR17" w:history="1">
              <w:r w:rsidR="00570535" w:rsidRPr="00581773">
                <w:rPr>
                  <w:rFonts w:ascii="Arial" w:eastAsia="SimSun" w:hAnsi="Arial" w:cs="Arial"/>
                  <w:color w:val="000000"/>
                  <w:sz w:val="18"/>
                  <w:szCs w:val="18"/>
                  <w:u w:val="single"/>
                  <w:lang w:eastAsia="sl-SI"/>
                </w:rPr>
                <w:t>0 %</w:t>
              </w:r>
            </w:hyperlink>
          </w:p>
        </w:tc>
      </w:tr>
      <w:tr w:rsidR="00570535" w:rsidRPr="00581773" w14:paraId="43566BAA" w14:textId="77777777" w:rsidTr="006D46D8">
        <w:trPr>
          <w:trHeight w:val="255"/>
          <w:jc w:val="center"/>
        </w:trPr>
        <w:tc>
          <w:tcPr>
            <w:tcW w:w="1980" w:type="dxa"/>
            <w:noWrap/>
            <w:hideMark/>
          </w:tcPr>
          <w:p w14:paraId="45A305AF"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Naftni proizvodi</w:t>
            </w:r>
          </w:p>
        </w:tc>
        <w:tc>
          <w:tcPr>
            <w:tcW w:w="850" w:type="dxa"/>
            <w:noWrap/>
            <w:vAlign w:val="center"/>
            <w:hideMark/>
          </w:tcPr>
          <w:p w14:paraId="1A1DE3BE"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44 %</w:t>
            </w:r>
          </w:p>
        </w:tc>
        <w:tc>
          <w:tcPr>
            <w:tcW w:w="850" w:type="dxa"/>
            <w:noWrap/>
            <w:vAlign w:val="center"/>
            <w:hideMark/>
          </w:tcPr>
          <w:p w14:paraId="07B6A95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49 %</w:t>
            </w:r>
          </w:p>
        </w:tc>
        <w:tc>
          <w:tcPr>
            <w:tcW w:w="851" w:type="dxa"/>
            <w:noWrap/>
            <w:vAlign w:val="center"/>
            <w:hideMark/>
          </w:tcPr>
          <w:p w14:paraId="058B6D17"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48 %</w:t>
            </w:r>
          </w:p>
        </w:tc>
        <w:tc>
          <w:tcPr>
            <w:tcW w:w="850" w:type="dxa"/>
            <w:noWrap/>
            <w:vAlign w:val="center"/>
            <w:hideMark/>
          </w:tcPr>
          <w:p w14:paraId="50E4AFD8"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46 %</w:t>
            </w:r>
          </w:p>
        </w:tc>
        <w:tc>
          <w:tcPr>
            <w:tcW w:w="851" w:type="dxa"/>
            <w:vAlign w:val="center"/>
          </w:tcPr>
          <w:p w14:paraId="703ADCEA"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42 %</w:t>
            </w:r>
          </w:p>
        </w:tc>
        <w:tc>
          <w:tcPr>
            <w:tcW w:w="850" w:type="dxa"/>
            <w:vAlign w:val="center"/>
          </w:tcPr>
          <w:p w14:paraId="1D39E8FB"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47 %</w:t>
            </w:r>
          </w:p>
        </w:tc>
        <w:tc>
          <w:tcPr>
            <w:tcW w:w="851" w:type="dxa"/>
            <w:vAlign w:val="center"/>
          </w:tcPr>
          <w:p w14:paraId="51ABB548"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46 %</w:t>
            </w:r>
          </w:p>
        </w:tc>
      </w:tr>
      <w:tr w:rsidR="00570535" w:rsidRPr="00581773" w14:paraId="2FE42380" w14:textId="77777777" w:rsidTr="006D46D8">
        <w:trPr>
          <w:trHeight w:val="255"/>
          <w:jc w:val="center"/>
        </w:trPr>
        <w:tc>
          <w:tcPr>
            <w:tcW w:w="1980" w:type="dxa"/>
            <w:noWrap/>
            <w:hideMark/>
          </w:tcPr>
          <w:p w14:paraId="656D30CC"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Zemeljski plin</w:t>
            </w:r>
          </w:p>
        </w:tc>
        <w:tc>
          <w:tcPr>
            <w:tcW w:w="850" w:type="dxa"/>
            <w:noWrap/>
            <w:vAlign w:val="center"/>
            <w:hideMark/>
          </w:tcPr>
          <w:p w14:paraId="28F5EC5C"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13 %</w:t>
            </w:r>
          </w:p>
        </w:tc>
        <w:tc>
          <w:tcPr>
            <w:tcW w:w="850" w:type="dxa"/>
            <w:noWrap/>
            <w:vAlign w:val="center"/>
            <w:hideMark/>
          </w:tcPr>
          <w:p w14:paraId="7D794EA0"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13 %</w:t>
            </w:r>
          </w:p>
        </w:tc>
        <w:tc>
          <w:tcPr>
            <w:tcW w:w="851" w:type="dxa"/>
            <w:noWrap/>
            <w:vAlign w:val="center"/>
            <w:hideMark/>
          </w:tcPr>
          <w:p w14:paraId="31CA3BB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12 %</w:t>
            </w:r>
          </w:p>
        </w:tc>
        <w:tc>
          <w:tcPr>
            <w:tcW w:w="850" w:type="dxa"/>
            <w:noWrap/>
            <w:vAlign w:val="center"/>
            <w:hideMark/>
          </w:tcPr>
          <w:p w14:paraId="3661FBC1"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12 %</w:t>
            </w:r>
          </w:p>
        </w:tc>
        <w:tc>
          <w:tcPr>
            <w:tcW w:w="851" w:type="dxa"/>
            <w:vAlign w:val="center"/>
          </w:tcPr>
          <w:p w14:paraId="6803E2E4"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13 %</w:t>
            </w:r>
          </w:p>
        </w:tc>
        <w:tc>
          <w:tcPr>
            <w:tcW w:w="850" w:type="dxa"/>
            <w:vAlign w:val="center"/>
          </w:tcPr>
          <w:p w14:paraId="7824457A"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12 %</w:t>
            </w:r>
          </w:p>
        </w:tc>
        <w:tc>
          <w:tcPr>
            <w:tcW w:w="851" w:type="dxa"/>
            <w:vAlign w:val="center"/>
          </w:tcPr>
          <w:p w14:paraId="228A54CE"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11 %</w:t>
            </w:r>
          </w:p>
        </w:tc>
      </w:tr>
      <w:tr w:rsidR="00570535" w:rsidRPr="00581773" w14:paraId="1B2857B6" w14:textId="77777777" w:rsidTr="006D46D8">
        <w:trPr>
          <w:trHeight w:val="255"/>
          <w:jc w:val="center"/>
        </w:trPr>
        <w:tc>
          <w:tcPr>
            <w:tcW w:w="1980" w:type="dxa"/>
            <w:noWrap/>
            <w:hideMark/>
          </w:tcPr>
          <w:p w14:paraId="5E32B5F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Obnovljivi viri</w:t>
            </w:r>
          </w:p>
        </w:tc>
        <w:tc>
          <w:tcPr>
            <w:tcW w:w="850" w:type="dxa"/>
            <w:noWrap/>
            <w:vAlign w:val="center"/>
            <w:hideMark/>
          </w:tcPr>
          <w:p w14:paraId="5A7BEE71"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8 %</w:t>
            </w:r>
          </w:p>
        </w:tc>
        <w:tc>
          <w:tcPr>
            <w:tcW w:w="850" w:type="dxa"/>
            <w:noWrap/>
            <w:vAlign w:val="center"/>
            <w:hideMark/>
          </w:tcPr>
          <w:p w14:paraId="5F774ED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12 %</w:t>
            </w:r>
          </w:p>
        </w:tc>
        <w:tc>
          <w:tcPr>
            <w:tcW w:w="851" w:type="dxa"/>
            <w:noWrap/>
            <w:vAlign w:val="center"/>
            <w:hideMark/>
          </w:tcPr>
          <w:p w14:paraId="7F18C6F3"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14 %</w:t>
            </w:r>
          </w:p>
        </w:tc>
        <w:tc>
          <w:tcPr>
            <w:tcW w:w="850" w:type="dxa"/>
            <w:noWrap/>
            <w:vAlign w:val="center"/>
            <w:hideMark/>
          </w:tcPr>
          <w:p w14:paraId="74955C9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15 %</w:t>
            </w:r>
          </w:p>
        </w:tc>
        <w:tc>
          <w:tcPr>
            <w:tcW w:w="851" w:type="dxa"/>
            <w:vAlign w:val="center"/>
          </w:tcPr>
          <w:p w14:paraId="210E5165"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16 %</w:t>
            </w:r>
          </w:p>
        </w:tc>
        <w:tc>
          <w:tcPr>
            <w:tcW w:w="850" w:type="dxa"/>
            <w:vAlign w:val="center"/>
          </w:tcPr>
          <w:p w14:paraId="3D555440"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14 %</w:t>
            </w:r>
          </w:p>
        </w:tc>
        <w:tc>
          <w:tcPr>
            <w:tcW w:w="851" w:type="dxa"/>
            <w:vAlign w:val="center"/>
          </w:tcPr>
          <w:p w14:paraId="0D8DFCCF"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15 %</w:t>
            </w:r>
          </w:p>
        </w:tc>
      </w:tr>
      <w:tr w:rsidR="00570535" w:rsidRPr="00581773" w14:paraId="1993E2DB" w14:textId="77777777" w:rsidTr="006D46D8">
        <w:trPr>
          <w:trHeight w:val="255"/>
          <w:jc w:val="center"/>
        </w:trPr>
        <w:tc>
          <w:tcPr>
            <w:tcW w:w="1980" w:type="dxa"/>
            <w:noWrap/>
            <w:hideMark/>
          </w:tcPr>
          <w:p w14:paraId="75B991AB"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Električna energija</w:t>
            </w:r>
          </w:p>
        </w:tc>
        <w:tc>
          <w:tcPr>
            <w:tcW w:w="850" w:type="dxa"/>
            <w:noWrap/>
            <w:vAlign w:val="center"/>
            <w:hideMark/>
          </w:tcPr>
          <w:p w14:paraId="6B1641EF"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23 %</w:t>
            </w:r>
          </w:p>
        </w:tc>
        <w:tc>
          <w:tcPr>
            <w:tcW w:w="850" w:type="dxa"/>
            <w:noWrap/>
            <w:vAlign w:val="center"/>
            <w:hideMark/>
          </w:tcPr>
          <w:p w14:paraId="4FEC4E8E"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20 %</w:t>
            </w:r>
          </w:p>
        </w:tc>
        <w:tc>
          <w:tcPr>
            <w:tcW w:w="851" w:type="dxa"/>
            <w:noWrap/>
            <w:vAlign w:val="center"/>
            <w:hideMark/>
          </w:tcPr>
          <w:p w14:paraId="378E8A9C"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20 %</w:t>
            </w:r>
          </w:p>
        </w:tc>
        <w:tc>
          <w:tcPr>
            <w:tcW w:w="850" w:type="dxa"/>
            <w:noWrap/>
            <w:vAlign w:val="center"/>
            <w:hideMark/>
          </w:tcPr>
          <w:p w14:paraId="72684129" w14:textId="77777777" w:rsidR="00570535" w:rsidRPr="00581773" w:rsidRDefault="00570535" w:rsidP="00570535">
            <w:pPr>
              <w:keepNext/>
              <w:keepLines/>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23 %</w:t>
            </w:r>
          </w:p>
        </w:tc>
        <w:tc>
          <w:tcPr>
            <w:tcW w:w="851" w:type="dxa"/>
            <w:vAlign w:val="center"/>
          </w:tcPr>
          <w:p w14:paraId="2498AE78"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25 %</w:t>
            </w:r>
          </w:p>
        </w:tc>
        <w:tc>
          <w:tcPr>
            <w:tcW w:w="850" w:type="dxa"/>
            <w:vAlign w:val="center"/>
          </w:tcPr>
          <w:p w14:paraId="1069ECB7"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23 %</w:t>
            </w:r>
          </w:p>
        </w:tc>
        <w:tc>
          <w:tcPr>
            <w:tcW w:w="851" w:type="dxa"/>
            <w:vAlign w:val="center"/>
          </w:tcPr>
          <w:p w14:paraId="4AAAE805" w14:textId="77777777" w:rsidR="00570535" w:rsidRPr="00581773" w:rsidRDefault="00570535" w:rsidP="00570535">
            <w:pPr>
              <w:keepNext/>
              <w:keepLines/>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23 %</w:t>
            </w:r>
          </w:p>
        </w:tc>
      </w:tr>
      <w:tr w:rsidR="00570535" w:rsidRPr="00581773" w14:paraId="15E4E2AF" w14:textId="77777777" w:rsidTr="006D46D8">
        <w:trPr>
          <w:trHeight w:val="255"/>
          <w:jc w:val="center"/>
        </w:trPr>
        <w:tc>
          <w:tcPr>
            <w:tcW w:w="1980" w:type="dxa"/>
            <w:noWrap/>
            <w:hideMark/>
          </w:tcPr>
          <w:p w14:paraId="5972B9A2" w14:textId="77777777" w:rsidR="00570535" w:rsidRPr="00581773" w:rsidRDefault="00570535" w:rsidP="00570535">
            <w:pPr>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Toplota</w:t>
            </w:r>
          </w:p>
        </w:tc>
        <w:tc>
          <w:tcPr>
            <w:tcW w:w="850" w:type="dxa"/>
            <w:noWrap/>
            <w:vAlign w:val="center"/>
            <w:hideMark/>
          </w:tcPr>
          <w:p w14:paraId="21486008" w14:textId="77777777" w:rsidR="00570535" w:rsidRPr="00581773" w:rsidRDefault="00570535" w:rsidP="00570535">
            <w:pPr>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6 %</w:t>
            </w:r>
          </w:p>
        </w:tc>
        <w:tc>
          <w:tcPr>
            <w:tcW w:w="850" w:type="dxa"/>
            <w:noWrap/>
            <w:vAlign w:val="center"/>
            <w:hideMark/>
          </w:tcPr>
          <w:p w14:paraId="7098E71F" w14:textId="77777777" w:rsidR="00570535" w:rsidRPr="00581773" w:rsidRDefault="00570535" w:rsidP="00570535">
            <w:pPr>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4 %</w:t>
            </w:r>
          </w:p>
        </w:tc>
        <w:tc>
          <w:tcPr>
            <w:tcW w:w="851" w:type="dxa"/>
            <w:noWrap/>
            <w:vAlign w:val="center"/>
            <w:hideMark/>
          </w:tcPr>
          <w:p w14:paraId="34E796C2" w14:textId="77777777" w:rsidR="00570535" w:rsidRPr="00581773" w:rsidRDefault="00570535" w:rsidP="00570535">
            <w:pPr>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4 %</w:t>
            </w:r>
          </w:p>
        </w:tc>
        <w:tc>
          <w:tcPr>
            <w:tcW w:w="850" w:type="dxa"/>
            <w:noWrap/>
            <w:vAlign w:val="center"/>
            <w:hideMark/>
          </w:tcPr>
          <w:p w14:paraId="338F6C1D" w14:textId="77777777" w:rsidR="00570535" w:rsidRPr="00581773" w:rsidRDefault="00570535" w:rsidP="00570535">
            <w:pPr>
              <w:spacing w:before="60" w:after="60" w:line="247" w:lineRule="auto"/>
              <w:jc w:val="center"/>
              <w:rPr>
                <w:rFonts w:ascii="Arial" w:eastAsia="SimSun" w:hAnsi="Arial" w:cs="Arial"/>
                <w:color w:val="000000"/>
                <w:sz w:val="18"/>
                <w:szCs w:val="18"/>
                <w:lang w:eastAsia="sl-SI"/>
              </w:rPr>
            </w:pPr>
            <w:r w:rsidRPr="00581773">
              <w:rPr>
                <w:rFonts w:ascii="Arial" w:eastAsia="SimSun" w:hAnsi="Arial" w:cs="Arial"/>
                <w:color w:val="000000"/>
                <w:sz w:val="18"/>
                <w:szCs w:val="18"/>
                <w:lang w:eastAsia="sl-SI"/>
              </w:rPr>
              <w:t>4 %</w:t>
            </w:r>
          </w:p>
        </w:tc>
        <w:tc>
          <w:tcPr>
            <w:tcW w:w="851" w:type="dxa"/>
            <w:vAlign w:val="center"/>
          </w:tcPr>
          <w:p w14:paraId="203373FF" w14:textId="77777777" w:rsidR="00570535" w:rsidRPr="00581773" w:rsidRDefault="00570535" w:rsidP="00570535">
            <w:pPr>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4 %</w:t>
            </w:r>
          </w:p>
        </w:tc>
        <w:tc>
          <w:tcPr>
            <w:tcW w:w="850" w:type="dxa"/>
            <w:vAlign w:val="center"/>
          </w:tcPr>
          <w:p w14:paraId="70F5C0D8" w14:textId="77777777" w:rsidR="00570535" w:rsidRPr="00581773" w:rsidRDefault="00570535" w:rsidP="00570535">
            <w:pPr>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3 %</w:t>
            </w:r>
          </w:p>
        </w:tc>
        <w:tc>
          <w:tcPr>
            <w:tcW w:w="851" w:type="dxa"/>
            <w:vAlign w:val="center"/>
          </w:tcPr>
          <w:p w14:paraId="1EF41C0D" w14:textId="77777777" w:rsidR="00570535" w:rsidRPr="00581773" w:rsidRDefault="00570535" w:rsidP="00570535">
            <w:pPr>
              <w:spacing w:before="60" w:after="60" w:line="247" w:lineRule="auto"/>
              <w:jc w:val="center"/>
              <w:rPr>
                <w:rFonts w:ascii="Arial" w:eastAsia="SimSun" w:hAnsi="Arial" w:cs="Arial"/>
                <w:sz w:val="18"/>
                <w:szCs w:val="18"/>
                <w:lang w:eastAsia="sl-SI"/>
              </w:rPr>
            </w:pPr>
            <w:r w:rsidRPr="00581773">
              <w:rPr>
                <w:rFonts w:ascii="Arial" w:eastAsia="SimSun" w:hAnsi="Arial" w:cs="Arial"/>
                <w:color w:val="000000"/>
                <w:sz w:val="18"/>
                <w:szCs w:val="18"/>
                <w:lang w:eastAsia="sl-SI"/>
              </w:rPr>
              <w:t>3 %</w:t>
            </w:r>
          </w:p>
        </w:tc>
      </w:tr>
    </w:tbl>
    <w:p w14:paraId="63C1F1DC" w14:textId="764BAF32" w:rsidR="00570535" w:rsidRPr="00581773" w:rsidRDefault="00167EB3" w:rsidP="002F38E7">
      <w:pPr>
        <w:pStyle w:val="nikatabelee"/>
      </w:pPr>
      <w:bookmarkStart w:id="31" w:name="_Toc193195386"/>
      <w:r w:rsidRPr="00581773">
        <w:t>Preglednica</w:t>
      </w:r>
      <w:r w:rsidR="00570535" w:rsidRPr="00581773">
        <w:t xml:space="preserve"> </w:t>
      </w:r>
      <w:r w:rsidR="008553AC" w:rsidRPr="00581773">
        <w:fldChar w:fldCharType="begin"/>
      </w:r>
      <w:r w:rsidR="008553AC" w:rsidRPr="00581773">
        <w:instrText xml:space="preserve"> SEQ Preglednica \* ARABIC </w:instrText>
      </w:r>
      <w:r w:rsidR="008553AC" w:rsidRPr="00581773">
        <w:fldChar w:fldCharType="separate"/>
      </w:r>
      <w:r w:rsidR="00570535" w:rsidRPr="00581773">
        <w:rPr>
          <w:noProof/>
        </w:rPr>
        <w:t>1</w:t>
      </w:r>
      <w:r w:rsidR="008553AC" w:rsidRPr="00581773">
        <w:rPr>
          <w:noProof/>
        </w:rPr>
        <w:fldChar w:fldCharType="end"/>
      </w:r>
      <w:r w:rsidR="00570535" w:rsidRPr="00581773">
        <w:t>: Raba končne energije ter struktura po sektorjih in energentih v izbranih letih (vir: SURS)</w:t>
      </w:r>
      <w:bookmarkEnd w:id="31"/>
    </w:p>
    <w:p w14:paraId="299C7DE6" w14:textId="77777777" w:rsidR="00570535" w:rsidRPr="00581773" w:rsidRDefault="00570535" w:rsidP="00570535">
      <w:pPr>
        <w:spacing w:before="100" w:beforeAutospacing="1" w:after="100" w:afterAutospacing="1" w:line="240" w:lineRule="auto"/>
        <w:rPr>
          <w:rFonts w:ascii="Arial" w:eastAsia="Times New Roman" w:hAnsi="Arial" w:cs="Arial"/>
          <w:b/>
          <w:bCs/>
          <w:lang w:eastAsia="sl-SI"/>
        </w:rPr>
      </w:pPr>
      <w:r w:rsidRPr="00581773">
        <w:rPr>
          <w:rFonts w:ascii="Arial" w:eastAsia="Times New Roman" w:hAnsi="Arial" w:cs="Arial"/>
          <w:b/>
          <w:bCs/>
          <w:lang w:eastAsia="sl-SI"/>
        </w:rPr>
        <w:t>Proizvodnja električne energije</w:t>
      </w:r>
    </w:p>
    <w:p w14:paraId="64ACBA30" w14:textId="77777777" w:rsidR="00570535" w:rsidRPr="00581773" w:rsidRDefault="00570535" w:rsidP="00570535">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Celotna proizvodnja električne energije (na generatorju) je leta 2023 znašala 15.876 GWh. Največ električne energije je bilo proizvedeno iz OVE (40 %), sledila je proizvodnja iz jedrske energije s 35 %, proizvodnja iz trdnih goriv pa je prispevala 20 %. Polovica električne energije iz jedrske elektrarne v skladu z meddržavno pogodbo pripada Republiki Hrvaški. Proizvodnja iz zemeljskega plina je majhna, iz drugih energentov pa zanemarljiva. V Sloveniji deluje tudi črpalna hidroelektrarna. Glede na leto 2005 je bila celotna proizvodnja višja za 5 %. </w:t>
      </w:r>
    </w:p>
    <w:p w14:paraId="516FAC69" w14:textId="77777777" w:rsidR="00570535" w:rsidRPr="00581773" w:rsidRDefault="00570535" w:rsidP="00570535">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Deleži proizvodnje električne energije po gorivih nihajo, kar je posledica spreminjanja podnebnih razmer (vodnatosti rek – proizvodnja hidroelektrarn, v manjši meri temperature rek – hlajenje jedrske elektrarne) in remontov jedrske elektrarne. Leta 2015 je viden vpliv izgradnje </w:t>
      </w:r>
      <w:r w:rsidRPr="00581773">
        <w:rPr>
          <w:rFonts w:ascii="Arial" w:eastAsia="Times New Roman" w:hAnsi="Arial" w:cs="Arial"/>
          <w:lang w:eastAsia="sl-SI"/>
        </w:rPr>
        <w:lastRenderedPageBreak/>
        <w:t>novega bloka termoelektrarne v največji termoelektrarni v Sloveniji, saj se je proizvodnja v termoelektrarnah močno zmanjšala. Kljub temu se proizvodnja iz trdnih goriv zmanjšuje, ker so bili ugasnjeni starejši bloki. Trend proizvodnje električne energije iz obnovljivih virov v obdobju 2002–2023 je pozitiven. Pri proizvodnji električne energije iz jedrske energije so opazna triletna nihanja, ki so posledica 18-mesečnega remontnega cikla.</w:t>
      </w:r>
    </w:p>
    <w:p w14:paraId="1101194A" w14:textId="1614706E" w:rsidR="00570535" w:rsidRPr="00581773" w:rsidRDefault="00A6163D" w:rsidP="00A6163D">
      <w:pPr>
        <w:spacing w:before="100" w:beforeAutospacing="1" w:after="100" w:afterAutospacing="1" w:line="240" w:lineRule="auto"/>
        <w:jc w:val="center"/>
        <w:rPr>
          <w:rFonts w:ascii="Arial" w:eastAsia="Times New Roman" w:hAnsi="Arial" w:cs="Arial"/>
          <w:b/>
          <w:bCs/>
          <w:lang w:eastAsia="sl-SI"/>
        </w:rPr>
      </w:pPr>
      <w:r w:rsidRPr="00581773">
        <w:rPr>
          <w:rFonts w:eastAsia="Calibri"/>
          <w:noProof/>
          <w:lang w:eastAsia="sl-SI"/>
        </w:rPr>
        <w:drawing>
          <wp:inline distT="0" distB="0" distL="0" distR="0" wp14:anchorId="2929EBE0" wp14:editId="484AC7E4">
            <wp:extent cx="4752975" cy="26098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52975" cy="2609850"/>
                    </a:xfrm>
                    <a:prstGeom prst="rect">
                      <a:avLst/>
                    </a:prstGeom>
                    <a:noFill/>
                    <a:ln>
                      <a:noFill/>
                    </a:ln>
                  </pic:spPr>
                </pic:pic>
              </a:graphicData>
            </a:graphic>
          </wp:inline>
        </w:drawing>
      </w:r>
    </w:p>
    <w:p w14:paraId="7BD1E8EB" w14:textId="62DE66CF" w:rsidR="0042650C" w:rsidRPr="00581773" w:rsidRDefault="00A6163D" w:rsidP="0091142E">
      <w:pPr>
        <w:pStyle w:val="NIKASLIKE"/>
        <w:rPr>
          <w:lang w:eastAsia="sl-SI"/>
        </w:rPr>
      </w:pPr>
      <w:bookmarkStart w:id="32" w:name="_Toc193193983"/>
      <w:r w:rsidRPr="00581773">
        <w:rPr>
          <w:lang w:eastAsia="sl-SI"/>
        </w:rPr>
        <w:t xml:space="preserve">Slika </w:t>
      </w:r>
      <w:r w:rsidR="003E320C" w:rsidRPr="00581773">
        <w:rPr>
          <w:lang w:eastAsia="sl-SI"/>
        </w:rPr>
        <w:t>10</w:t>
      </w:r>
      <w:r w:rsidRPr="00581773">
        <w:rPr>
          <w:lang w:eastAsia="sl-SI"/>
        </w:rPr>
        <w:t>:</w:t>
      </w:r>
      <w:r w:rsidR="003E320C" w:rsidRPr="00581773">
        <w:rPr>
          <w:lang w:eastAsia="sl-SI"/>
        </w:rPr>
        <w:t xml:space="preserve"> </w:t>
      </w:r>
      <w:r w:rsidRPr="00581773">
        <w:rPr>
          <w:lang w:eastAsia="sl-SI"/>
        </w:rPr>
        <w:t>Proizvodnja električne energije na generatorju za glavna goriva (vir: SURS)</w:t>
      </w:r>
      <w:bookmarkEnd w:id="32"/>
    </w:p>
    <w:p w14:paraId="74F125B9" w14:textId="13DF1200" w:rsidR="0042650C" w:rsidRPr="00581773" w:rsidRDefault="0042650C" w:rsidP="0042650C">
      <w:pPr>
        <w:pStyle w:val="Heading3"/>
      </w:pPr>
      <w:bookmarkStart w:id="33" w:name="_Toc196300799"/>
      <w:r w:rsidRPr="00581773">
        <w:t>II.A.7 Sektorske podrobnosti – Promet</w:t>
      </w:r>
      <w:bookmarkEnd w:id="33"/>
    </w:p>
    <w:p w14:paraId="34A99AE0" w14:textId="1461A5A8" w:rsidR="00A6163D" w:rsidRPr="00581773" w:rsidRDefault="00A6163D" w:rsidP="00A6163D">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Obseg cestnega potniškega prometa z osebnimi avtomobili narašča vse od leta 1991. Glede na podatke Eurostata in SURS so se potniški kilometri povečali z 12.606 na 29.119 </w:t>
      </w:r>
      <w:r w:rsidR="00986968" w:rsidRPr="00581773">
        <w:rPr>
          <w:rFonts w:ascii="Arial" w:eastAsia="Times New Roman" w:hAnsi="Arial" w:cs="Arial"/>
          <w:lang w:eastAsia="sl-SI"/>
        </w:rPr>
        <w:t>milijonov</w:t>
      </w:r>
      <w:r w:rsidRPr="00581773">
        <w:rPr>
          <w:rFonts w:ascii="Arial" w:eastAsia="Times New Roman" w:hAnsi="Arial" w:cs="Arial"/>
          <w:lang w:eastAsia="sl-SI"/>
        </w:rPr>
        <w:t xml:space="preserve"> pkm v letu 2023 (oz</w:t>
      </w:r>
      <w:r w:rsidRPr="00581773">
        <w:rPr>
          <w:rFonts w:ascii="Arial" w:eastAsia="Palatino Linotype" w:hAnsi="Arial" w:cs="Arial"/>
        </w:rPr>
        <w:t>iroma</w:t>
      </w:r>
      <w:r w:rsidRPr="00581773">
        <w:rPr>
          <w:rFonts w:ascii="Arial" w:eastAsia="Times New Roman" w:hAnsi="Arial" w:cs="Arial"/>
          <w:lang w:eastAsia="sl-SI"/>
        </w:rPr>
        <w:t xml:space="preserve"> za 131 %). Po letu 2000 je opazno, da obseg prometa z avtomobili narašča v celotnem obdobju, razen v štirih letih (2010, 2012, 2013 in 2020). Daleč največji padec je opažen leta 2020 zaradi vpliva pandemije. Konec leta 2023 je bilo v Sloveniji registriranih dobrih 1,2 milijona osebnih avtomobilov, kar je za 29 % več kot leta 2005. Stopnja motorizacije leta 2023 je bila 579 registriranih avtomobilov/1000 prebivalcev, leta 1991 je znašala 297 avtomobilov/1000 prebivalcev, leta 2010 pa 518 avtomobilov/1000 prebivalcev. V letu 2023 je bilo med vsemi registriranimi avtomobili 50 % vozil na dizelski pogon in 46 % na bencinski pogon. Na hibridni pogon je bilo približno 2 % vseh registriranih avtomobilov, električnih osebnih avtomobilov (baterijskih in priključnih hibridov) pa je bilo dobrih 16.000 (1 % vseh registriranih avtomobilov). Število slednjih se je povečalo, vendar povečevanje poteka počasnejše od povprečja EU. Po letu 2021 se je povečal delež prvič registriranih rabljenih vozil, kar lahko v veliki meri pripišemo težavam pri dobavi novih osebnih vozil in visoki ceni novih vozil. Povprečna starost avtomobilov je leta 2023 dosegla 11,1 leta, kar je za dobra 4 leta več kot leta 2000. Po podatkih Eurostata in SURS je bilo 93 % potniških kilometrov v Sloveniji v letu 2023 opravljenih z osebnim avtomobilom, 2 % z avtobusom v javnem potniškem prometu in prav tako 2 % z vlakom.</w:t>
      </w:r>
    </w:p>
    <w:p w14:paraId="3C7F5A08" w14:textId="4D7EFB65" w:rsidR="00A6163D" w:rsidRPr="00581773" w:rsidRDefault="00C215A9" w:rsidP="00A6163D">
      <w:pPr>
        <w:spacing w:before="100" w:beforeAutospacing="1" w:after="100" w:afterAutospacing="1" w:line="240" w:lineRule="auto"/>
        <w:jc w:val="center"/>
        <w:rPr>
          <w:rFonts w:ascii="Arial" w:eastAsia="Times New Roman" w:hAnsi="Arial" w:cs="Arial"/>
          <w:lang w:eastAsia="sl-SI"/>
        </w:rPr>
      </w:pPr>
      <w:r w:rsidRPr="00581773">
        <w:rPr>
          <w:noProof/>
          <w:lang w:eastAsia="sl-SI"/>
        </w:rPr>
        <w:lastRenderedPageBreak/>
        <w:drawing>
          <wp:inline distT="0" distB="0" distL="0" distR="0" wp14:anchorId="17B9E9D8" wp14:editId="524CD18B">
            <wp:extent cx="5278755" cy="22491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755" cy="2249170"/>
                    </a:xfrm>
                    <a:prstGeom prst="rect">
                      <a:avLst/>
                    </a:prstGeom>
                    <a:noFill/>
                    <a:ln>
                      <a:noFill/>
                    </a:ln>
                  </pic:spPr>
                </pic:pic>
              </a:graphicData>
            </a:graphic>
          </wp:inline>
        </w:drawing>
      </w:r>
    </w:p>
    <w:p w14:paraId="309C6D5E" w14:textId="6B183261" w:rsidR="00A6163D" w:rsidRPr="00581773" w:rsidRDefault="00A6163D" w:rsidP="0091142E">
      <w:pPr>
        <w:pStyle w:val="NIKASLIKE"/>
        <w:rPr>
          <w:lang w:eastAsia="sl-SI"/>
        </w:rPr>
      </w:pPr>
      <w:bookmarkStart w:id="34" w:name="_Toc193193984"/>
      <w:r w:rsidRPr="00581773">
        <w:rPr>
          <w:lang w:eastAsia="sl-SI"/>
        </w:rPr>
        <w:t>Slika 1</w:t>
      </w:r>
      <w:r w:rsidR="003E320C" w:rsidRPr="00581773">
        <w:rPr>
          <w:lang w:eastAsia="sl-SI"/>
        </w:rPr>
        <w:t>1</w:t>
      </w:r>
      <w:r w:rsidRPr="00581773">
        <w:rPr>
          <w:lang w:eastAsia="sl-SI"/>
        </w:rPr>
        <w:t>: Potniški kilometri za prevoz z osebnimi avtomobili, v cestnem javnem potniškem prometu in železniškem potniškem prometu (vir: Eurostat in SURS)</w:t>
      </w:r>
      <w:bookmarkEnd w:id="34"/>
    </w:p>
    <w:p w14:paraId="3C0983BF" w14:textId="77777777" w:rsidR="00A6163D" w:rsidRPr="00581773" w:rsidRDefault="00A6163D" w:rsidP="00A6163D">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Javni potniški prevoz z avtobusi se je med letoma 1990 in 2005 zelo zmanjšal zaradi izgube trga ob osamosvojitvi Slovenije, nizkih cen motornih goriv, dostopnejših vozil in nizkih stroškov parkiranja ter po drugi strani pomanjkanja vizije razvoja javnega potniškega prometa, kar je vodilo v slabo razvitost in celo ukinjanje linij. Naslednje večje zmanjšanje se je zgodilo leta 2010 kot posledica izboljšanja metodologije spremljanja števila potnikov zaradi uvedbe digitalnih validacij poti. Zmanjšanje prevozov se je nadaljevalo do leta 2013, ko se je obseg ustalil. Izjema sta leti 2020 in 2021 zaradi ukrepov ob pandemiji covida-19. V letih 2022 in 2023 se je obseg prevozov povečal, vendar še ni dosegel ravni iz leta 2019. Uvedba integriranega javnega potniškega prometa in enotne subvencionirane vozovnice je vplivala na počasno rast med letoma 2014 in 2019, h krepitvi položaja cestnega javnega potniškega prometa pa bodo pomembno prispevali ustanovitev agencije za javni potniški promet, nove koncesije in tudi drugi ukrepi, ki se intenzivneje izvajajo od leta 2024 dalje. </w:t>
      </w:r>
    </w:p>
    <w:p w14:paraId="540FFAF2" w14:textId="3624DE31" w:rsidR="00A6163D" w:rsidRPr="00581773" w:rsidRDefault="00A6163D" w:rsidP="00A6163D">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Železniški potniški promet, ki je v letu 1990 obsegal še 1429 </w:t>
      </w:r>
      <w:r w:rsidR="00986968" w:rsidRPr="00581773">
        <w:rPr>
          <w:rFonts w:ascii="Arial" w:eastAsia="Calibri" w:hAnsi="Arial" w:cs="Arial"/>
          <w:szCs w:val="20"/>
          <w:lang w:eastAsia="sl-SI"/>
        </w:rPr>
        <w:t>milijonov</w:t>
      </w:r>
      <w:r w:rsidRPr="00581773">
        <w:rPr>
          <w:rFonts w:ascii="Arial" w:eastAsia="Calibri" w:hAnsi="Arial" w:cs="Arial"/>
          <w:szCs w:val="20"/>
          <w:lang w:eastAsia="sl-SI"/>
        </w:rPr>
        <w:t xml:space="preserve"> pkm, je prav tako zelo občutil posledice razpada Jugoslavije in posledične gospodarske recesije ter se zmanjšal za skoraj dve tretjini. V prejšnjem desetletju je bilo opaziti rahlo rast, tako da je leta 2009 dosegel 840 </w:t>
      </w:r>
      <w:r w:rsidR="00986968" w:rsidRPr="00581773">
        <w:rPr>
          <w:rFonts w:ascii="Arial" w:eastAsia="Calibri" w:hAnsi="Arial" w:cs="Arial"/>
          <w:szCs w:val="20"/>
          <w:lang w:eastAsia="sl-SI"/>
        </w:rPr>
        <w:t>milijonov</w:t>
      </w:r>
      <w:r w:rsidRPr="00581773">
        <w:rPr>
          <w:rFonts w:ascii="Arial" w:eastAsia="Calibri" w:hAnsi="Arial" w:cs="Arial"/>
          <w:szCs w:val="20"/>
          <w:lang w:eastAsia="sl-SI"/>
        </w:rPr>
        <w:t xml:space="preserve"> pkm. Po tem letu je znova sledilo zmanjšanje obsega potniškega prometa, kar je povezano s prenovami prog in tudi natančnejšim ugotavljanjem števila potnikov. Leta 2019 so vlaki opravili 698 </w:t>
      </w:r>
      <w:r w:rsidR="00986968" w:rsidRPr="00581773">
        <w:rPr>
          <w:rFonts w:ascii="Arial" w:eastAsia="Calibri" w:hAnsi="Arial" w:cs="Arial"/>
          <w:szCs w:val="20"/>
          <w:lang w:eastAsia="sl-SI"/>
        </w:rPr>
        <w:t>milijonov</w:t>
      </w:r>
      <w:r w:rsidRPr="00581773">
        <w:rPr>
          <w:rFonts w:ascii="Arial" w:eastAsia="Calibri" w:hAnsi="Arial" w:cs="Arial"/>
          <w:szCs w:val="20"/>
          <w:lang w:eastAsia="sl-SI"/>
        </w:rPr>
        <w:t xml:space="preserve"> pkm. V koronskem letu 2020 in pokoronskem letu 2021 se je obseg močno znižal. V letih 2022 in 2023 je sledila močna rast kot posledica izboljšanja ponudbe na železnicah, zlasti zaradi novih garnitur in tudi zaradi izboljšanja infrastrukture. Tako je leta 2023 železniški promet dosegel 990 </w:t>
      </w:r>
      <w:r w:rsidR="00986968" w:rsidRPr="00581773">
        <w:rPr>
          <w:rFonts w:ascii="Arial" w:eastAsia="Calibri" w:hAnsi="Arial" w:cs="Arial"/>
          <w:szCs w:val="20"/>
          <w:lang w:eastAsia="sl-SI"/>
        </w:rPr>
        <w:t>milijonov</w:t>
      </w:r>
      <w:r w:rsidRPr="00581773">
        <w:rPr>
          <w:rFonts w:ascii="Arial" w:eastAsia="Calibri" w:hAnsi="Arial" w:cs="Arial"/>
          <w:szCs w:val="20"/>
          <w:lang w:eastAsia="sl-SI"/>
        </w:rPr>
        <w:t xml:space="preserve"> pkm, kar je največ po letu 1991. Število potnikov leta 2023 še ni doseglo najvišjih vrednosti, doseženih v obdobju med letoma 2006 in 2010.</w:t>
      </w:r>
    </w:p>
    <w:p w14:paraId="041AF77A" w14:textId="77777777" w:rsidR="00A6163D" w:rsidRPr="00581773" w:rsidRDefault="00A6163D" w:rsidP="00A6163D">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Tudi v zračnem prometu je bila velika izguba trga ob osamosvojitvi Slovenije kriva za zmanjšanje letalskega prometa; pozneje je zračni promet hitro rastel, zlasti sredi prejšnjega desetletja. V letu 2019 je prenehala delovati edina slovenska letalska družba Adria Airways, kar se je močno poznalo v številu prepeljanih potnikov. Kljub temu je bilo leta 2019 prepeljanih več potnikov kot leta 2012, in sicer za 47 %. Zaradi pandemije covida-19 je letalski promet leta 2020 drastično upadel, do leta 2023 pa še ni bila dosežena raven leta 2019. </w:t>
      </w:r>
    </w:p>
    <w:p w14:paraId="0AA1F03E" w14:textId="1132A3FE" w:rsidR="00A6163D" w:rsidRPr="00581773" w:rsidRDefault="00C215A9" w:rsidP="00A6163D">
      <w:pPr>
        <w:spacing w:after="120" w:line="245" w:lineRule="auto"/>
        <w:jc w:val="center"/>
        <w:rPr>
          <w:rFonts w:ascii="Arial" w:eastAsia="Calibri" w:hAnsi="Arial" w:cs="Arial"/>
          <w:szCs w:val="20"/>
          <w:lang w:eastAsia="sl-SI"/>
        </w:rPr>
      </w:pPr>
      <w:r w:rsidRPr="00581773">
        <w:rPr>
          <w:noProof/>
          <w:lang w:eastAsia="sl-SI"/>
        </w:rPr>
        <w:lastRenderedPageBreak/>
        <w:drawing>
          <wp:inline distT="0" distB="0" distL="0" distR="0" wp14:anchorId="6567C8B2" wp14:editId="598B4774">
            <wp:extent cx="4572000" cy="24885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0" cy="2488565"/>
                    </a:xfrm>
                    <a:prstGeom prst="rect">
                      <a:avLst/>
                    </a:prstGeom>
                    <a:noFill/>
                    <a:ln>
                      <a:noFill/>
                    </a:ln>
                  </pic:spPr>
                </pic:pic>
              </a:graphicData>
            </a:graphic>
          </wp:inline>
        </w:drawing>
      </w:r>
    </w:p>
    <w:p w14:paraId="533EE433" w14:textId="4647A275" w:rsidR="00A6163D" w:rsidRPr="00581773" w:rsidRDefault="00A6163D" w:rsidP="0091142E">
      <w:pPr>
        <w:pStyle w:val="NIKASLIKE"/>
        <w:rPr>
          <w:lang w:eastAsia="sl-SI"/>
        </w:rPr>
      </w:pPr>
      <w:bookmarkStart w:id="35" w:name="_Toc193193985"/>
      <w:r w:rsidRPr="00581773">
        <w:rPr>
          <w:lang w:eastAsia="sl-SI"/>
        </w:rPr>
        <w:t>Slika 1</w:t>
      </w:r>
      <w:r w:rsidR="003E320C" w:rsidRPr="00581773">
        <w:rPr>
          <w:lang w:eastAsia="sl-SI"/>
        </w:rPr>
        <w:t>2</w:t>
      </w:r>
      <w:r w:rsidRPr="00581773">
        <w:rPr>
          <w:lang w:eastAsia="sl-SI"/>
        </w:rPr>
        <w:t>: Število prepeljanih potnikov z mestnim, cestnim (primestnim) in železniškim javnim prevozom ter letališkim potniškim prometom (vir: SURS)</w:t>
      </w:r>
      <w:bookmarkEnd w:id="35"/>
    </w:p>
    <w:p w14:paraId="58C2457C" w14:textId="6773D33F" w:rsidR="00A6163D" w:rsidRPr="00581773" w:rsidRDefault="00A6163D" w:rsidP="00A6163D">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V </w:t>
      </w:r>
      <w:r w:rsidR="00986968" w:rsidRPr="00581773">
        <w:rPr>
          <w:rFonts w:ascii="Arial" w:eastAsia="Calibri" w:hAnsi="Arial" w:cs="Arial"/>
          <w:szCs w:val="20"/>
          <w:lang w:eastAsia="sl-SI"/>
        </w:rPr>
        <w:t>Sloveniji</w:t>
      </w:r>
      <w:r w:rsidRPr="00581773">
        <w:rPr>
          <w:rFonts w:ascii="Arial" w:eastAsia="Calibri" w:hAnsi="Arial" w:cs="Arial"/>
          <w:szCs w:val="20"/>
          <w:lang w:eastAsia="sl-SI"/>
        </w:rPr>
        <w:t xml:space="preserve"> je bila visoka rast blagovnega prometa kot posledica zemljepisne lege in odprtosti gospodarstva v zadnjih letih še dodatno spodbujena z visoko mednarodno blagovno menjavo. To je tudi posledica ugodne zemljepisne lege Slovenije na križišču V. in X. evropskega koridorja, kjer se je domači in tuji tovorni promet z zadnjima širitvama EU močno povečal. Poleg tega so se z vstopom Slovenije v EU za slovenske prevoznike pri prevozu po državah EU zmanjšale administrativne ovire (predvsem pridobivanje omejenega števila dovolilnic). V Sloveniji kot majhni srednjeevropski državi je tudi pričakovano velik delež mednarodnega in nižji delež notranjega blagovnega prometa. Velik generator tovornega prometa v državi je tudi Luka Koper. Nagla rast tako cestnega kot železniškega blagovnega prometa je bila v prejšnjem desetletju do kriznega leta 2009 dodatno spodbujena z visoko gospodarsko rastjo tako doma kot v mednarodnem okolju, še posebno v vzhodni Evropi. </w:t>
      </w:r>
    </w:p>
    <w:p w14:paraId="2FF09E9C" w14:textId="77777777" w:rsidR="00A6163D" w:rsidRPr="00581773" w:rsidRDefault="00A6163D" w:rsidP="00A6163D">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 xml:space="preserve">Rast obsega cestnih prevozov blaga slovenskih prevoznikov je bila v obdobju 2001–2008 skoraj trikrat višja od gospodarske rasti. Svetovna kriza je v obeh vrstah blagovnega prevoza povzročila le kratkotrajen zastoj, tako da je v letu 2016 obseg prevozov blaga v cestnem prometu za 15 % presegel predkriznega, po železnici pa za 24 % (BDP je bil v tem letu še malo nižji kot v letu 2008). Obseg cestnega blagovnega prevoza je v letu 2019 še narasel, potem pa v letu 2020 (zaradi ukrepov ob pandemiji) nekoliko upadel, a je že leta 2021 dosegel rekordno raven. V zadnjih dveh letih je obseg upadel zaradi slabšanja gospodarskega položaja. Nekoliko je v letu 2020 upadel tudi železniški blagovni prevoz, a je v letu 2021 znova zrasel, v zadnjem letu pa se je zmanjšal, a za manj kot cestni blagovni promet. </w:t>
      </w:r>
    </w:p>
    <w:p w14:paraId="4DD40939" w14:textId="7F495CD4" w:rsidR="00A6163D" w:rsidRPr="00581773" w:rsidRDefault="00C215A9" w:rsidP="00A6163D">
      <w:pPr>
        <w:spacing w:after="120" w:line="245" w:lineRule="auto"/>
        <w:jc w:val="center"/>
        <w:rPr>
          <w:rFonts w:ascii="Arial" w:eastAsia="Calibri" w:hAnsi="Arial" w:cs="Arial"/>
          <w:b/>
          <w:bCs/>
          <w:i/>
          <w:iCs/>
          <w:sz w:val="18"/>
          <w:szCs w:val="18"/>
          <w:lang w:eastAsia="sl-SI"/>
        </w:rPr>
      </w:pPr>
      <w:r w:rsidRPr="00581773">
        <w:rPr>
          <w:noProof/>
          <w:lang w:eastAsia="sl-SI"/>
        </w:rPr>
        <w:drawing>
          <wp:inline distT="0" distB="0" distL="0" distR="0" wp14:anchorId="494DF8BF" wp14:editId="4F4C98CB">
            <wp:extent cx="5278755" cy="22771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755" cy="2277110"/>
                    </a:xfrm>
                    <a:prstGeom prst="rect">
                      <a:avLst/>
                    </a:prstGeom>
                    <a:noFill/>
                    <a:ln>
                      <a:noFill/>
                    </a:ln>
                  </pic:spPr>
                </pic:pic>
              </a:graphicData>
            </a:graphic>
          </wp:inline>
        </w:drawing>
      </w:r>
    </w:p>
    <w:p w14:paraId="4B43497B" w14:textId="669BECBC" w:rsidR="008A096B" w:rsidRPr="00581773" w:rsidRDefault="008A096B" w:rsidP="0091142E">
      <w:pPr>
        <w:pStyle w:val="NIKASLIKE"/>
        <w:rPr>
          <w:lang w:eastAsia="sl-SI"/>
        </w:rPr>
      </w:pPr>
      <w:bookmarkStart w:id="36" w:name="_Toc193193986"/>
      <w:r w:rsidRPr="00581773">
        <w:rPr>
          <w:lang w:eastAsia="sl-SI"/>
        </w:rPr>
        <w:lastRenderedPageBreak/>
        <w:t>Slika 1</w:t>
      </w:r>
      <w:r w:rsidR="003E320C" w:rsidRPr="00581773">
        <w:rPr>
          <w:lang w:eastAsia="sl-SI"/>
        </w:rPr>
        <w:t>3</w:t>
      </w:r>
      <w:r w:rsidRPr="00581773">
        <w:rPr>
          <w:lang w:eastAsia="sl-SI"/>
        </w:rPr>
        <w:t>: Gibanje cestnega in železniškega blagovnega prevoza (vir: SURS)</w:t>
      </w:r>
      <w:bookmarkEnd w:id="36"/>
    </w:p>
    <w:p w14:paraId="4DE96D50" w14:textId="77777777" w:rsidR="008A096B" w:rsidRPr="00581773" w:rsidRDefault="008A096B" w:rsidP="008A096B">
      <w:pPr>
        <w:spacing w:after="120" w:line="245" w:lineRule="auto"/>
        <w:jc w:val="both"/>
        <w:rPr>
          <w:rFonts w:ascii="Arial" w:eastAsia="Calibri" w:hAnsi="Arial" w:cs="Times New Roman"/>
          <w:szCs w:val="20"/>
          <w:lang w:eastAsia="sl-SI"/>
        </w:rPr>
      </w:pPr>
      <w:r w:rsidRPr="00581773">
        <w:rPr>
          <w:rFonts w:ascii="Arial" w:eastAsia="Calibri" w:hAnsi="Arial" w:cs="Times New Roman"/>
          <w:szCs w:val="20"/>
          <w:lang w:eastAsia="sl-SI"/>
        </w:rPr>
        <w:t xml:space="preserve">Delež železniškega blagovnega prevoza v skupnem kopenskem prevozu v zadnjih letih upada, saj ne more dohitevati rasti cestnega blagovnega prometa. Največji je bil v letu 2017, in sicer je obsegal nekoliko več kot 24 %, v letu 2020 pa se je zmanjšal na 19 % (železniški blagovni prevoz je v času pandemije upadel bolj kot cestni), v zadnjih dveh letih pa na 17 %. </w:t>
      </w:r>
    </w:p>
    <w:p w14:paraId="33E9FFEE" w14:textId="13D49A01" w:rsidR="0042650C" w:rsidRPr="00581773" w:rsidRDefault="008A096B" w:rsidP="008A096B">
      <w:pPr>
        <w:spacing w:after="120" w:line="245" w:lineRule="auto"/>
        <w:jc w:val="both"/>
        <w:rPr>
          <w:rFonts w:ascii="Arial" w:eastAsia="Calibri" w:hAnsi="Arial" w:cs="Arial"/>
          <w:szCs w:val="20"/>
          <w:lang w:eastAsia="sl-SI"/>
        </w:rPr>
      </w:pPr>
      <w:r w:rsidRPr="00581773">
        <w:rPr>
          <w:rFonts w:ascii="Arial" w:eastAsia="Calibri" w:hAnsi="Arial" w:cs="Arial"/>
          <w:szCs w:val="20"/>
          <w:lang w:eastAsia="sl-SI"/>
        </w:rPr>
        <w:t>Emisije toplogrednih plinov iz prometa so se povečevale v skladu s povečevanjem rabe energije v tej dejavnosti in so prispevale razmeroma velik delež k skupnim emisijam TG</w:t>
      </w:r>
      <w:r w:rsidR="0024256B" w:rsidRPr="00581773">
        <w:rPr>
          <w:rFonts w:ascii="Arial" w:eastAsia="Calibri" w:hAnsi="Arial" w:cs="Arial"/>
          <w:szCs w:val="20"/>
          <w:lang w:eastAsia="sl-SI"/>
        </w:rPr>
        <w:t>P</w:t>
      </w:r>
      <w:r w:rsidRPr="00581773">
        <w:rPr>
          <w:rFonts w:ascii="Arial" w:eastAsia="Calibri" w:hAnsi="Arial" w:cs="Arial"/>
          <w:szCs w:val="20"/>
          <w:lang w:eastAsia="sl-SI"/>
        </w:rPr>
        <w:t xml:space="preserve"> v Sloveniji. Izpusti emisij TGP iz prometa so se v obdobju 1986–2022 skoraj potrojili. Emisije iz prometa so leta 2022 prispevale 37-odstotni delež vseh emisij, s čimer je to najpomembnejši sektor. Emisije so se v obdobju 2005–2022 povečale za 32 %. Sicer so bile emisije v letu 2020 zaradi ukrepov ob pandemiji znatno nižje kot predhodno leto (za 18,7 %), potem pa so se močno povečale na raven pred letom 2020. Emisije iz cestnega prometa </w:t>
      </w:r>
      <w:r w:rsidRPr="00581773">
        <w:rPr>
          <w:rFonts w:ascii="Arial" w:eastAsia="Calibri" w:hAnsi="Arial" w:cs="Arial"/>
          <w:noProof/>
          <w:szCs w:val="20"/>
          <w:lang w:eastAsia="sl-SI"/>
        </w:rPr>
        <w:t xml:space="preserve">sestavljajo </w:t>
      </w:r>
      <w:r w:rsidRPr="00581773">
        <w:rPr>
          <w:rFonts w:ascii="Arial" w:eastAsia="Calibri" w:hAnsi="Arial" w:cs="Arial"/>
          <w:szCs w:val="20"/>
          <w:lang w:eastAsia="sl-SI"/>
        </w:rPr>
        <w:t>kar 99,6 % emisij celotnega sektorja, pri čemer potniški promet prispeva okrog dve tretjini vseh emisij, eno tretjina pa tovorni promet.</w:t>
      </w:r>
    </w:p>
    <w:p w14:paraId="7512DDB8" w14:textId="6AD4FECE" w:rsidR="0042650C" w:rsidRPr="00581773" w:rsidRDefault="0042650C" w:rsidP="0042650C">
      <w:pPr>
        <w:pStyle w:val="Heading3"/>
      </w:pPr>
      <w:bookmarkStart w:id="37" w:name="_Toc196300800"/>
      <w:r w:rsidRPr="00581773">
        <w:t>II.A.8 Sektorske podrobnosti – Industrija</w:t>
      </w:r>
      <w:bookmarkEnd w:id="37"/>
    </w:p>
    <w:p w14:paraId="3767CFF5" w14:textId="5045F419" w:rsidR="0042650C"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Slovenija je ena od bolj industrializiranih držav v Evropi. Industrija je v letu 2022 ustvarila kar 25,7 % slovenskega BDP. Predelovalne dejavnosti so v letu 2022 </w:t>
      </w:r>
      <w:r w:rsidRPr="00581773">
        <w:rPr>
          <w:rFonts w:eastAsia="Calibri" w:cs="Arial"/>
          <w:noProof/>
        </w:rPr>
        <w:t xml:space="preserve">sestavljale </w:t>
      </w:r>
      <w:r w:rsidRPr="00581773">
        <w:rPr>
          <w:rFonts w:ascii="Arial" w:eastAsia="Times New Roman" w:hAnsi="Arial" w:cs="Arial"/>
          <w:lang w:eastAsia="sl-SI"/>
        </w:rPr>
        <w:t xml:space="preserve">22,6-odstotni delež dodane vrednosti (leta 1995 je ta delež znašal 25,1 %). V letu 2023 je bilo v Sloveniji aktivnih 228.944 podjetij, od tega je 9,2 % delovalo v sektorju predelovalnih dejavnosti, ki so zaposlovale 226.656 oseb. V letu 2022 je bilo največje število zaposlenih (v predelovalnih dejavnostih) v kovinski dejavnosti, sledili sta ji strojna in kemična dejavnost. Okrog 15 % zaposlenih je bilo tujcev, preostali zaposleni so bili državljani Slovenije. V letu 2022 sta imeli dve tretjini delovno aktivnih srednješolsko izobrazbo, 22,4 % visokošolsko ali višješolsko, medtem ko je 12,3 % imelo osnovnošolsko izobrazbo ali manj. Največ zaposlenih je bilo v starostni skupini med 40 in 44 let, sledila ji je skupina med 45 in 49 let. V letu 2022 je bila največja dodana vrednost na zaposlenega v kemični dejavnosti (več kot 81.000 </w:t>
      </w:r>
      <w:r w:rsidR="00986968" w:rsidRPr="00581773">
        <w:rPr>
          <w:rFonts w:ascii="Arial" w:eastAsia="Times New Roman" w:hAnsi="Arial" w:cs="Arial"/>
          <w:lang w:eastAsia="sl-SI"/>
        </w:rPr>
        <w:t>evrov</w:t>
      </w:r>
      <w:r w:rsidRPr="00581773">
        <w:rPr>
          <w:rFonts w:ascii="Arial" w:eastAsia="Times New Roman" w:hAnsi="Arial" w:cs="Arial"/>
          <w:lang w:eastAsia="sl-SI"/>
        </w:rPr>
        <w:t>), sledili sta ji nekovinska in papirna dejavnost. Glede na evropski inovacijski indeks je Slovenija uvrščena med zmerne inovatorke, saj dosega 95,1 % povprečja EU.</w:t>
      </w:r>
    </w:p>
    <w:p w14:paraId="1DD179DD" w14:textId="61C6E46A" w:rsidR="0042650C" w:rsidRPr="00581773" w:rsidRDefault="0042650C" w:rsidP="00A05206">
      <w:pPr>
        <w:pStyle w:val="Heading3"/>
      </w:pPr>
      <w:bookmarkStart w:id="38" w:name="_Toc196300801"/>
      <w:r w:rsidRPr="00581773">
        <w:t xml:space="preserve">II.A.9 Sektorske podrobnosti – </w:t>
      </w:r>
      <w:r w:rsidR="00F95701" w:rsidRPr="00581773">
        <w:t>Stanovanja in struktura urbanih območij</w:t>
      </w:r>
      <w:bookmarkEnd w:id="38"/>
    </w:p>
    <w:p w14:paraId="3357383D" w14:textId="1210247E"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Po podatkih Statističnega urada Slovenije je stanovanjski sklad v začetku leta 2021 obsegal nekaj več kot 864.300 stanovanj, od tega je bilo več kot 80 % naseljenih. To je več stanovanj kot leta 2015. V obdobju 2011–2021 je bilo</w:t>
      </w:r>
      <w:r w:rsidR="00F95701" w:rsidRPr="00581773">
        <w:rPr>
          <w:rFonts w:ascii="Arial" w:eastAsia="Times New Roman" w:hAnsi="Arial" w:cs="Arial"/>
          <w:lang w:eastAsia="sl-SI"/>
        </w:rPr>
        <w:t xml:space="preserve"> skupaj</w:t>
      </w:r>
      <w:r w:rsidRPr="00581773">
        <w:rPr>
          <w:rFonts w:ascii="Arial" w:eastAsia="Times New Roman" w:hAnsi="Arial" w:cs="Arial"/>
          <w:lang w:eastAsia="sl-SI"/>
        </w:rPr>
        <w:t xml:space="preserve"> zgrajenih več kot 36.000 stanovanj, večina je v lasti fizičnih oseb (87 %). Povprečna površina stanovanje je v letu 2021 znašala 83 m</w:t>
      </w:r>
      <w:r w:rsidRPr="00581773">
        <w:rPr>
          <w:rFonts w:ascii="Arial" w:eastAsia="Times New Roman" w:hAnsi="Arial" w:cs="Arial"/>
          <w:vertAlign w:val="superscript"/>
          <w:lang w:eastAsia="sl-SI"/>
        </w:rPr>
        <w:t>2</w:t>
      </w:r>
      <w:r w:rsidRPr="00581773">
        <w:rPr>
          <w:rFonts w:ascii="Arial" w:eastAsia="Times New Roman" w:hAnsi="Arial" w:cs="Arial"/>
          <w:lang w:eastAsia="sl-SI"/>
        </w:rPr>
        <w:t xml:space="preserve">. Največ je stanovanj s tremi sobami ali več, to je 62 %, dvosobnih je 25 % in enosobnih 13 %. Od vseh naseljenih stanovanj je bilo 60 % v eno- ali dvostanovanjskih hišah, v katerih je živelo 66 % prebivalstva. Značilnost Slovenije so lastniška stanovanja, teh je bilo v letu 2021 več kot 92 %. V skoraj 79 % naseljenih stanovanj pa so živeli lastniki stanovanja ali njihovi družinski člani (v letu 2018 je bil delež takih 80,8 %). </w:t>
      </w:r>
    </w:p>
    <w:p w14:paraId="2CF6A360" w14:textId="61F67AB2" w:rsidR="0042650C"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Okrog 20 % stanovanj je brez centralnega ogrevanja, 5 % brez kopalnice. Največ stanovanj brez centralnega ogrevanja je bilo v obalno-kraški in goriški statistični regiji, ki sta sicer tudi </w:t>
      </w:r>
      <w:r w:rsidR="00F95701" w:rsidRPr="00581773">
        <w:rPr>
          <w:rFonts w:ascii="Arial" w:eastAsia="Times New Roman" w:hAnsi="Arial" w:cs="Arial"/>
          <w:lang w:eastAsia="sl-SI"/>
        </w:rPr>
        <w:t xml:space="preserve">toplejši. </w:t>
      </w:r>
      <w:r w:rsidRPr="00581773">
        <w:rPr>
          <w:rFonts w:ascii="Arial" w:eastAsia="Times New Roman" w:hAnsi="Arial" w:cs="Arial"/>
          <w:lang w:eastAsia="sl-SI"/>
        </w:rPr>
        <w:t xml:space="preserve"> </w:t>
      </w:r>
    </w:p>
    <w:p w14:paraId="7FBB679B" w14:textId="731957F2" w:rsidR="0042650C" w:rsidRPr="00581773" w:rsidRDefault="0042650C" w:rsidP="0042650C">
      <w:pPr>
        <w:pStyle w:val="Heading3"/>
      </w:pPr>
      <w:bookmarkStart w:id="39" w:name="_Toc196300802"/>
      <w:r w:rsidRPr="00581773">
        <w:lastRenderedPageBreak/>
        <w:t>II.A.10 Sektorske podrobnosti – Kmetijstvo</w:t>
      </w:r>
      <w:bookmarkEnd w:id="39"/>
    </w:p>
    <w:p w14:paraId="69C842F3" w14:textId="77777777"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V letu 2023 je bilo v Sloveniji 50.531 kmetijskih gospodarstev, kar je za 7 % manj kot leta 2020, ko jih je bilo 54.599. V primerjavi z letom 2020 se je povečalo število gospodarstev v razredu z 20 hektarji kmetijskih zemljišč v uporabi ali več, in sicer za 13 %. </w:t>
      </w:r>
    </w:p>
    <w:p w14:paraId="42BD642E" w14:textId="77777777"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Največji delež kmetijskih zemljišč v uporabi sestavljajo trajni travniki in pašniki (56 %), sledijo njive (38 %) in trajni nasadi (6 %). Celotna površina kmetijskih zemljišč v uporabi pa se je v primerjavi z letom 2020 povečala za več kot 2 %. Po novi metodologiji, ki je v veljavi od leta 2023, povprečno kmetijsko gospodarstvo v Sloveniji meri 8,8 ha, od tega je 5 ha trajnih travnikov in pašnikov, 3,4 ha njiv in 0,5 ha trajnih nasadov.</w:t>
      </w:r>
    </w:p>
    <w:p w14:paraId="0EA9EDB7" w14:textId="77777777"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V letu 2023 je največ kmetijskih gospodarstev gojilo perutnino, sledijo gospodarstva, ki so gojila govedo, nato prašiče, ovce in koze. V primerjavi z letom 2020 je število kmetijskih gospodarstev, ki gojijo govedo, upadlo za 9 %, medtem ko se je število kmetijskih gospodarstev, ki gojijo perutnino in prašiče, povečalo za 16 %, čeprav je število prašičev v primerjavi z letom 2020 upadlo.  </w:t>
      </w:r>
    </w:p>
    <w:p w14:paraId="28112CD2" w14:textId="0BC4CD92"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Bruto dodana vrednost v kmetijstvu je v letu 2023 znašala 0,9 </w:t>
      </w:r>
      <w:r w:rsidR="00757B17" w:rsidRPr="00581773">
        <w:rPr>
          <w:rFonts w:ascii="Arial" w:eastAsia="Times New Roman" w:hAnsi="Arial" w:cs="Arial"/>
          <w:lang w:eastAsia="sl-SI"/>
        </w:rPr>
        <w:t>BDP</w:t>
      </w:r>
      <w:r w:rsidRPr="00581773">
        <w:rPr>
          <w:rFonts w:ascii="Arial" w:eastAsia="Times New Roman" w:hAnsi="Arial" w:cs="Arial"/>
          <w:lang w:eastAsia="sl-SI"/>
        </w:rPr>
        <w:t xml:space="preserve">, kar je nekoliko več kot leta 2021. V panogi je bilo zaposlenih 71.205 ljudi, kar je za 2 % manj kot leta 2022 in tudi manj kot leta 2021. Tudi v letu 2023 je bila večina samozaposlenih (66.800). </w:t>
      </w:r>
    </w:p>
    <w:p w14:paraId="35F135A1" w14:textId="75E4D4BE" w:rsidR="008A096B"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Vrednost kmetijske proizvodnje je bila v letu 2023 1.581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kar je za 1 % manj kot leta 2022, a več kot leta 2021, ko je znašala 1.319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Upad je bil posledica nižjih cen. Po ocenah je bila leta 2023 rastlinska proizvodnja vredna 811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oz</w:t>
      </w:r>
      <w:r w:rsidRPr="00581773">
        <w:rPr>
          <w:rFonts w:ascii="Arial" w:eastAsia="Palatino Linotype" w:hAnsi="Arial" w:cs="Arial"/>
        </w:rPr>
        <w:t>iroma</w:t>
      </w:r>
      <w:r w:rsidRPr="00581773">
        <w:rPr>
          <w:rFonts w:ascii="Arial" w:eastAsia="Times New Roman" w:hAnsi="Arial" w:cs="Arial"/>
          <w:lang w:eastAsia="sl-SI"/>
        </w:rPr>
        <w:t xml:space="preserve"> za 3 % manj kot leto prej. Cene rastlinskih pridelkov so bile nižje, obseg proizvodnje pa je bil večji. Največji upad vrednosti pri rastlinski pridelavi je bil pri žitih in sadju, pri žitih zaradi nižjih cen, pri sadju pa zaradi manjšega obsega proizvodnje. Vrednost živinoreje pa se je v primerjavi z letom 2022 zvišala za 1 %, in sicer na 732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Dvig je posledica višjih cen, medtem ko je bil obseg prireje manjši. </w:t>
      </w:r>
    </w:p>
    <w:p w14:paraId="12A7C46A" w14:textId="0C0D8C57" w:rsidR="0042650C" w:rsidRPr="00581773" w:rsidRDefault="008A096B" w:rsidP="008A096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Delež kmetijskih zemljišč, namenjenih ekološkemu kmetovanju, se povečuje. Površine zemljišč za ekološko kmetovanje so se v obdobju 1999–2022 povečale z 2400 na 53.202 ha oz</w:t>
      </w:r>
      <w:r w:rsidRPr="00581773">
        <w:rPr>
          <w:rFonts w:ascii="Arial" w:eastAsia="Palatino Linotype" w:hAnsi="Arial" w:cs="Arial"/>
        </w:rPr>
        <w:t>iroma</w:t>
      </w:r>
      <w:r w:rsidRPr="00581773">
        <w:rPr>
          <w:rFonts w:ascii="Arial" w:eastAsia="Times New Roman" w:hAnsi="Arial" w:cs="Arial"/>
          <w:lang w:eastAsia="sl-SI"/>
        </w:rPr>
        <w:t xml:space="preserve"> z 0,5 na 11,1 % vseh kmetijskih zemljišč v uporabi. V strukturi zemljišč močno prevladuje trajno travinje, ki je v letu 2022 sestavljalo 79 %, sledijo njive in vrtovi s 14,2 % in trajni nasadi s 6,7 %. To nakazuje, da se za ekološko kmetovanje odločajo predvsem živinorejska gospodarstva. Povprečna kmetija z ekološkim certifikatom je v letu 2023 obdelovala okrog 14 hektarjev kmetijskih zemljišč (nekaj manj kot 11 ha trajnega travinja, 2 ha njiv in okoli 1 ha trajnih nasadov). Največ ekološkega kmetijstva je na območjih z ekstenzivnim travinjem, kot so kraška območja na Primorskem, Notranjskem, Kočevskem ter višji predeli Koroške, medtem ko je najmanj ekološkega kmetovanja v ravninah, kjer so ugodne razmere za intenzivno kmetovanje</w:t>
      </w:r>
    </w:p>
    <w:p w14:paraId="466F1368" w14:textId="331E9A94" w:rsidR="0042650C" w:rsidRPr="00581773" w:rsidRDefault="0042650C" w:rsidP="0042650C">
      <w:pPr>
        <w:pStyle w:val="Heading3"/>
      </w:pPr>
      <w:bookmarkStart w:id="40" w:name="_Toc196300803"/>
      <w:r w:rsidRPr="00581773">
        <w:t>II.A.11 Sektorske podrobnosti – Raba tal in gozdarstvo</w:t>
      </w:r>
      <w:bookmarkEnd w:id="40"/>
    </w:p>
    <w:p w14:paraId="52DC2344" w14:textId="77777777" w:rsidR="009E33B6" w:rsidRPr="00581773" w:rsidRDefault="009E33B6" w:rsidP="009E33B6">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Površina gozdov se je v Sloveniji v zadnjih stoletjih stalno povečevala. Povečevanje se je umirilo po letu 2010. V letu 2022 je gozd pokrival 58 % ozemlja Slovenije. Po deležu gozda je Slovenija med državami EU na tretjem mestu. Površina gozda se sicer povečuje tam, kjer je gozda že zdaj veliko, po drugi strani pa se v predelih z intenzivnim kmetijstvom in v primestnih predelih srečujemo s pritiskom na gozd in težnjo po izsekavanju. Med drevesnimi vrstami v zalogi prevladujeta bukev (32,9 %) in smreka (30,1 %), nato sledijo jelka, hrast in bor. Skupaj </w:t>
      </w:r>
      <w:r w:rsidRPr="00581773">
        <w:rPr>
          <w:rFonts w:ascii="Arial" w:eastAsia="Times New Roman" w:hAnsi="Arial" w:cs="Arial"/>
          <w:lang w:eastAsia="sl-SI"/>
        </w:rPr>
        <w:lastRenderedPageBreak/>
        <w:t xml:space="preserve">56 % lesne zaloge </w:t>
      </w:r>
      <w:r w:rsidRPr="00581773">
        <w:rPr>
          <w:rFonts w:eastAsia="Calibri" w:cs="Arial"/>
          <w:noProof/>
        </w:rPr>
        <w:t xml:space="preserve">sestavljajo </w:t>
      </w:r>
      <w:r w:rsidRPr="00581773">
        <w:rPr>
          <w:rFonts w:ascii="Arial" w:eastAsia="Times New Roman" w:hAnsi="Arial" w:cs="Arial"/>
          <w:lang w:eastAsia="sl-SI"/>
        </w:rPr>
        <w:t xml:space="preserve">listavci, 44 % pa iglavci. Slovenski gozdovi so zastarani, trenutno razmerje razvojnih faz je neugodno. Primanjkuje mlajših dreves, preveč pa je debeljakov. </w:t>
      </w:r>
    </w:p>
    <w:p w14:paraId="6241CAE8" w14:textId="77777777" w:rsidR="009E33B6" w:rsidRPr="00581773" w:rsidRDefault="009E33B6" w:rsidP="009E33B6">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Slovenski gozdovi so se v zadnjih desetletjih v smislu lesnih zalog in prirasta znatno okrepili, saj so se v zadnjih 70 letih povečali za več kot 140 %. Vendar pa posek ni odvisen le od naravnih danosti, temveč tudi od socialnoekonomskih dejavnikov. Krepitev lesnih zalog v Sloveniji je posledica načrtnega gospodarjenja z gozdovi, deloma pa tudi spremenjene metodologije ravnanja z njimi. Spreminjanje poseka v slovenskih gozdovih je očitno: od 100 % skupnega prirastka v petdesetih letih 20. stoletja do manj kot 40 % v začetku devetdesetih let. Leta 2022 je posek dosegel 52 % prirastka. Leta 2023 in 2024 pa je bilo v slovenskih gozdovih opaziti številne naravne motnje, kot so vetrolomi, poplave in napadi podlubnikov, zaradi česar je sanitarni posek v letu 2023 </w:t>
      </w:r>
      <w:r w:rsidRPr="00581773">
        <w:rPr>
          <w:rFonts w:eastAsia="Calibri" w:cs="Arial"/>
          <w:noProof/>
        </w:rPr>
        <w:t xml:space="preserve">sestavljal </w:t>
      </w:r>
      <w:r w:rsidRPr="00581773">
        <w:rPr>
          <w:rFonts w:ascii="Arial" w:eastAsia="Times New Roman" w:hAnsi="Arial" w:cs="Arial"/>
          <w:lang w:eastAsia="sl-SI"/>
        </w:rPr>
        <w:t xml:space="preserve">kar 42 % skupnega letnega poseka. </w:t>
      </w:r>
    </w:p>
    <w:p w14:paraId="2805C5D5" w14:textId="77777777" w:rsidR="009E33B6" w:rsidRPr="00581773" w:rsidRDefault="009E33B6" w:rsidP="009E33B6">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V letu 2021 so izpusti iz sektorja LULUCF znašali 3106 kt CO</w:t>
      </w:r>
      <w:r w:rsidRPr="00581773">
        <w:rPr>
          <w:rFonts w:ascii="Arial" w:eastAsia="Times New Roman" w:hAnsi="Arial" w:cs="Arial"/>
          <w:vertAlign w:val="subscript"/>
          <w:lang w:eastAsia="sl-SI"/>
        </w:rPr>
        <w:t>2</w:t>
      </w:r>
      <w:r w:rsidRPr="00581773">
        <w:rPr>
          <w:rFonts w:ascii="Arial" w:eastAsia="Times New Roman" w:hAnsi="Arial" w:cs="Arial"/>
          <w:lang w:eastAsia="sl-SI"/>
        </w:rPr>
        <w:t xml:space="preserve">, kar pomeni, da so bili ponori za 57 % manjši v primerjavi z letom 2005. Največji prispevek k neto izpustom (95 %) so imela gozdna zemljišča, ki so še vedno največji vir ponorov, sledijo pa jim travinje in pridobljeni lesni proizvodi. Viri izpustov pa so bili njive, mokrišča, naselja in druga gozdna zemljišča. Glede na leto 2005 je bil pri vseh kategorijah, razen mokriščih, opažen trend zmanjševanja izpustov. Ponori v sektorju LULUCF so se v obdobju 2011–2021 zmanjšali za več kot polovico. Med glavnimi razlogi za to zmanjšanje sta usmeritev gozdarske stroke v povečanje količine mogočega poseka ter vpliv naravnih motenj. </w:t>
      </w:r>
    </w:p>
    <w:p w14:paraId="0EE43667" w14:textId="65193952" w:rsidR="009E33B6" w:rsidRPr="00581773" w:rsidRDefault="009E33B6" w:rsidP="009E33B6">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Bruto dodana vrednost v gozdarstvu je v letu 2023 znašala 0,6 % </w:t>
      </w:r>
      <w:r w:rsidR="00757B17" w:rsidRPr="00581773">
        <w:rPr>
          <w:rFonts w:ascii="Arial" w:eastAsia="Times New Roman" w:hAnsi="Arial" w:cs="Arial"/>
          <w:lang w:eastAsia="sl-SI"/>
        </w:rPr>
        <w:t>BDP</w:t>
      </w:r>
      <w:r w:rsidRPr="00581773">
        <w:rPr>
          <w:rFonts w:ascii="Arial" w:eastAsia="Times New Roman" w:hAnsi="Arial" w:cs="Arial"/>
          <w:lang w:eastAsia="sl-SI"/>
        </w:rPr>
        <w:t xml:space="preserve">, kar je nekoliko manj kot leta 2021. Vrednost gozdarske proizvodnje je dosegla 817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kar je za 2 % več kot v letu 2022. Rast je bila posledica višje vrednosti gozdarskih proizvodov in storitev. Vrednost gozdarskih proizvodov se je v primerjavi z letom 2022 povečala za 1 %, v letu 2023 pa je dosegla 727 milijonov </w:t>
      </w:r>
      <w:r w:rsidR="00986968" w:rsidRPr="00581773">
        <w:rPr>
          <w:rFonts w:ascii="Arial" w:eastAsia="Times New Roman" w:hAnsi="Arial" w:cs="Arial"/>
          <w:lang w:eastAsia="sl-SI"/>
        </w:rPr>
        <w:t>evrov</w:t>
      </w:r>
      <w:r w:rsidRPr="00581773">
        <w:rPr>
          <w:rFonts w:ascii="Arial" w:eastAsia="Times New Roman" w:hAnsi="Arial" w:cs="Arial"/>
          <w:lang w:eastAsia="sl-SI"/>
        </w:rPr>
        <w:t xml:space="preserve">, kar je za 27 % več kot leta 2021. Največji delež sta imela stoječi les (52 %) in hlodovina (28 %), oba deleža pa sta se nekoliko zmanjšala v primerjavi z letom prej. </w:t>
      </w:r>
    </w:p>
    <w:p w14:paraId="48B21739" w14:textId="7A87C7BE" w:rsidR="0042650C" w:rsidRPr="00581773" w:rsidRDefault="009E33B6" w:rsidP="009E33B6">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V gozdarsko proizvodnjo je vključenih okoli 6247 zaposlenih, kar je nekoliko manj kot leta 2021 in tudi leta 2022, med njimi pa so bili najštevilnejši samozaposleni. </w:t>
      </w:r>
    </w:p>
    <w:p w14:paraId="0569BB25" w14:textId="77777777" w:rsidR="00565DA6" w:rsidRPr="00581773" w:rsidRDefault="00565DA6" w:rsidP="00565DA6">
      <w:pPr>
        <w:pStyle w:val="Heading3"/>
      </w:pPr>
      <w:bookmarkStart w:id="41" w:name="_Toc196300804"/>
      <w:r w:rsidRPr="00581773">
        <w:t>II.A.12 Sektorske podrobnosti – Odpadki</w:t>
      </w:r>
      <w:bookmarkEnd w:id="41"/>
      <w:r w:rsidRPr="00581773">
        <w:t xml:space="preserve"> </w:t>
      </w:r>
    </w:p>
    <w:p w14:paraId="3A6B3BAC" w14:textId="77777777" w:rsidR="0051425B" w:rsidRPr="00581773" w:rsidRDefault="0051425B" w:rsidP="0051425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t xml:space="preserve">Skupna količina nastalih odpadkov, ki se je po krizi leta 2009 zmanjševala, se od leta 2012 znova povečuje. V letu 2019 je v Sloveniji nastalo okoli 8,4 milijona ton različnih vrst odpadkov, kar je za 88 % več kot leta 2012, ko je bila zaradi spremenjene metodologije in upada poročanih količin gradbenih odpadkov ugotovljena najnižja količina nastalih odpadkov. Do poročanja za leto 2013 je v podatkih o komunalnih odpadkih zajet le del teh odpadkov, zbran v okviru izvajanja javnih služb. V letu 2023 je v Sloveniji nastalo nekaj manj kot 11,4 milijona ton odpadkov, kar je več kot leta 2021, ko je nastalo 9,4 milijona ton odpadkov, in za skoraj 3 % manj, kot je nastalo odpadkov leta 2022. Zmanjšanje odpadkov je bilo posledica zmanjšanja količine gradbenih odpadkov, ki so še zmeraj </w:t>
      </w:r>
      <w:r w:rsidRPr="00581773">
        <w:rPr>
          <w:rFonts w:eastAsia="Calibri" w:cs="Arial"/>
          <w:noProof/>
        </w:rPr>
        <w:t>sestavljali</w:t>
      </w:r>
      <w:r w:rsidRPr="00581773">
        <w:rPr>
          <w:rFonts w:ascii="Arial" w:eastAsia="Times New Roman" w:hAnsi="Arial" w:cs="Arial"/>
          <w:lang w:eastAsia="sl-SI"/>
        </w:rPr>
        <w:t xml:space="preserve"> tri četrtine vseh nastalih odpadkov. Največji upad pa je bil pri odpadkih iz industrije usnja in jekla. Odpadki iz lesa so se za 27 % povečali. Komunalni odpadki so leta 2023 </w:t>
      </w:r>
      <w:r w:rsidRPr="00581773">
        <w:rPr>
          <w:rFonts w:eastAsia="Calibri" w:cs="Arial"/>
          <w:noProof/>
        </w:rPr>
        <w:t>sestavljali</w:t>
      </w:r>
      <w:r w:rsidRPr="00581773">
        <w:rPr>
          <w:rFonts w:ascii="Arial" w:eastAsia="Times New Roman" w:hAnsi="Arial" w:cs="Arial"/>
          <w:lang w:eastAsia="sl-SI"/>
        </w:rPr>
        <w:t xml:space="preserve"> 10 % vseh nastalih odpadkov, v primerjavi z letom 2022 se je njihova količina povečala za 5 %. V povprečju je nastalo 518 kg komunalnih odpadkov na prebivalca, kar je za 22 kilogramov več kot leta 2022. Dobra četrtina je bilo mešanih komunalnih odpadkov, sledili so papir in karton ter biorazgradljivi odpadki. Stopnja recikliranja komunalnih odpadkov je v letu 2023 dosegla skoraj 60 %, kar je sicer nekoliko manj kot leta 2022, a je po letu 2010, ko se je recikliralo le 22,4 % vseh komunalnih odpadkov, opazen bistven napredek. Najbolj so se povečale količine kosovnih odpadkov in lesa, kar je posledica obsežnih poplav. </w:t>
      </w:r>
    </w:p>
    <w:p w14:paraId="67087B81" w14:textId="69DCA007" w:rsidR="0042650C" w:rsidRPr="00581773" w:rsidRDefault="0051425B" w:rsidP="0051425B">
      <w:pPr>
        <w:spacing w:before="100" w:beforeAutospacing="1" w:after="100" w:afterAutospacing="1" w:line="240" w:lineRule="auto"/>
        <w:jc w:val="both"/>
        <w:rPr>
          <w:rFonts w:ascii="Arial" w:eastAsia="Times New Roman" w:hAnsi="Arial" w:cs="Arial"/>
          <w:lang w:eastAsia="sl-SI"/>
        </w:rPr>
      </w:pPr>
      <w:r w:rsidRPr="00581773">
        <w:rPr>
          <w:rFonts w:ascii="Arial" w:eastAsia="Times New Roman" w:hAnsi="Arial" w:cs="Arial"/>
          <w:lang w:eastAsia="sl-SI"/>
        </w:rPr>
        <w:lastRenderedPageBreak/>
        <w:t>V letu 2023 je bilo odstranjenih okrog 363.000 ton odpadkov, več kot polovica jih je bilo odloženih. Med slednjimi so prevladovali komunalni odpadki (41 %), nato odpadki iz mehanske in drugih obdelav ter gradbeni odpadki.</w:t>
      </w:r>
    </w:p>
    <w:p w14:paraId="42EA087D" w14:textId="77777777" w:rsidR="00565DA6" w:rsidRPr="00581773" w:rsidRDefault="00565DA6" w:rsidP="00565DA6">
      <w:pPr>
        <w:pStyle w:val="Heading3"/>
      </w:pPr>
      <w:bookmarkStart w:id="42" w:name="_Toc196300805"/>
      <w:bookmarkStart w:id="43" w:name="_Hlk193104766"/>
      <w:r w:rsidRPr="00581773">
        <w:t>II.A.13 Institucionalne ureditve za spremljanje napredka</w:t>
      </w:r>
      <w:bookmarkEnd w:id="42"/>
    </w:p>
    <w:p w14:paraId="328B105A" w14:textId="79085A9E" w:rsidR="00B35034" w:rsidRPr="00581773" w:rsidRDefault="00B35034" w:rsidP="006423D9">
      <w:pPr>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00581773">
        <w:rPr>
          <w:rFonts w:ascii="Arial" w:hAnsi="Arial" w:cs="Arial"/>
          <w:sz w:val="20"/>
          <w:szCs w:val="20"/>
        </w:rPr>
        <w:t>61. Vsaka pogodbenica mora zagotoviti informacije o institucionalnih ureditvah, vzpostavljenih za spremljanje napredka pri izvajanju in doseganju svojega NDC v skladu s 4. členom Pariškega sporazuma, vključno s tistimi, ki se uporabljajo za spremljanje mednarodno prenesenih rezultatov omilitvenih ukrepov, če je to primerno, ter o vseh spremembah institucionalnih ureditev od zadnjega dvoročnega poročila o preglednosti.</w:t>
      </w:r>
      <w:bookmarkEnd w:id="43"/>
    </w:p>
    <w:p w14:paraId="356AC6B5" w14:textId="77777777" w:rsidR="00565DA6" w:rsidRPr="00581773" w:rsidRDefault="00565DA6"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Uredba EU (EU) 2018/1999 o upravljanju energetske unije in podnebnih ukrepih („Uredba o upravljanju“)</w:t>
      </w:r>
      <w:r w:rsidRPr="00581773">
        <w:rPr>
          <w:rStyle w:val="FootnoteReference"/>
          <w:rFonts w:ascii="Arial" w:hAnsi="Arial" w:cs="Arial"/>
          <w:sz w:val="22"/>
          <w:lang w:val="en-GB"/>
        </w:rPr>
        <w:footnoteReference w:id="7"/>
      </w:r>
      <w:r w:rsidRPr="00581773">
        <w:rPr>
          <w:rFonts w:ascii="Arial" w:hAnsi="Arial" w:cs="Arial"/>
          <w:sz w:val="22"/>
        </w:rPr>
        <w:t xml:space="preserve"> vzpostavlja mehanizem upravljanja in posebne ureditve za spremljanje napredka Unije in njenih držav članic pri izvajanju in doseganju podnebnih in energetskih ciljev in zavez EU v okviru UNFCCC in Pariškega sporazuma. Ti dogovori vključujejo spremljanje emisij in odvzemov toplogrednih plinov, poročanje o politikah in ukrepih, projekcije emisij in odvzemov toplogrednih plinov ter napredek pri prilagajanju podnebnim spremembam. </w:t>
      </w:r>
    </w:p>
    <w:p w14:paraId="5C55CCFE" w14:textId="77777777" w:rsidR="00565DA6" w:rsidRPr="00581773" w:rsidRDefault="00565DA6"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 xml:space="preserve">V skladu z uredbo o upravljanju je EU vzpostavila sistem popisa Unije, da bi zagotovila pravočasnost, preglednost, točnost, doslednost, primerljivost in popolnost podatkov, ki jih sporočajo EU in njene države članice. Ta sistem popisa vključuje program zagotavljanja in nadzora kakovosti, postopke za določanje ocen emisij in celovite preglede podatkov nacionalnega popisa, da se omogoči ocena skladnosti s podnebnimi cilji.  </w:t>
      </w:r>
    </w:p>
    <w:p w14:paraId="62A611CD" w14:textId="411580B5" w:rsidR="00565DA6" w:rsidRPr="00581773" w:rsidRDefault="00565DA6"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Vsaka država članica EU sestavi svojo evidenco toplogrednih plinov v skladu z zahtevami Pariškega sporazuma</w:t>
      </w:r>
      <w:r w:rsidRPr="00581773">
        <w:rPr>
          <w:rStyle w:val="FootnoteReference"/>
          <w:rFonts w:ascii="Arial" w:hAnsi="Arial" w:cs="Arial"/>
          <w:sz w:val="22"/>
          <w:lang w:val="en-GB"/>
        </w:rPr>
        <w:footnoteReference w:id="8"/>
      </w:r>
      <w:r w:rsidRPr="00581773">
        <w:rPr>
          <w:rFonts w:ascii="Arial" w:hAnsi="Arial" w:cs="Arial"/>
          <w:sz w:val="22"/>
        </w:rPr>
        <w:t xml:space="preserve"> in ustrezne smernice Medvladnega odbora za podnebne spremembe (IPCC)</w:t>
      </w:r>
      <w:r w:rsidRPr="00581773">
        <w:rPr>
          <w:rStyle w:val="FootnoteReference"/>
          <w:rFonts w:ascii="Arial" w:hAnsi="Arial" w:cs="Arial"/>
          <w:sz w:val="22"/>
          <w:lang w:val="en-GB"/>
        </w:rPr>
        <w:footnoteReference w:id="9"/>
      </w:r>
      <w:r w:rsidRPr="00581773">
        <w:rPr>
          <w:rFonts w:ascii="Arial" w:hAnsi="Arial" w:cs="Arial"/>
          <w:sz w:val="22"/>
        </w:rPr>
        <w:t xml:space="preserve">. Podatki o evidencah emisij in odvzemov toplogrednih plinov, vključno z informacijami o metodah, se predložijo elektronsko z uporabo sistema poročanja, ki ga upravlja Evropska agencija za okolje (EEA).  Predloženi podatki so predmet postopkov nadzora kakovosti in so vključeni v sestavo evidence toplogrednih plinov v EU. Neto emisije toplogrednih plinov, izračunane iz emisij in odvzemov, prijavljenih v evidenci toplogrednih plinov v EU, so ključne informacije, ki se uporabljajo za sledenje napredku pri doseganju cilja EU NDC za najmanj -55-odstotno zmanjšanje neto emisij do leta 2030 v primerjavi z letom 1990. </w:t>
      </w:r>
    </w:p>
    <w:p w14:paraId="1805C409" w14:textId="247477CB" w:rsidR="00565DA6" w:rsidRPr="00581773" w:rsidRDefault="00565DA6"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 xml:space="preserve">Glede na obseg NDC EU, ki se nanaša na mednarodno letalstvo in </w:t>
      </w:r>
      <w:r w:rsidR="00F95701" w:rsidRPr="00581773">
        <w:rPr>
          <w:rFonts w:ascii="Arial" w:hAnsi="Arial" w:cs="Arial"/>
          <w:sz w:val="22"/>
        </w:rPr>
        <w:t>mednarodno pomorstvo</w:t>
      </w:r>
      <w:r w:rsidRPr="00581773">
        <w:rPr>
          <w:rFonts w:ascii="Arial" w:hAnsi="Arial" w:cs="Arial"/>
          <w:sz w:val="22"/>
        </w:rPr>
        <w:t xml:space="preserve">, je določen delež emisij v mednarodnem letalstvu in </w:t>
      </w:r>
      <w:r w:rsidR="00F95701" w:rsidRPr="00581773">
        <w:rPr>
          <w:rFonts w:ascii="Arial" w:hAnsi="Arial" w:cs="Arial"/>
          <w:sz w:val="22"/>
        </w:rPr>
        <w:t>mednarodnem pomorstvu</w:t>
      </w:r>
      <w:r w:rsidRPr="00581773">
        <w:rPr>
          <w:rFonts w:ascii="Arial" w:hAnsi="Arial" w:cs="Arial"/>
          <w:sz w:val="22"/>
        </w:rPr>
        <w:t>, kot je navedeno v podatkih evidence toplogrednih plinov, izračunan na podlagi integrirane zbirke podatkov o evropskem energetskem sistemu Skupnega raziskovalnega središča (JRC-IDEES)</w:t>
      </w:r>
      <w:r w:rsidRPr="00581773">
        <w:rPr>
          <w:rStyle w:val="FootnoteReference"/>
          <w:rFonts w:ascii="Arial" w:hAnsi="Arial" w:cs="Arial"/>
          <w:sz w:val="22"/>
          <w:lang w:val="en-GB"/>
        </w:rPr>
        <w:footnoteReference w:id="10"/>
      </w:r>
      <w:r w:rsidRPr="00581773">
        <w:rPr>
          <w:rFonts w:ascii="Arial" w:hAnsi="Arial" w:cs="Arial"/>
          <w:sz w:val="22"/>
        </w:rPr>
        <w:t>. Podrobnosti o uporabljeni metodologiji za ugotavljanje emisij toplogrednih plinov iz mednarodnega letalstva in plovbe v okviru EU NDC, ki so dodane nacionalnim skupnim vrednostim iz evidence toplogrednih plinov EU, so podane v Prilogi 2 k temu BTR.</w:t>
      </w:r>
    </w:p>
    <w:p w14:paraId="60F8BCC9" w14:textId="61A44A98" w:rsidR="00565DA6" w:rsidRPr="00581773" w:rsidRDefault="00565DA6" w:rsidP="00B92112">
      <w:pPr>
        <w:pStyle w:val="Standardtext"/>
        <w:pBdr>
          <w:left w:val="single" w:sz="24" w:space="1" w:color="529DBA"/>
        </w:pBdr>
        <w:spacing w:line="240" w:lineRule="auto"/>
        <w:rPr>
          <w:rFonts w:ascii="Arial" w:hAnsi="Arial" w:cs="Arial"/>
          <w:sz w:val="22"/>
        </w:rPr>
      </w:pPr>
      <w:r w:rsidRPr="00581773">
        <w:rPr>
          <w:rFonts w:ascii="Arial" w:hAnsi="Arial" w:cs="Arial"/>
          <w:sz w:val="22"/>
        </w:rPr>
        <w:lastRenderedPageBreak/>
        <w:t>V skladu z uredbo o upravljanju mora vsaka država članica vsaki dve leti poročati Komisiji o stanju izvajanja svojih integriranih nacionalnih energetskih in podnebnih načrtov (NE</w:t>
      </w:r>
      <w:r w:rsidR="002B585E">
        <w:rPr>
          <w:rFonts w:ascii="Arial" w:hAnsi="Arial" w:cs="Arial"/>
          <w:sz w:val="22"/>
        </w:rPr>
        <w:t>PN</w:t>
      </w:r>
      <w:r w:rsidRPr="00581773">
        <w:rPr>
          <w:rFonts w:ascii="Arial" w:hAnsi="Arial" w:cs="Arial"/>
          <w:sz w:val="22"/>
        </w:rPr>
        <w:t>). Ta postopek omogoča Komisiji, da zagotovi, da bodo EU in države članice ostale na pravi poti za dosego cilja podnebne nevtralnosti in napredek pri prilagajanju. V skladu z uredbo o upravljanju države članice nadalje upravljajo nacionalne sisteme za politike, ukrepe in projekcije ter predložijo in poročajo standardizirane informacije, ki so predmet preverjanja kakovosti in popolnosti. EEA na podlagi posredovanih podatkov pripravi projekcije emisij in odvzemov TGP za EU. Informacije za celotno EU so vsako leto povzete v Poročilu o napredku podnebnih ukrepov</w:t>
      </w:r>
      <w:r w:rsidRPr="00581773">
        <w:rPr>
          <w:rStyle w:val="FootnoteReference"/>
          <w:rFonts w:ascii="Arial" w:hAnsi="Arial" w:cs="Arial"/>
          <w:sz w:val="22"/>
          <w:lang w:val="en-GB"/>
        </w:rPr>
        <w:footnoteReference w:id="11"/>
      </w:r>
      <w:r w:rsidRPr="00581773">
        <w:rPr>
          <w:rFonts w:ascii="Arial" w:hAnsi="Arial" w:cs="Arial"/>
          <w:sz w:val="22"/>
        </w:rPr>
        <w:t xml:space="preserve"> Evropske komisije in v poročilu „Trendi in projekcije“ EGP</w:t>
      </w:r>
      <w:r w:rsidRPr="00581773">
        <w:rPr>
          <w:rStyle w:val="FootnoteReference"/>
          <w:rFonts w:ascii="Arial" w:hAnsi="Arial" w:cs="Arial"/>
          <w:sz w:val="22"/>
          <w:lang w:val="en-GB"/>
        </w:rPr>
        <w:footnoteReference w:id="12"/>
      </w:r>
      <w:r w:rsidRPr="00581773">
        <w:rPr>
          <w:rFonts w:ascii="Arial" w:hAnsi="Arial" w:cs="Arial"/>
          <w:sz w:val="22"/>
        </w:rPr>
        <w:t>. Sistemi Unije in nacionalni sistemi se nenehno izboljšujejo.</w:t>
      </w:r>
    </w:p>
    <w:p w14:paraId="60CA4484" w14:textId="501B04D1" w:rsidR="00565DA6" w:rsidRPr="00581773" w:rsidRDefault="0024256B" w:rsidP="00B92112">
      <w:pPr>
        <w:pStyle w:val="Standardtext"/>
        <w:pBdr>
          <w:top w:val="single" w:sz="4" w:space="1" w:color="auto"/>
          <w:left w:val="single" w:sz="24" w:space="1" w:color="529DBA"/>
          <w:bottom w:val="single" w:sz="4" w:space="1" w:color="auto"/>
          <w:right w:val="single" w:sz="4" w:space="4" w:color="auto"/>
        </w:pBdr>
        <w:tabs>
          <w:tab w:val="left" w:pos="8931"/>
        </w:tabs>
        <w:spacing w:after="0" w:line="240" w:lineRule="auto"/>
        <w:ind w:right="142"/>
        <w:contextualSpacing/>
        <w:rPr>
          <w:rFonts w:ascii="Arial" w:hAnsi="Arial" w:cs="Arial"/>
          <w:sz w:val="22"/>
        </w:rPr>
      </w:pPr>
      <w:r w:rsidRPr="00581773">
        <w:rPr>
          <w:rFonts w:ascii="Arial" w:hAnsi="Arial" w:cs="Arial"/>
          <w:sz w:val="22"/>
        </w:rPr>
        <w:t>Celoviti e</w:t>
      </w:r>
      <w:r w:rsidR="0062392D" w:rsidRPr="00581773">
        <w:rPr>
          <w:rFonts w:ascii="Arial" w:hAnsi="Arial" w:cs="Arial"/>
          <w:sz w:val="22"/>
        </w:rPr>
        <w:t>nergetski in podnebni načrti (</w:t>
      </w:r>
      <w:r w:rsidRPr="00581773">
        <w:rPr>
          <w:rFonts w:ascii="Arial" w:hAnsi="Arial" w:cs="Arial"/>
          <w:sz w:val="22"/>
        </w:rPr>
        <w:t>NEPN)</w:t>
      </w:r>
      <w:r w:rsidR="0062392D" w:rsidRPr="00581773">
        <w:rPr>
          <w:rFonts w:ascii="Arial" w:hAnsi="Arial" w:cs="Arial"/>
          <w:sz w:val="22"/>
        </w:rPr>
        <w:t xml:space="preserve"> so bili uvedeni z Uredbo o upravljanju. Za države članice ima NE</w:t>
      </w:r>
      <w:r w:rsidRPr="00581773">
        <w:rPr>
          <w:rFonts w:ascii="Arial" w:hAnsi="Arial" w:cs="Arial"/>
          <w:sz w:val="22"/>
        </w:rPr>
        <w:t>PN</w:t>
      </w:r>
      <w:r w:rsidR="0062392D" w:rsidRPr="00581773">
        <w:rPr>
          <w:rFonts w:ascii="Arial" w:hAnsi="Arial" w:cs="Arial"/>
          <w:sz w:val="22"/>
        </w:rPr>
        <w:t xml:space="preserve"> za obdobje 2021–2030 ključno vlogo pri omogočanju sledenja napredka pri doseganju podnebnih in energetskih ciljev do leta 2030. Posodobitev NE</w:t>
      </w:r>
      <w:r w:rsidRPr="00581773">
        <w:rPr>
          <w:rFonts w:ascii="Arial" w:hAnsi="Arial" w:cs="Arial"/>
          <w:sz w:val="22"/>
        </w:rPr>
        <w:t>PN</w:t>
      </w:r>
      <w:r w:rsidR="0062392D" w:rsidRPr="00581773">
        <w:rPr>
          <w:rFonts w:ascii="Arial" w:hAnsi="Arial" w:cs="Arial"/>
          <w:sz w:val="22"/>
        </w:rPr>
        <w:t xml:space="preserve"> državam članicam omogoča, da ocenijo svoj napredek, ugotovijo vrzeli in revidirajo obstoječe ukrepe ali po potrebi načrtujejo nove.</w:t>
      </w:r>
      <w:r w:rsidR="002B585E">
        <w:rPr>
          <w:rFonts w:ascii="Arial" w:hAnsi="Arial" w:cs="Arial"/>
          <w:sz w:val="22"/>
        </w:rPr>
        <w:t xml:space="preserve"> </w:t>
      </w:r>
      <w:r w:rsidR="0062392D" w:rsidRPr="00581773">
        <w:rPr>
          <w:rFonts w:ascii="Arial" w:hAnsi="Arial" w:cs="Arial"/>
          <w:sz w:val="22"/>
        </w:rPr>
        <w:t>Države članice bi morale ob upoštevanju ocene in priporočil Komisije do 30. junija 2024 predložiti svoje končne posodobljene NE</w:t>
      </w:r>
      <w:r w:rsidRPr="00581773">
        <w:rPr>
          <w:rFonts w:ascii="Arial" w:hAnsi="Arial" w:cs="Arial"/>
          <w:sz w:val="22"/>
        </w:rPr>
        <w:t>PN</w:t>
      </w:r>
      <w:r w:rsidR="0062392D" w:rsidRPr="00581773">
        <w:rPr>
          <w:rFonts w:ascii="Arial" w:hAnsi="Arial" w:cs="Arial"/>
          <w:sz w:val="22"/>
        </w:rPr>
        <w:t>.</w:t>
      </w:r>
    </w:p>
    <w:p w14:paraId="067E3CEE" w14:textId="73DB7B61" w:rsidR="0024256B" w:rsidRPr="00581773" w:rsidRDefault="0024256B" w:rsidP="005B1109">
      <w:pPr>
        <w:jc w:val="both"/>
        <w:rPr>
          <w:rFonts w:ascii="Arial" w:eastAsia="Times New Roman" w:hAnsi="Arial" w:cs="Arial"/>
          <w:b/>
          <w:bCs/>
          <w:lang w:eastAsia="sl-SI"/>
        </w:rPr>
      </w:pPr>
    </w:p>
    <w:p w14:paraId="633FDDB5" w14:textId="12A2B173" w:rsidR="005B1109" w:rsidRPr="00581773" w:rsidRDefault="005B1109" w:rsidP="005B1109">
      <w:pPr>
        <w:jc w:val="both"/>
        <w:rPr>
          <w:rFonts w:ascii="Arial" w:eastAsia="Times New Roman" w:hAnsi="Arial" w:cs="Arial"/>
          <w:b/>
          <w:bCs/>
          <w:lang w:eastAsia="sl-SI"/>
        </w:rPr>
      </w:pPr>
      <w:r w:rsidRPr="00581773">
        <w:rPr>
          <w:rFonts w:ascii="Arial" w:eastAsia="Times New Roman" w:hAnsi="Arial" w:cs="Arial"/>
          <w:b/>
          <w:bCs/>
          <w:lang w:eastAsia="sl-SI"/>
        </w:rPr>
        <w:t>Slovenija</w:t>
      </w:r>
      <w:r w:rsidRPr="00581773">
        <w:rPr>
          <w:rFonts w:ascii="Arial" w:hAnsi="Arial" w:cs="Arial"/>
          <w:b/>
          <w:bCs/>
        </w:rPr>
        <w:t xml:space="preserve"> </w:t>
      </w:r>
    </w:p>
    <w:p w14:paraId="4477F1E5" w14:textId="1AE31985" w:rsidR="005B1109" w:rsidRPr="00581773" w:rsidRDefault="005B1109" w:rsidP="005B1109">
      <w:pPr>
        <w:spacing w:after="120" w:line="245" w:lineRule="auto"/>
        <w:jc w:val="both"/>
        <w:rPr>
          <w:rFonts w:ascii="Arial" w:eastAsia="Times New Roman" w:hAnsi="Arial" w:cs="Arial"/>
          <w:lang w:eastAsia="sl-SI"/>
        </w:rPr>
      </w:pPr>
      <w:r w:rsidRPr="00581773">
        <w:rPr>
          <w:rFonts w:ascii="Arial" w:eastAsia="Times New Roman" w:hAnsi="Arial" w:cs="Arial"/>
          <w:lang w:eastAsia="sl-SI"/>
        </w:rPr>
        <w:t>Agencija Republike Slovenije za okolje (ARSO) je v Sloveniji pristojna za pripravo evidenc emisij. Pri evidentiranju emisij ARSO sodeluje s številnimi drugimi ustanovami in upravnimi organi, ki ji pošiljajo podatke o aktivnostih in druge ustrezne podatke, potrebne za pripravo evidenc. Podrobno je institucionalni okvir nacionalnega sistema evidenc opisan v NID.</w:t>
      </w:r>
      <w:r w:rsidRPr="00581773">
        <w:rPr>
          <w:rFonts w:ascii="Arial" w:eastAsia="Times New Roman" w:hAnsi="Arial" w:cs="Arial"/>
          <w:vertAlign w:val="superscript"/>
          <w:lang w:eastAsia="sl-SI"/>
        </w:rPr>
        <w:footnoteReference w:id="13"/>
      </w:r>
      <w:r w:rsidRPr="00581773">
        <w:rPr>
          <w:rFonts w:ascii="Arial" w:eastAsia="Times New Roman" w:hAnsi="Arial" w:cs="Arial"/>
          <w:lang w:eastAsia="sl-SI"/>
        </w:rPr>
        <w:t xml:space="preserve"> </w:t>
      </w:r>
    </w:p>
    <w:p w14:paraId="4887A61F" w14:textId="77769713" w:rsidR="005B1109" w:rsidRPr="00581773" w:rsidRDefault="005B1109" w:rsidP="005B1109">
      <w:pPr>
        <w:spacing w:after="120" w:line="245" w:lineRule="auto"/>
        <w:jc w:val="both"/>
        <w:rPr>
          <w:rFonts w:ascii="Arial" w:eastAsia="Times New Roman" w:hAnsi="Arial" w:cs="Arial"/>
          <w:lang w:eastAsia="sl-SI"/>
        </w:rPr>
      </w:pPr>
      <w:r w:rsidRPr="00581773">
        <w:rPr>
          <w:rFonts w:ascii="Arial" w:eastAsia="Times New Roman" w:hAnsi="Arial" w:cs="Arial"/>
          <w:lang w:eastAsia="sl-SI"/>
        </w:rPr>
        <w:t>Glavni odgovorni organ za spremljanje doseganja podnebnih ciljev in za nacionalni sistem spremljanja izvajanja podnebne politike je ministrstvo, pristojno za podnebje, danes je to MOPE. Sistem spremljanja doseganja ciljev podnebne politike je vpet v širši sistem spremljanja in izvajanja podnebne politike, ki je podrobno opisan v poglavju o ukrepih in poročilu Slovenije BR5/NC8.</w:t>
      </w:r>
      <w:r w:rsidRPr="00581773">
        <w:rPr>
          <w:rFonts w:ascii="Arial" w:eastAsia="Times New Roman" w:hAnsi="Arial" w:cs="Arial"/>
          <w:vertAlign w:val="superscript"/>
          <w:lang w:eastAsia="sl-SI"/>
        </w:rPr>
        <w:footnoteReference w:id="14"/>
      </w:r>
      <w:r w:rsidRPr="00581773">
        <w:rPr>
          <w:rFonts w:ascii="Arial" w:eastAsia="Times New Roman" w:hAnsi="Arial" w:cs="Arial"/>
          <w:lang w:eastAsia="sl-SI"/>
        </w:rPr>
        <w:t xml:space="preserve"> Zanj je pristojen Direktorat za podnebne politike na MOPE. Spremljanje doseganja ciljev danes poteka v skladu z Zakonom o varstvu okolja, ki ureja področje spremljanja okoljskih politik, in Uredbo EU </w:t>
      </w:r>
      <w:r w:rsidRPr="00581773">
        <w:rPr>
          <w:rFonts w:ascii="Arial" w:eastAsia="Palatino Linotype" w:hAnsi="Arial" w:cs="Arial"/>
          <w:lang w:eastAsia="sl-SI"/>
        </w:rPr>
        <w:t>2018/1999</w:t>
      </w:r>
      <w:r w:rsidRPr="00581773">
        <w:rPr>
          <w:rFonts w:ascii="Arial" w:eastAsia="Times New Roman" w:hAnsi="Arial" w:cs="Arial"/>
          <w:lang w:eastAsia="sl-SI"/>
        </w:rPr>
        <w:t xml:space="preserve">. V pripravi je Podnebni zakon, ki bo veljavni pravni okvir nadgradil in sedanji sistem spremljanja podrobneje formaliziral. Poleg tega doseganje podnebnih ciljev spremlja tudi Direktorat za energijo na MOPE, in sicer v okviru spremljanja izvajanja in poročanja o izvajanju NEPN. Izvajanje teh obveznosti poteka usklajeno med obema direktoratoma in v sodelovanju z drugimi pristojnimi resorji.  </w:t>
      </w:r>
    </w:p>
    <w:p w14:paraId="5E4DCEA3" w14:textId="19933513" w:rsidR="00565DA6" w:rsidRPr="00581773" w:rsidRDefault="005B1109" w:rsidP="005B1109">
      <w:pPr>
        <w:spacing w:after="120" w:line="245" w:lineRule="auto"/>
        <w:jc w:val="both"/>
        <w:rPr>
          <w:rFonts w:ascii="Arial" w:eastAsia="Times New Roman" w:hAnsi="Arial" w:cs="Arial"/>
          <w:lang w:eastAsia="sl-SI"/>
        </w:rPr>
      </w:pPr>
      <w:r w:rsidRPr="00581773">
        <w:rPr>
          <w:rFonts w:ascii="Arial" w:eastAsia="Times New Roman" w:hAnsi="Arial" w:cs="Arial"/>
          <w:lang w:eastAsia="sl-SI"/>
        </w:rPr>
        <w:t xml:space="preserve">Sistem spremljanja izvajanja podnebne politike vključuje tudi poročilo z oceno doseganja </w:t>
      </w:r>
      <w:r w:rsidRPr="00581773">
        <w:rPr>
          <w:rFonts w:ascii="Arial" w:eastAsia="Times New Roman" w:hAnsi="Arial" w:cs="Arial"/>
          <w:color w:val="000000" w:themeColor="text1"/>
          <w:lang w:eastAsia="sl-SI"/>
        </w:rPr>
        <w:t>ciljev,</w:t>
      </w:r>
      <w:r w:rsidRPr="00581773">
        <w:rPr>
          <w:rFonts w:ascii="Arial" w:eastAsia="Times New Roman" w:hAnsi="Arial" w:cs="Arial"/>
          <w:color w:val="000000" w:themeColor="text1"/>
          <w:vertAlign w:val="superscript"/>
          <w:lang w:eastAsia="sl-SI"/>
        </w:rPr>
        <w:footnoteReference w:id="15"/>
      </w:r>
      <w:r w:rsidRPr="00581773">
        <w:rPr>
          <w:rFonts w:ascii="Arial" w:eastAsia="Times New Roman" w:hAnsi="Arial" w:cs="Arial"/>
          <w:color w:val="000000" w:themeColor="text1"/>
          <w:lang w:eastAsia="sl-SI"/>
        </w:rPr>
        <w:t xml:space="preserve"> v katerem </w:t>
      </w:r>
      <w:r w:rsidRPr="00581773">
        <w:rPr>
          <w:rFonts w:ascii="Arial" w:eastAsia="Times New Roman" w:hAnsi="Arial" w:cs="Arial"/>
          <w:lang w:eastAsia="sl-SI"/>
        </w:rPr>
        <w:t xml:space="preserve">so povzete vse glavne ugotovitve glede doseganja ciljev na področjih zmanjševanja emisij TGP ter povečevanja energetske učinkovitosti in deleža obnovljivih virov energije (OVE) v bruto rabi končne energije. Vključeni so tudi pregled financiranja izvajanja ukrepov za zmanjševanje emisij TGP, prikaz kazalnikov in kvalitativnih ocen glede doseganja njihovih ciljev in dolgoročnega </w:t>
      </w:r>
      <w:r w:rsidRPr="00581773">
        <w:rPr>
          <w:rFonts w:ascii="Arial" w:eastAsia="Times New Roman" w:hAnsi="Arial" w:cs="Arial"/>
          <w:color w:val="000000" w:themeColor="text1"/>
          <w:lang w:eastAsia="sl-SI"/>
        </w:rPr>
        <w:t xml:space="preserve">obvladovanja emisij ter energetsko-podnebni cilji do leta 2030 </w:t>
      </w:r>
      <w:r w:rsidRPr="00581773">
        <w:rPr>
          <w:rFonts w:ascii="Arial" w:eastAsia="Times New Roman" w:hAnsi="Arial" w:cs="Arial"/>
          <w:color w:val="000000" w:themeColor="text1"/>
          <w:lang w:eastAsia="sl-SI"/>
        </w:rPr>
        <w:lastRenderedPageBreak/>
        <w:t xml:space="preserve">in leta 2050. Poročilo je vsakoletno podprto tudi s </w:t>
      </w:r>
      <w:r w:rsidR="0083219B" w:rsidRPr="00581773">
        <w:rPr>
          <w:rFonts w:ascii="Arial" w:eastAsia="Times New Roman" w:hAnsi="Arial" w:cs="Arial"/>
          <w:color w:val="000000" w:themeColor="text1"/>
          <w:lang w:eastAsia="sl-SI"/>
        </w:rPr>
        <w:t>kazalci</w:t>
      </w:r>
      <w:r w:rsidRPr="00581773">
        <w:rPr>
          <w:rFonts w:ascii="Arial" w:eastAsia="Times New Roman" w:hAnsi="Arial" w:cs="Arial"/>
          <w:color w:val="000000" w:themeColor="text1"/>
          <w:lang w:eastAsia="sl-SI"/>
        </w:rPr>
        <w:t xml:space="preserve"> </w:t>
      </w:r>
      <w:hyperlink r:id="rId26" w:history="1">
        <w:r w:rsidRPr="00581773">
          <w:rPr>
            <w:rFonts w:ascii="Arial" w:eastAsia="Times New Roman" w:hAnsi="Arial" w:cs="Arial"/>
            <w:color w:val="000000" w:themeColor="text1"/>
            <w:lang w:eastAsia="sl-SI"/>
          </w:rPr>
          <w:t>doseganja ciljev</w:t>
        </w:r>
      </w:hyperlink>
      <w:r w:rsidRPr="00581773">
        <w:rPr>
          <w:rFonts w:ascii="Arial" w:eastAsia="Times New Roman" w:hAnsi="Arial" w:cs="Arial"/>
          <w:color w:val="000000" w:themeColor="text1"/>
          <w:vertAlign w:val="superscript"/>
          <w:lang w:eastAsia="sl-SI"/>
        </w:rPr>
        <w:footnoteReference w:id="16"/>
      </w:r>
      <w:r w:rsidRPr="00581773">
        <w:rPr>
          <w:rFonts w:ascii="Arial" w:eastAsia="Times New Roman" w:hAnsi="Arial" w:cs="Arial"/>
          <w:color w:val="000000" w:themeColor="text1"/>
          <w:lang w:eastAsia="sl-SI"/>
        </w:rPr>
        <w:t xml:space="preserve"> v okviru </w:t>
      </w:r>
      <w:r w:rsidR="0083219B" w:rsidRPr="00581773">
        <w:rPr>
          <w:rFonts w:ascii="Arial" w:eastAsia="Times New Roman" w:hAnsi="Arial" w:cs="Arial"/>
          <w:color w:val="000000" w:themeColor="text1"/>
          <w:lang w:eastAsia="sl-SI"/>
        </w:rPr>
        <w:t>kazalcev</w:t>
      </w:r>
      <w:r w:rsidRPr="00581773">
        <w:rPr>
          <w:rFonts w:ascii="Arial" w:eastAsia="Times New Roman" w:hAnsi="Arial" w:cs="Arial"/>
          <w:color w:val="000000" w:themeColor="text1"/>
          <w:lang w:eastAsia="sl-SI"/>
        </w:rPr>
        <w:t xml:space="preserve"> </w:t>
      </w:r>
      <w:hyperlink r:id="rId27" w:history="1">
        <w:r w:rsidRPr="00581773">
          <w:rPr>
            <w:rFonts w:ascii="Arial" w:eastAsia="Times New Roman" w:hAnsi="Arial" w:cs="Arial"/>
            <w:color w:val="000000" w:themeColor="text1"/>
            <w:lang w:eastAsia="sl-SI"/>
          </w:rPr>
          <w:t>Podnebnega ogledala,</w:t>
        </w:r>
        <w:r w:rsidRPr="00581773">
          <w:rPr>
            <w:rFonts w:ascii="Arial" w:eastAsia="Times New Roman" w:hAnsi="Arial" w:cs="Arial"/>
            <w:color w:val="000000" w:themeColor="text1"/>
            <w:vertAlign w:val="superscript"/>
            <w:lang w:eastAsia="sl-SI"/>
          </w:rPr>
          <w:footnoteReference w:id="17"/>
        </w:r>
        <w:r w:rsidRPr="00581773">
          <w:rPr>
            <w:rFonts w:ascii="Arial" w:eastAsia="Times New Roman" w:hAnsi="Arial" w:cs="Arial"/>
            <w:color w:val="000000" w:themeColor="text1"/>
            <w:lang w:eastAsia="sl-SI"/>
          </w:rPr>
          <w:t xml:space="preserve"> </w:t>
        </w:r>
      </w:hyperlink>
      <w:r w:rsidRPr="00581773">
        <w:rPr>
          <w:rFonts w:ascii="Arial" w:eastAsia="Times New Roman" w:hAnsi="Arial" w:cs="Arial"/>
          <w:color w:val="000000" w:themeColor="text1"/>
          <w:lang w:eastAsia="sl-SI"/>
        </w:rPr>
        <w:t xml:space="preserve"> objavljenimi na spletni strani ARSO.</w:t>
      </w:r>
    </w:p>
    <w:p w14:paraId="4AB213D4" w14:textId="77777777" w:rsidR="005B1109" w:rsidRPr="00581773" w:rsidRDefault="005B1109" w:rsidP="005B1109">
      <w:pPr>
        <w:pStyle w:val="Heading3"/>
      </w:pPr>
      <w:bookmarkStart w:id="44" w:name="_Toc196300806"/>
      <w:r w:rsidRPr="00581773">
        <w:t>II.A.14 Dogovori za izvajanje in spremljanje izvajanja podnebne politike ter poročanje o njej, arhiviranje informacij in vključevanje deležnikov</w:t>
      </w:r>
      <w:bookmarkEnd w:id="44"/>
    </w:p>
    <w:p w14:paraId="7C5C6C70" w14:textId="77777777" w:rsidR="005B1109" w:rsidRPr="00581773" w:rsidRDefault="005B1109" w:rsidP="005B1109">
      <w:pPr>
        <w:pBdr>
          <w:top w:val="single" w:sz="4" w:space="1" w:color="auto"/>
          <w:left w:val="single" w:sz="4" w:space="4" w:color="auto"/>
          <w:bottom w:val="single" w:sz="4" w:space="1" w:color="auto"/>
          <w:right w:val="single" w:sz="4" w:space="4" w:color="auto"/>
        </w:pBdr>
        <w:shd w:val="clear" w:color="auto" w:fill="E8E8E8" w:themeFill="background2"/>
        <w:autoSpaceDE w:val="0"/>
        <w:autoSpaceDN w:val="0"/>
        <w:adjustRightInd w:val="0"/>
        <w:spacing w:after="0" w:line="240" w:lineRule="auto"/>
        <w:jc w:val="both"/>
        <w:rPr>
          <w:rFonts w:ascii="Arial" w:hAnsi="Arial" w:cs="Arial"/>
          <w:color w:val="000000"/>
          <w:sz w:val="18"/>
          <w:szCs w:val="18"/>
        </w:rPr>
      </w:pPr>
      <w:r w:rsidRPr="00581773">
        <w:rPr>
          <w:rFonts w:ascii="Arial" w:hAnsi="Arial" w:cs="Arial"/>
          <w:sz w:val="18"/>
          <w:szCs w:val="18"/>
        </w:rPr>
        <w:t xml:space="preserve">62. </w:t>
      </w:r>
      <w:r w:rsidRPr="00581773">
        <w:rPr>
          <w:rFonts w:ascii="Arial" w:hAnsi="Arial" w:cs="Arial"/>
          <w:sz w:val="20"/>
          <w:szCs w:val="20"/>
        </w:rPr>
        <w:t>Vsaka pogodbenica mora zagotoviti informacije o pravnih, institucionalnih, upravnih in postopkovnih ureditvah za nacionalno izvajanje in spremljanje izvajanja podnebne politike ter poročanje o njej, arhiviranje informacij in vključevanje deležnikov v zvezi z izvajanjem in doseganjem njenega nacionalno določenega prispevka (NDC) v skladu s 4. členom Pariškega sporazuma.</w:t>
      </w:r>
    </w:p>
    <w:p w14:paraId="4A2A0682" w14:textId="4EDC2B98" w:rsidR="005B1109" w:rsidRPr="00581773" w:rsidRDefault="005B1109" w:rsidP="005B1109">
      <w:pPr>
        <w:rPr>
          <w:rFonts w:ascii="Arial" w:hAnsi="Arial" w:cs="Arial"/>
          <w:b/>
          <w:bCs/>
        </w:rPr>
      </w:pPr>
    </w:p>
    <w:p w14:paraId="51EB62CC" w14:textId="74977B4F" w:rsidR="005B1109" w:rsidRPr="00581773" w:rsidRDefault="005B1109" w:rsidP="00B92112">
      <w:pPr>
        <w:pStyle w:val="Standardtext"/>
        <w:pBdr>
          <w:left w:val="single" w:sz="24" w:space="1" w:color="529DBA"/>
        </w:pBdr>
        <w:spacing w:line="240" w:lineRule="auto"/>
        <w:rPr>
          <w:rFonts w:ascii="Arial" w:hAnsi="Arial" w:cs="Arial"/>
          <w:sz w:val="22"/>
        </w:rPr>
      </w:pPr>
      <w:r w:rsidRPr="00581773">
        <w:rPr>
          <w:rFonts w:ascii="Arial" w:hAnsi="Arial" w:cs="Arial"/>
          <w:color w:val="000000" w:themeColor="text1"/>
          <w:sz w:val="22"/>
        </w:rPr>
        <w:t xml:space="preserve">EU in njene države članice so vzpostavile celovit sistem za izvajanje ciljev EU za </w:t>
      </w:r>
      <w:r w:rsidR="00842011" w:rsidRPr="00581773">
        <w:rPr>
          <w:rFonts w:ascii="Arial" w:hAnsi="Arial" w:cs="Arial"/>
          <w:color w:val="000000" w:themeColor="text1"/>
          <w:sz w:val="22"/>
        </w:rPr>
        <w:t>blaženje</w:t>
      </w:r>
      <w:r w:rsidRPr="00581773">
        <w:rPr>
          <w:rFonts w:ascii="Arial" w:hAnsi="Arial" w:cs="Arial"/>
          <w:color w:val="000000" w:themeColor="text1"/>
          <w:sz w:val="22"/>
        </w:rPr>
        <w:t xml:space="preserve"> podnebnih sprememb. Evropska podnebna zakonodaja</w:t>
      </w:r>
      <w:r w:rsidRPr="00581773">
        <w:rPr>
          <w:rFonts w:ascii="Arial" w:hAnsi="Arial" w:cs="Arial"/>
          <w:color w:val="000000" w:themeColor="text1"/>
          <w:sz w:val="22"/>
          <w:vertAlign w:val="superscript"/>
        </w:rPr>
        <w:t>46</w:t>
      </w:r>
      <w:r w:rsidRPr="00581773">
        <w:rPr>
          <w:rFonts w:ascii="Arial" w:hAnsi="Arial" w:cs="Arial"/>
          <w:color w:val="000000" w:themeColor="text1"/>
          <w:sz w:val="22"/>
        </w:rPr>
        <w:t xml:space="preserve"> določa cilj podnebne nevtralnosti do leta 2050 in vmesni cilj zmanjšanja neto emisij toplogrednih plinov za najmanj 55 % do leta 2030 v primerjavi z ravnmi iz leta 1990. Ti cilji zajemajo emisije in odvzeme, ki jih ureja pravo Unije.</w:t>
      </w:r>
      <w:r w:rsidRPr="00581773">
        <w:rPr>
          <w:rFonts w:ascii="Arial" w:hAnsi="Arial" w:cs="Arial"/>
          <w:sz w:val="22"/>
        </w:rPr>
        <w:t xml:space="preserve"> </w:t>
      </w:r>
    </w:p>
    <w:p w14:paraId="4E39FE3B" w14:textId="23B67F5A" w:rsidR="005B1109" w:rsidRPr="00581773" w:rsidRDefault="005B1109" w:rsidP="00B92112">
      <w:pPr>
        <w:pStyle w:val="Standardtext"/>
        <w:pBdr>
          <w:left w:val="single" w:sz="24" w:space="1" w:color="529DBA"/>
        </w:pBdr>
        <w:spacing w:line="240" w:lineRule="auto"/>
        <w:rPr>
          <w:rFonts w:ascii="Arial" w:eastAsia="Times New Roman" w:hAnsi="Arial" w:cs="Arial"/>
          <w:sz w:val="22"/>
        </w:rPr>
      </w:pPr>
      <w:r w:rsidRPr="00581773">
        <w:rPr>
          <w:rFonts w:ascii="Arial" w:hAnsi="Arial" w:cs="Arial"/>
          <w:sz w:val="22"/>
        </w:rPr>
        <w:t>Da bi zagotovili, da bodo EU in njene države članice dosegle svoj cilj, je bil vzpostavljen podnebni in energetski okvir do leta 2030. Glavne politike tega okvira so sistem EU za trgovanje z emisijami (EU ETS)</w:t>
      </w:r>
      <w:r w:rsidRPr="00581773">
        <w:rPr>
          <w:rStyle w:val="FootnoteReference"/>
          <w:rFonts w:ascii="Arial" w:hAnsi="Arial" w:cs="Arial"/>
          <w:sz w:val="22"/>
          <w:lang w:val="en-GB"/>
        </w:rPr>
        <w:footnoteReference w:id="18"/>
      </w:r>
      <w:r w:rsidRPr="00581773">
        <w:rPr>
          <w:rFonts w:ascii="Arial" w:hAnsi="Arial" w:cs="Arial"/>
          <w:sz w:val="22"/>
        </w:rPr>
        <w:t xml:space="preserve">, ki omejuje emisije toplogrednih plinov v energetiki, industriji, letalstvu in pomorskem prometu; Uredbo LULUCF, ki vključuje nacionalne cilje neto odvzema za sektor LULUCF; in Uredbo o porazdelitvi prizadevanj (ESR), ki določa nacionalne cilje zmanjšanja emisij toplogrednih plinov, ki niso zajeti v EU ETS ali Uredbi LULUCF, tj. domači promet (razen letalstva), zgradbe, kmetijstvo, mala industrija in odpadki. Izvajanje ESR je podprto z dodatnimi sektorskimi politikami in ukrepi (podrobnosti najdete v tem BTR v poglavju o politikah in ukrepih za </w:t>
      </w:r>
      <w:r w:rsidR="00842011" w:rsidRPr="00581773">
        <w:rPr>
          <w:rFonts w:ascii="Arial" w:hAnsi="Arial" w:cs="Arial"/>
          <w:sz w:val="22"/>
        </w:rPr>
        <w:t>blaženje</w:t>
      </w:r>
      <w:r w:rsidRPr="00581773">
        <w:rPr>
          <w:rFonts w:ascii="Arial" w:hAnsi="Arial" w:cs="Arial"/>
          <w:sz w:val="22"/>
        </w:rPr>
        <w:t xml:space="preserve">). Zakonodajni akti podnebno-energetskega okvira 2030 od Evropske komisije in držav članic EU zahtevajo vzpostavitev institucionalnih ureditev za izvajanje posebnih politik in ukrepov. </w:t>
      </w:r>
    </w:p>
    <w:p w14:paraId="7544D4BA" w14:textId="43F9958D" w:rsidR="005B1109" w:rsidRPr="00581773" w:rsidRDefault="005B1109" w:rsidP="00B92112">
      <w:pPr>
        <w:pStyle w:val="Standardtext"/>
        <w:pBdr>
          <w:top w:val="single" w:sz="4" w:space="1" w:color="auto"/>
          <w:left w:val="single" w:sz="24" w:space="1" w:color="529DBA"/>
          <w:bottom w:val="single" w:sz="4" w:space="1" w:color="auto"/>
          <w:right w:val="single" w:sz="4" w:space="1" w:color="auto"/>
        </w:pBdr>
        <w:tabs>
          <w:tab w:val="left" w:pos="8931"/>
        </w:tabs>
        <w:spacing w:line="240" w:lineRule="auto"/>
        <w:ind w:right="142"/>
        <w:rPr>
          <w:rFonts w:ascii="Arial" w:eastAsia="Times New Roman" w:hAnsi="Arial" w:cs="Arial"/>
          <w:sz w:val="22"/>
        </w:rPr>
      </w:pPr>
      <w:r w:rsidRPr="00581773">
        <w:rPr>
          <w:rFonts w:ascii="Arial" w:hAnsi="Arial" w:cs="Arial"/>
          <w:sz w:val="22"/>
        </w:rPr>
        <w:t>Revidirana Direktiva EU ETS povečuje raven ambicij v obstoječem sistemu s 43-% na 62</w:t>
      </w:r>
      <w:r w:rsidR="006423D9" w:rsidRPr="00581773">
        <w:rPr>
          <w:rFonts w:ascii="Arial" w:hAnsi="Arial" w:cs="Arial"/>
          <w:sz w:val="22"/>
        </w:rPr>
        <w:t xml:space="preserve"> </w:t>
      </w:r>
      <w:r w:rsidRPr="00581773">
        <w:rPr>
          <w:rFonts w:ascii="Arial" w:hAnsi="Arial" w:cs="Arial"/>
          <w:sz w:val="22"/>
        </w:rPr>
        <w:t>% zmanjšanje emisij do leta 2030 v primerjavi z ravnmi iz leta 2005 in razširja sistem, da se uporablja tudi za mednarodni pomorski promet. Ločen sistem določanja cen ogljika bo veljal za zgorevanje goriva v cestnem prometu in stavbah ter sektorjih z majhnimi emisijami (ETS2) s ciljem zmanjšanja emisij za 42 % v primerjavi z letom 2005 v vseh zajetih sektorjih. Spremenjena uredba o porazdelitvi prizadevanj (ESR) je za sektorje, ki jih zajema, povečala cilj zmanjšanja emisij toplogrednih plinov na ravni EU z 29 % na 40 % do leta 2030 v primerjavi z letom 2005, kar pomeni posodobljene cilje za leto 2030 za vsako državo članico. Nova Uredba LULUCF določa splošni cilj na ravni EU 310 Mt ekvivalenta CO</w:t>
      </w:r>
      <w:r w:rsidRPr="00581773">
        <w:rPr>
          <w:rFonts w:ascii="Arial" w:hAnsi="Arial" w:cs="Arial"/>
          <w:sz w:val="22"/>
          <w:vertAlign w:val="subscript"/>
        </w:rPr>
        <w:t>2</w:t>
      </w:r>
      <w:r w:rsidRPr="00581773">
        <w:rPr>
          <w:rFonts w:ascii="Arial" w:hAnsi="Arial" w:cs="Arial"/>
          <w:sz w:val="22"/>
        </w:rPr>
        <w:t xml:space="preserve"> neto odvzemov v sektorju LULUCF do leta 2030.</w:t>
      </w:r>
    </w:p>
    <w:p w14:paraId="6CA1D9A8" w14:textId="6015E286" w:rsidR="005B1109" w:rsidRPr="00581773" w:rsidRDefault="005B1109" w:rsidP="00B92112">
      <w:pPr>
        <w:pStyle w:val="Standardtext"/>
        <w:pBdr>
          <w:top w:val="single" w:sz="4" w:space="1" w:color="auto"/>
          <w:left w:val="single" w:sz="24" w:space="1" w:color="529DBA"/>
          <w:bottom w:val="single" w:sz="4" w:space="1" w:color="auto"/>
          <w:right w:val="single" w:sz="4" w:space="1" w:color="auto"/>
        </w:pBdr>
        <w:tabs>
          <w:tab w:val="left" w:pos="8931"/>
        </w:tabs>
        <w:spacing w:line="240" w:lineRule="auto"/>
        <w:ind w:right="142"/>
        <w:rPr>
          <w:rFonts w:ascii="Arial" w:eastAsia="Times New Roman" w:hAnsi="Arial" w:cs="Arial"/>
          <w:sz w:val="22"/>
        </w:rPr>
      </w:pPr>
      <w:r w:rsidRPr="00581773">
        <w:rPr>
          <w:rFonts w:ascii="Arial" w:hAnsi="Arial" w:cs="Arial"/>
          <w:sz w:val="22"/>
        </w:rPr>
        <w:t>ESR določa nacionalne cilje za zmanjšanje emisij toplogrednih plinov v državah članicah do leta 2030. Za države članice velja tudi postopno zniževanje letnih mejnih vrednosti emisij za vsako leto od leta 2021 do 2030. Letni napredek pri doseganju nacionalnih ciljev v skladu z zakonodajo o delitvi prizadevanj se ocenjuje s primerjavo ravni emisij toplogrednih plinov iz sektorjev, ki jih zajema ESR, z ustreznimi dodelitvami letnih emisij v okviru zakonodajo (AEA). Da bi dosegle skladnost z ESR, lahko države članice do določene mere uporabljajo možnosti prožnosti.</w:t>
      </w:r>
    </w:p>
    <w:p w14:paraId="2C7CC8A4" w14:textId="4F423224" w:rsidR="005B1109" w:rsidRPr="00581773" w:rsidRDefault="005B1109" w:rsidP="00B92112">
      <w:pPr>
        <w:pStyle w:val="Standardtext"/>
        <w:pBdr>
          <w:top w:val="single" w:sz="4" w:space="1" w:color="auto"/>
          <w:left w:val="single" w:sz="24" w:space="1" w:color="529DBA"/>
          <w:bottom w:val="single" w:sz="4" w:space="1" w:color="auto"/>
          <w:right w:val="single" w:sz="4" w:space="1" w:color="auto"/>
        </w:pBdr>
        <w:tabs>
          <w:tab w:val="left" w:pos="8931"/>
        </w:tabs>
        <w:spacing w:line="240" w:lineRule="auto"/>
        <w:ind w:right="142"/>
        <w:rPr>
          <w:rFonts w:ascii="Arial" w:eastAsia="Times New Roman" w:hAnsi="Arial" w:cs="Arial"/>
          <w:sz w:val="22"/>
        </w:rPr>
      </w:pPr>
      <w:r w:rsidRPr="00581773">
        <w:rPr>
          <w:rFonts w:ascii="Arial" w:hAnsi="Arial" w:cs="Arial"/>
          <w:sz w:val="22"/>
        </w:rPr>
        <w:lastRenderedPageBreak/>
        <w:t xml:space="preserve">Napredek pri izvajanju teh politik in ukrepov se spremlja v skladu z Uredbo o upravljanju. Relevantne informacije, ki se redno poročajo in arhivirajo pri EGP, vključujejo evidence toplogrednih plinov, približne evidence toplogrednih plinov za preteklo leto, informacije o politikah in ukrepih, projekcije in napredek pri izvajanju </w:t>
      </w:r>
      <w:r w:rsidR="002B585E">
        <w:rPr>
          <w:rFonts w:ascii="Arial" w:hAnsi="Arial" w:cs="Arial"/>
          <w:sz w:val="22"/>
        </w:rPr>
        <w:t xml:space="preserve">NEPN. </w:t>
      </w:r>
      <w:r w:rsidRPr="00581773">
        <w:rPr>
          <w:rFonts w:ascii="Arial" w:hAnsi="Arial" w:cs="Arial"/>
          <w:sz w:val="22"/>
        </w:rPr>
        <w:t>Te informacije pomagajo EU in njenim državam članicam, da popravijo svojo usmeritev, če napredek pri doseganju ciljev podnebnega in energetskega okvira za leto 2030 zamuja. Na primer, Evropska komisija ocenjuje osnutke novih ali posodobljenih nacionalnih načrtov za načrtovanje načrtov in zagotavlja priporočila za izboljšano načrtovanje in izvajanje. Poleg tega so sporočene informacije predmet preverjanja kakovosti, evidence toplogrednih plinov, ki jih sporočijo države članice EU, predmet celovitih pregledov v letih 2025, 2027 in 2032.</w:t>
      </w:r>
      <w:r w:rsidRPr="00581773">
        <w:rPr>
          <w:rStyle w:val="FootnoteReference"/>
          <w:rFonts w:ascii="Arial" w:eastAsia="Times New Roman" w:hAnsi="Arial" w:cs="Arial"/>
          <w:sz w:val="22"/>
          <w:lang w:val="en-GB"/>
        </w:rPr>
        <w:footnoteReference w:id="19"/>
      </w:r>
      <w:r w:rsidRPr="00581773">
        <w:rPr>
          <w:rFonts w:ascii="Arial" w:hAnsi="Arial" w:cs="Arial"/>
          <w:sz w:val="22"/>
        </w:rPr>
        <w:t xml:space="preserve"> </w:t>
      </w:r>
    </w:p>
    <w:p w14:paraId="292131E1" w14:textId="780DADEC" w:rsidR="005B1109" w:rsidRPr="00581773" w:rsidRDefault="005B1109" w:rsidP="00B92112">
      <w:pPr>
        <w:pStyle w:val="Standardtext"/>
        <w:pBdr>
          <w:left w:val="single" w:sz="24" w:space="1" w:color="529DBA"/>
        </w:pBdr>
        <w:spacing w:line="240" w:lineRule="auto"/>
        <w:rPr>
          <w:rFonts w:ascii="Arial" w:hAnsi="Arial" w:cs="Arial"/>
          <w:sz w:val="22"/>
        </w:rPr>
      </w:pPr>
      <w:r w:rsidRPr="00581773">
        <w:rPr>
          <w:rFonts w:ascii="Arial" w:hAnsi="Arial" w:cs="Arial"/>
          <w:sz w:val="22"/>
        </w:rPr>
        <w:t>Vsa zakonodaja EU, vključno z zakonodajo v okviru podnebnega in energetskega okvira do leta 2030, je predmet postopka vključevanja deležnikov. Tako imenovana „orodja za boljšo zakonodajo“ zagotavljajo, da politika temelji na dokazih in najboljši razpoložljivi praksi.</w:t>
      </w:r>
      <w:r w:rsidRPr="00581773">
        <w:rPr>
          <w:rStyle w:val="FootnoteReference"/>
          <w:rFonts w:ascii="Arial" w:hAnsi="Arial" w:cs="Arial"/>
          <w:sz w:val="22"/>
          <w:lang w:val="en-GB"/>
        </w:rPr>
        <w:footnoteReference w:id="20"/>
      </w:r>
      <w:r w:rsidRPr="00581773">
        <w:rPr>
          <w:rFonts w:ascii="Arial" w:hAnsi="Arial" w:cs="Arial"/>
          <w:sz w:val="22"/>
        </w:rPr>
        <w:t xml:space="preserve"> Med pripravo zakonodajnih predlogov Evropska komisija vabi državljane, podjetja in organizacije deležnikov, da izrazijo svoje poglede na temo nove zakonodaje. Ti komentarji so dokumentirani na namenskem portalu</w:t>
      </w:r>
      <w:r w:rsidRPr="00581773">
        <w:rPr>
          <w:rStyle w:val="FootnoteReference"/>
          <w:rFonts w:ascii="Arial" w:hAnsi="Arial" w:cs="Arial"/>
          <w:sz w:val="22"/>
          <w:lang w:val="en-GB"/>
        </w:rPr>
        <w:footnoteReference w:id="21"/>
      </w:r>
      <w:r w:rsidRPr="00581773">
        <w:rPr>
          <w:rFonts w:ascii="Arial" w:hAnsi="Arial" w:cs="Arial"/>
          <w:sz w:val="22"/>
        </w:rPr>
        <w:t>, Evropska komisija pa poroča o tem, kako te pripombe upošteva pri pripravi zakonodajnih predlogov. Poleg tega uredba o upravljanju določa zahteve za države članice, da javnosti zagotovijo zgodnje in učinkovite priložnosti za sodelovanje pri pripravi NE</w:t>
      </w:r>
      <w:r w:rsidR="00ED318A" w:rsidRPr="00581773">
        <w:rPr>
          <w:rFonts w:ascii="Arial" w:hAnsi="Arial" w:cs="Arial"/>
          <w:sz w:val="22"/>
        </w:rPr>
        <w:t>PN</w:t>
      </w:r>
      <w:r w:rsidRPr="00581773">
        <w:rPr>
          <w:rFonts w:ascii="Arial" w:hAnsi="Arial" w:cs="Arial"/>
          <w:sz w:val="22"/>
        </w:rPr>
        <w:t>.</w:t>
      </w:r>
    </w:p>
    <w:p w14:paraId="564595AB" w14:textId="77777777" w:rsidR="00077E89" w:rsidRPr="00581773" w:rsidRDefault="00077E89" w:rsidP="00077E89">
      <w:pPr>
        <w:rPr>
          <w:rFonts w:ascii="Arial" w:hAnsi="Arial" w:cs="Arial"/>
          <w:b/>
          <w:bCs/>
        </w:rPr>
      </w:pPr>
      <w:r w:rsidRPr="00581773">
        <w:rPr>
          <w:rFonts w:ascii="Arial" w:hAnsi="Arial" w:cs="Arial"/>
          <w:b/>
          <w:bCs/>
        </w:rPr>
        <w:t>Slovenija</w:t>
      </w:r>
    </w:p>
    <w:p w14:paraId="75BBBB3C" w14:textId="77777777" w:rsidR="00077E89" w:rsidRPr="00581773" w:rsidRDefault="00077E89" w:rsidP="00077E89">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 xml:space="preserve">Glavni odgovorni organ za izvajanje in spremljanje izvajanja podnebne politike je ministrstvo, pristojno za podnebje. Danes je to MOPE, ki pripravlja in spremlja osnovne strateške dokumente in strateške usmeritve s področja blaženja podnebnih sprememb ter prilagajanja nanje, zmanjšanja izpustov toplogrednih plinov in drugih onesnaževal zraka ter tudi za izvajanje mednarodnih obveznosti Slovenije na tem področju. V okviru MOPE naštete naloge izvaja Direktorat za podnebne politike, z izjemo priprave in spremljanja NEPN ter poročanja o njem, za kar je pristojen Direktorat za energijo v okviru istega ministrstva. Izvajanje teh obveznosti poteka usklajeno med obema direktoratoma. </w:t>
      </w:r>
    </w:p>
    <w:p w14:paraId="3E0AD800" w14:textId="3175577D" w:rsidR="00077E89" w:rsidRPr="00581773" w:rsidRDefault="00077E89" w:rsidP="00077E89">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Pri spremljanju izvajanja politik in ukrepov MOPE sodeluje tudi z drugimi resorji in institucijami, ki so odgovorne za izvajanje ukrepov oz</w:t>
      </w:r>
      <w:r w:rsidRPr="00581773">
        <w:rPr>
          <w:rFonts w:ascii="Arial" w:eastAsia="Palatino Linotype" w:hAnsi="Arial" w:cs="Arial"/>
          <w:szCs w:val="20"/>
          <w:lang w:eastAsia="sl-SI"/>
        </w:rPr>
        <w:t>iroma</w:t>
      </w:r>
      <w:r w:rsidRPr="00581773">
        <w:rPr>
          <w:rFonts w:ascii="Arial" w:eastAsia="Times New Roman" w:hAnsi="Arial" w:cs="Arial"/>
          <w:szCs w:val="20"/>
          <w:lang w:eastAsia="sl-SI"/>
        </w:rPr>
        <w:t xml:space="preserve"> področij ukrepanja. Podrobno je institucionalni okvir opisan v poročilu Slovenije BR5/NC8.</w:t>
      </w:r>
      <w:r w:rsidRPr="00581773">
        <w:rPr>
          <w:rFonts w:ascii="Arial" w:eastAsia="Times New Roman" w:hAnsi="Arial" w:cs="Arial"/>
          <w:szCs w:val="20"/>
          <w:vertAlign w:val="superscript"/>
          <w:lang w:eastAsia="sl-SI"/>
        </w:rPr>
        <w:footnoteReference w:id="22"/>
      </w:r>
      <w:r w:rsidRPr="00581773">
        <w:rPr>
          <w:rFonts w:ascii="Arial" w:eastAsia="Times New Roman" w:hAnsi="Arial" w:cs="Arial"/>
          <w:szCs w:val="20"/>
          <w:lang w:eastAsia="sl-SI"/>
        </w:rPr>
        <w:t xml:space="preserve"> Od zadnjega poročanja so se zaradi reorganizacije vlade v začetku leta 2023 zgodile nekatere spremembe. Novo ministrstvo (MOPE) zdaj združuje naslednja področja: podnebje (Direktorat za podnebne politike), okolje (Direktorat za okolje), energetiko (Direktorat za energijo) in deloma promet (Direktorat za prometno politiko, ki opravlja naloge, povezane s trajnostno mobilnostjo, prometno politiko in javnim potniškim prometom). Druge pristojnosti so ostale nespremenjene. Vsi resorji sodelujejo z MOPE</w:t>
      </w:r>
      <w:r w:rsidR="002B585E">
        <w:rPr>
          <w:rFonts w:ascii="Arial" w:eastAsia="Times New Roman" w:hAnsi="Arial" w:cs="Arial"/>
          <w:szCs w:val="20"/>
          <w:lang w:eastAsia="sl-SI"/>
        </w:rPr>
        <w:t>,</w:t>
      </w:r>
      <w:r w:rsidRPr="00581773">
        <w:rPr>
          <w:rFonts w:ascii="Arial" w:eastAsia="Times New Roman" w:hAnsi="Arial" w:cs="Arial"/>
          <w:szCs w:val="20"/>
          <w:lang w:eastAsia="sl-SI"/>
        </w:rPr>
        <w:t xml:space="preserve"> </w:t>
      </w:r>
      <w:r w:rsidR="002B585E">
        <w:rPr>
          <w:rFonts w:ascii="Arial" w:eastAsia="Times New Roman" w:hAnsi="Arial" w:cs="Arial"/>
          <w:szCs w:val="20"/>
          <w:lang w:eastAsia="sl-SI"/>
        </w:rPr>
        <w:t xml:space="preserve">Direktoratom za podnebne politike, </w:t>
      </w:r>
      <w:r w:rsidRPr="00581773">
        <w:rPr>
          <w:rFonts w:ascii="Arial" w:eastAsia="Times New Roman" w:hAnsi="Arial" w:cs="Arial"/>
          <w:szCs w:val="20"/>
          <w:lang w:eastAsia="sl-SI"/>
        </w:rPr>
        <w:t xml:space="preserve">pri izvajanju nalog, povezanih s spremljanjem izvajanja podnebne politike. </w:t>
      </w:r>
    </w:p>
    <w:p w14:paraId="410D56EF" w14:textId="75A992C4" w:rsidR="00077E89" w:rsidRPr="00581773" w:rsidRDefault="00077E89" w:rsidP="00077E89">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 xml:space="preserve">Slovenija je vzpostavila sistem za spremljanje izvajanja podnebnih ukrepov in politik, v okviru katerega ministrstvo in vlada pregledujeta doseganje ciljev zmanjšanja emisij, napredek v sektorjih po ključnih </w:t>
      </w:r>
      <w:r w:rsidR="0083219B" w:rsidRPr="00581773">
        <w:rPr>
          <w:rFonts w:ascii="Arial" w:eastAsia="Times New Roman" w:hAnsi="Arial" w:cs="Arial"/>
          <w:szCs w:val="20"/>
          <w:lang w:eastAsia="sl-SI"/>
        </w:rPr>
        <w:t>kazalcih</w:t>
      </w:r>
      <w:r w:rsidRPr="00581773">
        <w:rPr>
          <w:rFonts w:ascii="Arial" w:eastAsia="Times New Roman" w:hAnsi="Arial" w:cs="Arial"/>
          <w:szCs w:val="20"/>
          <w:lang w:eastAsia="sl-SI"/>
        </w:rPr>
        <w:t>, izvajanje ukrepov in finančne podatke. Sistem spremljanja vključuje tudi priporočila za izboljšanje ukrepov, kar omogoča pripravo popravkov ukrepov, če so ti potrebni. Podrobno je sistem spremljanja opisan v poročilu Slovenije BR5/NC8.</w:t>
      </w:r>
      <w:r w:rsidRPr="00581773">
        <w:rPr>
          <w:rFonts w:ascii="Arial" w:eastAsia="Times New Roman" w:hAnsi="Arial" w:cs="Arial"/>
          <w:szCs w:val="20"/>
          <w:vertAlign w:val="superscript"/>
          <w:lang w:eastAsia="sl-SI"/>
        </w:rPr>
        <w:footnoteReference w:id="23"/>
      </w:r>
      <w:r w:rsidRPr="00581773">
        <w:rPr>
          <w:rFonts w:ascii="Arial" w:eastAsia="Times New Roman" w:hAnsi="Arial" w:cs="Arial"/>
          <w:szCs w:val="20"/>
          <w:lang w:eastAsia="sl-SI"/>
        </w:rPr>
        <w:t xml:space="preserve"> Izsledki </w:t>
      </w:r>
      <w:r w:rsidRPr="00581773">
        <w:rPr>
          <w:rFonts w:ascii="Arial" w:eastAsia="Times New Roman" w:hAnsi="Arial" w:cs="Arial"/>
          <w:szCs w:val="20"/>
          <w:lang w:eastAsia="sl-SI"/>
        </w:rPr>
        <w:lastRenderedPageBreak/>
        <w:t>spremljanja so bili uporabljeni tudi kot pomembno izhodišče pri prenovi NEPN. Za pripravo posodobitve NEPN je bilo leta 2022 pripravljeno poročilo o stanju izvajanja NEPN v Sloveniji,</w:t>
      </w:r>
      <w:r w:rsidRPr="00581773">
        <w:rPr>
          <w:rFonts w:ascii="Arial" w:eastAsia="Times New Roman" w:hAnsi="Arial" w:cs="Arial"/>
          <w:szCs w:val="20"/>
          <w:vertAlign w:val="superscript"/>
          <w:lang w:eastAsia="sl-SI"/>
        </w:rPr>
        <w:footnoteReference w:id="24"/>
      </w:r>
      <w:r w:rsidRPr="00581773">
        <w:rPr>
          <w:rFonts w:ascii="Arial" w:eastAsia="Times New Roman" w:hAnsi="Arial" w:cs="Arial"/>
          <w:szCs w:val="20"/>
          <w:lang w:eastAsia="sl-SI"/>
        </w:rPr>
        <w:t xml:space="preserve"> v skladu s sklepom Odbora Državnega zbora Republike Slovenije za infrastrukturo, okolje in prostor.</w:t>
      </w:r>
    </w:p>
    <w:p w14:paraId="37CCEDFC" w14:textId="77777777" w:rsidR="00077E89" w:rsidRPr="00581773" w:rsidRDefault="00077E89" w:rsidP="00077E89">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 xml:space="preserve">Pri spremljanju izvajanja ukrepov so ključna orodja poročila in kazalniki. Poročila vsebujejo izsledke analiz doseganja ciljev, kataloške zapise o izvajanju posameznih instrumentov ter sumarne finančne in druge preglede. Vsebujejo tudi priporočila za nadgradnjo ukrepov. Poleg poročila je na voljo vrsta kazalnikov, ki merijo napredek pri doseganju ciljev in izvajanju ukrepov blaženja podnebnih sprememb v sektorjih, kot so promet, stavbe, kmetijstvo, LULUCF, v drugih sektorjih in za večsektorske ukrepe. V okviru večsektorskih kazalnikov Slovenija redno spremlja tudi spodbude fosilnim gorivom v Sloveniji, ki so v nasprotju s cilji zmanjšanja emisij TGP. Izsledki spremljanja so bili upoštevani pri oblikovanju ciljev in ukrepov ob prenovi NEPN. </w:t>
      </w:r>
    </w:p>
    <w:p w14:paraId="5AFEF42B" w14:textId="6D9B4ABE" w:rsidR="00077E89" w:rsidRPr="00581773" w:rsidRDefault="00077E89" w:rsidP="00077E89">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V skladu z določili 145. člena Zakona o varstvu okolja (ZVO-2)</w:t>
      </w:r>
      <w:r w:rsidRPr="00581773">
        <w:rPr>
          <w:rFonts w:ascii="Arial" w:eastAsia="Times New Roman" w:hAnsi="Arial" w:cs="Arial"/>
          <w:szCs w:val="20"/>
          <w:vertAlign w:val="superscript"/>
          <w:lang w:eastAsia="sl-SI"/>
        </w:rPr>
        <w:footnoteReference w:id="25"/>
      </w:r>
      <w:r w:rsidRPr="00581773">
        <w:rPr>
          <w:rFonts w:ascii="Arial" w:eastAsia="Times New Roman" w:hAnsi="Arial" w:cs="Arial"/>
          <w:szCs w:val="20"/>
          <w:lang w:eastAsia="sl-SI"/>
        </w:rPr>
        <w:t xml:space="preserve"> je Vlada Republike Slovenije ustanovila Podnebni svet, neodvisno, nacionalno znanstveno posvetovalno telo za podnebno politiko. Podnebni svet je začel redno delati jeseni 2023 in je na dosedanjih dvanajstih sejah obravnaval vse ključne predloge vlade, ki</w:t>
      </w:r>
      <w:r w:rsidR="00986968" w:rsidRPr="00581773">
        <w:rPr>
          <w:rFonts w:ascii="Arial" w:eastAsia="Times New Roman" w:hAnsi="Arial" w:cs="Arial"/>
          <w:szCs w:val="20"/>
          <w:lang w:eastAsia="sl-SI"/>
        </w:rPr>
        <w:t xml:space="preserve"> </w:t>
      </w:r>
      <w:r w:rsidR="007E2C3F" w:rsidRPr="00581773">
        <w:rPr>
          <w:rFonts w:ascii="Arial" w:eastAsia="Times New Roman" w:hAnsi="Arial" w:cs="Arial"/>
          <w:szCs w:val="20"/>
          <w:lang w:eastAsia="sl-SI"/>
        </w:rPr>
        <w:t>so povezani s podnebnimi spremembami</w:t>
      </w:r>
      <w:r w:rsidRPr="00581773">
        <w:rPr>
          <w:rFonts w:ascii="Arial" w:eastAsia="Times New Roman" w:hAnsi="Arial" w:cs="Arial"/>
          <w:szCs w:val="20"/>
          <w:lang w:eastAsia="sl-SI"/>
        </w:rPr>
        <w:t>, med drugim osnutek NEPN, predloge Podnebnega zakona, Energetskega zakona in interventnega zakona o TEŠ 6, ter podal tudi svoje stališče o okolju škodljivih subvencijah in drugih aktualnih temah. Naloge in sestava Podnebnega sveta so podrobneje opisane v poročilu Slovenije BR5/NC8.</w:t>
      </w:r>
      <w:r w:rsidRPr="00581773">
        <w:rPr>
          <w:rFonts w:ascii="Arial" w:eastAsia="Times New Roman" w:hAnsi="Arial" w:cs="Arial"/>
          <w:szCs w:val="20"/>
          <w:vertAlign w:val="superscript"/>
          <w:lang w:eastAsia="sl-SI"/>
        </w:rPr>
        <w:footnoteReference w:id="26"/>
      </w:r>
    </w:p>
    <w:p w14:paraId="3DC9A1C6" w14:textId="3135D2FA" w:rsidR="0042650C" w:rsidRPr="00581773" w:rsidRDefault="00077E89" w:rsidP="00D320A2">
      <w:pPr>
        <w:spacing w:after="120" w:line="245" w:lineRule="auto"/>
        <w:jc w:val="both"/>
        <w:rPr>
          <w:rFonts w:ascii="Arial" w:eastAsia="Times New Roman" w:hAnsi="Arial" w:cs="Arial"/>
          <w:szCs w:val="20"/>
          <w:lang w:eastAsia="sl-SI"/>
        </w:rPr>
      </w:pPr>
      <w:r w:rsidRPr="00581773">
        <w:rPr>
          <w:rFonts w:ascii="Arial" w:eastAsia="Times New Roman" w:hAnsi="Arial" w:cs="Arial"/>
          <w:szCs w:val="20"/>
          <w:lang w:eastAsia="sl-SI"/>
        </w:rPr>
        <w:t xml:space="preserve">Spremljanje izvajanja danes poteka v skladu z Zakonom o varstvu okolja, ki ureja področje spremljanja okoljskih politik. V pripravi je Podnebni zakon, ki bo veljavni pravni okvir nadgradil in sedanji sistem spremljanja podrobneje formaliziral. </w:t>
      </w:r>
    </w:p>
    <w:p w14:paraId="09D47AB7" w14:textId="56819C75" w:rsidR="004C5594" w:rsidRPr="00581773" w:rsidRDefault="004C5594" w:rsidP="00F95701">
      <w:pPr>
        <w:pBdr>
          <w:top w:val="single" w:sz="4" w:space="1" w:color="auto"/>
          <w:left w:val="single" w:sz="4" w:space="4" w:color="auto"/>
          <w:bottom w:val="single" w:sz="4" w:space="1" w:color="auto"/>
          <w:right w:val="single" w:sz="4" w:space="4" w:color="auto"/>
        </w:pBdr>
        <w:shd w:val="clear" w:color="auto" w:fill="E8E8E8" w:themeFill="background2"/>
        <w:spacing w:after="120" w:line="245" w:lineRule="auto"/>
        <w:jc w:val="both"/>
        <w:rPr>
          <w:rFonts w:ascii="Arial" w:eastAsia="Times New Roman" w:hAnsi="Arial" w:cs="Arial"/>
          <w:sz w:val="20"/>
          <w:szCs w:val="20"/>
          <w:lang w:eastAsia="sl-SI"/>
        </w:rPr>
      </w:pPr>
      <w:r w:rsidRPr="00581773">
        <w:rPr>
          <w:rFonts w:ascii="Arial" w:eastAsia="Times New Roman" w:hAnsi="Arial" w:cs="Arial"/>
          <w:sz w:val="20"/>
          <w:szCs w:val="20"/>
          <w:lang w:eastAsia="sl-SI"/>
        </w:rPr>
        <w:t>63. Pri poročanju informacij iz odstavkov 59–62 lahko pogodbenica navede že prej poročane informacije.</w:t>
      </w:r>
    </w:p>
    <w:p w14:paraId="7EC03913" w14:textId="0AFAF60A" w:rsidR="0042650C" w:rsidRPr="00581773" w:rsidRDefault="00D320A2" w:rsidP="0042650C">
      <w:pPr>
        <w:pStyle w:val="Heading2"/>
      </w:pPr>
      <w:bookmarkStart w:id="45" w:name="_Toc196300807"/>
      <w:r w:rsidRPr="00581773">
        <w:t>II.B Opis nacionalno določenega prispevka pogodbenice v skladu s 4. členom Pariškega sporazuma, vključno s posodobitvami</w:t>
      </w:r>
      <w:bookmarkEnd w:id="45"/>
      <w:r w:rsidRPr="00581773">
        <w:t xml:space="preserve"> </w:t>
      </w:r>
    </w:p>
    <w:p w14:paraId="6B19F1EE" w14:textId="04B25ED0"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64.</w:t>
      </w:r>
      <w:r w:rsidRPr="00581773">
        <w:rPr>
          <w:rFonts w:ascii="Arial" w:hAnsi="Arial" w:cs="Arial"/>
          <w:sz w:val="20"/>
          <w:szCs w:val="20"/>
        </w:rPr>
        <w:t xml:space="preserve"> Vsaka pogodbenica mora zagotoviti opis svojega nacionalno določenega prispevka (NDC) v skladu s 4. členom Pariškega sporazuma, glede na katerega se bo spremljal napredek. Poslane informacije morajo vključevati naslednje podatke, kjer je to ustrezno, vključno z morebitnimi posodobitvami prej poslanih informacij:</w:t>
      </w:r>
    </w:p>
    <w:p w14:paraId="5D6317BE" w14:textId="75FCEA44"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(a)</w:t>
      </w:r>
      <w:r w:rsidRPr="00581773">
        <w:rPr>
          <w:rFonts w:ascii="Arial" w:hAnsi="Arial" w:cs="Arial"/>
          <w:sz w:val="20"/>
          <w:szCs w:val="20"/>
        </w:rPr>
        <w:t xml:space="preserve"> cilj(e) in opis, vključno z vrsto cilja (na primer absolutno zmanjšanje emisij na ravni celotnega gospodarstva, zmanjšanje intenzivnosti emisij, zmanjšanje emisij glede na predvideno osnovno raven, omilitvene so koristi prilagoditvenih ukrepov ali načrtov za gospodarsko diverzifikacijo, politike in ukrepi ter drugo);</w:t>
      </w:r>
    </w:p>
    <w:p w14:paraId="3D92BD99" w14:textId="77777777"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(b)</w:t>
      </w:r>
      <w:r w:rsidRPr="00581773">
        <w:rPr>
          <w:rFonts w:ascii="Arial" w:hAnsi="Arial" w:cs="Arial"/>
          <w:sz w:val="20"/>
          <w:szCs w:val="20"/>
        </w:rPr>
        <w:t xml:space="preserve"> ciljno leto ali obdobje ter ali gre za enoleten ali večleten cilj;</w:t>
      </w:r>
    </w:p>
    <w:p w14:paraId="41806DCC" w14:textId="30E961C6"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(c)</w:t>
      </w:r>
      <w:r w:rsidRPr="00581773">
        <w:rPr>
          <w:rFonts w:ascii="Arial" w:hAnsi="Arial" w:cs="Arial"/>
          <w:sz w:val="20"/>
          <w:szCs w:val="20"/>
        </w:rPr>
        <w:t xml:space="preserve"> referenčne točke, ravni, osnovne vrednosti, izhodiščna leta ali izhodiščne točke in njihove ustrezne vrednosti;</w:t>
      </w:r>
    </w:p>
    <w:p w14:paraId="7701156E" w14:textId="24FE5534"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(d)</w:t>
      </w:r>
      <w:r w:rsidRPr="00581773">
        <w:rPr>
          <w:rFonts w:ascii="Arial" w:hAnsi="Arial" w:cs="Arial"/>
          <w:sz w:val="20"/>
          <w:szCs w:val="20"/>
        </w:rPr>
        <w:t xml:space="preserve"> časovni okvir in/ali obdobja za izvajanje;</w:t>
      </w:r>
    </w:p>
    <w:p w14:paraId="7FA0137E" w14:textId="3FF65D39"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(e)</w:t>
      </w:r>
      <w:r w:rsidRPr="00581773">
        <w:rPr>
          <w:rFonts w:ascii="Arial" w:hAnsi="Arial" w:cs="Arial"/>
          <w:sz w:val="20"/>
          <w:szCs w:val="20"/>
        </w:rPr>
        <w:t xml:space="preserve"> obseg in pokritost, vključno s sektorji, kategorijami, dejavnostmi, viri in ponori, zalogami ter plini, kjer je to ustrezno;</w:t>
      </w:r>
    </w:p>
    <w:p w14:paraId="3B18D6C3" w14:textId="3613AD2D"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t>(f)</w:t>
      </w:r>
      <w:r w:rsidRPr="00581773">
        <w:rPr>
          <w:rFonts w:ascii="Arial" w:hAnsi="Arial" w:cs="Arial"/>
          <w:sz w:val="20"/>
          <w:szCs w:val="20"/>
        </w:rPr>
        <w:t xml:space="preserve"> namen sodelovanja, ki vključuje uporabo mednarodno prenesenih rezultatov omilitvenih ukrepov v skladu s 6. členom za doseganje ciljev v skladu s 4. členom Pariškega sporazuma;</w:t>
      </w:r>
    </w:p>
    <w:p w14:paraId="42F3D8C5" w14:textId="24624721" w:rsidR="00D320A2" w:rsidRPr="00581773" w:rsidRDefault="00D320A2" w:rsidP="00D320A2">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Style w:val="Strong"/>
          <w:rFonts w:ascii="Arial" w:eastAsiaTheme="majorEastAsia" w:hAnsi="Arial" w:cs="Arial"/>
          <w:b w:val="0"/>
          <w:bCs w:val="0"/>
          <w:sz w:val="20"/>
          <w:szCs w:val="20"/>
        </w:rPr>
        <w:lastRenderedPageBreak/>
        <w:t>(g)</w:t>
      </w:r>
      <w:r w:rsidRPr="00581773">
        <w:rPr>
          <w:rFonts w:ascii="Arial" w:hAnsi="Arial" w:cs="Arial"/>
          <w:sz w:val="20"/>
          <w:szCs w:val="20"/>
        </w:rPr>
        <w:t xml:space="preserve"> kakršne koli posodobitve ali pojasnila že prej poročanih informacij (na primer preračun že prej poročanih podatkov o inventarju ali podrobnejše informacije o metodologijah ali uporabi sodelovanja).</w:t>
      </w:r>
    </w:p>
    <w:p w14:paraId="168D70B5" w14:textId="659BE187" w:rsidR="00D320A2" w:rsidRPr="00581773" w:rsidRDefault="00D320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Pod njihovim posodobljenim NDC</w:t>
      </w:r>
      <w:r w:rsidRPr="00581773">
        <w:rPr>
          <w:rStyle w:val="FootnoteReference"/>
          <w:rFonts w:ascii="Arial" w:hAnsi="Arial" w:cs="Arial"/>
          <w:sz w:val="22"/>
          <w:lang w:val="en-GB"/>
        </w:rPr>
        <w:footnoteReference w:id="27"/>
      </w:r>
      <w:r w:rsidRPr="00581773">
        <w:rPr>
          <w:rFonts w:ascii="Arial" w:hAnsi="Arial" w:cs="Arial"/>
          <w:sz w:val="22"/>
        </w:rPr>
        <w:t xml:space="preserve"> EU in njene države članice, ki delujejo skupaj, so zavezane k pravno zavezujočemu cilju domačega zmanjšanja neto emisij toplogrednih plinov za najmanj 55 % v primerjavi z letom 1990 do leta 2030. Izraz „domači“ pomeni brez uporabe mednarodnih dobropisov. </w:t>
      </w:r>
    </w:p>
    <w:p w14:paraId="4B298F4B" w14:textId="2EEC1526" w:rsidR="00D320A2" w:rsidRPr="00581773" w:rsidRDefault="00D320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 xml:space="preserve">NDC je sestavljen iz enoletnega cilja, vrsta cilja pa je „absolutno zmanjšanje emisij v celotnem gospodarstvu“. Področje uporabe NDC pokriva 27 držav članic EU. </w:t>
      </w:r>
    </w:p>
    <w:p w14:paraId="565C716C" w14:textId="075ECDD3" w:rsidR="00D320A2" w:rsidRPr="00581773" w:rsidRDefault="00D320A2" w:rsidP="00B92112">
      <w:pPr>
        <w:pBdr>
          <w:left w:val="single" w:sz="24" w:space="4" w:color="529DBA"/>
        </w:pBdr>
        <w:spacing w:line="240" w:lineRule="auto"/>
        <w:jc w:val="both"/>
        <w:rPr>
          <w:rFonts w:ascii="Arial" w:hAnsi="Arial" w:cs="Arial"/>
        </w:rPr>
      </w:pPr>
      <w:r w:rsidRPr="00581773">
        <w:rPr>
          <w:rFonts w:ascii="Arial" w:hAnsi="Arial" w:cs="Arial"/>
        </w:rPr>
        <w:t xml:space="preserve">Posodobljeni obseg NDC z dne 17. oktobra 2023 je dopolnjen z dodatnimi informacijami za pojasnitev natančne količine emisij iz mednarodnega letalstva in pomorskega prometa, ki so zajete v NDC za EU. Podrobnosti o EU NDC lahko najdete v </w:t>
      </w:r>
      <w:r w:rsidR="00705AB9" w:rsidRPr="00581773">
        <w:rPr>
          <w:rFonts w:ascii="Arial" w:hAnsi="Arial" w:cs="Arial"/>
        </w:rPr>
        <w:t>Preglednici 2</w:t>
      </w:r>
      <w:r w:rsidR="00FF6102" w:rsidRPr="00581773">
        <w:rPr>
          <w:rFonts w:ascii="Arial" w:hAnsi="Arial" w:cs="Arial"/>
        </w:rPr>
        <w:t xml:space="preserve"> </w:t>
      </w:r>
      <w:r w:rsidRPr="00581773">
        <w:rPr>
          <w:rFonts w:ascii="Arial" w:hAnsi="Arial" w:cs="Arial"/>
        </w:rPr>
        <w:t>in v spodnji prilogi</w:t>
      </w:r>
      <w:r w:rsidR="00705AB9" w:rsidRPr="00581773">
        <w:rPr>
          <w:rFonts w:ascii="Arial" w:hAnsi="Arial" w:cs="Arial"/>
        </w:rPr>
        <w:t>.</w:t>
      </w:r>
    </w:p>
    <w:tbl>
      <w:tblPr>
        <w:tblStyle w:val="TableGrid"/>
        <w:tblW w:w="9067" w:type="dxa"/>
        <w:tblLook w:val="04A0" w:firstRow="1" w:lastRow="0" w:firstColumn="1" w:lastColumn="0" w:noHBand="0" w:noVBand="1"/>
      </w:tblPr>
      <w:tblGrid>
        <w:gridCol w:w="1555"/>
        <w:gridCol w:w="7512"/>
      </w:tblGrid>
      <w:tr w:rsidR="00D320A2" w:rsidRPr="00581773" w14:paraId="44A8EC4E" w14:textId="77777777" w:rsidTr="00D320A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shd w:val="clear" w:color="auto" w:fill="529DBA"/>
          </w:tcPr>
          <w:p w14:paraId="33780F8E" w14:textId="77777777" w:rsidR="00D320A2" w:rsidRPr="00581773" w:rsidRDefault="00D320A2" w:rsidP="0024256B">
            <w:pPr>
              <w:pStyle w:val="TabellentextlinksbndigI"/>
              <w:keepNext w:val="0"/>
              <w:keepLines w:val="0"/>
              <w:spacing w:before="0"/>
              <w:rPr>
                <w:rFonts w:ascii="Arial" w:hAnsi="Arial" w:cs="Arial"/>
                <w:bCs/>
                <w:sz w:val="18"/>
                <w:szCs w:val="18"/>
              </w:rPr>
            </w:pPr>
            <w:r w:rsidRPr="00581773">
              <w:rPr>
                <w:rFonts w:ascii="Arial" w:hAnsi="Arial" w:cs="Arial"/>
                <w:sz w:val="18"/>
                <w:szCs w:val="18"/>
              </w:rPr>
              <w:t>Informacije</w:t>
            </w:r>
          </w:p>
        </w:tc>
        <w:tc>
          <w:tcPr>
            <w:tcW w:w="7512" w:type="dxa"/>
            <w:shd w:val="clear" w:color="auto" w:fill="529DBA"/>
          </w:tcPr>
          <w:p w14:paraId="1FF993D4" w14:textId="77777777" w:rsidR="00D320A2" w:rsidRPr="00581773" w:rsidRDefault="00D320A2" w:rsidP="0024256B">
            <w:pPr>
              <w:pStyle w:val="TabellentextrechtsbndigI"/>
              <w:keepNext w:val="0"/>
              <w:keepLines w:val="0"/>
              <w:spacing w:before="0"/>
              <w:jc w:val="left"/>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Opis</w:t>
            </w:r>
          </w:p>
        </w:tc>
      </w:tr>
      <w:tr w:rsidR="00D320A2" w:rsidRPr="00581773" w14:paraId="6CE79BBB"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1F7E4055"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Cilj in opis</w:t>
            </w:r>
          </w:p>
        </w:tc>
        <w:tc>
          <w:tcPr>
            <w:tcW w:w="7512" w:type="dxa"/>
            <w:tcBorders>
              <w:right w:val="single" w:sz="4" w:space="0" w:color="auto"/>
            </w:tcBorders>
          </w:tcPr>
          <w:p w14:paraId="4976C81B"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Neto domače zmanjšanje emisij toplogrednih plinov v celotnem gospodarstvu za vsaj 55 % do leta 2030 v primerjavi z letom 1990. Izraz „domači“ pomeni brez uporabe mednarodnih dobropisov.</w:t>
            </w:r>
          </w:p>
        </w:tc>
      </w:tr>
      <w:tr w:rsidR="00D320A2" w:rsidRPr="00581773" w14:paraId="513F55B4"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0C4E52AB"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Ciljna vrsta</w:t>
            </w:r>
          </w:p>
        </w:tc>
        <w:tc>
          <w:tcPr>
            <w:tcW w:w="7512" w:type="dxa"/>
            <w:tcBorders>
              <w:right w:val="single" w:sz="4" w:space="0" w:color="auto"/>
            </w:tcBorders>
          </w:tcPr>
          <w:p w14:paraId="33C615CE"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Absolutno zmanjšanje emisij v celotnem gospodarstvu.</w:t>
            </w:r>
          </w:p>
        </w:tc>
      </w:tr>
      <w:tr w:rsidR="00D320A2" w:rsidRPr="00581773" w14:paraId="4143893C"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05C7BA61"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Ciljno leto</w:t>
            </w:r>
          </w:p>
        </w:tc>
        <w:tc>
          <w:tcPr>
            <w:tcW w:w="7512" w:type="dxa"/>
            <w:tcBorders>
              <w:right w:val="single" w:sz="4" w:space="0" w:color="auto"/>
            </w:tcBorders>
          </w:tcPr>
          <w:p w14:paraId="5A45C280"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2030 (enoletni cilj)</w:t>
            </w:r>
          </w:p>
        </w:tc>
      </w:tr>
      <w:tr w:rsidR="00D320A2" w:rsidRPr="00581773" w14:paraId="0B7491F5"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56F48961"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Osnovno leto</w:t>
            </w:r>
          </w:p>
        </w:tc>
        <w:tc>
          <w:tcPr>
            <w:tcW w:w="7512" w:type="dxa"/>
            <w:tcBorders>
              <w:right w:val="single" w:sz="4" w:space="0" w:color="auto"/>
            </w:tcBorders>
          </w:tcPr>
          <w:p w14:paraId="7E472C1F"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1990</w:t>
            </w:r>
          </w:p>
        </w:tc>
      </w:tr>
      <w:tr w:rsidR="00D320A2" w:rsidRPr="00581773" w14:paraId="2BF980F4"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12101EAD"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Vrednost izhodiščnega leta</w:t>
            </w:r>
          </w:p>
        </w:tc>
        <w:tc>
          <w:tcPr>
            <w:tcW w:w="7512" w:type="dxa"/>
            <w:tcBorders>
              <w:right w:val="single" w:sz="4" w:space="0" w:color="auto"/>
            </w:tcBorders>
          </w:tcPr>
          <w:p w14:paraId="0F758EF2" w14:textId="77777777" w:rsidR="00D320A2" w:rsidRPr="00581773" w:rsidRDefault="00D320A2" w:rsidP="0024256B">
            <w:pPr>
              <w:pStyle w:val="TableParagraph"/>
              <w:keepNext w:val="0"/>
              <w:keepLines w:val="0"/>
              <w:spacing w:before="57"/>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18"/>
              </w:rPr>
            </w:pPr>
            <w:r w:rsidRPr="00581773">
              <w:rPr>
                <w:rFonts w:ascii="Arial" w:hAnsi="Arial" w:cs="Arial"/>
                <w:szCs w:val="18"/>
              </w:rPr>
              <w:t>Raven neto emisij toplogrednih plinov v letu 1990: 4.699.405 kt CO</w:t>
            </w:r>
            <w:r w:rsidRPr="00581773">
              <w:rPr>
                <w:rFonts w:ascii="Arial" w:hAnsi="Arial" w:cs="Arial"/>
                <w:szCs w:val="18"/>
                <w:vertAlign w:val="subscript"/>
              </w:rPr>
              <w:t>2</w:t>
            </w:r>
            <w:r w:rsidRPr="00581773">
              <w:rPr>
                <w:rFonts w:ascii="Arial" w:hAnsi="Arial" w:cs="Arial"/>
                <w:szCs w:val="18"/>
              </w:rPr>
              <w:t>ekv.</w:t>
            </w:r>
          </w:p>
        </w:tc>
      </w:tr>
      <w:tr w:rsidR="00D320A2" w:rsidRPr="00581773" w14:paraId="3E731CE5"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1DD4DC78"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Obdobje izvajanja</w:t>
            </w:r>
          </w:p>
        </w:tc>
        <w:tc>
          <w:tcPr>
            <w:tcW w:w="7512" w:type="dxa"/>
            <w:tcBorders>
              <w:right w:val="single" w:sz="4" w:space="0" w:color="auto"/>
            </w:tcBorders>
          </w:tcPr>
          <w:p w14:paraId="0A1ABA8B"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2021-2030</w:t>
            </w:r>
          </w:p>
        </w:tc>
      </w:tr>
      <w:tr w:rsidR="00D320A2" w:rsidRPr="00581773" w14:paraId="0F927D60"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61285215" w14:textId="77777777"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Geografski obseg</w:t>
            </w:r>
          </w:p>
        </w:tc>
        <w:tc>
          <w:tcPr>
            <w:tcW w:w="7512" w:type="dxa"/>
            <w:tcBorders>
              <w:right w:val="single" w:sz="4" w:space="0" w:color="auto"/>
            </w:tcBorders>
          </w:tcPr>
          <w:p w14:paraId="62E1E81D" w14:textId="77777777"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Države članice EU (Belgija, Bolgarija, Češka, Danska, Nemčija, Estonija, Irska, Grčija, Španija, Francija, Hrvaška, Italija, Ciper, Latvija, Litva, Luksemburg, Madžarska, Malta, Nizozemska, Avstrija, Poljska, Portugalska, Romunija, Slovenija, Slovaška, Finska, Švedska), vključno z najbolj oddaljenimi regijami EU (Gvadelupe, Francoska Gvajana, Martinik, Mayotte, Reunion, Saint Martin (Francija), Kanarski otoki (Španija), Azori in Madeira (Portugalska)).</w:t>
            </w:r>
          </w:p>
        </w:tc>
      </w:tr>
      <w:tr w:rsidR="00D320A2" w:rsidRPr="00581773" w14:paraId="3A82AC96"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01E08161" w14:textId="1C0B6C3F"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Sektorji</w:t>
            </w:r>
          </w:p>
        </w:tc>
        <w:tc>
          <w:tcPr>
            <w:tcW w:w="7512" w:type="dxa"/>
            <w:tcBorders>
              <w:right w:val="single" w:sz="4" w:space="0" w:color="auto"/>
            </w:tcBorders>
          </w:tcPr>
          <w:p w14:paraId="1CD00DE1" w14:textId="05D7903B" w:rsidR="00D320A2" w:rsidRPr="00581773" w:rsidRDefault="00D320A2" w:rsidP="0024256B">
            <w:pPr>
              <w:pStyle w:val="TabellentextrechtsbndigI"/>
              <w:keepNext w:val="0"/>
              <w:keepLines w:val="0"/>
              <w:spacing w:before="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Sektorji, kot so navedeni v Prilogi I k sklepu 5/CMA.3: energija, industrijski procesi in uporaba proizvodov, kmetijstvo, raba zemljišč, sprememba rabe zemljišč in gozdarstvo (LULUCF), odpadki.</w:t>
            </w:r>
          </w:p>
          <w:p w14:paraId="74B12796" w14:textId="39C4D9CA" w:rsidR="00D320A2" w:rsidRPr="00581773" w:rsidRDefault="00D320A2" w:rsidP="0024256B">
            <w:pPr>
              <w:pStyle w:val="TableParagraph"/>
              <w:keepNext w:val="0"/>
              <w:keepLines w:val="0"/>
              <w:spacing w:before="57"/>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581773">
              <w:rPr>
                <w:rFonts w:ascii="Arial" w:hAnsi="Arial" w:cs="Arial"/>
                <w:b/>
                <w:i/>
                <w:szCs w:val="18"/>
              </w:rPr>
              <w:t>Mednarodno letalstvo:</w:t>
            </w:r>
            <w:r w:rsidRPr="00581773">
              <w:rPr>
                <w:rFonts w:ascii="Arial" w:hAnsi="Arial" w:cs="Arial"/>
                <w:szCs w:val="18"/>
              </w:rPr>
              <w:t xml:space="preserve"> Emisije iz dejavnosti civilnega letalstva, kot je za leto 2030 določeno v Prilogi I k Direktivi EU ETS, so vključene samo v zvezi z emisijami CO</w:t>
            </w:r>
            <w:r w:rsidRPr="00581773">
              <w:rPr>
                <w:rFonts w:ascii="Arial" w:hAnsi="Arial" w:cs="Arial"/>
                <w:szCs w:val="18"/>
                <w:vertAlign w:val="subscript"/>
              </w:rPr>
              <w:t>2</w:t>
            </w:r>
            <w:r w:rsidRPr="00581773">
              <w:rPr>
                <w:rFonts w:ascii="Arial" w:hAnsi="Arial" w:cs="Arial"/>
                <w:szCs w:val="18"/>
              </w:rPr>
              <w:t xml:space="preserve"> iz letov, za katere veljajo dejanske cene ogljika prek EU ETS. Glede na geografski obseg NDC te zajemajo emisije v letih 2024–2026 iz letov med državami članicami EU in odhodnih letov na Norveško, Islandijo, Švico in Združeno kraljestvo.</w:t>
            </w:r>
          </w:p>
          <w:p w14:paraId="4B4894D6" w14:textId="77777777" w:rsidR="00D320A2" w:rsidRPr="00581773" w:rsidRDefault="00D320A2" w:rsidP="0024256B">
            <w:pPr>
              <w:pStyle w:val="TableParagraph"/>
              <w:keepNext w:val="0"/>
              <w:keepLines w:val="0"/>
              <w:spacing w:before="57"/>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581773">
              <w:rPr>
                <w:rFonts w:ascii="Arial" w:hAnsi="Arial" w:cs="Arial"/>
                <w:b/>
                <w:i/>
                <w:szCs w:val="18"/>
              </w:rPr>
              <w:t>Mednarodna pomorska plovba</w:t>
            </w:r>
            <w:r w:rsidRPr="00581773">
              <w:rPr>
                <w:rFonts w:ascii="Arial" w:hAnsi="Arial" w:cs="Arial"/>
                <w:szCs w:val="18"/>
              </w:rPr>
              <w:t>: pomorska plovba po vodi je vključena v zvezi z emisijami CO</w:t>
            </w:r>
            <w:r w:rsidRPr="00581773">
              <w:rPr>
                <w:rFonts w:ascii="Arial" w:hAnsi="Arial" w:cs="Arial"/>
                <w:szCs w:val="18"/>
                <w:vertAlign w:val="subscript"/>
              </w:rPr>
              <w:t>2</w:t>
            </w:r>
            <w:r w:rsidRPr="00581773">
              <w:rPr>
                <w:rFonts w:ascii="Arial" w:hAnsi="Arial" w:cs="Arial"/>
                <w:szCs w:val="18"/>
              </w:rPr>
              <w:t>, metana (CH</w:t>
            </w:r>
            <w:r w:rsidRPr="00581773">
              <w:rPr>
                <w:rFonts w:ascii="Arial" w:hAnsi="Arial" w:cs="Arial"/>
                <w:szCs w:val="18"/>
                <w:vertAlign w:val="subscript"/>
              </w:rPr>
              <w:t>4</w:t>
            </w:r>
            <w:r w:rsidRPr="00581773">
              <w:rPr>
                <w:rFonts w:ascii="Arial" w:hAnsi="Arial" w:cs="Arial"/>
                <w:szCs w:val="18"/>
              </w:rPr>
              <w:t>) in dušikovega oksida (N</w:t>
            </w:r>
            <w:r w:rsidRPr="00581773">
              <w:rPr>
                <w:rFonts w:ascii="Arial" w:hAnsi="Arial" w:cs="Arial"/>
                <w:szCs w:val="18"/>
                <w:vertAlign w:val="subscript"/>
              </w:rPr>
              <w:t>2</w:t>
            </w:r>
            <w:r w:rsidRPr="00581773">
              <w:rPr>
                <w:rFonts w:ascii="Arial" w:hAnsi="Arial" w:cs="Arial"/>
                <w:szCs w:val="18"/>
              </w:rPr>
              <w:t>O) iz plovb pomorskega prometa med državami članicami EU.</w:t>
            </w:r>
          </w:p>
        </w:tc>
      </w:tr>
      <w:tr w:rsidR="00D320A2" w:rsidRPr="00581773" w14:paraId="43C98966"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4223BDF9" w14:textId="247C5F6F"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Plini</w:t>
            </w:r>
          </w:p>
        </w:tc>
        <w:tc>
          <w:tcPr>
            <w:tcW w:w="7512" w:type="dxa"/>
            <w:tcBorders>
              <w:right w:val="single" w:sz="4" w:space="0" w:color="auto"/>
            </w:tcBorders>
          </w:tcPr>
          <w:p w14:paraId="703BDE3C" w14:textId="4FD44FEB"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Ogljikov dioksid (CO</w:t>
            </w:r>
            <w:r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 metan (CH</w:t>
            </w:r>
            <w:r w:rsidRPr="00581773">
              <w:rPr>
                <w:rFonts w:ascii="Arial" w:hAnsi="Arial" w:cs="Arial"/>
                <w:color w:val="000000" w:themeColor="text1"/>
                <w:sz w:val="18"/>
                <w:szCs w:val="18"/>
                <w:vertAlign w:val="subscript"/>
              </w:rPr>
              <w:t>4</w:t>
            </w:r>
            <w:r w:rsidRPr="00581773">
              <w:rPr>
                <w:rFonts w:ascii="Arial" w:hAnsi="Arial" w:cs="Arial"/>
                <w:color w:val="000000" w:themeColor="text1"/>
                <w:sz w:val="18"/>
                <w:szCs w:val="18"/>
              </w:rPr>
              <w:t>), dušikov oksid (N</w:t>
            </w:r>
            <w:r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O), fluoroogljikovodiki (HFC-ji), perfluoroogljikovodiki (PFC-ji), žveplov heksafluorid (SF</w:t>
            </w:r>
            <w:r w:rsidRPr="00581773">
              <w:rPr>
                <w:rFonts w:ascii="Arial" w:hAnsi="Arial" w:cs="Arial"/>
                <w:color w:val="000000" w:themeColor="text1"/>
                <w:sz w:val="18"/>
                <w:szCs w:val="18"/>
                <w:vertAlign w:val="subscript"/>
              </w:rPr>
              <w:t>6</w:t>
            </w:r>
            <w:r w:rsidRPr="00581773">
              <w:rPr>
                <w:rFonts w:ascii="Arial" w:hAnsi="Arial" w:cs="Arial"/>
                <w:color w:val="000000" w:themeColor="text1"/>
                <w:sz w:val="18"/>
                <w:szCs w:val="18"/>
              </w:rPr>
              <w:t>), dušikov trifluorid (NF</w:t>
            </w:r>
            <w:r w:rsidRPr="00581773">
              <w:rPr>
                <w:rFonts w:ascii="Arial" w:hAnsi="Arial" w:cs="Arial"/>
                <w:color w:val="000000" w:themeColor="text1"/>
                <w:sz w:val="18"/>
                <w:szCs w:val="18"/>
                <w:vertAlign w:val="subscript"/>
              </w:rPr>
              <w:t>3</w:t>
            </w:r>
            <w:r w:rsidRPr="00581773">
              <w:rPr>
                <w:rFonts w:ascii="Arial" w:hAnsi="Arial" w:cs="Arial"/>
                <w:color w:val="000000" w:themeColor="text1"/>
                <w:sz w:val="18"/>
                <w:szCs w:val="18"/>
              </w:rPr>
              <w:t>)</w:t>
            </w:r>
          </w:p>
        </w:tc>
      </w:tr>
      <w:tr w:rsidR="00D320A2" w:rsidRPr="00581773" w14:paraId="4A6A379E"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25A8F396" w14:textId="12DDE664" w:rsidR="00D320A2" w:rsidRPr="00581773" w:rsidRDefault="00D320A2"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Kategorije in skupine LULUCF</w:t>
            </w:r>
          </w:p>
        </w:tc>
        <w:tc>
          <w:tcPr>
            <w:tcW w:w="7512" w:type="dxa"/>
            <w:tcBorders>
              <w:right w:val="single" w:sz="4" w:space="0" w:color="auto"/>
            </w:tcBorders>
          </w:tcPr>
          <w:p w14:paraId="5D9579B0" w14:textId="379A36DC" w:rsidR="00D320A2" w:rsidRPr="00581773" w:rsidRDefault="00D320A2"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sz w:val="18"/>
                <w:szCs w:val="18"/>
              </w:rPr>
              <w:t>Vključene kategorije in skupine LULUCF so opredeljene v sklepu 5/CMA.3.</w:t>
            </w:r>
          </w:p>
        </w:tc>
      </w:tr>
      <w:tr w:rsidR="00D320A2" w:rsidRPr="00131EEC" w14:paraId="0C59D5B5" w14:textId="77777777" w:rsidTr="00D320A2">
        <w:tc>
          <w:tcPr>
            <w:cnfStyle w:val="001000000000" w:firstRow="0" w:lastRow="0" w:firstColumn="1" w:lastColumn="0" w:oddVBand="0" w:evenVBand="0" w:oddHBand="0" w:evenHBand="0" w:firstRowFirstColumn="0" w:firstRowLastColumn="0" w:lastRowFirstColumn="0" w:lastRowLastColumn="0"/>
            <w:tcW w:w="1555" w:type="dxa"/>
          </w:tcPr>
          <w:p w14:paraId="67E48AB4" w14:textId="70AAC98A" w:rsidR="00D320A2" w:rsidRPr="00581773" w:rsidRDefault="00D320A2" w:rsidP="0024256B">
            <w:pPr>
              <w:pStyle w:val="TabellentextlinksbndigI"/>
              <w:keepNext w:val="0"/>
              <w:keepLines w:val="0"/>
              <w:spacing w:before="0"/>
              <w:rPr>
                <w:rFonts w:ascii="Arial" w:hAnsi="Arial" w:cs="Arial"/>
                <w:sz w:val="18"/>
                <w:szCs w:val="18"/>
              </w:rPr>
            </w:pPr>
            <w:bookmarkStart w:id="46" w:name="_Hlk178180066"/>
            <w:r w:rsidRPr="00581773">
              <w:rPr>
                <w:rFonts w:ascii="Arial" w:hAnsi="Arial" w:cs="Arial"/>
                <w:sz w:val="18"/>
                <w:szCs w:val="18"/>
              </w:rPr>
              <w:t>Namera uporabe kooperativnih pristopov</w:t>
            </w:r>
          </w:p>
        </w:tc>
        <w:tc>
          <w:tcPr>
            <w:tcW w:w="7512" w:type="dxa"/>
            <w:tcBorders>
              <w:right w:val="single" w:sz="4" w:space="0" w:color="auto"/>
            </w:tcBorders>
          </w:tcPr>
          <w:p w14:paraId="45AA0138" w14:textId="77777777" w:rsidR="00D320A2" w:rsidRPr="00581773" w:rsidRDefault="00D320A2" w:rsidP="0024256B">
            <w:pPr>
              <w:pStyle w:val="TableParagraph"/>
              <w:keepNext w:val="0"/>
              <w:keepLines w:val="0"/>
              <w:spacing w:after="60"/>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bCs/>
                <w:iCs/>
                <w:szCs w:val="18"/>
              </w:rPr>
            </w:pPr>
            <w:r w:rsidRPr="00581773">
              <w:rPr>
                <w:rFonts w:ascii="Arial" w:hAnsi="Arial" w:cs="Arial"/>
                <w:szCs w:val="18"/>
              </w:rPr>
              <w:t>Cilj EU za najmanj 55-odstotno neto zmanjšanje do leta 2030 naj bi dosegli samo z domačimi ukrepi, brez prispevka iz mednarodnih dobropisov.</w:t>
            </w:r>
          </w:p>
          <w:p w14:paraId="25FD956A" w14:textId="77777777" w:rsidR="00D320A2" w:rsidRPr="00581773" w:rsidRDefault="00D320A2" w:rsidP="0024256B">
            <w:pPr>
              <w:pStyle w:val="TableParagraph"/>
              <w:keepNext w:val="0"/>
              <w:keepLines w:val="0"/>
              <w:spacing w:after="60"/>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581773">
              <w:rPr>
                <w:rFonts w:ascii="Arial" w:hAnsi="Arial" w:cs="Arial"/>
                <w:szCs w:val="18"/>
              </w:rPr>
              <w:t>EU bo obračunala in poročala o sodelovanju z drugimi pogodbenicami na način, ki je skladen s smernicami, ki jih je sprejel CMA1, in vsemi nadaljnjimi smernicami, o katerih se je strinjal CMA.</w:t>
            </w:r>
          </w:p>
        </w:tc>
      </w:tr>
      <w:bookmarkEnd w:id="46"/>
      <w:tr w:rsidR="00D320A2" w:rsidRPr="00581773" w14:paraId="14CF21BC" w14:textId="77777777" w:rsidTr="00D320A2">
        <w:trPr>
          <w:trHeight w:val="581"/>
        </w:trPr>
        <w:tc>
          <w:tcPr>
            <w:cnfStyle w:val="001000000000" w:firstRow="0" w:lastRow="0" w:firstColumn="1" w:lastColumn="0" w:oddVBand="0" w:evenVBand="0" w:oddHBand="0" w:evenHBand="0" w:firstRowFirstColumn="0" w:firstRowLastColumn="0" w:lastRowFirstColumn="0" w:lastRowLastColumn="0"/>
            <w:tcW w:w="1555" w:type="dxa"/>
          </w:tcPr>
          <w:p w14:paraId="6D683E31" w14:textId="240FD06F" w:rsidR="00D320A2" w:rsidRPr="00581773" w:rsidRDefault="00D320A2" w:rsidP="0024256B">
            <w:pPr>
              <w:pStyle w:val="TableParagraph"/>
              <w:spacing w:before="55"/>
              <w:rPr>
                <w:rFonts w:ascii="Arial" w:hAnsi="Arial" w:cs="Arial"/>
                <w:i/>
                <w:szCs w:val="18"/>
              </w:rPr>
            </w:pPr>
            <w:r w:rsidRPr="00581773">
              <w:rPr>
                <w:rFonts w:ascii="Arial" w:hAnsi="Arial" w:cs="Arial"/>
                <w:szCs w:val="18"/>
              </w:rPr>
              <w:lastRenderedPageBreak/>
              <w:t>Vse posodobitve ali pojasnila predhodno sporočenih informacij, kot je primerno</w:t>
            </w:r>
          </w:p>
        </w:tc>
        <w:tc>
          <w:tcPr>
            <w:tcW w:w="7512" w:type="dxa"/>
          </w:tcPr>
          <w:p w14:paraId="5326DBE7" w14:textId="4FE3E740" w:rsidR="00D320A2" w:rsidRPr="00581773" w:rsidRDefault="00D320A2" w:rsidP="0024256B">
            <w:pPr>
              <w:pStyle w:val="TableParagraph"/>
              <w:keepNext w:val="0"/>
              <w:keepLines w:val="0"/>
              <w:spacing w:after="60"/>
              <w:ind w:right="147"/>
              <w:jc w:val="left"/>
              <w:cnfStyle w:val="000000000000" w:firstRow="0" w:lastRow="0" w:firstColumn="0" w:lastColumn="0" w:oddVBand="0" w:evenVBand="0" w:oddHBand="0" w:evenHBand="0" w:firstRowFirstColumn="0" w:firstRowLastColumn="0" w:lastRowFirstColumn="0" w:lastRowLastColumn="0"/>
              <w:rPr>
                <w:rFonts w:ascii="Arial" w:hAnsi="Arial" w:cs="Arial"/>
                <w:bCs/>
                <w:iCs/>
                <w:szCs w:val="18"/>
              </w:rPr>
            </w:pPr>
            <w:r w:rsidRPr="00581773">
              <w:rPr>
                <w:rFonts w:ascii="Arial" w:hAnsi="Arial" w:cs="Arial"/>
                <w:szCs w:val="18"/>
              </w:rPr>
              <w:t>Informacije o obsegu NDC vsebujejo pojasnila/nadaljnje podrobnosti v primerjavi z informacijami v posodobljenem NDC EU.</w:t>
            </w:r>
          </w:p>
        </w:tc>
      </w:tr>
    </w:tbl>
    <w:p w14:paraId="699D9688" w14:textId="2162546B" w:rsidR="0042650C" w:rsidRPr="00581773" w:rsidRDefault="002F38E7" w:rsidP="00286627">
      <w:pPr>
        <w:pStyle w:val="nikatabelee"/>
      </w:pPr>
      <w:bookmarkStart w:id="47" w:name="_Toc193195387"/>
      <w:r w:rsidRPr="00581773">
        <w:t>Preglednica</w:t>
      </w:r>
      <w:r w:rsidR="00D320A2" w:rsidRPr="00581773">
        <w:t xml:space="preserve"> </w:t>
      </w:r>
      <w:r w:rsidR="00803A70" w:rsidRPr="00581773">
        <w:t>2</w:t>
      </w:r>
      <w:r w:rsidR="00D320A2" w:rsidRPr="00581773">
        <w:t>: Opis NDC EU</w:t>
      </w:r>
      <w:bookmarkEnd w:id="47"/>
    </w:p>
    <w:p w14:paraId="6ECAF5B0" w14:textId="4FFDCE8B" w:rsidR="006A65D3" w:rsidRPr="00B92112" w:rsidRDefault="006A65D3"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Opomba: ta tabela je enaka tabeli „Opis nacionalno določenega prispevka pogodbenice v skladu s 4. členom Pariškega sporazuma, vključno s posodobitvami“, ki je bila elektronsko predložena skupaj s tem BTR. Ta tabela je tudi priložena temu BTR.</w:t>
      </w:r>
    </w:p>
    <w:p w14:paraId="7B404DA8" w14:textId="77777777" w:rsidR="006A65D3" w:rsidRPr="00B92112" w:rsidRDefault="006A65D3"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Vir: Posodobljeni NDC EU</w:t>
      </w:r>
      <w:r w:rsidRPr="00B92112">
        <w:rPr>
          <w:rStyle w:val="FootnoteReference"/>
          <w:rFonts w:ascii="Arial" w:hAnsi="Arial" w:cs="Arial"/>
          <w:sz w:val="18"/>
          <w:szCs w:val="18"/>
          <w:lang w:val="en-GB"/>
        </w:rPr>
        <w:footnoteReference w:id="28"/>
      </w:r>
    </w:p>
    <w:p w14:paraId="25618AA9" w14:textId="77777777" w:rsidR="006A65D3" w:rsidRPr="00581773" w:rsidRDefault="006A65D3" w:rsidP="006A65D3">
      <w:pPr>
        <w:pStyle w:val="Standardtext"/>
      </w:pPr>
    </w:p>
    <w:p w14:paraId="6F42D9F7" w14:textId="28AB10C7" w:rsidR="0042650C" w:rsidRPr="00581773" w:rsidRDefault="00CB38F8" w:rsidP="00CB38F8">
      <w:pPr>
        <w:pStyle w:val="Heading2"/>
        <w:jc w:val="both"/>
      </w:pPr>
      <w:bookmarkStart w:id="48" w:name="_Toc196300808"/>
      <w:r w:rsidRPr="00581773">
        <w:t>II.C Informacije, potrebne za spremljanje napredka pri izvajanju in doseganju nacionalno določenih prispevkov v skladu s 4. členom Pariškega sporazuma</w:t>
      </w:r>
      <w:bookmarkEnd w:id="48"/>
    </w:p>
    <w:p w14:paraId="0B14BF14"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bookmarkStart w:id="49" w:name="_Hlk193112532"/>
      <w:r w:rsidRPr="00581773">
        <w:rPr>
          <w:rFonts w:ascii="Arial" w:hAnsi="Arial" w:cs="Arial"/>
          <w:sz w:val="20"/>
          <w:szCs w:val="20"/>
        </w:rPr>
        <w:t>65. Vsaka pogodbenica mora opredeliti kazalnike, ki jih je izbrala za spremljanje napredka pri izvajanju in doseganju svojega NDC v skladu s 4. členom Pariškega sporazuma. Kazalniki morajo biti povezani s prispevkom NDC v skladu s 4. členom in so lahko bodisi kvalitativni bodisi kvantitativni.</w:t>
      </w:r>
    </w:p>
    <w:p w14:paraId="35F32328"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66. Ti kazalniki lahko vključujejo, kjer je to primerno, na primer: neto emisije toplogrednih plinov in ponore, odstotek zmanjšanja intenzivnosti emisij TGP, ustrezne kvalitativne kazalnike za določeno politiko ali ukrep, omilitvene koristi prilagoditvenih ukrepov in/ali načrtov za gospodarsko diverzifikacijo ali druge, na primer hektarje pogozdovanja, odstotek uporabe ali proizvodnje obnovljivih virov energije, ogljično nevtralnost, delež nefosilnih goriv v porabi primarne energije in kazalnike, ki niso povezani z emisijami TGP.</w:t>
      </w:r>
    </w:p>
    <w:p w14:paraId="4B98748C"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67. Vsaka pogodbenica mora zagotoviti informacije za vsak izbran kazalnik glede referenčnih točk, ravni, osnovnih vrednosti, izhodiščnih let ali izhodiščnih točk ter posodobiti informacije v skladu s kakršnim koli preračunom inventarja TGP, kjer je to primerno.</w:t>
      </w:r>
    </w:p>
    <w:p w14:paraId="32BBEF7C"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68. Vsaka pogodbenica mora zagotoviti najnovejše informacije za vsak izbran kazalnik, opredeljen v petinšestdesetem odstavku, za vsako poročevalsko leto v obdobju izvajanja njenega NDC v skladu s 4. členom.</w:t>
      </w:r>
    </w:p>
    <w:p w14:paraId="6EDF2C9B"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69. Vsaka pogodbenica mora primerjati najnovejše informacije za vsak izbran kazalnik z informacijami, poslanimi v skladu s sedeminšestdesetim odstavkom, da spremlja napredek pri izvajanju svojega NDC v skladu s 4. členom.</w:t>
      </w:r>
    </w:p>
    <w:p w14:paraId="02BF17DF"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70. Za prvo dvoletno poročilo o preglednosti, ki vsebuje informacije o končnem letu ali koncu obdobja njenega NDC v skladu s 4. členom, mora vsaka pogodbenica zagotoviti oceno, ali je dosegla cilje svojega NDC v skladu s 4. členom, na podlagi ustreznih informacij, opisanih v devetinpetdesetem do devetinšestdesetem in oseminsedemdesetem odstavku, kjer je to primerno, ter najnovejših informacij za vsak izbran kazalnik, pomemben za spremljanje napredka pri izvajanju in doseganju njenega NDC v skladu s 4. členom.</w:t>
      </w:r>
    </w:p>
    <w:p w14:paraId="7803664D"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71. Za prvi NDC v skladu s 4. členom mora vsaka pogodbenica jasno navesti svojo računovodsko metodo in poročati o njej, vključno s tem, kako je usklajena s trinajstim in štirinajstim odstavkom 4. člena Pariškega sporazuma. Vsaka pogodbenica lahko po lastni izbiri zagotovi informacije o računovodstvu svojega prvega NDC v skladu z odločbo 4/CMA.1.</w:t>
      </w:r>
    </w:p>
    <w:p w14:paraId="3578A331"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lastRenderedPageBreak/>
        <w:t>72. Za drugi in naslednje NDC v skladu s 4. členom mora vsaka pogodbenica zagotoviti informacije, navedene v poglavjih III.B in C, v skladu z odločbo 4/CMA.1. Vsaka pogodbenica mora jasno navesti, kako je njeno poročanje usklajeno z odločbo 4/CMA.1.</w:t>
      </w:r>
    </w:p>
    <w:p w14:paraId="5C32804C"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73. Vsaka pogodbenica mora zagotoviti vse opredelitve, potrebne za razumevanje njenega NDC v skladu s 4. členom, vključno s tistimi, povezanimi z vsakim kazalnikom, opredeljenim v petinšestdesetem odstavku, s tistimi, povezanimi s sektorji ali kategorijami, ki so drugače opredeljene kot v nacionalnem poročilu o inventarju, ali z omilitvenimi koristmi prilagoditvenih ukrepov in/ali načrtov za gospodarsko diverzifikacijo. </w:t>
      </w:r>
    </w:p>
    <w:p w14:paraId="37549FA2"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74. Vsaka pogodbenica mora zagotoviti opis vsake uporabljene metodologije in/ali računovodske metode, kjer je to ustrezno, za:</w:t>
      </w:r>
    </w:p>
    <w:p w14:paraId="04018874"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(a) cilje, kot je opisano v štiriinšestdesetem odstavku; </w:t>
      </w:r>
    </w:p>
    <w:p w14:paraId="2BA93E1D"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(b) izgradnjo osnovnih vrednosti, kot je opisano v štiriinšestdesetem odstavku, kadar je to mogoče;</w:t>
      </w:r>
    </w:p>
    <w:p w14:paraId="78CD3F4C"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(c) vsak kazalnik, opredeljen v petinšestdesetem odstavku </w:t>
      </w:r>
    </w:p>
    <w:p w14:paraId="70E26812"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75. Informacije iz štiriinsedemdesetega odstavka morajo vključevati, kjer je to primerno in na voljo, za NDC pogodbenice v skladu s 4. členom:</w:t>
      </w:r>
    </w:p>
    <w:p w14:paraId="24842065"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(a) ključne parametre, pogoje, opredelitve, vire podatkov in uporabljene modele;</w:t>
      </w:r>
    </w:p>
    <w:p w14:paraId="2E56B587"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(b) uporabljene smernice IPCC;</w:t>
      </w:r>
    </w:p>
    <w:p w14:paraId="4B5C84C3"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(c) uporabljene metrike;</w:t>
      </w:r>
    </w:p>
    <w:p w14:paraId="2E300781"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(d) metodologije za ocenjevanje omilitvenih koristi prilagoditvenih ukrepov in/ali načrtov za gospodarsko diverzifikacijo; </w:t>
      </w:r>
    </w:p>
    <w:p w14:paraId="2BE0DED8"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(e) metodologije, povezane s sodelovanjem, ki vključuje uporabo mednarodno prenesenih rezultatov omilitvenih ukrepov za doseganje NDC v skladu s 4. členom in smernicami CMA o sodelovanju po 6. členu;</w:t>
      </w:r>
    </w:p>
    <w:p w14:paraId="47BAEBDB"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(f) metodologije za spremljanje napredka pri izvajanju politik in ukrepov;</w:t>
      </w:r>
    </w:p>
    <w:p w14:paraId="6B1F9CA7"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(g) vse druge metodologije, povezane z NDC v skladu s 4. členom;</w:t>
      </w:r>
    </w:p>
    <w:p w14:paraId="6F1FD1F3"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(h) vse pogoje, pomembne za doseganje NDC v skladu s 4. členom. </w:t>
      </w:r>
    </w:p>
    <w:p w14:paraId="7E5EB81E"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76. Vsaka pogodbenica mora prav tako:</w:t>
      </w:r>
    </w:p>
    <w:p w14:paraId="7939DE38"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(a) opisati, kako je vsak kazalnik, opredeljen v petinšestdesetem odstavku, povezan z njenim NDC v skladu s 4. členom;</w:t>
      </w:r>
    </w:p>
    <w:p w14:paraId="265CA278"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(b) pojasniti, kako je metodologija v vsakem poročevalskem letu usklajena z metodologijo ali metodologijami, uporabljenimi pri komunikaciji NDC;</w:t>
      </w:r>
    </w:p>
    <w:p w14:paraId="680AB517"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(c) pojasniti metodološko neusklajenost z njenim najnovejšim nacionalnim poročilom o inventarju, če je to ustrezno;</w:t>
      </w:r>
    </w:p>
    <w:p w14:paraId="7CA4E6FA" w14:textId="77777777"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(d) opisati, kako se je izognila dvojnemu štetju neto zmanjšanja emisij TGP, tudi v skladu s smernicami, razvitimi v povezavi s 6. členom, če je to pomembno.</w:t>
      </w:r>
      <w:bookmarkEnd w:id="49"/>
    </w:p>
    <w:p w14:paraId="42B55FF2" w14:textId="03BE1A25" w:rsidR="00CB38F8" w:rsidRPr="00581773" w:rsidRDefault="00CB38F8" w:rsidP="00CB38F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77. Vsaka pogodbenica mora zagotoviti informacije, omenjene v odstavkih 65–76 zgoraj, v strukturirani povzetek, da bi spremljala napredek pri izvajanju in doseganju svojih NDC v skladu z 4. členom, vključno z:</w:t>
      </w:r>
    </w:p>
    <w:p w14:paraId="7BC5B623" w14:textId="468D75C5" w:rsidR="00F219F3" w:rsidRPr="00581773" w:rsidRDefault="00CB38F8" w:rsidP="00F219F3">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 xml:space="preserve">(a) Za vsak izbran kazalnik: (i) Informacije o referenčnih točkah, ravneh, osnovnih letih, začetnih točkah ali izhodiščnih točkah, omenjenih v odstavku 67 zgoraj; (ii) Informacije za prejšnja poročevalska leta v času izvajanja njenega NDC v skladu z 4. členom, ki so navedena v odstavku 68 zgoraj, če je to mogoče; (iii) Najnovejše informacije, navedene v odstavku 68 zgoraj; (b) Kjer je to ustrezno, informacije o emisijah in odstranjevanju GHG v skladu s področjem pokritosti njenega NDC v skladu z 4. členom; (c) Prispevek sektorja LULUCF za vsako leto ciljne dobe ali ciljnega leta, če ni vključen v časovno serijo inventarja skupnih neto emisij in odstranjevanj GHG, če je to ustrezno; (d) Vsaka stranka, ki sodeluje v sodelovalnih pristopih, ki vključujejo uporabo mednarodno prenesenih zmanjšanj emisij za NDC v skladu z 4. členom ali dovoljuje uporabo zmanjšanj emisij za druge mednarodne namene zmanjšanja emisij, razen za dosego svojega NDC, mora v strukturiranem povzetku zagotoviti naslednje informacije v skladu z ustreznimi sklepi, sprejetimi na strani CMA o 6. členu: (i) Letna raven antropogenih emisij po virih in odstranjevanj po ponorih, ki so zajeti v NDC, na letni osnovi, poročano na dvoletni osnovi; (ii) Bilanca emisij, ki odraža raven antropogenih emisij po virih in odstranjevanj po ponorih, ki so zajeti v njenem NDC, prilagojena na podlagi ustreznih prilagoditev, izvedenih z dodajanjem za mednarodno prenesena zmanjšanja emisij, prvič prenesena/prenesena, in odštevanjem za mednarodno prenesena zmanjšanja emisij, ki so bila uporabljena/pridobljena, v skladu s sklepi, sprejetimi na strani CMA o 6. členu; (iii) Kakršne koli druge informacije v skladu s sklepi, sprejetimi na strani CMA o poročanju v skladu s 6. </w:t>
      </w:r>
      <w:r w:rsidRPr="00581773">
        <w:rPr>
          <w:rFonts w:ascii="Arial" w:hAnsi="Arial" w:cs="Arial"/>
          <w:sz w:val="20"/>
          <w:szCs w:val="20"/>
        </w:rPr>
        <w:lastRenderedPageBreak/>
        <w:t>členom; (iv) Informacije o tem, kako vsak sodelovalni pristop spodbuja trajnostni razvoj ter zagotavlja okoljsko integriteto in preglednost, vključno z upravljanjem; in uporablja robustno računovodstvo za zagotavljanje, med drugim, izogibanja podvajanju, v skladu s sklepi, sprejetimi na strani CMA o 6. členu.</w:t>
      </w:r>
    </w:p>
    <w:p w14:paraId="0A140485" w14:textId="2061E244" w:rsidR="00F219F3" w:rsidRPr="00581773" w:rsidRDefault="00F219F3" w:rsidP="00F219F3">
      <w:pPr>
        <w:rPr>
          <w:rFonts w:ascii="Arial" w:hAnsi="Arial" w:cs="Arial"/>
          <w:b/>
          <w:bCs/>
        </w:rPr>
      </w:pPr>
    </w:p>
    <w:p w14:paraId="48E094A5" w14:textId="7BA3CD3E" w:rsidR="00F219F3" w:rsidRPr="00581773" w:rsidRDefault="00C54481" w:rsidP="00ED318A">
      <w:pPr>
        <w:pStyle w:val="Heading3"/>
      </w:pPr>
      <w:bookmarkStart w:id="50" w:name="_Toc196300809"/>
      <w:r w:rsidRPr="00581773">
        <w:t xml:space="preserve">II.C.1 </w:t>
      </w:r>
      <w:r w:rsidR="00F219F3" w:rsidRPr="00581773">
        <w:t>Indikator</w:t>
      </w:r>
      <w:bookmarkEnd w:id="50"/>
    </w:p>
    <w:p w14:paraId="537B7DAF" w14:textId="11B26C61" w:rsidR="006E285F" w:rsidRPr="00581773" w:rsidRDefault="006E285F" w:rsidP="00B92112">
      <w:pPr>
        <w:pBdr>
          <w:left w:val="single" w:sz="24" w:space="1" w:color="529DBA"/>
        </w:pBdr>
        <w:spacing w:line="240" w:lineRule="auto"/>
        <w:jc w:val="both"/>
        <w:rPr>
          <w:rFonts w:ascii="Arial" w:hAnsi="Arial" w:cs="Arial"/>
        </w:rPr>
      </w:pPr>
      <w:r w:rsidRPr="00581773">
        <w:rPr>
          <w:rFonts w:ascii="Arial" w:hAnsi="Arial" w:cs="Arial"/>
        </w:rPr>
        <w:t xml:space="preserve">Za sledenje napredka pri izvajanju in doseganju NDC EU se uporablja kazalnik, ki ima enako enoto in metriko kot NDC izhodiščno leto in ciljne vrednosti. Izbrani kazalnik je ‘skupne letne neto emisije toplogrednih plinov v skladu z obsegom NDC v </w:t>
      </w:r>
      <w:r w:rsidR="00FF6102" w:rsidRPr="00581773">
        <w:rPr>
          <w:rFonts w:ascii="Arial" w:hAnsi="Arial" w:cs="Arial"/>
        </w:rPr>
        <w:t>CO</w:t>
      </w:r>
      <w:r w:rsidR="00FF6102" w:rsidRPr="00581773">
        <w:rPr>
          <w:rFonts w:ascii="Arial" w:hAnsi="Arial" w:cs="Arial"/>
          <w:vertAlign w:val="subscript"/>
        </w:rPr>
        <w:t>2</w:t>
      </w:r>
      <w:r w:rsidRPr="00581773">
        <w:rPr>
          <w:rFonts w:ascii="Arial" w:hAnsi="Arial" w:cs="Arial"/>
        </w:rPr>
        <w:t xml:space="preserve"> ekv.’ </w:t>
      </w:r>
      <w:r w:rsidR="00705AB9" w:rsidRPr="00581773">
        <w:rPr>
          <w:rFonts w:ascii="Arial" w:hAnsi="Arial" w:cs="Arial"/>
        </w:rPr>
        <w:t>Preglednica 3</w:t>
      </w:r>
      <w:r w:rsidRPr="00581773">
        <w:rPr>
          <w:rFonts w:ascii="Arial" w:hAnsi="Arial" w:cs="Arial"/>
        </w:rPr>
        <w:t xml:space="preserve"> ponuja več informacij o tem kazalniku.</w:t>
      </w:r>
    </w:p>
    <w:tbl>
      <w:tblPr>
        <w:tblStyle w:val="TableGrid"/>
        <w:tblW w:w="9356" w:type="dxa"/>
        <w:tblInd w:w="-147" w:type="dxa"/>
        <w:tblLook w:val="04A0" w:firstRow="1" w:lastRow="0" w:firstColumn="1" w:lastColumn="0" w:noHBand="0" w:noVBand="1"/>
      </w:tblPr>
      <w:tblGrid>
        <w:gridCol w:w="1702"/>
        <w:gridCol w:w="7654"/>
      </w:tblGrid>
      <w:tr w:rsidR="006E285F" w:rsidRPr="00581773" w14:paraId="7950462C" w14:textId="77777777" w:rsidTr="006E285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529DBA"/>
          </w:tcPr>
          <w:p w14:paraId="4391924B" w14:textId="1B02A359" w:rsidR="006E285F" w:rsidRPr="00581773" w:rsidRDefault="006E285F" w:rsidP="0024256B">
            <w:pPr>
              <w:pStyle w:val="TabellentextlinksbndigI"/>
              <w:keepNext w:val="0"/>
              <w:keepLines w:val="0"/>
              <w:spacing w:before="0"/>
              <w:rPr>
                <w:rFonts w:ascii="Arial" w:hAnsi="Arial" w:cs="Arial"/>
                <w:bCs/>
                <w:sz w:val="18"/>
                <w:szCs w:val="18"/>
              </w:rPr>
            </w:pPr>
            <w:r w:rsidRPr="00581773">
              <w:rPr>
                <w:rFonts w:ascii="Arial" w:hAnsi="Arial" w:cs="Arial"/>
                <w:sz w:val="18"/>
                <w:szCs w:val="18"/>
              </w:rPr>
              <w:t>Informacije</w:t>
            </w:r>
          </w:p>
        </w:tc>
        <w:tc>
          <w:tcPr>
            <w:tcW w:w="7654" w:type="dxa"/>
            <w:shd w:val="clear" w:color="auto" w:fill="529DBA"/>
          </w:tcPr>
          <w:p w14:paraId="42A61A6B" w14:textId="30C0DF55" w:rsidR="006E285F" w:rsidRPr="00581773" w:rsidRDefault="006E285F" w:rsidP="0024256B">
            <w:pPr>
              <w:pStyle w:val="TabellentextrechtsbndigI"/>
              <w:keepNext w:val="0"/>
              <w:keepLines w:val="0"/>
              <w:spacing w:before="0"/>
              <w:jc w:val="left"/>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Opis</w:t>
            </w:r>
          </w:p>
        </w:tc>
      </w:tr>
      <w:tr w:rsidR="006E285F" w:rsidRPr="00581773" w14:paraId="511A4BD1" w14:textId="77777777" w:rsidTr="006E285F">
        <w:tc>
          <w:tcPr>
            <w:cnfStyle w:val="001000000000" w:firstRow="0" w:lastRow="0" w:firstColumn="1" w:lastColumn="0" w:oddVBand="0" w:evenVBand="0" w:oddHBand="0" w:evenHBand="0" w:firstRowFirstColumn="0" w:firstRowLastColumn="0" w:lastRowFirstColumn="0" w:lastRowLastColumn="0"/>
            <w:tcW w:w="1702" w:type="dxa"/>
          </w:tcPr>
          <w:p w14:paraId="17A0F4E2" w14:textId="2AAC8A7F" w:rsidR="006E285F" w:rsidRPr="00581773" w:rsidRDefault="006E285F"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Izbrani kazalnik</w:t>
            </w:r>
          </w:p>
        </w:tc>
        <w:tc>
          <w:tcPr>
            <w:tcW w:w="7654" w:type="dxa"/>
            <w:tcBorders>
              <w:right w:val="single" w:sz="4" w:space="0" w:color="auto"/>
            </w:tcBorders>
          </w:tcPr>
          <w:p w14:paraId="14DF2EFD" w14:textId="77777777" w:rsidR="006E285F" w:rsidRPr="00581773" w:rsidRDefault="006E285F"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Skupne letne neto emisije toplogrednih plinov v skladu z obsegom NDC v CO</w:t>
            </w:r>
            <w:r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 xml:space="preserve"> ekv.</w:t>
            </w:r>
          </w:p>
        </w:tc>
      </w:tr>
      <w:tr w:rsidR="006E285F" w:rsidRPr="00581773" w14:paraId="0E53900F" w14:textId="77777777" w:rsidTr="006E285F">
        <w:tc>
          <w:tcPr>
            <w:cnfStyle w:val="001000000000" w:firstRow="0" w:lastRow="0" w:firstColumn="1" w:lastColumn="0" w:oddVBand="0" w:evenVBand="0" w:oddHBand="0" w:evenHBand="0" w:firstRowFirstColumn="0" w:firstRowLastColumn="0" w:lastRowFirstColumn="0" w:lastRowLastColumn="0"/>
            <w:tcW w:w="1702" w:type="dxa"/>
          </w:tcPr>
          <w:p w14:paraId="78DB7BB2" w14:textId="5C5F30FC" w:rsidR="006E285F" w:rsidRPr="00581773" w:rsidRDefault="006E285F"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Referenčna raven in osnovno leto</w:t>
            </w:r>
          </w:p>
        </w:tc>
        <w:tc>
          <w:tcPr>
            <w:tcW w:w="7654" w:type="dxa"/>
            <w:tcBorders>
              <w:right w:val="single" w:sz="4" w:space="0" w:color="auto"/>
            </w:tcBorders>
          </w:tcPr>
          <w:p w14:paraId="172555A6" w14:textId="77777777" w:rsidR="006E285F" w:rsidRPr="00581773" w:rsidRDefault="006E285F"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Referenčna raven so skupne neto emisije toplogrednih plinov EU v osnovnem letu (1990). Referenčna vrednost ravni za EU je 4.699.405</w:t>
            </w:r>
            <w:r w:rsidRPr="00581773">
              <w:rPr>
                <w:rFonts w:ascii="Arial" w:hAnsi="Arial" w:cs="Arial"/>
                <w:color w:val="FF0000"/>
                <w:sz w:val="18"/>
                <w:szCs w:val="18"/>
              </w:rPr>
              <w:t xml:space="preserve"> </w:t>
            </w:r>
            <w:r w:rsidRPr="00581773">
              <w:rPr>
                <w:rFonts w:ascii="Arial" w:hAnsi="Arial" w:cs="Arial"/>
                <w:color w:val="000000" w:themeColor="text1"/>
                <w:sz w:val="18"/>
                <w:szCs w:val="18"/>
              </w:rPr>
              <w:t>kt CO</w:t>
            </w:r>
            <w:r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 xml:space="preserve"> ekv.</w:t>
            </w:r>
          </w:p>
        </w:tc>
      </w:tr>
      <w:tr w:rsidR="006E285F" w:rsidRPr="00581773" w14:paraId="1025584C" w14:textId="77777777" w:rsidTr="006E285F">
        <w:tc>
          <w:tcPr>
            <w:cnfStyle w:val="001000000000" w:firstRow="0" w:lastRow="0" w:firstColumn="1" w:lastColumn="0" w:oddVBand="0" w:evenVBand="0" w:oddHBand="0" w:evenHBand="0" w:firstRowFirstColumn="0" w:firstRowLastColumn="0" w:lastRowFirstColumn="0" w:lastRowLastColumn="0"/>
            <w:tcW w:w="1702" w:type="dxa"/>
          </w:tcPr>
          <w:p w14:paraId="36CA3F41" w14:textId="07D9C138" w:rsidR="006E285F" w:rsidRPr="00581773" w:rsidRDefault="006E285F"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Posodobitve</w:t>
            </w:r>
          </w:p>
        </w:tc>
        <w:tc>
          <w:tcPr>
            <w:tcW w:w="7654" w:type="dxa"/>
            <w:tcBorders>
              <w:right w:val="single" w:sz="4" w:space="0" w:color="auto"/>
            </w:tcBorders>
          </w:tcPr>
          <w:p w14:paraId="07E9761C" w14:textId="77777777" w:rsidR="006E285F" w:rsidRPr="00581773" w:rsidRDefault="006E285F" w:rsidP="0024256B">
            <w:pPr>
              <w:pStyle w:val="TabellentextrechtsbndigI"/>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 xml:space="preserve">To je prvič, da je referenčna raven sporočena, zato ni nobenih posodobitev. </w:t>
            </w:r>
          </w:p>
          <w:p w14:paraId="2264CD51" w14:textId="3653D58F" w:rsidR="006E285F" w:rsidRPr="00581773" w:rsidRDefault="006E285F"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 xml:space="preserve">Vrednost referenčne ravni bo morda v prihodnje posodobljena zaradi metodoloških izboljšav popisa toplogrednih plinov v EU in zaradi določanja emisij iz mednarodnega letalstva in </w:t>
            </w:r>
            <w:r w:rsidR="00F95701" w:rsidRPr="00581773">
              <w:rPr>
                <w:rFonts w:ascii="Arial" w:hAnsi="Arial" w:cs="Arial"/>
                <w:color w:val="000000" w:themeColor="text1"/>
                <w:sz w:val="18"/>
                <w:szCs w:val="18"/>
              </w:rPr>
              <w:t>pomorstva</w:t>
            </w:r>
            <w:r w:rsidRPr="00581773">
              <w:rPr>
                <w:rFonts w:ascii="Arial" w:hAnsi="Arial" w:cs="Arial"/>
                <w:color w:val="000000" w:themeColor="text1"/>
                <w:sz w:val="18"/>
                <w:szCs w:val="18"/>
              </w:rPr>
              <w:t xml:space="preserve"> v okviru NDC.</w:t>
            </w:r>
          </w:p>
        </w:tc>
      </w:tr>
      <w:tr w:rsidR="006E285F" w:rsidRPr="00581773" w14:paraId="6E1C59D2" w14:textId="77777777" w:rsidTr="006E285F">
        <w:tc>
          <w:tcPr>
            <w:cnfStyle w:val="001000000000" w:firstRow="0" w:lastRow="0" w:firstColumn="1" w:lastColumn="0" w:oddVBand="0" w:evenVBand="0" w:oddHBand="0" w:evenHBand="0" w:firstRowFirstColumn="0" w:firstRowLastColumn="0" w:lastRowFirstColumn="0" w:lastRowLastColumn="0"/>
            <w:tcW w:w="1702" w:type="dxa"/>
          </w:tcPr>
          <w:p w14:paraId="03B9141C" w14:textId="23C80200" w:rsidR="006E285F" w:rsidRPr="00581773" w:rsidRDefault="006E285F"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Odnos do NDC</w:t>
            </w:r>
          </w:p>
        </w:tc>
        <w:tc>
          <w:tcPr>
            <w:tcW w:w="7654" w:type="dxa"/>
            <w:tcBorders>
              <w:right w:val="single" w:sz="4" w:space="0" w:color="auto"/>
            </w:tcBorders>
          </w:tcPr>
          <w:p w14:paraId="6E4527FF" w14:textId="77777777" w:rsidR="006E285F" w:rsidRPr="00581773" w:rsidRDefault="006E285F"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Indikator je opredeljen v isti enoti in metriki kot cilj NDC. Zato se lahko uporablja neposredno za sledenje napredku pri izvajanju in doseganju cilja NDC.</w:t>
            </w:r>
          </w:p>
        </w:tc>
      </w:tr>
      <w:tr w:rsidR="006E285F" w:rsidRPr="00581773" w14:paraId="684A15A2" w14:textId="77777777" w:rsidTr="006E285F">
        <w:tc>
          <w:tcPr>
            <w:cnfStyle w:val="001000000000" w:firstRow="0" w:lastRow="0" w:firstColumn="1" w:lastColumn="0" w:oddVBand="0" w:evenVBand="0" w:oddHBand="0" w:evenHBand="0" w:firstRowFirstColumn="0" w:firstRowLastColumn="0" w:lastRowFirstColumn="0" w:lastRowLastColumn="0"/>
            <w:tcW w:w="1702" w:type="dxa"/>
          </w:tcPr>
          <w:p w14:paraId="50AEB49D" w14:textId="05B9550E" w:rsidR="006E285F" w:rsidRPr="00581773" w:rsidRDefault="006E285F" w:rsidP="0024256B">
            <w:pPr>
              <w:pStyle w:val="TabellentextlinksbndigI"/>
              <w:keepNext w:val="0"/>
              <w:keepLines w:val="0"/>
              <w:spacing w:before="0"/>
              <w:rPr>
                <w:rFonts w:ascii="Arial" w:hAnsi="Arial" w:cs="Arial"/>
                <w:sz w:val="18"/>
                <w:szCs w:val="18"/>
              </w:rPr>
            </w:pPr>
            <w:r w:rsidRPr="00581773">
              <w:rPr>
                <w:rFonts w:ascii="Arial" w:hAnsi="Arial" w:cs="Arial"/>
                <w:sz w:val="18"/>
                <w:szCs w:val="18"/>
              </w:rPr>
              <w:t>Definicije</w:t>
            </w:r>
          </w:p>
        </w:tc>
        <w:tc>
          <w:tcPr>
            <w:tcW w:w="7654" w:type="dxa"/>
            <w:tcBorders>
              <w:right w:val="single" w:sz="4" w:space="0" w:color="auto"/>
            </w:tcBorders>
          </w:tcPr>
          <w:p w14:paraId="5953D775" w14:textId="192F62FA" w:rsidR="006E285F" w:rsidRPr="00581773" w:rsidRDefault="006E285F" w:rsidP="0024256B">
            <w:pPr>
              <w:pStyle w:val="TabellentextrechtsbndigI"/>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Opredelitev kazalnika „letne skupne neto emisije toplogrednih plinov v CO</w:t>
            </w:r>
            <w:r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 xml:space="preserve"> ekv“:</w:t>
            </w:r>
          </w:p>
          <w:p w14:paraId="007D76FA" w14:textId="688143E7" w:rsidR="006E285F" w:rsidRPr="00581773" w:rsidRDefault="006E285F" w:rsidP="0024256B">
            <w:pPr>
              <w:pStyle w:val="TabellentextrechtsbndigI"/>
              <w:keepNext w:val="0"/>
              <w:keepLines w:val="0"/>
              <w:spacing w:before="0"/>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8"/>
                <w:szCs w:val="18"/>
              </w:rPr>
            </w:pPr>
            <w:r w:rsidRPr="00581773">
              <w:rPr>
                <w:rFonts w:ascii="Arial" w:hAnsi="Arial" w:cs="Arial"/>
                <w:color w:val="000000" w:themeColor="text1"/>
                <w:sz w:val="18"/>
                <w:szCs w:val="18"/>
              </w:rPr>
              <w:t xml:space="preserve">Skupne neto emisije toplogrednih plinov ustrezajo skupnim letnim emisijam in odvzemom, prijavljenim v ekvivalentih CO2 v najnovejšem popisu toplogrednih plinov v EU. Skupne vrednosti zajemajo vse sektorje in pline, navedene v tabeli z naslovom ‘Oblika poročanja za opis nacionalno določenega prispevka pogodbenice v skladu s 4. členom Pariškega sporazuma, vključno s posodobitvami’. Vključene so posredne emisije </w:t>
            </w:r>
            <w:r w:rsidR="00AD208E" w:rsidRPr="00581773">
              <w:rPr>
                <w:rFonts w:ascii="Arial" w:hAnsi="Arial" w:cs="Arial"/>
                <w:color w:val="000000" w:themeColor="text1"/>
                <w:sz w:val="18"/>
                <w:szCs w:val="18"/>
              </w:rPr>
              <w:t>CO</w:t>
            </w:r>
            <w:r w:rsidR="00AD208E" w:rsidRPr="00581773">
              <w:rPr>
                <w:rFonts w:ascii="Arial" w:hAnsi="Arial" w:cs="Arial"/>
                <w:color w:val="000000" w:themeColor="text1"/>
                <w:sz w:val="18"/>
                <w:szCs w:val="18"/>
                <w:vertAlign w:val="subscript"/>
              </w:rPr>
              <w:t>2</w:t>
            </w:r>
            <w:r w:rsidRPr="00581773">
              <w:rPr>
                <w:rFonts w:ascii="Arial" w:hAnsi="Arial" w:cs="Arial"/>
                <w:color w:val="000000" w:themeColor="text1"/>
                <w:sz w:val="18"/>
                <w:szCs w:val="18"/>
              </w:rPr>
              <w:t xml:space="preserve"> iz tistih držav članic, ki poročajo o teh emisijah.</w:t>
            </w:r>
          </w:p>
        </w:tc>
      </w:tr>
    </w:tbl>
    <w:p w14:paraId="6AF2D39F" w14:textId="6DFBD52C" w:rsidR="006E285F" w:rsidRPr="00581773" w:rsidRDefault="002F38E7" w:rsidP="0024256B">
      <w:pPr>
        <w:pStyle w:val="nikatabelee"/>
      </w:pPr>
      <w:bookmarkStart w:id="51" w:name="_Toc193195388"/>
      <w:r w:rsidRPr="00581773">
        <w:t>Preglednica</w:t>
      </w:r>
      <w:r w:rsidR="006E285F" w:rsidRPr="00581773">
        <w:t xml:space="preserve"> 3: Kazalnik za spremljanje napredka</w:t>
      </w:r>
      <w:bookmarkEnd w:id="51"/>
    </w:p>
    <w:p w14:paraId="5F293CD6" w14:textId="4B1C2FFF" w:rsidR="006E285F" w:rsidRPr="00B92112" w:rsidRDefault="006E285F"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 xml:space="preserve">Opomba: Informacije v tej tabeli so enake informacijam v </w:t>
      </w:r>
      <w:r w:rsidR="00592340" w:rsidRPr="00B92112">
        <w:rPr>
          <w:rFonts w:ascii="Arial" w:hAnsi="Arial" w:cs="Arial"/>
          <w:sz w:val="18"/>
          <w:szCs w:val="18"/>
        </w:rPr>
        <w:t>preglednicah</w:t>
      </w:r>
      <w:r w:rsidRPr="00B92112">
        <w:rPr>
          <w:rFonts w:ascii="Arial" w:hAnsi="Arial" w:cs="Arial"/>
          <w:sz w:val="18"/>
          <w:szCs w:val="18"/>
        </w:rPr>
        <w:t xml:space="preserve"> 1 ('Opis izbranih kazalnikov') in 2 ('Definicije, potrebne za razumevanje NDC') v skupnem </w:t>
      </w:r>
      <w:r w:rsidR="00592340" w:rsidRPr="00B92112">
        <w:rPr>
          <w:rFonts w:ascii="Arial" w:hAnsi="Arial" w:cs="Arial"/>
          <w:sz w:val="18"/>
          <w:szCs w:val="18"/>
        </w:rPr>
        <w:t>pregledničnem</w:t>
      </w:r>
      <w:r w:rsidRPr="00B92112">
        <w:rPr>
          <w:rFonts w:ascii="Arial" w:hAnsi="Arial" w:cs="Arial"/>
          <w:sz w:val="18"/>
          <w:szCs w:val="18"/>
        </w:rPr>
        <w:t xml:space="preserve"> formatu (CTF), ki sta bili elektronsko predloženi skupaj s tem BTR. </w:t>
      </w:r>
    </w:p>
    <w:p w14:paraId="4C0FB8C8" w14:textId="5F4A039A" w:rsidR="006E285F" w:rsidRPr="00581773" w:rsidRDefault="006E285F" w:rsidP="00B92112">
      <w:pPr>
        <w:pStyle w:val="Source"/>
        <w:pBdr>
          <w:left w:val="single" w:sz="24" w:space="4" w:color="529DBA"/>
        </w:pBdr>
        <w:spacing w:line="240" w:lineRule="auto"/>
        <w:rPr>
          <w:rFonts w:ascii="Arial" w:hAnsi="Arial" w:cs="Arial"/>
          <w:szCs w:val="22"/>
        </w:rPr>
      </w:pPr>
      <w:r w:rsidRPr="00B92112">
        <w:rPr>
          <w:rFonts w:ascii="Arial" w:hAnsi="Arial" w:cs="Arial"/>
          <w:sz w:val="18"/>
          <w:szCs w:val="18"/>
        </w:rPr>
        <w:t>Vir: Referenčna raven temelji na letnem popisu toplogrednih plinov Evropske unije 1990–2022</w:t>
      </w:r>
      <w:r w:rsidRPr="00581773">
        <w:rPr>
          <w:rFonts w:ascii="Arial" w:hAnsi="Arial" w:cs="Arial"/>
          <w:szCs w:val="22"/>
        </w:rPr>
        <w:t xml:space="preserve">. </w:t>
      </w:r>
    </w:p>
    <w:p w14:paraId="43001EB2" w14:textId="4C8FCEC5" w:rsidR="006E285F" w:rsidRPr="00581773" w:rsidRDefault="00C54481" w:rsidP="00B92112">
      <w:pPr>
        <w:pStyle w:val="Heading3"/>
        <w:pBdr>
          <w:left w:val="single" w:sz="24" w:space="4" w:color="529DBA"/>
        </w:pBdr>
        <w:spacing w:line="240" w:lineRule="auto"/>
      </w:pPr>
      <w:bookmarkStart w:id="52" w:name="_Toc196300810"/>
      <w:r w:rsidRPr="00581773">
        <w:t xml:space="preserve">II.C.2 </w:t>
      </w:r>
      <w:r w:rsidR="00EA61A2" w:rsidRPr="00581773">
        <w:t>Metodologije in računovodski pristop</w:t>
      </w:r>
      <w:bookmarkEnd w:id="52"/>
    </w:p>
    <w:p w14:paraId="4C01C774" w14:textId="460F96D0" w:rsidR="00EA61A2" w:rsidRPr="00581773" w:rsidRDefault="00EA61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 xml:space="preserve">EU uporablja naslednji računovodski pristop za sledenje napredku v smeri skupnega NDC EU: letni podatki o toplogrednih plinih iz nacionalne evidence toplogrednih plinov v EU, dopolnjeni za mednarodno letalstvo in </w:t>
      </w:r>
      <w:r w:rsidR="00F95701" w:rsidRPr="00581773">
        <w:rPr>
          <w:rFonts w:ascii="Arial" w:hAnsi="Arial" w:cs="Arial"/>
          <w:sz w:val="22"/>
        </w:rPr>
        <w:t>mednarodno pomorstvo</w:t>
      </w:r>
      <w:r w:rsidRPr="00581773">
        <w:rPr>
          <w:rFonts w:ascii="Arial" w:hAnsi="Arial" w:cs="Arial"/>
          <w:sz w:val="22"/>
        </w:rPr>
        <w:t xml:space="preserve"> z ocenami iz integrirane zbirke podatkov Evropskega energetskega sistema Skupnega raziskovalnega središča</w:t>
      </w:r>
      <w:r w:rsidRPr="00581773">
        <w:rPr>
          <w:rStyle w:val="FootnoteReference"/>
          <w:rFonts w:ascii="Arial" w:hAnsi="Arial" w:cs="Arial"/>
          <w:sz w:val="22"/>
          <w:lang w:val="en-GB"/>
        </w:rPr>
        <w:footnoteReference w:id="29"/>
      </w:r>
      <w:r w:rsidRPr="00581773">
        <w:rPr>
          <w:rFonts w:ascii="Arial" w:hAnsi="Arial" w:cs="Arial"/>
          <w:sz w:val="22"/>
        </w:rPr>
        <w:t>. Skupne neto emisije toplogrednih plinov so navedene v okviru EU NDC in se primerjajo z absolutnim ciljem zmanjšanja emisij za celotno gospodarstvo, kot je opredeljeno v NDC. EU bo odgovarjala za svoje sodelovanje z drugimi pogodbenicami na način, ki je skladen s smernicami, ki jih je sprejel CMA.</w:t>
      </w:r>
    </w:p>
    <w:p w14:paraId="7B4D9690" w14:textId="1BE54893" w:rsidR="00EA61A2" w:rsidRPr="00581773" w:rsidRDefault="00EA61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Kar zadeva emisije in odvzeme iz sektorja LULUCF, se neto emisije uporabljajo za sledenje napredku pri doseganju cilja NDC do leta 2030 na podlagi vseh sporočenih emisij in odvzemov.</w:t>
      </w:r>
    </w:p>
    <w:p w14:paraId="6A9601F4" w14:textId="2B36F5B5" w:rsidR="00EA61A2" w:rsidRPr="00581773" w:rsidRDefault="00EA61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lastRenderedPageBreak/>
        <w:t>Podrobnosti o metodologijah in računovodskih pristopih v skladu z računovodskimi smernicami</w:t>
      </w:r>
      <w:r w:rsidRPr="00581773">
        <w:rPr>
          <w:rStyle w:val="FootnoteReference"/>
          <w:rFonts w:ascii="Arial" w:hAnsi="Arial" w:cs="Arial"/>
          <w:sz w:val="22"/>
          <w:lang w:val="en-GB"/>
        </w:rPr>
        <w:footnoteReference w:id="30"/>
      </w:r>
      <w:r w:rsidRPr="00581773">
        <w:rPr>
          <w:rFonts w:ascii="Arial" w:hAnsi="Arial" w:cs="Arial"/>
          <w:sz w:val="22"/>
        </w:rPr>
        <w:t xml:space="preserve"> v okviru Pariškega sporazuma je mogoče najti v CTF </w:t>
      </w:r>
      <w:r w:rsidR="00592340" w:rsidRPr="00581773">
        <w:rPr>
          <w:rFonts w:ascii="Arial" w:hAnsi="Arial" w:cs="Arial"/>
          <w:sz w:val="22"/>
        </w:rPr>
        <w:t>preglednici</w:t>
      </w:r>
      <w:r w:rsidRPr="00581773">
        <w:rPr>
          <w:rFonts w:ascii="Arial" w:hAnsi="Arial" w:cs="Arial"/>
          <w:sz w:val="22"/>
        </w:rPr>
        <w:t xml:space="preserve"> „Metodologije in računovodski pristopi“, ki je bila elektronsko predložena skupaj s to BTR. </w:t>
      </w:r>
    </w:p>
    <w:p w14:paraId="74CA29C8" w14:textId="7EEE3A6B" w:rsidR="00EA61A2" w:rsidRPr="00581773" w:rsidRDefault="00C54481" w:rsidP="00B92112">
      <w:pPr>
        <w:pStyle w:val="Heading3"/>
        <w:pBdr>
          <w:left w:val="single" w:sz="24" w:space="4" w:color="529DBA"/>
        </w:pBdr>
        <w:spacing w:line="240" w:lineRule="auto"/>
        <w:rPr>
          <w:bCs/>
        </w:rPr>
      </w:pPr>
      <w:bookmarkStart w:id="53" w:name="_Toc196300811"/>
      <w:r w:rsidRPr="00581773">
        <w:t xml:space="preserve">II.C.3 </w:t>
      </w:r>
      <w:r w:rsidR="00EA61A2" w:rsidRPr="00581773">
        <w:t>Strukturiran povzetek – stanje napredka</w:t>
      </w:r>
      <w:bookmarkEnd w:id="53"/>
    </w:p>
    <w:p w14:paraId="38DA45C6" w14:textId="6EA35D69" w:rsidR="00010B42" w:rsidRPr="00581773" w:rsidRDefault="00EA61A2" w:rsidP="00B92112">
      <w:pPr>
        <w:pStyle w:val="Standardtext"/>
        <w:pBdr>
          <w:left w:val="single" w:sz="24" w:space="4" w:color="529DBA"/>
        </w:pBdr>
        <w:spacing w:line="240" w:lineRule="auto"/>
        <w:rPr>
          <w:rFonts w:ascii="Arial" w:hAnsi="Arial" w:cs="Arial"/>
          <w:sz w:val="22"/>
        </w:rPr>
      </w:pPr>
      <w:r w:rsidRPr="00581773">
        <w:rPr>
          <w:rFonts w:ascii="Arial" w:hAnsi="Arial" w:cs="Arial"/>
          <w:sz w:val="22"/>
        </w:rPr>
        <w:t xml:space="preserve">Pomemben namen BTR je pokazati, kje so EU in njene države članice pri izvajanju NDC in kakšen napredek so dosegle pri doseganju tega cilja. Najnovejše informacije o emisijah in odvzemih toplogrednih plinov v okviru NDC so ključne informacije za sledenje tega napredka. </w:t>
      </w:r>
      <w:r w:rsidR="00951423" w:rsidRPr="00581773">
        <w:rPr>
          <w:rFonts w:ascii="Arial" w:hAnsi="Arial" w:cs="Arial"/>
          <w:sz w:val="22"/>
        </w:rPr>
        <w:t>Preglednica 4</w:t>
      </w:r>
      <w:r w:rsidR="00B118E9" w:rsidRPr="00581773">
        <w:rPr>
          <w:rFonts w:ascii="Arial" w:hAnsi="Arial" w:cs="Arial"/>
          <w:sz w:val="22"/>
        </w:rPr>
        <w:t xml:space="preserve"> </w:t>
      </w:r>
      <w:r w:rsidRPr="00581773">
        <w:rPr>
          <w:rFonts w:ascii="Arial" w:hAnsi="Arial" w:cs="Arial"/>
          <w:sz w:val="22"/>
        </w:rPr>
        <w:t xml:space="preserve">povzema trenutno stanje napredka. </w:t>
      </w:r>
      <w:bookmarkStart w:id="54" w:name="_Hlk164787744"/>
    </w:p>
    <w:tbl>
      <w:tblPr>
        <w:tblStyle w:val="TableGrid"/>
        <w:tblW w:w="9209" w:type="dxa"/>
        <w:tblLayout w:type="fixed"/>
        <w:tblCellMar>
          <w:left w:w="28" w:type="dxa"/>
          <w:right w:w="28" w:type="dxa"/>
        </w:tblCellMar>
        <w:tblLook w:val="04A0" w:firstRow="1" w:lastRow="0" w:firstColumn="1" w:lastColumn="0" w:noHBand="0" w:noVBand="1"/>
      </w:tblPr>
      <w:tblGrid>
        <w:gridCol w:w="1696"/>
        <w:gridCol w:w="709"/>
        <w:gridCol w:w="992"/>
        <w:gridCol w:w="993"/>
        <w:gridCol w:w="992"/>
        <w:gridCol w:w="870"/>
        <w:gridCol w:w="831"/>
        <w:gridCol w:w="709"/>
        <w:gridCol w:w="1417"/>
      </w:tblGrid>
      <w:tr w:rsidR="00010B42" w:rsidRPr="00581773" w14:paraId="4587E9A2" w14:textId="77777777" w:rsidTr="008E35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shd w:val="clear" w:color="auto" w:fill="529DBA"/>
          </w:tcPr>
          <w:p w14:paraId="28B37F51" w14:textId="77777777" w:rsidR="00010B42" w:rsidRPr="00581773" w:rsidRDefault="00010B42" w:rsidP="0024256B">
            <w:pPr>
              <w:pStyle w:val="TabellentextlinksbndigI"/>
              <w:spacing w:before="0"/>
              <w:rPr>
                <w:rFonts w:ascii="Arial" w:hAnsi="Arial" w:cs="Arial"/>
                <w:bCs/>
                <w:sz w:val="18"/>
                <w:szCs w:val="18"/>
              </w:rPr>
            </w:pPr>
          </w:p>
        </w:tc>
        <w:tc>
          <w:tcPr>
            <w:tcW w:w="709" w:type="dxa"/>
            <w:vMerge w:val="restart"/>
            <w:shd w:val="clear" w:color="auto" w:fill="529DBA"/>
          </w:tcPr>
          <w:p w14:paraId="09281DB9" w14:textId="77777777" w:rsidR="00010B42" w:rsidRPr="00581773" w:rsidRDefault="00010B42" w:rsidP="0024256B">
            <w:pPr>
              <w:pStyle w:val="TabellentextlinksbndigI"/>
              <w:jc w:val="center"/>
              <w:cnfStyle w:val="100000000000" w:firstRow="1"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EM</w:t>
            </w:r>
          </w:p>
        </w:tc>
        <w:tc>
          <w:tcPr>
            <w:tcW w:w="992" w:type="dxa"/>
            <w:vMerge w:val="restart"/>
            <w:shd w:val="clear" w:color="auto" w:fill="529DBA"/>
          </w:tcPr>
          <w:p w14:paraId="6308E6C5" w14:textId="77777777" w:rsidR="00010B42" w:rsidRPr="00581773" w:rsidRDefault="00010B42" w:rsidP="0024256B">
            <w:pPr>
              <w:pStyle w:val="TabellentextlinksbndigI"/>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Vrednost izhodiščnega leta</w:t>
            </w:r>
          </w:p>
        </w:tc>
        <w:tc>
          <w:tcPr>
            <w:tcW w:w="2855" w:type="dxa"/>
            <w:gridSpan w:val="3"/>
            <w:shd w:val="clear" w:color="auto" w:fill="529DBA"/>
          </w:tcPr>
          <w:p w14:paraId="678A05FB" w14:textId="77777777" w:rsidR="00010B42" w:rsidRPr="00581773" w:rsidRDefault="00010B42" w:rsidP="0024256B">
            <w:pPr>
              <w:pStyle w:val="TabellentextlinksbndigI"/>
              <w:jc w:val="center"/>
              <w:cnfStyle w:val="100000000000" w:firstRow="1"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Vrednosti v obdobju izvajanja</w:t>
            </w:r>
          </w:p>
        </w:tc>
        <w:tc>
          <w:tcPr>
            <w:tcW w:w="831" w:type="dxa"/>
            <w:vMerge w:val="restart"/>
            <w:shd w:val="clear" w:color="auto" w:fill="529DBA"/>
            <w:vAlign w:val="bottom"/>
          </w:tcPr>
          <w:p w14:paraId="35145609" w14:textId="77777777" w:rsidR="00010B42" w:rsidRPr="00581773" w:rsidRDefault="00010B42" w:rsidP="0024256B">
            <w:pPr>
              <w:pStyle w:val="TabellentextlinksbndigI"/>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Ciljna raven</w:t>
            </w:r>
          </w:p>
        </w:tc>
        <w:tc>
          <w:tcPr>
            <w:tcW w:w="709" w:type="dxa"/>
            <w:vMerge w:val="restart"/>
            <w:shd w:val="clear" w:color="auto" w:fill="529DBA"/>
            <w:vAlign w:val="bottom"/>
          </w:tcPr>
          <w:p w14:paraId="683567AA" w14:textId="77777777" w:rsidR="00010B42" w:rsidRPr="00581773" w:rsidRDefault="00010B42" w:rsidP="0024256B">
            <w:pPr>
              <w:pStyle w:val="TabellentextlinksbndigI"/>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sz w:val="18"/>
                <w:szCs w:val="18"/>
              </w:rPr>
            </w:pPr>
            <w:r w:rsidRPr="00581773">
              <w:rPr>
                <w:rFonts w:ascii="Arial" w:hAnsi="Arial" w:cs="Arial"/>
                <w:sz w:val="18"/>
                <w:szCs w:val="18"/>
              </w:rPr>
              <w:t>Ciljno leto</w:t>
            </w:r>
          </w:p>
        </w:tc>
        <w:tc>
          <w:tcPr>
            <w:tcW w:w="1417" w:type="dxa"/>
            <w:vMerge w:val="restart"/>
            <w:shd w:val="clear" w:color="auto" w:fill="529DBA"/>
            <w:vAlign w:val="bottom"/>
          </w:tcPr>
          <w:p w14:paraId="63D6E123" w14:textId="77777777" w:rsidR="00010B42" w:rsidRPr="00581773" w:rsidRDefault="00010B42" w:rsidP="0024256B">
            <w:pPr>
              <w:pStyle w:val="TabellentextlinksbndigI"/>
              <w:cnfStyle w:val="100000000000" w:firstRow="1"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Napredek v smeri NDC</w:t>
            </w:r>
          </w:p>
        </w:tc>
      </w:tr>
      <w:tr w:rsidR="00010B42" w:rsidRPr="00581773" w14:paraId="781FC87F" w14:textId="77777777" w:rsidTr="008E351A">
        <w:tc>
          <w:tcPr>
            <w:cnfStyle w:val="001000000000" w:firstRow="0" w:lastRow="0" w:firstColumn="1" w:lastColumn="0" w:oddVBand="0" w:evenVBand="0" w:oddHBand="0" w:evenHBand="0" w:firstRowFirstColumn="0" w:firstRowLastColumn="0" w:lastRowFirstColumn="0" w:lastRowLastColumn="0"/>
            <w:tcW w:w="1696" w:type="dxa"/>
            <w:vMerge/>
          </w:tcPr>
          <w:p w14:paraId="0A1AD79A" w14:textId="77777777" w:rsidR="00010B42" w:rsidRPr="00581773" w:rsidRDefault="00010B42" w:rsidP="0024256B">
            <w:pPr>
              <w:pStyle w:val="TabellentextlinksbndigI"/>
              <w:spacing w:before="0"/>
              <w:rPr>
                <w:rFonts w:ascii="Arial" w:hAnsi="Arial" w:cs="Arial"/>
                <w:bCs/>
                <w:sz w:val="18"/>
                <w:szCs w:val="18"/>
              </w:rPr>
            </w:pPr>
          </w:p>
        </w:tc>
        <w:tc>
          <w:tcPr>
            <w:tcW w:w="709" w:type="dxa"/>
            <w:vMerge/>
          </w:tcPr>
          <w:p w14:paraId="42CDEA10"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992" w:type="dxa"/>
            <w:vMerge/>
          </w:tcPr>
          <w:p w14:paraId="70994DB6"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993" w:type="dxa"/>
          </w:tcPr>
          <w:p w14:paraId="44474085"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2021</w:t>
            </w:r>
          </w:p>
        </w:tc>
        <w:tc>
          <w:tcPr>
            <w:tcW w:w="992" w:type="dxa"/>
          </w:tcPr>
          <w:p w14:paraId="7C82FC77" w14:textId="2980E5BC"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2022</w:t>
            </w:r>
          </w:p>
        </w:tc>
        <w:tc>
          <w:tcPr>
            <w:tcW w:w="870" w:type="dxa"/>
          </w:tcPr>
          <w:p w14:paraId="481C4C61"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581773">
              <w:rPr>
                <w:rFonts w:ascii="Arial" w:hAnsi="Arial" w:cs="Arial"/>
                <w:sz w:val="18"/>
                <w:szCs w:val="18"/>
              </w:rPr>
              <w:t>2030</w:t>
            </w:r>
          </w:p>
        </w:tc>
        <w:tc>
          <w:tcPr>
            <w:tcW w:w="831" w:type="dxa"/>
            <w:vMerge/>
            <w:vAlign w:val="bottom"/>
          </w:tcPr>
          <w:p w14:paraId="00AAF57E"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FFFFFF" w:themeColor="background1"/>
                <w:sz w:val="18"/>
                <w:szCs w:val="18"/>
              </w:rPr>
            </w:pPr>
          </w:p>
        </w:tc>
        <w:tc>
          <w:tcPr>
            <w:tcW w:w="709" w:type="dxa"/>
            <w:vMerge/>
            <w:vAlign w:val="bottom"/>
          </w:tcPr>
          <w:p w14:paraId="3998847E"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c>
          <w:tcPr>
            <w:tcW w:w="1417" w:type="dxa"/>
            <w:vMerge/>
            <w:vAlign w:val="bottom"/>
          </w:tcPr>
          <w:p w14:paraId="2B1FA593" w14:textId="77777777" w:rsidR="00010B42" w:rsidRPr="00581773" w:rsidRDefault="00010B42" w:rsidP="0024256B">
            <w:pPr>
              <w:pStyle w:val="TabellentextlinksbndigI"/>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p>
        </w:tc>
      </w:tr>
      <w:tr w:rsidR="00010B42" w:rsidRPr="00581773" w14:paraId="6B0CDEA5" w14:textId="77777777" w:rsidTr="008E351A">
        <w:tc>
          <w:tcPr>
            <w:cnfStyle w:val="001000000000" w:firstRow="0" w:lastRow="0" w:firstColumn="1" w:lastColumn="0" w:oddVBand="0" w:evenVBand="0" w:oddHBand="0" w:evenHBand="0" w:firstRowFirstColumn="0" w:firstRowLastColumn="0" w:lastRowFirstColumn="0" w:lastRowLastColumn="0"/>
            <w:tcW w:w="1696" w:type="dxa"/>
          </w:tcPr>
          <w:p w14:paraId="765BB701" w14:textId="7FC14F0E" w:rsidR="00010B42" w:rsidRPr="00581773" w:rsidRDefault="00010B42" w:rsidP="0024256B">
            <w:pPr>
              <w:pStyle w:val="TabellentextlinksbndigI"/>
              <w:spacing w:before="0"/>
              <w:rPr>
                <w:rFonts w:ascii="Arial" w:hAnsi="Arial" w:cs="Arial"/>
                <w:sz w:val="18"/>
                <w:szCs w:val="18"/>
              </w:rPr>
            </w:pPr>
            <w:r w:rsidRPr="00581773">
              <w:rPr>
                <w:rFonts w:ascii="Arial" w:hAnsi="Arial" w:cs="Arial"/>
                <w:sz w:val="18"/>
                <w:szCs w:val="18"/>
              </w:rPr>
              <w:t>Kazalnik: Skupne neto emisije toplogrednih plinov v skladu z obsegom EU NDC</w:t>
            </w:r>
          </w:p>
        </w:tc>
        <w:tc>
          <w:tcPr>
            <w:tcW w:w="709" w:type="dxa"/>
          </w:tcPr>
          <w:p w14:paraId="37889FC5" w14:textId="4C84E83D" w:rsidR="00010B42" w:rsidRPr="00581773" w:rsidRDefault="00842011"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K</w:t>
            </w:r>
            <w:r w:rsidR="00010B42" w:rsidRPr="00581773">
              <w:rPr>
                <w:rFonts w:ascii="Arial" w:hAnsi="Arial" w:cs="Arial"/>
                <w:sz w:val="18"/>
                <w:szCs w:val="18"/>
              </w:rPr>
              <w:t>t</w:t>
            </w:r>
            <w:r w:rsidRPr="00581773">
              <w:rPr>
                <w:rFonts w:ascii="Arial" w:hAnsi="Arial" w:cs="Arial"/>
                <w:sz w:val="18"/>
                <w:szCs w:val="18"/>
              </w:rPr>
              <w:t xml:space="preserve"> ekv.</w:t>
            </w:r>
            <w:r w:rsidR="00010B42" w:rsidRPr="00581773">
              <w:rPr>
                <w:rFonts w:ascii="Arial" w:hAnsi="Arial" w:cs="Arial"/>
                <w:sz w:val="18"/>
                <w:szCs w:val="18"/>
              </w:rPr>
              <w:t xml:space="preserve"> CO</w:t>
            </w:r>
            <w:r w:rsidR="00010B42" w:rsidRPr="00581773">
              <w:rPr>
                <w:rFonts w:ascii="Arial" w:hAnsi="Arial" w:cs="Arial"/>
                <w:sz w:val="18"/>
                <w:szCs w:val="18"/>
                <w:vertAlign w:val="subscript"/>
              </w:rPr>
              <w:t>2</w:t>
            </w:r>
          </w:p>
        </w:tc>
        <w:tc>
          <w:tcPr>
            <w:tcW w:w="992" w:type="dxa"/>
          </w:tcPr>
          <w:p w14:paraId="0F660C88" w14:textId="0064008D" w:rsidR="00010B42" w:rsidRPr="00581773" w:rsidRDefault="008E351A" w:rsidP="0024256B">
            <w:pPr>
              <w:pStyle w:val="TabellentextlinksbndigI"/>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4 699 405</w:t>
            </w:r>
          </w:p>
        </w:tc>
        <w:tc>
          <w:tcPr>
            <w:tcW w:w="993" w:type="dxa"/>
          </w:tcPr>
          <w:p w14:paraId="58FB6737" w14:textId="3D82CD28" w:rsidR="00010B42" w:rsidRPr="00581773" w:rsidRDefault="00010B42" w:rsidP="0024256B">
            <w:pPr>
              <w:pStyle w:val="TabellentextlinksbndigI"/>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 xml:space="preserve"> </w:t>
            </w:r>
            <w:r w:rsidR="008E351A" w:rsidRPr="00581773">
              <w:rPr>
                <w:rFonts w:ascii="Arial" w:hAnsi="Arial" w:cs="Arial"/>
                <w:sz w:val="18"/>
                <w:szCs w:val="18"/>
              </w:rPr>
              <w:t>3 272 650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B39075" w14:textId="27F0CCCE" w:rsidR="00010B42" w:rsidRPr="00581773" w:rsidRDefault="00010B42" w:rsidP="0024256B">
            <w:pPr>
              <w:pStyle w:val="TabellentextlinksbndigI"/>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 xml:space="preserve"> </w:t>
            </w:r>
            <w:r w:rsidR="008E351A" w:rsidRPr="00581773">
              <w:rPr>
                <w:rFonts w:ascii="Arial" w:hAnsi="Arial" w:cs="Arial"/>
                <w:sz w:val="18"/>
                <w:szCs w:val="18"/>
              </w:rPr>
              <w:t>3 205 223</w:t>
            </w:r>
          </w:p>
        </w:tc>
        <w:tc>
          <w:tcPr>
            <w:tcW w:w="870" w:type="dxa"/>
            <w:tcBorders>
              <w:top w:val="single" w:sz="4" w:space="0" w:color="auto"/>
              <w:left w:val="nil"/>
              <w:bottom w:val="single" w:sz="4" w:space="0" w:color="auto"/>
              <w:right w:val="single" w:sz="4" w:space="0" w:color="auto"/>
            </w:tcBorders>
            <w:shd w:val="clear" w:color="auto" w:fill="auto"/>
          </w:tcPr>
          <w:p w14:paraId="66B9AC6C" w14:textId="77777777" w:rsidR="00010B42" w:rsidRPr="00581773" w:rsidRDefault="00010B42" w:rsidP="0024256B">
            <w:pPr>
              <w:pStyle w:val="TabellentextlinksbndigI"/>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NA</w:t>
            </w:r>
          </w:p>
        </w:tc>
        <w:tc>
          <w:tcPr>
            <w:tcW w:w="831" w:type="dxa"/>
            <w:tcBorders>
              <w:top w:val="single" w:sz="4" w:space="0" w:color="auto"/>
              <w:left w:val="nil"/>
              <w:bottom w:val="single" w:sz="4" w:space="0" w:color="auto"/>
              <w:right w:val="single" w:sz="4" w:space="0" w:color="auto"/>
            </w:tcBorders>
            <w:shd w:val="clear" w:color="auto" w:fill="auto"/>
          </w:tcPr>
          <w:p w14:paraId="7C1895DB" w14:textId="77777777" w:rsidR="00010B42" w:rsidRPr="00581773" w:rsidRDefault="00010B42" w:rsidP="0024256B">
            <w:pPr>
              <w:pStyle w:val="TabellentextlinksbndigI"/>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(vsaj 55 % pod ravnjo izhodiščnega leta)</w:t>
            </w:r>
          </w:p>
          <w:p w14:paraId="5639DE9B"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709" w:type="dxa"/>
            <w:tcBorders>
              <w:top w:val="single" w:sz="4" w:space="0" w:color="auto"/>
              <w:left w:val="nil"/>
              <w:bottom w:val="single" w:sz="4" w:space="0" w:color="auto"/>
              <w:right w:val="single" w:sz="4" w:space="0" w:color="auto"/>
            </w:tcBorders>
            <w:shd w:val="clear" w:color="auto" w:fill="auto"/>
          </w:tcPr>
          <w:p w14:paraId="051DB774" w14:textId="77777777" w:rsidR="00010B42" w:rsidRPr="00581773" w:rsidRDefault="00010B42" w:rsidP="0024256B">
            <w:pPr>
              <w:pStyle w:val="TabellentextlinksbndigI"/>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2030</w:t>
            </w:r>
          </w:p>
        </w:tc>
        <w:tc>
          <w:tcPr>
            <w:tcW w:w="1417" w:type="dxa"/>
            <w:tcBorders>
              <w:top w:val="single" w:sz="4" w:space="0" w:color="auto"/>
              <w:left w:val="nil"/>
              <w:bottom w:val="single" w:sz="4" w:space="0" w:color="auto"/>
              <w:right w:val="single" w:sz="4" w:space="0" w:color="auto"/>
            </w:tcBorders>
            <w:shd w:val="clear" w:color="auto" w:fill="auto"/>
          </w:tcPr>
          <w:p w14:paraId="60139A21" w14:textId="77777777" w:rsidR="00010B42" w:rsidRPr="00581773" w:rsidRDefault="00010B42" w:rsidP="0024256B">
            <w:pPr>
              <w:pStyle w:val="TabellentextlinksbndigI"/>
              <w:jc w:val="left"/>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581773">
              <w:rPr>
                <w:rFonts w:ascii="Arial" w:hAnsi="Arial" w:cs="Arial"/>
                <w:sz w:val="18"/>
                <w:szCs w:val="18"/>
              </w:rPr>
              <w:t>Najnovejša raven indikatorja je 31,8 % pod ravnjo izhodiščnega leta.</w:t>
            </w:r>
          </w:p>
        </w:tc>
      </w:tr>
    </w:tbl>
    <w:p w14:paraId="76A17282" w14:textId="1E1461B7" w:rsidR="006E285F" w:rsidRPr="00581773" w:rsidRDefault="002F38E7" w:rsidP="0024256B">
      <w:pPr>
        <w:pStyle w:val="nikatabelee"/>
      </w:pPr>
      <w:bookmarkStart w:id="55" w:name="_Toc193195389"/>
      <w:bookmarkEnd w:id="54"/>
      <w:r w:rsidRPr="00581773">
        <w:t>Preglednica</w:t>
      </w:r>
      <w:r w:rsidR="00010B42" w:rsidRPr="00581773">
        <w:t xml:space="preserve"> 4: Povzetek napredka pri izvajanju in doseganju NDC</w:t>
      </w:r>
      <w:bookmarkEnd w:id="55"/>
    </w:p>
    <w:p w14:paraId="5394A424" w14:textId="2440722A" w:rsidR="00EA23DD" w:rsidRPr="00B92112" w:rsidRDefault="00EA23DD"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NA: Ni primerno.</w:t>
      </w:r>
    </w:p>
    <w:p w14:paraId="0869E6DA" w14:textId="77777777" w:rsidR="00EA23DD" w:rsidRPr="00B92112" w:rsidRDefault="00EA23DD"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Upoštevajte, da bo bilanca letnih emisij v skladu s poglavjem III.B (Uporaba ustrezne prilagoditve) zagotovljena v naslednjem BTR, ko CMA dokonča ustrezne nadaljnje smernice na podlagi letnih informacij, sporočenih v skladu s členom 6.2.</w:t>
      </w:r>
    </w:p>
    <w:p w14:paraId="61C9F0A4" w14:textId="2F8899EB" w:rsidR="00EA23DD" w:rsidRPr="00B92112" w:rsidRDefault="00EA23DD"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 xml:space="preserve">Opomba: Podrobnejše informacije so na voljo v tabeli 4 CTF (‘Strukturirani povzetek: Sledenje napredku pri izvajanju in doseganju NDC v skladu s 4. členom Pariškega sporazuma’), ki je bila poslana v elektronski obliki skupaj s tem BTR. </w:t>
      </w:r>
    </w:p>
    <w:p w14:paraId="1B21AD4E" w14:textId="63DB03A3" w:rsidR="00EA23DD" w:rsidRPr="00B92112" w:rsidRDefault="00EA23DD" w:rsidP="00B92112">
      <w:pPr>
        <w:pStyle w:val="Source"/>
        <w:pBdr>
          <w:left w:val="single" w:sz="24" w:space="4" w:color="529DBA"/>
        </w:pBdr>
        <w:spacing w:line="240" w:lineRule="auto"/>
        <w:rPr>
          <w:rFonts w:ascii="Arial" w:hAnsi="Arial" w:cs="Arial"/>
          <w:sz w:val="18"/>
          <w:szCs w:val="18"/>
        </w:rPr>
      </w:pPr>
      <w:r w:rsidRPr="00B92112">
        <w:rPr>
          <w:rFonts w:ascii="Arial" w:hAnsi="Arial" w:cs="Arial"/>
          <w:sz w:val="18"/>
          <w:szCs w:val="18"/>
        </w:rPr>
        <w:t xml:space="preserve">Vir: Vrednosti kazalnika temeljijo na letni evidenci toplogrednih plinov Evropske unije 1990–2022. </w:t>
      </w:r>
    </w:p>
    <w:p w14:paraId="7602481F" w14:textId="4E429513" w:rsidR="00EA23DD" w:rsidRPr="00581773" w:rsidRDefault="00EA23DD" w:rsidP="00B92112">
      <w:pPr>
        <w:pStyle w:val="Source"/>
        <w:pBdr>
          <w:left w:val="single" w:sz="24" w:space="4" w:color="529DBA"/>
        </w:pBdr>
        <w:spacing w:line="240" w:lineRule="auto"/>
        <w:rPr>
          <w:rFonts w:ascii="Arial" w:hAnsi="Arial" w:cs="Arial"/>
          <w:szCs w:val="22"/>
        </w:rPr>
      </w:pPr>
      <w:r w:rsidRPr="00581773">
        <w:rPr>
          <w:rFonts w:ascii="Arial" w:hAnsi="Arial" w:cs="Arial"/>
          <w:szCs w:val="22"/>
        </w:rPr>
        <w:t xml:space="preserve">Na podlagi podatkov o evidenci toplogrednih plinov ter podatkov o mednarodnem letalstvu in </w:t>
      </w:r>
      <w:r w:rsidR="00F95701" w:rsidRPr="00581773">
        <w:rPr>
          <w:rFonts w:ascii="Arial" w:hAnsi="Arial" w:cs="Arial"/>
          <w:szCs w:val="22"/>
        </w:rPr>
        <w:t>pomorstvu</w:t>
      </w:r>
      <w:r w:rsidRPr="00581773">
        <w:rPr>
          <w:rFonts w:ascii="Arial" w:hAnsi="Arial" w:cs="Arial"/>
          <w:szCs w:val="22"/>
        </w:rPr>
        <w:t xml:space="preserve"> za leto 2022 so EU in njene države članice v primerjavi z letom 1990 zmanjšale neto emisije toplogrednih plinov za 31,8 %. EU in njene države članice so napredovale pri izvajanju in doseganju NDC. Vzpostavljen je pravni in institucionalni okvir za nadaljnji napredek v prihodnjih letih in doseganje cilja NDC do leta 2030.</w:t>
      </w:r>
    </w:p>
    <w:p w14:paraId="5CBD2175" w14:textId="77777777" w:rsidR="006E285F" w:rsidRPr="00A57F7D" w:rsidRDefault="006E285F" w:rsidP="0024256B">
      <w:pPr>
        <w:spacing w:line="240" w:lineRule="auto"/>
        <w:jc w:val="both"/>
        <w:rPr>
          <w:rFonts w:ascii="Arial" w:hAnsi="Arial" w:cs="Arial"/>
          <w:highlight w:val="yellow"/>
        </w:rPr>
      </w:pPr>
    </w:p>
    <w:p w14:paraId="65367DAA" w14:textId="344F4BCC" w:rsidR="007E2C3F" w:rsidRPr="00581773" w:rsidRDefault="007E2C3F" w:rsidP="00F95701">
      <w:pPr>
        <w:pBdr>
          <w:top w:val="single" w:sz="4" w:space="0"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78. Vsaka pogodbenica z NDC v skladu s 4. členom, ki vključuje prilagoditvene ukrepe in/ali načrte za gospodarsko diverzifikacijo, katerih rezultat so omilitvene koristi v skladu s sedmim odstavkom 4. člena Pariškega sporazuma, mora zagotoviti informacije, potrebne za spremljanje napredka pri izvajanju in doseganju nacionalnih politik in ukrepov, izvedenih za obravnavo socialnih in gospodarskih posledic odzivnih ukrepov, vključno s:</w:t>
      </w:r>
    </w:p>
    <w:p w14:paraId="767FD791" w14:textId="77777777" w:rsidR="007E2C3F" w:rsidRPr="00581773" w:rsidRDefault="007E2C3F" w:rsidP="00F95701">
      <w:pPr>
        <w:pBdr>
          <w:top w:val="single" w:sz="4" w:space="0"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(a) sektorji in dejavnostmi, povezanimi z odzivnimi ukrepi;</w:t>
      </w:r>
    </w:p>
    <w:p w14:paraId="217DDCB3" w14:textId="77777777" w:rsidR="007E2C3F" w:rsidRPr="00581773" w:rsidRDefault="007E2C3F" w:rsidP="00F95701">
      <w:pPr>
        <w:pBdr>
          <w:top w:val="single" w:sz="4" w:space="0"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(b) socialnimi in gospodarskimi posledicami ukrepov odziva;</w:t>
      </w:r>
    </w:p>
    <w:p w14:paraId="74887ECA" w14:textId="77777777" w:rsidR="007E2C3F" w:rsidRPr="00581773" w:rsidRDefault="007E2C3F" w:rsidP="00F95701">
      <w:pPr>
        <w:pBdr>
          <w:top w:val="single" w:sz="4" w:space="0"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(c) izzivi in ovirami za obravnavo posledic;</w:t>
      </w:r>
    </w:p>
    <w:p w14:paraId="3374FB54" w14:textId="77777777" w:rsidR="007E2C3F" w:rsidRPr="00581773" w:rsidRDefault="007E2C3F" w:rsidP="00F95701">
      <w:pPr>
        <w:pBdr>
          <w:top w:val="single" w:sz="4" w:space="0"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581773">
        <w:rPr>
          <w:rFonts w:ascii="Arial" w:hAnsi="Arial" w:cs="Arial"/>
          <w:sz w:val="20"/>
          <w:szCs w:val="20"/>
        </w:rPr>
        <w:t>(d) ukrepi za obravnavo posledic.</w:t>
      </w:r>
    </w:p>
    <w:p w14:paraId="3D16ECF1" w14:textId="6C8BA5E2" w:rsidR="007E2C3F" w:rsidRPr="00581773" w:rsidRDefault="007E2C3F" w:rsidP="0024256B">
      <w:pPr>
        <w:spacing w:line="240" w:lineRule="auto"/>
        <w:jc w:val="both"/>
        <w:rPr>
          <w:rFonts w:ascii="Arial" w:hAnsi="Arial" w:cs="Arial"/>
        </w:rPr>
      </w:pPr>
    </w:p>
    <w:p w14:paraId="1899E73C" w14:textId="38423AC9" w:rsidR="007E2C3F" w:rsidRPr="00581773" w:rsidRDefault="007E2C3F" w:rsidP="0024256B">
      <w:pPr>
        <w:spacing w:line="240" w:lineRule="auto"/>
        <w:jc w:val="both"/>
        <w:rPr>
          <w:rFonts w:ascii="Arial" w:hAnsi="Arial" w:cs="Arial"/>
        </w:rPr>
      </w:pPr>
      <w:r w:rsidRPr="00581773">
        <w:rPr>
          <w:rFonts w:ascii="Arial" w:hAnsi="Arial" w:cs="Arial"/>
        </w:rPr>
        <w:t>Ni primerno.</w:t>
      </w:r>
    </w:p>
    <w:p w14:paraId="13445E08" w14:textId="4D4ECF44" w:rsidR="007E2C3F" w:rsidRPr="00581773" w:rsidRDefault="007E2C3F" w:rsidP="007E2C3F">
      <w:pPr>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color w:val="000000" w:themeColor="text1"/>
          <w:sz w:val="20"/>
          <w:szCs w:val="20"/>
        </w:rPr>
      </w:pPr>
      <w:r w:rsidRPr="00581773">
        <w:rPr>
          <w:rFonts w:ascii="Arial" w:hAnsi="Arial" w:cs="Arial"/>
          <w:color w:val="000000" w:themeColor="text1"/>
          <w:sz w:val="20"/>
          <w:szCs w:val="20"/>
        </w:rPr>
        <w:lastRenderedPageBreak/>
        <w:t xml:space="preserve">79. Vsaka pogodbenica mora poročati o informacijah, navedenih v petinšestdesetem do oseminsedemdesetem odstavku, v obliki pripovednega besedila in v skupnem </w:t>
      </w:r>
      <w:r w:rsidR="002144ED" w:rsidRPr="00581773">
        <w:rPr>
          <w:rFonts w:ascii="Arial" w:hAnsi="Arial" w:cs="Arial"/>
          <w:color w:val="000000" w:themeColor="text1"/>
          <w:sz w:val="20"/>
          <w:szCs w:val="20"/>
        </w:rPr>
        <w:t xml:space="preserve">pregledničnem </w:t>
      </w:r>
      <w:r w:rsidRPr="00581773">
        <w:rPr>
          <w:rFonts w:ascii="Arial" w:hAnsi="Arial" w:cs="Arial"/>
          <w:color w:val="000000" w:themeColor="text1"/>
          <w:sz w:val="20"/>
          <w:szCs w:val="20"/>
        </w:rPr>
        <w:t xml:space="preserve">formatu, kjer je to primerno. Tak skupni </w:t>
      </w:r>
      <w:r w:rsidR="002144ED" w:rsidRPr="00581773">
        <w:rPr>
          <w:rFonts w:ascii="Arial" w:hAnsi="Arial" w:cs="Arial"/>
          <w:color w:val="000000" w:themeColor="text1"/>
          <w:sz w:val="20"/>
          <w:szCs w:val="20"/>
        </w:rPr>
        <w:t>preglednični</w:t>
      </w:r>
      <w:r w:rsidRPr="00581773">
        <w:rPr>
          <w:rFonts w:ascii="Arial" w:hAnsi="Arial" w:cs="Arial"/>
          <w:color w:val="000000" w:themeColor="text1"/>
          <w:sz w:val="20"/>
          <w:szCs w:val="20"/>
        </w:rPr>
        <w:t xml:space="preserve"> format mora omogočati vključitev vseh vrst prispevkov NDC v skladu s 4. členom, kjer je to ustrezno.</w:t>
      </w:r>
    </w:p>
    <w:p w14:paraId="7F87F113" w14:textId="2AF86B88" w:rsidR="007E2C3F" w:rsidRPr="006E285F" w:rsidRDefault="007E2C3F" w:rsidP="0024256B">
      <w:pPr>
        <w:spacing w:line="240" w:lineRule="auto"/>
        <w:jc w:val="both"/>
        <w:rPr>
          <w:rFonts w:ascii="Arial" w:hAnsi="Arial" w:cs="Arial"/>
        </w:rPr>
      </w:pPr>
      <w:r w:rsidRPr="00581773">
        <w:rPr>
          <w:rFonts w:ascii="Arial" w:hAnsi="Arial" w:cs="Arial"/>
        </w:rPr>
        <w:t>Glej zgoraj.</w:t>
      </w:r>
    </w:p>
    <w:p w14:paraId="0C29DF0D" w14:textId="2E3E4AC6" w:rsidR="00F219F3" w:rsidRDefault="00F219F3" w:rsidP="00F219F3">
      <w:pPr>
        <w:pStyle w:val="Heading2"/>
        <w:jc w:val="both"/>
      </w:pPr>
      <w:bookmarkStart w:id="56" w:name="_Toc196300812"/>
      <w:r w:rsidRPr="007C6A9B">
        <w:t>II.D</w:t>
      </w:r>
      <w:r>
        <w:t xml:space="preserve"> </w:t>
      </w:r>
      <w:r w:rsidRPr="007C6A9B">
        <w:t xml:space="preserve">Politike in ukrepi za blaženje podnebnih sprememb, aktivnosti in načrti, vključno s tistimi s stranskimi koristmi blaženja, ki izhajajo iz prilagoditvenih ukrepov in načrtov za gospodarsko diverzifikacijo </w:t>
      </w:r>
      <w:r w:rsidR="00A711F5">
        <w:t xml:space="preserve">in so </w:t>
      </w:r>
      <w:r w:rsidRPr="007C6A9B">
        <w:t>povezani z izvajanjem in doseganjem nacionalno določenega prispevka v skladu s 4. členom Pariškega sporazuma</w:t>
      </w:r>
      <w:bookmarkEnd w:id="56"/>
    </w:p>
    <w:p w14:paraId="6DF090A9" w14:textId="0474BBFE"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80. Vsaka pogodbenica mora zagotoviti informacije o ukrepih</w:t>
      </w:r>
      <w:r w:rsidR="00180B45">
        <w:rPr>
          <w:rFonts w:ascii="Arial" w:eastAsia="Times New Roman" w:hAnsi="Arial" w:cs="Arial"/>
          <w:sz w:val="20"/>
          <w:szCs w:val="20"/>
          <w:lang w:eastAsia="sl-SI"/>
        </w:rPr>
        <w:t xml:space="preserve"> in</w:t>
      </w:r>
      <w:r w:rsidRPr="007C6A9B">
        <w:rPr>
          <w:rFonts w:ascii="Arial" w:eastAsia="Times New Roman" w:hAnsi="Arial" w:cs="Arial"/>
          <w:sz w:val="20"/>
          <w:szCs w:val="20"/>
          <w:lang w:eastAsia="sl-SI"/>
        </w:rPr>
        <w:t xml:space="preserve"> politikah, ki podpirajo izvajanje in doseganje njenega </w:t>
      </w:r>
      <w:r>
        <w:rPr>
          <w:rFonts w:ascii="Arial" w:eastAsia="Times New Roman" w:hAnsi="Arial" w:cs="Arial"/>
          <w:sz w:val="20"/>
          <w:szCs w:val="20"/>
          <w:lang w:eastAsia="sl-SI"/>
        </w:rPr>
        <w:t xml:space="preserve">nacionalno določenega prispevka </w:t>
      </w:r>
      <w:r w:rsidRPr="007C6A9B">
        <w:rPr>
          <w:rFonts w:ascii="Arial" w:eastAsia="Times New Roman" w:hAnsi="Arial" w:cs="Arial"/>
          <w:sz w:val="20"/>
          <w:szCs w:val="20"/>
          <w:lang w:eastAsia="sl-SI"/>
        </w:rPr>
        <w:t>(NDC) v skladu s 4. členom Pariškega sporazuma, pri čemer se osredotoča na tiste, ki imajo največji vpliv na emisije ali ponore toplogrednih plinov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w:t>
      </w:r>
      <w:r>
        <w:rPr>
          <w:rFonts w:ascii="Arial" w:eastAsia="Times New Roman" w:hAnsi="Arial" w:cs="Arial"/>
          <w:sz w:val="20"/>
          <w:szCs w:val="20"/>
          <w:lang w:eastAsia="sl-SI"/>
        </w:rPr>
        <w:t>,</w:t>
      </w:r>
      <w:r w:rsidRPr="007C6A9B">
        <w:rPr>
          <w:rFonts w:ascii="Arial" w:eastAsia="Times New Roman" w:hAnsi="Arial" w:cs="Arial"/>
          <w:sz w:val="20"/>
          <w:szCs w:val="20"/>
          <w:lang w:eastAsia="sl-SI"/>
        </w:rPr>
        <w:t xml:space="preserve"> </w:t>
      </w:r>
      <w:r w:rsidR="00180B45">
        <w:rPr>
          <w:rFonts w:ascii="Arial" w:eastAsia="Times New Roman" w:hAnsi="Arial" w:cs="Arial"/>
          <w:sz w:val="20"/>
          <w:szCs w:val="20"/>
          <w:lang w:eastAsia="sl-SI"/>
        </w:rPr>
        <w:t>in</w:t>
      </w:r>
      <w:r w:rsidR="00180B45" w:rsidRPr="007C6A9B">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na tiste, ki vplivajo na ključne kategorije v nacionalnem inventarju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 xml:space="preserve">. Te informacije morajo biti predstavljene v obliki pripovednega besedila in </w:t>
      </w:r>
      <w:r w:rsidR="002019F5">
        <w:rPr>
          <w:rFonts w:ascii="Arial" w:eastAsia="Times New Roman" w:hAnsi="Arial" w:cs="Arial"/>
          <w:sz w:val="20"/>
          <w:szCs w:val="20"/>
          <w:lang w:eastAsia="sl-SI"/>
        </w:rPr>
        <w:t>preglednično</w:t>
      </w:r>
      <w:r w:rsidRPr="007C6A9B">
        <w:rPr>
          <w:rFonts w:ascii="Arial" w:eastAsia="Times New Roman" w:hAnsi="Arial" w:cs="Arial"/>
          <w:sz w:val="20"/>
          <w:szCs w:val="20"/>
          <w:lang w:eastAsia="sl-SI"/>
        </w:rPr>
        <w:t>.</w:t>
      </w:r>
    </w:p>
    <w:p w14:paraId="40EA9403" w14:textId="77777777"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81</w:t>
      </w:r>
      <w:r w:rsidRPr="00A57F7D">
        <w:rPr>
          <w:rFonts w:ascii="Arial" w:eastAsia="Times New Roman" w:hAnsi="Arial" w:cs="Arial"/>
          <w:bCs/>
          <w:sz w:val="20"/>
          <w:szCs w:val="20"/>
          <w:lang w:eastAsia="sl-SI"/>
        </w:rPr>
        <w:t>.</w:t>
      </w:r>
      <w:r w:rsidRPr="00F713B1">
        <w:rPr>
          <w:rFonts w:ascii="Arial" w:eastAsia="Times New Roman" w:hAnsi="Arial" w:cs="Arial"/>
          <w:sz w:val="20"/>
          <w:szCs w:val="20"/>
          <w:lang w:eastAsia="sl-SI"/>
        </w:rPr>
        <w:t xml:space="preserve"> </w:t>
      </w:r>
      <w:r>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je mogoče, morajo pogodbenice organizirati poročanje o ukrepih po sektorjih (energija, promet, industrijski procesi in uporaba proizvodov, kmetijstvo, LULUCF (raba zemljišč, sprememba rabe zemljišč in gozdarstvo), ravnanje z odpadki ali drugo).</w:t>
      </w:r>
    </w:p>
    <w:p w14:paraId="023D113C" w14:textId="388CFE0F"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82</w:t>
      </w:r>
      <w:r w:rsidRPr="00A57F7D">
        <w:rPr>
          <w:rFonts w:ascii="Arial" w:eastAsia="Times New Roman" w:hAnsi="Arial" w:cs="Arial"/>
          <w:bCs/>
          <w:sz w:val="20"/>
          <w:szCs w:val="20"/>
          <w:lang w:eastAsia="sl-SI"/>
        </w:rPr>
        <w:t>.</w:t>
      </w:r>
      <w:r w:rsidRPr="00F713B1">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Vsaka pogodbenica mora zagotoviti naslednje informacije o svojih ukrepih </w:t>
      </w:r>
      <w:r w:rsidR="0083625A">
        <w:rPr>
          <w:rFonts w:ascii="Arial" w:eastAsia="Times New Roman" w:hAnsi="Arial" w:cs="Arial"/>
          <w:sz w:val="20"/>
          <w:szCs w:val="20"/>
          <w:lang w:eastAsia="sl-SI"/>
        </w:rPr>
        <w:t xml:space="preserve">in </w:t>
      </w:r>
      <w:r w:rsidRPr="007C6A9B">
        <w:rPr>
          <w:rFonts w:ascii="Arial" w:eastAsia="Times New Roman" w:hAnsi="Arial" w:cs="Arial"/>
          <w:sz w:val="20"/>
          <w:szCs w:val="20"/>
          <w:lang w:eastAsia="sl-SI"/>
        </w:rPr>
        <w:t xml:space="preserve">politikah, </w:t>
      </w:r>
      <w:r>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je mogoče, v </w:t>
      </w:r>
      <w:r w:rsidR="002019F5">
        <w:rPr>
          <w:rFonts w:ascii="Arial" w:eastAsia="Times New Roman" w:hAnsi="Arial" w:cs="Arial"/>
          <w:sz w:val="20"/>
          <w:szCs w:val="20"/>
          <w:lang w:eastAsia="sl-SI"/>
        </w:rPr>
        <w:t>preglednični</w:t>
      </w:r>
      <w:r w:rsidR="002019F5" w:rsidRPr="007C6A9B">
        <w:rPr>
          <w:rFonts w:ascii="Arial" w:eastAsia="Times New Roman" w:hAnsi="Arial" w:cs="Arial"/>
          <w:sz w:val="20"/>
          <w:szCs w:val="20"/>
          <w:lang w:eastAsia="sl-SI"/>
        </w:rPr>
        <w:t xml:space="preserve"> obliki</w:t>
      </w:r>
      <w:r w:rsidRPr="007C6A9B">
        <w:rPr>
          <w:rFonts w:ascii="Arial" w:eastAsia="Times New Roman" w:hAnsi="Arial" w:cs="Arial"/>
          <w:sz w:val="20"/>
          <w:szCs w:val="20"/>
          <w:lang w:eastAsia="sl-SI"/>
        </w:rPr>
        <w:t>:</w:t>
      </w:r>
    </w:p>
    <w:p w14:paraId="7BCACB9D"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(a</w:t>
      </w:r>
      <w:r w:rsidRPr="00A57F7D">
        <w:rPr>
          <w:rFonts w:ascii="Arial" w:eastAsia="Times New Roman" w:hAnsi="Arial" w:cs="Arial"/>
          <w:bCs/>
          <w:sz w:val="20"/>
          <w:szCs w:val="20"/>
          <w:lang w:eastAsia="sl-SI"/>
        </w:rPr>
        <w:t>)</w:t>
      </w:r>
      <w:r w:rsidRPr="007C6A9B">
        <w:rPr>
          <w:rFonts w:ascii="Arial" w:eastAsia="Times New Roman" w:hAnsi="Arial" w:cs="Arial"/>
          <w:sz w:val="20"/>
          <w:szCs w:val="20"/>
          <w:lang w:eastAsia="sl-SI"/>
        </w:rPr>
        <w:t xml:space="preserve"> </w:t>
      </w:r>
      <w:r>
        <w:rPr>
          <w:rFonts w:ascii="Arial" w:eastAsia="Times New Roman" w:hAnsi="Arial" w:cs="Arial"/>
          <w:sz w:val="20"/>
          <w:szCs w:val="20"/>
          <w:lang w:eastAsia="sl-SI"/>
        </w:rPr>
        <w:t>i</w:t>
      </w:r>
      <w:r w:rsidRPr="007C6A9B">
        <w:rPr>
          <w:rFonts w:ascii="Arial" w:eastAsia="Times New Roman" w:hAnsi="Arial" w:cs="Arial"/>
          <w:sz w:val="20"/>
          <w:szCs w:val="20"/>
          <w:lang w:eastAsia="sl-SI"/>
        </w:rPr>
        <w:t>me</w:t>
      </w:r>
      <w:r>
        <w:rPr>
          <w:rFonts w:ascii="Arial" w:eastAsia="Times New Roman" w:hAnsi="Arial" w:cs="Arial"/>
          <w:sz w:val="20"/>
          <w:szCs w:val="20"/>
          <w:lang w:eastAsia="sl-SI"/>
        </w:rPr>
        <w:t>,</w:t>
      </w:r>
    </w:p>
    <w:p w14:paraId="2DF2354F"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(b) </w:t>
      </w:r>
      <w:r>
        <w:rPr>
          <w:rFonts w:ascii="Arial" w:eastAsia="Times New Roman" w:hAnsi="Arial" w:cs="Arial"/>
          <w:sz w:val="20"/>
          <w:szCs w:val="20"/>
          <w:lang w:eastAsia="sl-SI"/>
        </w:rPr>
        <w:t>o</w:t>
      </w:r>
      <w:r w:rsidRPr="007C6A9B">
        <w:rPr>
          <w:rFonts w:ascii="Arial" w:eastAsia="Times New Roman" w:hAnsi="Arial" w:cs="Arial"/>
          <w:sz w:val="20"/>
          <w:szCs w:val="20"/>
          <w:lang w:eastAsia="sl-SI"/>
        </w:rPr>
        <w:t>pis</w:t>
      </w:r>
      <w:r>
        <w:rPr>
          <w:rFonts w:ascii="Arial" w:eastAsia="Times New Roman" w:hAnsi="Arial" w:cs="Arial"/>
          <w:sz w:val="20"/>
          <w:szCs w:val="20"/>
          <w:lang w:eastAsia="sl-SI"/>
        </w:rPr>
        <w:t>,</w:t>
      </w:r>
    </w:p>
    <w:p w14:paraId="3FF3D810"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(c) </w:t>
      </w:r>
      <w:r>
        <w:rPr>
          <w:rFonts w:ascii="Arial" w:eastAsia="Times New Roman" w:hAnsi="Arial" w:cs="Arial"/>
          <w:sz w:val="20"/>
          <w:szCs w:val="20"/>
          <w:lang w:eastAsia="sl-SI"/>
        </w:rPr>
        <w:t>c</w:t>
      </w:r>
      <w:r w:rsidRPr="007C6A9B">
        <w:rPr>
          <w:rFonts w:ascii="Arial" w:eastAsia="Times New Roman" w:hAnsi="Arial" w:cs="Arial"/>
          <w:sz w:val="20"/>
          <w:szCs w:val="20"/>
          <w:lang w:eastAsia="sl-SI"/>
        </w:rPr>
        <w:t>ilji</w:t>
      </w:r>
      <w:r>
        <w:rPr>
          <w:rFonts w:ascii="Arial" w:eastAsia="Times New Roman" w:hAnsi="Arial" w:cs="Arial"/>
          <w:sz w:val="20"/>
          <w:szCs w:val="20"/>
          <w:lang w:eastAsia="sl-SI"/>
        </w:rPr>
        <w:t>,</w:t>
      </w:r>
    </w:p>
    <w:p w14:paraId="08B4B8C7"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(d) </w:t>
      </w:r>
      <w:r>
        <w:rPr>
          <w:rFonts w:ascii="Arial" w:eastAsia="Times New Roman" w:hAnsi="Arial" w:cs="Arial"/>
          <w:sz w:val="20"/>
          <w:szCs w:val="20"/>
          <w:lang w:eastAsia="sl-SI"/>
        </w:rPr>
        <w:t>v</w:t>
      </w:r>
      <w:r w:rsidRPr="007C6A9B">
        <w:rPr>
          <w:rFonts w:ascii="Arial" w:eastAsia="Times New Roman" w:hAnsi="Arial" w:cs="Arial"/>
          <w:sz w:val="20"/>
          <w:szCs w:val="20"/>
          <w:lang w:eastAsia="sl-SI"/>
        </w:rPr>
        <w:t>rsta instrumenta (</w:t>
      </w:r>
      <w:r>
        <w:rPr>
          <w:rFonts w:ascii="Arial" w:eastAsia="Times New Roman" w:hAnsi="Arial" w:cs="Arial"/>
          <w:sz w:val="20"/>
          <w:szCs w:val="20"/>
          <w:lang w:eastAsia="sl-SI"/>
        </w:rPr>
        <w:t>zakonodajni</w:t>
      </w:r>
      <w:r w:rsidRPr="007C6A9B">
        <w:rPr>
          <w:rFonts w:ascii="Arial" w:eastAsia="Times New Roman" w:hAnsi="Arial" w:cs="Arial"/>
          <w:sz w:val="20"/>
          <w:szCs w:val="20"/>
          <w:lang w:eastAsia="sl-SI"/>
        </w:rPr>
        <w:t>, ekonomski instrument ali drugo)</w:t>
      </w:r>
      <w:r>
        <w:rPr>
          <w:rFonts w:ascii="Arial" w:eastAsia="Times New Roman" w:hAnsi="Arial" w:cs="Arial"/>
          <w:sz w:val="20"/>
          <w:szCs w:val="20"/>
          <w:lang w:eastAsia="sl-SI"/>
        </w:rPr>
        <w:t>,</w:t>
      </w:r>
    </w:p>
    <w:p w14:paraId="18217167"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(e</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Pr>
          <w:rFonts w:ascii="Arial" w:eastAsia="Times New Roman" w:hAnsi="Arial" w:cs="Arial"/>
          <w:sz w:val="20"/>
          <w:szCs w:val="20"/>
          <w:lang w:eastAsia="sl-SI"/>
        </w:rPr>
        <w:t>s</w:t>
      </w:r>
      <w:r w:rsidRPr="007C6A9B">
        <w:rPr>
          <w:rFonts w:ascii="Arial" w:eastAsia="Times New Roman" w:hAnsi="Arial" w:cs="Arial"/>
          <w:sz w:val="20"/>
          <w:szCs w:val="20"/>
          <w:lang w:eastAsia="sl-SI"/>
        </w:rPr>
        <w:t>tatus (načrtovan, sprejet ali izveden)</w:t>
      </w:r>
      <w:r>
        <w:rPr>
          <w:rFonts w:ascii="Arial" w:eastAsia="Times New Roman" w:hAnsi="Arial" w:cs="Arial"/>
          <w:sz w:val="20"/>
          <w:szCs w:val="20"/>
          <w:lang w:eastAsia="sl-SI"/>
        </w:rPr>
        <w:t>,</w:t>
      </w:r>
    </w:p>
    <w:p w14:paraId="56083E5B"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(f) </w:t>
      </w:r>
      <w:r>
        <w:rPr>
          <w:rFonts w:ascii="Arial" w:eastAsia="Times New Roman" w:hAnsi="Arial" w:cs="Arial"/>
          <w:sz w:val="20"/>
          <w:szCs w:val="20"/>
          <w:lang w:eastAsia="sl-SI"/>
        </w:rPr>
        <w:t>v</w:t>
      </w:r>
      <w:r w:rsidRPr="007C6A9B">
        <w:rPr>
          <w:rFonts w:ascii="Arial" w:eastAsia="Times New Roman" w:hAnsi="Arial" w:cs="Arial"/>
          <w:sz w:val="20"/>
          <w:szCs w:val="20"/>
          <w:lang w:eastAsia="sl-SI"/>
        </w:rPr>
        <w:t>plivani sektorji (energija, promet, industrijski procesi in uporaba proizvodov, kmetijstvo, LULUCF, ravnanje z odpadki ali drugo)</w:t>
      </w:r>
      <w:r>
        <w:rPr>
          <w:rFonts w:ascii="Arial" w:eastAsia="Times New Roman" w:hAnsi="Arial" w:cs="Arial"/>
          <w:sz w:val="20"/>
          <w:szCs w:val="20"/>
          <w:lang w:eastAsia="sl-SI"/>
        </w:rPr>
        <w:t>,</w:t>
      </w:r>
    </w:p>
    <w:p w14:paraId="154CFCE8" w14:textId="2849ECDF"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(g</w:t>
      </w:r>
      <w:r w:rsidRPr="00A57F7D">
        <w:rPr>
          <w:rFonts w:ascii="Arial" w:eastAsia="Times New Roman" w:hAnsi="Arial" w:cs="Arial"/>
          <w:bCs/>
          <w:sz w:val="20"/>
          <w:szCs w:val="20"/>
          <w:lang w:eastAsia="sl-SI"/>
        </w:rPr>
        <w:t>)</w:t>
      </w:r>
      <w:r w:rsidRPr="007C6A9B">
        <w:rPr>
          <w:rFonts w:ascii="Arial" w:eastAsia="Times New Roman" w:hAnsi="Arial" w:cs="Arial"/>
          <w:sz w:val="20"/>
          <w:szCs w:val="20"/>
          <w:lang w:eastAsia="sl-SI"/>
        </w:rPr>
        <w:t xml:space="preserve"> </w:t>
      </w:r>
      <w:r>
        <w:rPr>
          <w:rFonts w:ascii="Arial" w:eastAsia="Times New Roman" w:hAnsi="Arial" w:cs="Arial"/>
          <w:sz w:val="20"/>
          <w:szCs w:val="20"/>
          <w:lang w:eastAsia="sl-SI"/>
        </w:rPr>
        <w:t>p</w:t>
      </w:r>
      <w:r w:rsidRPr="007C6A9B">
        <w:rPr>
          <w:rFonts w:ascii="Arial" w:eastAsia="Times New Roman" w:hAnsi="Arial" w:cs="Arial"/>
          <w:sz w:val="20"/>
          <w:szCs w:val="20"/>
          <w:lang w:eastAsia="sl-SI"/>
        </w:rPr>
        <w:t>rizadeti plini</w:t>
      </w:r>
      <w:r>
        <w:rPr>
          <w:rFonts w:ascii="Arial" w:eastAsia="Times New Roman" w:hAnsi="Arial" w:cs="Arial"/>
          <w:sz w:val="20"/>
          <w:szCs w:val="20"/>
          <w:lang w:eastAsia="sl-SI"/>
        </w:rPr>
        <w:t>,</w:t>
      </w:r>
    </w:p>
    <w:p w14:paraId="458F0D93" w14:textId="77777777"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(h</w:t>
      </w:r>
      <w:r w:rsidRPr="00A57F7D">
        <w:rPr>
          <w:rFonts w:ascii="Arial" w:eastAsia="Times New Roman" w:hAnsi="Arial" w:cs="Arial"/>
          <w:bCs/>
          <w:sz w:val="20"/>
          <w:szCs w:val="20"/>
          <w:lang w:eastAsia="sl-SI"/>
        </w:rPr>
        <w:t>)</w:t>
      </w:r>
      <w:r w:rsidRPr="007C6A9B">
        <w:rPr>
          <w:rFonts w:ascii="Arial" w:eastAsia="Times New Roman" w:hAnsi="Arial" w:cs="Arial"/>
          <w:sz w:val="20"/>
          <w:szCs w:val="20"/>
          <w:lang w:eastAsia="sl-SI"/>
        </w:rPr>
        <w:t xml:space="preserve"> </w:t>
      </w:r>
      <w:r>
        <w:rPr>
          <w:rFonts w:ascii="Arial" w:eastAsia="Times New Roman" w:hAnsi="Arial" w:cs="Arial"/>
          <w:sz w:val="20"/>
          <w:szCs w:val="20"/>
          <w:lang w:eastAsia="sl-SI"/>
        </w:rPr>
        <w:t>l</w:t>
      </w:r>
      <w:r w:rsidRPr="007C6A9B">
        <w:rPr>
          <w:rFonts w:ascii="Arial" w:eastAsia="Times New Roman" w:hAnsi="Arial" w:cs="Arial"/>
          <w:sz w:val="20"/>
          <w:szCs w:val="20"/>
          <w:lang w:eastAsia="sl-SI"/>
        </w:rPr>
        <w:t>eto začetka izvajanja</w:t>
      </w:r>
      <w:r>
        <w:rPr>
          <w:rFonts w:ascii="Arial" w:eastAsia="Times New Roman" w:hAnsi="Arial" w:cs="Arial"/>
          <w:sz w:val="20"/>
          <w:szCs w:val="20"/>
          <w:lang w:eastAsia="sl-SI"/>
        </w:rPr>
        <w:t>,</w:t>
      </w:r>
    </w:p>
    <w:p w14:paraId="1C088A36" w14:textId="3710F22A" w:rsidR="00167EB3" w:rsidRPr="007C6A9B" w:rsidRDefault="00167EB3" w:rsidP="00D8021D">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(i) </w:t>
      </w:r>
      <w:r>
        <w:rPr>
          <w:rFonts w:ascii="Arial" w:eastAsia="Times New Roman" w:hAnsi="Arial" w:cs="Arial"/>
          <w:sz w:val="20"/>
          <w:szCs w:val="20"/>
          <w:lang w:eastAsia="sl-SI"/>
        </w:rPr>
        <w:t>i</w:t>
      </w:r>
      <w:r w:rsidRPr="007C6A9B">
        <w:rPr>
          <w:rFonts w:ascii="Arial" w:eastAsia="Times New Roman" w:hAnsi="Arial" w:cs="Arial"/>
          <w:sz w:val="20"/>
          <w:szCs w:val="20"/>
          <w:lang w:eastAsia="sl-SI"/>
        </w:rPr>
        <w:t>zvajalski subjekt(i).</w:t>
      </w:r>
    </w:p>
    <w:p w14:paraId="0EAAE9E0" w14:textId="77777777"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83</w:t>
      </w:r>
      <w:r w:rsidRPr="007C6A9B">
        <w:rPr>
          <w:rFonts w:ascii="Arial" w:eastAsia="Times New Roman" w:hAnsi="Arial" w:cs="Arial"/>
          <w:b/>
          <w:bCs/>
          <w:sz w:val="20"/>
          <w:szCs w:val="20"/>
          <w:lang w:eastAsia="sl-SI"/>
        </w:rPr>
        <w:t>.</w:t>
      </w:r>
      <w:r w:rsidRPr="007C6A9B">
        <w:rPr>
          <w:rFonts w:ascii="Arial" w:eastAsia="Times New Roman" w:hAnsi="Arial" w:cs="Arial"/>
          <w:sz w:val="20"/>
          <w:szCs w:val="20"/>
          <w:lang w:eastAsia="sl-SI"/>
        </w:rPr>
        <w:t xml:space="preserve"> Vsaka pogodbenica lahko zagotovi tudi naslednje informacije za vsak prijavljen ukrep</w:t>
      </w:r>
      <w:r>
        <w:rPr>
          <w:rFonts w:ascii="Arial" w:eastAsia="Times New Roman" w:hAnsi="Arial" w:cs="Arial"/>
          <w:sz w:val="20"/>
          <w:szCs w:val="20"/>
          <w:lang w:eastAsia="sl-SI"/>
        </w:rPr>
        <w:t xml:space="preserve"> in</w:t>
      </w:r>
      <w:r w:rsidRPr="007C6A9B">
        <w:rPr>
          <w:rFonts w:ascii="Arial" w:eastAsia="Times New Roman" w:hAnsi="Arial" w:cs="Arial"/>
          <w:sz w:val="20"/>
          <w:szCs w:val="20"/>
          <w:lang w:eastAsia="sl-SI"/>
        </w:rPr>
        <w:t xml:space="preserve"> politiko:</w:t>
      </w:r>
    </w:p>
    <w:p w14:paraId="4DDAE8F3" w14:textId="13FB66C9"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(a) </w:t>
      </w:r>
      <w:r>
        <w:rPr>
          <w:rFonts w:ascii="Arial" w:eastAsia="Times New Roman" w:hAnsi="Arial" w:cs="Arial"/>
          <w:sz w:val="20"/>
          <w:szCs w:val="20"/>
          <w:lang w:eastAsia="sl-SI"/>
        </w:rPr>
        <w:t>s</w:t>
      </w:r>
      <w:r w:rsidRPr="007C6A9B">
        <w:rPr>
          <w:rFonts w:ascii="Arial" w:eastAsia="Times New Roman" w:hAnsi="Arial" w:cs="Arial"/>
          <w:sz w:val="20"/>
          <w:szCs w:val="20"/>
          <w:lang w:eastAsia="sl-SI"/>
        </w:rPr>
        <w:t>troški</w:t>
      </w:r>
      <w:r w:rsidR="00180B45">
        <w:rPr>
          <w:rFonts w:ascii="Arial" w:eastAsia="Times New Roman" w:hAnsi="Arial" w:cs="Arial"/>
          <w:sz w:val="20"/>
          <w:szCs w:val="20"/>
          <w:lang w:eastAsia="sl-SI"/>
        </w:rPr>
        <w:t>,</w:t>
      </w:r>
    </w:p>
    <w:p w14:paraId="6227A36B" w14:textId="2EA2DEA0" w:rsidR="00167EB3"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(b) </w:t>
      </w:r>
      <w:r>
        <w:rPr>
          <w:rFonts w:ascii="Arial" w:eastAsia="Times New Roman" w:hAnsi="Arial" w:cs="Arial"/>
          <w:sz w:val="20"/>
          <w:szCs w:val="20"/>
          <w:lang w:eastAsia="sl-SI"/>
        </w:rPr>
        <w:t>n</w:t>
      </w:r>
      <w:r w:rsidRPr="007C6A9B">
        <w:rPr>
          <w:rFonts w:ascii="Arial" w:eastAsia="Times New Roman" w:hAnsi="Arial" w:cs="Arial"/>
          <w:sz w:val="20"/>
          <w:szCs w:val="20"/>
          <w:lang w:eastAsia="sl-SI"/>
        </w:rPr>
        <w:t>eomilitvene koristi</w:t>
      </w:r>
      <w:r w:rsidR="00180B45">
        <w:rPr>
          <w:rFonts w:ascii="Arial" w:eastAsia="Times New Roman" w:hAnsi="Arial" w:cs="Arial"/>
          <w:sz w:val="20"/>
          <w:szCs w:val="20"/>
          <w:lang w:eastAsia="sl-SI"/>
        </w:rPr>
        <w:t>,</w:t>
      </w:r>
    </w:p>
    <w:p w14:paraId="25B5245A" w14:textId="28F80103"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 xml:space="preserve">(c) </w:t>
      </w:r>
      <w:r w:rsidR="00180B45">
        <w:rPr>
          <w:rFonts w:ascii="Arial" w:eastAsia="Times New Roman" w:hAnsi="Arial" w:cs="Arial"/>
          <w:sz w:val="20"/>
          <w:szCs w:val="20"/>
          <w:lang w:eastAsia="sl-SI"/>
        </w:rPr>
        <w:t>vpliv</w:t>
      </w:r>
      <w:r w:rsidRPr="007C6A9B">
        <w:rPr>
          <w:rFonts w:ascii="Arial" w:eastAsia="Times New Roman" w:hAnsi="Arial" w:cs="Arial"/>
          <w:sz w:val="20"/>
          <w:szCs w:val="20"/>
          <w:lang w:eastAsia="sl-SI"/>
        </w:rPr>
        <w:t xml:space="preserve"> omilitveni</w:t>
      </w:r>
      <w:r w:rsidR="00180B45">
        <w:rPr>
          <w:rFonts w:ascii="Arial" w:eastAsia="Times New Roman" w:hAnsi="Arial" w:cs="Arial"/>
          <w:sz w:val="20"/>
          <w:szCs w:val="20"/>
          <w:lang w:eastAsia="sl-SI"/>
        </w:rPr>
        <w:t>h</w:t>
      </w:r>
      <w:r w:rsidRPr="007C6A9B">
        <w:rPr>
          <w:rFonts w:ascii="Arial" w:eastAsia="Times New Roman" w:hAnsi="Arial" w:cs="Arial"/>
          <w:sz w:val="20"/>
          <w:szCs w:val="20"/>
          <w:lang w:eastAsia="sl-SI"/>
        </w:rPr>
        <w:t xml:space="preserve"> </w:t>
      </w:r>
      <w:r w:rsidR="00180B45" w:rsidRPr="007C6A9B">
        <w:rPr>
          <w:rFonts w:ascii="Arial" w:eastAsia="Times New Roman" w:hAnsi="Arial" w:cs="Arial"/>
          <w:sz w:val="20"/>
          <w:szCs w:val="20"/>
          <w:lang w:eastAsia="sl-SI"/>
        </w:rPr>
        <w:t>ukrep</w:t>
      </w:r>
      <w:r w:rsidR="00180B45">
        <w:rPr>
          <w:rFonts w:ascii="Arial" w:eastAsia="Times New Roman" w:hAnsi="Arial" w:cs="Arial"/>
          <w:sz w:val="20"/>
          <w:szCs w:val="20"/>
          <w:lang w:eastAsia="sl-SI"/>
        </w:rPr>
        <w:t>ov</w:t>
      </w:r>
      <w:r w:rsidRPr="007C6A9B">
        <w:rPr>
          <w:rFonts w:ascii="Arial" w:eastAsia="Times New Roman" w:hAnsi="Arial" w:cs="Arial"/>
          <w:sz w:val="20"/>
          <w:szCs w:val="20"/>
          <w:lang w:eastAsia="sl-SI"/>
        </w:rPr>
        <w:t>, opredeljeni</w:t>
      </w:r>
      <w:r w:rsidR="00180B45">
        <w:rPr>
          <w:rFonts w:ascii="Arial" w:eastAsia="Times New Roman" w:hAnsi="Arial" w:cs="Arial"/>
          <w:sz w:val="20"/>
          <w:szCs w:val="20"/>
          <w:lang w:eastAsia="sl-SI"/>
        </w:rPr>
        <w:t>h</w:t>
      </w:r>
      <w:r w:rsidRPr="007C6A9B">
        <w:rPr>
          <w:rFonts w:ascii="Arial" w:eastAsia="Times New Roman" w:hAnsi="Arial" w:cs="Arial"/>
          <w:sz w:val="20"/>
          <w:szCs w:val="20"/>
          <w:lang w:eastAsia="sl-SI"/>
        </w:rPr>
        <w:t xml:space="preserve"> v </w:t>
      </w:r>
      <w:r>
        <w:rPr>
          <w:rFonts w:ascii="Arial" w:eastAsia="Times New Roman" w:hAnsi="Arial" w:cs="Arial"/>
          <w:sz w:val="20"/>
          <w:szCs w:val="20"/>
          <w:lang w:eastAsia="sl-SI"/>
        </w:rPr>
        <w:t xml:space="preserve">osemdesetem </w:t>
      </w:r>
      <w:r w:rsidRPr="007C6A9B">
        <w:rPr>
          <w:rFonts w:ascii="Arial" w:eastAsia="Times New Roman" w:hAnsi="Arial" w:cs="Arial"/>
          <w:sz w:val="20"/>
          <w:szCs w:val="20"/>
          <w:lang w:eastAsia="sl-SI"/>
        </w:rPr>
        <w:t>odstavku, kjer je to ustrezno.</w:t>
      </w:r>
    </w:p>
    <w:p w14:paraId="31405A6D" w14:textId="6A5885EA"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84</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Za vsako pogodbenico z NDC v skladu s 4. členom Pariškega sporazuma, ki vključuje omilitvene koristi, izhajajo</w:t>
      </w:r>
      <w:r w:rsidR="002960A5">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iz prilagoditvenih ukrepov in/ali načrtov za gospodarsko diverzifikacijo </w:t>
      </w:r>
      <w:r>
        <w:rPr>
          <w:rFonts w:ascii="Arial" w:eastAsia="Times New Roman" w:hAnsi="Arial" w:cs="Arial"/>
          <w:sz w:val="20"/>
          <w:szCs w:val="20"/>
          <w:lang w:eastAsia="sl-SI"/>
        </w:rPr>
        <w:t>v skladu</w:t>
      </w:r>
      <w:r w:rsidRPr="007C6A9B">
        <w:rPr>
          <w:rFonts w:ascii="Arial" w:eastAsia="Times New Roman" w:hAnsi="Arial" w:cs="Arial"/>
          <w:sz w:val="20"/>
          <w:szCs w:val="20"/>
          <w:lang w:eastAsia="sl-SI"/>
        </w:rPr>
        <w:t xml:space="preserve"> s </w:t>
      </w:r>
      <w:r>
        <w:rPr>
          <w:rFonts w:ascii="Arial" w:eastAsia="Times New Roman" w:hAnsi="Arial" w:cs="Arial"/>
          <w:sz w:val="20"/>
          <w:szCs w:val="20"/>
          <w:lang w:eastAsia="sl-SI"/>
        </w:rPr>
        <w:t>sedmim</w:t>
      </w:r>
      <w:r w:rsidRPr="007C6A9B">
        <w:rPr>
          <w:rFonts w:ascii="Arial" w:eastAsia="Times New Roman" w:hAnsi="Arial" w:cs="Arial"/>
          <w:sz w:val="20"/>
          <w:szCs w:val="20"/>
          <w:lang w:eastAsia="sl-SI"/>
        </w:rPr>
        <w:t xml:space="preserve"> odstavkom 4. člena, morajo informacije, o katerih se poroča v </w:t>
      </w:r>
      <w:r>
        <w:rPr>
          <w:rFonts w:ascii="Arial" w:eastAsia="Times New Roman" w:hAnsi="Arial" w:cs="Arial"/>
          <w:sz w:val="20"/>
          <w:szCs w:val="20"/>
          <w:lang w:eastAsia="sl-SI"/>
        </w:rPr>
        <w:t xml:space="preserve">osemdesetem, dvainosemdesetem in triinosemdesetem </w:t>
      </w:r>
      <w:r w:rsidRPr="007C6A9B">
        <w:rPr>
          <w:rFonts w:ascii="Arial" w:eastAsia="Times New Roman" w:hAnsi="Arial" w:cs="Arial"/>
          <w:sz w:val="20"/>
          <w:szCs w:val="20"/>
          <w:lang w:eastAsia="sl-SI"/>
        </w:rPr>
        <w:t>odstavk</w:t>
      </w:r>
      <w:r>
        <w:rPr>
          <w:rFonts w:ascii="Arial" w:eastAsia="Times New Roman" w:hAnsi="Arial" w:cs="Arial"/>
          <w:sz w:val="20"/>
          <w:szCs w:val="20"/>
          <w:lang w:eastAsia="sl-SI"/>
        </w:rPr>
        <w:t>u</w:t>
      </w:r>
      <w:r w:rsidRPr="007C6A9B">
        <w:rPr>
          <w:rFonts w:ascii="Arial" w:eastAsia="Times New Roman" w:hAnsi="Arial" w:cs="Arial"/>
          <w:sz w:val="20"/>
          <w:szCs w:val="20"/>
          <w:lang w:eastAsia="sl-SI"/>
        </w:rPr>
        <w:t>, vključevati ustrezne informacije o politikah in ukrepih, ki prispevajo k omilitvenim koristim, izhajajo</w:t>
      </w:r>
      <w:r>
        <w:rPr>
          <w:rFonts w:ascii="Arial" w:eastAsia="Times New Roman" w:hAnsi="Arial" w:cs="Arial"/>
          <w:sz w:val="20"/>
          <w:szCs w:val="20"/>
          <w:lang w:eastAsia="sl-SI"/>
        </w:rPr>
        <w:t>čim</w:t>
      </w:r>
      <w:r w:rsidRPr="007C6A9B">
        <w:rPr>
          <w:rFonts w:ascii="Arial" w:eastAsia="Times New Roman" w:hAnsi="Arial" w:cs="Arial"/>
          <w:sz w:val="20"/>
          <w:szCs w:val="20"/>
          <w:lang w:eastAsia="sl-SI"/>
        </w:rPr>
        <w:t xml:space="preserve"> iz prilagoditvenih ukrepov ali načrtov za gospodarsko diverzifikacijo.</w:t>
      </w:r>
    </w:p>
    <w:p w14:paraId="0CD9D740" w14:textId="12483814"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w:t>
      </w:r>
      <w:r w:rsidRPr="00711383">
        <w:rPr>
          <w:rFonts w:ascii="Arial" w:eastAsia="Times New Roman" w:hAnsi="Arial" w:cs="Arial"/>
          <w:sz w:val="20"/>
          <w:szCs w:val="20"/>
          <w:lang w:eastAsia="sl-SI"/>
        </w:rPr>
        <w:t>5</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Vsaka pogodbenica mora, </w:t>
      </w:r>
      <w:r>
        <w:rPr>
          <w:rFonts w:ascii="Arial" w:eastAsia="Times New Roman" w:hAnsi="Arial" w:cs="Arial"/>
          <w:sz w:val="20"/>
          <w:szCs w:val="20"/>
          <w:lang w:eastAsia="sl-SI"/>
        </w:rPr>
        <w:t xml:space="preserve">če </w:t>
      </w:r>
      <w:r w:rsidRPr="007C6A9B">
        <w:rPr>
          <w:rFonts w:ascii="Arial" w:eastAsia="Times New Roman" w:hAnsi="Arial" w:cs="Arial"/>
          <w:sz w:val="20"/>
          <w:szCs w:val="20"/>
          <w:lang w:eastAsia="sl-SI"/>
        </w:rPr>
        <w:t xml:space="preserve">je mogoče, zagotoviti ocene pričakovanih in doseženih zmanjšanj emisij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 xml:space="preserve"> za svoje ukrepe</w:t>
      </w:r>
      <w:r>
        <w:rPr>
          <w:rFonts w:ascii="Arial" w:eastAsia="Times New Roman" w:hAnsi="Arial" w:cs="Arial"/>
          <w:sz w:val="20"/>
          <w:szCs w:val="20"/>
          <w:lang w:eastAsia="sl-SI"/>
        </w:rPr>
        <w:t xml:space="preserve"> in</w:t>
      </w:r>
      <w:r w:rsidRPr="007C6A9B">
        <w:rPr>
          <w:rFonts w:ascii="Arial" w:eastAsia="Times New Roman" w:hAnsi="Arial" w:cs="Arial"/>
          <w:sz w:val="20"/>
          <w:szCs w:val="20"/>
          <w:lang w:eastAsia="sl-SI"/>
        </w:rPr>
        <w:t xml:space="preserve"> politike v </w:t>
      </w:r>
      <w:r w:rsidR="002019F5">
        <w:rPr>
          <w:rFonts w:ascii="Arial" w:eastAsia="Times New Roman" w:hAnsi="Arial" w:cs="Arial"/>
          <w:sz w:val="20"/>
          <w:szCs w:val="20"/>
          <w:lang w:eastAsia="sl-SI"/>
        </w:rPr>
        <w:t xml:space="preserve">pregledničnem </w:t>
      </w:r>
      <w:r w:rsidRPr="007C6A9B">
        <w:rPr>
          <w:rFonts w:ascii="Arial" w:eastAsia="Times New Roman" w:hAnsi="Arial" w:cs="Arial"/>
          <w:sz w:val="20"/>
          <w:szCs w:val="20"/>
          <w:lang w:eastAsia="sl-SI"/>
        </w:rPr>
        <w:t xml:space="preserve">formatu, navedenem v </w:t>
      </w:r>
      <w:r>
        <w:rPr>
          <w:rFonts w:ascii="Arial" w:eastAsia="Times New Roman" w:hAnsi="Arial" w:cs="Arial"/>
          <w:sz w:val="20"/>
          <w:szCs w:val="20"/>
          <w:lang w:eastAsia="sl-SI"/>
        </w:rPr>
        <w:t xml:space="preserve">dvainosemdesetem </w:t>
      </w:r>
      <w:r w:rsidRPr="007C6A9B">
        <w:rPr>
          <w:rFonts w:ascii="Arial" w:eastAsia="Times New Roman" w:hAnsi="Arial" w:cs="Arial"/>
          <w:sz w:val="20"/>
          <w:szCs w:val="20"/>
          <w:lang w:eastAsia="sl-SI"/>
        </w:rPr>
        <w:t xml:space="preserve">odstavku; tiste države v razvoju, ki potrebujejo fleksibilnost glede na svoje zmogljivosti v zvezi s to določbo, so namesto tega spodbujene, da poročajo </w:t>
      </w:r>
      <w:r>
        <w:rPr>
          <w:rFonts w:ascii="Arial" w:eastAsia="Times New Roman" w:hAnsi="Arial" w:cs="Arial"/>
          <w:sz w:val="20"/>
          <w:szCs w:val="20"/>
          <w:lang w:eastAsia="sl-SI"/>
        </w:rPr>
        <w:t xml:space="preserve">o </w:t>
      </w:r>
      <w:r w:rsidRPr="007C6A9B">
        <w:rPr>
          <w:rFonts w:ascii="Arial" w:eastAsia="Times New Roman" w:hAnsi="Arial" w:cs="Arial"/>
          <w:sz w:val="20"/>
          <w:szCs w:val="20"/>
          <w:lang w:eastAsia="sl-SI"/>
        </w:rPr>
        <w:t>te</w:t>
      </w:r>
      <w:r>
        <w:rPr>
          <w:rFonts w:ascii="Arial" w:eastAsia="Times New Roman" w:hAnsi="Arial" w:cs="Arial"/>
          <w:sz w:val="20"/>
          <w:szCs w:val="20"/>
          <w:lang w:eastAsia="sl-SI"/>
        </w:rPr>
        <w:t>h</w:t>
      </w:r>
      <w:r w:rsidRPr="007C6A9B">
        <w:rPr>
          <w:rFonts w:ascii="Arial" w:eastAsia="Times New Roman" w:hAnsi="Arial" w:cs="Arial"/>
          <w:sz w:val="20"/>
          <w:szCs w:val="20"/>
          <w:lang w:eastAsia="sl-SI"/>
        </w:rPr>
        <w:t xml:space="preserve"> informacij</w:t>
      </w:r>
      <w:r>
        <w:rPr>
          <w:rFonts w:ascii="Arial" w:eastAsia="Times New Roman" w:hAnsi="Arial" w:cs="Arial"/>
          <w:sz w:val="20"/>
          <w:szCs w:val="20"/>
          <w:lang w:eastAsia="sl-SI"/>
        </w:rPr>
        <w:t>ah</w:t>
      </w:r>
      <w:r w:rsidRPr="007C6A9B">
        <w:rPr>
          <w:rFonts w:ascii="Arial" w:eastAsia="Times New Roman" w:hAnsi="Arial" w:cs="Arial"/>
          <w:sz w:val="20"/>
          <w:szCs w:val="20"/>
          <w:lang w:eastAsia="sl-SI"/>
        </w:rPr>
        <w:t>.</w:t>
      </w:r>
    </w:p>
    <w:p w14:paraId="1C2368F3" w14:textId="4067634C"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86</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Vsaka pogodbenica mora opisati metodologije in </w:t>
      </w:r>
      <w:r>
        <w:rPr>
          <w:rFonts w:ascii="Arial" w:eastAsia="Times New Roman" w:hAnsi="Arial" w:cs="Arial"/>
          <w:sz w:val="20"/>
          <w:szCs w:val="20"/>
          <w:lang w:eastAsia="sl-SI"/>
        </w:rPr>
        <w:t>pogoje</w:t>
      </w:r>
      <w:r w:rsidRPr="007C6A9B">
        <w:rPr>
          <w:rFonts w:ascii="Arial" w:eastAsia="Times New Roman" w:hAnsi="Arial" w:cs="Arial"/>
          <w:sz w:val="20"/>
          <w:szCs w:val="20"/>
          <w:lang w:eastAsia="sl-SI"/>
        </w:rPr>
        <w:t xml:space="preserve">, uporabljene za oceno zmanjšanja ali ponorov emisij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 xml:space="preserve"> za vsak ukrep</w:t>
      </w:r>
      <w:r>
        <w:rPr>
          <w:rFonts w:ascii="Arial" w:eastAsia="Times New Roman" w:hAnsi="Arial" w:cs="Arial"/>
          <w:sz w:val="20"/>
          <w:szCs w:val="20"/>
          <w:lang w:eastAsia="sl-SI"/>
        </w:rPr>
        <w:t xml:space="preserve"> in</w:t>
      </w:r>
      <w:r w:rsidRPr="007C6A9B">
        <w:rPr>
          <w:rFonts w:ascii="Arial" w:eastAsia="Times New Roman" w:hAnsi="Arial" w:cs="Arial"/>
          <w:sz w:val="20"/>
          <w:szCs w:val="20"/>
          <w:lang w:eastAsia="sl-SI"/>
        </w:rPr>
        <w:t xml:space="preserve"> politiko, </w:t>
      </w:r>
      <w:r>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so na voljo. Te informacije so lahko predstavljene v prilogi k njenemu dvoletemu poročilu o preglednosti.</w:t>
      </w:r>
    </w:p>
    <w:p w14:paraId="157DFCAF" w14:textId="611660C9"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87</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Vsaka pogodbenica naj opredeli tiste ukrepe</w:t>
      </w:r>
      <w:r>
        <w:rPr>
          <w:rFonts w:ascii="Arial" w:eastAsia="Times New Roman" w:hAnsi="Arial" w:cs="Arial"/>
          <w:sz w:val="20"/>
          <w:szCs w:val="20"/>
          <w:lang w:eastAsia="sl-SI"/>
        </w:rPr>
        <w:t xml:space="preserve"> in</w:t>
      </w:r>
      <w:r w:rsidRPr="007C6A9B">
        <w:rPr>
          <w:rFonts w:ascii="Arial" w:eastAsia="Times New Roman" w:hAnsi="Arial" w:cs="Arial"/>
          <w:sz w:val="20"/>
          <w:szCs w:val="20"/>
          <w:lang w:eastAsia="sl-SI"/>
        </w:rPr>
        <w:t xml:space="preserve"> politike, ki niso več v veljavi v primerjavi z najnovejšim dvoletenim poročilom o preglednosti, </w:t>
      </w:r>
      <w:r w:rsidR="00180B45">
        <w:rPr>
          <w:rFonts w:ascii="Arial" w:eastAsia="Times New Roman" w:hAnsi="Arial" w:cs="Arial"/>
          <w:sz w:val="20"/>
          <w:szCs w:val="20"/>
          <w:lang w:eastAsia="sl-SI"/>
        </w:rPr>
        <w:t xml:space="preserve">in </w:t>
      </w:r>
      <w:r w:rsidRPr="007C6A9B">
        <w:rPr>
          <w:rFonts w:ascii="Arial" w:eastAsia="Times New Roman" w:hAnsi="Arial" w:cs="Arial"/>
          <w:sz w:val="20"/>
          <w:szCs w:val="20"/>
          <w:lang w:eastAsia="sl-SI"/>
        </w:rPr>
        <w:t>pojasni, zakaj niso več v veljavi.</w:t>
      </w:r>
    </w:p>
    <w:p w14:paraId="1D538737" w14:textId="77777777" w:rsidR="00167EB3" w:rsidRPr="007C6A9B"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88</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Vsaka pogodbenica naj opredeli svoje ukrepe, politike in ukrepe, ki vplivajo na emisije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 xml:space="preserve"> iz mednarodnega prometa.</w:t>
      </w:r>
    </w:p>
    <w:p w14:paraId="2BAD4852" w14:textId="77777777" w:rsidR="00167EB3"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lastRenderedPageBreak/>
        <w:t>89</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 xml:space="preserve">Vsaka pogodbenica naj, </w:t>
      </w:r>
      <w:r>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je mogoče, zagotovi informacije o tem, kako njeni ukrepi, politike in ukrepi spreminjajo dolgoročne trende emisij in ponorov </w:t>
      </w:r>
      <w:r>
        <w:rPr>
          <w:rFonts w:ascii="Arial" w:eastAsia="Times New Roman" w:hAnsi="Arial" w:cs="Arial"/>
          <w:sz w:val="20"/>
          <w:szCs w:val="20"/>
          <w:lang w:eastAsia="sl-SI"/>
        </w:rPr>
        <w:t>TGP</w:t>
      </w:r>
      <w:r w:rsidRPr="007C6A9B">
        <w:rPr>
          <w:rFonts w:ascii="Arial" w:eastAsia="Times New Roman" w:hAnsi="Arial" w:cs="Arial"/>
          <w:sz w:val="20"/>
          <w:szCs w:val="20"/>
          <w:lang w:eastAsia="sl-SI"/>
        </w:rPr>
        <w:t>.</w:t>
      </w:r>
    </w:p>
    <w:p w14:paraId="528FAC08" w14:textId="017CCC11" w:rsidR="0042650C" w:rsidRDefault="00167EB3" w:rsidP="00167EB3">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C6A9B">
        <w:rPr>
          <w:rFonts w:ascii="Arial" w:eastAsia="Times New Roman" w:hAnsi="Arial" w:cs="Arial"/>
          <w:sz w:val="20"/>
          <w:szCs w:val="20"/>
          <w:lang w:eastAsia="sl-SI"/>
        </w:rPr>
        <w:t>90</w:t>
      </w:r>
      <w:r w:rsidRPr="00A57F7D">
        <w:rPr>
          <w:rFonts w:ascii="Arial" w:eastAsia="Times New Roman" w:hAnsi="Arial" w:cs="Arial"/>
          <w:bCs/>
          <w:sz w:val="20"/>
          <w:szCs w:val="20"/>
          <w:lang w:eastAsia="sl-SI"/>
        </w:rPr>
        <w:t>.</w:t>
      </w:r>
      <w:r w:rsidRPr="00D9504C">
        <w:rPr>
          <w:rFonts w:ascii="Arial" w:eastAsia="Times New Roman" w:hAnsi="Arial" w:cs="Arial"/>
          <w:sz w:val="20"/>
          <w:szCs w:val="20"/>
          <w:lang w:eastAsia="sl-SI"/>
        </w:rPr>
        <w:t xml:space="preserve"> </w:t>
      </w:r>
      <w:r w:rsidRPr="007C6A9B">
        <w:rPr>
          <w:rFonts w:ascii="Arial" w:eastAsia="Times New Roman" w:hAnsi="Arial" w:cs="Arial"/>
          <w:sz w:val="20"/>
          <w:szCs w:val="20"/>
          <w:lang w:eastAsia="sl-SI"/>
        </w:rPr>
        <w:t>Vsaka pogodbenica</w:t>
      </w:r>
      <w:r>
        <w:rPr>
          <w:rFonts w:ascii="Arial" w:eastAsia="Times New Roman" w:hAnsi="Arial" w:cs="Arial"/>
          <w:sz w:val="20"/>
          <w:szCs w:val="20"/>
          <w:lang w:eastAsia="sl-SI"/>
        </w:rPr>
        <w:t xml:space="preserve"> naj</w:t>
      </w:r>
      <w:r w:rsidRPr="007C6A9B">
        <w:rPr>
          <w:rFonts w:ascii="Arial" w:eastAsia="Times New Roman" w:hAnsi="Arial" w:cs="Arial"/>
          <w:sz w:val="20"/>
          <w:szCs w:val="20"/>
          <w:lang w:eastAsia="sl-SI"/>
        </w:rPr>
        <w:t xml:space="preserve">, </w:t>
      </w:r>
      <w:r>
        <w:rPr>
          <w:rFonts w:ascii="Arial" w:eastAsia="Times New Roman" w:hAnsi="Arial" w:cs="Arial"/>
          <w:sz w:val="20"/>
          <w:szCs w:val="20"/>
          <w:lang w:eastAsia="sl-SI"/>
        </w:rPr>
        <w:t>če</w:t>
      </w:r>
      <w:r w:rsidRPr="007C6A9B">
        <w:rPr>
          <w:rFonts w:ascii="Arial" w:eastAsia="Times New Roman" w:hAnsi="Arial" w:cs="Arial"/>
          <w:sz w:val="20"/>
          <w:szCs w:val="20"/>
          <w:lang w:eastAsia="sl-SI"/>
        </w:rPr>
        <w:t xml:space="preserve"> je mogoče, zagotovi podrobne informacije o oceni gospodarskih in socialnih vplivov odzivnih ukrepov.</w:t>
      </w:r>
    </w:p>
    <w:p w14:paraId="0316C052" w14:textId="77777777" w:rsidR="00167EB3" w:rsidRDefault="00167EB3" w:rsidP="00167EB3">
      <w:pPr>
        <w:spacing w:before="100" w:beforeAutospacing="1" w:after="100" w:afterAutospacing="1" w:line="240" w:lineRule="auto"/>
        <w:contextualSpacing/>
        <w:jc w:val="both"/>
        <w:rPr>
          <w:rFonts w:ascii="Arial" w:eastAsia="Times New Roman" w:hAnsi="Arial" w:cs="Arial"/>
          <w:sz w:val="20"/>
          <w:szCs w:val="20"/>
          <w:lang w:eastAsia="sl-SI"/>
        </w:rPr>
      </w:pPr>
    </w:p>
    <w:p w14:paraId="73F44D62" w14:textId="35128F58" w:rsidR="00B13301" w:rsidRDefault="00167EB3" w:rsidP="00AF3FEE">
      <w:pPr>
        <w:pStyle w:val="Heading3"/>
      </w:pPr>
      <w:bookmarkStart w:id="57" w:name="_Toc196300813"/>
      <w:r w:rsidRPr="00711383">
        <w:t>II.D.1 Večsektorski ukrepi</w:t>
      </w:r>
      <w:bookmarkEnd w:id="57"/>
    </w:p>
    <w:p w14:paraId="2411E309" w14:textId="77777777" w:rsidR="00AF3FEE" w:rsidRPr="00036A7D" w:rsidRDefault="00AF3FEE" w:rsidP="00AF3FEE">
      <w:pPr>
        <w:pStyle w:val="Heading41"/>
        <w:rPr>
          <w:lang w:val="sl-SI"/>
        </w:rPr>
      </w:pPr>
      <w:r w:rsidRPr="00036A7D">
        <w:rPr>
          <w:lang w:val="sl-SI"/>
        </w:rPr>
        <w:t>Trgovanje s pravicami do emisije TGP (EU ETS1)</w:t>
      </w:r>
    </w:p>
    <w:p w14:paraId="5D3F8F5C" w14:textId="328BE5BF" w:rsidR="00AF3FEE" w:rsidRPr="00407339" w:rsidRDefault="00AF3FEE" w:rsidP="00AF3FEE">
      <w:pPr>
        <w:pStyle w:val="Naslov-VplivUkrepa-Sektorji"/>
        <w:jc w:val="both"/>
        <w:rPr>
          <w:rStyle w:val="Tekst-VplivUkrepa-SektorjiCharChar"/>
          <w:rFonts w:ascii="Arial" w:hAnsi="Arial" w:cs="Arial"/>
          <w:b w:val="0"/>
          <w:i w:val="0"/>
          <w:iCs/>
          <w:szCs w:val="22"/>
        </w:rPr>
      </w:pPr>
      <w:r w:rsidRPr="00AF3FEE">
        <w:rPr>
          <w:rFonts w:ascii="Arial" w:hAnsi="Arial" w:cs="Arial"/>
          <w:szCs w:val="22"/>
        </w:rPr>
        <w:t xml:space="preserve">Sektorji, na katere </w:t>
      </w:r>
      <w:r w:rsidR="00986836"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w:t>
      </w:r>
      <w:r w:rsidRPr="00AF3FEE">
        <w:rPr>
          <w:rFonts w:ascii="Arial" w:hAnsi="Arial" w:cs="Arial"/>
          <w:b w:val="0"/>
          <w:szCs w:val="22"/>
        </w:rPr>
        <w:t xml:space="preserve"> </w:t>
      </w:r>
      <w:r w:rsidRPr="00407339">
        <w:rPr>
          <w:rStyle w:val="Tekst-VplivUkrepa-SektorjiCharChar"/>
          <w:rFonts w:ascii="Arial" w:hAnsi="Arial" w:cs="Arial"/>
          <w:b w:val="0"/>
          <w:i w:val="0"/>
          <w:iCs/>
          <w:szCs w:val="22"/>
        </w:rPr>
        <w:t>proizvodnja elektrike in toplote, raba energije v industriji in gradbeništvu, industrijski procesi</w:t>
      </w:r>
      <w:r w:rsidR="004F4601">
        <w:rPr>
          <w:rStyle w:val="Tekst-VplivUkrepa-SektorjiCharChar"/>
          <w:rFonts w:ascii="Arial" w:hAnsi="Arial" w:cs="Arial"/>
          <w:b w:val="0"/>
          <w:i w:val="0"/>
          <w:iCs/>
          <w:szCs w:val="22"/>
        </w:rPr>
        <w:t>.</w:t>
      </w:r>
    </w:p>
    <w:p w14:paraId="6A6B9403" w14:textId="42523C96" w:rsidR="00AF3FEE" w:rsidRPr="00AF3FEE" w:rsidRDefault="00AF3FEE" w:rsidP="00AF3FEE">
      <w:pPr>
        <w:pStyle w:val="BodyText"/>
        <w:rPr>
          <w:rFonts w:ascii="Arial" w:hAnsi="Arial" w:cs="Arial"/>
          <w:szCs w:val="22"/>
        </w:rPr>
      </w:pPr>
      <w:r w:rsidRPr="00AF3FEE">
        <w:rPr>
          <w:rFonts w:ascii="Arial" w:hAnsi="Arial" w:cs="Arial"/>
          <w:szCs w:val="22"/>
        </w:rPr>
        <w:t xml:space="preserve">Cilji trgovanja s pravicami do emisij TGP so omogočiti nižje stroške zmanjševanja emisij TGP za gospodarske družbe s tem, da se omogoči zmanjševanje emisij tam, kjer je najbolj poceni, izenačiti stroške zmanjševanja emisij TGP v celotni EU z dovoljevanjem meddržavnega trgovanja </w:t>
      </w:r>
      <w:r w:rsidR="00183B7D">
        <w:rPr>
          <w:rFonts w:ascii="Arial" w:hAnsi="Arial" w:cs="Arial"/>
          <w:szCs w:val="22"/>
        </w:rPr>
        <w:t>–</w:t>
      </w:r>
      <w:r w:rsidRPr="00AF3FEE">
        <w:rPr>
          <w:rFonts w:ascii="Arial" w:hAnsi="Arial" w:cs="Arial"/>
          <w:szCs w:val="22"/>
        </w:rPr>
        <w:t xml:space="preserve"> na tak način bo minimizirano omejevanje konkurence oziroma diskriminacija položaja gospodarskih družb (upravljavcev naprav, ki povzročajo emisije TGP) na skupnem notranjem trgu EU in </w:t>
      </w:r>
      <w:r w:rsidR="00D9504C">
        <w:rPr>
          <w:rFonts w:ascii="Arial" w:hAnsi="Arial" w:cs="Arial"/>
          <w:szCs w:val="22"/>
        </w:rPr>
        <w:t>omogočeno</w:t>
      </w:r>
      <w:r w:rsidRPr="00AF3FEE">
        <w:rPr>
          <w:rFonts w:ascii="Arial" w:hAnsi="Arial" w:cs="Arial"/>
          <w:szCs w:val="22"/>
        </w:rPr>
        <w:t xml:space="preserve"> zmanjševanj</w:t>
      </w:r>
      <w:r w:rsidR="00D9504C">
        <w:rPr>
          <w:rFonts w:ascii="Arial" w:hAnsi="Arial" w:cs="Arial"/>
          <w:szCs w:val="22"/>
        </w:rPr>
        <w:t>e</w:t>
      </w:r>
      <w:r w:rsidRPr="00AF3FEE">
        <w:rPr>
          <w:rFonts w:ascii="Arial" w:hAnsi="Arial" w:cs="Arial"/>
          <w:szCs w:val="22"/>
        </w:rPr>
        <w:t xml:space="preserve"> emisij TGP v prihodnosti z nagrajevanjem inovativnosti pri zmanjševanju emisij TGP.</w:t>
      </w:r>
    </w:p>
    <w:p w14:paraId="3C1A1DE4" w14:textId="5A630959" w:rsidR="00AF3FEE" w:rsidRPr="00AF3FEE" w:rsidRDefault="00AF3FEE" w:rsidP="00AF3FEE">
      <w:pPr>
        <w:pStyle w:val="BodyText"/>
        <w:rPr>
          <w:rFonts w:ascii="Arial" w:hAnsi="Arial" w:cs="Arial"/>
          <w:szCs w:val="22"/>
        </w:rPr>
      </w:pPr>
      <w:r w:rsidRPr="00AF3FEE">
        <w:rPr>
          <w:rFonts w:ascii="Arial" w:hAnsi="Arial" w:cs="Arial"/>
          <w:szCs w:val="22"/>
        </w:rPr>
        <w:t xml:space="preserve">Cilj sistema je, da bi države članice izpolnile svojo zavezo zmanjšanja emisij </w:t>
      </w:r>
      <w:r w:rsidR="00D265CF">
        <w:rPr>
          <w:rFonts w:ascii="Arial" w:hAnsi="Arial" w:cs="Arial"/>
          <w:szCs w:val="22"/>
        </w:rPr>
        <w:t>TGP</w:t>
      </w:r>
      <w:r w:rsidRPr="00AF3FEE">
        <w:rPr>
          <w:rFonts w:ascii="Arial" w:hAnsi="Arial" w:cs="Arial"/>
          <w:szCs w:val="22"/>
        </w:rPr>
        <w:t xml:space="preserve"> na stroškovno učinkovit način oz</w:t>
      </w:r>
      <w:r w:rsidR="004F2B0D">
        <w:rPr>
          <w:rFonts w:ascii="Arial" w:hAnsi="Arial" w:cs="Arial"/>
        </w:rPr>
        <w:t>iroma</w:t>
      </w:r>
      <w:r w:rsidRPr="00AF3FEE">
        <w:rPr>
          <w:rFonts w:ascii="Arial" w:hAnsi="Arial" w:cs="Arial"/>
          <w:szCs w:val="22"/>
        </w:rPr>
        <w:t xml:space="preserve"> s čim manjšimi stroški za industrijska podjetja, ki spadajo v kategorijo večjih onesnaževalcev oz</w:t>
      </w:r>
      <w:r w:rsidR="004F2B0D">
        <w:rPr>
          <w:rFonts w:ascii="Arial" w:hAnsi="Arial" w:cs="Arial"/>
        </w:rPr>
        <w:t>iroma</w:t>
      </w:r>
      <w:r w:rsidRPr="00AF3FEE">
        <w:rPr>
          <w:rFonts w:ascii="Arial" w:hAnsi="Arial" w:cs="Arial"/>
          <w:szCs w:val="22"/>
        </w:rPr>
        <w:t xml:space="preserve"> imajo proizvodne procese, ki potrebujejo dovoljenje za izpuščanje emisij TGP. Gre za </w:t>
      </w:r>
      <w:r w:rsidR="00D9504C">
        <w:rPr>
          <w:rFonts w:ascii="Arial" w:hAnsi="Arial" w:cs="Arial"/>
          <w:szCs w:val="22"/>
        </w:rPr>
        <w:t>prenos</w:t>
      </w:r>
      <w:r w:rsidR="00D9504C" w:rsidRPr="00AF3FEE">
        <w:rPr>
          <w:rFonts w:ascii="Arial" w:hAnsi="Arial" w:cs="Arial"/>
          <w:szCs w:val="22"/>
        </w:rPr>
        <w:t xml:space="preserve"> </w:t>
      </w:r>
      <w:r w:rsidRPr="00AF3FEE">
        <w:rPr>
          <w:rFonts w:ascii="Arial" w:hAnsi="Arial" w:cs="Arial"/>
          <w:szCs w:val="22"/>
        </w:rPr>
        <w:t xml:space="preserve">pravnega reda </w:t>
      </w:r>
      <w:r w:rsidR="00D9504C" w:rsidRPr="00AF3FEE">
        <w:rPr>
          <w:rFonts w:ascii="Arial" w:hAnsi="Arial" w:cs="Arial"/>
          <w:szCs w:val="22"/>
        </w:rPr>
        <w:t xml:space="preserve">EU </w:t>
      </w:r>
      <w:r w:rsidRPr="00AF3FEE">
        <w:rPr>
          <w:rFonts w:ascii="Arial" w:hAnsi="Arial" w:cs="Arial"/>
          <w:szCs w:val="22"/>
        </w:rPr>
        <w:t>(</w:t>
      </w:r>
      <w:r w:rsidR="00183B7D">
        <w:rPr>
          <w:rFonts w:ascii="Arial" w:hAnsi="Arial" w:cs="Arial"/>
          <w:szCs w:val="22"/>
        </w:rPr>
        <w:t>d</w:t>
      </w:r>
      <w:r w:rsidRPr="00AF3FEE">
        <w:rPr>
          <w:rFonts w:ascii="Arial" w:hAnsi="Arial" w:cs="Arial"/>
          <w:szCs w:val="22"/>
        </w:rPr>
        <w:t xml:space="preserve">irektive 2003/87/EC, 2008/101/EC, 2009/29/EC in izvedbenih aktov 2010/2/EU, 2011/278/EU, 2011/638/EU, 176/2014/EU ter </w:t>
      </w:r>
      <w:r w:rsidR="00183B7D">
        <w:rPr>
          <w:rFonts w:ascii="Arial" w:hAnsi="Arial" w:cs="Arial"/>
          <w:szCs w:val="22"/>
        </w:rPr>
        <w:t>o</w:t>
      </w:r>
      <w:r w:rsidRPr="00AF3FEE">
        <w:rPr>
          <w:rFonts w:ascii="Arial" w:hAnsi="Arial" w:cs="Arial"/>
          <w:szCs w:val="22"/>
        </w:rPr>
        <w:t xml:space="preserve">dločitve (EU) 2015/1814) v </w:t>
      </w:r>
      <w:r w:rsidR="00C43AD0">
        <w:rPr>
          <w:rFonts w:ascii="Arial" w:hAnsi="Arial" w:cs="Arial"/>
          <w:szCs w:val="22"/>
        </w:rPr>
        <w:t xml:space="preserve">pravni red </w:t>
      </w:r>
      <w:r w:rsidRPr="00AF3FEE">
        <w:rPr>
          <w:rFonts w:ascii="Arial" w:hAnsi="Arial" w:cs="Arial"/>
          <w:szCs w:val="22"/>
        </w:rPr>
        <w:t>Slovenij</w:t>
      </w:r>
      <w:r w:rsidR="00C43AD0">
        <w:rPr>
          <w:rFonts w:ascii="Arial" w:hAnsi="Arial" w:cs="Arial"/>
          <w:szCs w:val="22"/>
        </w:rPr>
        <w:t>e,</w:t>
      </w:r>
      <w:r w:rsidRPr="00AF3FEE">
        <w:rPr>
          <w:rFonts w:ascii="Arial" w:hAnsi="Arial" w:cs="Arial"/>
          <w:szCs w:val="22"/>
        </w:rPr>
        <w:t xml:space="preserve"> v Zakon o varstvu okolja in izvedbenih aktih.</w:t>
      </w:r>
    </w:p>
    <w:p w14:paraId="50F995C2" w14:textId="266DE482" w:rsidR="00AF3FEE" w:rsidRPr="00AF3FEE" w:rsidRDefault="00AF3FEE" w:rsidP="00AF3FEE">
      <w:pPr>
        <w:pStyle w:val="BodyText"/>
        <w:rPr>
          <w:rFonts w:ascii="Arial" w:hAnsi="Arial" w:cs="Arial"/>
          <w:szCs w:val="22"/>
        </w:rPr>
      </w:pPr>
      <w:r w:rsidRPr="00AF3FEE">
        <w:rPr>
          <w:rFonts w:ascii="Arial" w:hAnsi="Arial" w:cs="Arial"/>
          <w:szCs w:val="22"/>
        </w:rPr>
        <w:t>Odgovornost za izvajanje ima ministrstvo, pristojno za podnebje</w:t>
      </w:r>
      <w:r w:rsidR="00D9504C">
        <w:rPr>
          <w:rFonts w:ascii="Arial" w:hAnsi="Arial" w:cs="Arial"/>
          <w:szCs w:val="22"/>
        </w:rPr>
        <w:t>,</w:t>
      </w:r>
      <w:r w:rsidRPr="00AF3FEE">
        <w:rPr>
          <w:rStyle w:val="FootnoteReference"/>
          <w:rFonts w:ascii="Arial" w:hAnsi="Arial" w:cs="Arial"/>
          <w:szCs w:val="22"/>
        </w:rPr>
        <w:footnoteReference w:id="31"/>
      </w:r>
      <w:r w:rsidRPr="00AF3FEE">
        <w:rPr>
          <w:rFonts w:ascii="Arial" w:hAnsi="Arial" w:cs="Arial"/>
          <w:szCs w:val="22"/>
        </w:rPr>
        <w:t xml:space="preserve"> ki je odgovorno za zagotavljanje izvajanja določb </w:t>
      </w:r>
      <w:r w:rsidR="00C43AD0">
        <w:rPr>
          <w:rFonts w:ascii="Arial" w:hAnsi="Arial" w:cs="Arial"/>
          <w:szCs w:val="22"/>
        </w:rPr>
        <w:t>Z</w:t>
      </w:r>
      <w:r w:rsidRPr="00AF3FEE">
        <w:rPr>
          <w:rFonts w:ascii="Arial" w:hAnsi="Arial" w:cs="Arial"/>
          <w:szCs w:val="22"/>
        </w:rPr>
        <w:t>akona o varstvu okolja, ki se nanašajo na trgovanje z emisijskimi kuponi. Oblikovanje sistema je v pristojnosti EU.</w:t>
      </w:r>
    </w:p>
    <w:p w14:paraId="11F31CD4" w14:textId="7FB5D823" w:rsidR="00AF3FEE" w:rsidRPr="00AF3FEE" w:rsidRDefault="00AF3FEE" w:rsidP="00AF3FEE">
      <w:pPr>
        <w:pStyle w:val="BodyText"/>
        <w:rPr>
          <w:rFonts w:ascii="Arial" w:hAnsi="Arial" w:cs="Arial"/>
          <w:szCs w:val="22"/>
        </w:rPr>
      </w:pPr>
      <w:r w:rsidRPr="00AF3FEE">
        <w:rPr>
          <w:rFonts w:ascii="Arial" w:hAnsi="Arial" w:cs="Arial"/>
          <w:szCs w:val="22"/>
        </w:rPr>
        <w:t>V obdobju 2013</w:t>
      </w:r>
      <w:r w:rsidR="00D9504C">
        <w:rPr>
          <w:rFonts w:ascii="Arial" w:hAnsi="Arial" w:cs="Arial"/>
          <w:szCs w:val="22"/>
        </w:rPr>
        <w:t>–</w:t>
      </w:r>
      <w:r w:rsidRPr="00AF3FEE">
        <w:rPr>
          <w:rFonts w:ascii="Arial" w:hAnsi="Arial" w:cs="Arial"/>
          <w:szCs w:val="22"/>
        </w:rPr>
        <w:t>2020 je bilo v Sloveniji v EU ETS vključenih 49 upravljavcev</w:t>
      </w:r>
      <w:r w:rsidR="00D9504C">
        <w:rPr>
          <w:rFonts w:ascii="Arial" w:hAnsi="Arial" w:cs="Arial"/>
          <w:szCs w:val="22"/>
        </w:rPr>
        <w:t>,</w:t>
      </w:r>
      <w:r w:rsidRPr="00AF3FEE">
        <w:rPr>
          <w:rFonts w:ascii="Arial" w:hAnsi="Arial" w:cs="Arial"/>
          <w:szCs w:val="22"/>
        </w:rPr>
        <w:t xml:space="preserve"> in sicer upravlja</w:t>
      </w:r>
      <w:r w:rsidR="0018668B">
        <w:rPr>
          <w:rFonts w:ascii="Arial" w:hAnsi="Arial" w:cs="Arial"/>
          <w:szCs w:val="22"/>
        </w:rPr>
        <w:t>v</w:t>
      </w:r>
      <w:r w:rsidRPr="00AF3FEE">
        <w:rPr>
          <w:rFonts w:ascii="Arial" w:hAnsi="Arial" w:cs="Arial"/>
          <w:szCs w:val="22"/>
        </w:rPr>
        <w:t xml:space="preserve">ci vseh termoelektrarn in toplarn (Termoelektrarna Šoštanj, Termoelektrarna Brestanica, Energetika Ljubljana), proizvodnje jekla, stekla, keramike, cementa, apna, papirja in podobno. Med </w:t>
      </w:r>
      <w:r w:rsidR="00D9504C" w:rsidRPr="00AF3FEE">
        <w:rPr>
          <w:rFonts w:ascii="Arial" w:hAnsi="Arial" w:cs="Arial"/>
          <w:szCs w:val="22"/>
        </w:rPr>
        <w:t>let</w:t>
      </w:r>
      <w:r w:rsidR="00D9504C">
        <w:rPr>
          <w:rFonts w:ascii="Arial" w:hAnsi="Arial" w:cs="Arial"/>
          <w:szCs w:val="22"/>
        </w:rPr>
        <w:t>oma</w:t>
      </w:r>
      <w:r w:rsidR="00D9504C" w:rsidRPr="00AF3FEE">
        <w:rPr>
          <w:rFonts w:ascii="Arial" w:hAnsi="Arial" w:cs="Arial"/>
          <w:szCs w:val="22"/>
        </w:rPr>
        <w:t xml:space="preserve"> </w:t>
      </w:r>
      <w:r w:rsidRPr="00AF3FEE">
        <w:rPr>
          <w:rFonts w:ascii="Arial" w:hAnsi="Arial" w:cs="Arial"/>
          <w:szCs w:val="22"/>
        </w:rPr>
        <w:t xml:space="preserve">2021 in 2025 je </w:t>
      </w:r>
      <w:r w:rsidR="00C43AD0">
        <w:rPr>
          <w:rFonts w:ascii="Arial" w:hAnsi="Arial" w:cs="Arial"/>
          <w:szCs w:val="22"/>
        </w:rPr>
        <w:t xml:space="preserve">bilo </w:t>
      </w:r>
      <w:r w:rsidRPr="00AF3FEE">
        <w:rPr>
          <w:rFonts w:ascii="Arial" w:hAnsi="Arial" w:cs="Arial"/>
          <w:szCs w:val="22"/>
        </w:rPr>
        <w:t xml:space="preserve">v sistem vključenih 34 upravljavcev. </w:t>
      </w:r>
    </w:p>
    <w:p w14:paraId="36A5B354" w14:textId="4143C7FF" w:rsidR="00AF3FEE" w:rsidRPr="00AF3FEE" w:rsidRDefault="00AF3FEE" w:rsidP="00AF3FEE">
      <w:pPr>
        <w:pStyle w:val="BodyText"/>
        <w:rPr>
          <w:rFonts w:ascii="Arial" w:hAnsi="Arial" w:cs="Arial"/>
          <w:szCs w:val="22"/>
        </w:rPr>
      </w:pPr>
      <w:r w:rsidRPr="00AF3FEE">
        <w:rPr>
          <w:rFonts w:ascii="Arial" w:hAnsi="Arial" w:cs="Arial"/>
          <w:szCs w:val="22"/>
        </w:rPr>
        <w:t>V četrtem obdobju (2021</w:t>
      </w:r>
      <w:r w:rsidR="00D9504C">
        <w:rPr>
          <w:rFonts w:ascii="Arial" w:hAnsi="Arial" w:cs="Arial"/>
          <w:szCs w:val="22"/>
        </w:rPr>
        <w:t>–</w:t>
      </w:r>
      <w:r w:rsidRPr="00AF3FEE">
        <w:rPr>
          <w:rFonts w:ascii="Arial" w:hAnsi="Arial" w:cs="Arial"/>
          <w:szCs w:val="22"/>
        </w:rPr>
        <w:t xml:space="preserve">2030) so se brezplačno podeljene pravice zmanjševale s stopnjo 2,2 % do </w:t>
      </w:r>
      <w:r w:rsidR="00C43AD0">
        <w:rPr>
          <w:rFonts w:ascii="Arial" w:hAnsi="Arial" w:cs="Arial"/>
          <w:szCs w:val="22"/>
        </w:rPr>
        <w:t xml:space="preserve">leta </w:t>
      </w:r>
      <w:r w:rsidRPr="00AF3FEE">
        <w:rPr>
          <w:rFonts w:ascii="Arial" w:hAnsi="Arial" w:cs="Arial"/>
          <w:szCs w:val="22"/>
        </w:rPr>
        <w:t>2025. Revidirana direktiva o sistemu EU za trgovanje z emisijami iz leta 2023 pa je povečala ambicij</w:t>
      </w:r>
      <w:r w:rsidR="00D9504C">
        <w:rPr>
          <w:rFonts w:ascii="Arial" w:hAnsi="Arial" w:cs="Arial"/>
          <w:szCs w:val="22"/>
        </w:rPr>
        <w:t>e</w:t>
      </w:r>
      <w:r w:rsidRPr="00AF3FEE">
        <w:rPr>
          <w:rFonts w:ascii="Arial" w:hAnsi="Arial" w:cs="Arial"/>
          <w:szCs w:val="22"/>
        </w:rPr>
        <w:t xml:space="preserve"> v </w:t>
      </w:r>
      <w:r w:rsidR="00D9504C">
        <w:rPr>
          <w:rFonts w:ascii="Arial" w:hAnsi="Arial" w:cs="Arial"/>
          <w:szCs w:val="22"/>
        </w:rPr>
        <w:t>veljavn</w:t>
      </w:r>
      <w:r w:rsidR="00D9504C" w:rsidRPr="00AF3FEE">
        <w:rPr>
          <w:rFonts w:ascii="Arial" w:hAnsi="Arial" w:cs="Arial"/>
          <w:szCs w:val="22"/>
        </w:rPr>
        <w:t xml:space="preserve">em </w:t>
      </w:r>
      <w:r w:rsidRPr="00AF3FEE">
        <w:rPr>
          <w:rFonts w:ascii="Arial" w:hAnsi="Arial" w:cs="Arial"/>
          <w:szCs w:val="22"/>
        </w:rPr>
        <w:t xml:space="preserve">sistemu </w:t>
      </w:r>
      <w:r w:rsidR="00D9504C">
        <w:rPr>
          <w:rFonts w:ascii="Arial" w:hAnsi="Arial" w:cs="Arial"/>
          <w:szCs w:val="22"/>
        </w:rPr>
        <w:t>s</w:t>
      </w:r>
      <w:r w:rsidR="00D9504C" w:rsidRPr="00AF3FEE">
        <w:rPr>
          <w:rFonts w:ascii="Arial" w:hAnsi="Arial" w:cs="Arial"/>
          <w:szCs w:val="22"/>
        </w:rPr>
        <w:t xml:space="preserve"> </w:t>
      </w:r>
      <w:r w:rsidRPr="00AF3FEE">
        <w:rPr>
          <w:rFonts w:ascii="Arial" w:hAnsi="Arial" w:cs="Arial"/>
          <w:szCs w:val="22"/>
        </w:rPr>
        <w:t xml:space="preserve">43 na 62 % zmanjšanja emisij do leta 2030 v primerjavi z ravnmi iz leta 2005, zato se z letom linearni </w:t>
      </w:r>
      <w:r w:rsidR="00C43AD0">
        <w:rPr>
          <w:rFonts w:ascii="Arial" w:hAnsi="Arial" w:cs="Arial"/>
          <w:szCs w:val="22"/>
        </w:rPr>
        <w:t>dejavnik</w:t>
      </w:r>
      <w:r w:rsidR="00C43AD0" w:rsidRPr="00AF3FEE">
        <w:rPr>
          <w:rFonts w:ascii="Arial" w:hAnsi="Arial" w:cs="Arial"/>
          <w:szCs w:val="22"/>
        </w:rPr>
        <w:t xml:space="preserve"> </w:t>
      </w:r>
      <w:r w:rsidRPr="00AF3FEE">
        <w:rPr>
          <w:rFonts w:ascii="Arial" w:hAnsi="Arial" w:cs="Arial"/>
          <w:szCs w:val="22"/>
        </w:rPr>
        <w:t>zmanjšanja povečuje na 4,3</w:t>
      </w:r>
      <w:r w:rsidR="00D9504C">
        <w:rPr>
          <w:rFonts w:ascii="Arial" w:hAnsi="Arial" w:cs="Arial"/>
          <w:szCs w:val="22"/>
        </w:rPr>
        <w:t xml:space="preserve"> </w:t>
      </w:r>
      <w:r w:rsidRPr="00AF3FEE">
        <w:rPr>
          <w:rFonts w:ascii="Arial" w:hAnsi="Arial" w:cs="Arial"/>
          <w:szCs w:val="22"/>
        </w:rPr>
        <w:t>% za obdobje 2024</w:t>
      </w:r>
      <w:r w:rsidR="00D9504C">
        <w:rPr>
          <w:rFonts w:ascii="Arial" w:hAnsi="Arial" w:cs="Arial"/>
          <w:szCs w:val="22"/>
        </w:rPr>
        <w:t>–20</w:t>
      </w:r>
      <w:r w:rsidRPr="00AF3FEE">
        <w:rPr>
          <w:rFonts w:ascii="Arial" w:hAnsi="Arial" w:cs="Arial"/>
          <w:szCs w:val="22"/>
        </w:rPr>
        <w:t xml:space="preserve">27 in </w:t>
      </w:r>
      <w:r w:rsidR="00D9504C">
        <w:rPr>
          <w:rFonts w:ascii="Arial" w:hAnsi="Arial" w:cs="Arial"/>
          <w:szCs w:val="22"/>
        </w:rPr>
        <w:t xml:space="preserve">na </w:t>
      </w:r>
      <w:r w:rsidRPr="00AF3FEE">
        <w:rPr>
          <w:rFonts w:ascii="Arial" w:hAnsi="Arial" w:cs="Arial"/>
          <w:szCs w:val="22"/>
        </w:rPr>
        <w:t>4,4</w:t>
      </w:r>
      <w:r w:rsidR="00D9504C">
        <w:rPr>
          <w:rFonts w:ascii="Arial" w:hAnsi="Arial" w:cs="Arial"/>
          <w:szCs w:val="22"/>
        </w:rPr>
        <w:t xml:space="preserve"> </w:t>
      </w:r>
      <w:r w:rsidRPr="00AF3FEE">
        <w:rPr>
          <w:rFonts w:ascii="Arial" w:hAnsi="Arial" w:cs="Arial"/>
          <w:szCs w:val="22"/>
        </w:rPr>
        <w:t>% za obdobje 2028</w:t>
      </w:r>
      <w:r w:rsidR="00D9504C">
        <w:rPr>
          <w:rFonts w:ascii="Arial" w:hAnsi="Arial" w:cs="Arial"/>
          <w:szCs w:val="22"/>
        </w:rPr>
        <w:t>–20</w:t>
      </w:r>
      <w:r w:rsidRPr="00AF3FEE">
        <w:rPr>
          <w:rFonts w:ascii="Arial" w:hAnsi="Arial" w:cs="Arial"/>
          <w:szCs w:val="22"/>
        </w:rPr>
        <w:t>30. Hkrati se je še dodatno zmanjšalo število sektorjev, za katere obstaja</w:t>
      </w:r>
      <w:r w:rsidR="00DC3569">
        <w:rPr>
          <w:rFonts w:ascii="Arial" w:hAnsi="Arial" w:cs="Arial"/>
          <w:szCs w:val="22"/>
        </w:rPr>
        <w:t>tako imenovana</w:t>
      </w:r>
      <w:r w:rsidRPr="00AF3FEE">
        <w:rPr>
          <w:rFonts w:ascii="Arial" w:hAnsi="Arial" w:cs="Arial"/>
          <w:szCs w:val="22"/>
        </w:rPr>
        <w:t xml:space="preserve"> nevarnost uhajanja ogljika, saj bi podjetja v primeru večjega omejevanja emisij TGP proizvodnjo preselila in izpuščala TGP drugje. Podjetja so v sektorjih, </w:t>
      </w:r>
      <w:r w:rsidR="00D9504C">
        <w:rPr>
          <w:rFonts w:ascii="Arial" w:hAnsi="Arial" w:cs="Arial"/>
          <w:szCs w:val="22"/>
        </w:rPr>
        <w:t>v katerih</w:t>
      </w:r>
      <w:r w:rsidR="00D9504C" w:rsidRPr="00AF3FEE">
        <w:rPr>
          <w:rFonts w:ascii="Arial" w:hAnsi="Arial" w:cs="Arial"/>
          <w:szCs w:val="22"/>
        </w:rPr>
        <w:t xml:space="preserve"> </w:t>
      </w:r>
      <w:r w:rsidRPr="00AF3FEE">
        <w:rPr>
          <w:rFonts w:ascii="Arial" w:hAnsi="Arial" w:cs="Arial"/>
          <w:szCs w:val="22"/>
        </w:rPr>
        <w:t xml:space="preserve">obstaja nevarnost uhajanja ogljika, upravičena do letne količine okoli 70 % brezplačnih kuponov glede na potrebe, do konca leta 2030 pa </w:t>
      </w:r>
      <w:r w:rsidR="00C43AD0">
        <w:rPr>
          <w:rFonts w:ascii="Arial" w:hAnsi="Arial" w:cs="Arial"/>
          <w:szCs w:val="22"/>
        </w:rPr>
        <w:t xml:space="preserve">do letne količine </w:t>
      </w:r>
      <w:r w:rsidRPr="00AF3FEE">
        <w:rPr>
          <w:rFonts w:ascii="Arial" w:hAnsi="Arial" w:cs="Arial"/>
          <w:szCs w:val="22"/>
        </w:rPr>
        <w:t>okoli 50</w:t>
      </w:r>
      <w:r w:rsidR="00D9504C">
        <w:rPr>
          <w:rFonts w:ascii="Arial" w:hAnsi="Arial" w:cs="Arial"/>
          <w:szCs w:val="22"/>
        </w:rPr>
        <w:t xml:space="preserve"> </w:t>
      </w:r>
      <w:r w:rsidRPr="00AF3FEE">
        <w:rPr>
          <w:rFonts w:ascii="Arial" w:hAnsi="Arial" w:cs="Arial"/>
          <w:szCs w:val="22"/>
        </w:rPr>
        <w:t>%. Za podjetja brez nevarnosti uhajanja ogljika znaša raven brezplačno podeljenih kuponov okoli 20</w:t>
      </w:r>
      <w:r w:rsidR="00D9504C">
        <w:rPr>
          <w:rFonts w:ascii="Arial" w:hAnsi="Arial" w:cs="Arial"/>
          <w:szCs w:val="22"/>
        </w:rPr>
        <w:t xml:space="preserve"> </w:t>
      </w:r>
      <w:r w:rsidRPr="00AF3FEE">
        <w:rPr>
          <w:rFonts w:ascii="Arial" w:hAnsi="Arial" w:cs="Arial"/>
          <w:szCs w:val="22"/>
        </w:rPr>
        <w:t>% v obdobju 2021</w:t>
      </w:r>
      <w:r w:rsidR="00D9504C">
        <w:rPr>
          <w:rFonts w:ascii="Arial" w:hAnsi="Arial" w:cs="Arial"/>
          <w:szCs w:val="22"/>
        </w:rPr>
        <w:t>–</w:t>
      </w:r>
      <w:r w:rsidRPr="00AF3FEE">
        <w:rPr>
          <w:rFonts w:ascii="Arial" w:hAnsi="Arial" w:cs="Arial"/>
          <w:szCs w:val="22"/>
        </w:rPr>
        <w:t xml:space="preserve">2025, potem pa se bo število linearno zmanjševalo, tako da do konca leta 2030 brezplačnih kuponov ne bo več. </w:t>
      </w:r>
    </w:p>
    <w:p w14:paraId="0DDD6DD8" w14:textId="70ACD507" w:rsidR="00AF3FEE" w:rsidRPr="00AF3FEE" w:rsidRDefault="00AF3FEE" w:rsidP="00AF3FEE">
      <w:pPr>
        <w:pStyle w:val="BodyText"/>
        <w:rPr>
          <w:rFonts w:ascii="Arial" w:hAnsi="Arial" w:cs="Arial"/>
          <w:szCs w:val="22"/>
        </w:rPr>
      </w:pPr>
      <w:r w:rsidRPr="00AF3FEE">
        <w:rPr>
          <w:rFonts w:ascii="Arial" w:hAnsi="Arial" w:cs="Arial"/>
          <w:szCs w:val="22"/>
        </w:rPr>
        <w:lastRenderedPageBreak/>
        <w:t>Emisije sektorja EU ETS v Sloveniji so se v obdobju 2005−2022 zmanjšale za 44 %</w:t>
      </w:r>
      <w:bookmarkStart w:id="58" w:name="_Ref192490331"/>
      <w:r w:rsidR="00D9504C">
        <w:rPr>
          <w:rFonts w:ascii="Arial" w:hAnsi="Arial" w:cs="Arial"/>
          <w:szCs w:val="22"/>
        </w:rPr>
        <w:t>,</w:t>
      </w:r>
      <w:r w:rsidRPr="00AF3FEE">
        <w:rPr>
          <w:rStyle w:val="FootnoteReference"/>
          <w:rFonts w:ascii="Arial" w:hAnsi="Arial" w:cs="Arial"/>
          <w:szCs w:val="22"/>
        </w:rPr>
        <w:footnoteReference w:id="32"/>
      </w:r>
      <w:bookmarkEnd w:id="58"/>
      <w:r w:rsidRPr="00AF3FEE">
        <w:rPr>
          <w:rFonts w:ascii="Arial" w:hAnsi="Arial" w:cs="Arial"/>
          <w:szCs w:val="22"/>
        </w:rPr>
        <w:t xml:space="preserve"> na področju transformacij za 49 %, </w:t>
      </w:r>
      <w:r w:rsidR="00D9504C">
        <w:rPr>
          <w:rFonts w:ascii="Arial" w:hAnsi="Arial" w:cs="Arial"/>
          <w:szCs w:val="22"/>
        </w:rPr>
        <w:t xml:space="preserve">na področju </w:t>
      </w:r>
      <w:r w:rsidRPr="00AF3FEE">
        <w:rPr>
          <w:rFonts w:ascii="Arial" w:hAnsi="Arial" w:cs="Arial"/>
          <w:szCs w:val="22"/>
        </w:rPr>
        <w:t xml:space="preserve">rabe goriv in procesne emisije v industriji pa za 33 %. Sektor EU ETS </w:t>
      </w:r>
      <w:r w:rsidR="00D9504C">
        <w:rPr>
          <w:rFonts w:ascii="Arial" w:hAnsi="Arial" w:cs="Arial"/>
          <w:szCs w:val="22"/>
        </w:rPr>
        <w:t>pr</w:t>
      </w:r>
      <w:r w:rsidR="00C43AD0">
        <w:rPr>
          <w:rFonts w:ascii="Arial" w:hAnsi="Arial" w:cs="Arial"/>
          <w:szCs w:val="22"/>
        </w:rPr>
        <w:t>ispeva</w:t>
      </w:r>
      <w:r w:rsidR="00D9504C" w:rsidRPr="00AF3FEE">
        <w:rPr>
          <w:rFonts w:ascii="Arial" w:hAnsi="Arial" w:cs="Arial"/>
          <w:szCs w:val="22"/>
        </w:rPr>
        <w:t xml:space="preserve"> </w:t>
      </w:r>
      <w:r w:rsidRPr="00AF3FEE">
        <w:rPr>
          <w:rFonts w:ascii="Arial" w:hAnsi="Arial" w:cs="Arial"/>
          <w:szCs w:val="22"/>
        </w:rPr>
        <w:t>31</w:t>
      </w:r>
      <w:r w:rsidR="00C43AD0">
        <w:rPr>
          <w:rFonts w:ascii="Arial" w:hAnsi="Arial" w:cs="Arial"/>
          <w:szCs w:val="22"/>
        </w:rPr>
        <w:t xml:space="preserve"> </w:t>
      </w:r>
      <w:r w:rsidRPr="00AF3FEE">
        <w:rPr>
          <w:rFonts w:ascii="Arial" w:hAnsi="Arial" w:cs="Arial"/>
          <w:szCs w:val="22"/>
        </w:rPr>
        <w:t>% vseh emisij.</w:t>
      </w:r>
    </w:p>
    <w:p w14:paraId="02CBA029" w14:textId="3E227AE9" w:rsidR="00AF3FEE" w:rsidRPr="00AF3FEE" w:rsidRDefault="00AF3FEE" w:rsidP="0038553C">
      <w:pPr>
        <w:pStyle w:val="Caption"/>
        <w:ind w:left="0" w:firstLine="0"/>
        <w:jc w:val="both"/>
        <w:rPr>
          <w:rFonts w:ascii="Arial" w:hAnsi="Arial" w:cs="Arial"/>
          <w:szCs w:val="22"/>
        </w:rPr>
      </w:pPr>
      <w:bookmarkStart w:id="59" w:name="_Hlk42617920"/>
    </w:p>
    <w:bookmarkEnd w:id="59"/>
    <w:tbl>
      <w:tblPr>
        <w:tblStyle w:val="TableGrid"/>
        <w:tblW w:w="8196" w:type="dxa"/>
        <w:tblInd w:w="421" w:type="dxa"/>
        <w:tblLayout w:type="fixed"/>
        <w:tblLook w:val="04A0" w:firstRow="1" w:lastRow="0" w:firstColumn="1" w:lastColumn="0" w:noHBand="0" w:noVBand="1"/>
      </w:tblPr>
      <w:tblGrid>
        <w:gridCol w:w="3539"/>
        <w:gridCol w:w="851"/>
        <w:gridCol w:w="850"/>
        <w:gridCol w:w="851"/>
        <w:gridCol w:w="992"/>
        <w:gridCol w:w="1106"/>
        <w:gridCol w:w="7"/>
      </w:tblGrid>
      <w:tr w:rsidR="00AF3FEE" w:rsidRPr="00AF3FEE" w14:paraId="2A9B8F6E" w14:textId="77777777" w:rsidTr="0038553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539" w:type="dxa"/>
            <w:shd w:val="clear" w:color="auto" w:fill="529DBA"/>
            <w:noWrap/>
          </w:tcPr>
          <w:p w14:paraId="58CBEA35" w14:textId="77777777" w:rsidR="00AF3FEE" w:rsidRPr="00842011" w:rsidRDefault="00AF3FEE" w:rsidP="00AF3FEE">
            <w:pPr>
              <w:pStyle w:val="tabela-9pt"/>
              <w:jc w:val="both"/>
              <w:rPr>
                <w:rFonts w:ascii="Arial" w:hAnsi="Arial" w:cs="Arial"/>
                <w:szCs w:val="18"/>
              </w:rPr>
            </w:pPr>
          </w:p>
        </w:tc>
        <w:tc>
          <w:tcPr>
            <w:tcW w:w="2552" w:type="dxa"/>
            <w:gridSpan w:val="3"/>
            <w:shd w:val="clear" w:color="auto" w:fill="529DBA"/>
            <w:noWrap/>
          </w:tcPr>
          <w:p w14:paraId="21E4DEA1" w14:textId="31756A3A" w:rsidR="00AF3FEE" w:rsidRPr="00842011" w:rsidRDefault="00AF3FEE" w:rsidP="00AF3FEE">
            <w:pPr>
              <w:pStyle w:val="tabela-9pt"/>
              <w:jc w:val="both"/>
              <w:cnfStyle w:val="100000000000" w:firstRow="1"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Letne emisije TGP oz</w:t>
            </w:r>
            <w:r w:rsidR="004F2B0D">
              <w:rPr>
                <w:rFonts w:ascii="Arial" w:hAnsi="Arial" w:cs="Arial"/>
                <w:szCs w:val="18"/>
              </w:rPr>
              <w:t>iroma</w:t>
            </w:r>
            <w:r w:rsidRPr="00842011">
              <w:rPr>
                <w:rFonts w:ascii="Arial" w:hAnsi="Arial" w:cs="Arial"/>
                <w:szCs w:val="18"/>
              </w:rPr>
              <w:t xml:space="preserve"> ponori</w:t>
            </w:r>
          </w:p>
        </w:tc>
        <w:tc>
          <w:tcPr>
            <w:tcW w:w="2105" w:type="dxa"/>
            <w:gridSpan w:val="3"/>
            <w:shd w:val="clear" w:color="auto" w:fill="529DBA"/>
            <w:noWrap/>
          </w:tcPr>
          <w:p w14:paraId="643D9C21" w14:textId="77777777" w:rsidR="00AF3FEE" w:rsidRPr="00842011" w:rsidRDefault="00AF3FEE" w:rsidP="00AF3FEE">
            <w:pPr>
              <w:pStyle w:val="tabela-9pt"/>
              <w:jc w:val="both"/>
              <w:cnfStyle w:val="100000000000" w:firstRow="1"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Sprememba</w:t>
            </w:r>
          </w:p>
        </w:tc>
      </w:tr>
      <w:tr w:rsidR="00AF3FEE" w:rsidRPr="00AF3FEE" w14:paraId="0CF53494"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tcPr>
          <w:p w14:paraId="2CDA48F4" w14:textId="77777777" w:rsidR="00AF3FEE" w:rsidRPr="00842011" w:rsidRDefault="00AF3FEE" w:rsidP="00AF3FEE">
            <w:pPr>
              <w:pStyle w:val="tabela-9pt"/>
              <w:jc w:val="both"/>
              <w:rPr>
                <w:rFonts w:ascii="Arial" w:hAnsi="Arial" w:cs="Arial"/>
                <w:szCs w:val="18"/>
              </w:rPr>
            </w:pPr>
          </w:p>
        </w:tc>
        <w:tc>
          <w:tcPr>
            <w:tcW w:w="851" w:type="dxa"/>
            <w:noWrap/>
          </w:tcPr>
          <w:p w14:paraId="4D2D71E3"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2005</w:t>
            </w:r>
          </w:p>
        </w:tc>
        <w:tc>
          <w:tcPr>
            <w:tcW w:w="850" w:type="dxa"/>
            <w:noWrap/>
          </w:tcPr>
          <w:p w14:paraId="6376E29C"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2021</w:t>
            </w:r>
          </w:p>
        </w:tc>
        <w:tc>
          <w:tcPr>
            <w:tcW w:w="851" w:type="dxa"/>
            <w:noWrap/>
          </w:tcPr>
          <w:p w14:paraId="62E07002"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2022</w:t>
            </w:r>
          </w:p>
        </w:tc>
        <w:tc>
          <w:tcPr>
            <w:tcW w:w="992" w:type="dxa"/>
            <w:noWrap/>
          </w:tcPr>
          <w:p w14:paraId="5735E7CC" w14:textId="0078F024"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2005</w:t>
            </w:r>
            <w:r w:rsidR="00D9504C">
              <w:rPr>
                <w:rFonts w:ascii="Arial" w:hAnsi="Arial" w:cs="Arial"/>
                <w:szCs w:val="18"/>
              </w:rPr>
              <w:t>–</w:t>
            </w:r>
            <w:r w:rsidRPr="00842011">
              <w:rPr>
                <w:rFonts w:ascii="Arial" w:hAnsi="Arial" w:cs="Arial"/>
                <w:szCs w:val="18"/>
              </w:rPr>
              <w:t>2022</w:t>
            </w:r>
          </w:p>
        </w:tc>
        <w:tc>
          <w:tcPr>
            <w:tcW w:w="1106" w:type="dxa"/>
            <w:noWrap/>
          </w:tcPr>
          <w:p w14:paraId="4A0A6C9A" w14:textId="3AA149FA" w:rsidR="00AF3FEE" w:rsidRPr="00842011" w:rsidRDefault="00AF3FEE" w:rsidP="00D9504C">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2021</w:t>
            </w:r>
            <w:r w:rsidR="00D9504C">
              <w:rPr>
                <w:rFonts w:ascii="Arial" w:hAnsi="Arial" w:cs="Arial"/>
                <w:szCs w:val="18"/>
              </w:rPr>
              <w:t>–</w:t>
            </w:r>
            <w:r w:rsidRPr="00842011">
              <w:rPr>
                <w:rFonts w:ascii="Arial" w:hAnsi="Arial" w:cs="Arial"/>
                <w:szCs w:val="18"/>
              </w:rPr>
              <w:t>2022</w:t>
            </w:r>
          </w:p>
        </w:tc>
      </w:tr>
      <w:tr w:rsidR="00AF3FEE" w:rsidRPr="00AF3FEE" w14:paraId="08646FEF" w14:textId="77777777" w:rsidTr="0038553C">
        <w:trPr>
          <w:trHeight w:val="20"/>
        </w:trPr>
        <w:tc>
          <w:tcPr>
            <w:cnfStyle w:val="001000000000" w:firstRow="0" w:lastRow="0" w:firstColumn="1" w:lastColumn="0" w:oddVBand="0" w:evenVBand="0" w:oddHBand="0" w:evenHBand="0" w:firstRowFirstColumn="0" w:firstRowLastColumn="0" w:lastRowFirstColumn="0" w:lastRowLastColumn="0"/>
            <w:tcW w:w="3539" w:type="dxa"/>
            <w:noWrap/>
          </w:tcPr>
          <w:p w14:paraId="35EEC312" w14:textId="77777777" w:rsidR="00AF3FEE" w:rsidRPr="00842011" w:rsidRDefault="00AF3FEE" w:rsidP="00AF3FEE">
            <w:pPr>
              <w:pStyle w:val="tabela-9pt"/>
              <w:jc w:val="both"/>
              <w:rPr>
                <w:rFonts w:ascii="Arial" w:hAnsi="Arial" w:cs="Arial"/>
                <w:szCs w:val="18"/>
              </w:rPr>
            </w:pPr>
          </w:p>
        </w:tc>
        <w:tc>
          <w:tcPr>
            <w:tcW w:w="2552" w:type="dxa"/>
            <w:gridSpan w:val="3"/>
            <w:noWrap/>
          </w:tcPr>
          <w:p w14:paraId="23BE50F3" w14:textId="589FDECD" w:rsidR="00AF3FEE" w:rsidRPr="00842011" w:rsidRDefault="00C43AD0"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k</w:t>
            </w:r>
            <w:r w:rsidR="00AF3FEE" w:rsidRPr="00842011">
              <w:rPr>
                <w:rFonts w:ascii="Arial" w:hAnsi="Arial" w:cs="Arial"/>
                <w:szCs w:val="18"/>
              </w:rPr>
              <w:t>t</w:t>
            </w:r>
            <w:r w:rsidR="007032EB" w:rsidRPr="00842011">
              <w:rPr>
                <w:rFonts w:ascii="Arial" w:hAnsi="Arial" w:cs="Arial"/>
                <w:szCs w:val="18"/>
              </w:rPr>
              <w:t xml:space="preserve"> ekv.</w:t>
            </w:r>
            <w:r w:rsidR="00AF3FEE" w:rsidRPr="00842011">
              <w:rPr>
                <w:rFonts w:ascii="Arial" w:hAnsi="Arial" w:cs="Arial"/>
                <w:szCs w:val="18"/>
              </w:rPr>
              <w:t xml:space="preserve"> CO</w:t>
            </w:r>
            <w:r w:rsidR="00AF3FEE" w:rsidRPr="00842011">
              <w:rPr>
                <w:rFonts w:ascii="Arial" w:hAnsi="Arial" w:cs="Arial"/>
                <w:szCs w:val="18"/>
                <w:vertAlign w:val="subscript"/>
              </w:rPr>
              <w:t>2</w:t>
            </w:r>
          </w:p>
        </w:tc>
        <w:tc>
          <w:tcPr>
            <w:tcW w:w="2105" w:type="dxa"/>
            <w:gridSpan w:val="3"/>
            <w:noWrap/>
          </w:tcPr>
          <w:p w14:paraId="573431B9"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842011">
              <w:rPr>
                <w:rFonts w:ascii="Arial" w:hAnsi="Arial" w:cs="Arial"/>
                <w:szCs w:val="18"/>
              </w:rPr>
              <w:t>%</w:t>
            </w:r>
          </w:p>
        </w:tc>
      </w:tr>
      <w:tr w:rsidR="00AF3FEE" w:rsidRPr="00AF3FEE" w14:paraId="1ECB0198"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026E29E" w14:textId="77777777" w:rsidR="00AF3FEE" w:rsidRPr="00842011" w:rsidRDefault="00AF3FEE" w:rsidP="00AF3FEE">
            <w:pPr>
              <w:pStyle w:val="tabela-9pt"/>
              <w:jc w:val="both"/>
              <w:rPr>
                <w:rFonts w:ascii="Arial" w:hAnsi="Arial" w:cs="Arial"/>
                <w:color w:val="000000"/>
                <w:szCs w:val="18"/>
              </w:rPr>
            </w:pPr>
            <w:r w:rsidRPr="00842011">
              <w:rPr>
                <w:rFonts w:ascii="Arial" w:hAnsi="Arial" w:cs="Arial"/>
                <w:color w:val="000000"/>
                <w:szCs w:val="18"/>
              </w:rPr>
              <w:t>Emisije v EU ETS</w:t>
            </w:r>
          </w:p>
        </w:tc>
        <w:tc>
          <w:tcPr>
            <w:tcW w:w="851" w:type="dxa"/>
            <w:noWrap/>
            <w:hideMark/>
          </w:tcPr>
          <w:p w14:paraId="3ED0831E" w14:textId="083341C2"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8738</w:t>
            </w:r>
            <w:r w:rsidRPr="00842011">
              <w:rPr>
                <w:rFonts w:ascii="Arial" w:hAnsi="Arial" w:cs="Arial"/>
                <w:color w:val="000000" w:themeColor="text1"/>
                <w:szCs w:val="18"/>
                <w:vertAlign w:val="superscript"/>
              </w:rPr>
              <w:fldChar w:fldCharType="begin"/>
            </w:r>
            <w:r w:rsidRPr="00842011">
              <w:rPr>
                <w:rFonts w:ascii="Arial" w:hAnsi="Arial" w:cs="Arial"/>
                <w:color w:val="000000" w:themeColor="text1"/>
                <w:szCs w:val="18"/>
                <w:vertAlign w:val="superscript"/>
              </w:rPr>
              <w:instrText xml:space="preserve"> NOTEREF _Ref192490331 \h  \* MERGEFORMAT </w:instrText>
            </w:r>
            <w:r w:rsidRPr="00842011">
              <w:rPr>
                <w:rFonts w:ascii="Arial" w:hAnsi="Arial" w:cs="Arial"/>
                <w:color w:val="000000" w:themeColor="text1"/>
                <w:szCs w:val="18"/>
                <w:vertAlign w:val="superscript"/>
              </w:rPr>
            </w:r>
            <w:r w:rsidRPr="00842011">
              <w:rPr>
                <w:rFonts w:ascii="Arial" w:hAnsi="Arial" w:cs="Arial"/>
                <w:color w:val="000000" w:themeColor="text1"/>
                <w:szCs w:val="18"/>
                <w:vertAlign w:val="superscript"/>
              </w:rPr>
              <w:fldChar w:fldCharType="separate"/>
            </w:r>
            <w:r w:rsidRPr="00842011">
              <w:rPr>
                <w:rFonts w:ascii="Arial" w:hAnsi="Arial" w:cs="Arial"/>
                <w:color w:val="000000" w:themeColor="text1"/>
                <w:szCs w:val="18"/>
                <w:vertAlign w:val="superscript"/>
              </w:rPr>
              <w:t>2</w:t>
            </w:r>
            <w:r w:rsidRPr="00842011">
              <w:rPr>
                <w:rFonts w:ascii="Arial" w:hAnsi="Arial" w:cs="Arial"/>
                <w:color w:val="000000" w:themeColor="text1"/>
                <w:szCs w:val="18"/>
                <w:vertAlign w:val="superscript"/>
              </w:rPr>
              <w:fldChar w:fldCharType="end"/>
            </w:r>
          </w:p>
        </w:tc>
        <w:tc>
          <w:tcPr>
            <w:tcW w:w="850" w:type="dxa"/>
            <w:noWrap/>
            <w:hideMark/>
          </w:tcPr>
          <w:p w14:paraId="6042E6D2" w14:textId="316E5671"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5682</w:t>
            </w:r>
          </w:p>
        </w:tc>
        <w:tc>
          <w:tcPr>
            <w:tcW w:w="851" w:type="dxa"/>
            <w:noWrap/>
            <w:hideMark/>
          </w:tcPr>
          <w:p w14:paraId="019DE6BA" w14:textId="70F6F1E8"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4861</w:t>
            </w:r>
          </w:p>
        </w:tc>
        <w:tc>
          <w:tcPr>
            <w:tcW w:w="992" w:type="dxa"/>
            <w:noWrap/>
            <w:hideMark/>
          </w:tcPr>
          <w:p w14:paraId="21A91848" w14:textId="62F778A7"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44</w:t>
            </w:r>
          </w:p>
        </w:tc>
        <w:tc>
          <w:tcPr>
            <w:tcW w:w="1106" w:type="dxa"/>
            <w:noWrap/>
            <w:hideMark/>
          </w:tcPr>
          <w:p w14:paraId="6F154A29" w14:textId="08E7EF4E"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14</w:t>
            </w:r>
          </w:p>
        </w:tc>
      </w:tr>
      <w:tr w:rsidR="00AF3FEE" w:rsidRPr="00AF3FEE" w14:paraId="1314626D"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6D08D54B" w14:textId="77777777" w:rsidR="00AF3FEE" w:rsidRPr="00842011" w:rsidRDefault="00AF3FEE" w:rsidP="00AF3FEE">
            <w:pPr>
              <w:pStyle w:val="tabela-9pt"/>
              <w:jc w:val="both"/>
              <w:rPr>
                <w:rFonts w:ascii="Arial" w:hAnsi="Arial" w:cs="Arial"/>
                <w:color w:val="000000"/>
                <w:szCs w:val="18"/>
              </w:rPr>
            </w:pPr>
            <w:r w:rsidRPr="00842011">
              <w:rPr>
                <w:rFonts w:ascii="Arial" w:hAnsi="Arial" w:cs="Arial"/>
                <w:color w:val="000000"/>
                <w:szCs w:val="18"/>
              </w:rPr>
              <w:t>Proizvodnja električne energije in toplote</w:t>
            </w:r>
          </w:p>
        </w:tc>
        <w:tc>
          <w:tcPr>
            <w:tcW w:w="851" w:type="dxa"/>
            <w:noWrap/>
            <w:hideMark/>
          </w:tcPr>
          <w:p w14:paraId="06EB9D7A" w14:textId="44D438AF"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6301</w:t>
            </w:r>
          </w:p>
        </w:tc>
        <w:tc>
          <w:tcPr>
            <w:tcW w:w="850" w:type="dxa"/>
            <w:noWrap/>
            <w:hideMark/>
          </w:tcPr>
          <w:p w14:paraId="18051548" w14:textId="1C8F7801"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3987</w:t>
            </w:r>
          </w:p>
        </w:tc>
        <w:tc>
          <w:tcPr>
            <w:tcW w:w="851" w:type="dxa"/>
            <w:noWrap/>
            <w:hideMark/>
          </w:tcPr>
          <w:p w14:paraId="160E3B55" w14:textId="46FB7D74"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3230</w:t>
            </w:r>
          </w:p>
        </w:tc>
        <w:tc>
          <w:tcPr>
            <w:tcW w:w="992" w:type="dxa"/>
            <w:noWrap/>
            <w:hideMark/>
          </w:tcPr>
          <w:p w14:paraId="3B06ECFE" w14:textId="1B57C6BD"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49</w:t>
            </w:r>
          </w:p>
        </w:tc>
        <w:tc>
          <w:tcPr>
            <w:tcW w:w="1106" w:type="dxa"/>
            <w:noWrap/>
            <w:hideMark/>
          </w:tcPr>
          <w:p w14:paraId="13BEA032" w14:textId="102C266C"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19</w:t>
            </w:r>
          </w:p>
        </w:tc>
      </w:tr>
      <w:tr w:rsidR="00AF3FEE" w:rsidRPr="00AF3FEE" w14:paraId="61CA34AC"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1010B549" w14:textId="77777777" w:rsidR="00AF3FEE" w:rsidRPr="00842011" w:rsidRDefault="00AF3FEE" w:rsidP="00AF3FEE">
            <w:pPr>
              <w:pStyle w:val="tabela-9pt"/>
              <w:jc w:val="both"/>
              <w:rPr>
                <w:rFonts w:ascii="Arial" w:hAnsi="Arial" w:cs="Arial"/>
                <w:color w:val="000000"/>
                <w:szCs w:val="18"/>
              </w:rPr>
            </w:pPr>
            <w:r w:rsidRPr="00842011">
              <w:rPr>
                <w:rFonts w:ascii="Arial" w:hAnsi="Arial" w:cs="Arial"/>
                <w:color w:val="000000"/>
                <w:szCs w:val="18"/>
              </w:rPr>
              <w:t>Industrija</w:t>
            </w:r>
          </w:p>
        </w:tc>
        <w:tc>
          <w:tcPr>
            <w:tcW w:w="851" w:type="dxa"/>
            <w:noWrap/>
            <w:hideMark/>
          </w:tcPr>
          <w:p w14:paraId="6C076225" w14:textId="08CABF8D"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2437</w:t>
            </w:r>
          </w:p>
        </w:tc>
        <w:tc>
          <w:tcPr>
            <w:tcW w:w="850" w:type="dxa"/>
            <w:noWrap/>
            <w:hideMark/>
          </w:tcPr>
          <w:p w14:paraId="724D2138" w14:textId="65232E2E"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1695</w:t>
            </w:r>
          </w:p>
        </w:tc>
        <w:tc>
          <w:tcPr>
            <w:tcW w:w="851" w:type="dxa"/>
            <w:noWrap/>
            <w:hideMark/>
          </w:tcPr>
          <w:p w14:paraId="1400643F" w14:textId="11AF9020"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1631</w:t>
            </w:r>
          </w:p>
        </w:tc>
        <w:tc>
          <w:tcPr>
            <w:tcW w:w="992" w:type="dxa"/>
            <w:noWrap/>
            <w:hideMark/>
          </w:tcPr>
          <w:p w14:paraId="6E1284F3" w14:textId="7D0E6057" w:rsidR="00AF3FEE" w:rsidRPr="00842011" w:rsidRDefault="00B84200"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33</w:t>
            </w:r>
          </w:p>
        </w:tc>
        <w:tc>
          <w:tcPr>
            <w:tcW w:w="1106" w:type="dxa"/>
            <w:noWrap/>
            <w:hideMark/>
          </w:tcPr>
          <w:p w14:paraId="578343BB" w14:textId="3FCCC89A"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4</w:t>
            </w:r>
          </w:p>
        </w:tc>
      </w:tr>
      <w:tr w:rsidR="00AF3FEE" w:rsidRPr="00AF3FEE" w14:paraId="29B6DBE1"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25539F39" w14:textId="77777777" w:rsidR="00AF3FEE" w:rsidRPr="00842011" w:rsidRDefault="00AF3FEE" w:rsidP="00AF3FEE">
            <w:pPr>
              <w:pStyle w:val="tabela-9pt"/>
              <w:jc w:val="both"/>
              <w:rPr>
                <w:rFonts w:ascii="Arial" w:hAnsi="Arial" w:cs="Arial"/>
                <w:i/>
                <w:iCs/>
                <w:color w:val="000000"/>
                <w:szCs w:val="18"/>
              </w:rPr>
            </w:pPr>
            <w:r w:rsidRPr="00842011">
              <w:rPr>
                <w:rFonts w:ascii="Arial" w:hAnsi="Arial" w:cs="Arial"/>
                <w:i/>
                <w:iCs/>
                <w:color w:val="000000"/>
                <w:szCs w:val="18"/>
              </w:rPr>
              <w:t>Delež EU ETS v skupnih emisijah</w:t>
            </w:r>
          </w:p>
        </w:tc>
        <w:tc>
          <w:tcPr>
            <w:tcW w:w="851" w:type="dxa"/>
            <w:noWrap/>
          </w:tcPr>
          <w:p w14:paraId="14102766" w14:textId="1F606A88"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Cs w:val="18"/>
              </w:rPr>
            </w:pPr>
            <w:r w:rsidRPr="00842011">
              <w:rPr>
                <w:rFonts w:ascii="Arial" w:hAnsi="Arial" w:cs="Arial"/>
                <w:color w:val="000000" w:themeColor="text1"/>
                <w:szCs w:val="18"/>
              </w:rPr>
              <w:t>42</w:t>
            </w:r>
            <w:r w:rsidR="00D9504C">
              <w:rPr>
                <w:rFonts w:ascii="Arial" w:hAnsi="Arial" w:cs="Arial"/>
                <w:color w:val="000000" w:themeColor="text1"/>
                <w:szCs w:val="18"/>
              </w:rPr>
              <w:t xml:space="preserve"> </w:t>
            </w:r>
            <w:r w:rsidRPr="00842011">
              <w:rPr>
                <w:rFonts w:ascii="Arial" w:hAnsi="Arial" w:cs="Arial"/>
                <w:color w:val="000000" w:themeColor="text1"/>
                <w:szCs w:val="18"/>
              </w:rPr>
              <w:t>%</w:t>
            </w:r>
          </w:p>
        </w:tc>
        <w:tc>
          <w:tcPr>
            <w:tcW w:w="850" w:type="dxa"/>
            <w:noWrap/>
          </w:tcPr>
          <w:p w14:paraId="4AC437CA" w14:textId="50E3A0C6"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Cs w:val="18"/>
              </w:rPr>
            </w:pPr>
            <w:r w:rsidRPr="00842011">
              <w:rPr>
                <w:rFonts w:ascii="Arial" w:hAnsi="Arial" w:cs="Arial"/>
                <w:color w:val="000000" w:themeColor="text1"/>
                <w:szCs w:val="18"/>
              </w:rPr>
              <w:t>35</w:t>
            </w:r>
            <w:r w:rsidR="00D9504C">
              <w:rPr>
                <w:rFonts w:ascii="Arial" w:hAnsi="Arial" w:cs="Arial"/>
                <w:color w:val="000000" w:themeColor="text1"/>
                <w:szCs w:val="18"/>
              </w:rPr>
              <w:t xml:space="preserve"> </w:t>
            </w:r>
            <w:r w:rsidRPr="00842011">
              <w:rPr>
                <w:rFonts w:ascii="Arial" w:hAnsi="Arial" w:cs="Arial"/>
                <w:color w:val="000000" w:themeColor="text1"/>
                <w:szCs w:val="18"/>
              </w:rPr>
              <w:t>%</w:t>
            </w:r>
          </w:p>
        </w:tc>
        <w:tc>
          <w:tcPr>
            <w:tcW w:w="851" w:type="dxa"/>
            <w:noWrap/>
          </w:tcPr>
          <w:p w14:paraId="649D2203" w14:textId="479B9CB4"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i/>
                <w:iCs/>
                <w:color w:val="000000"/>
                <w:szCs w:val="18"/>
              </w:rPr>
            </w:pPr>
            <w:r w:rsidRPr="00842011">
              <w:rPr>
                <w:rFonts w:ascii="Arial" w:hAnsi="Arial" w:cs="Arial"/>
                <w:color w:val="000000" w:themeColor="text1"/>
                <w:szCs w:val="18"/>
              </w:rPr>
              <w:t>31</w:t>
            </w:r>
            <w:r w:rsidR="00D9504C">
              <w:rPr>
                <w:rFonts w:ascii="Arial" w:hAnsi="Arial" w:cs="Arial"/>
                <w:color w:val="000000" w:themeColor="text1"/>
                <w:szCs w:val="18"/>
              </w:rPr>
              <w:t xml:space="preserve"> </w:t>
            </w:r>
            <w:r w:rsidRPr="00842011">
              <w:rPr>
                <w:rFonts w:ascii="Arial" w:hAnsi="Arial" w:cs="Arial"/>
                <w:color w:val="000000" w:themeColor="text1"/>
                <w:szCs w:val="18"/>
              </w:rPr>
              <w:t>%</w:t>
            </w:r>
          </w:p>
        </w:tc>
        <w:tc>
          <w:tcPr>
            <w:tcW w:w="992" w:type="dxa"/>
            <w:noWrap/>
          </w:tcPr>
          <w:p w14:paraId="7B2EC0ED"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szCs w:val="18"/>
              </w:rPr>
              <w:t> </w:t>
            </w:r>
          </w:p>
        </w:tc>
        <w:tc>
          <w:tcPr>
            <w:tcW w:w="1106" w:type="dxa"/>
            <w:noWrap/>
          </w:tcPr>
          <w:p w14:paraId="4BAC3D42"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szCs w:val="18"/>
              </w:rPr>
              <w:t> </w:t>
            </w:r>
          </w:p>
        </w:tc>
      </w:tr>
      <w:tr w:rsidR="00AF3FEE" w:rsidRPr="00AF3FEE" w14:paraId="49BAFCDA" w14:textId="77777777" w:rsidTr="0038553C">
        <w:trPr>
          <w:gridAfter w:val="1"/>
          <w:wAfter w:w="7" w:type="dxa"/>
          <w:trHeight w:val="20"/>
        </w:trPr>
        <w:tc>
          <w:tcPr>
            <w:cnfStyle w:val="001000000000" w:firstRow="0" w:lastRow="0" w:firstColumn="1" w:lastColumn="0" w:oddVBand="0" w:evenVBand="0" w:oddHBand="0" w:evenHBand="0" w:firstRowFirstColumn="0" w:firstRowLastColumn="0" w:lastRowFirstColumn="0" w:lastRowLastColumn="0"/>
            <w:tcW w:w="3539" w:type="dxa"/>
            <w:noWrap/>
            <w:hideMark/>
          </w:tcPr>
          <w:p w14:paraId="671E047A" w14:textId="77777777" w:rsidR="00AF3FEE" w:rsidRPr="00842011" w:rsidRDefault="00AF3FEE" w:rsidP="00AF3FEE">
            <w:pPr>
              <w:pStyle w:val="tabela-9pt"/>
              <w:jc w:val="both"/>
              <w:rPr>
                <w:rFonts w:ascii="Arial" w:hAnsi="Arial" w:cs="Arial"/>
                <w:color w:val="000000"/>
                <w:szCs w:val="18"/>
              </w:rPr>
            </w:pPr>
            <w:r w:rsidRPr="00842011">
              <w:rPr>
                <w:rFonts w:ascii="Arial" w:hAnsi="Arial" w:cs="Arial"/>
                <w:color w:val="000000"/>
                <w:szCs w:val="18"/>
              </w:rPr>
              <w:t>Emisije skupaj</w:t>
            </w:r>
          </w:p>
        </w:tc>
        <w:tc>
          <w:tcPr>
            <w:tcW w:w="851" w:type="dxa"/>
            <w:noWrap/>
            <w:hideMark/>
          </w:tcPr>
          <w:p w14:paraId="059EAFF0"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842011">
              <w:rPr>
                <w:rFonts w:ascii="Arial" w:hAnsi="Arial" w:cs="Arial"/>
                <w:color w:val="000000" w:themeColor="text1"/>
                <w:szCs w:val="18"/>
              </w:rPr>
              <w:t>20.596</w:t>
            </w:r>
          </w:p>
        </w:tc>
        <w:tc>
          <w:tcPr>
            <w:tcW w:w="850" w:type="dxa"/>
            <w:noWrap/>
            <w:hideMark/>
          </w:tcPr>
          <w:p w14:paraId="33D04814"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18"/>
              </w:rPr>
            </w:pPr>
            <w:r w:rsidRPr="00842011">
              <w:rPr>
                <w:rFonts w:ascii="Arial" w:hAnsi="Arial" w:cs="Arial"/>
                <w:color w:val="000000" w:themeColor="text1"/>
                <w:szCs w:val="18"/>
              </w:rPr>
              <w:t>16.074</w:t>
            </w:r>
          </w:p>
        </w:tc>
        <w:tc>
          <w:tcPr>
            <w:tcW w:w="851" w:type="dxa"/>
            <w:noWrap/>
            <w:hideMark/>
          </w:tcPr>
          <w:p w14:paraId="586A0274" w14:textId="77777777" w:rsidR="00AF3FEE" w:rsidRPr="00842011" w:rsidRDefault="00AF3FEE"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Cs w:val="18"/>
              </w:rPr>
            </w:pPr>
            <w:r w:rsidRPr="00842011">
              <w:rPr>
                <w:rFonts w:ascii="Arial" w:hAnsi="Arial" w:cs="Arial"/>
                <w:color w:val="000000" w:themeColor="text1"/>
                <w:szCs w:val="18"/>
              </w:rPr>
              <w:t>15.615</w:t>
            </w:r>
          </w:p>
        </w:tc>
        <w:tc>
          <w:tcPr>
            <w:tcW w:w="992" w:type="dxa"/>
            <w:noWrap/>
            <w:hideMark/>
          </w:tcPr>
          <w:p w14:paraId="75ECF826" w14:textId="4BBD32DB"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24</w:t>
            </w:r>
          </w:p>
        </w:tc>
        <w:tc>
          <w:tcPr>
            <w:tcW w:w="1106" w:type="dxa"/>
            <w:noWrap/>
            <w:hideMark/>
          </w:tcPr>
          <w:p w14:paraId="1EF8CC1B" w14:textId="35495EB4" w:rsidR="00AF3FEE" w:rsidRPr="00842011" w:rsidRDefault="00D9504C" w:rsidP="00AF3FEE">
            <w:pPr>
              <w:pStyle w:val="tabela-9pt"/>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themeColor="text1"/>
                <w:szCs w:val="18"/>
              </w:rPr>
              <w:t>–</w:t>
            </w:r>
            <w:r w:rsidR="00AF3FEE" w:rsidRPr="00842011">
              <w:rPr>
                <w:rFonts w:ascii="Arial" w:hAnsi="Arial" w:cs="Arial"/>
                <w:color w:val="000000" w:themeColor="text1"/>
                <w:szCs w:val="18"/>
              </w:rPr>
              <w:t>3</w:t>
            </w:r>
          </w:p>
        </w:tc>
      </w:tr>
    </w:tbl>
    <w:p w14:paraId="6B19125C" w14:textId="77777777" w:rsidR="0038553C" w:rsidRPr="0038553C" w:rsidRDefault="0038553C" w:rsidP="002F38E7">
      <w:pPr>
        <w:pStyle w:val="nikatabelee"/>
      </w:pPr>
      <w:bookmarkStart w:id="60" w:name="_Toc193195390"/>
      <w:r w:rsidRPr="0038553C">
        <w:t xml:space="preserve">Preglednica </w:t>
      </w:r>
      <w:r w:rsidR="007C178E">
        <w:rPr>
          <w:noProof/>
        </w:rPr>
        <w:fldChar w:fldCharType="begin"/>
      </w:r>
      <w:r w:rsidR="007C178E">
        <w:rPr>
          <w:noProof/>
        </w:rPr>
        <w:instrText xml:space="preserve"> SEQ Preglednica \* ARABIC </w:instrText>
      </w:r>
      <w:r w:rsidR="007C178E">
        <w:rPr>
          <w:noProof/>
        </w:rPr>
        <w:fldChar w:fldCharType="separate"/>
      </w:r>
      <w:r w:rsidRPr="0038553C">
        <w:rPr>
          <w:noProof/>
        </w:rPr>
        <w:t>5</w:t>
      </w:r>
      <w:r w:rsidR="007C178E">
        <w:rPr>
          <w:noProof/>
        </w:rPr>
        <w:fldChar w:fldCharType="end"/>
      </w:r>
      <w:r w:rsidRPr="0038553C">
        <w:t>: Pregled emisij TGP v EU ETS v letih 2005, 2020 in 2022</w:t>
      </w:r>
      <w:bookmarkEnd w:id="60"/>
    </w:p>
    <w:p w14:paraId="25831741" w14:textId="77777777" w:rsidR="00AF3FEE" w:rsidRPr="00AF3FEE" w:rsidRDefault="00AF3FEE" w:rsidP="00AF3FEE">
      <w:pPr>
        <w:jc w:val="both"/>
        <w:rPr>
          <w:rFonts w:ascii="Arial" w:hAnsi="Arial" w:cs="Arial"/>
        </w:rPr>
      </w:pPr>
    </w:p>
    <w:p w14:paraId="311FED35" w14:textId="5AC2E479" w:rsidR="00AF3FEE" w:rsidRPr="00AF3FEE" w:rsidRDefault="00AF3FEE" w:rsidP="00AF3FEE">
      <w:pPr>
        <w:pStyle w:val="Heading41"/>
        <w:jc w:val="both"/>
        <w:rPr>
          <w:rFonts w:cs="Arial"/>
          <w:szCs w:val="22"/>
          <w:lang w:val="sl-SI"/>
        </w:rPr>
      </w:pPr>
      <w:r w:rsidRPr="00AF3FEE">
        <w:rPr>
          <w:rFonts w:cs="Arial"/>
          <w:szCs w:val="22"/>
          <w:lang w:val="sl-SI"/>
        </w:rPr>
        <w:t>Razširitev sistema EU ETS (ETS2 oz</w:t>
      </w:r>
      <w:r w:rsidR="004F2B0D">
        <w:rPr>
          <w:rFonts w:cs="Arial"/>
          <w:szCs w:val="22"/>
          <w:lang w:val="sl-SI"/>
        </w:rPr>
        <w:t>IROMA</w:t>
      </w:r>
      <w:r w:rsidRPr="00AF3FEE">
        <w:rPr>
          <w:rFonts w:cs="Arial"/>
          <w:szCs w:val="22"/>
          <w:lang w:val="sl-SI"/>
        </w:rPr>
        <w:t xml:space="preserve"> BRT)</w:t>
      </w:r>
    </w:p>
    <w:p w14:paraId="30DBE6DE" w14:textId="52BF377C" w:rsidR="00AF3FEE" w:rsidRPr="0038553C" w:rsidRDefault="00AF3FEE" w:rsidP="00AF3FEE">
      <w:pPr>
        <w:jc w:val="both"/>
        <w:rPr>
          <w:rFonts w:ascii="Arial" w:hAnsi="Arial" w:cs="Arial"/>
          <w:i/>
          <w:iCs/>
        </w:rPr>
      </w:pPr>
      <w:r w:rsidRPr="00AF3FEE">
        <w:rPr>
          <w:rStyle w:val="Naslov-VplivUkrepa-SektorjiChar"/>
          <w:rFonts w:ascii="Arial" w:eastAsiaTheme="minorHAnsi" w:hAnsi="Arial" w:cs="Arial"/>
          <w:szCs w:val="22"/>
        </w:rPr>
        <w:t xml:space="preserve">Sektorji, na katere </w:t>
      </w:r>
      <w:r w:rsidR="00986836" w:rsidRPr="00AF3FEE">
        <w:rPr>
          <w:rStyle w:val="Naslov-VplivUkrepa-SektorjiChar"/>
          <w:rFonts w:ascii="Arial" w:eastAsiaTheme="minorHAnsi" w:hAnsi="Arial" w:cs="Arial"/>
          <w:szCs w:val="22"/>
        </w:rPr>
        <w:t xml:space="preserve">vpliva </w:t>
      </w:r>
      <w:r w:rsidRPr="00AF3FEE">
        <w:rPr>
          <w:rStyle w:val="Naslov-VplivUkrepa-SektorjiChar"/>
          <w:rFonts w:ascii="Arial" w:eastAsiaTheme="minorHAnsi" w:hAnsi="Arial" w:cs="Arial"/>
          <w:szCs w:val="22"/>
        </w:rPr>
        <w:t>izvajanje ukrepa</w:t>
      </w:r>
      <w:r w:rsidRPr="003072DB">
        <w:rPr>
          <w:rStyle w:val="Naslov-VplivUkrepa-SektorjiChar"/>
          <w:rFonts w:ascii="Arial" w:eastAsiaTheme="minorHAnsi" w:hAnsi="Arial" w:cs="Arial"/>
          <w:b w:val="0"/>
          <w:szCs w:val="22"/>
        </w:rPr>
        <w:t xml:space="preserve">: </w:t>
      </w:r>
      <w:r w:rsidRPr="0038553C">
        <w:rPr>
          <w:rStyle w:val="Tekst-VplivUkrepa-SektorjiCharChar"/>
          <w:rFonts w:ascii="Arial" w:eastAsiaTheme="minorHAnsi" w:hAnsi="Arial" w:cs="Arial"/>
          <w:i w:val="0"/>
          <w:iCs/>
          <w:szCs w:val="22"/>
        </w:rPr>
        <w:t>raba energije v stavbah (gospodinjstva, storitveni sektor), prometu in industriji za tiste enote, ki niso vključene v ETS1</w:t>
      </w:r>
      <w:r w:rsidR="004F4601">
        <w:rPr>
          <w:rStyle w:val="Tekst-VplivUkrepa-SektorjiCharChar"/>
          <w:rFonts w:ascii="Arial" w:eastAsiaTheme="minorHAnsi" w:hAnsi="Arial" w:cs="Arial"/>
          <w:i w:val="0"/>
          <w:iCs/>
          <w:szCs w:val="22"/>
        </w:rPr>
        <w:t>.</w:t>
      </w:r>
    </w:p>
    <w:p w14:paraId="7F34999A" w14:textId="705F440F" w:rsidR="00AF3FEE" w:rsidRPr="00AF3FEE" w:rsidRDefault="00AF3FEE" w:rsidP="00AF3FEE">
      <w:pPr>
        <w:pStyle w:val="BodyText"/>
        <w:rPr>
          <w:rFonts w:ascii="Arial" w:hAnsi="Arial" w:cs="Arial"/>
          <w:szCs w:val="22"/>
        </w:rPr>
      </w:pPr>
      <w:r w:rsidRPr="00AF3FEE">
        <w:rPr>
          <w:rFonts w:ascii="Arial" w:hAnsi="Arial" w:cs="Arial"/>
          <w:szCs w:val="22"/>
        </w:rPr>
        <w:t xml:space="preserve">V okviru revizije direktive o sistemu trgovanja z emisijami leta 2023 je bil v državah članicah EU vzpostavljen nov sistem trgovanja z emisijami, imenovan ETS2 (EU ETS2), ki je ločen od </w:t>
      </w:r>
      <w:r w:rsidR="009E6E68">
        <w:rPr>
          <w:rFonts w:ascii="Arial" w:hAnsi="Arial" w:cs="Arial"/>
          <w:szCs w:val="22"/>
        </w:rPr>
        <w:t>veljavn</w:t>
      </w:r>
      <w:r w:rsidR="009E6E68" w:rsidRPr="00AF3FEE">
        <w:rPr>
          <w:rFonts w:ascii="Arial" w:hAnsi="Arial" w:cs="Arial"/>
          <w:szCs w:val="22"/>
        </w:rPr>
        <w:t xml:space="preserve">ega </w:t>
      </w:r>
      <w:r w:rsidRPr="00AF3FEE">
        <w:rPr>
          <w:rFonts w:ascii="Arial" w:hAnsi="Arial" w:cs="Arial"/>
          <w:szCs w:val="22"/>
        </w:rPr>
        <w:t>sistema EU za trgovanje z emisijami (EU ETS). Ta novi sistem bo zajemal in obravnaval emisije CO</w:t>
      </w:r>
      <w:r w:rsidRPr="00A57F7D">
        <w:rPr>
          <w:rFonts w:ascii="Arial" w:hAnsi="Arial" w:cs="Arial"/>
          <w:szCs w:val="22"/>
          <w:vertAlign w:val="subscript"/>
        </w:rPr>
        <w:t>2</w:t>
      </w:r>
      <w:r w:rsidRPr="00AF3FEE">
        <w:rPr>
          <w:rFonts w:ascii="Arial" w:hAnsi="Arial" w:cs="Arial"/>
          <w:szCs w:val="22"/>
        </w:rPr>
        <w:t xml:space="preserve"> iz zgorevanja goriv v stavbah, cestnem prometu in dodatnih sektorjih – predvsem v </w:t>
      </w:r>
      <w:r w:rsidR="00CA02D3">
        <w:rPr>
          <w:rFonts w:ascii="Arial" w:hAnsi="Arial" w:cs="Arial"/>
          <w:szCs w:val="22"/>
        </w:rPr>
        <w:t>malih in srednjih podjet</w:t>
      </w:r>
      <w:r w:rsidR="00F4797B">
        <w:rPr>
          <w:rFonts w:ascii="Arial" w:hAnsi="Arial" w:cs="Arial"/>
          <w:szCs w:val="22"/>
        </w:rPr>
        <w:t>jih</w:t>
      </w:r>
      <w:r w:rsidR="00CA02D3">
        <w:rPr>
          <w:rFonts w:ascii="Arial" w:hAnsi="Arial" w:cs="Arial"/>
          <w:szCs w:val="22"/>
        </w:rPr>
        <w:t xml:space="preserve"> (</w:t>
      </w:r>
      <w:r w:rsidRPr="00AF3FEE">
        <w:rPr>
          <w:rFonts w:ascii="Arial" w:hAnsi="Arial" w:cs="Arial"/>
          <w:szCs w:val="22"/>
        </w:rPr>
        <w:t>SME</w:t>
      </w:r>
      <w:r w:rsidR="00CA02D3">
        <w:rPr>
          <w:rFonts w:ascii="Arial" w:hAnsi="Arial" w:cs="Arial"/>
          <w:szCs w:val="22"/>
        </w:rPr>
        <w:t>)</w:t>
      </w:r>
      <w:r w:rsidRPr="00AF3FEE">
        <w:rPr>
          <w:rFonts w:ascii="Arial" w:hAnsi="Arial" w:cs="Arial"/>
          <w:szCs w:val="22"/>
        </w:rPr>
        <w:t xml:space="preserve"> v gospodarskih dejavnostih, ki niso bili zajeti v </w:t>
      </w:r>
      <w:r w:rsidR="009E6E68">
        <w:rPr>
          <w:rFonts w:ascii="Arial" w:hAnsi="Arial" w:cs="Arial"/>
          <w:szCs w:val="22"/>
        </w:rPr>
        <w:t>veljavn</w:t>
      </w:r>
      <w:r w:rsidR="009E6E68" w:rsidRPr="00AF3FEE">
        <w:rPr>
          <w:rFonts w:ascii="Arial" w:hAnsi="Arial" w:cs="Arial"/>
          <w:szCs w:val="22"/>
        </w:rPr>
        <w:t xml:space="preserve">em </w:t>
      </w:r>
      <w:r w:rsidRPr="00AF3FEE">
        <w:rPr>
          <w:rFonts w:ascii="Arial" w:hAnsi="Arial" w:cs="Arial"/>
          <w:szCs w:val="22"/>
        </w:rPr>
        <w:t xml:space="preserve">sistemu EU ETS, ki </w:t>
      </w:r>
      <w:r w:rsidR="009E6E68">
        <w:rPr>
          <w:rFonts w:ascii="Arial" w:hAnsi="Arial" w:cs="Arial"/>
          <w:szCs w:val="22"/>
        </w:rPr>
        <w:t>zajem</w:t>
      </w:r>
      <w:r w:rsidR="009E6E68" w:rsidRPr="00AF3FEE">
        <w:rPr>
          <w:rFonts w:ascii="Arial" w:hAnsi="Arial" w:cs="Arial"/>
          <w:szCs w:val="22"/>
        </w:rPr>
        <w:t xml:space="preserve">a </w:t>
      </w:r>
      <w:r w:rsidRPr="00AF3FEE">
        <w:rPr>
          <w:rFonts w:ascii="Arial" w:hAnsi="Arial" w:cs="Arial"/>
          <w:szCs w:val="22"/>
        </w:rPr>
        <w:t>energetiko in (energetsko intenzivnejše) industrijske procese. ETS2 bo dopolnjeval druge politike evropskega zelenega dogovora (EU Green Deal) v izbranih sektorjih, kar bo pomagalo državam članicam pri doseganju njihovih ciljev glede zmanjšanja emisij v skladu z uredbo o porazdelitvi prizadevanj (ESR). Dosedanje zmanjšanje emisij v teh sektorjih ni bilo zadostno, da bi se EU trdno približala cilju podnebne nevtralnosti do leta 2050, zato bo cen</w:t>
      </w:r>
      <w:r w:rsidR="009E6E68">
        <w:rPr>
          <w:rFonts w:ascii="Arial" w:hAnsi="Arial" w:cs="Arial"/>
          <w:szCs w:val="22"/>
        </w:rPr>
        <w:t>a</w:t>
      </w:r>
      <w:r w:rsidRPr="00AF3FEE">
        <w:rPr>
          <w:rFonts w:ascii="Arial" w:hAnsi="Arial" w:cs="Arial"/>
          <w:szCs w:val="22"/>
        </w:rPr>
        <w:t xml:space="preserve"> ogljika, ki jo bo določil ETS2, tržna spodbuda za naložbe v prenovo stavb in mobilnost z nizkimi emisijami.</w:t>
      </w:r>
    </w:p>
    <w:p w14:paraId="1FF5A9AD" w14:textId="43E5E6CC" w:rsidR="00AF3FEE" w:rsidRPr="00AF3FEE" w:rsidRDefault="00AF3FEE" w:rsidP="00AF3FEE">
      <w:pPr>
        <w:pStyle w:val="BodyText"/>
        <w:rPr>
          <w:rFonts w:ascii="Arial" w:hAnsi="Arial" w:cs="Arial"/>
          <w:szCs w:val="22"/>
        </w:rPr>
      </w:pPr>
      <w:r w:rsidRPr="00AF3FEE">
        <w:rPr>
          <w:rFonts w:ascii="Arial" w:hAnsi="Arial" w:cs="Arial"/>
          <w:szCs w:val="22"/>
        </w:rPr>
        <w:t>Sistem ETS2 bo v celoti začel delovati leta 2027 in ne bo zajemal emisij na ravni porabnikov goriv, temveč na višji ravni, saj bodo morali emisije spremljati in o njih poročati dobavitelji goriv in ne končni potrošniki, kot so gospodinjstva ali uporabniki vozil. Te</w:t>
      </w:r>
      <w:r w:rsidR="00DC3569">
        <w:rPr>
          <w:rFonts w:ascii="Arial" w:hAnsi="Arial" w:cs="Arial"/>
          <w:szCs w:val="22"/>
        </w:rPr>
        <w:t>tako imenovane</w:t>
      </w:r>
      <w:r w:rsidRPr="00AF3FEE">
        <w:rPr>
          <w:rFonts w:ascii="Arial" w:hAnsi="Arial" w:cs="Arial"/>
          <w:szCs w:val="22"/>
        </w:rPr>
        <w:t xml:space="preserve"> regulirane subjekte bo urejal sistem ETS2, kar pomeni, da bodo morali predati dovolj pravic za kritje svojih emisij. Regulirani subjekti bodo te pravice kupovali na dražbah. Zgornja meja ETS2 bo določena tako, da se bodo emisije do leta 2030 zmanjšale za 42 % v primerjavi z ravnmi iz leta 2005.</w:t>
      </w:r>
    </w:p>
    <w:p w14:paraId="2E7B07B9" w14:textId="0DE40B14" w:rsidR="00AF3FEE" w:rsidRPr="00AF3FEE" w:rsidRDefault="00AF3FEE" w:rsidP="00AF3FEE">
      <w:pPr>
        <w:pStyle w:val="BodyText"/>
        <w:rPr>
          <w:rFonts w:ascii="Arial" w:hAnsi="Arial" w:cs="Arial"/>
          <w:szCs w:val="22"/>
        </w:rPr>
      </w:pPr>
      <w:r w:rsidRPr="00AF3FEE">
        <w:rPr>
          <w:rFonts w:ascii="Arial" w:hAnsi="Arial" w:cs="Arial"/>
          <w:szCs w:val="22"/>
        </w:rPr>
        <w:t xml:space="preserve">Vse pravice do emisij v ETS2 bodo prodane na dražbi, del prihodkov pa bo namenjen podpori ranljivim gospodinjstvom in mikropodjetjem prek posebnega </w:t>
      </w:r>
      <w:r w:rsidR="00FB3C96" w:rsidRPr="00AF3FEE">
        <w:rPr>
          <w:rFonts w:ascii="Arial" w:hAnsi="Arial" w:cs="Arial"/>
          <w:szCs w:val="22"/>
        </w:rPr>
        <w:t>socialn</w:t>
      </w:r>
      <w:r w:rsidR="00FB3C96">
        <w:rPr>
          <w:rFonts w:ascii="Arial" w:hAnsi="Arial" w:cs="Arial"/>
          <w:szCs w:val="22"/>
        </w:rPr>
        <w:t>ega</w:t>
      </w:r>
      <w:r w:rsidR="00FB3C96" w:rsidRPr="00AF3FEE">
        <w:rPr>
          <w:rFonts w:ascii="Arial" w:hAnsi="Arial" w:cs="Arial"/>
          <w:szCs w:val="22"/>
        </w:rPr>
        <w:t xml:space="preserve"> </w:t>
      </w:r>
      <w:r w:rsidRPr="00AF3FEE">
        <w:rPr>
          <w:rFonts w:ascii="Arial" w:hAnsi="Arial" w:cs="Arial"/>
          <w:szCs w:val="22"/>
        </w:rPr>
        <w:t>sklada</w:t>
      </w:r>
      <w:r w:rsidR="00B84200">
        <w:rPr>
          <w:rFonts w:ascii="Arial" w:hAnsi="Arial" w:cs="Arial"/>
          <w:szCs w:val="22"/>
        </w:rPr>
        <w:t xml:space="preserve"> za podnebje</w:t>
      </w:r>
      <w:r w:rsidRPr="00AF3FEE">
        <w:rPr>
          <w:rFonts w:ascii="Arial" w:hAnsi="Arial" w:cs="Arial"/>
          <w:szCs w:val="22"/>
        </w:rPr>
        <w:t xml:space="preserve"> (SCF).</w:t>
      </w:r>
    </w:p>
    <w:p w14:paraId="40E40EB0" w14:textId="77777777" w:rsidR="00AF3FEE" w:rsidRPr="00AF3FEE" w:rsidRDefault="00AF3FEE" w:rsidP="00AF3FEE">
      <w:pPr>
        <w:pStyle w:val="Heading41"/>
        <w:jc w:val="both"/>
        <w:rPr>
          <w:rFonts w:cs="Arial"/>
          <w:szCs w:val="22"/>
          <w:lang w:val="sl-SI"/>
        </w:rPr>
      </w:pPr>
      <w:r w:rsidRPr="00AF3FEE">
        <w:rPr>
          <w:rFonts w:cs="Arial"/>
          <w:szCs w:val="22"/>
          <w:lang w:val="sl-SI"/>
        </w:rPr>
        <w:lastRenderedPageBreak/>
        <w:t>Okoljska dajatev za onesnaževanje zraka z emisijami CO</w:t>
      </w:r>
      <w:r w:rsidRPr="00AF3FEE">
        <w:rPr>
          <w:rFonts w:cs="Arial"/>
          <w:szCs w:val="22"/>
          <w:vertAlign w:val="subscript"/>
          <w:lang w:val="sl-SI"/>
        </w:rPr>
        <w:t>2</w:t>
      </w:r>
      <w:r w:rsidRPr="00AF3FEE">
        <w:rPr>
          <w:rFonts w:cs="Arial"/>
          <w:szCs w:val="22"/>
          <w:lang w:val="sl-SI"/>
        </w:rPr>
        <w:t xml:space="preserve"> </w:t>
      </w:r>
    </w:p>
    <w:p w14:paraId="08143E8C" w14:textId="3BA8AC63" w:rsidR="00AF3FEE" w:rsidRPr="0038553C" w:rsidRDefault="00AF3FEE" w:rsidP="00AF3FEE">
      <w:pPr>
        <w:pStyle w:val="BodyText"/>
        <w:rPr>
          <w:rStyle w:val="Tekst-VplivUkrepa-SektorjiCharChar"/>
          <w:rFonts w:ascii="Arial" w:hAnsi="Arial" w:cs="Arial"/>
          <w:i w:val="0"/>
          <w:iCs/>
          <w:szCs w:val="22"/>
        </w:rPr>
      </w:pPr>
      <w:r w:rsidRPr="00AF3FEE">
        <w:rPr>
          <w:rStyle w:val="Naslov-VplivUkrepa-SektorjiChar"/>
          <w:rFonts w:ascii="Arial" w:eastAsia="SimSun" w:hAnsi="Arial" w:cs="Arial"/>
          <w:szCs w:val="22"/>
        </w:rPr>
        <w:t xml:space="preserve">Sektorji, na katere </w:t>
      </w:r>
      <w:r w:rsidR="00214511" w:rsidRPr="00AF3FEE">
        <w:rPr>
          <w:rStyle w:val="Naslov-VplivUkrepa-SektorjiChar"/>
          <w:rFonts w:ascii="Arial" w:eastAsia="SimSun" w:hAnsi="Arial" w:cs="Arial"/>
          <w:szCs w:val="22"/>
        </w:rPr>
        <w:t xml:space="preserve">vpliva </w:t>
      </w:r>
      <w:r w:rsidRPr="00AF3FEE">
        <w:rPr>
          <w:rStyle w:val="Naslov-VplivUkrepa-SektorjiChar"/>
          <w:rFonts w:ascii="Arial" w:eastAsia="SimSun" w:hAnsi="Arial" w:cs="Arial"/>
          <w:szCs w:val="22"/>
        </w:rPr>
        <w:t>izvajanje ukrepa</w:t>
      </w:r>
      <w:r w:rsidRPr="003072DB">
        <w:rPr>
          <w:rStyle w:val="Naslov-VplivUkrepa-SektorjiChar"/>
          <w:rFonts w:ascii="Arial" w:eastAsia="SimSun" w:hAnsi="Arial" w:cs="Arial"/>
          <w:b w:val="0"/>
          <w:szCs w:val="22"/>
        </w:rPr>
        <w:t>:</w:t>
      </w:r>
      <w:r w:rsidRPr="00A57F7D">
        <w:rPr>
          <w:rFonts w:ascii="Arial" w:hAnsi="Arial" w:cs="Arial"/>
          <w:b/>
          <w:szCs w:val="22"/>
        </w:rPr>
        <w:t xml:space="preserve"> </w:t>
      </w:r>
      <w:r w:rsidRPr="0038553C">
        <w:rPr>
          <w:rStyle w:val="Tekst-VplivUkrepa-SektorjiCharChar"/>
          <w:rFonts w:ascii="Arial" w:hAnsi="Arial" w:cs="Arial"/>
          <w:i w:val="0"/>
          <w:iCs/>
          <w:szCs w:val="22"/>
        </w:rPr>
        <w:t xml:space="preserve">raba energije v industriji in gradbeništvu, raba energije v drugih sektorjih (v gospodinjstvih, storitvenem sektorju in kmetijstvu) </w:t>
      </w:r>
      <w:r w:rsidR="00214511">
        <w:rPr>
          <w:rStyle w:val="Tekst-VplivUkrepa-SektorjiCharChar"/>
          <w:rFonts w:ascii="Arial" w:hAnsi="Arial" w:cs="Arial"/>
          <w:i w:val="0"/>
          <w:iCs/>
          <w:szCs w:val="22"/>
        </w:rPr>
        <w:t>in</w:t>
      </w:r>
      <w:r w:rsidR="00214511" w:rsidRPr="0038553C">
        <w:rPr>
          <w:rStyle w:val="Tekst-VplivUkrepa-SektorjiCharChar"/>
          <w:rFonts w:ascii="Arial" w:hAnsi="Arial" w:cs="Arial"/>
          <w:i w:val="0"/>
          <w:iCs/>
          <w:szCs w:val="22"/>
        </w:rPr>
        <w:t xml:space="preserve"> </w:t>
      </w:r>
      <w:r w:rsidRPr="0038553C">
        <w:rPr>
          <w:rStyle w:val="Tekst-VplivUkrepa-SektorjiCharChar"/>
          <w:rFonts w:ascii="Arial" w:hAnsi="Arial" w:cs="Arial"/>
          <w:i w:val="0"/>
          <w:iCs/>
          <w:szCs w:val="22"/>
        </w:rPr>
        <w:t>prometu</w:t>
      </w:r>
      <w:r w:rsidR="004F4601">
        <w:rPr>
          <w:rStyle w:val="Tekst-VplivUkrepa-SektorjiCharChar"/>
          <w:rFonts w:ascii="Arial" w:hAnsi="Arial" w:cs="Arial"/>
          <w:i w:val="0"/>
          <w:iCs/>
          <w:szCs w:val="22"/>
        </w:rPr>
        <w:t>.</w:t>
      </w:r>
    </w:p>
    <w:p w14:paraId="0BB034B7" w14:textId="43A20F55" w:rsidR="00AF3FEE" w:rsidRPr="00AF3FEE" w:rsidRDefault="00AF3FEE" w:rsidP="00AF3FEE">
      <w:pPr>
        <w:pStyle w:val="BodyText"/>
        <w:rPr>
          <w:rFonts w:ascii="Arial" w:hAnsi="Arial" w:cs="Arial"/>
          <w:szCs w:val="22"/>
        </w:rPr>
      </w:pPr>
      <w:bookmarkStart w:id="61" w:name="_Hlk192277556"/>
      <w:r w:rsidRPr="00AF3FEE">
        <w:rPr>
          <w:rFonts w:ascii="Arial" w:hAnsi="Arial" w:cs="Arial"/>
          <w:szCs w:val="22"/>
        </w:rPr>
        <w:t>Instrument okoljska dajatev je uveden z namenom internalizacije eksternih stroškov obremenjevanja zraka z emisijami CO</w:t>
      </w:r>
      <w:r w:rsidRPr="00AF3FEE">
        <w:rPr>
          <w:rFonts w:ascii="Arial" w:hAnsi="Arial" w:cs="Arial"/>
          <w:szCs w:val="22"/>
          <w:vertAlign w:val="subscript"/>
        </w:rPr>
        <w:t>2</w:t>
      </w:r>
      <w:r w:rsidRPr="00AF3FEE">
        <w:rPr>
          <w:rFonts w:ascii="Arial" w:hAnsi="Arial" w:cs="Arial"/>
          <w:szCs w:val="22"/>
        </w:rPr>
        <w:t xml:space="preserve"> in naj bi kot ekonomski instrument prek dodatka k ceni goriv vplival na zmanjšanje obremenjevanja zraka z emisijo CO</w:t>
      </w:r>
      <w:r w:rsidRPr="00AF3FEE">
        <w:rPr>
          <w:rFonts w:ascii="Arial" w:hAnsi="Arial" w:cs="Arial"/>
          <w:szCs w:val="22"/>
          <w:vertAlign w:val="subscript"/>
        </w:rPr>
        <w:t>2</w:t>
      </w:r>
      <w:r w:rsidRPr="00AF3FEE">
        <w:rPr>
          <w:rFonts w:ascii="Arial" w:hAnsi="Arial" w:cs="Arial"/>
          <w:szCs w:val="22"/>
        </w:rPr>
        <w:t xml:space="preserve"> in posledično na zmanjšanje obremenjevanja okolja. CO</w:t>
      </w:r>
      <w:r w:rsidRPr="00AF3FEE">
        <w:rPr>
          <w:rFonts w:ascii="Arial" w:hAnsi="Arial" w:cs="Arial"/>
          <w:szCs w:val="22"/>
          <w:vertAlign w:val="subscript"/>
        </w:rPr>
        <w:t>2</w:t>
      </w:r>
      <w:r w:rsidR="00C51C40">
        <w:rPr>
          <w:rFonts w:ascii="Arial" w:hAnsi="Arial" w:cs="Arial"/>
          <w:szCs w:val="22"/>
        </w:rPr>
        <w:t>-</w:t>
      </w:r>
      <w:r w:rsidRPr="00AF3FEE">
        <w:rPr>
          <w:rFonts w:ascii="Arial" w:hAnsi="Arial" w:cs="Arial"/>
          <w:szCs w:val="22"/>
        </w:rPr>
        <w:t xml:space="preserve">dajatev izboljšuje konkurenčnost obnovljivih virov energije in drugih energentov z nižjimi specifičnimi emisijami ter konkurenčnost ukrepov učinkovite rabe. </w:t>
      </w:r>
    </w:p>
    <w:p w14:paraId="01E2F846" w14:textId="6E1BA023" w:rsidR="00AF3FEE" w:rsidRPr="00AF3FEE" w:rsidRDefault="00AF3FEE" w:rsidP="00AF3FEE">
      <w:pPr>
        <w:pStyle w:val="BodyText"/>
        <w:rPr>
          <w:rFonts w:ascii="Arial" w:hAnsi="Arial" w:cs="Arial"/>
          <w:szCs w:val="22"/>
        </w:rPr>
      </w:pPr>
      <w:r w:rsidRPr="00AF3FEE">
        <w:rPr>
          <w:rFonts w:ascii="Arial" w:hAnsi="Arial" w:cs="Arial"/>
          <w:szCs w:val="22"/>
        </w:rPr>
        <w:t xml:space="preserve">Med pravne podlage </w:t>
      </w:r>
      <w:r w:rsidR="00214511">
        <w:rPr>
          <w:rFonts w:ascii="Arial" w:hAnsi="Arial" w:cs="Arial"/>
          <w:szCs w:val="22"/>
        </w:rPr>
        <w:t>za</w:t>
      </w:r>
      <w:r w:rsidRPr="00AF3FEE">
        <w:rPr>
          <w:rFonts w:ascii="Arial" w:hAnsi="Arial" w:cs="Arial"/>
          <w:szCs w:val="22"/>
        </w:rPr>
        <w:t xml:space="preserve"> okoljsko dajatev za onesnaževanje zraka z emisijami CO</w:t>
      </w:r>
      <w:r w:rsidRPr="00AF3FEE">
        <w:rPr>
          <w:rFonts w:ascii="Arial" w:hAnsi="Arial" w:cs="Arial"/>
          <w:szCs w:val="22"/>
          <w:vertAlign w:val="subscript"/>
        </w:rPr>
        <w:t>2</w:t>
      </w:r>
      <w:r w:rsidRPr="00AF3FEE">
        <w:rPr>
          <w:rFonts w:ascii="Arial" w:hAnsi="Arial" w:cs="Arial"/>
          <w:szCs w:val="22"/>
        </w:rPr>
        <w:t xml:space="preserve"> </w:t>
      </w:r>
      <w:r w:rsidR="00214511" w:rsidRPr="00AF3FEE">
        <w:rPr>
          <w:rFonts w:ascii="Arial" w:hAnsi="Arial" w:cs="Arial"/>
          <w:szCs w:val="22"/>
        </w:rPr>
        <w:t>s</w:t>
      </w:r>
      <w:r w:rsidR="00214511">
        <w:rPr>
          <w:rFonts w:ascii="Arial" w:hAnsi="Arial" w:cs="Arial"/>
          <w:szCs w:val="22"/>
        </w:rPr>
        <w:t>pada</w:t>
      </w:r>
      <w:r w:rsidR="00214511" w:rsidRPr="00AF3FEE">
        <w:rPr>
          <w:rFonts w:ascii="Arial" w:hAnsi="Arial" w:cs="Arial"/>
          <w:szCs w:val="22"/>
        </w:rPr>
        <w:t xml:space="preserve">ta </w:t>
      </w:r>
      <w:r w:rsidRPr="00AF3FEE">
        <w:rPr>
          <w:rFonts w:ascii="Arial" w:hAnsi="Arial" w:cs="Arial"/>
          <w:szCs w:val="22"/>
        </w:rPr>
        <w:t>Zakon o varstvu okolja</w:t>
      </w:r>
      <w:r w:rsidRPr="00AF3FEE">
        <w:rPr>
          <w:rFonts w:ascii="Arial" w:hAnsi="Arial" w:cs="Arial"/>
          <w:szCs w:val="22"/>
          <w:vertAlign w:val="superscript"/>
        </w:rPr>
        <w:footnoteReference w:id="33"/>
      </w:r>
      <w:r w:rsidRPr="00AF3FEE">
        <w:rPr>
          <w:rFonts w:ascii="Arial" w:hAnsi="Arial" w:cs="Arial"/>
          <w:szCs w:val="22"/>
        </w:rPr>
        <w:t xml:space="preserve"> in Uredba o okoljski dajatvi za onesnaževanje zraka z emisijo ogljikovega dioksida</w:t>
      </w:r>
      <w:r w:rsidR="00214511">
        <w:rPr>
          <w:rFonts w:ascii="Arial" w:hAnsi="Arial" w:cs="Arial"/>
          <w:szCs w:val="22"/>
        </w:rPr>
        <w:t>.</w:t>
      </w:r>
      <w:r w:rsidRPr="00AF3FEE">
        <w:rPr>
          <w:rFonts w:ascii="Arial" w:hAnsi="Arial" w:cs="Arial"/>
          <w:szCs w:val="22"/>
          <w:vertAlign w:val="superscript"/>
        </w:rPr>
        <w:footnoteReference w:id="34"/>
      </w:r>
      <w:r w:rsidRPr="00AF3FEE">
        <w:rPr>
          <w:rFonts w:ascii="Arial" w:hAnsi="Arial" w:cs="Arial"/>
          <w:szCs w:val="22"/>
        </w:rPr>
        <w:t xml:space="preserve"> Posodobitev </w:t>
      </w:r>
      <w:r w:rsidR="00214511">
        <w:rPr>
          <w:rFonts w:ascii="Arial" w:hAnsi="Arial" w:cs="Arial"/>
          <w:szCs w:val="22"/>
        </w:rPr>
        <w:t>u</w:t>
      </w:r>
      <w:r w:rsidRPr="00AF3FEE">
        <w:rPr>
          <w:rFonts w:ascii="Arial" w:hAnsi="Arial" w:cs="Arial"/>
          <w:szCs w:val="22"/>
        </w:rPr>
        <w:t>redbe</w:t>
      </w:r>
      <w:bookmarkStart w:id="62" w:name="_Ref34727590"/>
      <w:r w:rsidRPr="00AF3FEE">
        <w:rPr>
          <w:rStyle w:val="FootnoteReference"/>
          <w:rFonts w:ascii="Arial" w:hAnsi="Arial" w:cs="Arial"/>
          <w:szCs w:val="22"/>
        </w:rPr>
        <w:footnoteReference w:id="35"/>
      </w:r>
      <w:bookmarkEnd w:id="62"/>
      <w:r w:rsidRPr="00AF3FEE">
        <w:rPr>
          <w:rFonts w:ascii="Arial" w:hAnsi="Arial" w:cs="Arial"/>
          <w:szCs w:val="22"/>
        </w:rPr>
        <w:t xml:space="preserve"> iz leta 2018 je sicer prinesla določene spremembe, vendar so bile te osredotočene predvsem na učinkovitejše izvajanje in uskladitev z Zakonom o trošarini ter določitev najnižje stopnje obdavčitve goriv. Šele leta 2024 je bil sprejet Sklep o višini okoljske dajatve za onesnaževanje zraka z emisijo ogljikovega dioksida</w:t>
      </w:r>
      <w:r w:rsidR="00214511">
        <w:rPr>
          <w:rFonts w:ascii="Arial" w:hAnsi="Arial" w:cs="Arial"/>
          <w:szCs w:val="22"/>
        </w:rPr>
        <w:t>,</w:t>
      </w:r>
      <w:r w:rsidRPr="00AF3FEE">
        <w:rPr>
          <w:rStyle w:val="FootnoteReference"/>
          <w:rFonts w:ascii="Arial" w:hAnsi="Arial" w:cs="Arial"/>
          <w:szCs w:val="22"/>
        </w:rPr>
        <w:footnoteReference w:id="36"/>
      </w:r>
      <w:r w:rsidRPr="00AF3FEE">
        <w:rPr>
          <w:rFonts w:ascii="Arial" w:hAnsi="Arial" w:cs="Arial"/>
          <w:szCs w:val="22"/>
        </w:rPr>
        <w:t xml:space="preserve"> s čimer se je ta povečala s 17,3 na 30,85 </w:t>
      </w:r>
      <w:r w:rsidR="00214511">
        <w:rPr>
          <w:rFonts w:ascii="Arial" w:hAnsi="Arial" w:cs="Arial"/>
          <w:szCs w:val="22"/>
        </w:rPr>
        <w:t>evrov</w:t>
      </w:r>
      <w:r w:rsidRPr="00AF3FEE">
        <w:rPr>
          <w:rFonts w:ascii="Arial" w:hAnsi="Arial" w:cs="Arial"/>
          <w:szCs w:val="22"/>
        </w:rPr>
        <w:t>/t CO</w:t>
      </w:r>
      <w:r w:rsidRPr="00AF3FEE">
        <w:rPr>
          <w:rFonts w:ascii="Arial" w:hAnsi="Arial" w:cs="Arial"/>
          <w:szCs w:val="22"/>
          <w:vertAlign w:val="subscript"/>
        </w:rPr>
        <w:t>2</w:t>
      </w:r>
      <w:r w:rsidRPr="00AF3FEE">
        <w:rPr>
          <w:rFonts w:ascii="Arial" w:hAnsi="Arial" w:cs="Arial"/>
          <w:szCs w:val="22"/>
        </w:rPr>
        <w:t>.</w:t>
      </w:r>
    </w:p>
    <w:p w14:paraId="7B5B33D9" w14:textId="34DB612A" w:rsidR="00AF3FEE" w:rsidRPr="00AF3FEE" w:rsidRDefault="00AF3FEE" w:rsidP="00AF3FEE">
      <w:pPr>
        <w:pStyle w:val="BodyText"/>
        <w:rPr>
          <w:rFonts w:ascii="Arial" w:hAnsi="Arial" w:cs="Arial"/>
          <w:szCs w:val="22"/>
        </w:rPr>
      </w:pPr>
      <w:r w:rsidRPr="00AF3FEE">
        <w:rPr>
          <w:rFonts w:ascii="Arial" w:hAnsi="Arial" w:cs="Arial"/>
          <w:szCs w:val="22"/>
        </w:rPr>
        <w:t>V okviru posodobitve NEPN (2024) je cilj ukrepa preoblikovanje okoljske dajatve v namensko dajatev, ki bo postopoma naraščala in postala ključni instrument za trajnostno usmerjanje rabe energentov, odvisno od njihove ogljične intenzivnosti. Ukrep vključuje tudi vstop v EU ETS2. Poleg tega bo proučena socialna narava ukrepa, predvsem vpliv na najranljivejša gospodinjstva, z namenom prilagoditve ukrepov za energetsko in mobilnostno revščino, da bi zmanjšali negativne učinke dajatev na te skupine. Dajatve na emisije CO</w:t>
      </w:r>
      <w:r w:rsidRPr="00AF3FEE">
        <w:rPr>
          <w:rFonts w:ascii="Arial" w:hAnsi="Arial" w:cs="Arial"/>
          <w:szCs w:val="22"/>
          <w:vertAlign w:val="subscript"/>
        </w:rPr>
        <w:t>2</w:t>
      </w:r>
      <w:r w:rsidRPr="00AF3FEE">
        <w:rPr>
          <w:rFonts w:ascii="Arial" w:hAnsi="Arial" w:cs="Arial"/>
          <w:szCs w:val="22"/>
        </w:rPr>
        <w:t xml:space="preserve"> bodo postale namensko usmerjene v skladu z </w:t>
      </w:r>
      <w:r w:rsidR="00A17C1E">
        <w:rPr>
          <w:rFonts w:ascii="Arial" w:hAnsi="Arial" w:cs="Arial"/>
          <w:szCs w:val="22"/>
        </w:rPr>
        <w:t>d</w:t>
      </w:r>
      <w:r w:rsidRPr="00AF3FEE">
        <w:rPr>
          <w:rFonts w:ascii="Arial" w:hAnsi="Arial" w:cs="Arial"/>
          <w:szCs w:val="22"/>
        </w:rPr>
        <w:t>irektivo EU ETS, pri čemer bodo prihodki namenjeni ukrepom za zmanjšanje emisij in podporo prehodu v podnebno nevtralno družbo.</w:t>
      </w:r>
    </w:p>
    <w:p w14:paraId="74E1024B" w14:textId="1FBDDAFA" w:rsidR="00AF3FEE" w:rsidRPr="00AF3FEE" w:rsidRDefault="00AF3FEE" w:rsidP="00AF3FEE">
      <w:pPr>
        <w:pStyle w:val="BodyText"/>
        <w:rPr>
          <w:rFonts w:ascii="Arial" w:hAnsi="Arial" w:cs="Arial"/>
          <w:szCs w:val="22"/>
        </w:rPr>
      </w:pPr>
      <w:r w:rsidRPr="00AF3FEE">
        <w:rPr>
          <w:rFonts w:ascii="Arial" w:hAnsi="Arial" w:cs="Arial"/>
          <w:szCs w:val="22"/>
        </w:rPr>
        <w:t xml:space="preserve">Ciljne skupine so najranljivejša gospodinjstva, ki </w:t>
      </w:r>
      <w:r w:rsidR="0018668B">
        <w:rPr>
          <w:rFonts w:ascii="Arial" w:hAnsi="Arial" w:cs="Arial"/>
          <w:szCs w:val="22"/>
        </w:rPr>
        <w:t xml:space="preserve">jim </w:t>
      </w:r>
      <w:r w:rsidRPr="00AF3FEE">
        <w:rPr>
          <w:rFonts w:ascii="Arial" w:hAnsi="Arial" w:cs="Arial"/>
          <w:szCs w:val="22"/>
        </w:rPr>
        <w:t xml:space="preserve">bodo </w:t>
      </w:r>
      <w:r w:rsidR="00FD14B2">
        <w:rPr>
          <w:rFonts w:ascii="Arial" w:hAnsi="Arial" w:cs="Arial"/>
          <w:szCs w:val="22"/>
        </w:rPr>
        <w:t>namenjeni</w:t>
      </w:r>
      <w:r w:rsidR="00FD14B2" w:rsidRPr="00AF3FEE">
        <w:rPr>
          <w:rFonts w:ascii="Arial" w:hAnsi="Arial" w:cs="Arial"/>
          <w:szCs w:val="22"/>
        </w:rPr>
        <w:t xml:space="preserve"> </w:t>
      </w:r>
      <w:r w:rsidRPr="00AF3FEE">
        <w:rPr>
          <w:rFonts w:ascii="Arial" w:hAnsi="Arial" w:cs="Arial"/>
          <w:szCs w:val="22"/>
        </w:rPr>
        <w:t>ukrep</w:t>
      </w:r>
      <w:r w:rsidR="00FD14B2">
        <w:rPr>
          <w:rFonts w:ascii="Arial" w:hAnsi="Arial" w:cs="Arial"/>
          <w:szCs w:val="22"/>
        </w:rPr>
        <w:t>i</w:t>
      </w:r>
      <w:r w:rsidRPr="00AF3FEE">
        <w:rPr>
          <w:rFonts w:ascii="Arial" w:hAnsi="Arial" w:cs="Arial"/>
          <w:szCs w:val="22"/>
        </w:rPr>
        <w:t xml:space="preserve"> za energetsko in mobilnostno revščino, ter uporabniki fosilnih goriv, ki bodo spodbujeni k prehodu na trajnostna goriva. Poudarek je tudi na krepitvi zmogljivosti pristojnih institucij, kot je MOPE, za učinkovito izvajanje ukrepov prehoda v podnebno nevtralno družbo.</w:t>
      </w:r>
    </w:p>
    <w:p w14:paraId="7721EEC1" w14:textId="177E1721" w:rsidR="00AF3FEE" w:rsidRPr="00AF3FEE" w:rsidRDefault="00AF3FEE" w:rsidP="00AF3FEE">
      <w:pPr>
        <w:pStyle w:val="BodyText"/>
        <w:rPr>
          <w:rFonts w:ascii="Arial" w:hAnsi="Arial" w:cs="Arial"/>
          <w:szCs w:val="22"/>
        </w:rPr>
      </w:pPr>
      <w:r w:rsidRPr="00AF3FEE">
        <w:rPr>
          <w:rFonts w:ascii="Arial" w:hAnsi="Arial" w:cs="Arial"/>
          <w:szCs w:val="22"/>
        </w:rPr>
        <w:t>Ukrep sicer učinkuje sočasno z drugimi ukrepi za spodbujanje izboljšav energetske učinkovitosti in zamenjave goriv v prometu in stavbah. Plačila okoljske dajatve so oproščen</w:t>
      </w:r>
      <w:r w:rsidR="00FD14B2">
        <w:rPr>
          <w:rFonts w:ascii="Arial" w:hAnsi="Arial" w:cs="Arial"/>
          <w:szCs w:val="22"/>
        </w:rPr>
        <w:t>i</w:t>
      </w:r>
      <w:r w:rsidRPr="00AF3FEE">
        <w:rPr>
          <w:rFonts w:ascii="Arial" w:hAnsi="Arial" w:cs="Arial"/>
          <w:szCs w:val="22"/>
        </w:rPr>
        <w:t xml:space="preserve"> podjetja, ki so vključena v sistem EU ETS1</w:t>
      </w:r>
      <w:r w:rsidR="00FD14B2">
        <w:rPr>
          <w:rFonts w:ascii="Arial" w:hAnsi="Arial" w:cs="Arial"/>
          <w:szCs w:val="22"/>
        </w:rPr>
        <w:t>,</w:t>
      </w:r>
      <w:r w:rsidRPr="00AF3FEE">
        <w:rPr>
          <w:rFonts w:ascii="Arial" w:hAnsi="Arial" w:cs="Arial"/>
          <w:szCs w:val="22"/>
        </w:rPr>
        <w:t xml:space="preserve"> in upravlja</w:t>
      </w:r>
      <w:r w:rsidR="0018668B">
        <w:rPr>
          <w:rFonts w:ascii="Arial" w:hAnsi="Arial" w:cs="Arial"/>
          <w:szCs w:val="22"/>
        </w:rPr>
        <w:t>v</w:t>
      </w:r>
      <w:r w:rsidRPr="00AF3FEE">
        <w:rPr>
          <w:rFonts w:ascii="Arial" w:hAnsi="Arial" w:cs="Arial"/>
          <w:szCs w:val="22"/>
        </w:rPr>
        <w:t xml:space="preserve">ci malih naprav, ki jim je Evropska </w:t>
      </w:r>
      <w:r w:rsidR="00FD14B2">
        <w:rPr>
          <w:rFonts w:ascii="Arial" w:hAnsi="Arial" w:cs="Arial"/>
          <w:szCs w:val="22"/>
        </w:rPr>
        <w:t>k</w:t>
      </w:r>
      <w:r w:rsidRPr="00AF3FEE">
        <w:rPr>
          <w:rFonts w:ascii="Arial" w:hAnsi="Arial" w:cs="Arial"/>
          <w:szCs w:val="22"/>
        </w:rPr>
        <w:t xml:space="preserve">omisija odobrila izključitev iz EU ETS1 (imetniki dovoljenj za izpuščanje </w:t>
      </w:r>
      <w:r w:rsidR="00D265CF">
        <w:rPr>
          <w:rFonts w:ascii="Arial" w:hAnsi="Arial" w:cs="Arial"/>
          <w:szCs w:val="22"/>
        </w:rPr>
        <w:t>TGP</w:t>
      </w:r>
      <w:r w:rsidRPr="00AF3FEE">
        <w:rPr>
          <w:rFonts w:ascii="Arial" w:hAnsi="Arial" w:cs="Arial"/>
          <w:szCs w:val="22"/>
        </w:rPr>
        <w:t xml:space="preserve">) in ki izpolnjujejo pogoje, določene v Uredbi o okoljski dajatvi za onesnaževanje zraka z emisijo ogljikovega dioksida. </w:t>
      </w:r>
    </w:p>
    <w:p w14:paraId="6BD15786" w14:textId="5B4A04BC" w:rsidR="00AF3FEE" w:rsidRPr="00AF3FEE" w:rsidRDefault="00AF3FEE" w:rsidP="00AF3FEE">
      <w:pPr>
        <w:pStyle w:val="Heading41"/>
        <w:jc w:val="both"/>
        <w:rPr>
          <w:rFonts w:cs="Arial"/>
          <w:szCs w:val="22"/>
          <w:lang w:val="sl-SI"/>
        </w:rPr>
      </w:pPr>
      <w:bookmarkStart w:id="63" w:name="_Ref192947384"/>
      <w:bookmarkEnd w:id="61"/>
      <w:r w:rsidRPr="00AF3FEE">
        <w:rPr>
          <w:rFonts w:cs="Arial"/>
          <w:szCs w:val="22"/>
          <w:lang w:val="sl-SI"/>
        </w:rPr>
        <w:t xml:space="preserve">Davki </w:t>
      </w:r>
      <w:r w:rsidR="00986836">
        <w:rPr>
          <w:rFonts w:cs="Arial"/>
          <w:szCs w:val="22"/>
          <w:lang w:val="sl-SI"/>
        </w:rPr>
        <w:t>IN</w:t>
      </w:r>
      <w:r w:rsidR="00986836" w:rsidRPr="00AF3FEE">
        <w:rPr>
          <w:rFonts w:cs="Arial"/>
          <w:szCs w:val="22"/>
          <w:lang w:val="sl-SI"/>
        </w:rPr>
        <w:t xml:space="preserve"> </w:t>
      </w:r>
      <w:r w:rsidRPr="00AF3FEE">
        <w:rPr>
          <w:rFonts w:cs="Arial"/>
          <w:szCs w:val="22"/>
          <w:lang w:val="sl-SI"/>
        </w:rPr>
        <w:t>dajatve na energijo, ki zmanjšujejo emisije</w:t>
      </w:r>
      <w:bookmarkEnd w:id="63"/>
    </w:p>
    <w:p w14:paraId="5917A1CB" w14:textId="4F1B2BC9" w:rsidR="00AF3FEE" w:rsidRPr="00AF3FEE" w:rsidRDefault="00AF3FEE" w:rsidP="00AF3FEE">
      <w:pPr>
        <w:pStyle w:val="Naslov-VplivUkrepa-Sektorji"/>
        <w:jc w:val="both"/>
        <w:rPr>
          <w:rFonts w:ascii="Arial" w:eastAsia="Palatino Linotype" w:hAnsi="Arial" w:cs="Arial"/>
          <w:szCs w:val="22"/>
        </w:rPr>
      </w:pPr>
      <w:r w:rsidRPr="00AF3FEE">
        <w:rPr>
          <w:rFonts w:ascii="Arial" w:eastAsia="Palatino Linotype" w:hAnsi="Arial" w:cs="Arial"/>
          <w:bCs/>
          <w:color w:val="000000" w:themeColor="text1"/>
          <w:szCs w:val="22"/>
        </w:rPr>
        <w:t xml:space="preserve">Sektorji, na katere </w:t>
      </w:r>
      <w:r w:rsidR="00986836" w:rsidRPr="00AF3FEE">
        <w:rPr>
          <w:rFonts w:ascii="Arial" w:eastAsia="Palatino Linotype" w:hAnsi="Arial" w:cs="Arial"/>
          <w:bCs/>
          <w:color w:val="000000" w:themeColor="text1"/>
          <w:szCs w:val="22"/>
        </w:rPr>
        <w:t xml:space="preserve">vpliva </w:t>
      </w:r>
      <w:r w:rsidRPr="00AF3FEE">
        <w:rPr>
          <w:rFonts w:ascii="Arial" w:eastAsia="Palatino Linotype" w:hAnsi="Arial" w:cs="Arial"/>
          <w:bCs/>
          <w:color w:val="000000" w:themeColor="text1"/>
          <w:szCs w:val="22"/>
        </w:rPr>
        <w:t>izvajanje ukrepa</w:t>
      </w:r>
      <w:r w:rsidRPr="00A57F7D">
        <w:rPr>
          <w:rFonts w:ascii="Arial" w:eastAsia="Palatino Linotype" w:hAnsi="Arial" w:cs="Arial"/>
          <w:b w:val="0"/>
          <w:bCs/>
          <w:color w:val="000000" w:themeColor="text1"/>
          <w:szCs w:val="22"/>
        </w:rPr>
        <w:t xml:space="preserve">: </w:t>
      </w:r>
      <w:r w:rsidRPr="0038553C">
        <w:rPr>
          <w:rFonts w:ascii="Arial" w:eastAsia="Palatino Linotype" w:hAnsi="Arial" w:cs="Arial"/>
          <w:b w:val="0"/>
          <w:color w:val="000000" w:themeColor="text1"/>
          <w:szCs w:val="22"/>
        </w:rPr>
        <w:t>raba energije v industriji in gradbeništvu, raba energije v gospodinjstvih, storitvenem sektorju in kmetijstvu ter prometu</w:t>
      </w:r>
      <w:r w:rsidR="004F4601">
        <w:rPr>
          <w:rFonts w:ascii="Arial" w:eastAsia="Palatino Linotype" w:hAnsi="Arial" w:cs="Arial"/>
          <w:b w:val="0"/>
          <w:color w:val="000000" w:themeColor="text1"/>
          <w:szCs w:val="22"/>
        </w:rPr>
        <w:t>.</w:t>
      </w:r>
    </w:p>
    <w:p w14:paraId="7AA6DB29" w14:textId="4578BB8D" w:rsidR="00AF3FEE" w:rsidRPr="00AF3FEE" w:rsidRDefault="00AF3FEE" w:rsidP="00AF3FEE">
      <w:pPr>
        <w:pStyle w:val="BodyText"/>
        <w:rPr>
          <w:rFonts w:ascii="Arial" w:hAnsi="Arial" w:cs="Arial"/>
          <w:szCs w:val="22"/>
        </w:rPr>
      </w:pPr>
      <w:r w:rsidRPr="00AF3FEE">
        <w:rPr>
          <w:rFonts w:ascii="Arial" w:hAnsi="Arial" w:cs="Arial"/>
          <w:szCs w:val="22"/>
        </w:rPr>
        <w:t xml:space="preserve">V Sloveniji je obdavčevanje energentov in električne energije urejeno z različnimi davki in dajatvami, ki vključujejo trošarine, okoljske dajatve </w:t>
      </w:r>
      <w:r w:rsidR="00986836">
        <w:rPr>
          <w:rFonts w:ascii="Arial" w:hAnsi="Arial" w:cs="Arial"/>
          <w:szCs w:val="22"/>
        </w:rPr>
        <w:t>ter</w:t>
      </w:r>
      <w:r w:rsidR="00986836" w:rsidRPr="00AF3FEE">
        <w:rPr>
          <w:rFonts w:ascii="Arial" w:hAnsi="Arial" w:cs="Arial"/>
          <w:szCs w:val="22"/>
        </w:rPr>
        <w:t xml:space="preserve"> </w:t>
      </w:r>
      <w:r w:rsidRPr="00AF3FEE">
        <w:rPr>
          <w:rFonts w:ascii="Arial" w:hAnsi="Arial" w:cs="Arial"/>
          <w:szCs w:val="22"/>
        </w:rPr>
        <w:t xml:space="preserve">prispevke za obnovljive vire energije </w:t>
      </w:r>
      <w:r w:rsidR="00986836">
        <w:rPr>
          <w:rFonts w:ascii="Arial" w:hAnsi="Arial" w:cs="Arial"/>
          <w:szCs w:val="22"/>
        </w:rPr>
        <w:t>in</w:t>
      </w:r>
      <w:r w:rsidR="00986836" w:rsidRPr="00AF3FEE">
        <w:rPr>
          <w:rFonts w:ascii="Arial" w:hAnsi="Arial" w:cs="Arial"/>
          <w:szCs w:val="22"/>
        </w:rPr>
        <w:t xml:space="preserve"> </w:t>
      </w:r>
      <w:r w:rsidRPr="00AF3FEE">
        <w:rPr>
          <w:rFonts w:ascii="Arial" w:hAnsi="Arial" w:cs="Arial"/>
          <w:szCs w:val="22"/>
        </w:rPr>
        <w:t>energetsko učinkovitost. Namen ukrepa je izboljšati konkurenčnost obnovljivih virov energije in virov z manjšim okoljskim vplivom ter vključiti negativne zunanje stroške v cene</w:t>
      </w:r>
      <w:r w:rsidR="00453E67">
        <w:rPr>
          <w:rFonts w:ascii="Arial" w:hAnsi="Arial" w:cs="Arial"/>
          <w:szCs w:val="22"/>
        </w:rPr>
        <w:t xml:space="preserve"> energentov </w:t>
      </w:r>
      <w:r w:rsidR="00453E67">
        <w:rPr>
          <w:rFonts w:ascii="Arial" w:hAnsi="Arial" w:cs="Arial"/>
          <w:szCs w:val="22"/>
        </w:rPr>
        <w:lastRenderedPageBreak/>
        <w:t>in električne energije</w:t>
      </w:r>
      <w:r w:rsidRPr="00AF3FEE">
        <w:rPr>
          <w:rFonts w:ascii="Arial" w:hAnsi="Arial" w:cs="Arial"/>
          <w:szCs w:val="22"/>
        </w:rPr>
        <w:t>, s čimer se spodbuja</w:t>
      </w:r>
      <w:r w:rsidR="00986836">
        <w:rPr>
          <w:rFonts w:ascii="Arial" w:hAnsi="Arial" w:cs="Arial"/>
          <w:szCs w:val="22"/>
        </w:rPr>
        <w:t>ta</w:t>
      </w:r>
      <w:r w:rsidRPr="00AF3FEE">
        <w:rPr>
          <w:rFonts w:ascii="Arial" w:hAnsi="Arial" w:cs="Arial"/>
          <w:szCs w:val="22"/>
        </w:rPr>
        <w:t xml:space="preserve"> trajnostni razvoj in uresničevanje okoljskih ciljev, hkrati pa zagotavlja stabilen vir prihodkov za državni proračun. Vsi davki in dajatve so podrobneje opisani v osmem nacionalnem poročilu in petem dveletnem poročilu Slovenije UNFCCC.</w:t>
      </w:r>
    </w:p>
    <w:p w14:paraId="6E329BBE" w14:textId="5E2DE675" w:rsidR="00AF3FEE" w:rsidRPr="00AF3FEE" w:rsidRDefault="00AF3FEE" w:rsidP="00AF3FEE">
      <w:pPr>
        <w:pStyle w:val="BodyText"/>
        <w:rPr>
          <w:rFonts w:ascii="Arial" w:hAnsi="Arial" w:cs="Arial"/>
          <w:szCs w:val="22"/>
        </w:rPr>
      </w:pPr>
      <w:r w:rsidRPr="00AF3FEE">
        <w:rPr>
          <w:rFonts w:ascii="Arial" w:hAnsi="Arial" w:cs="Arial"/>
          <w:szCs w:val="22"/>
        </w:rPr>
        <w:t xml:space="preserve">V obdobju visokih cen energentov in električne energije je </w:t>
      </w:r>
      <w:r w:rsidR="002958C7">
        <w:rPr>
          <w:rFonts w:ascii="Arial" w:hAnsi="Arial" w:cs="Arial"/>
          <w:szCs w:val="22"/>
        </w:rPr>
        <w:t>V</w:t>
      </w:r>
      <w:r w:rsidRPr="00AF3FEE">
        <w:rPr>
          <w:rFonts w:ascii="Arial" w:hAnsi="Arial" w:cs="Arial"/>
          <w:szCs w:val="22"/>
        </w:rPr>
        <w:t>lada R</w:t>
      </w:r>
      <w:r w:rsidR="002958C7">
        <w:rPr>
          <w:rFonts w:ascii="Arial" w:hAnsi="Arial" w:cs="Arial"/>
          <w:szCs w:val="22"/>
        </w:rPr>
        <w:t xml:space="preserve">epublike </w:t>
      </w:r>
      <w:r w:rsidRPr="00AF3FEE">
        <w:rPr>
          <w:rFonts w:ascii="Arial" w:hAnsi="Arial" w:cs="Arial"/>
          <w:szCs w:val="22"/>
        </w:rPr>
        <w:t>S</w:t>
      </w:r>
      <w:r w:rsidR="002958C7">
        <w:rPr>
          <w:rFonts w:ascii="Arial" w:hAnsi="Arial" w:cs="Arial"/>
          <w:szCs w:val="22"/>
        </w:rPr>
        <w:t>lovenije</w:t>
      </w:r>
      <w:r w:rsidRPr="00AF3FEE">
        <w:rPr>
          <w:rFonts w:ascii="Arial" w:hAnsi="Arial" w:cs="Arial"/>
          <w:szCs w:val="22"/>
        </w:rPr>
        <w:t xml:space="preserve"> uvedla več ukrepov z namenom blaženja energetske draginje v obliki</w:t>
      </w:r>
      <w:r w:rsidR="00453E67">
        <w:rPr>
          <w:rFonts w:ascii="Arial" w:hAnsi="Arial" w:cs="Arial"/>
          <w:szCs w:val="22"/>
        </w:rPr>
        <w:t xml:space="preserve"> regulacije cen,</w:t>
      </w:r>
      <w:r w:rsidRPr="00AF3FEE">
        <w:rPr>
          <w:rFonts w:ascii="Arial" w:hAnsi="Arial" w:cs="Arial"/>
          <w:szCs w:val="22"/>
        </w:rPr>
        <w:t xml:space="preserve"> nepovratnih finančnih spodbud </w:t>
      </w:r>
      <w:r w:rsidR="0099112E">
        <w:rPr>
          <w:rFonts w:ascii="Arial" w:hAnsi="Arial" w:cs="Arial"/>
          <w:szCs w:val="22"/>
        </w:rPr>
        <w:t xml:space="preserve">ter </w:t>
      </w:r>
      <w:r w:rsidRPr="00AF3FEE">
        <w:rPr>
          <w:rFonts w:ascii="Arial" w:hAnsi="Arial" w:cs="Arial"/>
          <w:szCs w:val="22"/>
        </w:rPr>
        <w:t>v obliki znižanja davkov in dajatev. Med 1. septembrom 2022 in 31. majem 2023 je veljalo začasno znižanje davka na dodano vrednost (DDV) z 22 na 9,5 % za dobave električne energije, zemeljskega plina, daljinskega ogrevanja in lesa za kurjavo, hkrati pa je bilo</w:t>
      </w:r>
      <w:r w:rsidR="00453E67">
        <w:rPr>
          <w:rFonts w:ascii="Arial" w:hAnsi="Arial" w:cs="Arial"/>
          <w:szCs w:val="22"/>
        </w:rPr>
        <w:t xml:space="preserve"> od 21. junija  do 1. avgusta 2022 in od 13. septembra 2022 do 8. maja</w:t>
      </w:r>
      <w:r w:rsidRPr="00AF3FEE">
        <w:rPr>
          <w:rFonts w:ascii="Arial" w:hAnsi="Arial" w:cs="Arial"/>
          <w:szCs w:val="22"/>
        </w:rPr>
        <w:t xml:space="preserve"> </w:t>
      </w:r>
      <w:r w:rsidR="00986836">
        <w:rPr>
          <w:rFonts w:ascii="Arial" w:hAnsi="Arial" w:cs="Arial"/>
          <w:szCs w:val="22"/>
        </w:rPr>
        <w:t xml:space="preserve">2023 </w:t>
      </w:r>
      <w:r w:rsidRPr="00AF3FEE">
        <w:rPr>
          <w:rFonts w:ascii="Arial" w:hAnsi="Arial" w:cs="Arial"/>
          <w:szCs w:val="22"/>
        </w:rPr>
        <w:t xml:space="preserve">začasno ukinjeno obračunavanje dajatve za </w:t>
      </w:r>
      <w:r w:rsidR="00453E67">
        <w:rPr>
          <w:rFonts w:ascii="Arial" w:hAnsi="Arial" w:cs="Arial"/>
          <w:szCs w:val="22"/>
        </w:rPr>
        <w:t>onesnaževanje okolja</w:t>
      </w:r>
      <w:r w:rsidRPr="00AF3FEE">
        <w:rPr>
          <w:rFonts w:ascii="Arial" w:hAnsi="Arial" w:cs="Arial"/>
          <w:szCs w:val="22"/>
        </w:rPr>
        <w:t xml:space="preserve"> z emisijo CO</w:t>
      </w:r>
      <w:r w:rsidRPr="00AF3FEE">
        <w:rPr>
          <w:rFonts w:ascii="Cambria Math" w:hAnsi="Cambria Math" w:cs="Cambria Math"/>
          <w:szCs w:val="22"/>
        </w:rPr>
        <w:t>₂</w:t>
      </w:r>
      <w:r w:rsidR="00453E67">
        <w:rPr>
          <w:rFonts w:ascii="Cambria Math" w:hAnsi="Cambria Math" w:cs="Cambria Math"/>
          <w:szCs w:val="22"/>
        </w:rPr>
        <w:t xml:space="preserve"> </w:t>
      </w:r>
      <w:r w:rsidR="00453E67" w:rsidRPr="00423973">
        <w:rPr>
          <w:rFonts w:ascii="Arial" w:hAnsi="Arial" w:cs="Arial"/>
          <w:szCs w:val="22"/>
        </w:rPr>
        <w:t>za plinsko olje, motorni bencin, kurilno olje in naravni zemeljski plin</w:t>
      </w:r>
      <w:r w:rsidRPr="00AF3FEE">
        <w:rPr>
          <w:rFonts w:ascii="Arial" w:hAnsi="Arial" w:cs="Arial"/>
          <w:szCs w:val="22"/>
        </w:rPr>
        <w:t>. V letih 2022 in 2023 je bila uvedena tudi začasna oprostitev plačevanja prispevka OVE</w:t>
      </w:r>
      <w:r w:rsidR="00986836">
        <w:rPr>
          <w:rFonts w:ascii="Arial" w:hAnsi="Arial" w:cs="Arial"/>
          <w:szCs w:val="22"/>
        </w:rPr>
        <w:t xml:space="preserve"> </w:t>
      </w:r>
      <w:r w:rsidRPr="00AF3FEE">
        <w:rPr>
          <w:rFonts w:ascii="Arial" w:hAnsi="Arial" w:cs="Arial"/>
          <w:szCs w:val="22"/>
        </w:rPr>
        <w:t>+</w:t>
      </w:r>
      <w:r w:rsidR="00986836">
        <w:rPr>
          <w:rFonts w:ascii="Arial" w:hAnsi="Arial" w:cs="Arial"/>
          <w:szCs w:val="22"/>
        </w:rPr>
        <w:t xml:space="preserve"> </w:t>
      </w:r>
      <w:r w:rsidRPr="00AF3FEE">
        <w:rPr>
          <w:rFonts w:ascii="Arial" w:hAnsi="Arial" w:cs="Arial"/>
          <w:szCs w:val="22"/>
        </w:rPr>
        <w:t>SPTE za bencinsko in dizelsko gorivo, leta 2022 pa se je vlada začasno odpovedala zbiranju sredstev iz prispevka za energetsko učinkovitost (URE) na bencinsko in dizelsko gorivo</w:t>
      </w:r>
      <w:r w:rsidR="00986836">
        <w:rPr>
          <w:rFonts w:ascii="Arial" w:hAnsi="Arial" w:cs="Arial"/>
          <w:szCs w:val="22"/>
        </w:rPr>
        <w:t>.</w:t>
      </w:r>
      <w:r w:rsidRPr="00AF3FEE">
        <w:rPr>
          <w:rFonts w:ascii="Arial" w:hAnsi="Arial" w:cs="Arial"/>
          <w:szCs w:val="22"/>
          <w:vertAlign w:val="superscript"/>
        </w:rPr>
        <w:footnoteReference w:id="37"/>
      </w:r>
      <w:r w:rsidR="00453E67">
        <w:rPr>
          <w:rFonts w:ascii="Arial" w:hAnsi="Arial" w:cs="Arial"/>
          <w:szCs w:val="22"/>
        </w:rPr>
        <w:t xml:space="preserve"> Oprostitve so bile postopoma ukinjene, zadnje leta 2024.</w:t>
      </w:r>
    </w:p>
    <w:p w14:paraId="268DBEF0" w14:textId="77777777" w:rsidR="00AF3FEE" w:rsidRPr="00AF3FEE" w:rsidRDefault="00AF3FEE" w:rsidP="00AF3FEE">
      <w:pPr>
        <w:pStyle w:val="Heading41"/>
        <w:jc w:val="both"/>
        <w:rPr>
          <w:rFonts w:cs="Arial"/>
          <w:szCs w:val="22"/>
          <w:lang w:val="sl-SI"/>
        </w:rPr>
      </w:pPr>
      <w:r w:rsidRPr="00AF3FEE">
        <w:rPr>
          <w:rFonts w:cs="Arial"/>
          <w:szCs w:val="22"/>
          <w:lang w:val="sl-SI"/>
        </w:rPr>
        <w:t>Spremembe okoljske dajatve in davkov ter dajatev</w:t>
      </w:r>
    </w:p>
    <w:p w14:paraId="26E2BADB" w14:textId="21EEEE3F" w:rsidR="00AF3FEE" w:rsidRDefault="00AF3FEE" w:rsidP="00AF3FEE">
      <w:pPr>
        <w:pStyle w:val="Naslov-VplivUkrepa-Sektorji"/>
        <w:jc w:val="both"/>
        <w:rPr>
          <w:rFonts w:ascii="Arial" w:eastAsia="Calibri" w:hAnsi="Arial" w:cs="Arial"/>
          <w:b w:val="0"/>
          <w:iCs/>
          <w:szCs w:val="22"/>
        </w:rPr>
      </w:pPr>
      <w:r w:rsidRPr="00AF3FEE">
        <w:rPr>
          <w:rFonts w:ascii="Arial" w:eastAsia="Calibri" w:hAnsi="Arial" w:cs="Arial"/>
          <w:szCs w:val="22"/>
        </w:rPr>
        <w:t xml:space="preserve">Sektorji, na katere </w:t>
      </w:r>
      <w:r w:rsidR="00986836" w:rsidRPr="00AF3FEE">
        <w:rPr>
          <w:rFonts w:ascii="Arial" w:eastAsia="Calibri" w:hAnsi="Arial" w:cs="Arial"/>
          <w:szCs w:val="22"/>
        </w:rPr>
        <w:t xml:space="preserve">vpliva </w:t>
      </w:r>
      <w:r w:rsidRPr="00AF3FEE">
        <w:rPr>
          <w:rFonts w:ascii="Arial" w:eastAsia="Calibri" w:hAnsi="Arial" w:cs="Arial"/>
          <w:szCs w:val="22"/>
        </w:rPr>
        <w:t>izvajanje ukrepa</w:t>
      </w:r>
      <w:r w:rsidRPr="00A57F7D">
        <w:rPr>
          <w:rFonts w:ascii="Arial" w:eastAsia="Calibri" w:hAnsi="Arial" w:cs="Arial"/>
          <w:b w:val="0"/>
          <w:szCs w:val="22"/>
        </w:rPr>
        <w:t xml:space="preserve">: </w:t>
      </w:r>
      <w:r w:rsidRPr="0038553C">
        <w:rPr>
          <w:rFonts w:ascii="Arial" w:eastAsia="Calibri" w:hAnsi="Arial" w:cs="Arial"/>
          <w:b w:val="0"/>
          <w:iCs/>
          <w:szCs w:val="22"/>
        </w:rPr>
        <w:t>raba energije v industriji in gradbeništvu, raba energije v gospodinjstvih, storitvenem sektorju in kmetijstvu ter prometu</w:t>
      </w:r>
      <w:r w:rsidR="00453E67">
        <w:rPr>
          <w:rFonts w:ascii="Arial" w:eastAsia="Calibri" w:hAnsi="Arial" w:cs="Arial"/>
          <w:b w:val="0"/>
          <w:iCs/>
          <w:szCs w:val="22"/>
        </w:rPr>
        <w:t>.</w:t>
      </w:r>
    </w:p>
    <w:p w14:paraId="73EB8928" w14:textId="6636B542" w:rsidR="00453E67" w:rsidRDefault="00453E67" w:rsidP="00453E67">
      <w:pPr>
        <w:pStyle w:val="BodyText"/>
        <w:rPr>
          <w:rFonts w:ascii="Arial" w:eastAsia="Calibri" w:hAnsi="Arial" w:cs="Arial"/>
          <w:szCs w:val="22"/>
        </w:rPr>
      </w:pPr>
      <w:r>
        <w:rPr>
          <w:rFonts w:ascii="Arial" w:eastAsia="Calibri" w:hAnsi="Arial" w:cs="Arial"/>
          <w:szCs w:val="22"/>
        </w:rPr>
        <w:t xml:space="preserve">Leta 2021 je </w:t>
      </w:r>
      <w:r w:rsidR="004F4601">
        <w:rPr>
          <w:rFonts w:ascii="Arial" w:eastAsia="Calibri" w:hAnsi="Arial" w:cs="Arial"/>
          <w:szCs w:val="22"/>
        </w:rPr>
        <w:t xml:space="preserve">Evropska komisija </w:t>
      </w:r>
      <w:r>
        <w:rPr>
          <w:rFonts w:ascii="Arial" w:eastAsia="Calibri" w:hAnsi="Arial" w:cs="Arial"/>
          <w:szCs w:val="22"/>
        </w:rPr>
        <w:t xml:space="preserve">pripravila predlog </w:t>
      </w:r>
      <w:r w:rsidRPr="003771A6">
        <w:rPr>
          <w:rFonts w:ascii="Arial" w:eastAsia="Calibri" w:hAnsi="Arial" w:cs="Arial"/>
          <w:szCs w:val="22"/>
        </w:rPr>
        <w:t>prestrukturiranja okvira Unije za obdavčitev energentov in električne energije</w:t>
      </w:r>
      <w:r>
        <w:rPr>
          <w:rFonts w:ascii="Arial" w:eastAsia="Calibri" w:hAnsi="Arial" w:cs="Arial"/>
          <w:szCs w:val="22"/>
        </w:rPr>
        <w:t xml:space="preserve">, ki še ni sprejet. Za podrobnosti glej BTR1 EU. </w:t>
      </w:r>
    </w:p>
    <w:p w14:paraId="47CA709D" w14:textId="07CBE7A5" w:rsidR="00453E67" w:rsidRPr="00423973" w:rsidRDefault="00453E67" w:rsidP="00423973">
      <w:pPr>
        <w:pStyle w:val="BodyText"/>
        <w:rPr>
          <w:b/>
        </w:rPr>
      </w:pPr>
      <w:r w:rsidRPr="00C866C7">
        <w:rPr>
          <w:rFonts w:ascii="Arial" w:eastAsia="Calibri" w:hAnsi="Arial" w:cs="Arial"/>
          <w:szCs w:val="22"/>
        </w:rPr>
        <w:t>Na področju trošarin je Slovenija sprejela ukrepe, ki omejujejo in bodo omejili rabo fosilnih goriv</w:t>
      </w:r>
      <w:r w:rsidR="00D45DF9">
        <w:rPr>
          <w:rFonts w:ascii="Arial" w:eastAsia="Calibri" w:hAnsi="Arial" w:cs="Arial"/>
          <w:szCs w:val="22"/>
        </w:rPr>
        <w:t>.</w:t>
      </w:r>
      <w:r w:rsidRPr="00C866C7">
        <w:rPr>
          <w:rFonts w:ascii="Arial" w:eastAsia="Calibri" w:hAnsi="Arial" w:cs="Arial"/>
          <w:szCs w:val="22"/>
        </w:rPr>
        <w:t xml:space="preserve"> V letu 2024 je bil določen dodatni pogoj za uveljavljanje vračila trošarine za energetsko intenzivna podjetja (skladnost s standardom ISO), ki se bo začel uporabljati 1. </w:t>
      </w:r>
      <w:r w:rsidR="00986836">
        <w:rPr>
          <w:rFonts w:ascii="Arial" w:eastAsia="Calibri" w:hAnsi="Arial" w:cs="Arial"/>
          <w:szCs w:val="22"/>
        </w:rPr>
        <w:t>januarja</w:t>
      </w:r>
      <w:r w:rsidRPr="00C866C7">
        <w:rPr>
          <w:rFonts w:ascii="Arial" w:eastAsia="Calibri" w:hAnsi="Arial" w:cs="Arial"/>
          <w:szCs w:val="22"/>
        </w:rPr>
        <w:t xml:space="preserve"> 2026.</w:t>
      </w:r>
    </w:p>
    <w:p w14:paraId="707D057A" w14:textId="2E300FD6" w:rsidR="00AF3FEE" w:rsidRPr="00AF3FEE" w:rsidRDefault="00AF3FEE" w:rsidP="00AF3FEE">
      <w:pPr>
        <w:pStyle w:val="BodyText"/>
        <w:rPr>
          <w:rFonts w:ascii="Arial" w:eastAsia="Calibri" w:hAnsi="Arial" w:cs="Arial"/>
          <w:szCs w:val="22"/>
        </w:rPr>
      </w:pPr>
      <w:r w:rsidRPr="00AF3FEE">
        <w:rPr>
          <w:rFonts w:ascii="Arial" w:eastAsia="Calibri" w:hAnsi="Arial" w:cs="Arial"/>
          <w:szCs w:val="22"/>
        </w:rPr>
        <w:t xml:space="preserve">NEPN (2024) predvideva postopno povečanje prispevka URE na 0,27 </w:t>
      </w:r>
      <w:r w:rsidR="00986836">
        <w:rPr>
          <w:rFonts w:ascii="Arial" w:eastAsia="Calibri" w:hAnsi="Arial" w:cs="Arial"/>
          <w:szCs w:val="22"/>
        </w:rPr>
        <w:t>evr</w:t>
      </w:r>
      <w:r w:rsidR="00D45DF9">
        <w:rPr>
          <w:rFonts w:ascii="Arial" w:eastAsia="Calibri" w:hAnsi="Arial" w:cs="Arial"/>
          <w:szCs w:val="22"/>
        </w:rPr>
        <w:t>a</w:t>
      </w:r>
      <w:r w:rsidRPr="00AF3FEE">
        <w:rPr>
          <w:rFonts w:ascii="Arial" w:eastAsia="Calibri" w:hAnsi="Arial" w:cs="Arial"/>
          <w:szCs w:val="22"/>
        </w:rPr>
        <w:t xml:space="preserve">/kWh do leta 2030, </w:t>
      </w:r>
      <w:r w:rsidR="00023476">
        <w:rPr>
          <w:rFonts w:ascii="Arial" w:eastAsia="Calibri" w:hAnsi="Arial" w:cs="Arial"/>
          <w:szCs w:val="22"/>
        </w:rPr>
        <w:t xml:space="preserve">z namenom </w:t>
      </w:r>
      <w:r w:rsidRPr="00AF3FEE">
        <w:rPr>
          <w:rFonts w:ascii="Arial" w:eastAsia="Calibri" w:hAnsi="Arial" w:cs="Arial"/>
          <w:szCs w:val="22"/>
        </w:rPr>
        <w:t xml:space="preserve">zagotovitve potrebnih sredstev za izvajanje ukrepov URE. Predvidena je tudi prenova fiskalnih spodbud za gospodarstvo, vključno z olajšavami za naložbe, pri čemer bo razlika med splošno </w:t>
      </w:r>
      <w:r w:rsidR="005C2FB4" w:rsidRPr="00AF3FEE">
        <w:rPr>
          <w:rFonts w:ascii="Arial" w:eastAsia="Calibri" w:hAnsi="Arial" w:cs="Arial"/>
          <w:szCs w:val="22"/>
        </w:rPr>
        <w:t xml:space="preserve">olajšavo </w:t>
      </w:r>
      <w:r w:rsidRPr="00AF3FEE">
        <w:rPr>
          <w:rFonts w:ascii="Arial" w:eastAsia="Calibri" w:hAnsi="Arial" w:cs="Arial"/>
          <w:szCs w:val="22"/>
        </w:rPr>
        <w:t>in olajšavo za zeleni in digitalni prehod dovolj stimulativna. Poleg tega bo nadgrajen sistem oprostitev pri plačilu prispevkov za podporo proizvodnji električne energije iz OVE in SPTE. Proučene bodo alternative za postopno zvišanje trošarin na fosilna goriva za ogrevanje ter uvedba stimulativnih trošarin za OVE in nizkoogljične vire energije, da bi usmerili prehod na trajnostne energijske vire. Do leta 202</w:t>
      </w:r>
      <w:r w:rsidR="004C2BDB">
        <w:rPr>
          <w:rFonts w:ascii="Arial" w:eastAsia="Calibri" w:hAnsi="Arial" w:cs="Arial"/>
          <w:szCs w:val="22"/>
        </w:rPr>
        <w:t>7</w:t>
      </w:r>
      <w:r w:rsidRPr="00AF3FEE">
        <w:rPr>
          <w:rFonts w:ascii="Arial" w:eastAsia="Calibri" w:hAnsi="Arial" w:cs="Arial"/>
          <w:szCs w:val="22"/>
        </w:rPr>
        <w:t>, ko je predviden vstop v EU ETS2, je cilj povečati stroškovno učinkovitost, zmanjšati emisije CO</w:t>
      </w:r>
      <w:r w:rsidRPr="00AF3FEE">
        <w:rPr>
          <w:rFonts w:ascii="Arial" w:eastAsia="Calibri" w:hAnsi="Arial" w:cs="Arial"/>
          <w:szCs w:val="22"/>
          <w:vertAlign w:val="subscript"/>
        </w:rPr>
        <w:t>2</w:t>
      </w:r>
      <w:r w:rsidRPr="00AF3FEE">
        <w:rPr>
          <w:rFonts w:ascii="Arial" w:eastAsia="Calibri" w:hAnsi="Arial" w:cs="Arial"/>
          <w:szCs w:val="22"/>
        </w:rPr>
        <w:t xml:space="preserve"> in podpreti dosego podnebnih ciljev do leta 2030. Več ukrepov je v NEPN namenjenih upravljanju spodbud za</w:t>
      </w:r>
      <w:r w:rsidR="002461F7">
        <w:rPr>
          <w:rFonts w:ascii="Arial" w:eastAsia="Calibri" w:hAnsi="Arial" w:cs="Arial"/>
          <w:szCs w:val="22"/>
        </w:rPr>
        <w:t xml:space="preserve"> rabo</w:t>
      </w:r>
      <w:r w:rsidRPr="00AF3FEE">
        <w:rPr>
          <w:rFonts w:ascii="Arial" w:eastAsia="Calibri" w:hAnsi="Arial" w:cs="Arial"/>
          <w:szCs w:val="22"/>
        </w:rPr>
        <w:t xml:space="preserve"> </w:t>
      </w:r>
      <w:r w:rsidR="002461F7">
        <w:rPr>
          <w:rFonts w:ascii="Arial" w:eastAsia="Calibri" w:hAnsi="Arial" w:cs="Arial"/>
          <w:szCs w:val="22"/>
        </w:rPr>
        <w:t xml:space="preserve">fosilnih goriv </w:t>
      </w:r>
      <w:r w:rsidRPr="00AF3FEE">
        <w:rPr>
          <w:rFonts w:ascii="Arial" w:eastAsia="Calibri" w:hAnsi="Arial" w:cs="Arial"/>
          <w:szCs w:val="22"/>
        </w:rPr>
        <w:t xml:space="preserve">(glej ukrep </w:t>
      </w:r>
      <w:r w:rsidRPr="00AF3FEE">
        <w:rPr>
          <w:rFonts w:ascii="Arial" w:eastAsia="Calibri" w:hAnsi="Arial" w:cs="Arial"/>
          <w:szCs w:val="22"/>
          <w:highlight w:val="yellow"/>
        </w:rPr>
        <w:fldChar w:fldCharType="begin"/>
      </w:r>
      <w:r w:rsidRPr="00AF3FEE">
        <w:rPr>
          <w:rFonts w:ascii="Arial" w:eastAsia="Calibri" w:hAnsi="Arial" w:cs="Arial"/>
          <w:szCs w:val="22"/>
        </w:rPr>
        <w:instrText xml:space="preserve"> REF _Ref192854860 \r \h </w:instrText>
      </w:r>
      <w:r w:rsidRPr="00AF3FEE">
        <w:rPr>
          <w:rFonts w:ascii="Arial" w:eastAsia="Calibri" w:hAnsi="Arial" w:cs="Arial"/>
          <w:szCs w:val="22"/>
          <w:highlight w:val="yellow"/>
        </w:rPr>
        <w:instrText xml:space="preserve"> \* MERGEFORMAT </w:instrText>
      </w:r>
      <w:r w:rsidRPr="00AF3FEE">
        <w:rPr>
          <w:rFonts w:ascii="Arial" w:eastAsia="Calibri" w:hAnsi="Arial" w:cs="Arial"/>
          <w:szCs w:val="22"/>
          <w:highlight w:val="yellow"/>
        </w:rPr>
      </w:r>
      <w:r w:rsidRPr="00AF3FEE">
        <w:rPr>
          <w:rFonts w:ascii="Arial" w:eastAsia="Calibri" w:hAnsi="Arial" w:cs="Arial"/>
          <w:szCs w:val="22"/>
          <w:highlight w:val="yellow"/>
        </w:rPr>
        <w:fldChar w:fldCharType="separate"/>
      </w:r>
      <w:r w:rsidRPr="00AF3FEE">
        <w:rPr>
          <w:rFonts w:ascii="Arial" w:eastAsia="Calibri" w:hAnsi="Arial" w:cs="Arial"/>
          <w:szCs w:val="22"/>
        </w:rPr>
        <w:t>M-12</w:t>
      </w:r>
      <w:r w:rsidRPr="00AF3FEE">
        <w:rPr>
          <w:rFonts w:ascii="Arial" w:eastAsia="Calibri" w:hAnsi="Arial" w:cs="Arial"/>
          <w:szCs w:val="22"/>
          <w:highlight w:val="yellow"/>
        </w:rPr>
        <w:fldChar w:fldCharType="end"/>
      </w:r>
      <w:r w:rsidRPr="00AF3FEE">
        <w:rPr>
          <w:rFonts w:ascii="Arial" w:eastAsia="Calibri" w:hAnsi="Arial" w:cs="Arial"/>
          <w:szCs w:val="22"/>
        </w:rPr>
        <w:t>).</w:t>
      </w:r>
    </w:p>
    <w:p w14:paraId="07481A80" w14:textId="77777777" w:rsidR="00AF3FEE" w:rsidRPr="00AF3FEE" w:rsidRDefault="00AF3FEE" w:rsidP="00AF3FEE">
      <w:pPr>
        <w:pStyle w:val="Heading41"/>
        <w:jc w:val="both"/>
        <w:rPr>
          <w:rFonts w:cs="Arial"/>
          <w:szCs w:val="22"/>
          <w:lang w:val="sl-SI"/>
        </w:rPr>
      </w:pPr>
      <w:r w:rsidRPr="00AF3FEE">
        <w:rPr>
          <w:rFonts w:cs="Arial"/>
          <w:szCs w:val="22"/>
          <w:lang w:val="sl-SI"/>
        </w:rPr>
        <w:t>Raba najboljših razpoložljivih tehnik – okoljevarstvena dovoljenja</w:t>
      </w:r>
    </w:p>
    <w:p w14:paraId="742D59AB" w14:textId="6C89096D" w:rsidR="00AF3FEE" w:rsidRPr="0038553C" w:rsidRDefault="00AF3FEE" w:rsidP="00AF3FEE">
      <w:pPr>
        <w:pStyle w:val="BodyText"/>
        <w:rPr>
          <w:rStyle w:val="Tekst-VplivUkrepa-SektorjiCharChar"/>
          <w:rFonts w:ascii="Arial" w:hAnsi="Arial" w:cs="Arial"/>
          <w:i w:val="0"/>
          <w:iCs/>
          <w:szCs w:val="22"/>
        </w:rPr>
      </w:pPr>
      <w:r w:rsidRPr="00AF3FEE">
        <w:rPr>
          <w:rStyle w:val="Naslov-VplivUkrepa-SektorjiChar"/>
          <w:rFonts w:ascii="Arial" w:eastAsia="SimSun" w:hAnsi="Arial" w:cs="Arial"/>
          <w:szCs w:val="22"/>
        </w:rPr>
        <w:t xml:space="preserve">Sektorji, na katere </w:t>
      </w:r>
      <w:r w:rsidR="005C2FB4" w:rsidRPr="00AF3FEE">
        <w:rPr>
          <w:rStyle w:val="Naslov-VplivUkrepa-SektorjiChar"/>
          <w:rFonts w:ascii="Arial" w:eastAsia="SimSun" w:hAnsi="Arial" w:cs="Arial"/>
          <w:szCs w:val="22"/>
        </w:rPr>
        <w:t xml:space="preserve">vpliva </w:t>
      </w:r>
      <w:r w:rsidRPr="00AF3FEE">
        <w:rPr>
          <w:rStyle w:val="Naslov-VplivUkrepa-SektorjiChar"/>
          <w:rFonts w:ascii="Arial" w:eastAsia="SimSun" w:hAnsi="Arial" w:cs="Arial"/>
          <w:szCs w:val="22"/>
        </w:rPr>
        <w:t>izvajanje ukrepa</w:t>
      </w:r>
      <w:r w:rsidRPr="003072DB">
        <w:rPr>
          <w:rStyle w:val="Naslov-VplivUkrepa-SektorjiChar"/>
          <w:rFonts w:ascii="Arial" w:eastAsia="SimSun" w:hAnsi="Arial" w:cs="Arial"/>
          <w:b w:val="0"/>
          <w:szCs w:val="22"/>
        </w:rPr>
        <w:t>:</w:t>
      </w:r>
      <w:r w:rsidRPr="003072DB">
        <w:rPr>
          <w:rStyle w:val="Tekst-VplivUkrepa-SektorjiCharChar"/>
          <w:rFonts w:ascii="Arial" w:hAnsi="Arial" w:cs="Arial"/>
          <w:szCs w:val="22"/>
        </w:rPr>
        <w:t xml:space="preserve"> </w:t>
      </w:r>
      <w:r w:rsidRPr="0038553C">
        <w:rPr>
          <w:rStyle w:val="Tekst-VplivUkrepa-SektorjiCharChar"/>
          <w:rFonts w:ascii="Arial" w:hAnsi="Arial" w:cs="Arial"/>
          <w:i w:val="0"/>
          <w:iCs/>
          <w:szCs w:val="22"/>
        </w:rPr>
        <w:t>industrijski procesi, raba energije v industriji in gradbeništvu, transformacije, odpadki, kmetijstvo</w:t>
      </w:r>
      <w:r w:rsidR="00DD27BE">
        <w:rPr>
          <w:rStyle w:val="Tekst-VplivUkrepa-SektorjiCharChar"/>
          <w:rFonts w:ascii="Arial" w:hAnsi="Arial" w:cs="Arial"/>
          <w:i w:val="0"/>
          <w:iCs/>
          <w:szCs w:val="22"/>
        </w:rPr>
        <w:t>.</w:t>
      </w:r>
    </w:p>
    <w:p w14:paraId="0AD5E5AB" w14:textId="37DEAA26" w:rsidR="00AF3FEE" w:rsidRPr="00AF3FEE" w:rsidRDefault="00AF3FEE" w:rsidP="00AF3FEE">
      <w:pPr>
        <w:pStyle w:val="BodyText"/>
        <w:rPr>
          <w:rFonts w:ascii="Arial" w:hAnsi="Arial" w:cs="Arial"/>
          <w:szCs w:val="22"/>
        </w:rPr>
      </w:pPr>
      <w:r w:rsidRPr="00AF3FEE">
        <w:rPr>
          <w:rFonts w:ascii="Arial" w:hAnsi="Arial" w:cs="Arial"/>
          <w:szCs w:val="22"/>
        </w:rPr>
        <w:t xml:space="preserve">Direktiva 2010/75/EU o industrijskih emisijah je ključni instrument, ki </w:t>
      </w:r>
      <w:r w:rsidR="0065781A">
        <w:rPr>
          <w:rFonts w:ascii="Arial" w:hAnsi="Arial" w:cs="Arial"/>
          <w:szCs w:val="22"/>
        </w:rPr>
        <w:t xml:space="preserve">ureja </w:t>
      </w:r>
      <w:r w:rsidRPr="00AF3FEE">
        <w:rPr>
          <w:rFonts w:ascii="Arial" w:hAnsi="Arial" w:cs="Arial"/>
          <w:szCs w:val="22"/>
        </w:rPr>
        <w:t>emisije škodljivih snovi, medtem ko je za področje emisij iz rabe goriv oz</w:t>
      </w:r>
      <w:r w:rsidR="004F2B0D">
        <w:rPr>
          <w:rFonts w:ascii="Arial" w:hAnsi="Arial" w:cs="Arial"/>
        </w:rPr>
        <w:t>iroma</w:t>
      </w:r>
      <w:r w:rsidRPr="00AF3FEE">
        <w:rPr>
          <w:rFonts w:ascii="Arial" w:hAnsi="Arial" w:cs="Arial"/>
          <w:szCs w:val="22"/>
        </w:rPr>
        <w:t xml:space="preserve"> za spodbujanje energetske učinkovitosti in zamenjave goriv v industriji najpomembnejši instrument trgovanje z emisijami, EU ETS (</w:t>
      </w:r>
      <w:r w:rsidR="0065781A">
        <w:rPr>
          <w:rFonts w:ascii="Arial" w:hAnsi="Arial" w:cs="Arial"/>
          <w:szCs w:val="22"/>
        </w:rPr>
        <w:t>u</w:t>
      </w:r>
      <w:r w:rsidRPr="00AF3FEE">
        <w:rPr>
          <w:rFonts w:ascii="Arial" w:hAnsi="Arial" w:cs="Arial"/>
          <w:szCs w:val="22"/>
        </w:rPr>
        <w:t xml:space="preserve">krep </w:t>
      </w:r>
      <w:r w:rsidRPr="00AF3FEE">
        <w:rPr>
          <w:rFonts w:ascii="Arial" w:hAnsi="Arial" w:cs="Arial"/>
          <w:szCs w:val="22"/>
        </w:rPr>
        <w:fldChar w:fldCharType="begin"/>
      </w:r>
      <w:r w:rsidRPr="00AF3FEE">
        <w:rPr>
          <w:rFonts w:ascii="Arial" w:hAnsi="Arial" w:cs="Arial"/>
          <w:szCs w:val="22"/>
        </w:rPr>
        <w:instrText xml:space="preserve"> REF _Ref121901631 \r \h  \* MERGEFORMAT </w:instrText>
      </w:r>
      <w:r w:rsidRPr="00AF3FEE">
        <w:rPr>
          <w:rFonts w:ascii="Arial" w:hAnsi="Arial" w:cs="Arial"/>
          <w:szCs w:val="22"/>
        </w:rPr>
      </w:r>
      <w:r w:rsidRPr="00AF3FEE">
        <w:rPr>
          <w:rFonts w:ascii="Arial" w:hAnsi="Arial" w:cs="Arial"/>
          <w:szCs w:val="22"/>
        </w:rPr>
        <w:fldChar w:fldCharType="separate"/>
      </w:r>
      <w:r w:rsidRPr="00AF3FEE">
        <w:rPr>
          <w:rFonts w:ascii="Arial" w:hAnsi="Arial" w:cs="Arial"/>
          <w:szCs w:val="22"/>
        </w:rPr>
        <w:t>M-1</w:t>
      </w:r>
      <w:r w:rsidRPr="00AF3FEE">
        <w:rPr>
          <w:rFonts w:ascii="Arial" w:hAnsi="Arial" w:cs="Arial"/>
          <w:szCs w:val="22"/>
        </w:rPr>
        <w:fldChar w:fldCharType="end"/>
      </w:r>
      <w:r w:rsidRPr="00AF3FEE">
        <w:rPr>
          <w:rFonts w:ascii="Arial" w:hAnsi="Arial" w:cs="Arial"/>
          <w:szCs w:val="22"/>
        </w:rPr>
        <w:t xml:space="preserve">), </w:t>
      </w:r>
      <w:r w:rsidR="00FA2C80">
        <w:rPr>
          <w:rFonts w:ascii="Arial" w:hAnsi="Arial" w:cs="Arial"/>
          <w:szCs w:val="22"/>
        </w:rPr>
        <w:t>D</w:t>
      </w:r>
      <w:r w:rsidRPr="00AF3FEE">
        <w:rPr>
          <w:rFonts w:ascii="Arial" w:hAnsi="Arial" w:cs="Arial"/>
          <w:szCs w:val="22"/>
        </w:rPr>
        <w:t>irektiva 2010/75/EU pa ga le dopolnjuje. Cilj direktive je uveljavljanje najboljših razpoložljivih tehnologij (</w:t>
      </w:r>
      <w:r w:rsidRPr="00AF3FEE">
        <w:rPr>
          <w:rFonts w:ascii="Arial" w:hAnsi="Arial" w:cs="Arial"/>
          <w:i/>
          <w:iCs/>
          <w:szCs w:val="22"/>
        </w:rPr>
        <w:t>best available technologies</w:t>
      </w:r>
      <w:r w:rsidRPr="00AF3FEE">
        <w:rPr>
          <w:rFonts w:ascii="Arial" w:hAnsi="Arial" w:cs="Arial"/>
          <w:szCs w:val="22"/>
        </w:rPr>
        <w:t xml:space="preserve"> – </w:t>
      </w:r>
      <w:r w:rsidRPr="00AF3FEE">
        <w:rPr>
          <w:rFonts w:ascii="Arial" w:hAnsi="Arial" w:cs="Arial"/>
          <w:i/>
          <w:iCs/>
          <w:szCs w:val="22"/>
        </w:rPr>
        <w:t>BAT</w:t>
      </w:r>
      <w:r w:rsidRPr="00AF3FEE">
        <w:rPr>
          <w:rFonts w:ascii="Arial" w:hAnsi="Arial" w:cs="Arial"/>
          <w:szCs w:val="22"/>
        </w:rPr>
        <w:t xml:space="preserve">) </w:t>
      </w:r>
      <w:r w:rsidR="00FA2C80">
        <w:rPr>
          <w:rFonts w:ascii="Arial" w:hAnsi="Arial" w:cs="Arial"/>
          <w:szCs w:val="22"/>
        </w:rPr>
        <w:t>z</w:t>
      </w:r>
      <w:r w:rsidR="00FA2C80" w:rsidRPr="00AF3FEE">
        <w:rPr>
          <w:rFonts w:ascii="Arial" w:hAnsi="Arial" w:cs="Arial"/>
          <w:szCs w:val="22"/>
        </w:rPr>
        <w:t xml:space="preserve"> okoljevarstveni</w:t>
      </w:r>
      <w:r w:rsidR="00FA2C80">
        <w:rPr>
          <w:rFonts w:ascii="Arial" w:hAnsi="Arial" w:cs="Arial"/>
          <w:szCs w:val="22"/>
        </w:rPr>
        <w:t>mi</w:t>
      </w:r>
      <w:r w:rsidR="00FA2C80" w:rsidRPr="00AF3FEE">
        <w:rPr>
          <w:rFonts w:ascii="Arial" w:hAnsi="Arial" w:cs="Arial"/>
          <w:szCs w:val="22"/>
        </w:rPr>
        <w:t xml:space="preserve"> </w:t>
      </w:r>
      <w:r w:rsidRPr="00AF3FEE">
        <w:rPr>
          <w:rFonts w:ascii="Arial" w:hAnsi="Arial" w:cs="Arial"/>
          <w:szCs w:val="22"/>
        </w:rPr>
        <w:t>dovoljenj</w:t>
      </w:r>
      <w:r w:rsidR="00FA2C80">
        <w:rPr>
          <w:rFonts w:ascii="Arial" w:hAnsi="Arial" w:cs="Arial"/>
          <w:szCs w:val="22"/>
        </w:rPr>
        <w:t>i</w:t>
      </w:r>
      <w:r w:rsidRPr="00AF3FEE">
        <w:rPr>
          <w:rFonts w:ascii="Arial" w:hAnsi="Arial" w:cs="Arial"/>
          <w:szCs w:val="22"/>
        </w:rPr>
        <w:t xml:space="preserve"> za naprave in </w:t>
      </w:r>
      <w:r w:rsidR="00D45DF9" w:rsidRPr="00AF3FEE">
        <w:rPr>
          <w:rFonts w:ascii="Arial" w:hAnsi="Arial" w:cs="Arial"/>
          <w:szCs w:val="22"/>
        </w:rPr>
        <w:t>njihov</w:t>
      </w:r>
      <w:r w:rsidR="00D45DF9">
        <w:rPr>
          <w:rFonts w:ascii="Arial" w:hAnsi="Arial" w:cs="Arial"/>
          <w:szCs w:val="22"/>
        </w:rPr>
        <w:t>im</w:t>
      </w:r>
      <w:r w:rsidR="00D45DF9" w:rsidRPr="00AF3FEE">
        <w:rPr>
          <w:rFonts w:ascii="Arial" w:hAnsi="Arial" w:cs="Arial"/>
          <w:szCs w:val="22"/>
        </w:rPr>
        <w:t xml:space="preserve"> nadzor</w:t>
      </w:r>
      <w:r w:rsidR="00D45DF9">
        <w:rPr>
          <w:rFonts w:ascii="Arial" w:hAnsi="Arial" w:cs="Arial"/>
          <w:szCs w:val="22"/>
        </w:rPr>
        <w:t>om</w:t>
      </w:r>
      <w:r w:rsidRPr="00AF3FEE">
        <w:rPr>
          <w:rFonts w:ascii="Arial" w:hAnsi="Arial" w:cs="Arial"/>
          <w:szCs w:val="22"/>
        </w:rPr>
        <w:t xml:space="preserve">. S tem usmerja izbiro novih naprav in spodbuja zamenjavo obstoječih naprav tako, da morajo naprave ustrezati pogojem in določilom iz </w:t>
      </w:r>
      <w:r w:rsidRPr="00AF3FEE">
        <w:rPr>
          <w:rFonts w:ascii="Arial" w:hAnsi="Arial" w:cs="Arial"/>
          <w:szCs w:val="22"/>
        </w:rPr>
        <w:lastRenderedPageBreak/>
        <w:t>direktive oz</w:t>
      </w:r>
      <w:r w:rsidR="004F2B0D">
        <w:rPr>
          <w:rFonts w:ascii="Arial" w:hAnsi="Arial" w:cs="Arial"/>
        </w:rPr>
        <w:t>iroma</w:t>
      </w:r>
      <w:r w:rsidRPr="00AF3FEE">
        <w:rPr>
          <w:rFonts w:ascii="Arial" w:hAnsi="Arial" w:cs="Arial"/>
          <w:szCs w:val="22"/>
        </w:rPr>
        <w:t xml:space="preserve"> standardom iz referenčnih dokumentov. Direktiva določa tudi mejne emisijske vrednosti za velike kurilne naprave </w:t>
      </w:r>
      <w:r w:rsidR="000A4F46">
        <w:rPr>
          <w:rFonts w:ascii="Arial" w:hAnsi="Arial" w:cs="Arial"/>
          <w:szCs w:val="22"/>
        </w:rPr>
        <w:t xml:space="preserve">in </w:t>
      </w:r>
      <w:r w:rsidRPr="00AF3FEE">
        <w:rPr>
          <w:rFonts w:ascii="Arial" w:hAnsi="Arial" w:cs="Arial"/>
          <w:szCs w:val="22"/>
        </w:rPr>
        <w:t>se dopolnjuje tudi z drugimi ukrepi</w:t>
      </w:r>
      <w:r w:rsidR="00FA2C80" w:rsidRPr="00FA2C80">
        <w:rPr>
          <w:rFonts w:ascii="Arial" w:hAnsi="Arial" w:cs="Arial"/>
          <w:szCs w:val="22"/>
        </w:rPr>
        <w:t xml:space="preserve"> </w:t>
      </w:r>
      <w:r w:rsidR="00FA2C80" w:rsidRPr="00AF3FEE">
        <w:rPr>
          <w:rFonts w:ascii="Arial" w:hAnsi="Arial" w:cs="Arial"/>
          <w:szCs w:val="22"/>
        </w:rPr>
        <w:t>EU</w:t>
      </w:r>
      <w:r w:rsidRPr="00AF3FEE">
        <w:rPr>
          <w:rFonts w:ascii="Arial" w:hAnsi="Arial" w:cs="Arial"/>
          <w:szCs w:val="22"/>
        </w:rPr>
        <w:t xml:space="preserve">, </w:t>
      </w:r>
      <w:r w:rsidR="004F2B0D">
        <w:rPr>
          <w:rFonts w:ascii="Arial" w:hAnsi="Arial" w:cs="Arial"/>
          <w:szCs w:val="22"/>
        </w:rPr>
        <w:t>na primer</w:t>
      </w:r>
      <w:r w:rsidRPr="00AF3FEE">
        <w:rPr>
          <w:rFonts w:ascii="Arial" w:hAnsi="Arial" w:cs="Arial"/>
          <w:szCs w:val="22"/>
        </w:rPr>
        <w:t xml:space="preserve"> z Direktivo o zmanjšanju nacionalnih emisij za nekatera onesnaževala zraka (2016/2284).</w:t>
      </w:r>
    </w:p>
    <w:p w14:paraId="4AD87E01" w14:textId="460DC4D1" w:rsidR="00AF3FEE" w:rsidRPr="00AF3FEE" w:rsidRDefault="00AF3FEE" w:rsidP="00AF3FEE">
      <w:pPr>
        <w:pStyle w:val="BodyText"/>
        <w:rPr>
          <w:rFonts w:ascii="Arial" w:hAnsi="Arial" w:cs="Arial"/>
          <w:szCs w:val="22"/>
        </w:rPr>
      </w:pPr>
      <w:r w:rsidRPr="00AF3FEE">
        <w:rPr>
          <w:rFonts w:ascii="Arial" w:hAnsi="Arial" w:cs="Arial"/>
          <w:szCs w:val="22"/>
        </w:rPr>
        <w:t xml:space="preserve">Avgusta 2024 je </w:t>
      </w:r>
      <w:r w:rsidR="00DA0205">
        <w:rPr>
          <w:rFonts w:ascii="Arial" w:hAnsi="Arial" w:cs="Arial"/>
          <w:szCs w:val="22"/>
        </w:rPr>
        <w:t xml:space="preserve">začela veljati </w:t>
      </w:r>
      <w:r w:rsidRPr="00AF3FEE">
        <w:rPr>
          <w:rFonts w:ascii="Arial" w:hAnsi="Arial" w:cs="Arial"/>
          <w:szCs w:val="22"/>
        </w:rPr>
        <w:t>prenovljena direktiva, ki širi obseg na velike prašičje in perutninske farme, rudarstvo in velikoserijsko proizvodnjo baterij.</w:t>
      </w:r>
    </w:p>
    <w:p w14:paraId="6E66BEA2" w14:textId="77777777" w:rsidR="00AF3FEE" w:rsidRPr="00AF3FEE" w:rsidRDefault="00AF3FEE" w:rsidP="00AF3FEE">
      <w:pPr>
        <w:pStyle w:val="Heading41"/>
        <w:jc w:val="both"/>
        <w:rPr>
          <w:rFonts w:cs="Arial"/>
          <w:szCs w:val="22"/>
        </w:rPr>
      </w:pPr>
      <w:r w:rsidRPr="00AF3FEE">
        <w:rPr>
          <w:rFonts w:cs="Arial"/>
          <w:szCs w:val="22"/>
        </w:rPr>
        <w:t>Izobraževanje, usposabljanje, ozaveščanje, obveščanje in promocija</w:t>
      </w:r>
    </w:p>
    <w:p w14:paraId="76AC379F" w14:textId="05EC6B0E" w:rsidR="00AF3FEE" w:rsidRPr="0038553C" w:rsidRDefault="00AF3FEE" w:rsidP="00AF3FEE">
      <w:pPr>
        <w:jc w:val="both"/>
        <w:rPr>
          <w:rFonts w:ascii="Arial" w:hAnsi="Arial" w:cs="Arial"/>
          <w:iCs/>
        </w:rPr>
      </w:pPr>
      <w:r w:rsidRPr="00AF3FEE">
        <w:rPr>
          <w:rFonts w:ascii="Arial" w:hAnsi="Arial" w:cs="Arial"/>
          <w:b/>
        </w:rPr>
        <w:t>Sektorji, na katere vpliva izvajanje ukrepa</w:t>
      </w:r>
      <w:r w:rsidRPr="00A57F7D">
        <w:rPr>
          <w:rFonts w:ascii="Arial" w:hAnsi="Arial" w:cs="Arial"/>
        </w:rPr>
        <w:t>:</w:t>
      </w:r>
      <w:r w:rsidRPr="00FA2C80">
        <w:rPr>
          <w:rFonts w:ascii="Arial" w:hAnsi="Arial" w:cs="Arial"/>
        </w:rPr>
        <w:t xml:space="preserve"> </w:t>
      </w:r>
      <w:r w:rsidRPr="0038553C">
        <w:rPr>
          <w:rFonts w:ascii="Arial" w:hAnsi="Arial" w:cs="Arial"/>
          <w:iCs/>
        </w:rPr>
        <w:t>vsi sektorji</w:t>
      </w:r>
      <w:r w:rsidR="000A4F46">
        <w:rPr>
          <w:rFonts w:ascii="Arial" w:hAnsi="Arial" w:cs="Arial"/>
          <w:iCs/>
        </w:rPr>
        <w:t>.</w:t>
      </w:r>
    </w:p>
    <w:p w14:paraId="47DEC8D2" w14:textId="3598046B" w:rsidR="00AF3FEE" w:rsidRPr="00AF3FEE" w:rsidRDefault="00AF3FEE" w:rsidP="00AF3FEE">
      <w:pPr>
        <w:pStyle w:val="BodyText"/>
        <w:rPr>
          <w:rFonts w:ascii="Arial" w:hAnsi="Arial" w:cs="Arial"/>
          <w:szCs w:val="22"/>
        </w:rPr>
      </w:pPr>
      <w:r w:rsidRPr="00AF3FEE">
        <w:rPr>
          <w:rFonts w:ascii="Arial" w:hAnsi="Arial" w:cs="Arial"/>
          <w:szCs w:val="22"/>
        </w:rPr>
        <w:t xml:space="preserve">V Sloveniji različni nosilci (vladni in nevladni sektor, mediji, gospodarstvo, strokovne institucije </w:t>
      </w:r>
      <w:r w:rsidR="004F2B0D">
        <w:rPr>
          <w:rFonts w:ascii="Arial" w:hAnsi="Arial" w:cs="Arial"/>
          <w:szCs w:val="22"/>
        </w:rPr>
        <w:t>in tako dalje</w:t>
      </w:r>
      <w:r w:rsidRPr="00AF3FEE">
        <w:rPr>
          <w:rFonts w:ascii="Arial" w:hAnsi="Arial" w:cs="Arial"/>
          <w:szCs w:val="22"/>
        </w:rPr>
        <w:t xml:space="preserve">) izvajajo aktivnosti izobraževanja, usposabljanja, informiranja in ozaveščanja na področju blaženja podnebnih sprememb. Aktivnosti se financirajo iz različnih virov, in sicer </w:t>
      </w:r>
      <w:r w:rsidR="00FA2C80">
        <w:rPr>
          <w:rFonts w:ascii="Arial" w:hAnsi="Arial" w:cs="Arial"/>
          <w:szCs w:val="22"/>
        </w:rPr>
        <w:t xml:space="preserve">iz </w:t>
      </w:r>
      <w:r w:rsidRPr="00AF3FEE">
        <w:rPr>
          <w:rFonts w:ascii="Arial" w:hAnsi="Arial" w:cs="Arial"/>
          <w:szCs w:val="22"/>
        </w:rPr>
        <w:t xml:space="preserve">državnega proračuna, sredstev EU in različnih mednarodnih virov. Aktivnosti se tudi izvajajo po različnih sektorjih. V posodobljenem NEPN so bili ukrepi posodobljeni in dodani. Ključni ukrepi na tem področju so: </w:t>
      </w:r>
    </w:p>
    <w:p w14:paraId="48CAF615" w14:textId="299860AC" w:rsidR="00AF3FEE" w:rsidRPr="00AF3FEE" w:rsidRDefault="00FA2C80" w:rsidP="00A57F7D">
      <w:pPr>
        <w:pStyle w:val="BodyText"/>
        <w:numPr>
          <w:ilvl w:val="0"/>
          <w:numId w:val="35"/>
        </w:numPr>
        <w:rPr>
          <w:rFonts w:ascii="Arial" w:hAnsi="Arial" w:cs="Arial"/>
          <w:szCs w:val="22"/>
        </w:rPr>
      </w:pPr>
      <w:r>
        <w:rPr>
          <w:rFonts w:ascii="Arial" w:hAnsi="Arial" w:cs="Arial"/>
          <w:szCs w:val="22"/>
        </w:rPr>
        <w:t>i</w:t>
      </w:r>
      <w:r w:rsidR="00AF3FEE" w:rsidRPr="00AF3FEE">
        <w:rPr>
          <w:rFonts w:ascii="Arial" w:hAnsi="Arial" w:cs="Arial"/>
          <w:szCs w:val="22"/>
        </w:rPr>
        <w:t xml:space="preserve">nformiranje in ozaveščanje ciljnih javnosti (prehod v podnebno nevtralno družbo, trajnostna mobilnost, energetska učinkovitost v stavbah, prakse trajnostne sonaravne pridelave, proizvodnje in ponudbe hrane, odpadna hrana, raba zemljišč in sprememba rabe zemljišč in gozdarstvo); v </w:t>
      </w:r>
      <w:r w:rsidR="00040ECF">
        <w:rPr>
          <w:rFonts w:ascii="Arial" w:hAnsi="Arial" w:cs="Arial"/>
          <w:szCs w:val="22"/>
        </w:rPr>
        <w:t>okviru</w:t>
      </w:r>
      <w:r w:rsidR="00040ECF" w:rsidRPr="00AF3FEE">
        <w:rPr>
          <w:rFonts w:ascii="Arial" w:hAnsi="Arial" w:cs="Arial"/>
          <w:szCs w:val="22"/>
        </w:rPr>
        <w:t xml:space="preserve"> </w:t>
      </w:r>
      <w:r w:rsidR="000A4F46">
        <w:rPr>
          <w:rFonts w:ascii="Arial" w:hAnsi="Arial" w:cs="Arial"/>
          <w:szCs w:val="22"/>
        </w:rPr>
        <w:t>tega ukrepa</w:t>
      </w:r>
      <w:r w:rsidR="000A4F46" w:rsidRPr="00AF3FEE">
        <w:rPr>
          <w:rFonts w:ascii="Arial" w:hAnsi="Arial" w:cs="Arial"/>
          <w:szCs w:val="22"/>
        </w:rPr>
        <w:t xml:space="preserve"> </w:t>
      </w:r>
      <w:r w:rsidR="00AF3FEE" w:rsidRPr="00AF3FEE">
        <w:rPr>
          <w:rFonts w:ascii="Arial" w:hAnsi="Arial" w:cs="Arial"/>
          <w:szCs w:val="22"/>
        </w:rPr>
        <w:t>se bo</w:t>
      </w:r>
      <w:r>
        <w:rPr>
          <w:rFonts w:ascii="Arial" w:hAnsi="Arial" w:cs="Arial"/>
          <w:szCs w:val="22"/>
        </w:rPr>
        <w:t>do</w:t>
      </w:r>
      <w:r w:rsidR="00AF3FEE" w:rsidRPr="00AF3FEE">
        <w:rPr>
          <w:rFonts w:ascii="Arial" w:hAnsi="Arial" w:cs="Arial"/>
          <w:szCs w:val="22"/>
        </w:rPr>
        <w:t xml:space="preserve"> nadaljeval</w:t>
      </w:r>
      <w:r>
        <w:rPr>
          <w:rFonts w:ascii="Arial" w:hAnsi="Arial" w:cs="Arial"/>
          <w:szCs w:val="22"/>
        </w:rPr>
        <w:t>e</w:t>
      </w:r>
      <w:r w:rsidR="00AF3FEE" w:rsidRPr="00AF3FEE">
        <w:rPr>
          <w:rFonts w:ascii="Arial" w:hAnsi="Arial" w:cs="Arial"/>
          <w:szCs w:val="22"/>
        </w:rPr>
        <w:t xml:space="preserve"> in izboljšal</w:t>
      </w:r>
      <w:r>
        <w:rPr>
          <w:rFonts w:ascii="Arial" w:hAnsi="Arial" w:cs="Arial"/>
          <w:szCs w:val="22"/>
        </w:rPr>
        <w:t>e</w:t>
      </w:r>
      <w:r w:rsidR="00AF3FEE" w:rsidRPr="00AF3FEE">
        <w:rPr>
          <w:rFonts w:ascii="Arial" w:hAnsi="Arial" w:cs="Arial"/>
          <w:szCs w:val="22"/>
        </w:rPr>
        <w:t xml:space="preserve"> </w:t>
      </w:r>
      <w:r w:rsidR="000A4F46">
        <w:rPr>
          <w:rFonts w:ascii="Arial" w:hAnsi="Arial" w:cs="Arial"/>
          <w:szCs w:val="22"/>
        </w:rPr>
        <w:t xml:space="preserve">številne </w:t>
      </w:r>
      <w:r w:rsidR="00AF3FEE" w:rsidRPr="00AF3FEE">
        <w:rPr>
          <w:rFonts w:ascii="Arial" w:hAnsi="Arial" w:cs="Arial"/>
          <w:szCs w:val="22"/>
        </w:rPr>
        <w:t xml:space="preserve">aktivnosti projekta LIFE IP Care4Climate, </w:t>
      </w:r>
      <w:r>
        <w:rPr>
          <w:rFonts w:ascii="Arial" w:hAnsi="Arial" w:cs="Arial"/>
          <w:szCs w:val="22"/>
        </w:rPr>
        <w:t>ki</w:t>
      </w:r>
      <w:r w:rsidRPr="00AF3FEE">
        <w:rPr>
          <w:rFonts w:ascii="Arial" w:hAnsi="Arial" w:cs="Arial"/>
          <w:szCs w:val="22"/>
        </w:rPr>
        <w:t xml:space="preserve"> </w:t>
      </w:r>
      <w:r w:rsidR="00AF3FEE" w:rsidRPr="00AF3FEE">
        <w:rPr>
          <w:rFonts w:ascii="Arial" w:hAnsi="Arial" w:cs="Arial"/>
          <w:szCs w:val="22"/>
        </w:rPr>
        <w:t>potekajo na vseh področjih</w:t>
      </w:r>
      <w:r>
        <w:rPr>
          <w:rFonts w:ascii="Arial" w:hAnsi="Arial" w:cs="Arial"/>
          <w:szCs w:val="22"/>
        </w:rPr>
        <w:t>,</w:t>
      </w:r>
      <w:r w:rsidR="00AF3FEE" w:rsidRPr="00AF3FEE">
        <w:rPr>
          <w:rFonts w:ascii="Arial" w:hAnsi="Arial" w:cs="Arial"/>
          <w:szCs w:val="22"/>
        </w:rPr>
        <w:t xml:space="preserve"> in nadaljeval</w:t>
      </w:r>
      <w:r w:rsidR="000A4F46">
        <w:rPr>
          <w:rFonts w:ascii="Arial" w:hAnsi="Arial" w:cs="Arial"/>
          <w:szCs w:val="22"/>
        </w:rPr>
        <w:t>e</w:t>
      </w:r>
      <w:r w:rsidR="00AF3FEE" w:rsidRPr="00AF3FEE">
        <w:rPr>
          <w:rFonts w:ascii="Arial" w:hAnsi="Arial" w:cs="Arial"/>
          <w:szCs w:val="22"/>
        </w:rPr>
        <w:t xml:space="preserve"> aktivnosti po izteku projekta na področju informiranja in ozaveščanja ciljnih javnosti, ozaveščanj</w:t>
      </w:r>
      <w:r>
        <w:rPr>
          <w:rFonts w:ascii="Arial" w:hAnsi="Arial" w:cs="Arial"/>
          <w:szCs w:val="22"/>
        </w:rPr>
        <w:t>a</w:t>
      </w:r>
      <w:r w:rsidR="00AF3FEE" w:rsidRPr="00AF3FEE">
        <w:rPr>
          <w:rFonts w:ascii="Arial" w:hAnsi="Arial" w:cs="Arial"/>
          <w:szCs w:val="22"/>
        </w:rPr>
        <w:t xml:space="preserve"> glede življenjskih navad, zelen</w:t>
      </w:r>
      <w:r>
        <w:rPr>
          <w:rFonts w:ascii="Arial" w:hAnsi="Arial" w:cs="Arial"/>
          <w:szCs w:val="22"/>
        </w:rPr>
        <w:t>e</w:t>
      </w:r>
      <w:r w:rsidR="00AF3FEE" w:rsidRPr="00AF3FEE">
        <w:rPr>
          <w:rFonts w:ascii="Arial" w:hAnsi="Arial" w:cs="Arial"/>
          <w:szCs w:val="22"/>
        </w:rPr>
        <w:t xml:space="preserve"> mestn</w:t>
      </w:r>
      <w:r>
        <w:rPr>
          <w:rFonts w:ascii="Arial" w:hAnsi="Arial" w:cs="Arial"/>
          <w:szCs w:val="22"/>
        </w:rPr>
        <w:t>e</w:t>
      </w:r>
      <w:r w:rsidR="00AF3FEE" w:rsidRPr="00AF3FEE">
        <w:rPr>
          <w:rFonts w:ascii="Arial" w:hAnsi="Arial" w:cs="Arial"/>
          <w:szCs w:val="22"/>
        </w:rPr>
        <w:t xml:space="preserve"> logistik</w:t>
      </w:r>
      <w:r>
        <w:rPr>
          <w:rFonts w:ascii="Arial" w:hAnsi="Arial" w:cs="Arial"/>
          <w:szCs w:val="22"/>
        </w:rPr>
        <w:t>e</w:t>
      </w:r>
      <w:r w:rsidR="00AF3FEE" w:rsidRPr="00AF3FEE">
        <w:rPr>
          <w:rFonts w:ascii="Arial" w:hAnsi="Arial" w:cs="Arial"/>
          <w:szCs w:val="22"/>
        </w:rPr>
        <w:t>, prenovil</w:t>
      </w:r>
      <w:r>
        <w:rPr>
          <w:rFonts w:ascii="Arial" w:hAnsi="Arial" w:cs="Arial"/>
          <w:szCs w:val="22"/>
        </w:rPr>
        <w:t>a</w:t>
      </w:r>
      <w:r w:rsidR="00AF3FEE" w:rsidRPr="00AF3FEE">
        <w:rPr>
          <w:rFonts w:ascii="Arial" w:hAnsi="Arial" w:cs="Arial"/>
          <w:szCs w:val="22"/>
        </w:rPr>
        <w:t xml:space="preserve"> se bo osrednj</w:t>
      </w:r>
      <w:r>
        <w:rPr>
          <w:rFonts w:ascii="Arial" w:hAnsi="Arial" w:cs="Arial"/>
          <w:szCs w:val="22"/>
        </w:rPr>
        <w:t>a</w:t>
      </w:r>
      <w:r w:rsidR="00AF3FEE" w:rsidRPr="00AF3FEE">
        <w:rPr>
          <w:rFonts w:ascii="Arial" w:hAnsi="Arial" w:cs="Arial"/>
          <w:szCs w:val="22"/>
        </w:rPr>
        <w:t xml:space="preserve"> nacionaln</w:t>
      </w:r>
      <w:r>
        <w:rPr>
          <w:rFonts w:ascii="Arial" w:hAnsi="Arial" w:cs="Arial"/>
          <w:szCs w:val="22"/>
        </w:rPr>
        <w:t>a</w:t>
      </w:r>
      <w:r w:rsidR="00AF3FEE" w:rsidRPr="00AF3FEE">
        <w:rPr>
          <w:rFonts w:ascii="Arial" w:hAnsi="Arial" w:cs="Arial"/>
          <w:szCs w:val="22"/>
        </w:rPr>
        <w:t xml:space="preserve"> spletn</w:t>
      </w:r>
      <w:r>
        <w:rPr>
          <w:rFonts w:ascii="Arial" w:hAnsi="Arial" w:cs="Arial"/>
          <w:szCs w:val="22"/>
        </w:rPr>
        <w:t>a</w:t>
      </w:r>
      <w:r w:rsidR="00AF3FEE" w:rsidRPr="00AF3FEE">
        <w:rPr>
          <w:rFonts w:ascii="Arial" w:hAnsi="Arial" w:cs="Arial"/>
          <w:szCs w:val="22"/>
        </w:rPr>
        <w:t xml:space="preserve"> platform</w:t>
      </w:r>
      <w:r>
        <w:rPr>
          <w:rFonts w:ascii="Arial" w:hAnsi="Arial" w:cs="Arial"/>
          <w:szCs w:val="22"/>
        </w:rPr>
        <w:t>a</w:t>
      </w:r>
      <w:r w:rsidR="00AF3FEE" w:rsidRPr="00AF3FEE">
        <w:rPr>
          <w:rFonts w:ascii="Arial" w:hAnsi="Arial" w:cs="Arial"/>
          <w:szCs w:val="22"/>
        </w:rPr>
        <w:t xml:space="preserve"> za trajnostno mobilnost, krepil</w:t>
      </w:r>
      <w:r>
        <w:rPr>
          <w:rFonts w:ascii="Arial" w:hAnsi="Arial" w:cs="Arial"/>
          <w:szCs w:val="22"/>
        </w:rPr>
        <w:t>a se bo</w:t>
      </w:r>
      <w:r w:rsidR="00AF3FEE" w:rsidRPr="00AF3FEE">
        <w:rPr>
          <w:rFonts w:ascii="Arial" w:hAnsi="Arial" w:cs="Arial"/>
          <w:szCs w:val="22"/>
        </w:rPr>
        <w:t xml:space="preserve"> zmogljivost javnih uslužbencev za prehod v NOD. Pripravil</w:t>
      </w:r>
      <w:r>
        <w:rPr>
          <w:rFonts w:ascii="Arial" w:hAnsi="Arial" w:cs="Arial"/>
          <w:szCs w:val="22"/>
        </w:rPr>
        <w:t>e</w:t>
      </w:r>
      <w:r w:rsidR="00AF3FEE" w:rsidRPr="00AF3FEE">
        <w:rPr>
          <w:rFonts w:ascii="Arial" w:hAnsi="Arial" w:cs="Arial"/>
          <w:szCs w:val="22"/>
        </w:rPr>
        <w:t xml:space="preserve"> se bo</w:t>
      </w:r>
      <w:r>
        <w:rPr>
          <w:rFonts w:ascii="Arial" w:hAnsi="Arial" w:cs="Arial"/>
          <w:szCs w:val="22"/>
        </w:rPr>
        <w:t>do</w:t>
      </w:r>
      <w:r w:rsidR="00AF3FEE" w:rsidRPr="00AF3FEE">
        <w:rPr>
          <w:rFonts w:ascii="Arial" w:hAnsi="Arial" w:cs="Arial"/>
          <w:szCs w:val="22"/>
        </w:rPr>
        <w:t xml:space="preserve"> dodatne vsebine za ciljno skupino industrije, mala in sredn</w:t>
      </w:r>
      <w:r w:rsidR="000A4F46">
        <w:rPr>
          <w:rFonts w:ascii="Arial" w:hAnsi="Arial" w:cs="Arial"/>
          <w:szCs w:val="22"/>
        </w:rPr>
        <w:t>j</w:t>
      </w:r>
      <w:r w:rsidR="00AF3FEE" w:rsidRPr="00AF3FEE">
        <w:rPr>
          <w:rFonts w:ascii="Arial" w:hAnsi="Arial" w:cs="Arial"/>
          <w:szCs w:val="22"/>
        </w:rPr>
        <w:t>a podjetja. Ozaveščal</w:t>
      </w:r>
      <w:r>
        <w:rPr>
          <w:rFonts w:ascii="Arial" w:hAnsi="Arial" w:cs="Arial"/>
          <w:szCs w:val="22"/>
        </w:rPr>
        <w:t>i</w:t>
      </w:r>
      <w:r w:rsidR="00AF3FEE" w:rsidRPr="00AF3FEE">
        <w:rPr>
          <w:rFonts w:ascii="Arial" w:hAnsi="Arial" w:cs="Arial"/>
          <w:szCs w:val="22"/>
        </w:rPr>
        <w:t xml:space="preserve"> in izobraževal</w:t>
      </w:r>
      <w:r>
        <w:rPr>
          <w:rFonts w:ascii="Arial" w:hAnsi="Arial" w:cs="Arial"/>
          <w:szCs w:val="22"/>
        </w:rPr>
        <w:t>i</w:t>
      </w:r>
      <w:r w:rsidR="00AF3FEE" w:rsidRPr="00AF3FEE">
        <w:rPr>
          <w:rFonts w:ascii="Arial" w:hAnsi="Arial" w:cs="Arial"/>
          <w:szCs w:val="22"/>
        </w:rPr>
        <w:t xml:space="preserve"> se bo</w:t>
      </w:r>
      <w:r>
        <w:rPr>
          <w:rFonts w:ascii="Arial" w:hAnsi="Arial" w:cs="Arial"/>
          <w:szCs w:val="22"/>
        </w:rPr>
        <w:t>do</w:t>
      </w:r>
      <w:r w:rsidR="00AF3FEE" w:rsidRPr="00AF3FEE">
        <w:rPr>
          <w:rFonts w:ascii="Arial" w:hAnsi="Arial" w:cs="Arial"/>
          <w:szCs w:val="22"/>
        </w:rPr>
        <w:t xml:space="preserve"> uporabnik</w:t>
      </w:r>
      <w:r>
        <w:rPr>
          <w:rFonts w:ascii="Arial" w:hAnsi="Arial" w:cs="Arial"/>
          <w:szCs w:val="22"/>
        </w:rPr>
        <w:t>i</w:t>
      </w:r>
      <w:r w:rsidR="00AF3FEE" w:rsidRPr="00AF3FEE">
        <w:rPr>
          <w:rFonts w:ascii="Arial" w:hAnsi="Arial" w:cs="Arial"/>
          <w:szCs w:val="22"/>
        </w:rPr>
        <w:t xml:space="preserve"> naprav na lesno biomaso, instalaterj</w:t>
      </w:r>
      <w:r>
        <w:rPr>
          <w:rFonts w:ascii="Arial" w:hAnsi="Arial" w:cs="Arial"/>
          <w:szCs w:val="22"/>
        </w:rPr>
        <w:t>i</w:t>
      </w:r>
      <w:r w:rsidR="00AF3FEE" w:rsidRPr="00AF3FEE">
        <w:rPr>
          <w:rFonts w:ascii="Arial" w:hAnsi="Arial" w:cs="Arial"/>
          <w:szCs w:val="22"/>
        </w:rPr>
        <w:t xml:space="preserve"> naprav OVE in URE, </w:t>
      </w:r>
      <w:r w:rsidRPr="00AF3FEE">
        <w:rPr>
          <w:rFonts w:ascii="Arial" w:hAnsi="Arial" w:cs="Arial"/>
          <w:szCs w:val="22"/>
        </w:rPr>
        <w:t>upravnik</w:t>
      </w:r>
      <w:r>
        <w:rPr>
          <w:rFonts w:ascii="Arial" w:hAnsi="Arial" w:cs="Arial"/>
          <w:szCs w:val="22"/>
        </w:rPr>
        <w:t>i</w:t>
      </w:r>
      <w:r w:rsidRPr="00AF3FEE">
        <w:rPr>
          <w:rFonts w:ascii="Arial" w:hAnsi="Arial" w:cs="Arial"/>
          <w:szCs w:val="22"/>
        </w:rPr>
        <w:t xml:space="preserve"> </w:t>
      </w:r>
      <w:r w:rsidR="00AF3FEE" w:rsidRPr="00AF3FEE">
        <w:rPr>
          <w:rFonts w:ascii="Arial" w:hAnsi="Arial" w:cs="Arial"/>
          <w:szCs w:val="22"/>
        </w:rPr>
        <w:t xml:space="preserve">stavb, energetski </w:t>
      </w:r>
      <w:r w:rsidRPr="00AF3FEE">
        <w:rPr>
          <w:rFonts w:ascii="Arial" w:hAnsi="Arial" w:cs="Arial"/>
          <w:szCs w:val="22"/>
        </w:rPr>
        <w:t>menedžerj</w:t>
      </w:r>
      <w:r>
        <w:rPr>
          <w:rFonts w:ascii="Arial" w:hAnsi="Arial" w:cs="Arial"/>
          <w:szCs w:val="22"/>
        </w:rPr>
        <w:t>i</w:t>
      </w:r>
      <w:r w:rsidR="00AF3FEE" w:rsidRPr="00AF3FEE">
        <w:rPr>
          <w:rFonts w:ascii="Arial" w:hAnsi="Arial" w:cs="Arial"/>
          <w:szCs w:val="22"/>
        </w:rPr>
        <w:t>, tematsko se bo</w:t>
      </w:r>
      <w:r>
        <w:rPr>
          <w:rFonts w:ascii="Arial" w:hAnsi="Arial" w:cs="Arial"/>
          <w:szCs w:val="22"/>
        </w:rPr>
        <w:t>do</w:t>
      </w:r>
      <w:r w:rsidR="00AF3FEE" w:rsidRPr="00AF3FEE">
        <w:rPr>
          <w:rFonts w:ascii="Arial" w:hAnsi="Arial" w:cs="Arial"/>
          <w:szCs w:val="22"/>
        </w:rPr>
        <w:t xml:space="preserve"> ozaveščal</w:t>
      </w:r>
      <w:r>
        <w:rPr>
          <w:rFonts w:ascii="Arial" w:hAnsi="Arial" w:cs="Arial"/>
          <w:szCs w:val="22"/>
        </w:rPr>
        <w:t>e</w:t>
      </w:r>
      <w:r w:rsidR="00AF3FEE" w:rsidRPr="00AF3FEE">
        <w:rPr>
          <w:rFonts w:ascii="Arial" w:hAnsi="Arial" w:cs="Arial"/>
          <w:szCs w:val="22"/>
        </w:rPr>
        <w:t xml:space="preserve"> in usposabljal</w:t>
      </w:r>
      <w:r>
        <w:rPr>
          <w:rFonts w:ascii="Arial" w:hAnsi="Arial" w:cs="Arial"/>
          <w:szCs w:val="22"/>
        </w:rPr>
        <w:t>e</w:t>
      </w:r>
      <w:r w:rsidR="00AF3FEE" w:rsidRPr="00AF3FEE">
        <w:rPr>
          <w:rFonts w:ascii="Arial" w:hAnsi="Arial" w:cs="Arial"/>
          <w:szCs w:val="22"/>
        </w:rPr>
        <w:t xml:space="preserve"> ciljne poklicne skupine o problematiki URE in OVE (gasilci, reševalci, dimnikarji</w:t>
      </w:r>
      <w:r>
        <w:rPr>
          <w:rFonts w:ascii="Arial" w:hAnsi="Arial" w:cs="Arial"/>
          <w:szCs w:val="22"/>
        </w:rPr>
        <w:t xml:space="preserve"> </w:t>
      </w:r>
      <w:r w:rsidR="00AF3FEE" w:rsidRPr="00AF3FEE">
        <w:rPr>
          <w:rFonts w:ascii="Arial" w:hAnsi="Arial" w:cs="Arial"/>
          <w:szCs w:val="22"/>
        </w:rPr>
        <w:t>…). V letu 2024 je MOPE že izvedlo večjo kampanjo o OVE</w:t>
      </w:r>
      <w:r>
        <w:rPr>
          <w:rFonts w:ascii="Arial" w:hAnsi="Arial" w:cs="Arial"/>
          <w:szCs w:val="22"/>
        </w:rPr>
        <w:t>;</w:t>
      </w:r>
      <w:r w:rsidR="00AF3FEE" w:rsidRPr="00AF3FEE">
        <w:rPr>
          <w:rFonts w:ascii="Arial" w:hAnsi="Arial" w:cs="Arial"/>
          <w:szCs w:val="22"/>
        </w:rPr>
        <w:t xml:space="preserve"> </w:t>
      </w:r>
    </w:p>
    <w:p w14:paraId="2D4F5CA5" w14:textId="55C16C51" w:rsidR="00AF3FEE" w:rsidRPr="00AF3FEE" w:rsidRDefault="00FA2C80" w:rsidP="00A57F7D">
      <w:pPr>
        <w:pStyle w:val="BodyText"/>
        <w:numPr>
          <w:ilvl w:val="0"/>
          <w:numId w:val="35"/>
        </w:numPr>
        <w:rPr>
          <w:rFonts w:ascii="Arial" w:hAnsi="Arial" w:cs="Arial"/>
          <w:szCs w:val="22"/>
        </w:rPr>
      </w:pPr>
      <w:r>
        <w:rPr>
          <w:rFonts w:ascii="Arial" w:hAnsi="Arial" w:cs="Arial"/>
          <w:szCs w:val="22"/>
        </w:rPr>
        <w:t>p</w:t>
      </w:r>
      <w:r w:rsidR="00AF3FEE" w:rsidRPr="00AF3FEE">
        <w:rPr>
          <w:rFonts w:ascii="Arial" w:hAnsi="Arial" w:cs="Arial"/>
          <w:szCs w:val="22"/>
        </w:rPr>
        <w:t>romocija trajnostnega načina prehranjevanja (M36.5.); gre za nov, dodaten ukrep v NEPN, ki se osredotoča na posodobljene prehranske smernice in tudi</w:t>
      </w:r>
      <w:r>
        <w:rPr>
          <w:rFonts w:ascii="Arial" w:hAnsi="Arial" w:cs="Arial"/>
          <w:szCs w:val="22"/>
        </w:rPr>
        <w:t xml:space="preserve"> na</w:t>
      </w:r>
      <w:r w:rsidR="00AF3FEE" w:rsidRPr="00AF3FEE">
        <w:rPr>
          <w:rFonts w:ascii="Arial" w:hAnsi="Arial" w:cs="Arial"/>
          <w:szCs w:val="22"/>
        </w:rPr>
        <w:t xml:space="preserve"> promocijo preprečevanja nastajanja odpadne hrane, promocijo in pomen lokalne hrane</w:t>
      </w:r>
      <w:r>
        <w:rPr>
          <w:rFonts w:ascii="Arial" w:hAnsi="Arial" w:cs="Arial"/>
          <w:szCs w:val="22"/>
        </w:rPr>
        <w:t xml:space="preserve"> </w:t>
      </w:r>
      <w:r w:rsidR="00AF3FEE" w:rsidRPr="00AF3FEE">
        <w:rPr>
          <w:rFonts w:ascii="Arial" w:hAnsi="Arial" w:cs="Arial"/>
          <w:szCs w:val="22"/>
        </w:rPr>
        <w:t>…</w:t>
      </w:r>
      <w:r>
        <w:rPr>
          <w:rFonts w:ascii="Arial" w:hAnsi="Arial" w:cs="Arial"/>
          <w:szCs w:val="22"/>
        </w:rPr>
        <w:t>;</w:t>
      </w:r>
      <w:r w:rsidR="00AF3FEE" w:rsidRPr="00AF3FEE">
        <w:rPr>
          <w:rFonts w:ascii="Arial" w:hAnsi="Arial" w:cs="Arial"/>
          <w:szCs w:val="22"/>
        </w:rPr>
        <w:t xml:space="preserve"> </w:t>
      </w:r>
    </w:p>
    <w:p w14:paraId="58A1F7B0" w14:textId="5FFC243C" w:rsidR="00AF3FEE" w:rsidRPr="00AF3FEE" w:rsidRDefault="00FA2C80" w:rsidP="00A57F7D">
      <w:pPr>
        <w:pStyle w:val="BodyText"/>
        <w:numPr>
          <w:ilvl w:val="0"/>
          <w:numId w:val="35"/>
        </w:numPr>
        <w:rPr>
          <w:rFonts w:ascii="Arial" w:hAnsi="Arial" w:cs="Arial"/>
          <w:szCs w:val="22"/>
        </w:rPr>
      </w:pPr>
      <w:r>
        <w:rPr>
          <w:rFonts w:ascii="Arial" w:hAnsi="Arial" w:cs="Arial"/>
          <w:szCs w:val="22"/>
        </w:rPr>
        <w:t>n</w:t>
      </w:r>
      <w:r w:rsidR="00AF3FEE" w:rsidRPr="00AF3FEE">
        <w:rPr>
          <w:rFonts w:ascii="Arial" w:hAnsi="Arial" w:cs="Arial"/>
          <w:szCs w:val="22"/>
        </w:rPr>
        <w:t xml:space="preserve">ačrtovanje in razvoj izobraževanja in usposabljanja za prehod v podnebno nevtralno družbo in krožno gospodarstvo s poudarkom na potrebnih znanjih, kompetencah in kakovostnih delovnih mestih (M33.6); gre za nadgradnjo ukrepa, številne aktivnosti se izvajajo v </w:t>
      </w:r>
      <w:r w:rsidR="00040ECF">
        <w:rPr>
          <w:rFonts w:ascii="Arial" w:hAnsi="Arial" w:cs="Arial"/>
          <w:szCs w:val="22"/>
        </w:rPr>
        <w:t xml:space="preserve">okviru </w:t>
      </w:r>
      <w:r w:rsidR="00AF3FEE" w:rsidRPr="00AF3FEE">
        <w:rPr>
          <w:rFonts w:ascii="Arial" w:hAnsi="Arial" w:cs="Arial"/>
          <w:szCs w:val="22"/>
        </w:rPr>
        <w:t>projekta LIFE IP Care4Climate</w:t>
      </w:r>
      <w:r>
        <w:rPr>
          <w:rFonts w:ascii="Arial" w:hAnsi="Arial" w:cs="Arial"/>
          <w:szCs w:val="22"/>
        </w:rPr>
        <w:t>;</w:t>
      </w:r>
    </w:p>
    <w:p w14:paraId="58A7FB4B" w14:textId="72C665E1" w:rsidR="00AF3FEE" w:rsidRPr="00AF3FEE" w:rsidRDefault="00FA2C80" w:rsidP="00A57F7D">
      <w:pPr>
        <w:pStyle w:val="BodyText"/>
        <w:numPr>
          <w:ilvl w:val="0"/>
          <w:numId w:val="35"/>
        </w:numPr>
        <w:rPr>
          <w:rFonts w:ascii="Arial" w:hAnsi="Arial" w:cs="Arial"/>
          <w:szCs w:val="22"/>
        </w:rPr>
      </w:pPr>
      <w:r>
        <w:rPr>
          <w:rFonts w:ascii="Arial" w:hAnsi="Arial" w:cs="Arial"/>
          <w:szCs w:val="22"/>
        </w:rPr>
        <w:t>s</w:t>
      </w:r>
      <w:r w:rsidR="00AF3FEE" w:rsidRPr="00AF3FEE">
        <w:rPr>
          <w:rFonts w:ascii="Arial" w:hAnsi="Arial" w:cs="Arial"/>
          <w:szCs w:val="22"/>
        </w:rPr>
        <w:t xml:space="preserve">podbujanje usposabljanja in kadrovska krepitev v podjetjih in institucijah (M33.5); gre za nadgradnjo ukrepa, </w:t>
      </w:r>
      <w:r w:rsidR="00652FA0">
        <w:rPr>
          <w:rFonts w:ascii="Arial" w:hAnsi="Arial" w:cs="Arial"/>
          <w:szCs w:val="22"/>
        </w:rPr>
        <w:t>v okviru katerega</w:t>
      </w:r>
      <w:r w:rsidR="00652FA0" w:rsidRPr="00AF3FEE">
        <w:rPr>
          <w:rFonts w:ascii="Arial" w:hAnsi="Arial" w:cs="Arial"/>
          <w:szCs w:val="22"/>
        </w:rPr>
        <w:t xml:space="preserve"> </w:t>
      </w:r>
      <w:r w:rsidR="00AF3FEE" w:rsidRPr="00AF3FEE">
        <w:rPr>
          <w:rFonts w:ascii="Arial" w:hAnsi="Arial" w:cs="Arial"/>
          <w:szCs w:val="22"/>
        </w:rPr>
        <w:t>se bo</w:t>
      </w:r>
      <w:r w:rsidR="00652FA0">
        <w:rPr>
          <w:rFonts w:ascii="Arial" w:hAnsi="Arial" w:cs="Arial"/>
          <w:szCs w:val="22"/>
        </w:rPr>
        <w:t>sta</w:t>
      </w:r>
      <w:r w:rsidR="00AF3FEE" w:rsidRPr="00AF3FEE">
        <w:rPr>
          <w:rFonts w:ascii="Arial" w:hAnsi="Arial" w:cs="Arial"/>
          <w:szCs w:val="22"/>
        </w:rPr>
        <w:t xml:space="preserve"> pripravil</w:t>
      </w:r>
      <w:r w:rsidR="00652FA0">
        <w:rPr>
          <w:rFonts w:ascii="Arial" w:hAnsi="Arial" w:cs="Arial"/>
          <w:szCs w:val="22"/>
        </w:rPr>
        <w:t>a</w:t>
      </w:r>
      <w:r w:rsidR="00AF3FEE" w:rsidRPr="00AF3FEE">
        <w:rPr>
          <w:rFonts w:ascii="Arial" w:hAnsi="Arial" w:cs="Arial"/>
          <w:szCs w:val="22"/>
        </w:rPr>
        <w:t xml:space="preserve"> tudi enotni sistem </w:t>
      </w:r>
      <w:r w:rsidR="00B91681">
        <w:rPr>
          <w:rFonts w:ascii="Arial" w:hAnsi="Arial" w:cs="Arial"/>
          <w:szCs w:val="22"/>
        </w:rPr>
        <w:t>ocenjevanja</w:t>
      </w:r>
      <w:r w:rsidR="00B91681" w:rsidRPr="00AF3FEE">
        <w:rPr>
          <w:rFonts w:ascii="Arial" w:hAnsi="Arial" w:cs="Arial"/>
          <w:szCs w:val="22"/>
        </w:rPr>
        <w:t xml:space="preserve"> </w:t>
      </w:r>
      <w:r w:rsidR="00AF3FEE" w:rsidRPr="00AF3FEE">
        <w:rPr>
          <w:rFonts w:ascii="Arial" w:hAnsi="Arial" w:cs="Arial"/>
          <w:szCs w:val="22"/>
        </w:rPr>
        <w:t xml:space="preserve">in metodologija ocenjevanja učinkov </w:t>
      </w:r>
      <w:r w:rsidR="00652FA0" w:rsidRPr="00AF3FEE">
        <w:rPr>
          <w:rFonts w:ascii="Arial" w:hAnsi="Arial" w:cs="Arial"/>
          <w:szCs w:val="22"/>
        </w:rPr>
        <w:t>t</w:t>
      </w:r>
      <w:r w:rsidR="00652FA0">
        <w:rPr>
          <w:rFonts w:ascii="Arial" w:hAnsi="Arial" w:cs="Arial"/>
          <w:szCs w:val="22"/>
        </w:rPr>
        <w:t>e</w:t>
      </w:r>
      <w:r w:rsidR="00652FA0" w:rsidRPr="00AF3FEE">
        <w:rPr>
          <w:rFonts w:ascii="Arial" w:hAnsi="Arial" w:cs="Arial"/>
          <w:szCs w:val="22"/>
        </w:rPr>
        <w:t xml:space="preserve">h </w:t>
      </w:r>
      <w:r w:rsidR="00AF3FEE" w:rsidRPr="00AF3FEE">
        <w:rPr>
          <w:rFonts w:ascii="Arial" w:hAnsi="Arial" w:cs="Arial"/>
          <w:szCs w:val="22"/>
        </w:rPr>
        <w:t xml:space="preserve">usposabljanj, vključuje pa tudi dodatno usposabljanje zaposlenih na pristojnih ministrstvih, v javnih skladih </w:t>
      </w:r>
      <w:r w:rsidR="00652FA0">
        <w:rPr>
          <w:rFonts w:ascii="Arial" w:hAnsi="Arial" w:cs="Arial"/>
          <w:szCs w:val="22"/>
        </w:rPr>
        <w:t>in tako dalje</w:t>
      </w:r>
      <w:r w:rsidR="00AF3FEE" w:rsidRPr="00AF3FEE">
        <w:rPr>
          <w:rFonts w:ascii="Arial" w:hAnsi="Arial" w:cs="Arial"/>
          <w:szCs w:val="22"/>
        </w:rPr>
        <w:t xml:space="preserve"> o tematikah zelenega prehoda. </w:t>
      </w:r>
    </w:p>
    <w:p w14:paraId="3F605CB7" w14:textId="094A4D1A" w:rsidR="00AF3FEE" w:rsidRPr="00AF3FEE" w:rsidRDefault="00AF3FEE" w:rsidP="00AF3FEE">
      <w:pPr>
        <w:pStyle w:val="BodyText"/>
        <w:rPr>
          <w:rFonts w:ascii="Arial" w:hAnsi="Arial" w:cs="Arial"/>
          <w:szCs w:val="22"/>
        </w:rPr>
      </w:pPr>
      <w:r w:rsidRPr="00AF3FEE">
        <w:rPr>
          <w:rFonts w:ascii="Arial" w:hAnsi="Arial" w:cs="Arial"/>
          <w:szCs w:val="22"/>
        </w:rPr>
        <w:t xml:space="preserve">Kot </w:t>
      </w:r>
      <w:r w:rsidR="004F2B0D">
        <w:rPr>
          <w:rFonts w:ascii="Arial" w:hAnsi="Arial" w:cs="Arial"/>
          <w:szCs w:val="22"/>
        </w:rPr>
        <w:t xml:space="preserve">je bilo </w:t>
      </w:r>
      <w:r w:rsidRPr="00AF3FEE">
        <w:rPr>
          <w:rFonts w:ascii="Arial" w:hAnsi="Arial" w:cs="Arial"/>
          <w:szCs w:val="22"/>
        </w:rPr>
        <w:t xml:space="preserve">že </w:t>
      </w:r>
      <w:r w:rsidR="004F2B0D">
        <w:rPr>
          <w:rFonts w:ascii="Arial" w:hAnsi="Arial" w:cs="Arial"/>
          <w:szCs w:val="22"/>
        </w:rPr>
        <w:t xml:space="preserve">navedeno, </w:t>
      </w:r>
      <w:r w:rsidRPr="00AF3FEE">
        <w:rPr>
          <w:rFonts w:ascii="Arial" w:hAnsi="Arial" w:cs="Arial"/>
          <w:szCs w:val="22"/>
        </w:rPr>
        <w:t xml:space="preserve">se številna usposabljanja, izobraževanja, ozaveščanje in promocija izvajajo </w:t>
      </w:r>
      <w:r w:rsidR="00040ECF">
        <w:rPr>
          <w:rFonts w:ascii="Arial" w:hAnsi="Arial" w:cs="Arial"/>
          <w:szCs w:val="22"/>
        </w:rPr>
        <w:t>v okviru</w:t>
      </w:r>
      <w:r w:rsidR="00040ECF" w:rsidRPr="00AF3FEE">
        <w:rPr>
          <w:rFonts w:ascii="Arial" w:hAnsi="Arial" w:cs="Arial"/>
          <w:szCs w:val="22"/>
        </w:rPr>
        <w:t xml:space="preserve"> </w:t>
      </w:r>
      <w:r w:rsidRPr="00AF3FEE">
        <w:rPr>
          <w:rFonts w:ascii="Arial" w:hAnsi="Arial" w:cs="Arial"/>
          <w:szCs w:val="22"/>
        </w:rPr>
        <w:t xml:space="preserve">projekta LIFE IP Care4Climate, vzpostavila </w:t>
      </w:r>
      <w:r w:rsidR="00040ECF">
        <w:rPr>
          <w:rFonts w:ascii="Arial" w:hAnsi="Arial" w:cs="Arial"/>
          <w:szCs w:val="22"/>
        </w:rPr>
        <w:t xml:space="preserve">se je </w:t>
      </w:r>
      <w:r w:rsidRPr="00AF3FEE">
        <w:rPr>
          <w:rFonts w:ascii="Arial" w:hAnsi="Arial" w:cs="Arial"/>
          <w:szCs w:val="22"/>
        </w:rPr>
        <w:t xml:space="preserve">tudi spletna stran </w:t>
      </w:r>
      <w:hyperlink r:id="rId28" w:history="1">
        <w:r w:rsidRPr="00AF3FEE">
          <w:rPr>
            <w:rStyle w:val="Hyperlink"/>
            <w:rFonts w:ascii="Arial" w:hAnsi="Arial" w:cs="Arial"/>
            <w:szCs w:val="22"/>
          </w:rPr>
          <w:t>www.samo1planet.si</w:t>
        </w:r>
      </w:hyperlink>
      <w:r w:rsidRPr="00AF3FEE">
        <w:rPr>
          <w:rFonts w:ascii="Arial" w:hAnsi="Arial" w:cs="Arial"/>
          <w:szCs w:val="22"/>
        </w:rPr>
        <w:t xml:space="preserve">, na področju prometa je </w:t>
      </w:r>
      <w:r w:rsidR="00040ECF">
        <w:rPr>
          <w:rFonts w:ascii="Arial" w:hAnsi="Arial" w:cs="Arial"/>
          <w:szCs w:val="22"/>
        </w:rPr>
        <w:t xml:space="preserve">vzpostavljena </w:t>
      </w:r>
      <w:r w:rsidRPr="00AF3FEE">
        <w:rPr>
          <w:rFonts w:ascii="Arial" w:hAnsi="Arial" w:cs="Arial"/>
          <w:szCs w:val="22"/>
        </w:rPr>
        <w:t xml:space="preserve">spletna stran, ki združuje številne informacije </w:t>
      </w:r>
      <w:r w:rsidR="00652FA0">
        <w:rPr>
          <w:rFonts w:ascii="Arial" w:hAnsi="Arial" w:cs="Arial"/>
          <w:szCs w:val="22"/>
        </w:rPr>
        <w:t xml:space="preserve">o </w:t>
      </w:r>
      <w:r w:rsidRPr="00AF3FEE">
        <w:rPr>
          <w:rFonts w:ascii="Arial" w:hAnsi="Arial" w:cs="Arial"/>
          <w:szCs w:val="22"/>
        </w:rPr>
        <w:t>slovensk</w:t>
      </w:r>
      <w:r w:rsidR="00652FA0">
        <w:rPr>
          <w:rFonts w:ascii="Arial" w:hAnsi="Arial" w:cs="Arial"/>
          <w:szCs w:val="22"/>
        </w:rPr>
        <w:t>i</w:t>
      </w:r>
      <w:r w:rsidRPr="00AF3FEE">
        <w:rPr>
          <w:rFonts w:ascii="Arial" w:hAnsi="Arial" w:cs="Arial"/>
          <w:szCs w:val="22"/>
        </w:rPr>
        <w:t xml:space="preserve"> mobilnostn</w:t>
      </w:r>
      <w:r w:rsidR="00652FA0">
        <w:rPr>
          <w:rFonts w:ascii="Arial" w:hAnsi="Arial" w:cs="Arial"/>
          <w:szCs w:val="22"/>
        </w:rPr>
        <w:t>i</w:t>
      </w:r>
      <w:r w:rsidRPr="00AF3FEE">
        <w:rPr>
          <w:rFonts w:ascii="Arial" w:hAnsi="Arial" w:cs="Arial"/>
          <w:szCs w:val="22"/>
        </w:rPr>
        <w:t xml:space="preserve"> platform</w:t>
      </w:r>
      <w:r w:rsidR="00652FA0">
        <w:rPr>
          <w:rFonts w:ascii="Arial" w:hAnsi="Arial" w:cs="Arial"/>
          <w:szCs w:val="22"/>
        </w:rPr>
        <w:t>i</w:t>
      </w:r>
      <w:r w:rsidRPr="00AF3FEE">
        <w:rPr>
          <w:rFonts w:ascii="Arial" w:hAnsi="Arial" w:cs="Arial"/>
          <w:szCs w:val="22"/>
        </w:rPr>
        <w:t xml:space="preserve"> za trajnostno mobilnost </w:t>
      </w:r>
      <w:hyperlink r:id="rId29" w:history="1">
        <w:r w:rsidRPr="00AF3FEE">
          <w:rPr>
            <w:rStyle w:val="Hyperlink"/>
            <w:rFonts w:ascii="Arial" w:hAnsi="Arial" w:cs="Arial"/>
            <w:szCs w:val="22"/>
          </w:rPr>
          <w:t>www.sptm.si</w:t>
        </w:r>
      </w:hyperlink>
      <w:r w:rsidR="002461F7" w:rsidRPr="00652FA0">
        <w:rPr>
          <w:rStyle w:val="Hyperlink"/>
          <w:rFonts w:ascii="Arial" w:hAnsi="Arial" w:cs="Arial"/>
          <w:szCs w:val="22"/>
          <w:u w:val="none"/>
        </w:rPr>
        <w:t>.</w:t>
      </w:r>
      <w:r w:rsidRPr="00AF3FEE">
        <w:rPr>
          <w:rFonts w:ascii="Arial" w:hAnsi="Arial" w:cs="Arial"/>
          <w:szCs w:val="22"/>
        </w:rPr>
        <w:t xml:space="preserve"> Sicer je tudi znotraj NOD pod </w:t>
      </w:r>
      <w:r w:rsidR="003F21C8">
        <w:rPr>
          <w:rFonts w:ascii="Arial" w:hAnsi="Arial" w:cs="Arial"/>
          <w:szCs w:val="22"/>
        </w:rPr>
        <w:t xml:space="preserve">naslovom </w:t>
      </w:r>
      <w:r w:rsidRPr="00AF3FEE">
        <w:rPr>
          <w:rFonts w:ascii="Arial" w:hAnsi="Arial" w:cs="Arial"/>
          <w:szCs w:val="22"/>
        </w:rPr>
        <w:t xml:space="preserve">Pametna, trajnostna in vključujoča rast vključena </w:t>
      </w:r>
      <w:r w:rsidR="003F21C8">
        <w:rPr>
          <w:rFonts w:ascii="Arial" w:hAnsi="Arial" w:cs="Arial"/>
          <w:szCs w:val="22"/>
        </w:rPr>
        <w:t>k</w:t>
      </w:r>
      <w:r w:rsidRPr="00AF3FEE">
        <w:rPr>
          <w:rFonts w:ascii="Arial" w:hAnsi="Arial" w:cs="Arial"/>
          <w:szCs w:val="22"/>
        </w:rPr>
        <w:t xml:space="preserve">repitev kompetenc, zlasti digitalnih in tistih, ki jih zahtevajo novi poklici in zeleni prehod. Kot reforma je navedena </w:t>
      </w:r>
      <w:r w:rsidR="003F21C8">
        <w:rPr>
          <w:rFonts w:ascii="Arial" w:hAnsi="Arial" w:cs="Arial"/>
          <w:szCs w:val="22"/>
        </w:rPr>
        <w:t>p</w:t>
      </w:r>
      <w:r w:rsidRPr="00AF3FEE">
        <w:rPr>
          <w:rFonts w:ascii="Arial" w:hAnsi="Arial" w:cs="Arial"/>
          <w:szCs w:val="22"/>
        </w:rPr>
        <w:t>renova vzgojno</w:t>
      </w:r>
      <w:r w:rsidR="00652FA0">
        <w:rPr>
          <w:rFonts w:ascii="Arial" w:hAnsi="Arial" w:cs="Arial"/>
          <w:szCs w:val="22"/>
        </w:rPr>
        <w:t>-</w:t>
      </w:r>
      <w:r w:rsidRPr="00AF3FEE">
        <w:rPr>
          <w:rFonts w:ascii="Arial" w:hAnsi="Arial" w:cs="Arial"/>
          <w:szCs w:val="22"/>
        </w:rPr>
        <w:t xml:space="preserve">izobraževalnega sistema za zeleni in digitalni prehod, katere cilj </w:t>
      </w:r>
      <w:r w:rsidRPr="00AF3FEE">
        <w:rPr>
          <w:rFonts w:ascii="Arial" w:hAnsi="Arial" w:cs="Arial"/>
          <w:szCs w:val="22"/>
        </w:rPr>
        <w:lastRenderedPageBreak/>
        <w:t xml:space="preserve">je učencem in učiteljem zagotoviti nove kompetence, med </w:t>
      </w:r>
      <w:r w:rsidR="003F21C8">
        <w:rPr>
          <w:rFonts w:ascii="Arial" w:hAnsi="Arial" w:cs="Arial"/>
          <w:szCs w:val="22"/>
        </w:rPr>
        <w:t>njimi</w:t>
      </w:r>
      <w:r w:rsidRPr="00AF3FEE">
        <w:rPr>
          <w:rFonts w:ascii="Arial" w:hAnsi="Arial" w:cs="Arial"/>
          <w:szCs w:val="22"/>
        </w:rPr>
        <w:t xml:space="preserve"> tudi kompetence iz trajnostnega razvoja. Za izvedbo reforme je predvidenih 4,42 milijona evrov. </w:t>
      </w:r>
      <w:r w:rsidR="003F21C8">
        <w:rPr>
          <w:rFonts w:ascii="Arial" w:hAnsi="Arial" w:cs="Arial"/>
          <w:szCs w:val="22"/>
        </w:rPr>
        <w:t>N</w:t>
      </w:r>
      <w:r w:rsidRPr="00AF3FEE">
        <w:rPr>
          <w:rFonts w:ascii="Arial" w:hAnsi="Arial" w:cs="Arial"/>
          <w:szCs w:val="22"/>
        </w:rPr>
        <w:t xml:space="preserve">avedena </w:t>
      </w:r>
      <w:r w:rsidR="003F21C8">
        <w:rPr>
          <w:rFonts w:ascii="Arial" w:hAnsi="Arial" w:cs="Arial"/>
          <w:szCs w:val="22"/>
        </w:rPr>
        <w:t>je tudi r</w:t>
      </w:r>
      <w:r w:rsidRPr="00AF3FEE">
        <w:rPr>
          <w:rFonts w:ascii="Arial" w:hAnsi="Arial" w:cs="Arial"/>
          <w:szCs w:val="22"/>
        </w:rPr>
        <w:t>eforma visokega šolstva za zeleni in odporen prehod, katere cilj je posodobitev visokošolskega strokovnega izobraževanja zaradi zelenega in digitalnega prehoda. Za reformo j</w:t>
      </w:r>
      <w:r w:rsidR="002461F7">
        <w:rPr>
          <w:rFonts w:ascii="Arial" w:hAnsi="Arial" w:cs="Arial"/>
          <w:szCs w:val="22"/>
        </w:rPr>
        <w:t>e</w:t>
      </w:r>
      <w:r w:rsidRPr="00AF3FEE">
        <w:rPr>
          <w:rFonts w:ascii="Arial" w:hAnsi="Arial" w:cs="Arial"/>
          <w:szCs w:val="22"/>
        </w:rPr>
        <w:t xml:space="preserve"> </w:t>
      </w:r>
      <w:r w:rsidR="003F21C8">
        <w:rPr>
          <w:rFonts w:ascii="Arial" w:hAnsi="Arial" w:cs="Arial"/>
          <w:szCs w:val="22"/>
        </w:rPr>
        <w:t xml:space="preserve">na </w:t>
      </w:r>
      <w:r w:rsidRPr="00AF3FEE">
        <w:rPr>
          <w:rFonts w:ascii="Arial" w:hAnsi="Arial" w:cs="Arial"/>
          <w:szCs w:val="22"/>
        </w:rPr>
        <w:t xml:space="preserve">voljo 2,02 milijona evrov.  </w:t>
      </w:r>
    </w:p>
    <w:p w14:paraId="6ED1A49B" w14:textId="77777777" w:rsidR="00AF3FEE" w:rsidRPr="00AF3FEE" w:rsidRDefault="00AF3FEE" w:rsidP="00AF3FEE">
      <w:pPr>
        <w:pStyle w:val="Heading41"/>
        <w:jc w:val="both"/>
        <w:rPr>
          <w:rFonts w:cs="Arial"/>
          <w:szCs w:val="22"/>
          <w:lang w:val="sl-SI"/>
        </w:rPr>
      </w:pPr>
      <w:bookmarkStart w:id="64" w:name="_Ref192941165"/>
      <w:r w:rsidRPr="00AF3FEE">
        <w:rPr>
          <w:rFonts w:cs="Arial"/>
          <w:szCs w:val="22"/>
          <w:lang w:val="sl-SI"/>
        </w:rPr>
        <w:t>Zeleno javno naročanje</w:t>
      </w:r>
      <w:bookmarkEnd w:id="64"/>
    </w:p>
    <w:p w14:paraId="7BA4BD20" w14:textId="027C9FC9" w:rsidR="00AF3FEE" w:rsidRPr="0038553C" w:rsidRDefault="00AF3FEE" w:rsidP="00AF3FEE">
      <w:pPr>
        <w:pStyle w:val="Naslov-VplivUkrepa-Sektorji"/>
        <w:jc w:val="both"/>
        <w:rPr>
          <w:rStyle w:val="Tekst-VplivUkrepa-SektorjiCharChar"/>
          <w:rFonts w:ascii="Arial" w:hAnsi="Arial" w:cs="Arial"/>
          <w:iCs/>
          <w:szCs w:val="22"/>
        </w:rPr>
      </w:pPr>
      <w:bookmarkStart w:id="65" w:name="_Hlk192278941"/>
      <w:r w:rsidRPr="00AF3FEE">
        <w:rPr>
          <w:rFonts w:ascii="Arial" w:hAnsi="Arial" w:cs="Arial"/>
          <w:szCs w:val="22"/>
        </w:rPr>
        <w:t xml:space="preserve">Sektorji, na katere </w:t>
      </w:r>
      <w:r w:rsidR="00652FA0"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iCs/>
          <w:szCs w:val="22"/>
        </w:rPr>
        <w:t>raba energije v javnem sektorju, raba energije v prometu</w:t>
      </w:r>
      <w:r w:rsidR="003F21C8">
        <w:rPr>
          <w:rFonts w:ascii="Arial" w:hAnsi="Arial" w:cs="Arial"/>
          <w:b w:val="0"/>
          <w:iCs/>
          <w:szCs w:val="22"/>
        </w:rPr>
        <w:t>.</w:t>
      </w:r>
    </w:p>
    <w:bookmarkEnd w:id="65"/>
    <w:p w14:paraId="79F86756" w14:textId="6BBBD960" w:rsidR="00AF3FEE" w:rsidRPr="00AF3FEE" w:rsidRDefault="00AF3FEE" w:rsidP="00AF3FEE">
      <w:pPr>
        <w:pStyle w:val="BodyText"/>
        <w:rPr>
          <w:rFonts w:ascii="Arial" w:eastAsia="Calibri" w:hAnsi="Arial" w:cs="Arial"/>
          <w:szCs w:val="22"/>
        </w:rPr>
      </w:pPr>
      <w:r w:rsidRPr="00AF3FEE">
        <w:rPr>
          <w:rFonts w:ascii="Arial" w:eastAsia="Calibri" w:hAnsi="Arial" w:cs="Arial"/>
          <w:szCs w:val="22"/>
        </w:rPr>
        <w:t>Ukrep zelenega javnega naročanja (ZeJN) je zmanjšati negativne vplive javnega sektorja na okolje, in s tem nastanka emisij TGP, z naročanjem blaga, storitev in gradenj, ki so okoljsko manj obremenjujoči</w:t>
      </w:r>
      <w:r w:rsidR="002461F7">
        <w:rPr>
          <w:rFonts w:ascii="Arial" w:eastAsia="Calibri" w:hAnsi="Arial" w:cs="Arial"/>
          <w:szCs w:val="22"/>
        </w:rPr>
        <w:t xml:space="preserve"> </w:t>
      </w:r>
      <w:r w:rsidR="007032EB">
        <w:rPr>
          <w:rFonts w:ascii="Arial" w:eastAsia="Calibri" w:hAnsi="Arial" w:cs="Arial"/>
          <w:szCs w:val="22"/>
        </w:rPr>
        <w:t>in imajo enake ali boljše funkcionalne lastnosti</w:t>
      </w:r>
      <w:r w:rsidR="007032EB" w:rsidRPr="00AF3FEE">
        <w:rPr>
          <w:rFonts w:ascii="Arial" w:eastAsia="Calibri" w:hAnsi="Arial" w:cs="Arial"/>
          <w:szCs w:val="22"/>
        </w:rPr>
        <w:t xml:space="preserve">. </w:t>
      </w:r>
      <w:r w:rsidRPr="00AF3FEE">
        <w:rPr>
          <w:rFonts w:ascii="Arial" w:eastAsia="Calibri" w:hAnsi="Arial" w:cs="Arial"/>
          <w:szCs w:val="22"/>
        </w:rPr>
        <w:t xml:space="preserve">S tem se izboljšujejo okoljske značilnosti </w:t>
      </w:r>
      <w:r w:rsidR="00652FA0">
        <w:rPr>
          <w:rFonts w:ascii="Arial" w:eastAsia="Calibri" w:hAnsi="Arial" w:cs="Arial"/>
          <w:szCs w:val="22"/>
        </w:rPr>
        <w:t>veljavne</w:t>
      </w:r>
      <w:r w:rsidR="00652FA0" w:rsidRPr="00AF3FEE">
        <w:rPr>
          <w:rFonts w:ascii="Arial" w:eastAsia="Calibri" w:hAnsi="Arial" w:cs="Arial"/>
          <w:szCs w:val="22"/>
        </w:rPr>
        <w:t xml:space="preserve"> </w:t>
      </w:r>
      <w:r w:rsidRPr="00AF3FEE">
        <w:rPr>
          <w:rFonts w:ascii="Arial" w:eastAsia="Calibri" w:hAnsi="Arial" w:cs="Arial"/>
          <w:szCs w:val="22"/>
        </w:rPr>
        <w:t xml:space="preserve">ponudbe, spodbuja razvoj okoljskih inovacij in krožnega gospodarstva ter daje zgled zasebnemu sektorju in potrošnikom. Ciljne skupine </w:t>
      </w:r>
      <w:r w:rsidR="00652FA0">
        <w:rPr>
          <w:rFonts w:ascii="Arial" w:eastAsia="Calibri" w:hAnsi="Arial" w:cs="Arial"/>
          <w:szCs w:val="22"/>
        </w:rPr>
        <w:t>s</w:t>
      </w:r>
      <w:r w:rsidR="00652FA0" w:rsidRPr="00AF3FEE">
        <w:rPr>
          <w:rFonts w:ascii="Arial" w:eastAsia="Calibri" w:hAnsi="Arial" w:cs="Arial"/>
          <w:szCs w:val="22"/>
        </w:rPr>
        <w:t xml:space="preserve">o </w:t>
      </w:r>
      <w:r w:rsidRPr="00AF3FEE">
        <w:rPr>
          <w:rFonts w:ascii="Arial" w:eastAsia="Calibri" w:hAnsi="Arial" w:cs="Arial"/>
          <w:szCs w:val="22"/>
        </w:rPr>
        <w:t>javn</w:t>
      </w:r>
      <w:r w:rsidR="00652FA0">
        <w:rPr>
          <w:rFonts w:ascii="Arial" w:eastAsia="Calibri" w:hAnsi="Arial" w:cs="Arial"/>
          <w:szCs w:val="22"/>
        </w:rPr>
        <w:t>i</w:t>
      </w:r>
      <w:r w:rsidRPr="00AF3FEE">
        <w:rPr>
          <w:rFonts w:ascii="Arial" w:eastAsia="Calibri" w:hAnsi="Arial" w:cs="Arial"/>
          <w:szCs w:val="22"/>
        </w:rPr>
        <w:t xml:space="preserve"> organ</w:t>
      </w:r>
      <w:r w:rsidR="00652FA0">
        <w:rPr>
          <w:rFonts w:ascii="Arial" w:eastAsia="Calibri" w:hAnsi="Arial" w:cs="Arial"/>
          <w:szCs w:val="22"/>
        </w:rPr>
        <w:t>i</w:t>
      </w:r>
      <w:r w:rsidRPr="00AF3FEE">
        <w:rPr>
          <w:rFonts w:ascii="Arial" w:eastAsia="Calibri" w:hAnsi="Arial" w:cs="Arial"/>
          <w:szCs w:val="22"/>
        </w:rPr>
        <w:t xml:space="preserve"> in naročnik</w:t>
      </w:r>
      <w:r w:rsidR="00652FA0">
        <w:rPr>
          <w:rFonts w:ascii="Arial" w:eastAsia="Calibri" w:hAnsi="Arial" w:cs="Arial"/>
          <w:szCs w:val="22"/>
        </w:rPr>
        <w:t>i</w:t>
      </w:r>
      <w:r w:rsidRPr="00AF3FEE">
        <w:rPr>
          <w:rFonts w:ascii="Arial" w:eastAsia="Calibri" w:hAnsi="Arial" w:cs="Arial"/>
          <w:szCs w:val="22"/>
        </w:rPr>
        <w:t>, dobavitelj</w:t>
      </w:r>
      <w:r w:rsidR="00652FA0">
        <w:rPr>
          <w:rFonts w:ascii="Arial" w:eastAsia="Calibri" w:hAnsi="Arial" w:cs="Arial"/>
          <w:szCs w:val="22"/>
        </w:rPr>
        <w:t>i</w:t>
      </w:r>
      <w:r w:rsidRPr="00AF3FEE">
        <w:rPr>
          <w:rFonts w:ascii="Arial" w:eastAsia="Calibri" w:hAnsi="Arial" w:cs="Arial"/>
          <w:szCs w:val="22"/>
        </w:rPr>
        <w:t xml:space="preserve"> </w:t>
      </w:r>
      <w:r w:rsidR="00652FA0">
        <w:rPr>
          <w:rFonts w:ascii="Arial" w:eastAsia="Calibri" w:hAnsi="Arial" w:cs="Arial"/>
          <w:szCs w:val="22"/>
        </w:rPr>
        <w:t>in</w:t>
      </w:r>
      <w:r w:rsidR="00652FA0" w:rsidRPr="00AF3FEE">
        <w:rPr>
          <w:rFonts w:ascii="Arial" w:eastAsia="Calibri" w:hAnsi="Arial" w:cs="Arial"/>
          <w:szCs w:val="22"/>
        </w:rPr>
        <w:t xml:space="preserve"> </w:t>
      </w:r>
      <w:r w:rsidRPr="00AF3FEE">
        <w:rPr>
          <w:rFonts w:ascii="Arial" w:eastAsia="Calibri" w:hAnsi="Arial" w:cs="Arial"/>
          <w:szCs w:val="22"/>
        </w:rPr>
        <w:t>izvajalc</w:t>
      </w:r>
      <w:r w:rsidR="00652FA0">
        <w:rPr>
          <w:rFonts w:ascii="Arial" w:eastAsia="Calibri" w:hAnsi="Arial" w:cs="Arial"/>
          <w:szCs w:val="22"/>
        </w:rPr>
        <w:t>i</w:t>
      </w:r>
      <w:r w:rsidRPr="00AF3FEE">
        <w:rPr>
          <w:rFonts w:ascii="Arial" w:eastAsia="Calibri" w:hAnsi="Arial" w:cs="Arial"/>
          <w:szCs w:val="22"/>
        </w:rPr>
        <w:t xml:space="preserve"> javnih naročil, strokovnjak</w:t>
      </w:r>
      <w:r w:rsidR="00652FA0">
        <w:rPr>
          <w:rFonts w:ascii="Arial" w:eastAsia="Calibri" w:hAnsi="Arial" w:cs="Arial"/>
          <w:szCs w:val="22"/>
        </w:rPr>
        <w:t>i</w:t>
      </w:r>
      <w:r w:rsidRPr="00AF3FEE">
        <w:rPr>
          <w:rFonts w:ascii="Arial" w:eastAsia="Calibri" w:hAnsi="Arial" w:cs="Arial"/>
          <w:szCs w:val="22"/>
        </w:rPr>
        <w:t xml:space="preserve"> za ZeJN in širš</w:t>
      </w:r>
      <w:r w:rsidR="00652FA0">
        <w:rPr>
          <w:rFonts w:ascii="Arial" w:eastAsia="Calibri" w:hAnsi="Arial" w:cs="Arial"/>
          <w:szCs w:val="22"/>
        </w:rPr>
        <w:t>a</w:t>
      </w:r>
      <w:r w:rsidRPr="00AF3FEE">
        <w:rPr>
          <w:rFonts w:ascii="Arial" w:eastAsia="Calibri" w:hAnsi="Arial" w:cs="Arial"/>
          <w:szCs w:val="22"/>
        </w:rPr>
        <w:t xml:space="preserve"> družb</w:t>
      </w:r>
      <w:r w:rsidR="00652FA0">
        <w:rPr>
          <w:rFonts w:ascii="Arial" w:eastAsia="Calibri" w:hAnsi="Arial" w:cs="Arial"/>
          <w:szCs w:val="22"/>
        </w:rPr>
        <w:t>a</w:t>
      </w:r>
      <w:r w:rsidRPr="00AF3FEE">
        <w:rPr>
          <w:rFonts w:ascii="Arial" w:eastAsia="Calibri" w:hAnsi="Arial" w:cs="Arial"/>
          <w:szCs w:val="22"/>
        </w:rPr>
        <w:t xml:space="preserve">, vključno s podjetji in potrošniki. Ključne aktivnosti v okviru NEPN 2024 zajemajo vzpostavitev pravnih podlag in financiranja za širitev ZeJN, pripravo vzorčne dokumentacije, smernic in digitalnih orodij, redna usposabljanja, mentoriranje </w:t>
      </w:r>
      <w:r w:rsidR="00652FA0">
        <w:rPr>
          <w:rFonts w:ascii="Arial" w:eastAsia="Calibri" w:hAnsi="Arial" w:cs="Arial"/>
          <w:szCs w:val="22"/>
        </w:rPr>
        <w:t>in</w:t>
      </w:r>
      <w:r w:rsidR="00652FA0" w:rsidRPr="00AF3FEE">
        <w:rPr>
          <w:rFonts w:ascii="Arial" w:eastAsia="Calibri" w:hAnsi="Arial" w:cs="Arial"/>
          <w:szCs w:val="22"/>
        </w:rPr>
        <w:t xml:space="preserve"> </w:t>
      </w:r>
      <w:r w:rsidRPr="00AF3FEE">
        <w:rPr>
          <w:rFonts w:ascii="Arial" w:eastAsia="Calibri" w:hAnsi="Arial" w:cs="Arial"/>
          <w:szCs w:val="22"/>
        </w:rPr>
        <w:t>strokovno pomoč naročnikom. Poudarek je tudi na promociji ZeJN in naročanju inovacij, vključevanju trajnostnih in krožnih načel, kot so daljša življenjska doba izdelkov, recikliranje in uporaba trajnostnih materialov, spodbujanju trajnostne mobilnosti in rabi OVE ter izvedbi pilotnih projektov za zelene inovacije. K temu prispeva tudi projekt LIFE IP Care4Climate</w:t>
      </w:r>
      <w:r w:rsidR="00652FA0">
        <w:rPr>
          <w:rFonts w:ascii="Arial" w:eastAsia="Calibri" w:hAnsi="Arial" w:cs="Arial"/>
          <w:szCs w:val="22"/>
        </w:rPr>
        <w:t>,</w:t>
      </w:r>
      <w:r w:rsidRPr="00AF3FEE">
        <w:rPr>
          <w:rFonts w:ascii="Arial" w:eastAsia="Calibri" w:hAnsi="Arial" w:cs="Arial"/>
          <w:szCs w:val="22"/>
        </w:rPr>
        <w:t xml:space="preserve"> v okviru katerega se izvajajo izobraževanja in usposabljanja javnih naročnikov </w:t>
      </w:r>
      <w:r w:rsidR="00652FA0">
        <w:rPr>
          <w:rFonts w:ascii="Arial" w:eastAsia="Calibri" w:hAnsi="Arial" w:cs="Arial"/>
          <w:szCs w:val="22"/>
        </w:rPr>
        <w:t>in</w:t>
      </w:r>
      <w:r w:rsidR="00652FA0" w:rsidRPr="00AF3FEE">
        <w:rPr>
          <w:rFonts w:ascii="Arial" w:eastAsia="Calibri" w:hAnsi="Arial" w:cs="Arial"/>
          <w:szCs w:val="22"/>
        </w:rPr>
        <w:t xml:space="preserve"> </w:t>
      </w:r>
      <w:r w:rsidRPr="00AF3FEE">
        <w:rPr>
          <w:rFonts w:ascii="Arial" w:eastAsia="Calibri" w:hAnsi="Arial" w:cs="Arial"/>
          <w:szCs w:val="22"/>
        </w:rPr>
        <w:t>drugih deležnikov, kar povečuje njihovo ozaveščenost in znanje o izvajanju ZeJN. Redno se bo</w:t>
      </w:r>
      <w:r w:rsidR="00652FA0">
        <w:rPr>
          <w:rFonts w:ascii="Arial" w:eastAsia="Calibri" w:hAnsi="Arial" w:cs="Arial"/>
          <w:szCs w:val="22"/>
        </w:rPr>
        <w:t>do</w:t>
      </w:r>
      <w:r w:rsidRPr="00AF3FEE">
        <w:rPr>
          <w:rFonts w:ascii="Arial" w:eastAsia="Calibri" w:hAnsi="Arial" w:cs="Arial"/>
          <w:szCs w:val="22"/>
        </w:rPr>
        <w:t xml:space="preserve"> spremljal</w:t>
      </w:r>
      <w:r w:rsidR="00652FA0">
        <w:rPr>
          <w:rFonts w:ascii="Arial" w:eastAsia="Calibri" w:hAnsi="Arial" w:cs="Arial"/>
          <w:szCs w:val="22"/>
        </w:rPr>
        <w:t>i</w:t>
      </w:r>
      <w:r w:rsidRPr="00AF3FEE">
        <w:rPr>
          <w:rFonts w:ascii="Arial" w:eastAsia="Calibri" w:hAnsi="Arial" w:cs="Arial"/>
          <w:szCs w:val="22"/>
        </w:rPr>
        <w:t xml:space="preserve"> tudi učink</w:t>
      </w:r>
      <w:r w:rsidR="00652FA0">
        <w:rPr>
          <w:rFonts w:ascii="Arial" w:eastAsia="Calibri" w:hAnsi="Arial" w:cs="Arial"/>
          <w:szCs w:val="22"/>
        </w:rPr>
        <w:t>i</w:t>
      </w:r>
      <w:r w:rsidRPr="00AF3FEE">
        <w:rPr>
          <w:rFonts w:ascii="Arial" w:eastAsia="Calibri" w:hAnsi="Arial" w:cs="Arial"/>
          <w:szCs w:val="22"/>
        </w:rPr>
        <w:t xml:space="preserve"> ZeJN na okolje, gospodarstvo in družbo. Ti ukrepi bodo prispevali k znižanju emisij, učinkovitejši rabi virov in pospeševanju zelenega prehoda v Sloveniji.</w:t>
      </w:r>
    </w:p>
    <w:p w14:paraId="49A1520A" w14:textId="0EA58CA3" w:rsidR="00AF3FEE" w:rsidRPr="00AF3FEE" w:rsidRDefault="00AF3FEE" w:rsidP="00AF3FEE">
      <w:pPr>
        <w:pStyle w:val="BodyText"/>
        <w:rPr>
          <w:rFonts w:ascii="Arial" w:eastAsia="Calibri" w:hAnsi="Arial" w:cs="Arial"/>
          <w:szCs w:val="22"/>
        </w:rPr>
      </w:pPr>
      <w:r w:rsidRPr="00AF3FEE">
        <w:rPr>
          <w:rFonts w:ascii="Arial" w:eastAsia="Calibri" w:hAnsi="Arial" w:cs="Arial"/>
          <w:szCs w:val="22"/>
        </w:rPr>
        <w:t>Področje pokriva Uredba o zelenem javnem naročanju</w:t>
      </w:r>
      <w:r w:rsidR="00E95329">
        <w:rPr>
          <w:rFonts w:ascii="Arial" w:eastAsia="Calibri" w:hAnsi="Arial" w:cs="Arial"/>
          <w:szCs w:val="22"/>
        </w:rPr>
        <w:t>,</w:t>
      </w:r>
      <w:r w:rsidRPr="00AF3FEE">
        <w:rPr>
          <w:rFonts w:ascii="Arial" w:eastAsia="Calibri" w:hAnsi="Arial" w:cs="Arial"/>
          <w:szCs w:val="22"/>
          <w:vertAlign w:val="superscript"/>
        </w:rPr>
        <w:footnoteReference w:id="38"/>
      </w:r>
      <w:r w:rsidRPr="00AF3FEE">
        <w:rPr>
          <w:rFonts w:ascii="Arial" w:eastAsia="Calibri" w:hAnsi="Arial" w:cs="Arial"/>
          <w:szCs w:val="22"/>
        </w:rPr>
        <w:t xml:space="preserve"> s katero so določeni predmeti javnega naročanja </w:t>
      </w:r>
      <w:r w:rsidR="00AD3A92">
        <w:rPr>
          <w:rFonts w:ascii="Arial" w:eastAsia="Calibri" w:hAnsi="Arial" w:cs="Arial"/>
          <w:szCs w:val="22"/>
        </w:rPr>
        <w:t xml:space="preserve">in v kateri </w:t>
      </w:r>
      <w:r w:rsidRPr="00AF3FEE">
        <w:rPr>
          <w:rFonts w:ascii="Arial" w:eastAsia="Calibri" w:hAnsi="Arial" w:cs="Arial"/>
          <w:szCs w:val="22"/>
        </w:rPr>
        <w:t>so opredeljeni okoljski vidiki in tudi cilji zelenega javnega naročanja (ZeJN). Priloga 1</w:t>
      </w:r>
      <w:r w:rsidR="00AD3A92">
        <w:rPr>
          <w:rFonts w:ascii="Arial" w:eastAsia="Calibri" w:hAnsi="Arial" w:cs="Arial"/>
          <w:szCs w:val="22"/>
        </w:rPr>
        <w:t xml:space="preserve"> uredbe</w:t>
      </w:r>
      <w:r w:rsidRPr="00AF3FEE">
        <w:rPr>
          <w:rFonts w:ascii="Arial" w:eastAsia="Calibri" w:hAnsi="Arial" w:cs="Arial"/>
          <w:szCs w:val="22"/>
        </w:rPr>
        <w:t xml:space="preserve"> natančneje opredeljuje 78 predmetov, za katere je javno naročanje obvezno. Od teh je upoštevanje okoljskih vidikov v postopkih javnega naročanja obvezno za 22 predmetov. </w:t>
      </w:r>
      <w:r w:rsidR="00AD3A92">
        <w:rPr>
          <w:rFonts w:ascii="Arial" w:eastAsia="Calibri" w:hAnsi="Arial" w:cs="Arial"/>
          <w:szCs w:val="22"/>
        </w:rPr>
        <w:t>P</w:t>
      </w:r>
      <w:r w:rsidRPr="00AF3FEE">
        <w:rPr>
          <w:rFonts w:ascii="Arial" w:eastAsia="Calibri" w:hAnsi="Arial" w:cs="Arial"/>
          <w:szCs w:val="22"/>
        </w:rPr>
        <w:t>rilog</w:t>
      </w:r>
      <w:r w:rsidR="00AD3A92">
        <w:rPr>
          <w:rFonts w:ascii="Arial" w:eastAsia="Calibri" w:hAnsi="Arial" w:cs="Arial"/>
          <w:szCs w:val="22"/>
        </w:rPr>
        <w:t>a</w:t>
      </w:r>
      <w:r w:rsidRPr="00AF3FEE">
        <w:rPr>
          <w:rFonts w:ascii="Arial" w:eastAsia="Calibri" w:hAnsi="Arial" w:cs="Arial"/>
          <w:szCs w:val="22"/>
        </w:rPr>
        <w:t xml:space="preserve"> 2</w:t>
      </w:r>
      <w:r w:rsidR="00AD3A92">
        <w:rPr>
          <w:rFonts w:ascii="Arial" w:eastAsia="Calibri" w:hAnsi="Arial" w:cs="Arial"/>
          <w:szCs w:val="22"/>
        </w:rPr>
        <w:t xml:space="preserve"> uredbe</w:t>
      </w:r>
      <w:r w:rsidRPr="00AF3FEE">
        <w:rPr>
          <w:rFonts w:ascii="Arial" w:eastAsia="Calibri" w:hAnsi="Arial" w:cs="Arial"/>
          <w:szCs w:val="22"/>
        </w:rPr>
        <w:t xml:space="preserve"> pa </w:t>
      </w:r>
      <w:r w:rsidR="00AD3A92">
        <w:rPr>
          <w:rFonts w:ascii="Arial" w:eastAsia="Calibri" w:hAnsi="Arial" w:cs="Arial"/>
          <w:szCs w:val="22"/>
        </w:rPr>
        <w:t>opredeljuje</w:t>
      </w:r>
      <w:r w:rsidRPr="00AF3FEE">
        <w:rPr>
          <w:rFonts w:ascii="Arial" w:eastAsia="Calibri" w:hAnsi="Arial" w:cs="Arial"/>
          <w:szCs w:val="22"/>
        </w:rPr>
        <w:t xml:space="preserve"> cilj</w:t>
      </w:r>
      <w:r w:rsidR="00AD3A92">
        <w:rPr>
          <w:rFonts w:ascii="Arial" w:eastAsia="Calibri" w:hAnsi="Arial" w:cs="Arial"/>
          <w:szCs w:val="22"/>
        </w:rPr>
        <w:t>e</w:t>
      </w:r>
      <w:r w:rsidRPr="00AF3FEE">
        <w:rPr>
          <w:rFonts w:ascii="Arial" w:eastAsia="Calibri" w:hAnsi="Arial" w:cs="Arial"/>
          <w:szCs w:val="22"/>
        </w:rPr>
        <w:t xml:space="preserve"> in pogoj</w:t>
      </w:r>
      <w:r w:rsidR="00AD3A92">
        <w:rPr>
          <w:rFonts w:ascii="Arial" w:eastAsia="Calibri" w:hAnsi="Arial" w:cs="Arial"/>
          <w:szCs w:val="22"/>
        </w:rPr>
        <w:t>e</w:t>
      </w:r>
      <w:r w:rsidRPr="00AF3FEE">
        <w:rPr>
          <w:rFonts w:ascii="Arial" w:eastAsia="Calibri" w:hAnsi="Arial" w:cs="Arial"/>
          <w:szCs w:val="22"/>
        </w:rPr>
        <w:t xml:space="preserve"> na področju javnega naročanja čistih in brezemisijskih vozil za cestni prevoz. </w:t>
      </w:r>
      <w:r w:rsidR="002461F7">
        <w:rPr>
          <w:rFonts w:ascii="Arial" w:eastAsia="Calibri" w:hAnsi="Arial" w:cs="Arial"/>
          <w:szCs w:val="22"/>
        </w:rPr>
        <w:t>Uredba je sicer v fazi novelacije.</w:t>
      </w:r>
    </w:p>
    <w:p w14:paraId="4CD536F4" w14:textId="72DFC064" w:rsidR="00AF3FEE" w:rsidRPr="00AF3FEE" w:rsidRDefault="00AF3FEE" w:rsidP="00AF3FEE">
      <w:pPr>
        <w:pStyle w:val="BodyText"/>
        <w:rPr>
          <w:rFonts w:ascii="Arial" w:eastAsia="Calibri" w:hAnsi="Arial" w:cs="Arial"/>
          <w:szCs w:val="22"/>
        </w:rPr>
      </w:pPr>
      <w:r w:rsidRPr="00AF3FEE">
        <w:rPr>
          <w:rFonts w:ascii="Arial" w:eastAsia="Calibri" w:hAnsi="Arial" w:cs="Arial"/>
          <w:szCs w:val="22"/>
        </w:rPr>
        <w:t xml:space="preserve">V letu 2023 je bilo oddanih 16.824 naročil (za okvirno 6,23 </w:t>
      </w:r>
      <w:r w:rsidR="006A109B">
        <w:rPr>
          <w:rFonts w:ascii="Arial" w:eastAsia="Calibri" w:hAnsi="Arial" w:cs="Arial"/>
          <w:szCs w:val="22"/>
        </w:rPr>
        <w:t>milijarde evrov</w:t>
      </w:r>
      <w:r w:rsidRPr="00AF3FEE">
        <w:rPr>
          <w:rFonts w:ascii="Arial" w:eastAsia="Calibri" w:hAnsi="Arial" w:cs="Arial"/>
          <w:szCs w:val="22"/>
        </w:rPr>
        <w:t xml:space="preserve">), najmanj en okoljski vidik pa je vključevalo 4804 naročil (2,14 </w:t>
      </w:r>
      <w:r w:rsidR="006A109B">
        <w:rPr>
          <w:rFonts w:ascii="Arial" w:eastAsia="Calibri" w:hAnsi="Arial" w:cs="Arial"/>
          <w:szCs w:val="22"/>
        </w:rPr>
        <w:t>milijarde evrov</w:t>
      </w:r>
      <w:r w:rsidRPr="00AF3FEE">
        <w:rPr>
          <w:rFonts w:ascii="Arial" w:eastAsia="Calibri" w:hAnsi="Arial" w:cs="Arial"/>
          <w:szCs w:val="22"/>
        </w:rPr>
        <w:t xml:space="preserve">). V vrednosti zelenih naročil, ki so predmet ZeJN, so z vidika zmanjšanja emisij TGP najpomembnejša naročila za cestna vozila, električno energijo, projektiranje oziroma izvedbo gradnje stavb, električne sijalke in svetilke ter razsvetljavo v notranjih prostorih </w:t>
      </w:r>
      <w:r w:rsidR="00E95329">
        <w:rPr>
          <w:rFonts w:ascii="Arial" w:eastAsia="Calibri" w:hAnsi="Arial" w:cs="Arial"/>
          <w:szCs w:val="22"/>
        </w:rPr>
        <w:t>ter</w:t>
      </w:r>
      <w:r w:rsidR="00E95329" w:rsidRPr="00AF3FEE">
        <w:rPr>
          <w:rFonts w:ascii="Arial" w:eastAsia="Calibri" w:hAnsi="Arial" w:cs="Arial"/>
          <w:szCs w:val="22"/>
        </w:rPr>
        <w:t xml:space="preserve"> </w:t>
      </w:r>
      <w:r w:rsidRPr="00AF3FEE">
        <w:rPr>
          <w:rFonts w:ascii="Arial" w:eastAsia="Calibri" w:hAnsi="Arial" w:cs="Arial"/>
          <w:szCs w:val="22"/>
        </w:rPr>
        <w:t>cestno razsvetljavo in prometno signalizacijo</w:t>
      </w:r>
      <w:r w:rsidR="00E95329">
        <w:rPr>
          <w:rFonts w:ascii="Arial" w:eastAsia="Calibri" w:hAnsi="Arial" w:cs="Arial"/>
          <w:szCs w:val="22"/>
        </w:rPr>
        <w:t>.</w:t>
      </w:r>
      <w:r w:rsidRPr="00AF3FEE">
        <w:rPr>
          <w:rStyle w:val="FootnoteReference"/>
          <w:rFonts w:ascii="Arial" w:eastAsia="Calibri" w:hAnsi="Arial" w:cs="Arial"/>
          <w:szCs w:val="22"/>
        </w:rPr>
        <w:footnoteReference w:id="39"/>
      </w:r>
      <w:r w:rsidRPr="00AF3FEE">
        <w:rPr>
          <w:rFonts w:ascii="Arial" w:eastAsia="Calibri" w:hAnsi="Arial" w:cs="Arial"/>
          <w:szCs w:val="22"/>
        </w:rPr>
        <w:t xml:space="preserve"> </w:t>
      </w:r>
    </w:p>
    <w:p w14:paraId="2AAA0901" w14:textId="6022D18C"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Energijsko označevanje in minimalni standardi</w:t>
      </w:r>
    </w:p>
    <w:p w14:paraId="58284773" w14:textId="0CE4B33E" w:rsidR="00AF3FEE" w:rsidRPr="0038553C" w:rsidRDefault="00AF3FEE" w:rsidP="00AF3FEE">
      <w:pPr>
        <w:pStyle w:val="Naslov-VplivUkrepa-Sektorji"/>
        <w:jc w:val="both"/>
        <w:rPr>
          <w:rStyle w:val="Tekst-VplivUkrepa-SektorjiCharChar"/>
          <w:rFonts w:ascii="Arial" w:hAnsi="Arial" w:cs="Arial"/>
          <w:b w:val="0"/>
          <w:iCs/>
          <w:szCs w:val="22"/>
        </w:rPr>
      </w:pPr>
      <w:r w:rsidRPr="00AF3FEE">
        <w:rPr>
          <w:rFonts w:ascii="Arial" w:hAnsi="Arial" w:cs="Arial"/>
          <w:szCs w:val="22"/>
        </w:rPr>
        <w:t xml:space="preserve">Sektorji, na katere </w:t>
      </w:r>
      <w:r w:rsidR="00E95329"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iCs/>
          <w:szCs w:val="22"/>
        </w:rPr>
        <w:t>raba energije v javnem sektorju in storitvenem sektorju, raba energije v gospodinjstvih, raba energije v prometu</w:t>
      </w:r>
      <w:r w:rsidR="00AD3A92">
        <w:rPr>
          <w:rFonts w:ascii="Arial" w:hAnsi="Arial" w:cs="Arial"/>
          <w:b w:val="0"/>
          <w:iCs/>
          <w:szCs w:val="22"/>
        </w:rPr>
        <w:t>.</w:t>
      </w:r>
    </w:p>
    <w:p w14:paraId="1C49E9AF" w14:textId="3CBD0F31" w:rsidR="00AF3FEE" w:rsidRPr="00AF3FEE" w:rsidRDefault="00AF3FEE" w:rsidP="00AF3FEE">
      <w:pPr>
        <w:pStyle w:val="BodyText"/>
        <w:rPr>
          <w:rFonts w:ascii="Arial" w:hAnsi="Arial" w:cs="Arial"/>
          <w:szCs w:val="22"/>
        </w:rPr>
      </w:pPr>
      <w:r w:rsidRPr="00AF3FEE">
        <w:rPr>
          <w:rFonts w:ascii="Arial" w:hAnsi="Arial" w:cs="Arial"/>
          <w:szCs w:val="22"/>
        </w:rPr>
        <w:t xml:space="preserve">Namen energijskega označevanja je kupcem omogočiti nakup energetsko učinkovitih naprav in s tem prispevati k zmanjšanju rabe in stroškov energije. Okoljsko primerna zasnova izdelkov pa je, poleg </w:t>
      </w:r>
      <w:r w:rsidR="00286380">
        <w:rPr>
          <w:rFonts w:ascii="Arial" w:hAnsi="Arial" w:cs="Arial"/>
          <w:szCs w:val="22"/>
        </w:rPr>
        <w:t>prispevka</w:t>
      </w:r>
      <w:r w:rsidR="00286380" w:rsidRPr="00AF3FEE">
        <w:rPr>
          <w:rFonts w:ascii="Arial" w:hAnsi="Arial" w:cs="Arial"/>
          <w:szCs w:val="22"/>
        </w:rPr>
        <w:t xml:space="preserve"> </w:t>
      </w:r>
      <w:r w:rsidRPr="00AF3FEE">
        <w:rPr>
          <w:rFonts w:ascii="Arial" w:hAnsi="Arial" w:cs="Arial"/>
          <w:szCs w:val="22"/>
        </w:rPr>
        <w:t>k doseganju okoljskih ciljev, usmerjena tudi k vzpostavitvi krožnega gospodarstva. Ukrepa sta zakonodajna in se s številnimi nadgradnjami izvajata že od leta 2002.</w:t>
      </w:r>
    </w:p>
    <w:p w14:paraId="5A96AF6C" w14:textId="7D659BC3" w:rsidR="00AF3FEE" w:rsidRPr="00AF3FEE" w:rsidRDefault="00AF3FEE" w:rsidP="00AF3FEE">
      <w:pPr>
        <w:pStyle w:val="BodyText"/>
        <w:rPr>
          <w:rFonts w:ascii="Arial" w:hAnsi="Arial" w:cs="Arial"/>
          <w:szCs w:val="22"/>
        </w:rPr>
      </w:pPr>
      <w:r w:rsidRPr="00AF3FEE">
        <w:rPr>
          <w:rFonts w:ascii="Arial" w:hAnsi="Arial" w:cs="Arial"/>
          <w:szCs w:val="22"/>
        </w:rPr>
        <w:lastRenderedPageBreak/>
        <w:t xml:space="preserve">Od </w:t>
      </w:r>
      <w:r w:rsidR="00AD3A92">
        <w:rPr>
          <w:rFonts w:ascii="Arial" w:hAnsi="Arial" w:cs="Arial"/>
          <w:szCs w:val="22"/>
        </w:rPr>
        <w:t>osmega</w:t>
      </w:r>
      <w:r w:rsidRPr="00AF3FEE">
        <w:rPr>
          <w:rFonts w:ascii="Arial" w:hAnsi="Arial" w:cs="Arial"/>
          <w:szCs w:val="22"/>
        </w:rPr>
        <w:t xml:space="preserve"> nacionalnega poročila je bila sprejeta nova </w:t>
      </w:r>
      <w:r w:rsidR="00BF0580">
        <w:rPr>
          <w:rFonts w:ascii="Arial" w:hAnsi="Arial" w:cs="Arial"/>
          <w:szCs w:val="22"/>
        </w:rPr>
        <w:t>uredba</w:t>
      </w:r>
      <w:r w:rsidRPr="00AF3FEE">
        <w:rPr>
          <w:rFonts w:ascii="Arial" w:hAnsi="Arial" w:cs="Arial"/>
          <w:szCs w:val="22"/>
        </w:rPr>
        <w:t xml:space="preserve"> o okoljsko primerni zasnovi izdelkov (</w:t>
      </w:r>
      <w:r w:rsidR="00DC3569">
        <w:rPr>
          <w:rFonts w:ascii="Arial" w:hAnsi="Arial" w:cs="Arial"/>
          <w:szCs w:val="22"/>
        </w:rPr>
        <w:t>tako imenovana</w:t>
      </w:r>
      <w:r w:rsidRPr="00AF3FEE">
        <w:rPr>
          <w:rFonts w:ascii="Arial" w:hAnsi="Arial" w:cs="Arial"/>
          <w:szCs w:val="22"/>
        </w:rPr>
        <w:t xml:space="preserve"> </w:t>
      </w:r>
      <w:r w:rsidR="008F39A5" w:rsidRPr="00AF3FEE">
        <w:rPr>
          <w:rFonts w:ascii="Arial" w:hAnsi="Arial" w:cs="Arial"/>
          <w:szCs w:val="22"/>
        </w:rPr>
        <w:t>Ecodesi</w:t>
      </w:r>
      <w:r w:rsidR="008F39A5">
        <w:rPr>
          <w:rFonts w:ascii="Arial" w:hAnsi="Arial" w:cs="Arial"/>
          <w:szCs w:val="22"/>
        </w:rPr>
        <w:t>gn</w:t>
      </w:r>
      <w:r w:rsidR="008F39A5" w:rsidRPr="00AF3FEE">
        <w:rPr>
          <w:rFonts w:ascii="Arial" w:hAnsi="Arial" w:cs="Arial"/>
          <w:szCs w:val="22"/>
        </w:rPr>
        <w:t xml:space="preserve"> </w:t>
      </w:r>
      <w:r w:rsidR="00BF0580">
        <w:rPr>
          <w:rFonts w:ascii="Arial" w:hAnsi="Arial" w:cs="Arial"/>
          <w:szCs w:val="22"/>
        </w:rPr>
        <w:t>uredba</w:t>
      </w:r>
      <w:r w:rsidR="00BF0580">
        <w:rPr>
          <w:rStyle w:val="FootnoteReference"/>
          <w:rFonts w:ascii="Arial" w:hAnsi="Arial" w:cs="Arial"/>
          <w:szCs w:val="22"/>
        </w:rPr>
        <w:footnoteReference w:id="40"/>
      </w:r>
      <w:r w:rsidRPr="00AF3FEE">
        <w:rPr>
          <w:rFonts w:ascii="Arial" w:hAnsi="Arial" w:cs="Arial"/>
          <w:szCs w:val="22"/>
        </w:rPr>
        <w:t xml:space="preserve">), ki dodatno širi obseg vpliva zakonodaje o okoljsko primerni zasnovi, tako </w:t>
      </w:r>
      <w:r w:rsidR="00286380">
        <w:rPr>
          <w:rFonts w:ascii="Arial" w:hAnsi="Arial" w:cs="Arial"/>
          <w:szCs w:val="22"/>
        </w:rPr>
        <w:t>s</w:t>
      </w:r>
      <w:r w:rsidRPr="00AF3FEE">
        <w:rPr>
          <w:rFonts w:ascii="Arial" w:hAnsi="Arial" w:cs="Arial"/>
          <w:szCs w:val="22"/>
        </w:rPr>
        <w:t xml:space="preserve"> </w:t>
      </w:r>
      <w:r w:rsidR="00286380" w:rsidRPr="00AF3FEE">
        <w:rPr>
          <w:rFonts w:ascii="Arial" w:hAnsi="Arial" w:cs="Arial"/>
          <w:szCs w:val="22"/>
        </w:rPr>
        <w:t>širitv</w:t>
      </w:r>
      <w:r w:rsidR="00286380">
        <w:rPr>
          <w:rFonts w:ascii="Arial" w:hAnsi="Arial" w:cs="Arial"/>
          <w:szCs w:val="22"/>
        </w:rPr>
        <w:t>ijo</w:t>
      </w:r>
      <w:r w:rsidR="00286380" w:rsidRPr="00AF3FEE">
        <w:rPr>
          <w:rFonts w:ascii="Arial" w:hAnsi="Arial" w:cs="Arial"/>
          <w:szCs w:val="22"/>
        </w:rPr>
        <w:t xml:space="preserve"> </w:t>
      </w:r>
      <w:r w:rsidRPr="00AF3FEE">
        <w:rPr>
          <w:rFonts w:ascii="Arial" w:hAnsi="Arial" w:cs="Arial"/>
          <w:szCs w:val="22"/>
        </w:rPr>
        <w:t xml:space="preserve">nabora izdelkov kot tudi </w:t>
      </w:r>
      <w:r w:rsidR="008F39A5">
        <w:rPr>
          <w:rFonts w:ascii="Arial" w:hAnsi="Arial" w:cs="Arial"/>
          <w:szCs w:val="22"/>
        </w:rPr>
        <w:t xml:space="preserve">s širitvijo </w:t>
      </w:r>
      <w:r w:rsidRPr="00AF3FEE">
        <w:rPr>
          <w:rFonts w:ascii="Arial" w:hAnsi="Arial" w:cs="Arial"/>
          <w:szCs w:val="22"/>
        </w:rPr>
        <w:t xml:space="preserve">nabora zahtev, ki jih morajo izdelki izpolnjevati. </w:t>
      </w:r>
      <w:r w:rsidR="008F39A5" w:rsidRPr="00AF3FEE">
        <w:rPr>
          <w:rFonts w:ascii="Arial" w:hAnsi="Arial" w:cs="Arial"/>
          <w:szCs w:val="22"/>
        </w:rPr>
        <w:t>Vz</w:t>
      </w:r>
      <w:r w:rsidR="008F39A5">
        <w:rPr>
          <w:rFonts w:ascii="Arial" w:hAnsi="Arial" w:cs="Arial"/>
          <w:szCs w:val="22"/>
        </w:rPr>
        <w:t>po</w:t>
      </w:r>
      <w:r w:rsidR="008F39A5" w:rsidRPr="00AF3FEE">
        <w:rPr>
          <w:rFonts w:ascii="Arial" w:hAnsi="Arial" w:cs="Arial"/>
          <w:szCs w:val="22"/>
        </w:rPr>
        <w:t xml:space="preserve">redno </w:t>
      </w:r>
      <w:r w:rsidRPr="00AF3FEE">
        <w:rPr>
          <w:rFonts w:ascii="Arial" w:hAnsi="Arial" w:cs="Arial"/>
          <w:szCs w:val="22"/>
        </w:rPr>
        <w:t>z novo zakonodajo je Evropska komisija sprejela tudi nov delovni načrt na področju okoljske zasnove izdelkov in označevanja izdelkov za obdobje 2022</w:t>
      </w:r>
      <w:r w:rsidR="00286380">
        <w:rPr>
          <w:rFonts w:ascii="Arial" w:hAnsi="Arial" w:cs="Arial"/>
          <w:szCs w:val="22"/>
        </w:rPr>
        <w:t>–</w:t>
      </w:r>
      <w:r w:rsidRPr="00AF3FEE">
        <w:rPr>
          <w:rFonts w:ascii="Arial" w:hAnsi="Arial" w:cs="Arial"/>
          <w:szCs w:val="22"/>
        </w:rPr>
        <w:t xml:space="preserve">2024, v </w:t>
      </w:r>
      <w:r w:rsidR="002461F7" w:rsidRPr="00AF3FEE">
        <w:rPr>
          <w:rFonts w:ascii="Arial" w:hAnsi="Arial" w:cs="Arial"/>
          <w:szCs w:val="22"/>
        </w:rPr>
        <w:t>katerem</w:t>
      </w:r>
      <w:r w:rsidRPr="00AF3FEE">
        <w:rPr>
          <w:rFonts w:ascii="Arial" w:hAnsi="Arial" w:cs="Arial"/>
          <w:szCs w:val="22"/>
        </w:rPr>
        <w:t xml:space="preserve"> je načrtovano širjenje nabora izdekov in </w:t>
      </w:r>
      <w:r w:rsidR="002461F7" w:rsidRPr="00AF3FEE">
        <w:rPr>
          <w:rFonts w:ascii="Arial" w:hAnsi="Arial" w:cs="Arial"/>
          <w:szCs w:val="22"/>
        </w:rPr>
        <w:t>povečanje</w:t>
      </w:r>
      <w:r w:rsidRPr="00AF3FEE">
        <w:rPr>
          <w:rFonts w:ascii="Arial" w:hAnsi="Arial" w:cs="Arial"/>
          <w:szCs w:val="22"/>
        </w:rPr>
        <w:t xml:space="preserve"> stopnje ambicioznosti zahtev za izdelke.</w:t>
      </w:r>
    </w:p>
    <w:p w14:paraId="61D49BB2" w14:textId="77777777" w:rsidR="00AF3FEE" w:rsidRPr="00AF3FEE" w:rsidRDefault="00AF3FEE" w:rsidP="00AF3FEE">
      <w:pPr>
        <w:pStyle w:val="Heading41"/>
        <w:tabs>
          <w:tab w:val="left" w:pos="680"/>
        </w:tabs>
        <w:spacing w:before="360"/>
        <w:ind w:left="680" w:hanging="680"/>
        <w:jc w:val="both"/>
        <w:rPr>
          <w:rFonts w:cs="Arial"/>
          <w:szCs w:val="22"/>
          <w:lang w:val="sl-SI"/>
        </w:rPr>
      </w:pPr>
      <w:bookmarkStart w:id="66" w:name="_Ref192858929"/>
      <w:r w:rsidRPr="00AF3FEE">
        <w:rPr>
          <w:rFonts w:cs="Arial"/>
          <w:szCs w:val="22"/>
          <w:lang w:val="sl-SI"/>
        </w:rPr>
        <w:t>Obveznosti dobaviteljev energije za doseganje prihrankov energije pri končnih odjemalcih</w:t>
      </w:r>
      <w:bookmarkEnd w:id="66"/>
    </w:p>
    <w:p w14:paraId="3465F739" w14:textId="4B7CFDEE" w:rsidR="00AF3FEE" w:rsidRPr="0038553C" w:rsidRDefault="00AF3FEE" w:rsidP="00AF3FEE">
      <w:pPr>
        <w:pStyle w:val="Naslov-VplivUkrepa-Sektorji"/>
        <w:jc w:val="both"/>
        <w:rPr>
          <w:rFonts w:ascii="Arial" w:hAnsi="Arial" w:cs="Arial"/>
          <w:szCs w:val="22"/>
        </w:rPr>
      </w:pPr>
      <w:r w:rsidRPr="00AF3FEE">
        <w:rPr>
          <w:rFonts w:ascii="Arial" w:hAnsi="Arial" w:cs="Arial"/>
          <w:szCs w:val="22"/>
        </w:rPr>
        <w:t xml:space="preserve">Sektorji, na katere </w:t>
      </w:r>
      <w:r w:rsidR="001B7D7B"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szCs w:val="22"/>
        </w:rPr>
        <w:t>raba energije v javnem sektorju in zasebnem storitvenem sektorju ter gospodinjstvih, raba energije v industriji in gradbeništvu, raba energije v prometu</w:t>
      </w:r>
      <w:r w:rsidR="00F005CC">
        <w:rPr>
          <w:rFonts w:ascii="Arial" w:hAnsi="Arial" w:cs="Arial"/>
          <w:b w:val="0"/>
          <w:szCs w:val="22"/>
        </w:rPr>
        <w:t>.</w:t>
      </w:r>
    </w:p>
    <w:p w14:paraId="506E8EF5" w14:textId="7A5F483E" w:rsidR="00AF3FEE" w:rsidRPr="00AF3FEE" w:rsidRDefault="00AF3FEE" w:rsidP="00AF3FEE">
      <w:pPr>
        <w:pStyle w:val="BodyText"/>
        <w:rPr>
          <w:rFonts w:ascii="Arial" w:hAnsi="Arial" w:cs="Arial"/>
          <w:szCs w:val="22"/>
        </w:rPr>
      </w:pPr>
      <w:r w:rsidRPr="00AF3FEE">
        <w:rPr>
          <w:rFonts w:ascii="Arial" w:hAnsi="Arial" w:cs="Arial"/>
          <w:szCs w:val="22"/>
        </w:rPr>
        <w:t>Gre za zakonodajni ukrep, ki zavezuje dobavitelje energije, da z izvajanjem različnih ukrepov učinkovite rabe energije pri končnih odjemalcih dosegajo zmanjšanje rabe energije in emisij toplogrednih plinov ter tako prispevajo k doseganju nacionalnih ciljev na tem področju. Prva shema obveznega doseganja prihrankov končne energije za podjetja, ki prodajajo energijo, je bila v Sloveniji vzpostavljena že leta 2011. Leta 2015 jo je nadomestila nova shema, v kateri so bili zavezanci za doseganje prihrankov vsi dobavitelji električne energije, plina ter tekočih in trdnih goriv končnim odjemalcem. Od konca leta 2020 dalje so iz sheme izvzeti tisti dobavitelji trdnih goriv končnim odjemalcem, ki dobavijo letno manj kot 100 MWh energije. Delovanje sheme je urejeno z Zakonom o učinkoviti rabi energije (ZURE)</w:t>
      </w:r>
      <w:r w:rsidRPr="00AF3FEE">
        <w:rPr>
          <w:rStyle w:val="FootnoteReference"/>
          <w:rFonts w:ascii="Arial" w:hAnsi="Arial" w:cs="Arial"/>
          <w:szCs w:val="22"/>
        </w:rPr>
        <w:footnoteReference w:id="41"/>
      </w:r>
      <w:r w:rsidRPr="00AF3FEE">
        <w:rPr>
          <w:rFonts w:ascii="Arial" w:hAnsi="Arial" w:cs="Arial"/>
          <w:szCs w:val="22"/>
        </w:rPr>
        <w:t xml:space="preserve"> in Uredbo o zagotavljanju prihrankov energije</w:t>
      </w:r>
      <w:r w:rsidR="0067569D">
        <w:rPr>
          <w:rFonts w:ascii="Arial" w:hAnsi="Arial" w:cs="Arial"/>
          <w:szCs w:val="22"/>
        </w:rPr>
        <w:t>.</w:t>
      </w:r>
      <w:r w:rsidRPr="00AF3FEE">
        <w:rPr>
          <w:rStyle w:val="FootnoteReference"/>
          <w:rFonts w:ascii="Arial" w:hAnsi="Arial" w:cs="Arial"/>
          <w:szCs w:val="22"/>
        </w:rPr>
        <w:footnoteReference w:id="42"/>
      </w:r>
      <w:r w:rsidRPr="00AF3FEE">
        <w:rPr>
          <w:rFonts w:ascii="Arial" w:hAnsi="Arial" w:cs="Arial"/>
          <w:szCs w:val="22"/>
        </w:rPr>
        <w:t xml:space="preserve">V skladu z Nacionalnim </w:t>
      </w:r>
      <w:r w:rsidR="0067569D" w:rsidRPr="00AF3FEE">
        <w:rPr>
          <w:rFonts w:ascii="Arial" w:hAnsi="Arial" w:cs="Arial"/>
          <w:szCs w:val="22"/>
        </w:rPr>
        <w:t>energetsk</w:t>
      </w:r>
      <w:r w:rsidR="0067569D">
        <w:rPr>
          <w:rFonts w:ascii="Arial" w:hAnsi="Arial" w:cs="Arial"/>
          <w:szCs w:val="22"/>
        </w:rPr>
        <w:t>im</w:t>
      </w:r>
      <w:r w:rsidR="0067569D" w:rsidRPr="00AF3FEE">
        <w:rPr>
          <w:rFonts w:ascii="Arial" w:hAnsi="Arial" w:cs="Arial"/>
          <w:szCs w:val="22"/>
        </w:rPr>
        <w:t xml:space="preserve"> </w:t>
      </w:r>
      <w:r w:rsidRPr="00AF3FEE">
        <w:rPr>
          <w:rFonts w:ascii="Arial" w:hAnsi="Arial" w:cs="Arial"/>
          <w:szCs w:val="22"/>
        </w:rPr>
        <w:t>podnebnim načrtom</w:t>
      </w:r>
      <w:r w:rsidR="0067569D">
        <w:rPr>
          <w:rFonts w:ascii="Arial" w:hAnsi="Arial" w:cs="Arial"/>
          <w:szCs w:val="22"/>
        </w:rPr>
        <w:t>,</w:t>
      </w:r>
      <w:r w:rsidRPr="00AF3FEE">
        <w:rPr>
          <w:rFonts w:ascii="Arial" w:hAnsi="Arial" w:cs="Arial"/>
          <w:szCs w:val="22"/>
        </w:rPr>
        <w:t xml:space="preserve"> sprejetim leta 2020 (NEPN 2020)</w:t>
      </w:r>
      <w:r w:rsidRPr="00AF3FEE">
        <w:rPr>
          <w:rStyle w:val="FootnoteReference"/>
          <w:rFonts w:ascii="Arial" w:hAnsi="Arial" w:cs="Arial"/>
          <w:szCs w:val="22"/>
        </w:rPr>
        <w:footnoteReference w:id="43"/>
      </w:r>
      <w:r w:rsidRPr="00AF3FEE">
        <w:rPr>
          <w:rFonts w:ascii="Arial" w:hAnsi="Arial" w:cs="Arial"/>
          <w:szCs w:val="22"/>
        </w:rPr>
        <w:t xml:space="preserve"> in nato posodobljenim leta 2024 (NEPN 2024)</w:t>
      </w:r>
      <w:r w:rsidR="00F005CC">
        <w:rPr>
          <w:rFonts w:ascii="Arial" w:hAnsi="Arial" w:cs="Arial"/>
          <w:szCs w:val="22"/>
        </w:rPr>
        <w:t>,</w:t>
      </w:r>
      <w:r w:rsidRPr="00AF3FEE">
        <w:rPr>
          <w:rStyle w:val="FootnoteReference"/>
          <w:rFonts w:ascii="Arial" w:hAnsi="Arial" w:cs="Arial"/>
          <w:szCs w:val="22"/>
        </w:rPr>
        <w:footnoteReference w:id="44"/>
      </w:r>
      <w:r w:rsidRPr="00AF3FEE">
        <w:rPr>
          <w:rFonts w:ascii="Arial" w:hAnsi="Arial" w:cs="Arial"/>
          <w:szCs w:val="22"/>
        </w:rPr>
        <w:t xml:space="preserve"> je delovanje sheme načrtovano še vsaj do leta 2030. Pri doseganju prihrankov energije, skladnih z 8. členom Direktive o energetski učinkovitosti iz leta 2023 (EED)</w:t>
      </w:r>
      <w:r w:rsidRPr="00AF3FEE">
        <w:rPr>
          <w:rStyle w:val="FootnoteReference"/>
          <w:rFonts w:ascii="Arial" w:hAnsi="Arial" w:cs="Arial"/>
          <w:szCs w:val="22"/>
        </w:rPr>
        <w:footnoteReference w:id="45"/>
      </w:r>
      <w:r w:rsidRPr="00AF3FEE">
        <w:rPr>
          <w:rFonts w:ascii="Arial" w:hAnsi="Arial" w:cs="Arial"/>
          <w:szCs w:val="22"/>
        </w:rPr>
        <w:t xml:space="preserve"> (Obveznost prihranka energije), shemo dopolnjuje še alternativni ukrep, to je izvajanje programov Eko sklada, Borzena in drugih programov </w:t>
      </w:r>
      <w:r w:rsidR="002461F7" w:rsidRPr="00AF3FEE">
        <w:rPr>
          <w:rFonts w:ascii="Arial" w:hAnsi="Arial" w:cs="Arial"/>
          <w:szCs w:val="22"/>
        </w:rPr>
        <w:t>spodbujanja</w:t>
      </w:r>
      <w:r w:rsidRPr="00AF3FEE">
        <w:rPr>
          <w:rFonts w:ascii="Arial" w:hAnsi="Arial" w:cs="Arial"/>
          <w:szCs w:val="22"/>
        </w:rPr>
        <w:t xml:space="preserve"> učinkovite rabe energije (URE) iz javnih virov financiranja. Cilji za doseganje prihrankov energije iz NEPN 2024 so usklajeni z EED iz leta 2023 in znašajo v obdobju 2021–2023 0,8 %, v obdobju 2024–2025 1,3 %, v obdobju 2026–2027 1,5 % in v obdobju 2028–2030 1,9 % letne rabe končne energije glede na povprečje v zadnjih treh letih pred 1. januarjem 2019. </w:t>
      </w:r>
      <w:r w:rsidR="00824ADA" w:rsidRPr="00AF3FEE">
        <w:rPr>
          <w:rFonts w:ascii="Arial" w:hAnsi="Arial" w:cs="Arial"/>
          <w:szCs w:val="22"/>
        </w:rPr>
        <w:t>Skup</w:t>
      </w:r>
      <w:r w:rsidR="00824ADA">
        <w:rPr>
          <w:rFonts w:ascii="Arial" w:hAnsi="Arial" w:cs="Arial"/>
          <w:szCs w:val="22"/>
        </w:rPr>
        <w:t>ni</w:t>
      </w:r>
      <w:r w:rsidR="00824ADA" w:rsidRPr="00AF3FEE">
        <w:rPr>
          <w:rFonts w:ascii="Arial" w:hAnsi="Arial" w:cs="Arial"/>
          <w:szCs w:val="22"/>
        </w:rPr>
        <w:t xml:space="preserve"> </w:t>
      </w:r>
      <w:r w:rsidRPr="00AF3FEE">
        <w:rPr>
          <w:rFonts w:ascii="Arial" w:hAnsi="Arial" w:cs="Arial"/>
          <w:szCs w:val="22"/>
        </w:rPr>
        <w:t>cilj za shemo in alternativni ukrep za obdobje 2021–2030 znaša 7849 GWh prihranka energije. V letih 2021, 2022 in 2023 so bili ciljni letni prihranki preseženi.</w:t>
      </w:r>
    </w:p>
    <w:p w14:paraId="6E3B7762" w14:textId="77777777" w:rsidR="00AF3FEE" w:rsidRPr="00AF3FEE" w:rsidRDefault="00AF3FEE" w:rsidP="00AF3FEE">
      <w:pPr>
        <w:pStyle w:val="Heading41"/>
        <w:jc w:val="both"/>
        <w:rPr>
          <w:rFonts w:cs="Arial"/>
          <w:szCs w:val="22"/>
          <w:lang w:val="sl-SI"/>
        </w:rPr>
      </w:pPr>
      <w:bookmarkStart w:id="67" w:name="_Ref192854860"/>
      <w:r w:rsidRPr="00AF3FEE">
        <w:rPr>
          <w:rFonts w:cs="Arial"/>
          <w:szCs w:val="22"/>
          <w:lang w:val="sl-SI"/>
        </w:rPr>
        <w:t>Upravljanje spodbud fosilnim gorivom</w:t>
      </w:r>
      <w:bookmarkEnd w:id="67"/>
    </w:p>
    <w:p w14:paraId="7A5FD393" w14:textId="4F80B050" w:rsidR="00AF3FEE" w:rsidRPr="00AF3FEE" w:rsidRDefault="00AF3FEE" w:rsidP="00AF3FEE">
      <w:pPr>
        <w:pStyle w:val="Naslov-VplivUkrepa-Sektorji"/>
        <w:jc w:val="both"/>
        <w:rPr>
          <w:rStyle w:val="Tekst-VplivUkrepa-SektorjiCharChar"/>
          <w:rFonts w:ascii="Arial" w:hAnsi="Arial" w:cs="Arial"/>
          <w:szCs w:val="22"/>
        </w:rPr>
      </w:pPr>
      <w:r w:rsidRPr="00AF3FEE">
        <w:rPr>
          <w:rFonts w:ascii="Arial" w:hAnsi="Arial" w:cs="Arial"/>
          <w:szCs w:val="22"/>
        </w:rPr>
        <w:t xml:space="preserve">Sektorji, na katere </w:t>
      </w:r>
      <w:r w:rsidR="00461B7A"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072DB">
        <w:rPr>
          <w:rFonts w:ascii="Arial" w:hAnsi="Arial" w:cs="Arial"/>
          <w:b w:val="0"/>
          <w:iCs/>
          <w:szCs w:val="22"/>
        </w:rPr>
        <w:t>r</w:t>
      </w:r>
      <w:r w:rsidRPr="0038553C">
        <w:rPr>
          <w:rFonts w:ascii="Arial" w:hAnsi="Arial" w:cs="Arial"/>
          <w:b w:val="0"/>
          <w:iCs/>
          <w:szCs w:val="22"/>
        </w:rPr>
        <w:t>aba energije v prometu, industriji, kmetijstvu</w:t>
      </w:r>
      <w:r w:rsidR="00824ADA">
        <w:rPr>
          <w:rFonts w:ascii="Arial" w:hAnsi="Arial" w:cs="Arial"/>
          <w:b w:val="0"/>
          <w:iCs/>
          <w:szCs w:val="22"/>
        </w:rPr>
        <w:t>.</w:t>
      </w:r>
    </w:p>
    <w:p w14:paraId="49449AAC" w14:textId="0F5ADCE4" w:rsidR="00AF3FEE" w:rsidRPr="00AF3FEE" w:rsidRDefault="00AF3FEE" w:rsidP="00AF3FEE">
      <w:pPr>
        <w:jc w:val="both"/>
        <w:rPr>
          <w:rFonts w:ascii="Arial" w:hAnsi="Arial" w:cs="Arial"/>
        </w:rPr>
      </w:pPr>
      <w:r w:rsidRPr="00AF3FEE">
        <w:rPr>
          <w:rFonts w:ascii="Arial" w:hAnsi="Arial" w:cs="Arial"/>
        </w:rPr>
        <w:t xml:space="preserve">Ukrepi so usmerjeni v zmanjšanje porabe fosilnih goriv </w:t>
      </w:r>
      <w:r w:rsidR="00461B7A">
        <w:rPr>
          <w:rFonts w:ascii="Arial" w:hAnsi="Arial" w:cs="Arial"/>
        </w:rPr>
        <w:t xml:space="preserve">in </w:t>
      </w:r>
      <w:r w:rsidRPr="00AF3FEE">
        <w:rPr>
          <w:rFonts w:ascii="Arial" w:hAnsi="Arial" w:cs="Arial"/>
        </w:rPr>
        <w:t xml:space="preserve">spodbujanje prehoda na zelene tehnologije, </w:t>
      </w:r>
      <w:r w:rsidR="00023476">
        <w:rPr>
          <w:rFonts w:ascii="Arial" w:eastAsia="Calibri" w:hAnsi="Arial" w:cs="Arial"/>
        </w:rPr>
        <w:t xml:space="preserve">z namenom </w:t>
      </w:r>
      <w:r w:rsidRPr="00AF3FEE">
        <w:rPr>
          <w:rFonts w:ascii="Arial" w:hAnsi="Arial" w:cs="Arial"/>
        </w:rPr>
        <w:t xml:space="preserve">zmanjšanja posrednih in neposrednih spodbud za rabo fosilnih goriv. V okviru ukrepa </w:t>
      </w:r>
      <w:r w:rsidR="00461B7A">
        <w:rPr>
          <w:rFonts w:ascii="Arial" w:hAnsi="Arial" w:cs="Arial"/>
        </w:rPr>
        <w:t>so</w:t>
      </w:r>
      <w:r w:rsidR="00461B7A" w:rsidRPr="00AF3FEE">
        <w:rPr>
          <w:rFonts w:ascii="Arial" w:hAnsi="Arial" w:cs="Arial"/>
        </w:rPr>
        <w:t xml:space="preserve"> </w:t>
      </w:r>
      <w:r w:rsidRPr="00AF3FEE">
        <w:rPr>
          <w:rFonts w:ascii="Arial" w:hAnsi="Arial" w:cs="Arial"/>
        </w:rPr>
        <w:t>predviden</w:t>
      </w:r>
      <w:r w:rsidR="00461B7A">
        <w:rPr>
          <w:rFonts w:ascii="Arial" w:hAnsi="Arial" w:cs="Arial"/>
        </w:rPr>
        <w:t>i</w:t>
      </w:r>
      <w:r w:rsidRPr="00AF3FEE">
        <w:rPr>
          <w:rFonts w:ascii="Arial" w:hAnsi="Arial" w:cs="Arial"/>
        </w:rPr>
        <w:t xml:space="preserve"> optimalna ukinitev vračila trošarine za industrijski in komercialni namen najpozneje do leta 2030, sprejetje zakonskih omejitev za dajanje finančnih spodbud za namestitev samostojnih kotlov na fosilna goriva do leta 2025, postopno zmanjševanje vračila trošarine na energente v industriji do leta 2030, kjer bo pogoj za vračilo od leta 2025 dalje </w:t>
      </w:r>
      <w:r w:rsidRPr="00AF3FEE">
        <w:rPr>
          <w:rFonts w:ascii="Arial" w:hAnsi="Arial" w:cs="Arial"/>
        </w:rPr>
        <w:lastRenderedPageBreak/>
        <w:t>pridobljen certifikat v skladu s standardom ISO 50.001 ali ISO 14.001 ali alternativno izvedba ukrepov</w:t>
      </w:r>
      <w:r w:rsidR="00746CFE">
        <w:rPr>
          <w:rFonts w:ascii="Arial" w:hAnsi="Arial" w:cs="Arial"/>
        </w:rPr>
        <w:t>,</w:t>
      </w:r>
      <w:r w:rsidRPr="00AF3FEE">
        <w:rPr>
          <w:rFonts w:ascii="Arial" w:hAnsi="Arial" w:cs="Arial"/>
        </w:rPr>
        <w:t xml:space="preserve"> identificiranih v okviru obveznih energetskih pregledov s povračilno dobo do </w:t>
      </w:r>
      <w:r w:rsidR="00746CFE">
        <w:rPr>
          <w:rFonts w:ascii="Arial" w:hAnsi="Arial" w:cs="Arial"/>
        </w:rPr>
        <w:t>štiri</w:t>
      </w:r>
      <w:r w:rsidR="00746CFE" w:rsidRPr="00AF3FEE">
        <w:rPr>
          <w:rFonts w:ascii="Arial" w:hAnsi="Arial" w:cs="Arial"/>
        </w:rPr>
        <w:t xml:space="preserve"> </w:t>
      </w:r>
      <w:r w:rsidRPr="00AF3FEE">
        <w:rPr>
          <w:rFonts w:ascii="Arial" w:hAnsi="Arial" w:cs="Arial"/>
        </w:rPr>
        <w:t>let</w:t>
      </w:r>
      <w:r w:rsidR="00746CFE">
        <w:rPr>
          <w:rFonts w:ascii="Arial" w:hAnsi="Arial" w:cs="Arial"/>
        </w:rPr>
        <w:t>a</w:t>
      </w:r>
      <w:r w:rsidR="00A96F2F">
        <w:rPr>
          <w:rFonts w:ascii="Arial" w:hAnsi="Arial" w:cs="Arial"/>
        </w:rPr>
        <w:t>,</w:t>
      </w:r>
      <w:r w:rsidRPr="00AF3FEE">
        <w:rPr>
          <w:rFonts w:ascii="Arial" w:hAnsi="Arial" w:cs="Arial"/>
        </w:rPr>
        <w:t xml:space="preserve"> ter priprava analize vpliva opuščanja drugih posrednih in neposrednih spodbud za rabo fosilnih goriv in sprejetje zakonskih omejitev za dajanje drugih subvencij za rabo, distribucijo in shranjevanje fosilnih goriv. Ciljne skupine ukrepa so industrijska in komercialna podjetja, ki prejemajo vračilo trošarine</w:t>
      </w:r>
      <w:r w:rsidR="00746CFE">
        <w:rPr>
          <w:rFonts w:ascii="Arial" w:hAnsi="Arial" w:cs="Arial"/>
        </w:rPr>
        <w:t>,</w:t>
      </w:r>
      <w:r w:rsidRPr="00AF3FEE">
        <w:rPr>
          <w:rFonts w:ascii="Arial" w:hAnsi="Arial" w:cs="Arial"/>
        </w:rPr>
        <w:t xml:space="preserve"> ter tisti v industriji, ki bodo morali pridobiti certifikate ISO 50.001 ali ISO 14.001. Prav tako so vključena podjetja, ki prejemajo druge spodbude za rabo fosilnih goriv, saj se bodo sredstva preusmerila v zelene tehnologije in trajnostne projekte.</w:t>
      </w:r>
    </w:p>
    <w:p w14:paraId="67EEA474" w14:textId="77777777" w:rsidR="00AF3FEE" w:rsidRPr="00AF3FEE" w:rsidRDefault="00AF3FEE" w:rsidP="00AF3FEE">
      <w:pPr>
        <w:pStyle w:val="Heading41"/>
        <w:jc w:val="both"/>
        <w:rPr>
          <w:rFonts w:cs="Arial"/>
          <w:szCs w:val="22"/>
          <w:lang w:val="sl-SI"/>
        </w:rPr>
      </w:pPr>
      <w:r w:rsidRPr="00AF3FEE">
        <w:rPr>
          <w:rFonts w:cs="Arial"/>
          <w:szCs w:val="22"/>
          <w:lang w:val="sl-SI"/>
        </w:rPr>
        <w:t>Novi finančni inštrumenti za prehod v NOD</w:t>
      </w:r>
    </w:p>
    <w:p w14:paraId="4927EC87" w14:textId="2BD8E31B" w:rsidR="00AF3FEE" w:rsidRPr="0038553C" w:rsidRDefault="00AF3FEE" w:rsidP="00AF3FEE">
      <w:pPr>
        <w:pStyle w:val="Naslov-VplivUkrepa-Sektorji"/>
        <w:jc w:val="both"/>
        <w:rPr>
          <w:rStyle w:val="Tekst-VplivUkrepa-SektorjiCharChar"/>
          <w:rFonts w:ascii="Arial" w:hAnsi="Arial" w:cs="Arial"/>
          <w:i w:val="0"/>
          <w:iCs/>
          <w:szCs w:val="22"/>
        </w:rPr>
      </w:pPr>
      <w:r w:rsidRPr="00AF3FEE">
        <w:rPr>
          <w:rFonts w:ascii="Arial" w:hAnsi="Arial" w:cs="Arial"/>
          <w:szCs w:val="22"/>
        </w:rPr>
        <w:t xml:space="preserve">Sektorji, na katere </w:t>
      </w:r>
      <w:r w:rsidR="00746CFE"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p>
    <w:p w14:paraId="1BA9D096" w14:textId="3A8D5934" w:rsidR="00AF3FEE" w:rsidRPr="00AF3FEE" w:rsidRDefault="00AF3FEE" w:rsidP="00AF3FEE">
      <w:pPr>
        <w:pStyle w:val="BodyText"/>
        <w:rPr>
          <w:rFonts w:ascii="Arial" w:hAnsi="Arial" w:cs="Arial"/>
          <w:b/>
          <w:szCs w:val="22"/>
        </w:rPr>
      </w:pPr>
      <w:r w:rsidRPr="00AF3FEE">
        <w:rPr>
          <w:rFonts w:ascii="Arial" w:eastAsia="Palatino Linotype" w:hAnsi="Arial" w:cs="Arial"/>
          <w:szCs w:val="22"/>
        </w:rPr>
        <w:t>NEPN predvideva nove oz</w:t>
      </w:r>
      <w:r w:rsidR="004F2B0D">
        <w:rPr>
          <w:rFonts w:ascii="Arial" w:hAnsi="Arial" w:cs="Arial"/>
        </w:rPr>
        <w:t>iroma</w:t>
      </w:r>
      <w:r w:rsidRPr="00AF3FEE">
        <w:rPr>
          <w:rFonts w:ascii="Arial" w:eastAsia="Palatino Linotype" w:hAnsi="Arial" w:cs="Arial"/>
          <w:szCs w:val="22"/>
        </w:rPr>
        <w:t xml:space="preserve"> nadgrajene ukrepe finančne narave za spodbujanje prehoda v nizkoogljično družbo. </w:t>
      </w:r>
    </w:p>
    <w:p w14:paraId="5CB3C04A" w14:textId="14DD0940" w:rsidR="00AF3FEE" w:rsidRPr="00AF3FEE" w:rsidRDefault="00AF3FEE" w:rsidP="00AF3FEE">
      <w:pPr>
        <w:pStyle w:val="BodyText"/>
        <w:rPr>
          <w:rFonts w:ascii="Arial" w:hAnsi="Arial" w:cs="Arial"/>
          <w:szCs w:val="22"/>
        </w:rPr>
      </w:pPr>
      <w:r w:rsidRPr="00AF3FEE">
        <w:rPr>
          <w:rFonts w:ascii="Arial" w:hAnsi="Arial" w:cs="Arial"/>
          <w:szCs w:val="22"/>
        </w:rPr>
        <w:t xml:space="preserve">Predvidena je </w:t>
      </w:r>
      <w:r w:rsidRPr="00AF3FEE">
        <w:rPr>
          <w:rFonts w:ascii="Arial" w:eastAsia="Palatino Linotype" w:hAnsi="Arial" w:cs="Arial"/>
          <w:szCs w:val="22"/>
        </w:rPr>
        <w:t>vzpostavitev</w:t>
      </w:r>
      <w:r w:rsidRPr="00AF3FEE">
        <w:rPr>
          <w:rFonts w:ascii="Arial" w:hAnsi="Arial" w:cs="Arial"/>
          <w:szCs w:val="22"/>
        </w:rPr>
        <w:t xml:space="preserve"> modela financiranja in izvajalske strukture (</w:t>
      </w:r>
      <w:r w:rsidR="00A96F2F">
        <w:rPr>
          <w:rFonts w:ascii="Arial" w:hAnsi="Arial" w:cs="Arial"/>
          <w:szCs w:val="22"/>
        </w:rPr>
        <w:t>u</w:t>
      </w:r>
      <w:r w:rsidRPr="00AF3FEE">
        <w:rPr>
          <w:rFonts w:ascii="Arial" w:hAnsi="Arial" w:cs="Arial"/>
          <w:szCs w:val="22"/>
        </w:rPr>
        <w:t>krep NEPN 2024 M11.1) za zapolnitev vrzeli v obstoječem institucionalnem okvirju za izvajanje podnebnih politik. Ključni cilj je pospešiti razvoj investicij URE in OVE ter zmanjševanj</w:t>
      </w:r>
      <w:r w:rsidR="00A96F2F">
        <w:rPr>
          <w:rFonts w:ascii="Arial" w:hAnsi="Arial" w:cs="Arial"/>
          <w:szCs w:val="22"/>
        </w:rPr>
        <w:t>e</w:t>
      </w:r>
      <w:r w:rsidRPr="00AF3FEE">
        <w:rPr>
          <w:rFonts w:ascii="Arial" w:hAnsi="Arial" w:cs="Arial"/>
          <w:szCs w:val="22"/>
        </w:rPr>
        <w:t xml:space="preserve"> emisij TGP z nadgradnjo in/ali povezovanjem obstoječih izvajalskih struktur za enotno pripravo, presojo in financiranje projektov ter koncentracijo znanja, spodbujanje demonstracijskih projektov, usposabljanje akterjev. V tem okviru je predvideno tudi zagotavljanje kadrovskih zmogljivosti v institucijah, odgovornih za izvajanje podnebnih politik, zato da bo</w:t>
      </w:r>
      <w:r w:rsidR="00746CFE">
        <w:rPr>
          <w:rFonts w:ascii="Arial" w:hAnsi="Arial" w:cs="Arial"/>
          <w:szCs w:val="22"/>
        </w:rPr>
        <w:t>sta</w:t>
      </w:r>
      <w:r w:rsidRPr="00AF3FEE">
        <w:rPr>
          <w:rFonts w:ascii="Arial" w:hAnsi="Arial" w:cs="Arial"/>
          <w:szCs w:val="22"/>
        </w:rPr>
        <w:t xml:space="preserve"> omogočen</w:t>
      </w:r>
      <w:r w:rsidR="00746CFE">
        <w:rPr>
          <w:rFonts w:ascii="Arial" w:hAnsi="Arial" w:cs="Arial"/>
          <w:szCs w:val="22"/>
        </w:rPr>
        <w:t>a</w:t>
      </w:r>
      <w:r w:rsidRPr="00AF3FEE">
        <w:rPr>
          <w:rFonts w:ascii="Arial" w:hAnsi="Arial" w:cs="Arial"/>
          <w:szCs w:val="22"/>
        </w:rPr>
        <w:t xml:space="preserve"> izvajanje povečanega obsega ukrepov in skrbno upravljanje s tem povezanih javnih sredstev. </w:t>
      </w:r>
    </w:p>
    <w:p w14:paraId="76E4C0C1" w14:textId="21955874" w:rsidR="00AF3FEE" w:rsidRPr="00AF3FEE" w:rsidRDefault="00AF3FEE" w:rsidP="00AF3FEE">
      <w:pPr>
        <w:pStyle w:val="BodyText"/>
        <w:rPr>
          <w:rFonts w:ascii="Arial" w:hAnsi="Arial" w:cs="Arial"/>
          <w:szCs w:val="22"/>
        </w:rPr>
      </w:pPr>
      <w:r w:rsidRPr="00AF3FEE">
        <w:rPr>
          <w:rFonts w:ascii="Arial" w:hAnsi="Arial" w:cs="Arial"/>
          <w:szCs w:val="22"/>
        </w:rPr>
        <w:t xml:space="preserve">Predvidena je tudi zagotovitev programov tehničnih pomoči/tehničnih pisarn v okviru shem dodeljevanja investicijskih spodbud (nepovratnih sredstev in drugih finančnih instrumentov), ki bodo nudili podporo investitorjem iz vseh </w:t>
      </w:r>
      <w:r w:rsidR="003501E2">
        <w:rPr>
          <w:rFonts w:ascii="Arial" w:hAnsi="Arial" w:cs="Arial"/>
          <w:szCs w:val="22"/>
        </w:rPr>
        <w:t xml:space="preserve">bistvenih </w:t>
      </w:r>
      <w:r w:rsidRPr="00AF3FEE">
        <w:rPr>
          <w:rFonts w:ascii="Arial" w:hAnsi="Arial" w:cs="Arial"/>
          <w:szCs w:val="22"/>
        </w:rPr>
        <w:t xml:space="preserve">ciljnih skupin (lokalnim skupnostim ter njihovim gospodarskim in okoljskim javnim službam, akterjem v ožjem javnem sektorju, gospodinjstvom, posebej večstanovanjskim stavbam, SME </w:t>
      </w:r>
      <w:r w:rsidR="00746CFE">
        <w:rPr>
          <w:rFonts w:ascii="Arial" w:hAnsi="Arial" w:cs="Arial"/>
          <w:szCs w:val="22"/>
        </w:rPr>
        <w:t>in tako dalje</w:t>
      </w:r>
      <w:r w:rsidRPr="00AF3FEE">
        <w:rPr>
          <w:rFonts w:ascii="Arial" w:hAnsi="Arial" w:cs="Arial"/>
          <w:szCs w:val="22"/>
        </w:rPr>
        <w:t>). Načrtovana je pomoč za kakovostno pripravo projektov (tudi za agregacijo razpršenih projektov), visoko stopnjo kombiniranja različnih virov financiranja, obravnavo tveganj in podobno, ki bo organizirana na državni in regionalni ravni. Poseben ukrep so nepovratne finančne spodbude za pripravo projektov prehoda v NOD (M11.1a), ki bodo namenjene zlasti za projekte energetske prenove stavb javnega sektorja in večstanovanjskih stavb, povečanja učinkovitosti sistemov daljinskega ogrevanja in hlajenja (DOH), vzpostavljanja energetskih skupnosti oz</w:t>
      </w:r>
      <w:r w:rsidR="004F2B0D">
        <w:rPr>
          <w:rFonts w:ascii="Arial" w:hAnsi="Arial" w:cs="Arial"/>
        </w:rPr>
        <w:t>iroma</w:t>
      </w:r>
      <w:r w:rsidRPr="00AF3FEE">
        <w:rPr>
          <w:rFonts w:ascii="Arial" w:hAnsi="Arial" w:cs="Arial"/>
          <w:szCs w:val="22"/>
        </w:rPr>
        <w:t xml:space="preserve"> skupnosti OVE, trajnostno mobilnost ter druge javne projekte URE in OVE. </w:t>
      </w:r>
    </w:p>
    <w:p w14:paraId="40C39F34" w14:textId="796F1E52" w:rsidR="00AF3FEE" w:rsidRPr="00AF3FEE" w:rsidRDefault="00AF3FEE" w:rsidP="00AF3FEE">
      <w:pPr>
        <w:pStyle w:val="BodyText"/>
        <w:rPr>
          <w:rFonts w:ascii="Arial" w:hAnsi="Arial" w:cs="Arial"/>
          <w:szCs w:val="22"/>
        </w:rPr>
      </w:pPr>
      <w:r w:rsidRPr="00AF3FEE">
        <w:rPr>
          <w:rFonts w:ascii="Arial" w:hAnsi="Arial" w:cs="Arial"/>
          <w:szCs w:val="22"/>
        </w:rPr>
        <w:t>V NEPN je načrtovan tudi ukrep povečanja premoženja Eko sklada (M11.3) za dolgoročno povečanje fonda povratnih spodbud, namenjenih za prenovo stavb in druge okoljske naložbe. Ukrep je že v izvedbi.</w:t>
      </w:r>
    </w:p>
    <w:p w14:paraId="2BBF67BB"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Ukrepi na področju raziskav, inovacij in konkurenčnosti za zeleno rast gospodarstva</w:t>
      </w:r>
    </w:p>
    <w:p w14:paraId="68FB429A" w14:textId="36EB3B3B" w:rsidR="00AF3FEE" w:rsidRPr="00AF3FEE" w:rsidRDefault="00AF3FEE" w:rsidP="00AF3FEE">
      <w:pPr>
        <w:pStyle w:val="BodyText"/>
        <w:rPr>
          <w:rFonts w:ascii="Arial" w:hAnsi="Arial" w:cs="Arial"/>
          <w:szCs w:val="22"/>
        </w:rPr>
      </w:pPr>
      <w:r w:rsidRPr="00AF3FEE">
        <w:rPr>
          <w:rStyle w:val="Naslov-VplivUkrepa-SektorjiChar"/>
          <w:rFonts w:ascii="Arial" w:eastAsia="SimSun" w:hAnsi="Arial" w:cs="Arial"/>
          <w:szCs w:val="22"/>
        </w:rPr>
        <w:t xml:space="preserve">Sektorji, na katere </w:t>
      </w:r>
      <w:r w:rsidR="00161298" w:rsidRPr="00AF3FEE">
        <w:rPr>
          <w:rStyle w:val="Naslov-VplivUkrepa-SektorjiChar"/>
          <w:rFonts w:ascii="Arial" w:eastAsia="SimSun" w:hAnsi="Arial" w:cs="Arial"/>
          <w:szCs w:val="22"/>
        </w:rPr>
        <w:t xml:space="preserve">vpliva </w:t>
      </w:r>
      <w:r w:rsidRPr="00AF3FEE">
        <w:rPr>
          <w:rStyle w:val="Naslov-VplivUkrepa-SektorjiChar"/>
          <w:rFonts w:ascii="Arial" w:eastAsia="SimSun" w:hAnsi="Arial" w:cs="Arial"/>
          <w:szCs w:val="22"/>
        </w:rPr>
        <w:t>izvajanje ukrepa</w:t>
      </w:r>
      <w:r w:rsidRPr="003072DB">
        <w:rPr>
          <w:rStyle w:val="Naslov-VplivUkrepa-SektorjiChar"/>
          <w:rFonts w:ascii="Arial" w:eastAsia="SimSun" w:hAnsi="Arial" w:cs="Arial"/>
          <w:b w:val="0"/>
          <w:szCs w:val="22"/>
        </w:rPr>
        <w:t>:</w:t>
      </w:r>
      <w:r w:rsidRPr="003072DB">
        <w:rPr>
          <w:rFonts w:ascii="Arial" w:hAnsi="Arial" w:cs="Arial"/>
          <w:szCs w:val="22"/>
        </w:rPr>
        <w:t xml:space="preserve"> </w:t>
      </w:r>
      <w:r w:rsidRPr="0038553C">
        <w:rPr>
          <w:rStyle w:val="Tekst-VplivUkrepa-SektorjiCharChar"/>
          <w:rFonts w:ascii="Arial" w:hAnsi="Arial" w:cs="Arial"/>
          <w:i w:val="0"/>
          <w:iCs/>
          <w:szCs w:val="22"/>
        </w:rPr>
        <w:t>raba energije v industriji in gradbeništvu, raba energije v gospodinjstvih, storitvenem sektorju in kmetijstvu ter prometu</w:t>
      </w:r>
      <w:r w:rsidR="003501E2">
        <w:rPr>
          <w:rStyle w:val="Tekst-VplivUkrepa-SektorjiCharChar"/>
          <w:rFonts w:ascii="Arial" w:hAnsi="Arial" w:cs="Arial"/>
          <w:i w:val="0"/>
          <w:iCs/>
          <w:szCs w:val="22"/>
        </w:rPr>
        <w:t>.</w:t>
      </w:r>
    </w:p>
    <w:p w14:paraId="0A370DB4" w14:textId="78B2ACC5" w:rsidR="00AF3FEE" w:rsidRPr="00AF3FEE" w:rsidRDefault="00AF3FEE" w:rsidP="00AF3FEE">
      <w:pPr>
        <w:pStyle w:val="BodyText"/>
        <w:rPr>
          <w:rFonts w:ascii="Arial" w:hAnsi="Arial" w:cs="Arial"/>
          <w:szCs w:val="22"/>
        </w:rPr>
      </w:pPr>
      <w:r w:rsidRPr="00AF3FEE">
        <w:rPr>
          <w:rFonts w:ascii="Arial" w:hAnsi="Arial" w:cs="Arial"/>
          <w:szCs w:val="22"/>
        </w:rPr>
        <w:t>Ukrepi na področju raziskav, inovacij in konkurenčnosti za zeleno rast gospodarstva so bili ob prenovi NEPN nadgrajeni. Ključni ukrepi na tem področju so:</w:t>
      </w:r>
    </w:p>
    <w:p w14:paraId="7D155A40" w14:textId="799B03DD"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spodbujanje razvoja visokokakovostnih zelenih produktov, storitev in poslovnih modelov za razogl</w:t>
      </w:r>
      <w:r w:rsidR="003501E2">
        <w:rPr>
          <w:rFonts w:ascii="Arial" w:hAnsi="Arial" w:cs="Arial"/>
        </w:rPr>
        <w:t>j</w:t>
      </w:r>
      <w:r w:rsidRPr="00AF3FEE">
        <w:rPr>
          <w:rFonts w:ascii="Arial" w:hAnsi="Arial" w:cs="Arial"/>
        </w:rPr>
        <w:t>ičenje in krožnost s kombiniranjem povratnih in nepovratnih sredstev (M11.2);</w:t>
      </w:r>
    </w:p>
    <w:p w14:paraId="37343B5E" w14:textId="3DFDB9BB"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povečanje sredstev za raziskave in razvoj kot podpora konkurenčnosti slovenskega gospodarstva in prehodu v podnebno nevtralno družb</w:t>
      </w:r>
      <w:r w:rsidR="003501E2">
        <w:rPr>
          <w:rFonts w:ascii="Arial" w:hAnsi="Arial" w:cs="Arial"/>
        </w:rPr>
        <w:t>o</w:t>
      </w:r>
      <w:r w:rsidRPr="00AF3FEE">
        <w:rPr>
          <w:rFonts w:ascii="Arial" w:hAnsi="Arial" w:cs="Arial"/>
        </w:rPr>
        <w:t xml:space="preserve">, kjer gre za povečanje obsega </w:t>
      </w:r>
      <w:r w:rsidRPr="00AF3FEE">
        <w:rPr>
          <w:rFonts w:ascii="Arial" w:hAnsi="Arial" w:cs="Arial"/>
        </w:rPr>
        <w:lastRenderedPageBreak/>
        <w:t>sredstev in bolj ciljno usmerjanje na področja, ki pripevajo k ciljem zelenega prehoda (M33.1);</w:t>
      </w:r>
    </w:p>
    <w:p w14:paraId="69D65133" w14:textId="03E14C1C"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spodbujanje raziskav in inovacij ter demonstracijskih in pilotnih projektov za prehod v podnebno nevtralno družbo (področje tehnologij OVE in URE ter drugih nizkoogljičnih tehnologij, shranjevanja energije, pametnih omrežij, recikliranja, snovne učinkovitosti, povečevanja ponorov in zmanjševanja emisij TGP v sektorju LULUCF in kmetijstvo, uporabe naravnih obnovljivih materialov in drugo) s strani državnih institucij ter prilagajanj</w:t>
      </w:r>
      <w:r w:rsidR="008D65DC">
        <w:rPr>
          <w:rFonts w:ascii="Arial" w:hAnsi="Arial" w:cs="Arial"/>
        </w:rPr>
        <w:t>e</w:t>
      </w:r>
      <w:r w:rsidRPr="00AF3FEE">
        <w:rPr>
          <w:rFonts w:ascii="Arial" w:hAnsi="Arial" w:cs="Arial"/>
        </w:rPr>
        <w:t xml:space="preserve"> </w:t>
      </w:r>
      <w:r w:rsidR="00D339DA" w:rsidRPr="00AF3FEE">
        <w:rPr>
          <w:rFonts w:ascii="Arial" w:hAnsi="Arial" w:cs="Arial"/>
        </w:rPr>
        <w:t>podnebn</w:t>
      </w:r>
      <w:r w:rsidR="00D339DA">
        <w:rPr>
          <w:rFonts w:ascii="Arial" w:hAnsi="Arial" w:cs="Arial"/>
        </w:rPr>
        <w:t>im</w:t>
      </w:r>
      <w:r w:rsidR="00D339DA" w:rsidRPr="00AF3FEE">
        <w:rPr>
          <w:rFonts w:ascii="Arial" w:hAnsi="Arial" w:cs="Arial"/>
        </w:rPr>
        <w:t xml:space="preserve"> sprememb</w:t>
      </w:r>
      <w:r w:rsidR="00D339DA">
        <w:rPr>
          <w:rFonts w:ascii="Arial" w:hAnsi="Arial" w:cs="Arial"/>
        </w:rPr>
        <w:t>am</w:t>
      </w:r>
      <w:r w:rsidR="00D339DA" w:rsidRPr="00AF3FEE">
        <w:rPr>
          <w:rFonts w:ascii="Arial" w:hAnsi="Arial" w:cs="Arial"/>
        </w:rPr>
        <w:t xml:space="preserve"> </w:t>
      </w:r>
      <w:r w:rsidRPr="00AF3FEE">
        <w:rPr>
          <w:rFonts w:ascii="Arial" w:hAnsi="Arial" w:cs="Arial"/>
        </w:rPr>
        <w:t xml:space="preserve">(M33.2); </w:t>
      </w:r>
    </w:p>
    <w:p w14:paraId="5DF5F960" w14:textId="77777777"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 xml:space="preserve">spodbujanje podjetij in institucij za prehod v podnebno nevtralno družbo (M33.3); </w:t>
      </w:r>
    </w:p>
    <w:p w14:paraId="406CCEA3" w14:textId="1E9A79BC"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uvajanje novih finančnih instrumentov in dodatnih finančnih spodbud za inovacijske in demonstracijske projekte na področju zelenega prehod</w:t>
      </w:r>
      <w:r w:rsidR="008D65DC">
        <w:rPr>
          <w:rFonts w:ascii="Arial" w:hAnsi="Arial" w:cs="Arial"/>
        </w:rPr>
        <w:t>a</w:t>
      </w:r>
      <w:r w:rsidRPr="00AF3FEE">
        <w:rPr>
          <w:rFonts w:ascii="Arial" w:hAnsi="Arial" w:cs="Arial"/>
        </w:rPr>
        <w:t xml:space="preserve"> (M33.4);</w:t>
      </w:r>
    </w:p>
    <w:p w14:paraId="2940193C" w14:textId="77777777"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spodbujanje usposabljanja in kadrovska okrepitev v podjetjih in institucijah (M33.5);</w:t>
      </w:r>
    </w:p>
    <w:p w14:paraId="1B14DA5B" w14:textId="77777777"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načrtovanje in razvoj izobraževanja in usposabljanja za prehod v podnebno nevtralno družbo in krožno gospodarstvo s poudarkom na potrebnih znanjih, kompetencah in kakovostnih delovnih mestih (M33.6);</w:t>
      </w:r>
    </w:p>
    <w:p w14:paraId="0A099A72" w14:textId="75317D13"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 xml:space="preserve">nadgradnja ključnih raziskovalnih infrastruktur (M34.1) </w:t>
      </w:r>
      <w:r w:rsidR="008D65DC">
        <w:rPr>
          <w:rFonts w:ascii="Arial" w:hAnsi="Arial" w:cs="Arial"/>
        </w:rPr>
        <w:t>in</w:t>
      </w:r>
    </w:p>
    <w:p w14:paraId="2D76C289" w14:textId="3A836EB8" w:rsidR="00AF3FEE" w:rsidRPr="00AF3FEE" w:rsidRDefault="00AF3FEE" w:rsidP="0038553C">
      <w:pPr>
        <w:pStyle w:val="ListParagraph"/>
        <w:numPr>
          <w:ilvl w:val="0"/>
          <w:numId w:val="12"/>
        </w:numPr>
        <w:spacing w:after="120" w:line="244" w:lineRule="auto"/>
        <w:jc w:val="both"/>
        <w:rPr>
          <w:rFonts w:ascii="Arial" w:hAnsi="Arial" w:cs="Arial"/>
        </w:rPr>
      </w:pPr>
      <w:r w:rsidRPr="00AF3FEE">
        <w:rPr>
          <w:rFonts w:ascii="Arial" w:hAnsi="Arial" w:cs="Arial"/>
        </w:rPr>
        <w:t xml:space="preserve">dva ukrepa na področju sistematičnega spremljanja </w:t>
      </w:r>
      <w:r w:rsidR="00F6504B">
        <w:rPr>
          <w:rFonts w:ascii="Arial" w:hAnsi="Arial" w:cs="Arial"/>
        </w:rPr>
        <w:t>raziskav, razvoja in inovacij (</w:t>
      </w:r>
      <w:r w:rsidRPr="00AF3FEE">
        <w:rPr>
          <w:rFonts w:ascii="Arial" w:hAnsi="Arial" w:cs="Arial"/>
        </w:rPr>
        <w:t>RRI</w:t>
      </w:r>
      <w:r w:rsidR="00F6504B">
        <w:rPr>
          <w:rFonts w:ascii="Arial" w:hAnsi="Arial" w:cs="Arial"/>
        </w:rPr>
        <w:t>)</w:t>
      </w:r>
      <w:r w:rsidRPr="00AF3FEE">
        <w:rPr>
          <w:rFonts w:ascii="Arial" w:hAnsi="Arial" w:cs="Arial"/>
        </w:rPr>
        <w:t xml:space="preserve"> na področju zelenega prehoda (M34.2 in M34.3).</w:t>
      </w:r>
    </w:p>
    <w:p w14:paraId="4011C14F" w14:textId="3F294298" w:rsidR="00AF3FEE" w:rsidRPr="00AF3FEE" w:rsidRDefault="00AF3FEE" w:rsidP="00AF3FEE">
      <w:pPr>
        <w:spacing w:line="244" w:lineRule="auto"/>
        <w:jc w:val="both"/>
        <w:rPr>
          <w:rFonts w:ascii="Arial" w:hAnsi="Arial" w:cs="Arial"/>
        </w:rPr>
      </w:pPr>
      <w:r w:rsidRPr="00AF3FEE">
        <w:rPr>
          <w:rFonts w:ascii="Arial" w:hAnsi="Arial" w:cs="Arial"/>
        </w:rPr>
        <w:t>Glavni strateški dokument za področje raziskav in inovacij je Resolucija o raziskovalni in inovacijski strategiji Slovenije 2030, ki se komplementarno povezuje tudi z drugimi področnimi strateškimi dokumenti na nacionalni ravni (</w:t>
      </w:r>
      <w:r w:rsidR="008D65DC">
        <w:rPr>
          <w:rFonts w:ascii="Arial" w:hAnsi="Arial" w:cs="Arial"/>
        </w:rPr>
        <w:t xml:space="preserve">s </w:t>
      </w:r>
      <w:r w:rsidRPr="00AF3FEE">
        <w:rPr>
          <w:rFonts w:ascii="Arial" w:hAnsi="Arial" w:cs="Arial"/>
        </w:rPr>
        <w:t xml:space="preserve">Slovensko strategijo pametne specializacije (S5), NEPN </w:t>
      </w:r>
      <w:r w:rsidR="004F2B0D">
        <w:rPr>
          <w:rFonts w:ascii="Arial" w:hAnsi="Arial" w:cs="Arial"/>
        </w:rPr>
        <w:t>in drug</w:t>
      </w:r>
      <w:r w:rsidR="00501047">
        <w:rPr>
          <w:rFonts w:ascii="Arial" w:hAnsi="Arial" w:cs="Arial"/>
        </w:rPr>
        <w:t>imi</w:t>
      </w:r>
      <w:r w:rsidRPr="00AF3FEE">
        <w:rPr>
          <w:rFonts w:ascii="Arial" w:hAnsi="Arial" w:cs="Arial"/>
        </w:rPr>
        <w:t xml:space="preserve">), na izvedbeni ravni pa jo dopolnjujejo akcijski načrti </w:t>
      </w:r>
      <w:r w:rsidR="008D65DC">
        <w:rPr>
          <w:rFonts w:ascii="Arial" w:hAnsi="Arial" w:cs="Arial"/>
        </w:rPr>
        <w:t>in</w:t>
      </w:r>
      <w:r w:rsidR="008D65DC" w:rsidRPr="00AF3FEE">
        <w:rPr>
          <w:rFonts w:ascii="Arial" w:hAnsi="Arial" w:cs="Arial"/>
        </w:rPr>
        <w:t xml:space="preserve"> </w:t>
      </w:r>
      <w:r w:rsidRPr="00AF3FEE">
        <w:rPr>
          <w:rFonts w:ascii="Arial" w:hAnsi="Arial" w:cs="Arial"/>
        </w:rPr>
        <w:t xml:space="preserve">področni strateški dokumenti (Načrt razvoja raziskovalne infrastrukture </w:t>
      </w:r>
      <w:r w:rsidR="00DC3569">
        <w:rPr>
          <w:rFonts w:ascii="Arial" w:hAnsi="Arial" w:cs="Arial"/>
        </w:rPr>
        <w:t>in drugo</w:t>
      </w:r>
      <w:r w:rsidRPr="00AF3FEE">
        <w:rPr>
          <w:rFonts w:ascii="Arial" w:hAnsi="Arial" w:cs="Arial"/>
        </w:rPr>
        <w:t>).</w:t>
      </w:r>
    </w:p>
    <w:p w14:paraId="0431CEBE" w14:textId="509726A7" w:rsidR="00AF3FEE" w:rsidRPr="00AF3FEE" w:rsidRDefault="00AF3FEE" w:rsidP="00AF3FEE">
      <w:pPr>
        <w:pStyle w:val="BodyText"/>
        <w:rPr>
          <w:rFonts w:ascii="Arial" w:hAnsi="Arial" w:cs="Arial"/>
          <w:szCs w:val="22"/>
        </w:rPr>
      </w:pPr>
      <w:r w:rsidRPr="00AF3FEE">
        <w:rPr>
          <w:rFonts w:ascii="Arial" w:hAnsi="Arial" w:cs="Arial"/>
          <w:szCs w:val="22"/>
        </w:rPr>
        <w:t xml:space="preserve">Spodbude podjetjem za prehod v podnebno nevtralno družbo so na voljo tudi v </w:t>
      </w:r>
      <w:r w:rsidR="00501047">
        <w:rPr>
          <w:rFonts w:ascii="Arial" w:hAnsi="Arial" w:cs="Arial"/>
          <w:szCs w:val="22"/>
        </w:rPr>
        <w:t xml:space="preserve">okviru </w:t>
      </w:r>
      <w:r w:rsidRPr="00AF3FEE">
        <w:rPr>
          <w:rFonts w:ascii="Arial" w:hAnsi="Arial" w:cs="Arial"/>
          <w:szCs w:val="22"/>
        </w:rPr>
        <w:t xml:space="preserve">Načrta za okrevanje in odpornost (NOO) iz sredstev iz </w:t>
      </w:r>
      <w:bookmarkStart w:id="68" w:name="_Hlk196207458"/>
      <w:r w:rsidRPr="00AF3FEE">
        <w:rPr>
          <w:rFonts w:ascii="Arial" w:hAnsi="Arial" w:cs="Arial"/>
          <w:szCs w:val="22"/>
        </w:rPr>
        <w:t xml:space="preserve">Sklada za okrevanje in odpornost </w:t>
      </w:r>
      <w:bookmarkEnd w:id="68"/>
      <w:r w:rsidRPr="00AF3FEE">
        <w:rPr>
          <w:rFonts w:ascii="Arial" w:hAnsi="Arial" w:cs="Arial"/>
          <w:szCs w:val="22"/>
        </w:rPr>
        <w:t xml:space="preserve">(RRF), v okviru izvajanja Kohezijske politike EU v Sloveniji iz sredstev strukturnih in investicijskih </w:t>
      </w:r>
      <w:r w:rsidRPr="008D65DC">
        <w:rPr>
          <w:rStyle w:val="Emphasis"/>
          <w:rFonts w:ascii="Arial" w:hAnsi="Arial" w:cs="Arial"/>
          <w:i w:val="0"/>
          <w:szCs w:val="22"/>
        </w:rPr>
        <w:t>skladov EU</w:t>
      </w:r>
      <w:r w:rsidRPr="00A57F7D">
        <w:rPr>
          <w:rFonts w:ascii="Arial" w:hAnsi="Arial" w:cs="Arial"/>
          <w:i/>
          <w:szCs w:val="22"/>
        </w:rPr>
        <w:t xml:space="preserve"> </w:t>
      </w:r>
      <w:r w:rsidRPr="00AF3FEE">
        <w:rPr>
          <w:rFonts w:ascii="Arial" w:hAnsi="Arial" w:cs="Arial"/>
          <w:szCs w:val="22"/>
        </w:rPr>
        <w:t xml:space="preserve">(ESRR, KS in ESS) </w:t>
      </w:r>
      <w:r w:rsidR="008D65DC">
        <w:rPr>
          <w:rFonts w:ascii="Arial" w:hAnsi="Arial" w:cs="Arial"/>
          <w:szCs w:val="22"/>
        </w:rPr>
        <w:t>in</w:t>
      </w:r>
      <w:r w:rsidR="008D65DC" w:rsidRPr="00AF3FEE">
        <w:rPr>
          <w:rFonts w:ascii="Arial" w:hAnsi="Arial" w:cs="Arial"/>
          <w:szCs w:val="22"/>
        </w:rPr>
        <w:t xml:space="preserve"> </w:t>
      </w:r>
      <w:r w:rsidRPr="00AF3FEE">
        <w:rPr>
          <w:rFonts w:ascii="Arial" w:hAnsi="Arial" w:cs="Arial"/>
          <w:szCs w:val="22"/>
        </w:rPr>
        <w:t xml:space="preserve">v </w:t>
      </w:r>
      <w:r w:rsidR="00501047">
        <w:rPr>
          <w:rFonts w:ascii="Arial" w:hAnsi="Arial" w:cs="Arial"/>
          <w:szCs w:val="22"/>
        </w:rPr>
        <w:t>okviru</w:t>
      </w:r>
      <w:r w:rsidR="00501047" w:rsidRPr="00AF3FEE">
        <w:rPr>
          <w:rFonts w:ascii="Arial" w:hAnsi="Arial" w:cs="Arial"/>
          <w:szCs w:val="22"/>
        </w:rPr>
        <w:t xml:space="preserve"> </w:t>
      </w:r>
      <w:r w:rsidRPr="00AF3FEE">
        <w:rPr>
          <w:rFonts w:ascii="Arial" w:hAnsi="Arial" w:cs="Arial"/>
          <w:szCs w:val="22"/>
        </w:rPr>
        <w:t>območnih načrtov</w:t>
      </w:r>
      <w:r w:rsidR="008D65DC">
        <w:rPr>
          <w:rFonts w:ascii="Arial" w:hAnsi="Arial" w:cs="Arial"/>
          <w:szCs w:val="22"/>
        </w:rPr>
        <w:t>,</w:t>
      </w:r>
      <w:r w:rsidRPr="00AF3FEE">
        <w:rPr>
          <w:rFonts w:ascii="Arial" w:hAnsi="Arial" w:cs="Arial"/>
          <w:szCs w:val="22"/>
        </w:rPr>
        <w:t xml:space="preserve"> </w:t>
      </w:r>
      <w:r w:rsidR="004F2B0D">
        <w:rPr>
          <w:rFonts w:ascii="Arial" w:hAnsi="Arial" w:cs="Arial"/>
          <w:szCs w:val="22"/>
        </w:rPr>
        <w:t>na primer</w:t>
      </w:r>
      <w:r w:rsidR="00501047">
        <w:rPr>
          <w:rFonts w:ascii="Arial" w:hAnsi="Arial" w:cs="Arial"/>
          <w:szCs w:val="22"/>
        </w:rPr>
        <w:t xml:space="preserve"> v okviru</w:t>
      </w:r>
      <w:r w:rsidRPr="00AF3FEE">
        <w:rPr>
          <w:rFonts w:ascii="Arial" w:hAnsi="Arial" w:cs="Arial"/>
          <w:szCs w:val="22"/>
        </w:rPr>
        <w:t xml:space="preserve"> načrt</w:t>
      </w:r>
      <w:r w:rsidR="00501047">
        <w:rPr>
          <w:rFonts w:ascii="Arial" w:hAnsi="Arial" w:cs="Arial"/>
          <w:szCs w:val="22"/>
        </w:rPr>
        <w:t>a</w:t>
      </w:r>
      <w:r w:rsidRPr="00AF3FEE">
        <w:rPr>
          <w:rFonts w:ascii="Arial" w:hAnsi="Arial" w:cs="Arial"/>
          <w:szCs w:val="22"/>
        </w:rPr>
        <w:t xml:space="preserve"> za pravični prehod premogovnih regij iz sredstev </w:t>
      </w:r>
      <w:bookmarkStart w:id="69" w:name="_Hlk196207498"/>
      <w:r w:rsidRPr="00AF3FEE">
        <w:rPr>
          <w:rFonts w:ascii="Arial" w:hAnsi="Arial" w:cs="Arial"/>
          <w:szCs w:val="22"/>
        </w:rPr>
        <w:t>Evropskega sklada za pravični prehod</w:t>
      </w:r>
      <w:bookmarkEnd w:id="69"/>
      <w:r w:rsidRPr="00AF3FEE">
        <w:rPr>
          <w:rFonts w:ascii="Arial" w:hAnsi="Arial" w:cs="Arial"/>
          <w:szCs w:val="22"/>
        </w:rPr>
        <w:t xml:space="preserve"> (SPP).</w:t>
      </w:r>
    </w:p>
    <w:p w14:paraId="05D4F6BD" w14:textId="51B2BA58" w:rsidR="00AF3FEE" w:rsidRPr="00AF3FEE" w:rsidRDefault="00AF3FEE" w:rsidP="00AF3FEE">
      <w:pPr>
        <w:pStyle w:val="Heading41"/>
        <w:tabs>
          <w:tab w:val="left" w:pos="680"/>
        </w:tabs>
        <w:spacing w:before="360"/>
        <w:ind w:left="680" w:hanging="680"/>
        <w:jc w:val="both"/>
        <w:rPr>
          <w:rFonts w:cs="Arial"/>
          <w:szCs w:val="22"/>
          <w:lang w:val="sl-SI"/>
        </w:rPr>
      </w:pPr>
      <w:bookmarkStart w:id="70" w:name="_Hlk192924067"/>
      <w:r w:rsidRPr="00AF3FEE">
        <w:rPr>
          <w:rFonts w:cs="Arial"/>
          <w:szCs w:val="22"/>
          <w:lang w:val="sl-SI"/>
        </w:rPr>
        <w:t xml:space="preserve">Izboljšanje prostorskega načrtovanja za podporo izvajanju ukrepov URE </w:t>
      </w:r>
      <w:r w:rsidR="00501047">
        <w:rPr>
          <w:rFonts w:cs="Arial"/>
          <w:szCs w:val="22"/>
          <w:lang w:val="sl-SI"/>
        </w:rPr>
        <w:t>IN</w:t>
      </w:r>
      <w:r w:rsidR="00501047" w:rsidRPr="00AF3FEE">
        <w:rPr>
          <w:rFonts w:cs="Arial"/>
          <w:szCs w:val="22"/>
          <w:lang w:val="sl-SI"/>
        </w:rPr>
        <w:t xml:space="preserve"> </w:t>
      </w:r>
      <w:r w:rsidRPr="00AF3FEE">
        <w:rPr>
          <w:rFonts w:cs="Arial"/>
          <w:szCs w:val="22"/>
          <w:lang w:val="sl-SI"/>
        </w:rPr>
        <w:t xml:space="preserve">OVE   </w:t>
      </w:r>
    </w:p>
    <w:bookmarkEnd w:id="70"/>
    <w:p w14:paraId="560A6E7A" w14:textId="3A36EBB4" w:rsidR="00AF3FEE" w:rsidRPr="00AF3FEE" w:rsidRDefault="00AF3FEE" w:rsidP="00AF3FEE">
      <w:pPr>
        <w:pStyle w:val="BodyText"/>
        <w:rPr>
          <w:rFonts w:ascii="Arial" w:hAnsi="Arial" w:cs="Arial"/>
          <w:szCs w:val="22"/>
        </w:rPr>
      </w:pPr>
      <w:r w:rsidRPr="00A57F7D">
        <w:rPr>
          <w:rFonts w:ascii="Arial" w:hAnsi="Arial" w:cs="Arial"/>
          <w:b/>
          <w:szCs w:val="22"/>
        </w:rPr>
        <w:t xml:space="preserve">Sektorji, na katere </w:t>
      </w:r>
      <w:r w:rsidR="008D65DC" w:rsidRPr="00A57F7D">
        <w:rPr>
          <w:rFonts w:ascii="Arial" w:hAnsi="Arial" w:cs="Arial"/>
          <w:b/>
          <w:szCs w:val="22"/>
        </w:rPr>
        <w:t xml:space="preserve">vpliva </w:t>
      </w:r>
      <w:r w:rsidRPr="00A57F7D">
        <w:rPr>
          <w:rFonts w:ascii="Arial" w:hAnsi="Arial" w:cs="Arial"/>
          <w:b/>
          <w:szCs w:val="22"/>
        </w:rPr>
        <w:t>izvajanje ukrepa</w:t>
      </w:r>
      <w:r w:rsidRPr="00A57F7D">
        <w:rPr>
          <w:rFonts w:ascii="Arial" w:hAnsi="Arial" w:cs="Arial"/>
          <w:szCs w:val="22"/>
        </w:rPr>
        <w:t>:</w:t>
      </w:r>
      <w:r w:rsidRPr="008D65DC">
        <w:rPr>
          <w:rFonts w:ascii="Arial" w:hAnsi="Arial" w:cs="Arial"/>
          <w:szCs w:val="22"/>
        </w:rPr>
        <w:t xml:space="preserve"> </w:t>
      </w:r>
      <w:r w:rsidRPr="0038553C">
        <w:rPr>
          <w:rFonts w:ascii="Arial" w:hAnsi="Arial" w:cs="Arial"/>
          <w:szCs w:val="22"/>
        </w:rPr>
        <w:t>proizvodnja električne energije iz OVE in nizkoogljičnih virov, raba energije</w:t>
      </w:r>
      <w:r w:rsidR="00501047">
        <w:rPr>
          <w:rFonts w:ascii="Arial" w:hAnsi="Arial" w:cs="Arial"/>
          <w:szCs w:val="22"/>
        </w:rPr>
        <w:t>.</w:t>
      </w:r>
    </w:p>
    <w:p w14:paraId="693D128A" w14:textId="10179DD1" w:rsidR="00AF3FEE" w:rsidRPr="00AF3FEE" w:rsidRDefault="00AF3FEE" w:rsidP="00AF3FEE">
      <w:pPr>
        <w:pStyle w:val="BodyText"/>
        <w:rPr>
          <w:rFonts w:ascii="Arial" w:hAnsi="Arial" w:cs="Arial"/>
          <w:szCs w:val="22"/>
        </w:rPr>
      </w:pPr>
      <w:r w:rsidRPr="00AF3FEE">
        <w:rPr>
          <w:rFonts w:ascii="Arial" w:hAnsi="Arial" w:cs="Arial"/>
          <w:szCs w:val="22"/>
        </w:rPr>
        <w:t>Ukrepi, vključeni v posodobljeni NEPN</w:t>
      </w:r>
      <w:r w:rsidR="00501047">
        <w:rPr>
          <w:rFonts w:ascii="Arial" w:hAnsi="Arial" w:cs="Arial"/>
          <w:szCs w:val="22"/>
        </w:rPr>
        <w:t>,</w:t>
      </w:r>
      <w:r w:rsidRPr="00AF3FEE">
        <w:rPr>
          <w:rFonts w:ascii="Arial" w:hAnsi="Arial" w:cs="Arial"/>
          <w:szCs w:val="22"/>
        </w:rPr>
        <w:t xml:space="preserve"> </w:t>
      </w:r>
      <w:r w:rsidR="008D65DC">
        <w:rPr>
          <w:rFonts w:ascii="Arial" w:hAnsi="Arial" w:cs="Arial"/>
          <w:szCs w:val="22"/>
        </w:rPr>
        <w:t>obravnav</w:t>
      </w:r>
      <w:r w:rsidR="008D65DC" w:rsidRPr="00AF3FEE">
        <w:rPr>
          <w:rFonts w:ascii="Arial" w:hAnsi="Arial" w:cs="Arial"/>
          <w:szCs w:val="22"/>
        </w:rPr>
        <w:t xml:space="preserve">ajo </w:t>
      </w:r>
      <w:r w:rsidRPr="00AF3FEE">
        <w:rPr>
          <w:rFonts w:ascii="Arial" w:hAnsi="Arial" w:cs="Arial"/>
          <w:szCs w:val="22"/>
        </w:rPr>
        <w:t xml:space="preserve">predvsem umeščanje obnovljivih in nizkoogljičnih virov v prostor, saj se je pokazalo, da je za učinkovito umeščanje OVE in doseganje ciljev OVE in URE ter drugih nizkoogljičnih virov </w:t>
      </w:r>
      <w:r w:rsidR="00DC3569">
        <w:rPr>
          <w:rFonts w:ascii="Arial" w:hAnsi="Arial" w:cs="Arial"/>
          <w:szCs w:val="22"/>
        </w:rPr>
        <w:t xml:space="preserve">treba </w:t>
      </w:r>
      <w:r w:rsidRPr="00AF3FEE">
        <w:rPr>
          <w:rFonts w:ascii="Arial" w:hAnsi="Arial" w:cs="Arial"/>
          <w:szCs w:val="22"/>
        </w:rPr>
        <w:t xml:space="preserve">bolje </w:t>
      </w:r>
      <w:r w:rsidR="008D65DC">
        <w:rPr>
          <w:rFonts w:ascii="Arial" w:hAnsi="Arial" w:cs="Arial"/>
          <w:szCs w:val="22"/>
        </w:rPr>
        <w:t>vključi</w:t>
      </w:r>
      <w:r w:rsidR="008D65DC" w:rsidRPr="00AF3FEE">
        <w:rPr>
          <w:rFonts w:ascii="Arial" w:hAnsi="Arial" w:cs="Arial"/>
          <w:szCs w:val="22"/>
        </w:rPr>
        <w:t xml:space="preserve">ti </w:t>
      </w:r>
      <w:r w:rsidRPr="00AF3FEE">
        <w:rPr>
          <w:rFonts w:ascii="Arial" w:hAnsi="Arial" w:cs="Arial"/>
          <w:szCs w:val="22"/>
        </w:rPr>
        <w:t>prostorsko načrtovanje oz</w:t>
      </w:r>
      <w:r w:rsidR="004F2B0D">
        <w:rPr>
          <w:rFonts w:ascii="Arial" w:hAnsi="Arial" w:cs="Arial"/>
        </w:rPr>
        <w:t>iroma</w:t>
      </w:r>
      <w:r w:rsidRPr="00AF3FEE">
        <w:rPr>
          <w:rFonts w:ascii="Arial" w:hAnsi="Arial" w:cs="Arial"/>
          <w:szCs w:val="22"/>
        </w:rPr>
        <w:t xml:space="preserve"> vnesti tudi spremembe na področju prostorskega načrtovanja. Glavni ukrepi zajemajo </w:t>
      </w:r>
      <w:r w:rsidR="00F53809">
        <w:rPr>
          <w:rFonts w:ascii="Arial" w:hAnsi="Arial" w:cs="Arial"/>
          <w:szCs w:val="22"/>
        </w:rPr>
        <w:t>p</w:t>
      </w:r>
      <w:r w:rsidRPr="00AF3FEE">
        <w:rPr>
          <w:rFonts w:ascii="Arial" w:hAnsi="Arial" w:cs="Arial"/>
          <w:szCs w:val="22"/>
        </w:rPr>
        <w:t xml:space="preserve">ripravo in posodobitev zakonodaje za prostorsko načrtovanje URE, OVE in NO virov (M16.1), med drugim prenovo Splošnih smernic s področja energetike na podlagi Zakona o urejanju prostora, </w:t>
      </w:r>
      <w:r w:rsidR="00F53809">
        <w:rPr>
          <w:rFonts w:ascii="Arial" w:hAnsi="Arial" w:cs="Arial"/>
          <w:szCs w:val="22"/>
        </w:rPr>
        <w:t>i</w:t>
      </w:r>
      <w:r w:rsidRPr="00AF3FEE">
        <w:rPr>
          <w:rFonts w:ascii="Arial" w:hAnsi="Arial" w:cs="Arial"/>
          <w:szCs w:val="22"/>
        </w:rPr>
        <w:t>zboljšavo postopkov CPVO in PVO (M16.2.)</w:t>
      </w:r>
      <w:r w:rsidR="008D65DC">
        <w:rPr>
          <w:rFonts w:ascii="Arial" w:hAnsi="Arial" w:cs="Arial"/>
          <w:szCs w:val="22"/>
        </w:rPr>
        <w:t>,</w:t>
      </w:r>
      <w:r w:rsidRPr="00AF3FEE">
        <w:rPr>
          <w:rFonts w:ascii="Arial" w:hAnsi="Arial" w:cs="Arial"/>
          <w:szCs w:val="22"/>
        </w:rPr>
        <w:t xml:space="preserve"> nadgradnj</w:t>
      </w:r>
      <w:r w:rsidR="008D65DC">
        <w:rPr>
          <w:rFonts w:ascii="Arial" w:hAnsi="Arial" w:cs="Arial"/>
          <w:szCs w:val="22"/>
        </w:rPr>
        <w:t>o</w:t>
      </w:r>
      <w:r w:rsidRPr="00AF3FEE">
        <w:rPr>
          <w:rFonts w:ascii="Arial" w:hAnsi="Arial" w:cs="Arial"/>
          <w:szCs w:val="22"/>
        </w:rPr>
        <w:t xml:space="preserve"> smernic, navodil </w:t>
      </w:r>
      <w:r w:rsidR="008D65DC">
        <w:rPr>
          <w:rFonts w:ascii="Arial" w:hAnsi="Arial" w:cs="Arial"/>
          <w:szCs w:val="22"/>
        </w:rPr>
        <w:t xml:space="preserve">in </w:t>
      </w:r>
      <w:r w:rsidRPr="00AF3FEE">
        <w:rPr>
          <w:rFonts w:ascii="Arial" w:hAnsi="Arial" w:cs="Arial"/>
          <w:szCs w:val="22"/>
        </w:rPr>
        <w:t>po potrebi tudi pravnih aktov</w:t>
      </w:r>
      <w:r w:rsidR="008D65DC">
        <w:rPr>
          <w:rFonts w:ascii="Arial" w:hAnsi="Arial" w:cs="Arial"/>
          <w:szCs w:val="22"/>
        </w:rPr>
        <w:t xml:space="preserve"> ter</w:t>
      </w:r>
      <w:r w:rsidRPr="00AF3FEE">
        <w:rPr>
          <w:rFonts w:ascii="Arial" w:hAnsi="Arial" w:cs="Arial"/>
          <w:szCs w:val="22"/>
        </w:rPr>
        <w:t xml:space="preserve"> priprav</w:t>
      </w:r>
      <w:r w:rsidR="008D65DC">
        <w:rPr>
          <w:rFonts w:ascii="Arial" w:hAnsi="Arial" w:cs="Arial"/>
          <w:szCs w:val="22"/>
        </w:rPr>
        <w:t>o</w:t>
      </w:r>
      <w:r w:rsidRPr="00AF3FEE">
        <w:rPr>
          <w:rFonts w:ascii="Arial" w:hAnsi="Arial" w:cs="Arial"/>
          <w:szCs w:val="22"/>
        </w:rPr>
        <w:t xml:space="preserve"> metodologije za presojo vplivov VE in SE na okolje. Posodobil</w:t>
      </w:r>
      <w:r w:rsidR="008D65DC">
        <w:rPr>
          <w:rFonts w:ascii="Arial" w:hAnsi="Arial" w:cs="Arial"/>
          <w:szCs w:val="22"/>
        </w:rPr>
        <w:t>i</w:t>
      </w:r>
      <w:r w:rsidRPr="00AF3FEE">
        <w:rPr>
          <w:rFonts w:ascii="Arial" w:hAnsi="Arial" w:cs="Arial"/>
          <w:szCs w:val="22"/>
        </w:rPr>
        <w:t xml:space="preserve"> se bodo tudi smernice in navodila za </w:t>
      </w:r>
      <w:r w:rsidR="004F2B0D">
        <w:rPr>
          <w:rFonts w:ascii="Arial" w:hAnsi="Arial" w:cs="Arial"/>
          <w:szCs w:val="22"/>
        </w:rPr>
        <w:t xml:space="preserve">navedene </w:t>
      </w:r>
      <w:r w:rsidRPr="00AF3FEE">
        <w:rPr>
          <w:rFonts w:ascii="Arial" w:hAnsi="Arial" w:cs="Arial"/>
          <w:szCs w:val="22"/>
        </w:rPr>
        <w:t xml:space="preserve">postopke za oceno vpliva na blaženje </w:t>
      </w:r>
      <w:r w:rsidR="008D65DC" w:rsidRPr="00AF3FEE">
        <w:rPr>
          <w:rFonts w:ascii="Arial" w:hAnsi="Arial" w:cs="Arial"/>
          <w:szCs w:val="22"/>
        </w:rPr>
        <w:t>podnebn</w:t>
      </w:r>
      <w:r w:rsidR="008D65DC">
        <w:rPr>
          <w:rFonts w:ascii="Arial" w:hAnsi="Arial" w:cs="Arial"/>
          <w:szCs w:val="22"/>
        </w:rPr>
        <w:t>ih sprememb</w:t>
      </w:r>
      <w:r w:rsidR="008D65DC" w:rsidRPr="00AF3FEE">
        <w:rPr>
          <w:rFonts w:ascii="Arial" w:hAnsi="Arial" w:cs="Arial"/>
          <w:szCs w:val="22"/>
        </w:rPr>
        <w:t xml:space="preserve"> </w:t>
      </w:r>
      <w:r w:rsidRPr="00AF3FEE">
        <w:rPr>
          <w:rFonts w:ascii="Arial" w:hAnsi="Arial" w:cs="Arial"/>
          <w:szCs w:val="22"/>
        </w:rPr>
        <w:t xml:space="preserve">in prilagajanje </w:t>
      </w:r>
      <w:r w:rsidR="00D339DA">
        <w:rPr>
          <w:rFonts w:ascii="Arial" w:hAnsi="Arial" w:cs="Arial"/>
          <w:szCs w:val="22"/>
        </w:rPr>
        <w:t>te</w:t>
      </w:r>
      <w:r w:rsidR="00F53809">
        <w:rPr>
          <w:rFonts w:ascii="Arial" w:hAnsi="Arial" w:cs="Arial"/>
          <w:szCs w:val="22"/>
        </w:rPr>
        <w:t>m</w:t>
      </w:r>
      <w:r w:rsidR="00D339DA" w:rsidRPr="00AF3FEE">
        <w:rPr>
          <w:rFonts w:ascii="Arial" w:hAnsi="Arial" w:cs="Arial"/>
          <w:szCs w:val="22"/>
        </w:rPr>
        <w:t xml:space="preserve"> </w:t>
      </w:r>
      <w:r w:rsidRPr="00AF3FEE">
        <w:rPr>
          <w:rFonts w:ascii="Arial" w:hAnsi="Arial" w:cs="Arial"/>
          <w:szCs w:val="22"/>
        </w:rPr>
        <w:t>sprememb</w:t>
      </w:r>
      <w:r w:rsidR="00F53809">
        <w:rPr>
          <w:rFonts w:ascii="Arial" w:hAnsi="Arial" w:cs="Arial"/>
          <w:szCs w:val="22"/>
        </w:rPr>
        <w:t>am</w:t>
      </w:r>
      <w:r w:rsidRPr="00AF3FEE">
        <w:rPr>
          <w:rFonts w:ascii="Arial" w:hAnsi="Arial" w:cs="Arial"/>
          <w:szCs w:val="22"/>
        </w:rPr>
        <w:t xml:space="preserve">. </w:t>
      </w:r>
      <w:r w:rsidR="008D65DC" w:rsidRPr="00AF3FEE">
        <w:rPr>
          <w:rFonts w:ascii="Arial" w:hAnsi="Arial" w:cs="Arial"/>
          <w:szCs w:val="22"/>
        </w:rPr>
        <w:t>Izboljša</w:t>
      </w:r>
      <w:r w:rsidR="00F53809">
        <w:rPr>
          <w:rFonts w:ascii="Arial" w:hAnsi="Arial" w:cs="Arial"/>
          <w:szCs w:val="22"/>
        </w:rPr>
        <w:t>lo</w:t>
      </w:r>
      <w:r w:rsidR="008D65DC">
        <w:rPr>
          <w:rFonts w:ascii="Arial" w:hAnsi="Arial" w:cs="Arial"/>
          <w:szCs w:val="22"/>
        </w:rPr>
        <w:t xml:space="preserve"> se bo</w:t>
      </w:r>
      <w:r w:rsidR="008D65DC" w:rsidRPr="00AF3FEE">
        <w:rPr>
          <w:rFonts w:ascii="Arial" w:hAnsi="Arial" w:cs="Arial"/>
          <w:szCs w:val="22"/>
        </w:rPr>
        <w:t xml:space="preserve"> </w:t>
      </w:r>
      <w:r w:rsidRPr="00AF3FEE">
        <w:rPr>
          <w:rFonts w:ascii="Arial" w:hAnsi="Arial" w:cs="Arial"/>
          <w:szCs w:val="22"/>
        </w:rPr>
        <w:t>izvajanj</w:t>
      </w:r>
      <w:r w:rsidR="008D65DC">
        <w:rPr>
          <w:rFonts w:ascii="Arial" w:hAnsi="Arial" w:cs="Arial"/>
          <w:szCs w:val="22"/>
        </w:rPr>
        <w:t>e</w:t>
      </w:r>
      <w:r w:rsidRPr="00AF3FEE">
        <w:rPr>
          <w:rFonts w:ascii="Arial" w:hAnsi="Arial" w:cs="Arial"/>
          <w:szCs w:val="22"/>
        </w:rPr>
        <w:t xml:space="preserve"> postopkov za uveljavljanje izjem pri drugih ciljih v javnem interesu za programe in projekte OVE (M16.3); pregled</w:t>
      </w:r>
      <w:r w:rsidR="00F53809">
        <w:rPr>
          <w:rFonts w:ascii="Arial" w:hAnsi="Arial" w:cs="Arial"/>
          <w:szCs w:val="22"/>
        </w:rPr>
        <w:t>ala</w:t>
      </w:r>
      <w:r w:rsidRPr="00AF3FEE">
        <w:rPr>
          <w:rFonts w:ascii="Arial" w:hAnsi="Arial" w:cs="Arial"/>
          <w:szCs w:val="22"/>
        </w:rPr>
        <w:t xml:space="preserve"> in </w:t>
      </w:r>
      <w:r w:rsidR="00F53809" w:rsidRPr="00AF3FEE">
        <w:rPr>
          <w:rFonts w:ascii="Arial" w:hAnsi="Arial" w:cs="Arial"/>
          <w:szCs w:val="22"/>
        </w:rPr>
        <w:t>nadgrad</w:t>
      </w:r>
      <w:r w:rsidR="00F53809">
        <w:rPr>
          <w:rFonts w:ascii="Arial" w:hAnsi="Arial" w:cs="Arial"/>
          <w:szCs w:val="22"/>
        </w:rPr>
        <w:t>ila se bo</w:t>
      </w:r>
      <w:r w:rsidR="00F53809" w:rsidRPr="00AF3FEE">
        <w:rPr>
          <w:rFonts w:ascii="Arial" w:hAnsi="Arial" w:cs="Arial"/>
          <w:szCs w:val="22"/>
        </w:rPr>
        <w:t xml:space="preserve"> </w:t>
      </w:r>
      <w:r w:rsidRPr="00AF3FEE">
        <w:rPr>
          <w:rFonts w:ascii="Arial" w:hAnsi="Arial" w:cs="Arial"/>
          <w:szCs w:val="22"/>
        </w:rPr>
        <w:t>zakonodaj</w:t>
      </w:r>
      <w:r w:rsidR="00F53809">
        <w:rPr>
          <w:rFonts w:ascii="Arial" w:hAnsi="Arial" w:cs="Arial"/>
          <w:szCs w:val="22"/>
        </w:rPr>
        <w:t>a</w:t>
      </w:r>
      <w:r w:rsidRPr="00AF3FEE">
        <w:rPr>
          <w:rFonts w:ascii="Arial" w:hAnsi="Arial" w:cs="Arial"/>
          <w:szCs w:val="22"/>
        </w:rPr>
        <w:t xml:space="preserve">, ki ureja uveljavljanje izjem, </w:t>
      </w:r>
      <w:r w:rsidR="008D65DC" w:rsidRPr="00AF3FEE">
        <w:rPr>
          <w:rFonts w:ascii="Arial" w:hAnsi="Arial" w:cs="Arial"/>
          <w:szCs w:val="22"/>
        </w:rPr>
        <w:t>pripravil</w:t>
      </w:r>
      <w:r w:rsidR="008D65DC">
        <w:rPr>
          <w:rFonts w:ascii="Arial" w:hAnsi="Arial" w:cs="Arial"/>
          <w:szCs w:val="22"/>
        </w:rPr>
        <w:t>e</w:t>
      </w:r>
      <w:r w:rsidR="008D65DC" w:rsidRPr="00AF3FEE">
        <w:rPr>
          <w:rFonts w:ascii="Arial" w:hAnsi="Arial" w:cs="Arial"/>
          <w:szCs w:val="22"/>
        </w:rPr>
        <w:t xml:space="preserve"> </w:t>
      </w:r>
      <w:r w:rsidRPr="00AF3FEE">
        <w:rPr>
          <w:rFonts w:ascii="Arial" w:hAnsi="Arial" w:cs="Arial"/>
          <w:szCs w:val="22"/>
        </w:rPr>
        <w:t>se bo</w:t>
      </w:r>
      <w:r w:rsidR="00F53809">
        <w:rPr>
          <w:rFonts w:ascii="Arial" w:hAnsi="Arial" w:cs="Arial"/>
          <w:szCs w:val="22"/>
        </w:rPr>
        <w:t>do</w:t>
      </w:r>
      <w:r w:rsidRPr="00AF3FEE">
        <w:rPr>
          <w:rFonts w:ascii="Arial" w:hAnsi="Arial" w:cs="Arial"/>
          <w:szCs w:val="22"/>
        </w:rPr>
        <w:t xml:space="preserve"> potrebne dopolnitve strokovnih in drugih podlag glede upravičenosti prevlade javnega interesa oz</w:t>
      </w:r>
      <w:r w:rsidR="004F2B0D">
        <w:rPr>
          <w:rFonts w:ascii="Arial" w:hAnsi="Arial" w:cs="Arial"/>
        </w:rPr>
        <w:t>iroma</w:t>
      </w:r>
      <w:r w:rsidRPr="00AF3FEE">
        <w:rPr>
          <w:rFonts w:ascii="Arial" w:hAnsi="Arial" w:cs="Arial"/>
          <w:szCs w:val="22"/>
        </w:rPr>
        <w:t xml:space="preserve"> postopkov uveljavljanja izjem pri drugih ciljih v javnem interesu (za HE, VE in ČHE)</w:t>
      </w:r>
      <w:r w:rsidR="008D65DC">
        <w:rPr>
          <w:rFonts w:ascii="Arial" w:hAnsi="Arial" w:cs="Arial"/>
          <w:szCs w:val="22"/>
        </w:rPr>
        <w:t>.</w:t>
      </w:r>
      <w:r w:rsidRPr="00AF3FEE">
        <w:rPr>
          <w:rFonts w:ascii="Arial" w:hAnsi="Arial" w:cs="Arial"/>
          <w:szCs w:val="22"/>
        </w:rPr>
        <w:t xml:space="preserve"> </w:t>
      </w:r>
      <w:r w:rsidR="008D65DC">
        <w:rPr>
          <w:rFonts w:ascii="Arial" w:hAnsi="Arial" w:cs="Arial"/>
          <w:szCs w:val="22"/>
        </w:rPr>
        <w:t>E</w:t>
      </w:r>
      <w:r w:rsidRPr="00AF3FEE">
        <w:rPr>
          <w:rFonts w:ascii="Arial" w:hAnsi="Arial" w:cs="Arial"/>
          <w:szCs w:val="22"/>
        </w:rPr>
        <w:t xml:space="preserve">den </w:t>
      </w:r>
      <w:r w:rsidR="00DA0205">
        <w:rPr>
          <w:rFonts w:ascii="Arial" w:hAnsi="Arial" w:cs="Arial"/>
          <w:szCs w:val="22"/>
        </w:rPr>
        <w:t xml:space="preserve">od </w:t>
      </w:r>
      <w:r w:rsidRPr="00AF3FEE">
        <w:rPr>
          <w:rFonts w:ascii="Arial" w:hAnsi="Arial" w:cs="Arial"/>
          <w:szCs w:val="22"/>
        </w:rPr>
        <w:t xml:space="preserve">obširnejših ukrepov je </w:t>
      </w:r>
      <w:r w:rsidR="00F53809">
        <w:rPr>
          <w:rFonts w:ascii="Arial" w:hAnsi="Arial" w:cs="Arial"/>
          <w:szCs w:val="22"/>
        </w:rPr>
        <w:t>p</w:t>
      </w:r>
      <w:r w:rsidRPr="00AF3FEE">
        <w:rPr>
          <w:rFonts w:ascii="Arial" w:hAnsi="Arial" w:cs="Arial"/>
          <w:szCs w:val="22"/>
        </w:rPr>
        <w:t>riprava strokovnih podlag za prostorsko načrtovanje URE, OVE in NO virov (M16.4), kjer se bo</w:t>
      </w:r>
      <w:r w:rsidR="008D65DC">
        <w:rPr>
          <w:rFonts w:ascii="Arial" w:hAnsi="Arial" w:cs="Arial"/>
          <w:szCs w:val="22"/>
        </w:rPr>
        <w:t>do</w:t>
      </w:r>
      <w:r w:rsidRPr="00AF3FEE">
        <w:rPr>
          <w:rFonts w:ascii="Arial" w:hAnsi="Arial" w:cs="Arial"/>
          <w:szCs w:val="22"/>
        </w:rPr>
        <w:t xml:space="preserve"> izdelal</w:t>
      </w:r>
      <w:r w:rsidR="008D65DC">
        <w:rPr>
          <w:rFonts w:ascii="Arial" w:hAnsi="Arial" w:cs="Arial"/>
          <w:szCs w:val="22"/>
        </w:rPr>
        <w:t>e</w:t>
      </w:r>
      <w:r w:rsidRPr="00AF3FEE">
        <w:rPr>
          <w:rFonts w:ascii="Arial" w:hAnsi="Arial" w:cs="Arial"/>
          <w:szCs w:val="22"/>
        </w:rPr>
        <w:t xml:space="preserve"> različne strokovne podlage (</w:t>
      </w:r>
      <w:r w:rsidR="004F2B0D">
        <w:rPr>
          <w:rFonts w:ascii="Arial" w:hAnsi="Arial" w:cs="Arial"/>
          <w:szCs w:val="22"/>
        </w:rPr>
        <w:t>na primer</w:t>
      </w:r>
      <w:r w:rsidRPr="00AF3FEE">
        <w:rPr>
          <w:rFonts w:ascii="Arial" w:hAnsi="Arial" w:cs="Arial"/>
          <w:szCs w:val="22"/>
        </w:rPr>
        <w:t xml:space="preserve"> za HE</w:t>
      </w:r>
      <w:r w:rsidR="00F53809">
        <w:rPr>
          <w:rFonts w:ascii="Arial" w:hAnsi="Arial" w:cs="Arial"/>
          <w:szCs w:val="22"/>
        </w:rPr>
        <w:t>,</w:t>
      </w:r>
      <w:r w:rsidRPr="00AF3FEE">
        <w:rPr>
          <w:rFonts w:ascii="Arial" w:hAnsi="Arial" w:cs="Arial"/>
          <w:szCs w:val="22"/>
        </w:rPr>
        <w:t xml:space="preserve"> večje od 10 MW, ČHE, geotermalne naprave</w:t>
      </w:r>
      <w:r w:rsidR="00F53809">
        <w:rPr>
          <w:rFonts w:ascii="Arial" w:hAnsi="Arial" w:cs="Arial"/>
          <w:szCs w:val="22"/>
        </w:rPr>
        <w:t>)</w:t>
      </w:r>
      <w:r w:rsidRPr="00AF3FEE">
        <w:rPr>
          <w:rFonts w:ascii="Arial" w:hAnsi="Arial" w:cs="Arial"/>
          <w:szCs w:val="22"/>
        </w:rPr>
        <w:t xml:space="preserve">, </w:t>
      </w:r>
      <w:r w:rsidR="00C702C0" w:rsidRPr="00AF3FEE">
        <w:rPr>
          <w:rFonts w:ascii="Arial" w:hAnsi="Arial" w:cs="Arial"/>
          <w:szCs w:val="22"/>
        </w:rPr>
        <w:t>nadgrad</w:t>
      </w:r>
      <w:r w:rsidR="00C702C0">
        <w:rPr>
          <w:rFonts w:ascii="Arial" w:hAnsi="Arial" w:cs="Arial"/>
          <w:szCs w:val="22"/>
        </w:rPr>
        <w:t>ile</w:t>
      </w:r>
      <w:r w:rsidR="00C702C0" w:rsidRPr="00AF3FEE">
        <w:rPr>
          <w:rFonts w:ascii="Arial" w:hAnsi="Arial" w:cs="Arial"/>
          <w:szCs w:val="22"/>
        </w:rPr>
        <w:t xml:space="preserve"> </w:t>
      </w:r>
      <w:r w:rsidRPr="00AF3FEE">
        <w:rPr>
          <w:rFonts w:ascii="Arial" w:hAnsi="Arial" w:cs="Arial"/>
          <w:szCs w:val="22"/>
        </w:rPr>
        <w:t>podlag</w:t>
      </w:r>
      <w:r w:rsidR="00C702C0">
        <w:rPr>
          <w:rFonts w:ascii="Arial" w:hAnsi="Arial" w:cs="Arial"/>
          <w:szCs w:val="22"/>
        </w:rPr>
        <w:t>e</w:t>
      </w:r>
      <w:r w:rsidRPr="00AF3FEE">
        <w:rPr>
          <w:rFonts w:ascii="Arial" w:hAnsi="Arial" w:cs="Arial"/>
          <w:szCs w:val="22"/>
        </w:rPr>
        <w:t xml:space="preserve"> za VE in SE</w:t>
      </w:r>
      <w:r w:rsidR="008D65DC">
        <w:rPr>
          <w:rFonts w:ascii="Arial" w:hAnsi="Arial" w:cs="Arial"/>
          <w:szCs w:val="22"/>
        </w:rPr>
        <w:t xml:space="preserve"> </w:t>
      </w:r>
      <w:r w:rsidRPr="00AF3FEE">
        <w:rPr>
          <w:rFonts w:ascii="Arial" w:hAnsi="Arial" w:cs="Arial"/>
          <w:szCs w:val="22"/>
        </w:rPr>
        <w:t>…</w:t>
      </w:r>
      <w:r w:rsidR="00C702C0">
        <w:rPr>
          <w:rFonts w:ascii="Arial" w:hAnsi="Arial" w:cs="Arial"/>
          <w:szCs w:val="22"/>
        </w:rPr>
        <w:t>,</w:t>
      </w:r>
      <w:r w:rsidRPr="00AF3FEE">
        <w:rPr>
          <w:rFonts w:ascii="Arial" w:hAnsi="Arial" w:cs="Arial"/>
          <w:szCs w:val="22"/>
        </w:rPr>
        <w:t xml:space="preserve"> </w:t>
      </w:r>
      <w:r w:rsidR="00023476">
        <w:rPr>
          <w:rFonts w:ascii="Arial" w:eastAsia="Calibri" w:hAnsi="Arial" w:cs="Arial"/>
          <w:szCs w:val="22"/>
        </w:rPr>
        <w:t xml:space="preserve">z </w:t>
      </w:r>
      <w:r w:rsidR="00023476">
        <w:rPr>
          <w:rFonts w:ascii="Arial" w:eastAsia="Calibri" w:hAnsi="Arial" w:cs="Arial"/>
          <w:szCs w:val="22"/>
        </w:rPr>
        <w:lastRenderedPageBreak/>
        <w:t xml:space="preserve">namenom </w:t>
      </w:r>
      <w:r w:rsidR="00C702C0">
        <w:rPr>
          <w:rFonts w:ascii="Arial" w:hAnsi="Arial" w:cs="Arial"/>
          <w:szCs w:val="22"/>
        </w:rPr>
        <w:t>prepoznave</w:t>
      </w:r>
      <w:r w:rsidR="00C702C0" w:rsidRPr="00AF3FEE">
        <w:rPr>
          <w:rFonts w:ascii="Arial" w:hAnsi="Arial" w:cs="Arial"/>
          <w:szCs w:val="22"/>
        </w:rPr>
        <w:t xml:space="preserve"> </w:t>
      </w:r>
      <w:r w:rsidR="00C702C0">
        <w:rPr>
          <w:rFonts w:ascii="Arial" w:hAnsi="Arial" w:cs="Arial"/>
          <w:szCs w:val="22"/>
        </w:rPr>
        <w:t xml:space="preserve">mogočih </w:t>
      </w:r>
      <w:r w:rsidRPr="00AF3FEE">
        <w:rPr>
          <w:rFonts w:ascii="Arial" w:hAnsi="Arial" w:cs="Arial"/>
          <w:szCs w:val="22"/>
        </w:rPr>
        <w:t>prednostnih območij za oskrbo z OVE in drugimi nizkoogljičnimi viri energije za oskrbo s toploto, električno energijo in gorivi (vključno z omrežji in shranjevanjem energije). Oblikoval</w:t>
      </w:r>
      <w:r w:rsidR="00C702C0">
        <w:rPr>
          <w:rFonts w:ascii="Arial" w:hAnsi="Arial" w:cs="Arial"/>
          <w:szCs w:val="22"/>
        </w:rPr>
        <w:t>i</w:t>
      </w:r>
      <w:r w:rsidRPr="00AF3FEE">
        <w:rPr>
          <w:rFonts w:ascii="Arial" w:hAnsi="Arial" w:cs="Arial"/>
          <w:szCs w:val="22"/>
        </w:rPr>
        <w:t xml:space="preserve"> se bo</w:t>
      </w:r>
      <w:r w:rsidR="008D65DC">
        <w:rPr>
          <w:rFonts w:ascii="Arial" w:hAnsi="Arial" w:cs="Arial"/>
          <w:szCs w:val="22"/>
        </w:rPr>
        <w:t>do</w:t>
      </w:r>
      <w:r w:rsidRPr="00AF3FEE">
        <w:rPr>
          <w:rFonts w:ascii="Arial" w:hAnsi="Arial" w:cs="Arial"/>
          <w:szCs w:val="22"/>
        </w:rPr>
        <w:t xml:space="preserve"> tudi tematsk</w:t>
      </w:r>
      <w:r w:rsidR="00C702C0">
        <w:rPr>
          <w:rFonts w:ascii="Arial" w:hAnsi="Arial" w:cs="Arial"/>
          <w:szCs w:val="22"/>
        </w:rPr>
        <w:t>i</w:t>
      </w:r>
      <w:r w:rsidRPr="00AF3FEE">
        <w:rPr>
          <w:rFonts w:ascii="Arial" w:hAnsi="Arial" w:cs="Arial"/>
          <w:szCs w:val="22"/>
        </w:rPr>
        <w:t xml:space="preserve"> prostorsk</w:t>
      </w:r>
      <w:r w:rsidR="00C702C0">
        <w:rPr>
          <w:rFonts w:ascii="Arial" w:hAnsi="Arial" w:cs="Arial"/>
          <w:szCs w:val="22"/>
        </w:rPr>
        <w:t>i</w:t>
      </w:r>
      <w:r w:rsidRPr="00AF3FEE">
        <w:rPr>
          <w:rFonts w:ascii="Arial" w:hAnsi="Arial" w:cs="Arial"/>
          <w:szCs w:val="22"/>
        </w:rPr>
        <w:t xml:space="preserve"> program</w:t>
      </w:r>
      <w:r w:rsidR="00C702C0">
        <w:rPr>
          <w:rFonts w:ascii="Arial" w:hAnsi="Arial" w:cs="Arial"/>
          <w:szCs w:val="22"/>
        </w:rPr>
        <w:t>i</w:t>
      </w:r>
      <w:r w:rsidRPr="00AF3FEE">
        <w:rPr>
          <w:rFonts w:ascii="Arial" w:hAnsi="Arial" w:cs="Arial"/>
          <w:szCs w:val="22"/>
        </w:rPr>
        <w:t xml:space="preserve"> za OVE in druge nizkoogljične vire (M16.4a). Za učinkovito izvedbo oz</w:t>
      </w:r>
      <w:r w:rsidR="004F2B0D">
        <w:rPr>
          <w:rFonts w:ascii="Arial" w:hAnsi="Arial" w:cs="Arial"/>
        </w:rPr>
        <w:t>iroma</w:t>
      </w:r>
      <w:r w:rsidRPr="00AF3FEE">
        <w:rPr>
          <w:rFonts w:ascii="Arial" w:hAnsi="Arial" w:cs="Arial"/>
          <w:szCs w:val="22"/>
        </w:rPr>
        <w:t xml:space="preserve"> umeščanje v prostor se bo</w:t>
      </w:r>
      <w:r w:rsidR="008D65DC">
        <w:rPr>
          <w:rFonts w:ascii="Arial" w:hAnsi="Arial" w:cs="Arial"/>
          <w:szCs w:val="22"/>
        </w:rPr>
        <w:t>do</w:t>
      </w:r>
      <w:r w:rsidRPr="00AF3FEE">
        <w:rPr>
          <w:rFonts w:ascii="Arial" w:hAnsi="Arial" w:cs="Arial"/>
          <w:szCs w:val="22"/>
        </w:rPr>
        <w:t xml:space="preserve"> URE, OVE in NO vir</w:t>
      </w:r>
      <w:r w:rsidR="008D65DC">
        <w:rPr>
          <w:rFonts w:ascii="Arial" w:hAnsi="Arial" w:cs="Arial"/>
          <w:szCs w:val="22"/>
        </w:rPr>
        <w:t>i</w:t>
      </w:r>
      <w:r w:rsidRPr="00AF3FEE">
        <w:rPr>
          <w:rFonts w:ascii="Arial" w:hAnsi="Arial" w:cs="Arial"/>
          <w:szCs w:val="22"/>
        </w:rPr>
        <w:t xml:space="preserve"> ustrezno vključeval</w:t>
      </w:r>
      <w:r w:rsidR="008D65DC">
        <w:rPr>
          <w:rFonts w:ascii="Arial" w:hAnsi="Arial" w:cs="Arial"/>
          <w:szCs w:val="22"/>
        </w:rPr>
        <w:t>i</w:t>
      </w:r>
      <w:r w:rsidRPr="00AF3FEE">
        <w:rPr>
          <w:rFonts w:ascii="Arial" w:hAnsi="Arial" w:cs="Arial"/>
          <w:szCs w:val="22"/>
        </w:rPr>
        <w:t xml:space="preserve"> tudi v regionalne prostorske </w:t>
      </w:r>
      <w:r w:rsidR="00DC3569">
        <w:rPr>
          <w:rFonts w:ascii="Arial" w:hAnsi="Arial" w:cs="Arial"/>
          <w:szCs w:val="22"/>
        </w:rPr>
        <w:t xml:space="preserve">načrte </w:t>
      </w:r>
      <w:r w:rsidRPr="00AF3FEE">
        <w:rPr>
          <w:rFonts w:ascii="Arial" w:hAnsi="Arial" w:cs="Arial"/>
          <w:szCs w:val="22"/>
        </w:rPr>
        <w:t>in občinske prostorske načrte, pripravil</w:t>
      </w:r>
      <w:r w:rsidR="008D65DC">
        <w:rPr>
          <w:rFonts w:ascii="Arial" w:hAnsi="Arial" w:cs="Arial"/>
          <w:szCs w:val="22"/>
        </w:rPr>
        <w:t>i</w:t>
      </w:r>
      <w:r w:rsidRPr="00AF3FEE">
        <w:rPr>
          <w:rFonts w:ascii="Arial" w:hAnsi="Arial" w:cs="Arial"/>
          <w:szCs w:val="22"/>
        </w:rPr>
        <w:t xml:space="preserve"> pa se bo</w:t>
      </w:r>
      <w:r w:rsidR="008D65DC">
        <w:rPr>
          <w:rFonts w:ascii="Arial" w:hAnsi="Arial" w:cs="Arial"/>
          <w:szCs w:val="22"/>
        </w:rPr>
        <w:t>do</w:t>
      </w:r>
      <w:r w:rsidRPr="00AF3FEE">
        <w:rPr>
          <w:rFonts w:ascii="Arial" w:hAnsi="Arial" w:cs="Arial"/>
          <w:szCs w:val="22"/>
        </w:rPr>
        <w:t xml:space="preserve"> tudi uredbe o najustreznejših variantah (UNV) in državn</w:t>
      </w:r>
      <w:r w:rsidR="008D65DC">
        <w:rPr>
          <w:rFonts w:ascii="Arial" w:hAnsi="Arial" w:cs="Arial"/>
          <w:szCs w:val="22"/>
        </w:rPr>
        <w:t>i</w:t>
      </w:r>
      <w:r w:rsidRPr="00AF3FEE">
        <w:rPr>
          <w:rFonts w:ascii="Arial" w:hAnsi="Arial" w:cs="Arial"/>
          <w:szCs w:val="22"/>
        </w:rPr>
        <w:t xml:space="preserve"> prostorsk</w:t>
      </w:r>
      <w:r w:rsidR="008D65DC">
        <w:rPr>
          <w:rFonts w:ascii="Arial" w:hAnsi="Arial" w:cs="Arial"/>
          <w:szCs w:val="22"/>
        </w:rPr>
        <w:t>i</w:t>
      </w:r>
      <w:r w:rsidRPr="00AF3FEE">
        <w:rPr>
          <w:rFonts w:ascii="Arial" w:hAnsi="Arial" w:cs="Arial"/>
          <w:szCs w:val="22"/>
        </w:rPr>
        <w:t xml:space="preserve"> načrt</w:t>
      </w:r>
      <w:r w:rsidR="008D65DC">
        <w:rPr>
          <w:rFonts w:ascii="Arial" w:hAnsi="Arial" w:cs="Arial"/>
          <w:szCs w:val="22"/>
        </w:rPr>
        <w:t>i</w:t>
      </w:r>
      <w:r w:rsidRPr="00AF3FEE">
        <w:rPr>
          <w:rFonts w:ascii="Arial" w:hAnsi="Arial" w:cs="Arial"/>
          <w:szCs w:val="22"/>
        </w:rPr>
        <w:t xml:space="preserve"> </w:t>
      </w:r>
      <w:r w:rsidR="00C702C0">
        <w:rPr>
          <w:rFonts w:ascii="Arial" w:hAnsi="Arial" w:cs="Arial"/>
          <w:szCs w:val="22"/>
        </w:rPr>
        <w:t>(</w:t>
      </w:r>
      <w:r w:rsidRPr="00AF3FEE">
        <w:rPr>
          <w:rFonts w:ascii="Arial" w:hAnsi="Arial" w:cs="Arial"/>
          <w:szCs w:val="22"/>
        </w:rPr>
        <w:t>DPN</w:t>
      </w:r>
      <w:r w:rsidR="00C702C0">
        <w:rPr>
          <w:rFonts w:ascii="Arial" w:hAnsi="Arial" w:cs="Arial"/>
          <w:szCs w:val="22"/>
        </w:rPr>
        <w:t>)</w:t>
      </w:r>
      <w:r w:rsidRPr="00AF3FEE">
        <w:rPr>
          <w:rFonts w:ascii="Arial" w:hAnsi="Arial" w:cs="Arial"/>
          <w:szCs w:val="22"/>
        </w:rPr>
        <w:t xml:space="preserve"> za OVE in NO vire (M16.7). Hkrati se bo nudil</w:t>
      </w:r>
      <w:r w:rsidR="008D65DC">
        <w:rPr>
          <w:rFonts w:ascii="Arial" w:hAnsi="Arial" w:cs="Arial"/>
          <w:szCs w:val="22"/>
        </w:rPr>
        <w:t>a</w:t>
      </w:r>
      <w:r w:rsidRPr="00AF3FEE">
        <w:rPr>
          <w:rFonts w:ascii="Arial" w:hAnsi="Arial" w:cs="Arial"/>
          <w:szCs w:val="22"/>
        </w:rPr>
        <w:t xml:space="preserve"> podpor</w:t>
      </w:r>
      <w:r w:rsidR="008D65DC">
        <w:rPr>
          <w:rFonts w:ascii="Arial" w:hAnsi="Arial" w:cs="Arial"/>
          <w:szCs w:val="22"/>
        </w:rPr>
        <w:t>a</w:t>
      </w:r>
      <w:r w:rsidRPr="00AF3FEE">
        <w:rPr>
          <w:rFonts w:ascii="Arial" w:hAnsi="Arial" w:cs="Arial"/>
          <w:szCs w:val="22"/>
        </w:rPr>
        <w:t xml:space="preserve"> prebivalstvu, investitorjem in občinam pri prostorskem in energetskem načrtovanju in izvedbi projektov, krepil</w:t>
      </w:r>
      <w:r w:rsidR="008D65DC">
        <w:rPr>
          <w:rFonts w:ascii="Arial" w:hAnsi="Arial" w:cs="Arial"/>
          <w:szCs w:val="22"/>
        </w:rPr>
        <w:t>e</w:t>
      </w:r>
      <w:r w:rsidRPr="00AF3FEE">
        <w:rPr>
          <w:rFonts w:ascii="Arial" w:hAnsi="Arial" w:cs="Arial"/>
          <w:szCs w:val="22"/>
        </w:rPr>
        <w:t xml:space="preserve"> </w:t>
      </w:r>
      <w:r w:rsidR="008D65DC">
        <w:rPr>
          <w:rFonts w:ascii="Arial" w:hAnsi="Arial" w:cs="Arial"/>
          <w:szCs w:val="22"/>
        </w:rPr>
        <w:t xml:space="preserve">se bodo </w:t>
      </w:r>
      <w:r w:rsidRPr="00AF3FEE">
        <w:rPr>
          <w:rFonts w:ascii="Arial" w:hAnsi="Arial" w:cs="Arial"/>
          <w:szCs w:val="22"/>
        </w:rPr>
        <w:t>kadrovske zmogljivosti na pristojnih ministrstvih in optimiziral</w:t>
      </w:r>
      <w:r w:rsidR="008D65DC">
        <w:rPr>
          <w:rFonts w:ascii="Arial" w:hAnsi="Arial" w:cs="Arial"/>
          <w:szCs w:val="22"/>
        </w:rPr>
        <w:t>i</w:t>
      </w:r>
      <w:r w:rsidRPr="00AF3FEE">
        <w:rPr>
          <w:rFonts w:ascii="Arial" w:hAnsi="Arial" w:cs="Arial"/>
          <w:szCs w:val="22"/>
        </w:rPr>
        <w:t xml:space="preserve"> </w:t>
      </w:r>
      <w:r w:rsidR="00C702C0">
        <w:rPr>
          <w:rFonts w:ascii="Arial" w:hAnsi="Arial" w:cs="Arial"/>
          <w:szCs w:val="22"/>
        </w:rPr>
        <w:t xml:space="preserve">se bodo </w:t>
      </w:r>
      <w:r w:rsidRPr="00AF3FEE">
        <w:rPr>
          <w:rFonts w:ascii="Arial" w:hAnsi="Arial" w:cs="Arial"/>
          <w:szCs w:val="22"/>
        </w:rPr>
        <w:t>načrtovalski proces in postopk</w:t>
      </w:r>
      <w:r w:rsidR="00C702C0">
        <w:rPr>
          <w:rFonts w:ascii="Arial" w:hAnsi="Arial" w:cs="Arial"/>
          <w:szCs w:val="22"/>
        </w:rPr>
        <w:t>i</w:t>
      </w:r>
      <w:r w:rsidRPr="00AF3FEE">
        <w:rPr>
          <w:rFonts w:ascii="Arial" w:hAnsi="Arial" w:cs="Arial"/>
          <w:szCs w:val="22"/>
        </w:rPr>
        <w:t xml:space="preserve">. Skrbelo pa se bo tudi za razvoj in prenos znanja in izkušenj </w:t>
      </w:r>
      <w:r w:rsidR="008D65DC">
        <w:rPr>
          <w:rFonts w:ascii="Arial" w:hAnsi="Arial" w:cs="Arial"/>
          <w:szCs w:val="22"/>
        </w:rPr>
        <w:t>s</w:t>
      </w:r>
      <w:r w:rsidR="008D65DC" w:rsidRPr="00AF3FEE">
        <w:rPr>
          <w:rFonts w:ascii="Arial" w:hAnsi="Arial" w:cs="Arial"/>
          <w:szCs w:val="22"/>
        </w:rPr>
        <w:t xml:space="preserve"> </w:t>
      </w:r>
      <w:r w:rsidRPr="00AF3FEE">
        <w:rPr>
          <w:rFonts w:ascii="Arial" w:hAnsi="Arial" w:cs="Arial"/>
          <w:szCs w:val="22"/>
        </w:rPr>
        <w:t>področja prostorskega načrtovanja. Kot pomemben ukrep je vključen</w:t>
      </w:r>
      <w:r w:rsidR="008D65DC">
        <w:rPr>
          <w:rFonts w:ascii="Arial" w:hAnsi="Arial" w:cs="Arial"/>
          <w:szCs w:val="22"/>
        </w:rPr>
        <w:t>a</w:t>
      </w:r>
      <w:r w:rsidRPr="00AF3FEE">
        <w:rPr>
          <w:rFonts w:ascii="Arial" w:hAnsi="Arial" w:cs="Arial"/>
          <w:szCs w:val="22"/>
        </w:rPr>
        <w:t xml:space="preserve"> tudi </w:t>
      </w:r>
      <w:r w:rsidR="00C702C0">
        <w:rPr>
          <w:rFonts w:ascii="Arial" w:hAnsi="Arial" w:cs="Arial"/>
          <w:szCs w:val="22"/>
        </w:rPr>
        <w:t>k</w:t>
      </w:r>
      <w:r w:rsidRPr="00AF3FEE">
        <w:rPr>
          <w:rFonts w:ascii="Arial" w:hAnsi="Arial" w:cs="Arial"/>
          <w:szCs w:val="22"/>
        </w:rPr>
        <w:t>repitev sodelovanja z javnostjo za prostorsko načrtovanje prehoda v podnebno nevtralno družbo (M16.12).</w:t>
      </w:r>
    </w:p>
    <w:p w14:paraId="66FD1844" w14:textId="4F99B09D" w:rsidR="00AF3FEE" w:rsidRPr="00AF3FEE" w:rsidRDefault="00AF3FEE" w:rsidP="00AF3FEE">
      <w:pPr>
        <w:pStyle w:val="BodyText"/>
        <w:rPr>
          <w:rFonts w:ascii="Arial" w:hAnsi="Arial" w:cs="Arial"/>
          <w:szCs w:val="22"/>
        </w:rPr>
      </w:pPr>
      <w:r w:rsidRPr="00AF3FEE">
        <w:rPr>
          <w:rFonts w:ascii="Arial" w:hAnsi="Arial" w:cs="Arial"/>
          <w:szCs w:val="22"/>
        </w:rPr>
        <w:t xml:space="preserve">Poleg posodobljenega NEPN, ki </w:t>
      </w:r>
      <w:r w:rsidR="00C702C0">
        <w:rPr>
          <w:rFonts w:ascii="Arial" w:hAnsi="Arial" w:cs="Arial"/>
          <w:szCs w:val="22"/>
        </w:rPr>
        <w:t xml:space="preserve">obravnava </w:t>
      </w:r>
      <w:r w:rsidRPr="00AF3FEE">
        <w:rPr>
          <w:rFonts w:ascii="Arial" w:hAnsi="Arial" w:cs="Arial"/>
          <w:szCs w:val="22"/>
        </w:rPr>
        <w:t xml:space="preserve">to področje, se bo del ukrepov izvajal </w:t>
      </w:r>
      <w:r w:rsidR="008D65DC">
        <w:rPr>
          <w:rFonts w:ascii="Arial" w:hAnsi="Arial" w:cs="Arial"/>
          <w:szCs w:val="22"/>
        </w:rPr>
        <w:t>kot del</w:t>
      </w:r>
      <w:r w:rsidRPr="00AF3FEE">
        <w:rPr>
          <w:rFonts w:ascii="Arial" w:hAnsi="Arial" w:cs="Arial"/>
          <w:szCs w:val="22"/>
        </w:rPr>
        <w:t xml:space="preserve"> </w:t>
      </w:r>
      <w:r w:rsidR="008D65DC" w:rsidRPr="00AF3FEE">
        <w:rPr>
          <w:rFonts w:ascii="Arial" w:hAnsi="Arial" w:cs="Arial"/>
          <w:szCs w:val="22"/>
        </w:rPr>
        <w:t>Akcijsk</w:t>
      </w:r>
      <w:r w:rsidR="008D65DC">
        <w:rPr>
          <w:rFonts w:ascii="Arial" w:hAnsi="Arial" w:cs="Arial"/>
          <w:szCs w:val="22"/>
        </w:rPr>
        <w:t>ega</w:t>
      </w:r>
      <w:r w:rsidR="008D65DC" w:rsidRPr="00AF3FEE">
        <w:rPr>
          <w:rFonts w:ascii="Arial" w:hAnsi="Arial" w:cs="Arial"/>
          <w:szCs w:val="22"/>
        </w:rPr>
        <w:t xml:space="preserve"> </w:t>
      </w:r>
      <w:r w:rsidRPr="00AF3FEE">
        <w:rPr>
          <w:rFonts w:ascii="Arial" w:hAnsi="Arial" w:cs="Arial"/>
          <w:szCs w:val="22"/>
        </w:rPr>
        <w:t>načrt</w:t>
      </w:r>
      <w:r w:rsidR="008D65DC">
        <w:rPr>
          <w:rFonts w:ascii="Arial" w:hAnsi="Arial" w:cs="Arial"/>
          <w:szCs w:val="22"/>
        </w:rPr>
        <w:t>a</w:t>
      </w:r>
      <w:r w:rsidRPr="00AF3FEE">
        <w:rPr>
          <w:rFonts w:ascii="Arial" w:hAnsi="Arial" w:cs="Arial"/>
          <w:szCs w:val="22"/>
        </w:rPr>
        <w:t xml:space="preserve"> izvajanja SPRS 2050 (v pripravi), </w:t>
      </w:r>
      <w:r w:rsidR="008D65DC">
        <w:rPr>
          <w:rFonts w:ascii="Arial" w:hAnsi="Arial" w:cs="Arial"/>
          <w:szCs w:val="22"/>
        </w:rPr>
        <w:t>v katerega</w:t>
      </w:r>
      <w:r w:rsidR="008D65DC" w:rsidRPr="00AF3FEE">
        <w:rPr>
          <w:rFonts w:ascii="Arial" w:hAnsi="Arial" w:cs="Arial"/>
          <w:szCs w:val="22"/>
        </w:rPr>
        <w:t xml:space="preserve"> </w:t>
      </w:r>
      <w:r w:rsidRPr="00AF3FEE">
        <w:rPr>
          <w:rFonts w:ascii="Arial" w:hAnsi="Arial" w:cs="Arial"/>
          <w:szCs w:val="22"/>
        </w:rPr>
        <w:t xml:space="preserve">bodo vključeni tudi komplementarni ukrepi v podporo izvajanju NEPN. </w:t>
      </w:r>
    </w:p>
    <w:p w14:paraId="1698C445" w14:textId="186FCAD8" w:rsidR="00AF3FEE" w:rsidRPr="0038553C" w:rsidRDefault="0038553C" w:rsidP="0038553C">
      <w:pPr>
        <w:pStyle w:val="Heading3"/>
      </w:pPr>
      <w:bookmarkStart w:id="71" w:name="_Toc196300814"/>
      <w:r w:rsidRPr="0038553C">
        <w:t xml:space="preserve">II.D.2 </w:t>
      </w:r>
      <w:r w:rsidR="00AF3FEE" w:rsidRPr="0038553C">
        <w:t>Oskrba z energijo</w:t>
      </w:r>
      <w:bookmarkEnd w:id="71"/>
    </w:p>
    <w:p w14:paraId="7DAE3D31" w14:textId="77777777" w:rsidR="00AF3FEE" w:rsidRPr="00AF3FEE" w:rsidRDefault="00AF3FEE" w:rsidP="00AF3FEE">
      <w:pPr>
        <w:pStyle w:val="Heading41"/>
        <w:jc w:val="both"/>
        <w:rPr>
          <w:rFonts w:cs="Arial"/>
          <w:szCs w:val="22"/>
        </w:rPr>
      </w:pPr>
      <w:r w:rsidRPr="00AF3FEE">
        <w:rPr>
          <w:rFonts w:cs="Arial"/>
          <w:szCs w:val="22"/>
        </w:rPr>
        <w:t>Prenehanje uporabe premoga za proizvodnjo električne energije</w:t>
      </w:r>
    </w:p>
    <w:p w14:paraId="206E6E80" w14:textId="26AD571D" w:rsidR="00AF3FEE" w:rsidRPr="00AF3FEE" w:rsidRDefault="00AF3FEE" w:rsidP="00AF3FEE">
      <w:pPr>
        <w:pStyle w:val="Naslov-VplivUkrepa-Sektorji"/>
        <w:jc w:val="both"/>
        <w:rPr>
          <w:rFonts w:ascii="Arial" w:hAnsi="Arial" w:cs="Arial"/>
          <w:szCs w:val="22"/>
        </w:rPr>
      </w:pPr>
      <w:r w:rsidRPr="00AF3FEE">
        <w:rPr>
          <w:rFonts w:ascii="Arial" w:hAnsi="Arial" w:cs="Arial"/>
          <w:szCs w:val="22"/>
        </w:rPr>
        <w:t xml:space="preserve">Sektorji, na katere </w:t>
      </w:r>
      <w:r w:rsidR="007226BE"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iCs/>
          <w:szCs w:val="22"/>
        </w:rPr>
        <w:t>proizvodnja elektrike in toplote</w:t>
      </w:r>
      <w:r w:rsidR="00C702C0">
        <w:rPr>
          <w:rFonts w:ascii="Arial" w:hAnsi="Arial" w:cs="Arial"/>
          <w:b w:val="0"/>
          <w:iCs/>
          <w:szCs w:val="22"/>
        </w:rPr>
        <w:t>.</w:t>
      </w:r>
    </w:p>
    <w:p w14:paraId="4791D4FA" w14:textId="3B902A06" w:rsidR="00AF3FEE" w:rsidRPr="00620899" w:rsidRDefault="00AF3FEE" w:rsidP="00AF3FEE">
      <w:pPr>
        <w:jc w:val="both"/>
        <w:rPr>
          <w:rFonts w:ascii="Arial" w:eastAsia="Times New Roman" w:hAnsi="Arial" w:cs="Arial"/>
          <w:lang w:eastAsia="sl-SI"/>
        </w:rPr>
      </w:pPr>
      <w:r w:rsidRPr="00620899">
        <w:rPr>
          <w:rFonts w:ascii="Arial" w:eastAsia="Times New Roman" w:hAnsi="Arial" w:cs="Arial"/>
          <w:lang w:eastAsia="sl-SI"/>
        </w:rPr>
        <w:t>Slovenija bo do leta 2033 postopno opustila rabo premoga za proizvodnjo električne energije v skladu z Nacionalno strategijo za izstop iz premoga in prestrukturiranje premogovnih regij</w:t>
      </w:r>
      <w:r w:rsidRPr="00620899">
        <w:rPr>
          <w:rFonts w:eastAsia="Times New Roman"/>
          <w:lang w:eastAsia="sl-SI"/>
        </w:rPr>
        <w:footnoteReference w:id="46"/>
      </w:r>
      <w:r w:rsidRPr="00620899">
        <w:rPr>
          <w:rFonts w:ascii="Arial" w:eastAsia="Times New Roman" w:hAnsi="Arial" w:cs="Arial"/>
          <w:lang w:eastAsia="sl-SI"/>
        </w:rPr>
        <w:t xml:space="preserve"> ter posodobljenim NEPN. Poleg medsektorskih instrumentov (</w:t>
      </w:r>
      <w:r w:rsidR="00C702C0" w:rsidRPr="00620899">
        <w:rPr>
          <w:rFonts w:ascii="Arial" w:eastAsia="Times New Roman" w:hAnsi="Arial" w:cs="Arial"/>
          <w:lang w:eastAsia="sl-SI"/>
        </w:rPr>
        <w:t xml:space="preserve">uveljavitev </w:t>
      </w:r>
      <w:r w:rsidRPr="00620899">
        <w:rPr>
          <w:rFonts w:ascii="Arial" w:eastAsia="Times New Roman" w:hAnsi="Arial" w:cs="Arial"/>
          <w:lang w:eastAsia="sl-SI"/>
        </w:rPr>
        <w:t>EU ETS in Direktive o industrijskih emisijah v Sloveniji) je ključni instrument omejevanja emisij TGP iz termoelektrarn Pogodba o ureditvi medsebojnih razmerij med Vlado Republike Slovenije in Termoelektrarno Šoštanj (TEŠ), ki določa postopno zniževanje letne omejitve emisij CO</w:t>
      </w:r>
      <w:r w:rsidRPr="00620899">
        <w:rPr>
          <w:rFonts w:ascii="Cambria Math" w:eastAsia="Times New Roman" w:hAnsi="Cambria Math" w:cs="Cambria Math"/>
          <w:lang w:eastAsia="sl-SI"/>
        </w:rPr>
        <w:t>₂</w:t>
      </w:r>
      <w:r w:rsidRPr="00620899">
        <w:rPr>
          <w:rFonts w:ascii="Arial" w:eastAsia="Times New Roman" w:hAnsi="Arial" w:cs="Arial"/>
          <w:lang w:eastAsia="sl-SI"/>
        </w:rPr>
        <w:t xml:space="preserve"> iz TEŠ. Proizvodnja lignita v Premogovniku Velenje se </w:t>
      </w:r>
      <w:r w:rsidR="00C32685" w:rsidRPr="00620899">
        <w:rPr>
          <w:rFonts w:ascii="Arial" w:eastAsia="Times New Roman" w:hAnsi="Arial" w:cs="Arial"/>
          <w:lang w:eastAsia="sl-SI"/>
        </w:rPr>
        <w:t xml:space="preserve">konča </w:t>
      </w:r>
      <w:r w:rsidRPr="00620899">
        <w:rPr>
          <w:rFonts w:ascii="Arial" w:eastAsia="Times New Roman" w:hAnsi="Arial" w:cs="Arial"/>
          <w:lang w:eastAsia="sl-SI"/>
        </w:rPr>
        <w:t xml:space="preserve">najpozneje v letu 2033, temu pa sledi tudi zaustavitev premogovnih enot TEŠ 5 in TEŠ 6. </w:t>
      </w:r>
      <w:r w:rsidR="00C702C0" w:rsidRPr="00620899">
        <w:rPr>
          <w:rFonts w:ascii="Arial" w:eastAsia="Times New Roman" w:hAnsi="Arial" w:cs="Arial"/>
          <w:lang w:eastAsia="sl-SI"/>
        </w:rPr>
        <w:t>TEŠ 5 bi se z</w:t>
      </w:r>
      <w:r w:rsidRPr="00620899">
        <w:rPr>
          <w:rFonts w:ascii="Arial" w:eastAsia="Times New Roman" w:hAnsi="Arial" w:cs="Arial"/>
          <w:lang w:eastAsia="sl-SI"/>
        </w:rPr>
        <w:t xml:space="preserve">aradi nekonkurenčnosti lahko predčasno zaustavil, podobno velja tudi za TEŠ 6. Za obe enoti pa velja, da bi se bili prisiljeni zaustaviti tudi v primeru izpada proizvodnje premoga v rudniku, saj morebitni uvoz premoga, tudi v kombinaciji z biomaso, ne bi rešil težave. V pripravi </w:t>
      </w:r>
      <w:r w:rsidR="00C32685" w:rsidRPr="00620899">
        <w:rPr>
          <w:rFonts w:ascii="Arial" w:eastAsia="Times New Roman" w:hAnsi="Arial" w:cs="Arial"/>
          <w:lang w:eastAsia="sl-SI"/>
        </w:rPr>
        <w:t xml:space="preserve">sta </w:t>
      </w:r>
      <w:r w:rsidRPr="00620899">
        <w:rPr>
          <w:rFonts w:ascii="Arial" w:eastAsia="Times New Roman" w:hAnsi="Arial" w:cs="Arial"/>
          <w:lang w:eastAsia="sl-SI"/>
        </w:rPr>
        <w:t xml:space="preserve">Zakon o zapiranju Premogovnika Velenje </w:t>
      </w:r>
      <w:r w:rsidR="00C32685" w:rsidRPr="00620899">
        <w:rPr>
          <w:rFonts w:ascii="Arial" w:eastAsia="Times New Roman" w:hAnsi="Arial" w:cs="Arial"/>
          <w:lang w:eastAsia="sl-SI"/>
        </w:rPr>
        <w:t>in Z</w:t>
      </w:r>
      <w:r w:rsidRPr="00620899">
        <w:rPr>
          <w:rFonts w:ascii="Arial" w:eastAsia="Times New Roman" w:hAnsi="Arial" w:cs="Arial"/>
          <w:lang w:eastAsia="sl-SI"/>
        </w:rPr>
        <w:t xml:space="preserve">akon o prestrukturiranju regije, </w:t>
      </w:r>
      <w:r w:rsidR="00CC2786" w:rsidRPr="00620899">
        <w:rPr>
          <w:rFonts w:ascii="Arial" w:eastAsia="Times New Roman" w:hAnsi="Arial" w:cs="Arial"/>
          <w:lang w:eastAsia="sl-SI"/>
        </w:rPr>
        <w:t xml:space="preserve">v skladu </w:t>
      </w:r>
      <w:r w:rsidRPr="00620899">
        <w:rPr>
          <w:rFonts w:ascii="Arial" w:eastAsia="Times New Roman" w:hAnsi="Arial" w:cs="Arial"/>
          <w:lang w:eastAsia="sl-SI"/>
        </w:rPr>
        <w:t xml:space="preserve">s cilji prenehanja rabe premoga najpozneje do leta 2033. </w:t>
      </w:r>
      <w:r w:rsidR="00C32685" w:rsidRPr="00620899">
        <w:rPr>
          <w:rFonts w:ascii="Arial" w:eastAsia="Times New Roman" w:hAnsi="Arial" w:cs="Arial"/>
          <w:lang w:eastAsia="sl-SI"/>
        </w:rPr>
        <w:t xml:space="preserve">Proizvodnjo </w:t>
      </w:r>
      <w:r w:rsidRPr="00620899">
        <w:rPr>
          <w:rFonts w:ascii="Arial" w:eastAsia="Times New Roman" w:hAnsi="Arial" w:cs="Arial"/>
          <w:lang w:eastAsia="sl-SI"/>
        </w:rPr>
        <w:t xml:space="preserve">električne energije iz premogovnih enot </w:t>
      </w:r>
      <w:r w:rsidR="00C32685" w:rsidRPr="00620899">
        <w:rPr>
          <w:rFonts w:ascii="Arial" w:eastAsia="Times New Roman" w:hAnsi="Arial" w:cs="Arial"/>
          <w:lang w:eastAsia="sl-SI"/>
        </w:rPr>
        <w:t xml:space="preserve">bo nadomestilo </w:t>
      </w:r>
      <w:r w:rsidRPr="00620899">
        <w:rPr>
          <w:rFonts w:ascii="Arial" w:eastAsia="Times New Roman" w:hAnsi="Arial" w:cs="Arial"/>
          <w:lang w:eastAsia="sl-SI"/>
        </w:rPr>
        <w:t>pospešeno uvajanje obnovljivih virov energije in razpršene proizvodnje.</w:t>
      </w:r>
    </w:p>
    <w:p w14:paraId="40A468AA" w14:textId="2AE2912B" w:rsidR="00AF3FEE" w:rsidRPr="00620899" w:rsidRDefault="00AF3FEE" w:rsidP="00AF3FEE">
      <w:pPr>
        <w:jc w:val="both"/>
        <w:rPr>
          <w:rFonts w:ascii="Arial" w:eastAsia="Times New Roman" w:hAnsi="Arial" w:cs="Arial"/>
          <w:lang w:eastAsia="sl-SI"/>
        </w:rPr>
      </w:pPr>
      <w:r w:rsidRPr="00620899">
        <w:rPr>
          <w:rFonts w:ascii="Arial" w:eastAsia="Times New Roman" w:hAnsi="Arial" w:cs="Arial"/>
          <w:lang w:eastAsia="sl-SI"/>
        </w:rPr>
        <w:t xml:space="preserve">V TE-TOL je PPE začela obratovati v letu 2023 in je nadomestila bloka 1 in 2, ki obratujeta na uvožen rjavi premog. Blok 3 bo obratoval največ do leta 2033 na uvožen premog s sosežigom biomase. NEPN predvideva zmanjšanje izkopa lignita do leta 2030, v skladu z omejitvami iz strategije pravičnega prehoda. </w:t>
      </w:r>
    </w:p>
    <w:p w14:paraId="7E502688" w14:textId="7C8CF5CA" w:rsidR="00AF3FEE" w:rsidRPr="00620899" w:rsidRDefault="00AF3FEE" w:rsidP="00AF3FEE">
      <w:pPr>
        <w:jc w:val="both"/>
        <w:rPr>
          <w:rFonts w:ascii="Arial" w:eastAsia="Times New Roman" w:hAnsi="Arial" w:cs="Arial"/>
          <w:lang w:eastAsia="sl-SI"/>
        </w:rPr>
      </w:pPr>
      <w:r w:rsidRPr="00620899">
        <w:rPr>
          <w:rFonts w:ascii="Arial" w:eastAsia="Times New Roman" w:hAnsi="Arial" w:cs="Arial"/>
          <w:lang w:eastAsia="sl-SI"/>
        </w:rPr>
        <w:t>Tehnični in finančni ukrepi bodo usmerjeni v uresničitev Območnega načrta za pravični prehod Savinjsko-Šaleške premogovne regije in Območnega načrta za pravični prehod Zasavske regije</w:t>
      </w:r>
      <w:r w:rsidR="00C32685" w:rsidRPr="00620899">
        <w:rPr>
          <w:rFonts w:ascii="Arial" w:eastAsia="Times New Roman" w:hAnsi="Arial" w:cs="Arial"/>
          <w:lang w:eastAsia="sl-SI"/>
        </w:rPr>
        <w:t>,</w:t>
      </w:r>
      <w:r w:rsidRPr="00620899">
        <w:rPr>
          <w:rFonts w:eastAsia="Times New Roman"/>
          <w:lang w:eastAsia="sl-SI"/>
        </w:rPr>
        <w:footnoteReference w:id="47"/>
      </w:r>
      <w:r w:rsidRPr="00620899">
        <w:rPr>
          <w:rFonts w:ascii="Arial" w:eastAsia="Times New Roman" w:hAnsi="Arial" w:cs="Arial"/>
          <w:lang w:eastAsia="sl-SI"/>
        </w:rPr>
        <w:t xml:space="preserve"> </w:t>
      </w:r>
      <w:r w:rsidR="00023476" w:rsidRPr="00620899">
        <w:rPr>
          <w:rFonts w:ascii="Arial" w:eastAsia="Times New Roman" w:hAnsi="Arial" w:cs="Arial"/>
          <w:lang w:eastAsia="sl-SI"/>
        </w:rPr>
        <w:t xml:space="preserve">z namenom </w:t>
      </w:r>
      <w:r w:rsidRPr="00620899">
        <w:rPr>
          <w:rFonts w:ascii="Arial" w:eastAsia="Times New Roman" w:hAnsi="Arial" w:cs="Arial"/>
          <w:lang w:eastAsia="sl-SI"/>
        </w:rPr>
        <w:t xml:space="preserve">zmanjšanja socialnih in gospodarskih posledic zapiranja premogovnega sektorja. Predvidene so spodbude za razvoj novih delovnih mest in kompetenc v regiji, ki bodo olajšale prehod zaposlenih iz premogovne industrije v druge panoge. Zagotovljena bo podpora </w:t>
      </w:r>
      <w:r w:rsidRPr="00620899">
        <w:rPr>
          <w:rFonts w:ascii="Arial" w:eastAsia="Times New Roman" w:hAnsi="Arial" w:cs="Arial"/>
          <w:lang w:eastAsia="sl-SI"/>
        </w:rPr>
        <w:lastRenderedPageBreak/>
        <w:t xml:space="preserve">investicijam v obnovljive vire energije in SPTE kot nadomestilo za opuščanje premoga. Na </w:t>
      </w:r>
      <w:r w:rsidR="00C32685" w:rsidRPr="00620899">
        <w:rPr>
          <w:rFonts w:ascii="Arial" w:eastAsia="Times New Roman" w:hAnsi="Arial" w:cs="Arial"/>
          <w:lang w:eastAsia="sl-SI"/>
        </w:rPr>
        <w:t xml:space="preserve">ravni </w:t>
      </w:r>
      <w:r w:rsidRPr="00620899">
        <w:rPr>
          <w:rFonts w:ascii="Arial" w:eastAsia="Times New Roman" w:hAnsi="Arial" w:cs="Arial"/>
          <w:lang w:eastAsia="sl-SI"/>
        </w:rPr>
        <w:t>države bo</w:t>
      </w:r>
      <w:r w:rsidR="00C32685" w:rsidRPr="00620899">
        <w:rPr>
          <w:rFonts w:ascii="Arial" w:eastAsia="Times New Roman" w:hAnsi="Arial" w:cs="Arial"/>
          <w:lang w:eastAsia="sl-SI"/>
        </w:rPr>
        <w:t>sta</w:t>
      </w:r>
      <w:r w:rsidRPr="00620899">
        <w:rPr>
          <w:rFonts w:ascii="Arial" w:eastAsia="Times New Roman" w:hAnsi="Arial" w:cs="Arial"/>
          <w:lang w:eastAsia="sl-SI"/>
        </w:rPr>
        <w:t xml:space="preserve"> </w:t>
      </w:r>
      <w:r w:rsidR="00C32685" w:rsidRPr="00620899">
        <w:rPr>
          <w:rFonts w:ascii="Arial" w:eastAsia="Times New Roman" w:hAnsi="Arial" w:cs="Arial"/>
          <w:lang w:eastAsia="sl-SI"/>
        </w:rPr>
        <w:t xml:space="preserve">ključna </w:t>
      </w:r>
      <w:r w:rsidRPr="00620899">
        <w:rPr>
          <w:rFonts w:ascii="Arial" w:eastAsia="Times New Roman" w:hAnsi="Arial" w:cs="Arial"/>
          <w:lang w:eastAsia="sl-SI"/>
        </w:rPr>
        <w:t xml:space="preserve">tudi razvoj in posodobitev elektroenergetske infrastrukture za večjo vključenost obnovljivih virov in izboljšanje energetske varnosti. </w:t>
      </w:r>
    </w:p>
    <w:p w14:paraId="63E33B5F" w14:textId="46BE3F64" w:rsidR="00AF3FEE" w:rsidRPr="00620899" w:rsidRDefault="00AF3FEE" w:rsidP="00AF3FEE">
      <w:pPr>
        <w:jc w:val="both"/>
        <w:rPr>
          <w:rFonts w:ascii="Arial" w:eastAsia="Times New Roman" w:hAnsi="Arial" w:cs="Arial"/>
          <w:lang w:eastAsia="sl-SI"/>
        </w:rPr>
      </w:pPr>
      <w:r w:rsidRPr="00620899">
        <w:rPr>
          <w:rFonts w:ascii="Arial" w:eastAsia="Times New Roman" w:hAnsi="Arial" w:cs="Arial"/>
          <w:lang w:eastAsia="sl-SI"/>
        </w:rPr>
        <w:t xml:space="preserve">Ob </w:t>
      </w:r>
      <w:r w:rsidR="00C32685" w:rsidRPr="00620899">
        <w:rPr>
          <w:rFonts w:ascii="Arial" w:eastAsia="Times New Roman" w:hAnsi="Arial" w:cs="Arial"/>
          <w:lang w:eastAsia="sl-SI"/>
        </w:rPr>
        <w:t>koncu rabe</w:t>
      </w:r>
      <w:r w:rsidRPr="00620899">
        <w:rPr>
          <w:rFonts w:ascii="Arial" w:eastAsia="Times New Roman" w:hAnsi="Arial" w:cs="Arial"/>
          <w:lang w:eastAsia="sl-SI"/>
        </w:rPr>
        <w:t xml:space="preserve"> premoga v letu 2033 se predvideva postavitev strateških rezerv, novih enot za zagotavljanje moči v EES na osnovi plinskih tehnologij, ki v poznejšem obdobju lahko preidejo na uporabo obnovljivih goriv – čistega H2, etanola in podobno. Analize kažejo na potrebe v višini okoli 500 MW. Za te vire predvidevamo, da:</w:t>
      </w:r>
    </w:p>
    <w:p w14:paraId="1F69910B" w14:textId="0B92C6A8" w:rsidR="00AF3FEE" w:rsidRPr="00620899" w:rsidRDefault="00AF3FEE" w:rsidP="00620899">
      <w:pPr>
        <w:pStyle w:val="Alinejapika"/>
        <w:spacing w:line="240" w:lineRule="auto"/>
        <w:ind w:left="568"/>
        <w:rPr>
          <w:rFonts w:ascii="Arial" w:eastAsia="Times New Roman" w:hAnsi="Arial" w:cs="Arial"/>
          <w:lang w:eastAsia="sl-SI"/>
        </w:rPr>
      </w:pPr>
      <w:r w:rsidRPr="00620899">
        <w:rPr>
          <w:rFonts w:ascii="Arial" w:eastAsia="Times New Roman" w:hAnsi="Arial" w:cs="Arial"/>
          <w:lang w:eastAsia="sl-SI"/>
        </w:rPr>
        <w:t>vstopijo v obratovanje pred datumom izstopa iz premoga in so tehnološko diverzificirani</w:t>
      </w:r>
      <w:r w:rsidR="00C32685" w:rsidRPr="00620899">
        <w:rPr>
          <w:rFonts w:ascii="Arial" w:eastAsia="Times New Roman" w:hAnsi="Arial" w:cs="Arial"/>
          <w:lang w:eastAsia="sl-SI"/>
        </w:rPr>
        <w:t>;</w:t>
      </w:r>
    </w:p>
    <w:p w14:paraId="2FEE0B32" w14:textId="465422F4" w:rsidR="00AF3FEE" w:rsidRPr="00620899" w:rsidRDefault="00C32685" w:rsidP="00620899">
      <w:pPr>
        <w:pStyle w:val="Alinejapika"/>
        <w:spacing w:line="240" w:lineRule="auto"/>
        <w:ind w:left="568"/>
        <w:rPr>
          <w:rFonts w:ascii="Arial" w:eastAsia="Times New Roman" w:hAnsi="Arial" w:cs="Arial"/>
          <w:lang w:eastAsia="sl-SI"/>
        </w:rPr>
      </w:pPr>
      <w:r w:rsidRPr="00620899">
        <w:rPr>
          <w:rFonts w:ascii="Arial" w:eastAsia="Times New Roman" w:hAnsi="Arial" w:cs="Arial"/>
          <w:lang w:eastAsia="sl-SI"/>
        </w:rPr>
        <w:t xml:space="preserve">se </w:t>
      </w:r>
      <w:r w:rsidR="00AF3FEE" w:rsidRPr="00620899">
        <w:rPr>
          <w:rFonts w:ascii="Arial" w:eastAsia="Times New Roman" w:hAnsi="Arial" w:cs="Arial"/>
          <w:lang w:eastAsia="sl-SI"/>
        </w:rPr>
        <w:t>za postavitev uporabijo obstoječe energetske in industrijske lokacije (TEŠ, TET in drugo) tam, kjer je razpoložljiva obstoječa infrastruktura; potrebna je geografska razpršenost</w:t>
      </w:r>
      <w:r w:rsidRPr="00620899">
        <w:rPr>
          <w:rFonts w:ascii="Arial" w:eastAsia="Times New Roman" w:hAnsi="Arial" w:cs="Arial"/>
          <w:lang w:eastAsia="sl-SI"/>
        </w:rPr>
        <w:t>;</w:t>
      </w:r>
    </w:p>
    <w:p w14:paraId="5A30397B" w14:textId="24CDD5F1" w:rsidR="00AF3FEE" w:rsidRPr="00620899" w:rsidRDefault="002D3817" w:rsidP="00620899">
      <w:pPr>
        <w:pStyle w:val="Alinejapika"/>
        <w:spacing w:line="240" w:lineRule="auto"/>
        <w:ind w:left="568"/>
        <w:rPr>
          <w:rFonts w:ascii="Arial" w:eastAsia="Times New Roman" w:hAnsi="Arial" w:cs="Arial"/>
          <w:lang w:eastAsia="sl-SI"/>
        </w:rPr>
      </w:pPr>
      <w:r w:rsidRPr="00620899">
        <w:rPr>
          <w:rFonts w:ascii="Arial" w:eastAsia="Times New Roman" w:hAnsi="Arial" w:cs="Arial"/>
          <w:lang w:eastAsia="sl-SI"/>
        </w:rPr>
        <w:t xml:space="preserve">morajo </w:t>
      </w:r>
      <w:r w:rsidR="00AF3FEE" w:rsidRPr="00620899">
        <w:rPr>
          <w:rFonts w:ascii="Arial" w:eastAsia="Times New Roman" w:hAnsi="Arial" w:cs="Arial"/>
          <w:lang w:eastAsia="sl-SI"/>
        </w:rPr>
        <w:t>zagotoviti visoko razpoložljivost in zanesljivost obratovanja ter</w:t>
      </w:r>
    </w:p>
    <w:p w14:paraId="6982299C" w14:textId="163A0E9D" w:rsidR="00620899" w:rsidRPr="00620899" w:rsidRDefault="00AF3FEE" w:rsidP="00620899">
      <w:pPr>
        <w:pStyle w:val="Alinejapika"/>
        <w:spacing w:after="240" w:line="240" w:lineRule="auto"/>
        <w:ind w:left="568"/>
        <w:rPr>
          <w:rFonts w:ascii="Arial" w:eastAsia="Times New Roman" w:hAnsi="Arial" w:cs="Arial"/>
          <w:lang w:eastAsia="sl-SI"/>
        </w:rPr>
      </w:pPr>
      <w:r w:rsidRPr="00620899">
        <w:rPr>
          <w:rFonts w:ascii="Arial" w:eastAsia="Times New Roman" w:hAnsi="Arial" w:cs="Arial"/>
          <w:lang w:eastAsia="sl-SI"/>
        </w:rPr>
        <w:t>so zmožn</w:t>
      </w:r>
      <w:r w:rsidR="002D3817" w:rsidRPr="00620899">
        <w:rPr>
          <w:rFonts w:ascii="Arial" w:eastAsia="Times New Roman" w:hAnsi="Arial" w:cs="Arial"/>
          <w:lang w:eastAsia="sl-SI"/>
        </w:rPr>
        <w:t>i</w:t>
      </w:r>
      <w:r w:rsidRPr="00620899">
        <w:rPr>
          <w:rFonts w:ascii="Arial" w:eastAsia="Times New Roman" w:hAnsi="Arial" w:cs="Arial"/>
          <w:lang w:eastAsia="sl-SI"/>
        </w:rPr>
        <w:t xml:space="preserve"> prilagajanja – fleksibilnosti (niz</w:t>
      </w:r>
      <w:r w:rsidR="006D5B8D" w:rsidRPr="00620899">
        <w:rPr>
          <w:rFonts w:ascii="Arial" w:eastAsia="Times New Roman" w:hAnsi="Arial" w:cs="Arial"/>
          <w:lang w:eastAsia="sl-SI"/>
        </w:rPr>
        <w:t>e</w:t>
      </w:r>
      <w:r w:rsidRPr="00620899">
        <w:rPr>
          <w:rFonts w:ascii="Arial" w:eastAsia="Times New Roman" w:hAnsi="Arial" w:cs="Arial"/>
          <w:lang w:eastAsia="sl-SI"/>
        </w:rPr>
        <w:t>k teh</w:t>
      </w:r>
      <w:r w:rsidR="006D5B8D" w:rsidRPr="00620899">
        <w:rPr>
          <w:rFonts w:ascii="Arial" w:eastAsia="Times New Roman" w:hAnsi="Arial" w:cs="Arial"/>
          <w:lang w:eastAsia="sl-SI"/>
        </w:rPr>
        <w:t>nični</w:t>
      </w:r>
      <w:r w:rsidRPr="00620899">
        <w:rPr>
          <w:rFonts w:ascii="Arial" w:eastAsia="Times New Roman" w:hAnsi="Arial" w:cs="Arial"/>
          <w:lang w:eastAsia="sl-SI"/>
        </w:rPr>
        <w:t>. min</w:t>
      </w:r>
      <w:r w:rsidR="006D5B8D" w:rsidRPr="00620899">
        <w:rPr>
          <w:rFonts w:ascii="Arial" w:eastAsia="Times New Roman" w:hAnsi="Arial" w:cs="Arial"/>
          <w:lang w:eastAsia="sl-SI"/>
        </w:rPr>
        <w:t>imum</w:t>
      </w:r>
      <w:r w:rsidRPr="00620899">
        <w:rPr>
          <w:rFonts w:ascii="Arial" w:eastAsia="Times New Roman" w:hAnsi="Arial" w:cs="Arial"/>
          <w:lang w:eastAsia="sl-SI"/>
        </w:rPr>
        <w:t>, visoki gradienti moči, hitri zagoni in zaustavitve).</w:t>
      </w:r>
    </w:p>
    <w:p w14:paraId="0C64A0BE" w14:textId="77777777" w:rsidR="00AF3FEE" w:rsidRPr="00620899" w:rsidRDefault="00AF3FEE" w:rsidP="00AF3FEE">
      <w:pPr>
        <w:jc w:val="both"/>
        <w:rPr>
          <w:rFonts w:ascii="Arial" w:eastAsia="Times New Roman" w:hAnsi="Arial" w:cs="Arial"/>
          <w:lang w:eastAsia="sl-SI"/>
        </w:rPr>
      </w:pPr>
      <w:r w:rsidRPr="00620899">
        <w:rPr>
          <w:rFonts w:ascii="Arial" w:eastAsia="Times New Roman" w:hAnsi="Arial" w:cs="Arial"/>
          <w:lang w:eastAsia="sl-SI"/>
        </w:rPr>
        <w:t>Pričakovani učinki ukrepa:</w:t>
      </w:r>
    </w:p>
    <w:p w14:paraId="0B7746BC" w14:textId="05882940" w:rsidR="00AF3FEE" w:rsidRPr="00620899" w:rsidRDefault="00C32685" w:rsidP="00620899">
      <w:pPr>
        <w:pStyle w:val="ListParagraph"/>
        <w:numPr>
          <w:ilvl w:val="0"/>
          <w:numId w:val="13"/>
        </w:numPr>
        <w:spacing w:line="240" w:lineRule="auto"/>
        <w:jc w:val="both"/>
        <w:rPr>
          <w:rFonts w:ascii="Arial" w:eastAsia="Times New Roman" w:hAnsi="Arial" w:cs="Arial"/>
          <w:lang w:eastAsia="sl-SI"/>
        </w:rPr>
      </w:pPr>
      <w:r w:rsidRPr="00620899">
        <w:rPr>
          <w:rFonts w:ascii="Arial" w:eastAsia="Times New Roman" w:hAnsi="Arial" w:cs="Arial"/>
          <w:lang w:eastAsia="sl-SI"/>
        </w:rPr>
        <w:t>z</w:t>
      </w:r>
      <w:r w:rsidR="00AF3FEE" w:rsidRPr="00620899">
        <w:rPr>
          <w:rFonts w:ascii="Arial" w:eastAsia="Times New Roman" w:hAnsi="Arial" w:cs="Arial"/>
          <w:lang w:eastAsia="sl-SI"/>
        </w:rPr>
        <w:t>manjšanje emisij toplogrednih plinov in izboljšanje kakovosti zraka</w:t>
      </w:r>
      <w:r w:rsidRPr="00620899">
        <w:rPr>
          <w:rFonts w:ascii="Arial" w:eastAsia="Times New Roman" w:hAnsi="Arial" w:cs="Arial"/>
          <w:lang w:eastAsia="sl-SI"/>
        </w:rPr>
        <w:t>,</w:t>
      </w:r>
    </w:p>
    <w:p w14:paraId="79E14620" w14:textId="37D22B12" w:rsidR="00AF3FEE" w:rsidRPr="00620899" w:rsidRDefault="00C32685" w:rsidP="00620899">
      <w:pPr>
        <w:pStyle w:val="ListParagraph"/>
        <w:numPr>
          <w:ilvl w:val="0"/>
          <w:numId w:val="13"/>
        </w:numPr>
        <w:spacing w:line="240" w:lineRule="auto"/>
        <w:jc w:val="both"/>
        <w:rPr>
          <w:rFonts w:ascii="Arial" w:eastAsia="Times New Roman" w:hAnsi="Arial" w:cs="Arial"/>
          <w:lang w:eastAsia="sl-SI"/>
        </w:rPr>
      </w:pPr>
      <w:r w:rsidRPr="00620899">
        <w:rPr>
          <w:rFonts w:ascii="Arial" w:eastAsia="Times New Roman" w:hAnsi="Arial" w:cs="Arial"/>
          <w:lang w:eastAsia="sl-SI"/>
        </w:rPr>
        <w:t>e</w:t>
      </w:r>
      <w:r w:rsidR="00AF3FEE" w:rsidRPr="00620899">
        <w:rPr>
          <w:rFonts w:ascii="Arial" w:eastAsia="Times New Roman" w:hAnsi="Arial" w:cs="Arial"/>
          <w:lang w:eastAsia="sl-SI"/>
        </w:rPr>
        <w:t>nergetska varnost in stabilnost omrežja, ki temelji na nizkoogljičnih virih</w:t>
      </w:r>
      <w:r w:rsidRPr="00620899">
        <w:rPr>
          <w:rFonts w:ascii="Arial" w:eastAsia="Times New Roman" w:hAnsi="Arial" w:cs="Arial"/>
          <w:lang w:eastAsia="sl-SI"/>
        </w:rPr>
        <w:t>,</w:t>
      </w:r>
    </w:p>
    <w:p w14:paraId="524C43CB" w14:textId="0C4B8131" w:rsidR="00AF3FEE" w:rsidRPr="00620899" w:rsidRDefault="00C32685" w:rsidP="00620899">
      <w:pPr>
        <w:pStyle w:val="ListParagraph"/>
        <w:numPr>
          <w:ilvl w:val="0"/>
          <w:numId w:val="13"/>
        </w:numPr>
        <w:spacing w:line="240" w:lineRule="auto"/>
        <w:jc w:val="both"/>
        <w:rPr>
          <w:rFonts w:ascii="Arial" w:eastAsia="Times New Roman" w:hAnsi="Arial" w:cs="Arial"/>
          <w:lang w:eastAsia="sl-SI"/>
        </w:rPr>
      </w:pPr>
      <w:r w:rsidRPr="00620899">
        <w:rPr>
          <w:rFonts w:ascii="Arial" w:eastAsia="Times New Roman" w:hAnsi="Arial" w:cs="Arial"/>
          <w:lang w:eastAsia="sl-SI"/>
        </w:rPr>
        <w:t>g</w:t>
      </w:r>
      <w:r w:rsidR="00AF3FEE" w:rsidRPr="00620899">
        <w:rPr>
          <w:rFonts w:ascii="Arial" w:eastAsia="Times New Roman" w:hAnsi="Arial" w:cs="Arial"/>
          <w:lang w:eastAsia="sl-SI"/>
        </w:rPr>
        <w:t>ospodarsk</w:t>
      </w:r>
      <w:r w:rsidRPr="00620899">
        <w:rPr>
          <w:rFonts w:ascii="Arial" w:eastAsia="Times New Roman" w:hAnsi="Arial" w:cs="Arial"/>
          <w:lang w:eastAsia="sl-SI"/>
        </w:rPr>
        <w:t>o</w:t>
      </w:r>
      <w:r w:rsidR="00AF3FEE" w:rsidRPr="00620899">
        <w:rPr>
          <w:rFonts w:ascii="Arial" w:eastAsia="Times New Roman" w:hAnsi="Arial" w:cs="Arial"/>
          <w:lang w:eastAsia="sl-SI"/>
        </w:rPr>
        <w:t xml:space="preserve"> prestrukturiranj</w:t>
      </w:r>
      <w:r w:rsidRPr="00620899">
        <w:rPr>
          <w:rFonts w:ascii="Arial" w:eastAsia="Times New Roman" w:hAnsi="Arial" w:cs="Arial"/>
          <w:lang w:eastAsia="sl-SI"/>
        </w:rPr>
        <w:t>e</w:t>
      </w:r>
      <w:r w:rsidR="00AF3FEE" w:rsidRPr="00620899">
        <w:rPr>
          <w:rFonts w:ascii="Arial" w:eastAsia="Times New Roman" w:hAnsi="Arial" w:cs="Arial"/>
          <w:lang w:eastAsia="sl-SI"/>
        </w:rPr>
        <w:t xml:space="preserve"> premogovnih regij in povečanje konkurenčnosti Slovenije v nizkoogljični energetiki.</w:t>
      </w:r>
    </w:p>
    <w:p w14:paraId="52D19A7C" w14:textId="77777777" w:rsidR="00AF3FEE" w:rsidRPr="00AF3FEE" w:rsidRDefault="00AF3FEE" w:rsidP="00AF3FEE">
      <w:pPr>
        <w:pStyle w:val="Heading41"/>
        <w:tabs>
          <w:tab w:val="left" w:pos="680"/>
        </w:tabs>
        <w:spacing w:before="360"/>
        <w:ind w:left="680" w:hanging="680"/>
        <w:jc w:val="both"/>
        <w:rPr>
          <w:rFonts w:cs="Arial"/>
          <w:szCs w:val="22"/>
        </w:rPr>
      </w:pPr>
      <w:bookmarkStart w:id="72" w:name="_Ref193096754"/>
      <w:r w:rsidRPr="00AF3FEE">
        <w:rPr>
          <w:rFonts w:cs="Arial"/>
          <w:szCs w:val="22"/>
        </w:rPr>
        <w:t>Spodbujanje proizvodnje električne energije iz OVE in soproizvodnje elektrike in toplote z visokim izkoristkom</w:t>
      </w:r>
      <w:bookmarkEnd w:id="72"/>
    </w:p>
    <w:p w14:paraId="4E207BC9" w14:textId="47A7F4CA" w:rsidR="00AF3FEE" w:rsidRPr="00AF3FEE" w:rsidRDefault="00AF3FEE" w:rsidP="00AF3FEE">
      <w:pPr>
        <w:pStyle w:val="Naslov-VplivUkrepa-Sektorji"/>
        <w:jc w:val="both"/>
        <w:rPr>
          <w:rFonts w:ascii="Arial" w:hAnsi="Arial" w:cs="Arial"/>
          <w:szCs w:val="22"/>
        </w:rPr>
      </w:pPr>
      <w:r w:rsidRPr="00AF3FEE">
        <w:rPr>
          <w:rFonts w:ascii="Arial" w:hAnsi="Arial" w:cs="Arial"/>
          <w:szCs w:val="22"/>
        </w:rPr>
        <w:t xml:space="preserve">Sektorji, na katere </w:t>
      </w:r>
      <w:r w:rsidR="003625F6"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iCs/>
          <w:szCs w:val="22"/>
        </w:rPr>
        <w:t>proizvodnja elektrike in toplote</w:t>
      </w:r>
      <w:r w:rsidR="002D3817">
        <w:rPr>
          <w:rFonts w:ascii="Arial" w:hAnsi="Arial" w:cs="Arial"/>
          <w:b w:val="0"/>
          <w:iCs/>
          <w:szCs w:val="22"/>
        </w:rPr>
        <w:t>.</w:t>
      </w:r>
    </w:p>
    <w:p w14:paraId="4F39A7B5"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PODPORNA SHEMA</w:t>
      </w:r>
    </w:p>
    <w:p w14:paraId="71E3B4DA" w14:textId="6B6B1F1F" w:rsidR="00AF3FEE" w:rsidRPr="00AF3FEE" w:rsidRDefault="00AF3FEE" w:rsidP="00AF3FEE">
      <w:pPr>
        <w:pStyle w:val="BodyText"/>
        <w:rPr>
          <w:rFonts w:ascii="Arial" w:hAnsi="Arial" w:cs="Arial"/>
          <w:szCs w:val="22"/>
        </w:rPr>
      </w:pPr>
      <w:r w:rsidRPr="00AF3FEE">
        <w:rPr>
          <w:rFonts w:ascii="Arial" w:hAnsi="Arial" w:cs="Arial"/>
          <w:szCs w:val="22"/>
        </w:rPr>
        <w:t>Obratovalne podpore v shemi (v obliki premije ali fiksne cene) so namenjene spodbujanju proizvodnje električne energije iz OVE in/ali v soproizvodnji toplote in električne energije (SPTE) z visokim izkoristkom v vseh sektorjih</w:t>
      </w:r>
      <w:r w:rsidR="003625F6">
        <w:rPr>
          <w:rFonts w:ascii="Arial" w:hAnsi="Arial" w:cs="Arial"/>
          <w:szCs w:val="22"/>
        </w:rPr>
        <w:t>,</w:t>
      </w:r>
      <w:r w:rsidRPr="00AF3FEE">
        <w:rPr>
          <w:rFonts w:ascii="Arial" w:hAnsi="Arial" w:cs="Arial"/>
          <w:szCs w:val="22"/>
        </w:rPr>
        <w:t xml:space="preserve"> in sicer v napravah SPTE, manjših od 20 MW, ali elektrarnah na OVE</w:t>
      </w:r>
      <w:r w:rsidR="003625F6">
        <w:rPr>
          <w:rFonts w:ascii="Arial" w:hAnsi="Arial" w:cs="Arial"/>
          <w:szCs w:val="22"/>
        </w:rPr>
        <w:t>,</w:t>
      </w:r>
      <w:r w:rsidRPr="00AF3FEE">
        <w:rPr>
          <w:rFonts w:ascii="Arial" w:hAnsi="Arial" w:cs="Arial"/>
          <w:szCs w:val="22"/>
        </w:rPr>
        <w:t xml:space="preserve"> manjših od 10 MW, z izjemo vetrnih polj, ki morajo biti manjša od 50 MW. Pretežni del učinkov sheme je dosežen v sektorju EU ETS.</w:t>
      </w:r>
    </w:p>
    <w:p w14:paraId="479DF0D4" w14:textId="2F0E6B5D" w:rsidR="00AF3FEE" w:rsidRPr="00AF3FEE" w:rsidRDefault="00AF3FEE" w:rsidP="00AF3FEE">
      <w:pPr>
        <w:pStyle w:val="BodyText"/>
        <w:rPr>
          <w:rFonts w:ascii="Arial" w:hAnsi="Arial" w:cs="Arial"/>
          <w:szCs w:val="22"/>
        </w:rPr>
      </w:pPr>
      <w:r w:rsidRPr="00AF3FEE">
        <w:rPr>
          <w:rFonts w:ascii="Arial" w:hAnsi="Arial" w:cs="Arial"/>
          <w:szCs w:val="22"/>
        </w:rPr>
        <w:t>Podporno shemo za spodbujanje proizvodnje električne energije iz SPTE z visokim izkoristkom in hkrati tudi iz obnovljivih virov energije je Slovenija uvedla že leta 2002. Shema se je postopno razvijala, kar je podrobno opisano v predhodnih poročilih. Pravne podlage veljavne podporne sheme so opredeljene v Zakonu o spodbujanju rabe obnovljivih virov energije (ZSROVE)</w:t>
      </w:r>
      <w:r w:rsidR="00420D83">
        <w:rPr>
          <w:rFonts w:ascii="Arial" w:hAnsi="Arial" w:cs="Arial"/>
          <w:szCs w:val="22"/>
        </w:rPr>
        <w:t>,</w:t>
      </w:r>
      <w:r w:rsidRPr="00AF3FEE">
        <w:rPr>
          <w:rStyle w:val="FootnoteReference"/>
          <w:rFonts w:ascii="Arial" w:hAnsi="Arial" w:cs="Arial"/>
          <w:szCs w:val="22"/>
        </w:rPr>
        <w:footnoteReference w:id="48"/>
      </w:r>
      <w:r w:rsidRPr="00AF3FEE">
        <w:rPr>
          <w:rFonts w:ascii="Arial" w:hAnsi="Arial" w:cs="Arial"/>
          <w:szCs w:val="22"/>
        </w:rPr>
        <w:t xml:space="preserve"> Uredbi o podporah elektriki, proizvedeni iz obnovljivih virov energije in v soproizvodnji toplote in elektrike z visokim izkoristkom</w:t>
      </w:r>
      <w:r w:rsidR="00420D83">
        <w:rPr>
          <w:rFonts w:ascii="Arial" w:hAnsi="Arial" w:cs="Arial"/>
          <w:szCs w:val="22"/>
        </w:rPr>
        <w:t>,</w:t>
      </w:r>
      <w:r w:rsidRPr="00A57F7D">
        <w:rPr>
          <w:rStyle w:val="FootnoteReference"/>
          <w:rFonts w:ascii="Arial" w:hAnsi="Arial" w:cs="Arial"/>
          <w:szCs w:val="22"/>
        </w:rPr>
        <w:footnoteReference w:id="49"/>
      </w:r>
      <w:r w:rsidRPr="00A57F7D">
        <w:rPr>
          <w:rFonts w:ascii="Arial" w:hAnsi="Arial" w:cs="Arial"/>
          <w:szCs w:val="22"/>
        </w:rPr>
        <w:t xml:space="preserve"> </w:t>
      </w:r>
      <w:r w:rsidRPr="00AF3FEE">
        <w:rPr>
          <w:rFonts w:ascii="Arial" w:hAnsi="Arial" w:cs="Arial"/>
          <w:szCs w:val="22"/>
        </w:rPr>
        <w:t>ter drugih podzakonskih aktih, ki urejajo</w:t>
      </w:r>
      <w:r w:rsidR="003625F6" w:rsidRPr="003625F6">
        <w:rPr>
          <w:rFonts w:ascii="Arial" w:hAnsi="Arial" w:cs="Arial"/>
          <w:szCs w:val="22"/>
        </w:rPr>
        <w:t xml:space="preserve"> </w:t>
      </w:r>
      <w:r w:rsidR="003625F6" w:rsidRPr="00AF3FEE">
        <w:rPr>
          <w:rFonts w:ascii="Arial" w:hAnsi="Arial" w:cs="Arial"/>
          <w:szCs w:val="22"/>
        </w:rPr>
        <w:t>področje</w:t>
      </w:r>
      <w:r w:rsidRPr="00AF3FEE">
        <w:rPr>
          <w:rFonts w:ascii="Arial" w:hAnsi="Arial" w:cs="Arial"/>
          <w:szCs w:val="22"/>
        </w:rPr>
        <w:t xml:space="preserve">. Investitorji se po letu 2014 v podporno shemo vključujejo na podlagi javnih pozivov Agencije za energijo. V okviru poziva so projekti izbrani glede na razpoložljiva sredstva za podpore, skladnost projekta z načrtom delovanja in cilji podporne sheme ter ponujeno ceno za proizvedeno električno energijo, kot jo ponudnik opredeli ob prijavi na javni poziv. </w:t>
      </w:r>
    </w:p>
    <w:p w14:paraId="112CC292" w14:textId="77777777" w:rsidR="00AF3FEE" w:rsidRPr="00AF3FEE" w:rsidRDefault="00AF3FEE" w:rsidP="00AF3FEE">
      <w:pPr>
        <w:pStyle w:val="BodyText"/>
        <w:rPr>
          <w:rFonts w:ascii="Arial" w:hAnsi="Arial" w:cs="Arial"/>
          <w:szCs w:val="22"/>
        </w:rPr>
      </w:pPr>
      <w:r w:rsidRPr="00AF3FEE">
        <w:rPr>
          <w:rFonts w:ascii="Arial" w:hAnsi="Arial" w:cs="Arial"/>
          <w:szCs w:val="22"/>
        </w:rPr>
        <w:lastRenderedPageBreak/>
        <w:t>Proizvodnja električne energije OVE v podporni shemi je bila v zadnjih letih naslednja: leta 2018 938 GWh, leta 2020 962 GWh, leta 2021 973 GWh, leta 2022 1020 GWh in leta 2023 1045 GWh.</w:t>
      </w:r>
    </w:p>
    <w:p w14:paraId="7D310E70" w14:textId="57398ED9" w:rsidR="00AF3FEE" w:rsidRPr="00AF3FEE" w:rsidRDefault="00AF3FEE" w:rsidP="00AF3FEE">
      <w:pPr>
        <w:pStyle w:val="BodyText"/>
        <w:rPr>
          <w:rFonts w:ascii="Arial" w:hAnsi="Arial" w:cs="Arial"/>
          <w:szCs w:val="22"/>
        </w:rPr>
      </w:pPr>
      <w:r w:rsidRPr="00AF3FEE">
        <w:rPr>
          <w:rFonts w:ascii="Arial" w:hAnsi="Arial" w:cs="Arial"/>
          <w:szCs w:val="22"/>
        </w:rPr>
        <w:t>V visoko učinkovitih SPTE v podporni shemi je bilo leta 2018 proizvedenih 320 GWh električne energije, leta 2020 348 GWh, leta 2021 355 GWh, leta 2022 370 GWh in leta 2023 385 GWh.</w:t>
      </w:r>
    </w:p>
    <w:p w14:paraId="5E03CFC1" w14:textId="40B44ABD" w:rsidR="00AF3FEE" w:rsidRPr="00AF3FEE" w:rsidRDefault="00AF3FEE" w:rsidP="00AF3FEE">
      <w:pPr>
        <w:pStyle w:val="BodyText"/>
        <w:rPr>
          <w:rFonts w:ascii="Arial" w:hAnsi="Arial" w:cs="Arial"/>
          <w:szCs w:val="22"/>
        </w:rPr>
      </w:pPr>
      <w:r w:rsidRPr="00AF3FEE">
        <w:rPr>
          <w:rFonts w:ascii="Arial" w:hAnsi="Arial" w:cs="Arial"/>
          <w:szCs w:val="22"/>
        </w:rPr>
        <w:t>V zadnjih letih je podporna shema za SPTE in OVE doživela nekaj sprememb. Število vključenih enot in skupna zmogljivost sta se zmanjšala, podpore pa kljub nižji proizvodnji v nekaterih obdobjih ostajajo stabilne. Gospodinjski odjemalci so bili do konca leta 2024 oproščeni plačila prispevka za shemo podpor. SPTE na fosilna goriva, predvsem plin, so še vedno deležni podpore. SPTE</w:t>
      </w:r>
      <w:r w:rsidR="00240927">
        <w:rPr>
          <w:rFonts w:ascii="Arial" w:hAnsi="Arial" w:cs="Arial"/>
          <w:szCs w:val="22"/>
        </w:rPr>
        <w:t xml:space="preserve"> </w:t>
      </w:r>
      <w:r w:rsidRPr="00AF3FEE">
        <w:rPr>
          <w:rFonts w:ascii="Arial" w:hAnsi="Arial" w:cs="Arial"/>
          <w:szCs w:val="22"/>
        </w:rPr>
        <w:t xml:space="preserve">elektrarne na fosilna goriva so leta 2023 </w:t>
      </w:r>
      <w:r w:rsidR="00240927">
        <w:rPr>
          <w:rFonts w:ascii="Arial" w:hAnsi="Arial" w:cs="Arial"/>
          <w:szCs w:val="22"/>
        </w:rPr>
        <w:t>proizvedle</w:t>
      </w:r>
      <w:r w:rsidR="00240927" w:rsidRPr="00AF3FEE">
        <w:rPr>
          <w:rFonts w:ascii="Arial" w:hAnsi="Arial" w:cs="Arial"/>
          <w:szCs w:val="22"/>
        </w:rPr>
        <w:t xml:space="preserve"> </w:t>
      </w:r>
      <w:r w:rsidRPr="00AF3FEE">
        <w:rPr>
          <w:rFonts w:ascii="Arial" w:hAnsi="Arial" w:cs="Arial"/>
          <w:szCs w:val="22"/>
        </w:rPr>
        <w:t>večino subvencionirane električne energije.</w:t>
      </w:r>
      <w:r w:rsidR="00331BC1">
        <w:rPr>
          <w:rFonts w:ascii="Arial" w:hAnsi="Arial" w:cs="Arial"/>
          <w:szCs w:val="22"/>
        </w:rPr>
        <w:t xml:space="preserve"> </w:t>
      </w:r>
      <w:r w:rsidR="00331BC1" w:rsidRPr="1476A3A5">
        <w:rPr>
          <w:rFonts w:ascii="Arial" w:eastAsia="Arial" w:hAnsi="Arial" w:cs="Arial"/>
          <w:szCs w:val="22"/>
        </w:rPr>
        <w:t xml:space="preserve">Vstop novih enot SPTE na </w:t>
      </w:r>
      <w:r w:rsidR="00240927">
        <w:rPr>
          <w:rFonts w:ascii="Arial" w:eastAsia="Arial" w:hAnsi="Arial" w:cs="Arial"/>
          <w:szCs w:val="22"/>
        </w:rPr>
        <w:t xml:space="preserve">področje </w:t>
      </w:r>
      <w:r w:rsidR="00240927" w:rsidRPr="1476A3A5">
        <w:rPr>
          <w:rFonts w:ascii="Arial" w:eastAsia="Arial" w:hAnsi="Arial" w:cs="Arial"/>
          <w:szCs w:val="22"/>
        </w:rPr>
        <w:t>fosiln</w:t>
      </w:r>
      <w:r w:rsidR="00240927">
        <w:rPr>
          <w:rFonts w:ascii="Arial" w:eastAsia="Arial" w:hAnsi="Arial" w:cs="Arial"/>
          <w:szCs w:val="22"/>
        </w:rPr>
        <w:t>ih</w:t>
      </w:r>
      <w:r w:rsidR="00240927" w:rsidRPr="1476A3A5">
        <w:rPr>
          <w:rFonts w:ascii="Arial" w:eastAsia="Arial" w:hAnsi="Arial" w:cs="Arial"/>
          <w:szCs w:val="22"/>
        </w:rPr>
        <w:t xml:space="preserve"> </w:t>
      </w:r>
      <w:r w:rsidR="00331BC1" w:rsidRPr="1476A3A5">
        <w:rPr>
          <w:rFonts w:ascii="Arial" w:eastAsia="Arial" w:hAnsi="Arial" w:cs="Arial"/>
          <w:szCs w:val="22"/>
        </w:rPr>
        <w:t>goriv v podporno shemo po letu 2023 ni več mogoč, v podporni shemi te enote ostajajo do izteka njihove pogodbe. Novela Zakona o spodbujanju rabe obnovljivih virov energije (ZSROVE-1) bo utemeljila novo podporno shemo, v kateri spodbude za fosilne vire niso predvidene</w:t>
      </w:r>
      <w:r w:rsidR="005756F4">
        <w:rPr>
          <w:rFonts w:ascii="Arial" w:eastAsia="Arial" w:hAnsi="Arial" w:cs="Arial"/>
          <w:szCs w:val="22"/>
        </w:rPr>
        <w:t>.</w:t>
      </w:r>
      <w:r w:rsidR="00423973" w:rsidRPr="00AF3FEE">
        <w:rPr>
          <w:rStyle w:val="FootnoteReference"/>
          <w:rFonts w:ascii="Arial" w:hAnsi="Arial" w:cs="Arial"/>
          <w:szCs w:val="22"/>
        </w:rPr>
        <w:footnoteReference w:id="50"/>
      </w:r>
      <w:r w:rsidR="00240927" w:rsidRPr="00A57F7D">
        <w:rPr>
          <w:rFonts w:ascii="Arial" w:eastAsia="Arial" w:hAnsi="Arial" w:cs="Arial"/>
          <w:szCs w:val="22"/>
          <w:vertAlign w:val="superscript"/>
        </w:rPr>
        <w:t>,</w:t>
      </w:r>
      <w:r w:rsidR="00423973" w:rsidRPr="00A57F7D">
        <w:rPr>
          <w:rFonts w:ascii="Arial" w:hAnsi="Arial" w:cs="Arial"/>
          <w:szCs w:val="22"/>
          <w:vertAlign w:val="superscript"/>
        </w:rPr>
        <w:t xml:space="preserve"> </w:t>
      </w:r>
      <w:r w:rsidR="00423973" w:rsidRPr="00AF3FEE">
        <w:rPr>
          <w:rStyle w:val="FootnoteReference"/>
          <w:rFonts w:ascii="Arial" w:hAnsi="Arial" w:cs="Arial"/>
          <w:szCs w:val="22"/>
        </w:rPr>
        <w:footnoteReference w:id="51"/>
      </w:r>
      <w:r w:rsidR="00331BC1" w:rsidRPr="1476A3A5">
        <w:t xml:space="preserve"> </w:t>
      </w:r>
      <w:r w:rsidR="00331BC1">
        <w:rPr>
          <w:rFonts w:ascii="Arial" w:hAnsi="Arial" w:cs="Arial"/>
          <w:szCs w:val="22"/>
        </w:rPr>
        <w:t xml:space="preserve"> </w:t>
      </w:r>
    </w:p>
    <w:p w14:paraId="5345FCB3"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SPODBUDE ZA SAMOOSKRBO Z ELEKTRIČNO ENERGIJO IZ OVE</w:t>
      </w:r>
    </w:p>
    <w:p w14:paraId="3EFC33D9" w14:textId="3059BA5A" w:rsidR="00AF3FEE" w:rsidRPr="00AF3FEE" w:rsidRDefault="00AF3FEE" w:rsidP="00AF3FEE">
      <w:pPr>
        <w:pStyle w:val="BodyText"/>
        <w:rPr>
          <w:rFonts w:ascii="Arial" w:hAnsi="Arial" w:cs="Arial"/>
          <w:szCs w:val="22"/>
        </w:rPr>
      </w:pPr>
      <w:r w:rsidRPr="00AF3FEE">
        <w:rPr>
          <w:rFonts w:ascii="Arial" w:hAnsi="Arial" w:cs="Arial"/>
          <w:szCs w:val="22"/>
        </w:rPr>
        <w:t>Sistem samooskrbe v skladu z državno Uredbo o samooskrbi z električno energijo iz obnovljivih virov energije</w:t>
      </w:r>
      <w:r w:rsidRPr="00AF3FEE">
        <w:rPr>
          <w:rStyle w:val="FootnoteReference"/>
          <w:rFonts w:ascii="Arial" w:hAnsi="Arial" w:cs="Arial"/>
          <w:szCs w:val="22"/>
        </w:rPr>
        <w:footnoteReference w:id="52"/>
      </w:r>
      <w:r w:rsidRPr="00AF3FEE">
        <w:rPr>
          <w:rFonts w:ascii="Arial" w:hAnsi="Arial" w:cs="Arial"/>
          <w:szCs w:val="22"/>
        </w:rPr>
        <w:t xml:space="preserve"> odjemalcem omogoča samooskrbo z električno energijo iz obnovljivih virov energije za celotno ali delno pokrivanje lastnega odjema električne energije z napravo za samooskrbo. Do konca leta 2024 je bil mogoč vstop v zelo privlačno shemo letnih neto meritev, ki lastnikom v času življenjske dobe vgrajenih naprav omogoča obračun stroškov za električno energijo iz omrežja po principu </w:t>
      </w:r>
      <w:r w:rsidR="00DC3569">
        <w:rPr>
          <w:rFonts w:ascii="Arial" w:hAnsi="Arial" w:cs="Arial"/>
          <w:szCs w:val="22"/>
        </w:rPr>
        <w:t>tako imenovanih</w:t>
      </w:r>
      <w:r w:rsidRPr="00AF3FEE">
        <w:rPr>
          <w:rFonts w:ascii="Arial" w:hAnsi="Arial" w:cs="Arial"/>
          <w:szCs w:val="22"/>
        </w:rPr>
        <w:t xml:space="preserve"> neto meritev, torej le razliko med prevzeto in oddano delovno električno energijo, ki je odčitana na istem merilnem mestu ob </w:t>
      </w:r>
      <w:r w:rsidR="00240927">
        <w:rPr>
          <w:rFonts w:ascii="Arial" w:hAnsi="Arial" w:cs="Arial"/>
          <w:szCs w:val="22"/>
        </w:rPr>
        <w:t>konc</w:t>
      </w:r>
      <w:r w:rsidR="00240927" w:rsidRPr="00AF3FEE">
        <w:rPr>
          <w:rFonts w:ascii="Arial" w:hAnsi="Arial" w:cs="Arial"/>
          <w:szCs w:val="22"/>
        </w:rPr>
        <w:t xml:space="preserve">u </w:t>
      </w:r>
      <w:r w:rsidRPr="00AF3FEE">
        <w:rPr>
          <w:rFonts w:ascii="Arial" w:hAnsi="Arial" w:cs="Arial"/>
          <w:szCs w:val="22"/>
        </w:rPr>
        <w:t xml:space="preserve">obračunskega obdobja. Samooskrba je tudi po letu 2024 še vedno mogoča, a je za prevzeto energijo treba plačati omrežnino, </w:t>
      </w:r>
      <w:r w:rsidR="005756F4">
        <w:rPr>
          <w:rFonts w:ascii="Arial" w:hAnsi="Arial" w:cs="Arial"/>
          <w:szCs w:val="22"/>
        </w:rPr>
        <w:t xml:space="preserve">presežke </w:t>
      </w:r>
      <w:r w:rsidRPr="00AF3FEE">
        <w:rPr>
          <w:rFonts w:ascii="Arial" w:hAnsi="Arial" w:cs="Arial"/>
          <w:szCs w:val="22"/>
        </w:rPr>
        <w:t>energije pa je mogoče prodajati na trgu. Eko sklad zagotavlja ugodne kredite</w:t>
      </w:r>
      <w:r w:rsidR="00331BC1">
        <w:rPr>
          <w:rFonts w:ascii="Arial" w:hAnsi="Arial" w:cs="Arial"/>
          <w:szCs w:val="22"/>
        </w:rPr>
        <w:t>, Borzen pa</w:t>
      </w:r>
      <w:r w:rsidRPr="00AF3FEE">
        <w:rPr>
          <w:rFonts w:ascii="Arial" w:hAnsi="Arial" w:cs="Arial"/>
          <w:szCs w:val="22"/>
        </w:rPr>
        <w:t xml:space="preserve"> subvencije za vgradnjo enot, ki izpolnjujejo kriterije za samooskrbo. Instalirana moč (skoraj izključno sončnih) samooskrbnih elektrarn se je vsako leto skokovito povečevala: leta 2018 je znašala 21 MW, leta 2019 52 MW, leta 2020 103 MW, leta 2021 195 MW, leta 2022 349 MW in leta 2023 že 556 MW</w:t>
      </w:r>
      <w:r w:rsidR="00240927">
        <w:rPr>
          <w:rFonts w:ascii="Arial" w:hAnsi="Arial" w:cs="Arial"/>
          <w:szCs w:val="22"/>
        </w:rPr>
        <w:t>.</w:t>
      </w:r>
      <w:r w:rsidRPr="00AF3FEE">
        <w:rPr>
          <w:rStyle w:val="FootnoteReference"/>
          <w:rFonts w:ascii="Arial" w:hAnsi="Arial" w:cs="Arial"/>
          <w:szCs w:val="22"/>
        </w:rPr>
        <w:footnoteReference w:id="53"/>
      </w:r>
      <w:r w:rsidRPr="00AF3FEE">
        <w:rPr>
          <w:rFonts w:ascii="Arial" w:hAnsi="Arial" w:cs="Arial"/>
          <w:szCs w:val="22"/>
        </w:rPr>
        <w:t xml:space="preserve"> </w:t>
      </w:r>
    </w:p>
    <w:p w14:paraId="6C5DD6FC" w14:textId="77777777" w:rsidR="00AF3FEE" w:rsidRPr="00AF3FEE" w:rsidRDefault="00AF3FEE" w:rsidP="00AF3FEE">
      <w:pPr>
        <w:pStyle w:val="NaslovVTekstu"/>
        <w:jc w:val="both"/>
        <w:rPr>
          <w:rFonts w:ascii="Arial" w:eastAsiaTheme="minorHAnsi" w:hAnsi="Arial" w:cs="Arial"/>
          <w:szCs w:val="22"/>
          <w:lang w:val="sl-SI"/>
        </w:rPr>
      </w:pPr>
      <w:r w:rsidRPr="00AF3FEE">
        <w:rPr>
          <w:rFonts w:ascii="Arial" w:eastAsiaTheme="minorHAnsi" w:hAnsi="Arial" w:cs="Arial"/>
          <w:szCs w:val="22"/>
          <w:lang w:val="sl-SI"/>
        </w:rPr>
        <w:t>INVESTICIJSKE SPODBUDE ZA NAPRAVE, KI PROIZVAJAJO ELEKTRIČNO ENERGIJO IZ OVE IN V SPTE Z VISOKIM IZKORISTKOM</w:t>
      </w:r>
    </w:p>
    <w:p w14:paraId="670D6281" w14:textId="63244C7D" w:rsidR="00AF3FEE" w:rsidRPr="00AF3FEE" w:rsidRDefault="00CC2786" w:rsidP="00AF3FEE">
      <w:pPr>
        <w:jc w:val="both"/>
        <w:rPr>
          <w:rFonts w:ascii="Arial" w:hAnsi="Arial" w:cs="Arial"/>
        </w:rPr>
      </w:pPr>
      <w:r>
        <w:rPr>
          <w:rFonts w:ascii="Arial" w:hAnsi="Arial" w:cs="Arial"/>
        </w:rPr>
        <w:t xml:space="preserve">V skladu </w:t>
      </w:r>
      <w:r w:rsidR="00AF3FEE" w:rsidRPr="00AF3FEE">
        <w:rPr>
          <w:rFonts w:ascii="Arial" w:hAnsi="Arial" w:cs="Arial"/>
        </w:rPr>
        <w:t xml:space="preserve">z vsakokratnimi razpisi so na voljo tudi investicijske spodbude v obliki subvencij in ugodnih posojil za gradnjo malih naprav za OVE (vetrna energija, sončna energija, biomasa in male hidroelektrarne do 10 MW moči) in SPTE. Investicijske podpore so na voljo od leta 2007 dalje. Ukrep se bo nadaljeval s spodbujanjem naložb v perspektivne in komercialno uspešne projekte OVE (vetrne, sončne, geotermalne </w:t>
      </w:r>
      <w:r w:rsidR="004F2B0D">
        <w:rPr>
          <w:rFonts w:ascii="Arial" w:hAnsi="Arial" w:cs="Arial"/>
        </w:rPr>
        <w:t>in tako dalje</w:t>
      </w:r>
      <w:r w:rsidR="00AF3FEE" w:rsidRPr="00AF3FEE">
        <w:rPr>
          <w:rFonts w:ascii="Arial" w:hAnsi="Arial" w:cs="Arial"/>
        </w:rPr>
        <w:t xml:space="preserve">) </w:t>
      </w:r>
      <w:r w:rsidR="00680BC7">
        <w:rPr>
          <w:rFonts w:ascii="Arial" w:hAnsi="Arial" w:cs="Arial"/>
        </w:rPr>
        <w:t>ter</w:t>
      </w:r>
      <w:r w:rsidR="00680BC7" w:rsidRPr="00AF3FEE">
        <w:rPr>
          <w:rFonts w:ascii="Arial" w:hAnsi="Arial" w:cs="Arial"/>
        </w:rPr>
        <w:t xml:space="preserve"> </w:t>
      </w:r>
      <w:r w:rsidR="00AF3FEE" w:rsidRPr="00AF3FEE">
        <w:rPr>
          <w:rFonts w:ascii="Arial" w:hAnsi="Arial" w:cs="Arial"/>
        </w:rPr>
        <w:t>s podporo potrebnim raziskavam in inovacijam.</w:t>
      </w:r>
    </w:p>
    <w:p w14:paraId="0788CA81"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DRUGE SPODBUDE PROIZVODNJI OVE-E IN SPTE</w:t>
      </w:r>
    </w:p>
    <w:p w14:paraId="25CD6FF6" w14:textId="02974901" w:rsidR="00AF3FEE" w:rsidRPr="00AF3FEE" w:rsidRDefault="00AF3FEE" w:rsidP="00AF3FEE">
      <w:pPr>
        <w:pStyle w:val="BodyText"/>
        <w:rPr>
          <w:rFonts w:ascii="Arial" w:hAnsi="Arial" w:cs="Arial"/>
          <w:szCs w:val="22"/>
          <w:highlight w:val="yellow"/>
        </w:rPr>
      </w:pPr>
      <w:r w:rsidRPr="00AF3FEE">
        <w:rPr>
          <w:rFonts w:ascii="Arial" w:hAnsi="Arial" w:cs="Arial"/>
          <w:szCs w:val="22"/>
          <w:shd w:val="clear" w:color="auto" w:fill="FFFFFF" w:themeFill="background1"/>
        </w:rPr>
        <w:t>Za spodbujanje SP</w:t>
      </w:r>
      <w:r w:rsidRPr="00AF3FEE">
        <w:rPr>
          <w:rFonts w:ascii="Arial" w:hAnsi="Arial" w:cs="Arial"/>
          <w:szCs w:val="22"/>
        </w:rPr>
        <w:t>TE je pomemben tudi obvezni delež toplote iz OVE, SPTE in odvečne toplote, ki jih morajo dosegati vsi sistemi daljinskega ogrevanja (DO), kot je določeno v 50. členu Zakona o učinkoviti rabi energije (ZURE)</w:t>
      </w:r>
      <w:r w:rsidR="002A497F">
        <w:rPr>
          <w:rFonts w:ascii="Arial" w:hAnsi="Arial" w:cs="Arial"/>
          <w:szCs w:val="22"/>
        </w:rPr>
        <w:t>.</w:t>
      </w:r>
      <w:r w:rsidRPr="00AF3FEE">
        <w:rPr>
          <w:rStyle w:val="FootnoteReference"/>
          <w:rFonts w:ascii="Arial" w:hAnsi="Arial" w:cs="Arial"/>
          <w:szCs w:val="22"/>
        </w:rPr>
        <w:footnoteReference w:id="54"/>
      </w:r>
      <w:r w:rsidRPr="00AF3FEE">
        <w:rPr>
          <w:rFonts w:ascii="Arial" w:hAnsi="Arial" w:cs="Arial"/>
          <w:szCs w:val="22"/>
        </w:rPr>
        <w:t xml:space="preserve"> </w:t>
      </w:r>
    </w:p>
    <w:p w14:paraId="554CF394" w14:textId="2EDA9920" w:rsidR="00AF3FEE" w:rsidRPr="00AF3FEE" w:rsidRDefault="00AF3FEE" w:rsidP="00AF3FEE">
      <w:pPr>
        <w:pStyle w:val="BodyText"/>
        <w:rPr>
          <w:rFonts w:ascii="Arial" w:hAnsi="Arial" w:cs="Arial"/>
          <w:szCs w:val="22"/>
        </w:rPr>
      </w:pPr>
      <w:r w:rsidRPr="00AF3FEE">
        <w:rPr>
          <w:rFonts w:ascii="Arial" w:hAnsi="Arial" w:cs="Arial"/>
          <w:szCs w:val="22"/>
        </w:rPr>
        <w:t>Vgradnjo naprav SPTE z visokim izkoristkom in proizvodnjo električne energije v sončnih elektrarnah spodbuja tudi Pravilnik o učinkoviti rabi energije v stavbah</w:t>
      </w:r>
      <w:r w:rsidR="002A497F">
        <w:rPr>
          <w:rFonts w:ascii="Arial" w:hAnsi="Arial" w:cs="Arial"/>
          <w:szCs w:val="22"/>
        </w:rPr>
        <w:t>,</w:t>
      </w:r>
      <w:r w:rsidR="002A497F" w:rsidRPr="00AF3FEE" w:rsidDel="002A497F">
        <w:rPr>
          <w:rFonts w:ascii="Arial" w:hAnsi="Arial" w:cs="Arial"/>
          <w:szCs w:val="22"/>
          <w:vertAlign w:val="superscript"/>
        </w:rPr>
        <w:t xml:space="preserve"> </w:t>
      </w:r>
      <w:r w:rsidRPr="00AF3FEE">
        <w:rPr>
          <w:rFonts w:ascii="Arial" w:hAnsi="Arial" w:cs="Arial"/>
          <w:szCs w:val="22"/>
          <w:vertAlign w:val="superscript"/>
        </w:rPr>
        <w:footnoteReference w:id="55"/>
      </w:r>
      <w:r w:rsidRPr="00AF3FEE">
        <w:rPr>
          <w:rFonts w:ascii="Arial" w:hAnsi="Arial" w:cs="Arial"/>
          <w:szCs w:val="22"/>
        </w:rPr>
        <w:t xml:space="preserve"> ki opredeljuje, da je </w:t>
      </w:r>
      <w:r w:rsidRPr="00AF3FEE">
        <w:rPr>
          <w:rFonts w:ascii="Arial" w:hAnsi="Arial" w:cs="Arial"/>
          <w:szCs w:val="22"/>
        </w:rPr>
        <w:lastRenderedPageBreak/>
        <w:t xml:space="preserve">energetska učinkovitost stavbe dosežena tudi, če je najmanj 50 % končne energije za ogrevanje in hlajenje stavbe ter pripravo sanitarne tople vode pridobljene iz </w:t>
      </w:r>
      <w:r w:rsidR="002A497F">
        <w:rPr>
          <w:rFonts w:ascii="Arial" w:hAnsi="Arial" w:cs="Arial"/>
          <w:szCs w:val="22"/>
        </w:rPr>
        <w:t>te</w:t>
      </w:r>
      <w:r w:rsidR="002A497F" w:rsidRPr="00AF3FEE">
        <w:rPr>
          <w:rFonts w:ascii="Arial" w:hAnsi="Arial" w:cs="Arial"/>
          <w:szCs w:val="22"/>
        </w:rPr>
        <w:t xml:space="preserve">h </w:t>
      </w:r>
      <w:r w:rsidRPr="00AF3FEE">
        <w:rPr>
          <w:rFonts w:ascii="Arial" w:hAnsi="Arial" w:cs="Arial"/>
          <w:szCs w:val="22"/>
        </w:rPr>
        <w:t xml:space="preserve">sistemov. </w:t>
      </w:r>
    </w:p>
    <w:p w14:paraId="140DF165" w14:textId="2A35CB34" w:rsidR="00331BC1" w:rsidRPr="00AF3FEE" w:rsidRDefault="00AF3FEE" w:rsidP="00AF3FEE">
      <w:pPr>
        <w:pStyle w:val="BodyText"/>
        <w:rPr>
          <w:rFonts w:ascii="Arial" w:hAnsi="Arial" w:cs="Arial"/>
          <w:szCs w:val="22"/>
        </w:rPr>
      </w:pPr>
      <w:r w:rsidRPr="00AF3FEE">
        <w:rPr>
          <w:rFonts w:ascii="Arial" w:hAnsi="Arial" w:cs="Arial"/>
          <w:szCs w:val="22"/>
        </w:rPr>
        <w:t>Proizvodnjo električne energije iz OVE spodbujajo tudi potrdila o izvoru električne energije</w:t>
      </w:r>
      <w:r w:rsidR="002A497F">
        <w:rPr>
          <w:rFonts w:ascii="Arial" w:hAnsi="Arial" w:cs="Arial"/>
          <w:szCs w:val="22"/>
        </w:rPr>
        <w:t>,</w:t>
      </w:r>
      <w:r w:rsidRPr="00AF3FEE">
        <w:rPr>
          <w:rStyle w:val="FootnoteReference"/>
          <w:rFonts w:ascii="Arial" w:hAnsi="Arial" w:cs="Arial"/>
          <w:szCs w:val="22"/>
        </w:rPr>
        <w:footnoteReference w:id="56"/>
      </w:r>
      <w:r w:rsidRPr="00AF3FEE">
        <w:rPr>
          <w:rFonts w:ascii="Arial" w:hAnsi="Arial" w:cs="Arial"/>
          <w:szCs w:val="22"/>
        </w:rPr>
        <w:t xml:space="preserve"> katerih namen je olajšati trgovanje z elektriko</w:t>
      </w:r>
      <w:r w:rsidR="002A497F">
        <w:rPr>
          <w:rFonts w:ascii="Arial" w:hAnsi="Arial" w:cs="Arial"/>
          <w:szCs w:val="22"/>
        </w:rPr>
        <w:t>,</w:t>
      </w:r>
      <w:r w:rsidRPr="00AF3FEE">
        <w:rPr>
          <w:rFonts w:ascii="Arial" w:hAnsi="Arial" w:cs="Arial"/>
          <w:szCs w:val="22"/>
        </w:rPr>
        <w:t xml:space="preserve"> proizvedeno iz obnovljivih virov energije ali v soproizvodnji</w:t>
      </w:r>
      <w:r w:rsidR="002A497F">
        <w:rPr>
          <w:rFonts w:ascii="Arial" w:hAnsi="Arial" w:cs="Arial"/>
          <w:szCs w:val="22"/>
        </w:rPr>
        <w:t>,</w:t>
      </w:r>
      <w:r w:rsidRPr="00AF3FEE">
        <w:rPr>
          <w:rFonts w:ascii="Arial" w:hAnsi="Arial" w:cs="Arial"/>
          <w:szCs w:val="22"/>
        </w:rPr>
        <w:t xml:space="preserve"> in izboljšati preglednost na trgu z elektriko</w:t>
      </w:r>
      <w:r w:rsidRPr="00AF3FEE">
        <w:rPr>
          <w:rFonts w:ascii="Arial" w:hAnsi="Arial" w:cs="Arial"/>
          <w:color w:val="666666"/>
          <w:szCs w:val="22"/>
          <w:shd w:val="clear" w:color="auto" w:fill="FFFFFF"/>
        </w:rPr>
        <w:t xml:space="preserve">. </w:t>
      </w:r>
      <w:r w:rsidRPr="00AF3FEE">
        <w:rPr>
          <w:rFonts w:ascii="Arial" w:hAnsi="Arial" w:cs="Arial"/>
          <w:szCs w:val="22"/>
        </w:rPr>
        <w:t xml:space="preserve">Izdaja potrdil o izvoru in transakcije z njimi se izvajajo v okviru </w:t>
      </w:r>
      <w:hyperlink r:id="rId30" w:history="1">
        <w:r w:rsidRPr="00AF3FEE">
          <w:rPr>
            <w:rStyle w:val="Hyperlink"/>
            <w:rFonts w:ascii="Arial" w:hAnsi="Arial" w:cs="Arial"/>
            <w:szCs w:val="22"/>
          </w:rPr>
          <w:t>Registra potrdil o izvoru</w:t>
        </w:r>
      </w:hyperlink>
      <w:r w:rsidR="002A497F" w:rsidRPr="002A497F">
        <w:rPr>
          <w:rStyle w:val="Hyperlink"/>
          <w:rFonts w:ascii="Arial" w:hAnsi="Arial" w:cs="Arial"/>
          <w:szCs w:val="22"/>
          <w:u w:val="none"/>
        </w:rPr>
        <w:t>,</w:t>
      </w:r>
      <w:r w:rsidRPr="00A57F7D">
        <w:rPr>
          <w:rStyle w:val="FootnoteReference"/>
          <w:rFonts w:ascii="Arial" w:hAnsi="Arial" w:cs="Arial"/>
          <w:color w:val="467886" w:themeColor="hyperlink"/>
          <w:szCs w:val="22"/>
        </w:rPr>
        <w:footnoteReference w:id="57"/>
      </w:r>
      <w:r w:rsidRPr="00AF3FEE">
        <w:rPr>
          <w:rFonts w:ascii="Arial" w:hAnsi="Arial" w:cs="Arial"/>
          <w:szCs w:val="22"/>
        </w:rPr>
        <w:t xml:space="preserve"> ki ga vodi Agencija za energijo.</w:t>
      </w:r>
    </w:p>
    <w:p w14:paraId="3F54C682" w14:textId="0F7F8BE3" w:rsidR="00AF3FEE" w:rsidRPr="00AF3FEE" w:rsidRDefault="00AF3FEE" w:rsidP="00AF3FEE">
      <w:pPr>
        <w:pStyle w:val="Heading41"/>
        <w:tabs>
          <w:tab w:val="left" w:pos="680"/>
        </w:tabs>
        <w:spacing w:before="360"/>
        <w:ind w:left="680" w:hanging="680"/>
        <w:jc w:val="both"/>
        <w:rPr>
          <w:rFonts w:cs="Arial"/>
          <w:szCs w:val="22"/>
          <w:lang w:val="sl-SI"/>
        </w:rPr>
      </w:pPr>
      <w:bookmarkStart w:id="73" w:name="_Ref193096758"/>
      <w:r w:rsidRPr="00AF3FEE">
        <w:rPr>
          <w:rFonts w:cs="Arial"/>
          <w:szCs w:val="22"/>
          <w:lang w:val="sl-SI"/>
        </w:rPr>
        <w:t>DODATNI UKREPI ZA SPODBUJANJE PROIZVODNJE ELEKTRIČNE ENERGIJE IZ OVE IN SOPROIZVODNJE ELEKTRIKE IN TOPLOTE Z VISOKIM IZKORISTKOM</w:t>
      </w:r>
      <w:bookmarkEnd w:id="73"/>
      <w:r w:rsidRPr="00AF3FEE">
        <w:rPr>
          <w:rFonts w:cs="Arial"/>
          <w:szCs w:val="22"/>
          <w:lang w:val="sl-SI"/>
        </w:rPr>
        <w:t> </w:t>
      </w:r>
    </w:p>
    <w:p w14:paraId="32503967" w14:textId="3788D211" w:rsidR="00AF3FEE" w:rsidRDefault="00AF3FEE" w:rsidP="00AF3FEE">
      <w:pPr>
        <w:pStyle w:val="Naslov-VplivUkrepa-Sektorji"/>
        <w:jc w:val="both"/>
        <w:rPr>
          <w:rFonts w:ascii="Arial" w:hAnsi="Arial" w:cs="Arial"/>
          <w:b w:val="0"/>
          <w:bCs/>
          <w:szCs w:val="22"/>
        </w:rPr>
      </w:pPr>
      <w:r w:rsidRPr="00AF3FEE">
        <w:rPr>
          <w:rFonts w:ascii="Arial" w:hAnsi="Arial" w:cs="Arial"/>
          <w:szCs w:val="22"/>
        </w:rPr>
        <w:t xml:space="preserve">Sektorji, na katere </w:t>
      </w:r>
      <w:r w:rsidR="002A497F"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 xml:space="preserve">: </w:t>
      </w:r>
      <w:r w:rsidRPr="0038553C">
        <w:rPr>
          <w:rFonts w:ascii="Arial" w:hAnsi="Arial" w:cs="Arial"/>
          <w:b w:val="0"/>
          <w:bCs/>
          <w:szCs w:val="22"/>
        </w:rPr>
        <w:t>proizvodnja elektrike in toplote</w:t>
      </w:r>
      <w:r w:rsidR="00331BC1">
        <w:rPr>
          <w:rFonts w:ascii="Arial" w:hAnsi="Arial" w:cs="Arial"/>
          <w:b w:val="0"/>
          <w:bCs/>
          <w:szCs w:val="22"/>
        </w:rPr>
        <w:t>.</w:t>
      </w:r>
    </w:p>
    <w:p w14:paraId="314F0B91" w14:textId="00DF220E" w:rsidR="00331BC1" w:rsidRPr="00423973" w:rsidRDefault="00331BC1" w:rsidP="00423973">
      <w:pPr>
        <w:pStyle w:val="BodyText"/>
        <w:rPr>
          <w:b/>
        </w:rPr>
      </w:pPr>
      <w:r w:rsidRPr="00AF3FEE">
        <w:rPr>
          <w:rFonts w:ascii="Arial" w:hAnsi="Arial" w:cs="Arial"/>
        </w:rPr>
        <w:t xml:space="preserve">Financiranje programov OVE bo zagotovljeno iz različnih evropskih in nacionalnih virov, vključno s Skladom za okrevanje in odpornost (NOO), REPowerEU, Modernizacijskim skladom, Strateškim načrtom SKP 2023–2027 </w:t>
      </w:r>
      <w:r w:rsidR="009E16DE">
        <w:rPr>
          <w:rFonts w:ascii="Arial" w:hAnsi="Arial" w:cs="Arial"/>
        </w:rPr>
        <w:t>in</w:t>
      </w:r>
      <w:r w:rsidR="009E16DE" w:rsidRPr="00AF3FEE">
        <w:rPr>
          <w:rFonts w:ascii="Arial" w:hAnsi="Arial" w:cs="Arial"/>
        </w:rPr>
        <w:t xml:space="preserve"> </w:t>
      </w:r>
      <w:r w:rsidRPr="00AF3FEE">
        <w:rPr>
          <w:rFonts w:ascii="Arial" w:hAnsi="Arial" w:cs="Arial"/>
        </w:rPr>
        <w:t xml:space="preserve">Operativnim programom EKP. Sistemi potrdil o izvoru bodo nadgrajeni z vključitvijo obnovljivih in nizkoogljičnih plinov ter toplote in hladu iz OVE. Prav tako bo opredeljen investitor za gradnjo priključne prenosne in distribucijske infrastrukture večjih koncentriranih proizvodnih naprav OVE ter določeni </w:t>
      </w:r>
      <w:r w:rsidR="00680BC7">
        <w:rPr>
          <w:rFonts w:ascii="Arial" w:hAnsi="Arial" w:cs="Arial"/>
        </w:rPr>
        <w:t xml:space="preserve">bodo </w:t>
      </w:r>
      <w:r w:rsidRPr="00AF3FEE">
        <w:rPr>
          <w:rFonts w:ascii="Arial" w:hAnsi="Arial" w:cs="Arial"/>
        </w:rPr>
        <w:t>viri financiranja, kot je Modernizacijski sklad.</w:t>
      </w:r>
    </w:p>
    <w:p w14:paraId="4AB6E588" w14:textId="77777777" w:rsidR="00AF3FEE" w:rsidRPr="00AF3FEE" w:rsidRDefault="00AF3FEE" w:rsidP="00AF3FEE">
      <w:pPr>
        <w:pStyle w:val="NaslovVTekstu"/>
        <w:jc w:val="both"/>
        <w:rPr>
          <w:rFonts w:ascii="Arial" w:hAnsi="Arial" w:cs="Arial"/>
          <w:szCs w:val="22"/>
        </w:rPr>
      </w:pPr>
      <w:r w:rsidRPr="00AF3FEE">
        <w:rPr>
          <w:rFonts w:ascii="Arial" w:hAnsi="Arial" w:cs="Arial"/>
          <w:szCs w:val="22"/>
        </w:rPr>
        <w:t>POSODOBITEV IN PRIPRAVA NOVE SHEME PODPOR ZA SPODBUJANJE PROIZVODNJE ELEKTRIČNE ENERGIJE IZ OVE IN V SOPROIZVODNJI TOPLOTE IN ELEKTRIČNE ENERGIJE (SPTE) Z VISOKIM IZKORISTKOM</w:t>
      </w:r>
    </w:p>
    <w:p w14:paraId="65906653" w14:textId="61376F65" w:rsidR="00AF3FEE" w:rsidRPr="00AF3FEE" w:rsidRDefault="00AF3FEE" w:rsidP="00AF3FEE">
      <w:pPr>
        <w:pStyle w:val="BodyText"/>
        <w:rPr>
          <w:rFonts w:ascii="Arial" w:hAnsi="Arial" w:cs="Arial"/>
          <w:szCs w:val="22"/>
        </w:rPr>
      </w:pPr>
      <w:r w:rsidRPr="00AF3FEE">
        <w:rPr>
          <w:rFonts w:ascii="Arial" w:hAnsi="Arial" w:cs="Arial"/>
          <w:szCs w:val="22"/>
        </w:rPr>
        <w:t xml:space="preserve">Podporna shema za spodbujanje proizvodnje električne energije iz OVE in soproizvodnje toplote in električne energije (SPTE) bo prenovljena </w:t>
      </w:r>
      <w:r w:rsidR="00CC2786">
        <w:rPr>
          <w:rFonts w:ascii="Arial" w:hAnsi="Arial" w:cs="Arial"/>
          <w:szCs w:val="22"/>
        </w:rPr>
        <w:t xml:space="preserve">v skladu </w:t>
      </w:r>
      <w:r w:rsidRPr="00AF3FEE">
        <w:rPr>
          <w:rFonts w:ascii="Arial" w:hAnsi="Arial" w:cs="Arial"/>
          <w:szCs w:val="22"/>
        </w:rPr>
        <w:t xml:space="preserve">s cilji NEPN. Nova shema bo vključevala podporo tudi za proizvodnjo obnovljivih plinov ter ogrevanje in hlajenje iz OVE. Predvidene so nove oblike spodbud, ki bodo poleg električne energije iz OVE in OVE SPTE zajemale tudi proizvodnjo vodika in drugih sintetičnih plinov. Shema bo vsebovala dodatne spodbude za energetske skupnosti </w:t>
      </w:r>
      <w:r w:rsidR="00033A97">
        <w:rPr>
          <w:rFonts w:ascii="Arial" w:hAnsi="Arial" w:cs="Arial"/>
          <w:szCs w:val="22"/>
        </w:rPr>
        <w:t>in</w:t>
      </w:r>
      <w:r w:rsidR="00033A97" w:rsidRPr="00AF3FEE">
        <w:rPr>
          <w:rFonts w:ascii="Arial" w:hAnsi="Arial" w:cs="Arial"/>
          <w:szCs w:val="22"/>
        </w:rPr>
        <w:t xml:space="preserve"> </w:t>
      </w:r>
      <w:r w:rsidRPr="00AF3FEE">
        <w:rPr>
          <w:rFonts w:ascii="Arial" w:hAnsi="Arial" w:cs="Arial"/>
          <w:szCs w:val="22"/>
        </w:rPr>
        <w:t xml:space="preserve">poenostavljen postopek za manjše proizvodne naprave, ki bo vključeval zagotovljene premije in administrativne olajšave. Prehod na investicijske nepovratne finančne spodbude bo namenjen tehnologijam, ki so blizu konkurenčnosti. Prav tako bodo predvidene spodbude za razvoj pogodb o odkupu električne energije (PPA) in ustrezno </w:t>
      </w:r>
      <w:r w:rsidR="00680BC7">
        <w:rPr>
          <w:rFonts w:ascii="Arial" w:hAnsi="Arial" w:cs="Arial"/>
          <w:szCs w:val="22"/>
        </w:rPr>
        <w:t xml:space="preserve">vključitev </w:t>
      </w:r>
      <w:r w:rsidRPr="00AF3FEE">
        <w:rPr>
          <w:rFonts w:ascii="Arial" w:hAnsi="Arial" w:cs="Arial"/>
          <w:szCs w:val="22"/>
        </w:rPr>
        <w:t>OVE v stavbe in energetski sistem, vključno s hranilniki električne energije in toplote.</w:t>
      </w:r>
    </w:p>
    <w:p w14:paraId="6FB268C6" w14:textId="3226784C" w:rsidR="00AF3FEE" w:rsidRPr="00AF3FEE" w:rsidRDefault="00AF3FEE" w:rsidP="00AF3FEE">
      <w:pPr>
        <w:spacing w:before="100" w:beforeAutospacing="1" w:after="100" w:afterAutospacing="1" w:line="240" w:lineRule="auto"/>
        <w:jc w:val="both"/>
        <w:rPr>
          <w:rFonts w:ascii="Arial" w:hAnsi="Arial" w:cs="Arial"/>
        </w:rPr>
      </w:pPr>
      <w:r w:rsidRPr="00AF3FEE">
        <w:rPr>
          <w:rFonts w:ascii="Arial" w:hAnsi="Arial" w:cs="Arial"/>
        </w:rPr>
        <w:t xml:space="preserve">V okviru sheme bo vzpostavljen mehanizem za spodbujanje naložb v tehnologije za pretvorbo </w:t>
      </w:r>
      <w:r w:rsidR="00680BC7">
        <w:rPr>
          <w:rFonts w:ascii="Arial" w:hAnsi="Arial" w:cs="Arial"/>
        </w:rPr>
        <w:t>presežkov</w:t>
      </w:r>
      <w:r w:rsidR="00680BC7" w:rsidRPr="00AF3FEE">
        <w:rPr>
          <w:rFonts w:ascii="Arial" w:hAnsi="Arial" w:cs="Arial"/>
        </w:rPr>
        <w:t xml:space="preserve"> </w:t>
      </w:r>
      <w:r w:rsidRPr="00AF3FEE">
        <w:rPr>
          <w:rFonts w:ascii="Arial" w:hAnsi="Arial" w:cs="Arial"/>
        </w:rPr>
        <w:t xml:space="preserve">električne energije ter izboljšano prostorsko načrtovanje za izvedljivost projektov, zlasti za vetrne elektrarne, male hidroelektrarne in velike sončne elektrarne nad 1 MW. Načrtovani ukrepi vključujejo tudi povečanje podpore investitorjem pri prijavi projektov ter boljše informiranje in promocijo sheme. Sistem bo omogočal kaskadno prioritizacijo podpor za doseganje nacionalnih ciljev deleža OVE, obenem pa razvoj finančnih instrumentov za </w:t>
      </w:r>
      <w:r w:rsidR="00BB0D05">
        <w:rPr>
          <w:rFonts w:ascii="Arial" w:hAnsi="Arial" w:cs="Arial"/>
        </w:rPr>
        <w:t xml:space="preserve">vključitev </w:t>
      </w:r>
      <w:r w:rsidRPr="00AF3FEE">
        <w:rPr>
          <w:rFonts w:ascii="Arial" w:hAnsi="Arial" w:cs="Arial"/>
        </w:rPr>
        <w:t>OVE v kulturno dediščino. Za zagotovitev stabilnosti in predvidljivosti delovanja sheme bo vzpostavljen sistem monitoringa in prilagajanja glede na dosežene učinke. Načrtovane spodbude bodo upoštevale potrebo po jasnosti, stalnosti in predvidljivosti, da bi zagotovili dolgoročno stabilen sistem podpor.</w:t>
      </w:r>
    </w:p>
    <w:p w14:paraId="4DF0D0F6" w14:textId="77777777" w:rsidR="00AF3FEE" w:rsidRPr="00AF3FEE" w:rsidRDefault="00AF3FEE" w:rsidP="00AF3FEE">
      <w:pPr>
        <w:pStyle w:val="NaslovVTekstu"/>
        <w:jc w:val="both"/>
        <w:rPr>
          <w:rFonts w:ascii="Arial" w:hAnsi="Arial" w:cs="Arial"/>
          <w:szCs w:val="22"/>
        </w:rPr>
      </w:pPr>
      <w:r w:rsidRPr="00AF3FEE">
        <w:rPr>
          <w:rFonts w:ascii="Arial" w:hAnsi="Arial" w:cs="Arial"/>
          <w:szCs w:val="22"/>
        </w:rPr>
        <w:t>SAMOOSKRBA Z ELEKTRIČNO ENERGIJO IZ OVE</w:t>
      </w:r>
    </w:p>
    <w:p w14:paraId="2A8D50B9" w14:textId="08E1D3F4" w:rsidR="00AF3FEE" w:rsidRPr="00AF3FEE" w:rsidRDefault="00AF3FEE" w:rsidP="00AF3FEE">
      <w:pPr>
        <w:pStyle w:val="BodyText"/>
        <w:rPr>
          <w:rFonts w:ascii="Arial" w:hAnsi="Arial" w:cs="Arial"/>
          <w:szCs w:val="22"/>
        </w:rPr>
      </w:pPr>
      <w:r w:rsidRPr="00AF3FEE">
        <w:rPr>
          <w:rFonts w:ascii="Arial" w:hAnsi="Arial" w:cs="Arial"/>
          <w:szCs w:val="22"/>
        </w:rPr>
        <w:t xml:space="preserve">Za povečanje proizvodnje električne energije iz OVE bodo odpravljene administrativne ovire in poenostavljeni postopki soglasij ob upoštevanju zakonodajnih okvirov. Zagotovljene </w:t>
      </w:r>
      <w:r w:rsidR="00331BC1">
        <w:rPr>
          <w:rFonts w:ascii="Arial" w:hAnsi="Arial" w:cs="Arial"/>
          <w:szCs w:val="22"/>
        </w:rPr>
        <w:t>so</w:t>
      </w:r>
      <w:r w:rsidRPr="00AF3FEE">
        <w:rPr>
          <w:rFonts w:ascii="Arial" w:hAnsi="Arial" w:cs="Arial"/>
          <w:szCs w:val="22"/>
        </w:rPr>
        <w:t xml:space="preserve"> </w:t>
      </w:r>
      <w:r w:rsidRPr="00AF3FEE">
        <w:rPr>
          <w:rFonts w:ascii="Arial" w:hAnsi="Arial" w:cs="Arial"/>
          <w:szCs w:val="22"/>
        </w:rPr>
        <w:lastRenderedPageBreak/>
        <w:t>fiskalne spodbude za naložbe v samooskrbo</w:t>
      </w:r>
      <w:r w:rsidR="00331BC1">
        <w:rPr>
          <w:rFonts w:ascii="Arial" w:hAnsi="Arial" w:cs="Arial"/>
          <w:szCs w:val="22"/>
        </w:rPr>
        <w:t xml:space="preserve"> </w:t>
      </w:r>
      <w:bookmarkStart w:id="74" w:name="_Hlk194048509"/>
      <w:r w:rsidR="0082194F">
        <w:rPr>
          <w:rFonts w:ascii="Arial" w:hAnsi="Arial" w:cs="Arial"/>
          <w:szCs w:val="22"/>
        </w:rPr>
        <w:t>(Borzen)</w:t>
      </w:r>
      <w:bookmarkEnd w:id="74"/>
      <w:r w:rsidRPr="00AF3FEE">
        <w:rPr>
          <w:rFonts w:ascii="Arial" w:hAnsi="Arial" w:cs="Arial"/>
          <w:szCs w:val="22"/>
        </w:rPr>
        <w:t xml:space="preserve">. Priključitev samooskrbnih elektrarn v shemo letnega neto merjenja je bila mogoča do konca leta 2024, pri čemer bo novi NEPN zagotovil, da ostaja samooskrba finančno zanimiva glede na stroške omrežja in energetsko izravnavo. Nadaljnji ukrepi bodo usmerjeni v spremljanje in posodabljanje sheme, omogočanje souporabe </w:t>
      </w:r>
      <w:r w:rsidR="00BB0D05">
        <w:rPr>
          <w:rFonts w:ascii="Arial" w:hAnsi="Arial" w:cs="Arial"/>
          <w:szCs w:val="22"/>
        </w:rPr>
        <w:t>presežkov</w:t>
      </w:r>
      <w:r w:rsidR="00BB0D05" w:rsidRPr="00AF3FEE">
        <w:rPr>
          <w:rFonts w:ascii="Arial" w:hAnsi="Arial" w:cs="Arial"/>
          <w:szCs w:val="22"/>
        </w:rPr>
        <w:t xml:space="preserve"> </w:t>
      </w:r>
      <w:r w:rsidRPr="00AF3FEE">
        <w:rPr>
          <w:rFonts w:ascii="Arial" w:hAnsi="Arial" w:cs="Arial"/>
          <w:szCs w:val="22"/>
        </w:rPr>
        <w:t xml:space="preserve">električne energije ter spodbujanje mikro in malih vetrnih elektrarn. Poročila iz let 2022 in 2023 kažejo na povečano sprejemanje samooskrbnih sistemov, razvoj rešitev za shranjevanje in krepitev zakonodajnih podlag. </w:t>
      </w:r>
    </w:p>
    <w:p w14:paraId="0A5E9D81" w14:textId="2F9C2E27" w:rsidR="00AF3FEE" w:rsidRPr="00AF3FEE" w:rsidRDefault="00AF3FEE" w:rsidP="00AF3FEE">
      <w:pPr>
        <w:spacing w:before="100" w:beforeAutospacing="1" w:after="100" w:afterAutospacing="1" w:line="240" w:lineRule="auto"/>
        <w:jc w:val="both"/>
        <w:rPr>
          <w:rFonts w:ascii="Arial" w:hAnsi="Arial" w:cs="Arial"/>
        </w:rPr>
      </w:pPr>
      <w:r w:rsidRPr="00AF3FEE">
        <w:rPr>
          <w:rFonts w:ascii="Arial" w:hAnsi="Arial" w:cs="Arial"/>
        </w:rPr>
        <w:t xml:space="preserve">Instrument samooskrbe </w:t>
      </w:r>
      <w:r w:rsidR="00331BC1">
        <w:rPr>
          <w:rFonts w:ascii="Arial" w:hAnsi="Arial" w:cs="Arial"/>
        </w:rPr>
        <w:t>je</w:t>
      </w:r>
      <w:r w:rsidRPr="00AF3FEE">
        <w:rPr>
          <w:rFonts w:ascii="Arial" w:hAnsi="Arial" w:cs="Arial"/>
        </w:rPr>
        <w:t xml:space="preserve"> oblikovan tako, da bo ostal finančno zanimiv za končne uporabnike, ob upoštevanju stroškov in koristi uporabe omrežja ter morebitnega prilagajanja proizvodnje in odjema. Zakonodajne podlage, kot je Zakon o lokalni samoupravi, bodo dopolnjene za spodbujanje aktivnega vključevanja občin v načrtovanje in izvedbo projektov samooskrbe. Izvedena bo analiza možnosti vključevanja mikro in malih vetrnih elektrarn v samooskrbne sisteme ter uvedene </w:t>
      </w:r>
      <w:r w:rsidR="00BB0D05">
        <w:rPr>
          <w:rFonts w:ascii="Arial" w:hAnsi="Arial" w:cs="Arial"/>
        </w:rPr>
        <w:t xml:space="preserve">bodo </w:t>
      </w:r>
      <w:r w:rsidRPr="00AF3FEE">
        <w:rPr>
          <w:rFonts w:ascii="Arial" w:hAnsi="Arial" w:cs="Arial"/>
        </w:rPr>
        <w:t>ustrezne finančne spodbude.</w:t>
      </w:r>
    </w:p>
    <w:p w14:paraId="6ACD1E99" w14:textId="5A8CF109" w:rsidR="00AF3FEE" w:rsidRPr="00AF3FEE" w:rsidRDefault="00AF3FEE" w:rsidP="00AF3FEE">
      <w:pPr>
        <w:pStyle w:val="NaslovVTekstu"/>
        <w:jc w:val="both"/>
        <w:rPr>
          <w:rFonts w:ascii="Arial" w:hAnsi="Arial" w:cs="Arial"/>
          <w:szCs w:val="22"/>
        </w:rPr>
      </w:pPr>
      <w:r w:rsidRPr="00AF3FEE">
        <w:rPr>
          <w:rFonts w:ascii="Arial" w:hAnsi="Arial" w:cs="Arial"/>
          <w:szCs w:val="22"/>
        </w:rPr>
        <w:t xml:space="preserve">BOLJŠA OMREŽNA </w:t>
      </w:r>
      <w:r w:rsidR="00033A97">
        <w:rPr>
          <w:rFonts w:ascii="Arial" w:hAnsi="Arial" w:cs="Arial"/>
          <w:szCs w:val="22"/>
        </w:rPr>
        <w:t>VKLJUČITEV</w:t>
      </w:r>
      <w:r w:rsidR="00033A97" w:rsidRPr="00AF3FEE">
        <w:rPr>
          <w:rFonts w:ascii="Arial" w:hAnsi="Arial" w:cs="Arial"/>
          <w:szCs w:val="22"/>
        </w:rPr>
        <w:t xml:space="preserve"> </w:t>
      </w:r>
      <w:r w:rsidRPr="00AF3FEE">
        <w:rPr>
          <w:rFonts w:ascii="Arial" w:hAnsi="Arial" w:cs="Arial"/>
          <w:szCs w:val="22"/>
        </w:rPr>
        <w:t>PROIZVODNIH NAPRAV OVE IN PRILAGAJANJE ODJEMA</w:t>
      </w:r>
    </w:p>
    <w:p w14:paraId="5A1BD163" w14:textId="0E5BCA58" w:rsidR="00AF3FEE" w:rsidRPr="00AF3FEE" w:rsidRDefault="00AF3FEE" w:rsidP="00AF3FEE">
      <w:pPr>
        <w:pStyle w:val="BodyText"/>
        <w:rPr>
          <w:rFonts w:ascii="Arial" w:hAnsi="Arial" w:cs="Arial"/>
          <w:szCs w:val="22"/>
        </w:rPr>
      </w:pPr>
      <w:r w:rsidRPr="00AF3FEE">
        <w:rPr>
          <w:rFonts w:ascii="Arial" w:hAnsi="Arial" w:cs="Arial"/>
          <w:szCs w:val="22"/>
        </w:rPr>
        <w:t>Vzpostavljen</w:t>
      </w:r>
      <w:r w:rsidR="00033A97">
        <w:rPr>
          <w:rFonts w:ascii="Arial" w:hAnsi="Arial" w:cs="Arial"/>
          <w:szCs w:val="22"/>
        </w:rPr>
        <w:t>i</w:t>
      </w:r>
      <w:r w:rsidRPr="00AF3FEE">
        <w:rPr>
          <w:rFonts w:ascii="Arial" w:hAnsi="Arial" w:cs="Arial"/>
          <w:szCs w:val="22"/>
        </w:rPr>
        <w:t xml:space="preserve"> bo</w:t>
      </w:r>
      <w:r w:rsidR="00033A97">
        <w:rPr>
          <w:rFonts w:ascii="Arial" w:hAnsi="Arial" w:cs="Arial"/>
          <w:szCs w:val="22"/>
        </w:rPr>
        <w:t>do</w:t>
      </w:r>
      <w:r w:rsidRPr="00AF3FEE">
        <w:rPr>
          <w:rFonts w:ascii="Arial" w:hAnsi="Arial" w:cs="Arial"/>
          <w:szCs w:val="22"/>
        </w:rPr>
        <w:t xml:space="preserve"> </w:t>
      </w:r>
      <w:r w:rsidR="00033A97">
        <w:rPr>
          <w:rFonts w:ascii="Arial" w:hAnsi="Arial" w:cs="Arial"/>
          <w:szCs w:val="22"/>
        </w:rPr>
        <w:t>zakon</w:t>
      </w:r>
      <w:r w:rsidR="00BB0D05">
        <w:rPr>
          <w:rFonts w:ascii="Arial" w:hAnsi="Arial" w:cs="Arial"/>
          <w:szCs w:val="22"/>
        </w:rPr>
        <w:t>odajni</w:t>
      </w:r>
      <w:r w:rsidR="00033A97" w:rsidRPr="00AF3FEE">
        <w:rPr>
          <w:rFonts w:ascii="Arial" w:hAnsi="Arial" w:cs="Arial"/>
          <w:szCs w:val="22"/>
        </w:rPr>
        <w:t xml:space="preserve"> </w:t>
      </w:r>
      <w:r w:rsidRPr="00AF3FEE">
        <w:rPr>
          <w:rFonts w:ascii="Arial" w:hAnsi="Arial" w:cs="Arial"/>
          <w:szCs w:val="22"/>
        </w:rPr>
        <w:t xml:space="preserve">okvir in ustrezni ekonomski signali za omrežno </w:t>
      </w:r>
      <w:r w:rsidR="00033A97">
        <w:rPr>
          <w:rFonts w:ascii="Arial" w:hAnsi="Arial" w:cs="Arial"/>
          <w:szCs w:val="22"/>
        </w:rPr>
        <w:t>vključitev</w:t>
      </w:r>
      <w:r w:rsidR="00033A97" w:rsidRPr="00AF3FEE">
        <w:rPr>
          <w:rFonts w:ascii="Arial" w:hAnsi="Arial" w:cs="Arial"/>
          <w:szCs w:val="22"/>
        </w:rPr>
        <w:t xml:space="preserve"> </w:t>
      </w:r>
      <w:r w:rsidRPr="00AF3FEE">
        <w:rPr>
          <w:rFonts w:ascii="Arial" w:hAnsi="Arial" w:cs="Arial"/>
          <w:szCs w:val="22"/>
        </w:rPr>
        <w:t xml:space="preserve">OVE na lokacijah z večjo porabo električne energije </w:t>
      </w:r>
      <w:r w:rsidR="00033A97">
        <w:rPr>
          <w:rFonts w:ascii="Arial" w:hAnsi="Arial" w:cs="Arial"/>
          <w:szCs w:val="22"/>
        </w:rPr>
        <w:t>in</w:t>
      </w:r>
      <w:r w:rsidR="00033A97" w:rsidRPr="00AF3FEE">
        <w:rPr>
          <w:rFonts w:ascii="Arial" w:hAnsi="Arial" w:cs="Arial"/>
          <w:szCs w:val="22"/>
        </w:rPr>
        <w:t xml:space="preserve"> </w:t>
      </w:r>
      <w:r w:rsidRPr="00AF3FEE">
        <w:rPr>
          <w:rFonts w:ascii="Arial" w:hAnsi="Arial" w:cs="Arial"/>
          <w:szCs w:val="22"/>
        </w:rPr>
        <w:t xml:space="preserve">s priklopom na srednjenapetostno omrežje. Prav tako bodo določene spodbude za prilagajanje proizvodnje in odjema ter sodelovanje v sistemskih storitvah. Vzpostavljen bo decentraliziran lokalni trg prožnosti, </w:t>
      </w:r>
      <w:r w:rsidR="00BB0D05">
        <w:rPr>
          <w:rFonts w:ascii="Arial" w:hAnsi="Arial" w:cs="Arial"/>
          <w:szCs w:val="22"/>
        </w:rPr>
        <w:t xml:space="preserve">povezan </w:t>
      </w:r>
      <w:r w:rsidRPr="00AF3FEE">
        <w:rPr>
          <w:rFonts w:ascii="Arial" w:hAnsi="Arial" w:cs="Arial"/>
          <w:szCs w:val="22"/>
        </w:rPr>
        <w:t xml:space="preserve">z drugimi organiziranimi trgi, kar bo omogočilo večjo likvidnost. Spodbujane bodo investicije v hranilnike energije ter uvedeno </w:t>
      </w:r>
      <w:r w:rsidR="00BB0D05">
        <w:rPr>
          <w:rFonts w:ascii="Arial" w:hAnsi="Arial" w:cs="Arial"/>
          <w:szCs w:val="22"/>
        </w:rPr>
        <w:t xml:space="preserve">bo </w:t>
      </w:r>
      <w:r w:rsidRPr="00AF3FEE">
        <w:rPr>
          <w:rFonts w:ascii="Arial" w:hAnsi="Arial" w:cs="Arial"/>
          <w:szCs w:val="22"/>
        </w:rPr>
        <w:t>dinamično tarifiranje omrežnine. Za boljše načrtovanje priključitev bo nadgrajen sistem mapiranja primernih lokacij v spletno orodje z rednim posodabljanjem podatkov.</w:t>
      </w:r>
    </w:p>
    <w:p w14:paraId="783C9BE7" w14:textId="726E58D9" w:rsidR="00AF3FEE" w:rsidRPr="00AF3FEE" w:rsidRDefault="00AF3FEE" w:rsidP="00AF3FEE">
      <w:pPr>
        <w:pStyle w:val="NaslovVTekstu"/>
        <w:jc w:val="both"/>
        <w:rPr>
          <w:rFonts w:ascii="Arial" w:hAnsi="Arial" w:cs="Arial"/>
          <w:szCs w:val="22"/>
        </w:rPr>
      </w:pPr>
      <w:r w:rsidRPr="00AF3FEE">
        <w:rPr>
          <w:rFonts w:ascii="Arial" w:hAnsi="Arial" w:cs="Arial"/>
          <w:szCs w:val="22"/>
        </w:rPr>
        <w:t>SPODBUJANJE GRADNJE SISTEMOV HRANJENJA ELEKTRIČNE ENERGIJE (SHEE)</w:t>
      </w:r>
    </w:p>
    <w:p w14:paraId="4835DE0F" w14:textId="248C2D3B" w:rsidR="00AF3FEE" w:rsidRPr="00AF3FEE" w:rsidRDefault="00CC2786" w:rsidP="00AF3FEE">
      <w:pPr>
        <w:pStyle w:val="BodyText"/>
        <w:rPr>
          <w:rFonts w:ascii="Arial" w:hAnsi="Arial" w:cs="Arial"/>
          <w:szCs w:val="22"/>
        </w:rPr>
      </w:pPr>
      <w:r>
        <w:rPr>
          <w:rFonts w:ascii="Arial" w:hAnsi="Arial" w:cs="Arial"/>
          <w:szCs w:val="22"/>
        </w:rPr>
        <w:t xml:space="preserve">V skladu </w:t>
      </w:r>
      <w:r w:rsidR="00AF3FEE" w:rsidRPr="00AF3FEE">
        <w:rPr>
          <w:rFonts w:ascii="Arial" w:hAnsi="Arial" w:cs="Arial"/>
          <w:szCs w:val="22"/>
        </w:rPr>
        <w:t xml:space="preserve">s povečanjem proizvodnje sončnih in vetrnih elektrarn bo pospešena gradnja sistemov hranjenja, zlasti črpalnih hidroelektrarn in baterijskih sistemov. Vse nove velike sončne elektrarne bodo morale imeti vgrajen sistem hranjenja, ki bo zagotavljal vsaj 25 % njihove nazivne moči in </w:t>
      </w:r>
      <w:r w:rsidR="005B5DFC">
        <w:rPr>
          <w:rFonts w:ascii="Arial" w:hAnsi="Arial" w:cs="Arial"/>
          <w:szCs w:val="22"/>
        </w:rPr>
        <w:t>zmogljivost</w:t>
      </w:r>
      <w:r w:rsidR="005B5DFC" w:rsidRPr="00AF3FEE">
        <w:rPr>
          <w:rFonts w:ascii="Arial" w:hAnsi="Arial" w:cs="Arial"/>
          <w:szCs w:val="22"/>
        </w:rPr>
        <w:t xml:space="preserve"> </w:t>
      </w:r>
      <w:r w:rsidR="00AF3FEE" w:rsidRPr="00AF3FEE">
        <w:rPr>
          <w:rFonts w:ascii="Arial" w:hAnsi="Arial" w:cs="Arial"/>
          <w:szCs w:val="22"/>
        </w:rPr>
        <w:t xml:space="preserve">za 2 do 4 ure delovanja. Možnosti bodo preučene tudi za dodatne reverzibilne agregate na obstoječih hidroelektrarnah. Razvoj sistemov bo povezan s pretvorbo v vodik in sintetična goriva ter z </w:t>
      </w:r>
      <w:r w:rsidR="005B5DFC">
        <w:rPr>
          <w:rFonts w:ascii="Arial" w:hAnsi="Arial" w:cs="Arial"/>
          <w:szCs w:val="22"/>
        </w:rPr>
        <w:t>vključitvijo</w:t>
      </w:r>
      <w:r w:rsidR="005B5DFC" w:rsidRPr="00AF3FEE">
        <w:rPr>
          <w:rFonts w:ascii="Arial" w:hAnsi="Arial" w:cs="Arial"/>
          <w:szCs w:val="22"/>
        </w:rPr>
        <w:t xml:space="preserve"> </w:t>
      </w:r>
      <w:r w:rsidR="00AF3FEE" w:rsidRPr="00AF3FEE">
        <w:rPr>
          <w:rFonts w:ascii="Arial" w:hAnsi="Arial" w:cs="Arial"/>
          <w:szCs w:val="22"/>
        </w:rPr>
        <w:t>v električno in plinsko omrežje. Vzpostavljeni bodo spodbudni pogoji za uporabo omrežja, vključno z ugodnimi tarifami in moratorijem na plačevanje omrežnine.</w:t>
      </w:r>
    </w:p>
    <w:p w14:paraId="5594CA14" w14:textId="77777777" w:rsidR="00AF3FEE" w:rsidRPr="00AF3FEE" w:rsidRDefault="00AF3FEE" w:rsidP="00AF3FEE">
      <w:pPr>
        <w:pStyle w:val="NaslovVTekstu"/>
        <w:jc w:val="both"/>
        <w:rPr>
          <w:rFonts w:ascii="Arial" w:hAnsi="Arial" w:cs="Arial"/>
          <w:szCs w:val="22"/>
        </w:rPr>
      </w:pPr>
      <w:r w:rsidRPr="00AF3FEE">
        <w:rPr>
          <w:rFonts w:ascii="Arial" w:hAnsi="Arial" w:cs="Arial"/>
          <w:szCs w:val="22"/>
        </w:rPr>
        <w:t>RAZVOJ ELEKTROENERGETSKEGA OMREŽJA</w:t>
      </w:r>
    </w:p>
    <w:p w14:paraId="481938EE" w14:textId="30AFF884" w:rsidR="00AF3FEE" w:rsidRPr="00AF3FEE" w:rsidRDefault="00AF3FEE" w:rsidP="00AF3FEE">
      <w:pPr>
        <w:pStyle w:val="BodyText"/>
        <w:rPr>
          <w:rFonts w:ascii="Arial" w:hAnsi="Arial" w:cs="Arial"/>
          <w:szCs w:val="22"/>
        </w:rPr>
      </w:pPr>
      <w:r w:rsidRPr="00AF3FEE">
        <w:rPr>
          <w:rFonts w:ascii="Arial" w:hAnsi="Arial" w:cs="Arial"/>
          <w:szCs w:val="22"/>
        </w:rPr>
        <w:t xml:space="preserve">Spodbujane bodo investicije v OVE v kombinaciji z lokalno hrambo energije na kritičnih območjih elektroenergetskega sistema. Zagotovljeni bodo finančni viri za širitev omrežja in prenova </w:t>
      </w:r>
      <w:r w:rsidR="005B5DFC">
        <w:rPr>
          <w:rFonts w:ascii="Arial" w:hAnsi="Arial" w:cs="Arial"/>
          <w:szCs w:val="22"/>
        </w:rPr>
        <w:t>zakonodajn</w:t>
      </w:r>
      <w:r w:rsidR="005B5DFC" w:rsidRPr="00AF3FEE">
        <w:rPr>
          <w:rFonts w:ascii="Arial" w:hAnsi="Arial" w:cs="Arial"/>
          <w:szCs w:val="22"/>
        </w:rPr>
        <w:t xml:space="preserve">ega </w:t>
      </w:r>
      <w:r w:rsidRPr="00AF3FEE">
        <w:rPr>
          <w:rFonts w:ascii="Arial" w:hAnsi="Arial" w:cs="Arial"/>
          <w:szCs w:val="22"/>
        </w:rPr>
        <w:t>okvira za obračun omrežnine, ki bo podprl razvoj omrežja in doseganje podnebnih ciljev. Tarifni sistem bo prilagojen za spodbujanje prilagajanja odjema. Poudarek bo na prehodu iz pilotnih projektov v investicijsko fazo ter na izboljšanju koordinacije med elektrooperaterji in elektrodistribucijskimi podjetji.</w:t>
      </w:r>
    </w:p>
    <w:p w14:paraId="0AA9F03C" w14:textId="77777777" w:rsidR="00AF3FEE" w:rsidRPr="00AF3FEE" w:rsidRDefault="00AF3FEE" w:rsidP="00AF3FEE">
      <w:pPr>
        <w:pStyle w:val="NaslovVTekstu"/>
        <w:jc w:val="both"/>
        <w:rPr>
          <w:rFonts w:ascii="Arial" w:hAnsi="Arial" w:cs="Arial"/>
          <w:szCs w:val="22"/>
        </w:rPr>
      </w:pPr>
      <w:r w:rsidRPr="00AF3FEE">
        <w:rPr>
          <w:rFonts w:ascii="Arial" w:hAnsi="Arial" w:cs="Arial"/>
          <w:szCs w:val="22"/>
        </w:rPr>
        <w:t>SPODBUJANJE PRENOVE IN GRADNJE MALIH HIDROELEKTRARN</w:t>
      </w:r>
    </w:p>
    <w:p w14:paraId="3471E53F" w14:textId="69DDAFC0" w:rsidR="00AF3FEE" w:rsidRPr="00AF3FEE" w:rsidRDefault="00AF3FEE" w:rsidP="00AF3FEE">
      <w:pPr>
        <w:pStyle w:val="BodyText"/>
        <w:rPr>
          <w:rFonts w:ascii="Arial" w:hAnsi="Arial" w:cs="Arial"/>
          <w:szCs w:val="22"/>
        </w:rPr>
      </w:pPr>
      <w:r w:rsidRPr="00AF3FEE">
        <w:rPr>
          <w:rFonts w:ascii="Arial" w:hAnsi="Arial" w:cs="Arial"/>
          <w:szCs w:val="22"/>
        </w:rPr>
        <w:t>Izvedena bo analiza možnosti prenove in optimizacije obstoječih malih hidroelektrarn</w:t>
      </w:r>
      <w:r w:rsidR="00273C50">
        <w:rPr>
          <w:rFonts w:ascii="Arial" w:hAnsi="Arial" w:cs="Arial"/>
          <w:szCs w:val="22"/>
        </w:rPr>
        <w:t xml:space="preserve"> (MHE)</w:t>
      </w:r>
      <w:r w:rsidRPr="00AF3FEE">
        <w:rPr>
          <w:rFonts w:ascii="Arial" w:hAnsi="Arial" w:cs="Arial"/>
          <w:szCs w:val="22"/>
        </w:rPr>
        <w:t>. Strateška gradnja novih MHE bo temeljila na povezavi z obstoječimi objekti in izbiri okoljsko sprejemljivih lokacij.</w:t>
      </w:r>
    </w:p>
    <w:p w14:paraId="10746540" w14:textId="78AC43BF"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GRADNJA VELIKIH HIDROELEKTRARN</w:t>
      </w:r>
    </w:p>
    <w:p w14:paraId="5C5D070A" w14:textId="72CBCEDA" w:rsidR="00AF3FEE" w:rsidRPr="00AF3FEE" w:rsidRDefault="00AF3FEE" w:rsidP="00AF3FEE">
      <w:pPr>
        <w:jc w:val="both"/>
        <w:rPr>
          <w:rFonts w:ascii="Arial" w:hAnsi="Arial" w:cs="Arial"/>
        </w:rPr>
      </w:pPr>
      <w:r w:rsidRPr="00AF3FEE">
        <w:rPr>
          <w:rFonts w:ascii="Arial" w:hAnsi="Arial" w:cs="Arial"/>
        </w:rPr>
        <w:t xml:space="preserve">V Sloveniji so bile v obdobju </w:t>
      </w:r>
      <w:r w:rsidR="005B5DFC">
        <w:rPr>
          <w:rFonts w:ascii="Arial" w:hAnsi="Arial" w:cs="Arial"/>
        </w:rPr>
        <w:t xml:space="preserve">od leta </w:t>
      </w:r>
      <w:r w:rsidRPr="00AF3FEE">
        <w:rPr>
          <w:rFonts w:ascii="Arial" w:hAnsi="Arial" w:cs="Arial"/>
        </w:rPr>
        <w:t>2006 do</w:t>
      </w:r>
      <w:r w:rsidR="005B5DFC">
        <w:rPr>
          <w:rFonts w:ascii="Arial" w:hAnsi="Arial" w:cs="Arial"/>
        </w:rPr>
        <w:t xml:space="preserve"> leta</w:t>
      </w:r>
      <w:r w:rsidRPr="00AF3FEE">
        <w:rPr>
          <w:rFonts w:ascii="Arial" w:hAnsi="Arial" w:cs="Arial"/>
        </w:rPr>
        <w:t xml:space="preserve"> 2017 zgrajene štiri hidroelektrarne (HE) na spodnji Savi skupne moči 156 MW. </w:t>
      </w:r>
      <w:r w:rsidR="005B5DFC">
        <w:rPr>
          <w:rFonts w:ascii="Arial" w:hAnsi="Arial" w:cs="Arial"/>
        </w:rPr>
        <w:t>Potekajo</w:t>
      </w:r>
      <w:r w:rsidRPr="00AF3FEE">
        <w:rPr>
          <w:rFonts w:ascii="Arial" w:hAnsi="Arial" w:cs="Arial"/>
        </w:rPr>
        <w:t xml:space="preserve"> aktivnosti za gradnjo zadnje elektrarne v tej verigi, HE Mokrice moči 27,5 MW. Sredstva so dodeljena, vendar je treba pred nadaljevanjem </w:t>
      </w:r>
      <w:r w:rsidR="00DC3569">
        <w:rPr>
          <w:rFonts w:ascii="Arial" w:hAnsi="Arial" w:cs="Arial"/>
        </w:rPr>
        <w:t xml:space="preserve">znova </w:t>
      </w:r>
      <w:r w:rsidRPr="00AF3FEE">
        <w:rPr>
          <w:rFonts w:ascii="Arial" w:hAnsi="Arial" w:cs="Arial"/>
        </w:rPr>
        <w:t>ovrednotiti okoljsko presojo.</w:t>
      </w:r>
    </w:p>
    <w:p w14:paraId="77E3ECB6" w14:textId="09AAF416" w:rsidR="00AF3FEE" w:rsidRPr="00AF3FEE" w:rsidRDefault="00AF3FEE" w:rsidP="00AF3FEE">
      <w:pPr>
        <w:jc w:val="both"/>
        <w:rPr>
          <w:rFonts w:ascii="Arial" w:hAnsi="Arial" w:cs="Arial"/>
        </w:rPr>
      </w:pPr>
      <w:r w:rsidRPr="00AF3FEE">
        <w:rPr>
          <w:rFonts w:ascii="Arial" w:hAnsi="Arial" w:cs="Arial"/>
        </w:rPr>
        <w:lastRenderedPageBreak/>
        <w:t xml:space="preserve">Slovenija še ima potencial za gradnjo novih HE, vendar je treba vplive na okolje ustrezno obravnavati. NEPN predvideva več aktivnosti za oceno izvedljivosti </w:t>
      </w:r>
      <w:r w:rsidR="007C178E">
        <w:rPr>
          <w:rFonts w:ascii="Arial" w:hAnsi="Arial" w:cs="Arial"/>
        </w:rPr>
        <w:t xml:space="preserve">prihodnje </w:t>
      </w:r>
      <w:r w:rsidRPr="00AF3FEE">
        <w:rPr>
          <w:rFonts w:ascii="Arial" w:hAnsi="Arial" w:cs="Arial"/>
        </w:rPr>
        <w:t xml:space="preserve">gradnje HE. </w:t>
      </w:r>
      <w:r w:rsidR="003D553D">
        <w:rPr>
          <w:rFonts w:ascii="Arial" w:hAnsi="Arial" w:cs="Arial"/>
        </w:rPr>
        <w:t>Pripravlja se d</w:t>
      </w:r>
      <w:r w:rsidR="003D553D" w:rsidRPr="00AF3FEE">
        <w:rPr>
          <w:rFonts w:ascii="Arial" w:hAnsi="Arial" w:cs="Arial"/>
        </w:rPr>
        <w:t>ržavn</w:t>
      </w:r>
      <w:r w:rsidR="003D553D">
        <w:rPr>
          <w:rFonts w:ascii="Arial" w:hAnsi="Arial" w:cs="Arial"/>
        </w:rPr>
        <w:t>i</w:t>
      </w:r>
      <w:r w:rsidR="003D553D" w:rsidRPr="00AF3FEE">
        <w:rPr>
          <w:rFonts w:ascii="Arial" w:hAnsi="Arial" w:cs="Arial"/>
        </w:rPr>
        <w:t xml:space="preserve"> prostorsk</w:t>
      </w:r>
      <w:r w:rsidR="003D553D">
        <w:rPr>
          <w:rFonts w:ascii="Arial" w:hAnsi="Arial" w:cs="Arial"/>
        </w:rPr>
        <w:t>i</w:t>
      </w:r>
      <w:r w:rsidR="003D553D" w:rsidRPr="00AF3FEE">
        <w:rPr>
          <w:rFonts w:ascii="Arial" w:hAnsi="Arial" w:cs="Arial"/>
        </w:rPr>
        <w:t xml:space="preserve"> </w:t>
      </w:r>
      <w:r w:rsidRPr="00AF3FEE">
        <w:rPr>
          <w:rFonts w:ascii="Arial" w:hAnsi="Arial" w:cs="Arial"/>
        </w:rPr>
        <w:t xml:space="preserve">načrt (DPN) za tri hidroelektrarne na srednji Savi: Suhadol, Trbovlje in Renke, skupne moči 96 MW s predvideno povprečno letno proizvodnjo 383 GWh. V </w:t>
      </w:r>
      <w:r w:rsidR="005B5DFC">
        <w:rPr>
          <w:rFonts w:ascii="Arial" w:hAnsi="Arial" w:cs="Arial"/>
        </w:rPr>
        <w:t>veljavni</w:t>
      </w:r>
      <w:r w:rsidR="005B5DFC" w:rsidRPr="00AF3FEE">
        <w:rPr>
          <w:rFonts w:ascii="Arial" w:hAnsi="Arial" w:cs="Arial"/>
        </w:rPr>
        <w:t xml:space="preserve"> </w:t>
      </w:r>
      <w:r w:rsidRPr="00AF3FEE">
        <w:rPr>
          <w:rFonts w:ascii="Arial" w:hAnsi="Arial" w:cs="Arial"/>
        </w:rPr>
        <w:t xml:space="preserve">NEPN za obdobje do leta 2030 ti objekti niso vključeni. Potencial za energetsko rabo voda obstaja tudi na litijskem in ljubljanskem delu srednje Save. </w:t>
      </w:r>
      <w:r w:rsidR="00273C50">
        <w:rPr>
          <w:rFonts w:ascii="Arial" w:hAnsi="Arial" w:cs="Arial"/>
        </w:rPr>
        <w:t>G</w:t>
      </w:r>
      <w:r w:rsidRPr="00AF3FEE">
        <w:rPr>
          <w:rFonts w:ascii="Arial" w:hAnsi="Arial" w:cs="Arial"/>
        </w:rPr>
        <w:t>radnj</w:t>
      </w:r>
      <w:r w:rsidR="005B5DFC">
        <w:rPr>
          <w:rFonts w:ascii="Arial" w:hAnsi="Arial" w:cs="Arial"/>
        </w:rPr>
        <w:t>a</w:t>
      </w:r>
      <w:r w:rsidRPr="00AF3FEE">
        <w:rPr>
          <w:rFonts w:ascii="Arial" w:hAnsi="Arial" w:cs="Arial"/>
        </w:rPr>
        <w:t xml:space="preserve"> hidroelektrarn se bo v prihodnje prednostno usmerjal</w:t>
      </w:r>
      <w:r w:rsidR="005B5DFC">
        <w:rPr>
          <w:rFonts w:ascii="Arial" w:hAnsi="Arial" w:cs="Arial"/>
        </w:rPr>
        <w:t>a</w:t>
      </w:r>
      <w:r w:rsidRPr="00AF3FEE">
        <w:rPr>
          <w:rFonts w:ascii="Arial" w:hAnsi="Arial" w:cs="Arial"/>
        </w:rPr>
        <w:t xml:space="preserve"> </w:t>
      </w:r>
      <w:r w:rsidR="005B5DFC">
        <w:rPr>
          <w:rFonts w:ascii="Arial" w:hAnsi="Arial" w:cs="Arial"/>
        </w:rPr>
        <w:t xml:space="preserve">na </w:t>
      </w:r>
      <w:r w:rsidRPr="00AF3FEE">
        <w:rPr>
          <w:rFonts w:ascii="Arial" w:hAnsi="Arial" w:cs="Arial"/>
        </w:rPr>
        <w:t xml:space="preserve">območja, ki niso zaščitena z naravovarstvenim statusom Natura, vendar bo za izvedbo večine projektov </w:t>
      </w:r>
      <w:r w:rsidR="00DC3569">
        <w:rPr>
          <w:rFonts w:ascii="Arial" w:hAnsi="Arial" w:cs="Arial"/>
        </w:rPr>
        <w:t xml:space="preserve">treba </w:t>
      </w:r>
      <w:r w:rsidRPr="00AF3FEE">
        <w:rPr>
          <w:rFonts w:ascii="Arial" w:hAnsi="Arial" w:cs="Arial"/>
        </w:rPr>
        <w:t>izpeljati postopek prevlade javnega interesa varovanja podnebja oz</w:t>
      </w:r>
      <w:r w:rsidR="004F2B0D">
        <w:rPr>
          <w:rFonts w:ascii="Arial" w:hAnsi="Arial" w:cs="Arial"/>
        </w:rPr>
        <w:t>iroma</w:t>
      </w:r>
      <w:r w:rsidRPr="00AF3FEE">
        <w:rPr>
          <w:rFonts w:ascii="Arial" w:hAnsi="Arial" w:cs="Arial"/>
        </w:rPr>
        <w:t xml:space="preserve"> izkoriščanja obnovljivih virov energije nad javnim interesom varovanja narave. Izid teh postopkov je negotov, zato je vprašanje</w:t>
      </w:r>
      <w:r w:rsidR="003D553D">
        <w:rPr>
          <w:rFonts w:ascii="Arial" w:hAnsi="Arial" w:cs="Arial"/>
        </w:rPr>
        <w:t>,</w:t>
      </w:r>
      <w:r w:rsidRPr="00AF3FEE">
        <w:rPr>
          <w:rFonts w:ascii="Arial" w:hAnsi="Arial" w:cs="Arial"/>
        </w:rPr>
        <w:t xml:space="preserve"> v </w:t>
      </w:r>
      <w:r w:rsidR="005B5DFC" w:rsidRPr="00AF3FEE">
        <w:rPr>
          <w:rFonts w:ascii="Arial" w:hAnsi="Arial" w:cs="Arial"/>
        </w:rPr>
        <w:t>k</w:t>
      </w:r>
      <w:r w:rsidR="005B5DFC">
        <w:rPr>
          <w:rFonts w:ascii="Arial" w:hAnsi="Arial" w:cs="Arial"/>
        </w:rPr>
        <w:t>oli</w:t>
      </w:r>
      <w:r w:rsidR="005B5DFC" w:rsidRPr="00AF3FEE">
        <w:rPr>
          <w:rFonts w:ascii="Arial" w:hAnsi="Arial" w:cs="Arial"/>
        </w:rPr>
        <w:t xml:space="preserve">kšni </w:t>
      </w:r>
      <w:r w:rsidRPr="00AF3FEE">
        <w:rPr>
          <w:rFonts w:ascii="Arial" w:hAnsi="Arial" w:cs="Arial"/>
        </w:rPr>
        <w:t xml:space="preserve">meri bodo ti projekti izvedeni.  </w:t>
      </w:r>
    </w:p>
    <w:p w14:paraId="7DFCF966" w14:textId="77777777" w:rsidR="00AF3FEE" w:rsidRPr="00AF3FEE" w:rsidRDefault="00AF3FEE" w:rsidP="00AF3FEE">
      <w:pPr>
        <w:pStyle w:val="Heading41"/>
        <w:tabs>
          <w:tab w:val="left" w:pos="680"/>
        </w:tabs>
        <w:spacing w:before="360"/>
        <w:ind w:left="680" w:hanging="680"/>
        <w:jc w:val="both"/>
        <w:rPr>
          <w:rFonts w:cs="Arial"/>
          <w:szCs w:val="22"/>
        </w:rPr>
      </w:pPr>
      <w:r w:rsidRPr="00AF3FEE">
        <w:rPr>
          <w:rFonts w:cs="Arial"/>
          <w:szCs w:val="22"/>
        </w:rPr>
        <w:t>PODPORA RAZVOJU LOKALNIH ENERGETSKIH SKUPNOSTI IN SKUPNOSTI OVE</w:t>
      </w:r>
    </w:p>
    <w:p w14:paraId="6CF8C4D9" w14:textId="278AF6C3" w:rsidR="00AF3FEE" w:rsidRPr="00AF3FEE" w:rsidRDefault="00AF3FEE" w:rsidP="00AF3FEE">
      <w:pPr>
        <w:pStyle w:val="Naslov-VplivUkrepa-Sektorji"/>
        <w:jc w:val="both"/>
        <w:rPr>
          <w:rFonts w:ascii="Arial" w:hAnsi="Arial" w:cs="Arial"/>
          <w:szCs w:val="22"/>
        </w:rPr>
      </w:pPr>
      <w:r w:rsidRPr="00AF3FEE">
        <w:rPr>
          <w:rFonts w:ascii="Arial" w:eastAsia="Palatino Linotype" w:hAnsi="Arial" w:cs="Arial"/>
          <w:szCs w:val="22"/>
        </w:rPr>
        <w:t xml:space="preserve">Sektorji, na katere </w:t>
      </w:r>
      <w:r w:rsidR="003F3D00">
        <w:rPr>
          <w:rFonts w:ascii="Arial" w:eastAsia="Palatino Linotype" w:hAnsi="Arial" w:cs="Arial"/>
          <w:szCs w:val="22"/>
        </w:rPr>
        <w:t>v</w:t>
      </w:r>
      <w:r w:rsidR="005B5DFC" w:rsidRPr="00AF3FEE">
        <w:rPr>
          <w:rFonts w:ascii="Arial" w:eastAsia="Palatino Linotype" w:hAnsi="Arial" w:cs="Arial"/>
          <w:szCs w:val="22"/>
        </w:rPr>
        <w:t>pliva</w:t>
      </w:r>
      <w:r w:rsidR="003F3D00">
        <w:rPr>
          <w:rFonts w:ascii="Arial" w:eastAsia="Palatino Linotype" w:hAnsi="Arial" w:cs="Arial"/>
          <w:szCs w:val="22"/>
        </w:rPr>
        <w:t xml:space="preserve"> </w:t>
      </w:r>
      <w:r w:rsidRPr="00AF3FEE">
        <w:rPr>
          <w:rFonts w:ascii="Arial" w:eastAsia="Palatino Linotype" w:hAnsi="Arial" w:cs="Arial"/>
          <w:szCs w:val="22"/>
        </w:rPr>
        <w:t>izvajanje ukrepa</w:t>
      </w:r>
      <w:r w:rsidRPr="00A57F7D">
        <w:rPr>
          <w:rFonts w:ascii="Arial" w:eastAsia="Palatino Linotype" w:hAnsi="Arial" w:cs="Arial"/>
          <w:b w:val="0"/>
          <w:szCs w:val="22"/>
        </w:rPr>
        <w:t xml:space="preserve">: </w:t>
      </w:r>
      <w:r w:rsidRPr="0038553C">
        <w:rPr>
          <w:rFonts w:ascii="Arial" w:eastAsia="Palatino Linotype" w:hAnsi="Arial" w:cs="Arial"/>
          <w:b w:val="0"/>
          <w:iCs/>
          <w:szCs w:val="22"/>
        </w:rPr>
        <w:t>proizvodnja električne energije in toplote</w:t>
      </w:r>
      <w:r w:rsidR="003D553D">
        <w:rPr>
          <w:rFonts w:ascii="Arial" w:eastAsia="Palatino Linotype" w:hAnsi="Arial" w:cs="Arial"/>
          <w:b w:val="0"/>
          <w:iCs/>
          <w:szCs w:val="22"/>
        </w:rPr>
        <w:t>.</w:t>
      </w:r>
      <w:r w:rsidRPr="00AF3FEE">
        <w:rPr>
          <w:rFonts w:ascii="Arial" w:hAnsi="Arial" w:cs="Arial"/>
          <w:szCs w:val="22"/>
        </w:rPr>
        <w:t xml:space="preserve"> </w:t>
      </w:r>
    </w:p>
    <w:p w14:paraId="1EA4B058" w14:textId="5FEC15E7" w:rsidR="00AF3FEE" w:rsidRPr="00AF3FEE" w:rsidRDefault="00AF3FEE" w:rsidP="00AF3FEE">
      <w:pPr>
        <w:pStyle w:val="BodyText"/>
        <w:rPr>
          <w:rFonts w:ascii="Arial" w:hAnsi="Arial" w:cs="Arial"/>
          <w:szCs w:val="22"/>
        </w:rPr>
      </w:pPr>
      <w:r w:rsidRPr="00AF3FEE">
        <w:rPr>
          <w:rFonts w:ascii="Arial" w:hAnsi="Arial" w:cs="Arial"/>
          <w:szCs w:val="22"/>
        </w:rPr>
        <w:t xml:space="preserve">V NEPN so energetske skupnosti prepoznane kot instrument za doseganje ciljev pravičnega prehoda v podnebno nevtralno družbo. Spodbujanje lokalne proizvodnje in skupnostnih projektov OVE je ključno za decentralizacijo energetskega sistema ter povečanje samooskrbe in energetske neodvisnosti. NEPN predvideva vzpostavitev spodbujevalnega zakonodajnega okvira za hitrejši razvoj skupnosti na področju rabe energije iz obnovljivih virov (skupne elektrarne), kar se je v </w:t>
      </w:r>
      <w:r w:rsidR="00102242" w:rsidRPr="00AF3FEE">
        <w:rPr>
          <w:rFonts w:ascii="Arial" w:hAnsi="Arial" w:cs="Arial"/>
          <w:szCs w:val="22"/>
        </w:rPr>
        <w:t>let</w:t>
      </w:r>
      <w:r w:rsidR="00102242">
        <w:rPr>
          <w:rFonts w:ascii="Arial" w:hAnsi="Arial" w:cs="Arial"/>
          <w:szCs w:val="22"/>
        </w:rPr>
        <w:t>ih</w:t>
      </w:r>
      <w:r w:rsidR="00102242" w:rsidRPr="00AF3FEE">
        <w:rPr>
          <w:rFonts w:ascii="Arial" w:hAnsi="Arial" w:cs="Arial"/>
          <w:szCs w:val="22"/>
        </w:rPr>
        <w:t xml:space="preserve"> </w:t>
      </w:r>
      <w:r w:rsidRPr="00AF3FEE">
        <w:rPr>
          <w:rFonts w:ascii="Arial" w:hAnsi="Arial" w:cs="Arial"/>
          <w:szCs w:val="22"/>
        </w:rPr>
        <w:t>2021 in 2022 tudi zgodilo (Zakon o spodbujanju rabe obnovljivih virov energije (ZSROVE)</w:t>
      </w:r>
      <w:r w:rsidR="00102242">
        <w:rPr>
          <w:rFonts w:ascii="Arial" w:hAnsi="Arial" w:cs="Arial"/>
          <w:szCs w:val="22"/>
        </w:rPr>
        <w:t>,</w:t>
      </w:r>
      <w:r w:rsidRPr="00AF3FEE">
        <w:rPr>
          <w:rStyle w:val="FootnoteReference"/>
          <w:rFonts w:ascii="Arial" w:hAnsi="Arial" w:cs="Arial"/>
          <w:szCs w:val="22"/>
        </w:rPr>
        <w:footnoteReference w:id="58"/>
      </w:r>
      <w:r w:rsidRPr="00AF3FEE">
        <w:rPr>
          <w:rFonts w:ascii="Arial" w:hAnsi="Arial" w:cs="Arial"/>
          <w:szCs w:val="22"/>
        </w:rPr>
        <w:t xml:space="preserve"> Zakon o oskrbi z električno energijo (ZOEE)</w:t>
      </w:r>
      <w:r w:rsidR="00102242">
        <w:rPr>
          <w:rFonts w:ascii="Arial" w:hAnsi="Arial" w:cs="Arial"/>
          <w:szCs w:val="22"/>
        </w:rPr>
        <w:t>,</w:t>
      </w:r>
      <w:r w:rsidRPr="00AF3FEE">
        <w:rPr>
          <w:rStyle w:val="FootnoteReference"/>
          <w:rFonts w:ascii="Arial" w:hAnsi="Arial" w:cs="Arial"/>
          <w:szCs w:val="22"/>
        </w:rPr>
        <w:footnoteReference w:id="59"/>
      </w:r>
      <w:r w:rsidRPr="00AF3FEE">
        <w:rPr>
          <w:rFonts w:ascii="Arial" w:hAnsi="Arial" w:cs="Arial"/>
          <w:szCs w:val="22"/>
        </w:rPr>
        <w:t xml:space="preserve"> nova Uredba o samooskrbi</w:t>
      </w:r>
      <w:r w:rsidR="00102242">
        <w:rPr>
          <w:rFonts w:ascii="Arial" w:hAnsi="Arial" w:cs="Arial"/>
          <w:szCs w:val="22"/>
        </w:rPr>
        <w:t>.</w:t>
      </w:r>
      <w:r w:rsidRPr="00AF3FEE">
        <w:rPr>
          <w:rStyle w:val="FootnoteReference"/>
          <w:rFonts w:ascii="Arial" w:hAnsi="Arial" w:cs="Arial"/>
          <w:szCs w:val="22"/>
        </w:rPr>
        <w:footnoteReference w:id="60"/>
      </w:r>
      <w:r w:rsidRPr="00AF3FEE">
        <w:rPr>
          <w:rFonts w:ascii="Arial" w:hAnsi="Arial" w:cs="Arial"/>
          <w:szCs w:val="22"/>
        </w:rPr>
        <w:t xml:space="preserve"> Predvidena je vzpostavitev sheme za spodbujanje razvoja lokalnih energetskih skupnosti, vključno s tehnično in kadrovsko podporo za izvedbo projektov na lokalni ravni in finančn</w:t>
      </w:r>
      <w:r w:rsidR="000E3F72">
        <w:rPr>
          <w:rFonts w:ascii="Arial" w:hAnsi="Arial" w:cs="Arial"/>
          <w:szCs w:val="22"/>
        </w:rPr>
        <w:t>imi</w:t>
      </w:r>
      <w:r w:rsidRPr="00AF3FEE">
        <w:rPr>
          <w:rFonts w:ascii="Arial" w:hAnsi="Arial" w:cs="Arial"/>
          <w:szCs w:val="22"/>
        </w:rPr>
        <w:t xml:space="preserve"> spodbud</w:t>
      </w:r>
      <w:r w:rsidR="000E3F72">
        <w:rPr>
          <w:rFonts w:ascii="Arial" w:hAnsi="Arial" w:cs="Arial"/>
          <w:szCs w:val="22"/>
        </w:rPr>
        <w:t>ami</w:t>
      </w:r>
      <w:r w:rsidRPr="00AF3FEE">
        <w:rPr>
          <w:rFonts w:ascii="Arial" w:hAnsi="Arial" w:cs="Arial"/>
          <w:szCs w:val="22"/>
        </w:rPr>
        <w:t xml:space="preserve"> za demonstracijske projekte. Podrobnosti ukrepov za spodbujanje rabe električne energije</w:t>
      </w:r>
      <w:r w:rsidR="00102242">
        <w:rPr>
          <w:rFonts w:ascii="Arial" w:hAnsi="Arial" w:cs="Arial"/>
          <w:szCs w:val="22"/>
        </w:rPr>
        <w:t>,</w:t>
      </w:r>
      <w:r w:rsidRPr="00AF3FEE">
        <w:rPr>
          <w:rFonts w:ascii="Arial" w:hAnsi="Arial" w:cs="Arial"/>
          <w:szCs w:val="22"/>
        </w:rPr>
        <w:t xml:space="preserve"> pridobljene iz OVE z napravo za samooskrbo, podrobnejši pogoji za posamezne vrste samooskrbe, način obračuna električne energije in dajatev za odjemalce, podrobnejši pogoji za dodelitev naložbene pomoči, pogoji za priključitev naprave za samooskrbo, vsebina in poročanje ter spremljanje izvajanja ukrepa podpor so opredeljeni v Uredbi o samooskrbi.</w:t>
      </w:r>
    </w:p>
    <w:p w14:paraId="2F0DEF05" w14:textId="4FC706F0" w:rsidR="00AF3FEE" w:rsidRPr="00AF3FEE" w:rsidRDefault="00AF3FEE" w:rsidP="00AF3FEE">
      <w:pPr>
        <w:jc w:val="both"/>
        <w:rPr>
          <w:rFonts w:ascii="Arial" w:hAnsi="Arial" w:cs="Arial"/>
        </w:rPr>
      </w:pPr>
      <w:r w:rsidRPr="00AF3FEE">
        <w:rPr>
          <w:rFonts w:ascii="Arial" w:hAnsi="Arial" w:cs="Arial"/>
        </w:rPr>
        <w:t xml:space="preserve">Lokalne energetske skupnosti lahko pomagajo uresničevati interese svojih članov in prispevajo k izpolnjevanju nacionalnih okoljskih in energetskih ciljev kot </w:t>
      </w:r>
      <w:r w:rsidR="00102242">
        <w:rPr>
          <w:rFonts w:ascii="Arial" w:hAnsi="Arial" w:cs="Arial"/>
        </w:rPr>
        <w:t>gibalo</w:t>
      </w:r>
      <w:r w:rsidR="00102242" w:rsidRPr="00AF3FEE">
        <w:rPr>
          <w:rFonts w:ascii="Arial" w:hAnsi="Arial" w:cs="Arial"/>
        </w:rPr>
        <w:t xml:space="preserve"> </w:t>
      </w:r>
      <w:r w:rsidRPr="00AF3FEE">
        <w:rPr>
          <w:rFonts w:ascii="Arial" w:hAnsi="Arial" w:cs="Arial"/>
        </w:rPr>
        <w:t xml:space="preserve">trajnostnega razvoja »od spodaj navzgor« (angl.: Bottom-Up). Proizvodnja energije na lokalni ravni je bistvenega pomena za spodbujanje proizvodnje energije iz OVE, širjenje demokracije na področju energije in zmanjšanje energetske revščine. Evropska okoljska in energetska zakonodaja je postavila temelje za formalizirane oblike energetskih skupnosti, ki jih </w:t>
      </w:r>
      <w:r w:rsidR="000E3F72">
        <w:rPr>
          <w:rFonts w:ascii="Arial" w:hAnsi="Arial" w:cs="Arial"/>
        </w:rPr>
        <w:t xml:space="preserve">je </w:t>
      </w:r>
      <w:r w:rsidRPr="00AF3FEE">
        <w:rPr>
          <w:rFonts w:ascii="Arial" w:hAnsi="Arial" w:cs="Arial"/>
        </w:rPr>
        <w:t xml:space="preserve">v </w:t>
      </w:r>
      <w:r w:rsidR="00102242" w:rsidRPr="00AF3FEE">
        <w:rPr>
          <w:rFonts w:ascii="Arial" w:hAnsi="Arial" w:cs="Arial"/>
        </w:rPr>
        <w:t>let</w:t>
      </w:r>
      <w:r w:rsidR="00102242">
        <w:rPr>
          <w:rFonts w:ascii="Arial" w:hAnsi="Arial" w:cs="Arial"/>
        </w:rPr>
        <w:t>ih</w:t>
      </w:r>
      <w:r w:rsidR="00102242" w:rsidRPr="00AF3FEE">
        <w:rPr>
          <w:rFonts w:ascii="Arial" w:hAnsi="Arial" w:cs="Arial"/>
        </w:rPr>
        <w:t xml:space="preserve"> </w:t>
      </w:r>
      <w:r w:rsidRPr="00AF3FEE">
        <w:rPr>
          <w:rFonts w:ascii="Arial" w:hAnsi="Arial" w:cs="Arial"/>
        </w:rPr>
        <w:t>2021 in 2022 z novo zakonodajo uveljavila tudi Slovenija. Sprejeta je bila politična odločitev o povečanju finančne podpore za velike komunalne elektrarne na OVE, predvsem sončne naprave.</w:t>
      </w:r>
    </w:p>
    <w:p w14:paraId="44975E7E" w14:textId="21620D6A" w:rsidR="00AF3FEE" w:rsidRPr="00AF3FEE" w:rsidRDefault="00AF3FEE" w:rsidP="00AF3FEE">
      <w:pPr>
        <w:jc w:val="both"/>
        <w:rPr>
          <w:rFonts w:ascii="Arial" w:hAnsi="Arial" w:cs="Arial"/>
        </w:rPr>
      </w:pPr>
      <w:r w:rsidRPr="00AF3FEE">
        <w:rPr>
          <w:rFonts w:ascii="Arial" w:hAnsi="Arial" w:cs="Arial"/>
        </w:rPr>
        <w:t>Podpora lokalnim energetskim skupnostim je zagotovljena</w:t>
      </w:r>
      <w:r w:rsidR="00A70EE9">
        <w:rPr>
          <w:rFonts w:ascii="Arial" w:hAnsi="Arial" w:cs="Arial"/>
        </w:rPr>
        <w:t xml:space="preserve"> </w:t>
      </w:r>
      <w:r w:rsidR="00A70EE9" w:rsidRPr="1476A3A5">
        <w:rPr>
          <w:rFonts w:ascii="Arial" w:eastAsia="Arial" w:hAnsi="Arial" w:cs="Arial"/>
        </w:rPr>
        <w:t>tudi s sredstvi evropske kohezijske politike iz Evropskega sklada za regionalni razvoj in Kohezijskega sklada, načrtovanimi v okviru Programa evropske kohezijske politike v obdobju 2021–2027 v Sloveni</w:t>
      </w:r>
      <w:r w:rsidR="00B613AD">
        <w:rPr>
          <w:rFonts w:ascii="Arial" w:eastAsia="Arial" w:hAnsi="Arial" w:cs="Arial"/>
        </w:rPr>
        <w:t>ji</w:t>
      </w:r>
      <w:r w:rsidR="00E34DC0">
        <w:rPr>
          <w:rFonts w:ascii="Arial" w:eastAsia="Arial" w:hAnsi="Arial" w:cs="Arial"/>
        </w:rPr>
        <w:t>.</w:t>
      </w:r>
      <w:r w:rsidR="00B613AD" w:rsidRPr="00B613AD">
        <w:rPr>
          <w:rStyle w:val="Hyperlink"/>
          <w:rFonts w:ascii="Arial" w:eastAsia="Arial" w:hAnsi="Arial" w:cs="Arial"/>
          <w:color w:val="auto"/>
          <w:u w:val="none"/>
          <w:vertAlign w:val="superscript"/>
        </w:rPr>
        <w:footnoteReference w:id="61"/>
      </w:r>
      <w:r w:rsidRPr="00B613AD">
        <w:rPr>
          <w:rFonts w:ascii="Arial" w:hAnsi="Arial" w:cs="Arial"/>
        </w:rPr>
        <w:t xml:space="preserve"> </w:t>
      </w:r>
    </w:p>
    <w:p w14:paraId="7E10F324" w14:textId="0C55D5AC" w:rsidR="00AF3FEE" w:rsidRPr="00AF3FEE" w:rsidRDefault="00AF3FEE" w:rsidP="00AF3FEE">
      <w:pPr>
        <w:jc w:val="both"/>
        <w:rPr>
          <w:rFonts w:ascii="Arial" w:hAnsi="Arial" w:cs="Arial"/>
        </w:rPr>
      </w:pPr>
      <w:r w:rsidRPr="00AF3FEE">
        <w:rPr>
          <w:rFonts w:ascii="Arial" w:hAnsi="Arial" w:cs="Arial"/>
        </w:rPr>
        <w:t>Ustanavljanje in širitev skupnosti obnovljivih virov energije (</w:t>
      </w:r>
      <w:r w:rsidR="000E3F72">
        <w:rPr>
          <w:rFonts w:ascii="Arial" w:hAnsi="Arial" w:cs="Arial"/>
        </w:rPr>
        <w:t>s</w:t>
      </w:r>
      <w:r w:rsidRPr="00AF3FEE">
        <w:rPr>
          <w:rFonts w:ascii="Arial" w:hAnsi="Arial" w:cs="Arial"/>
        </w:rPr>
        <w:t>kupnosti OVE) se bo</w:t>
      </w:r>
      <w:r w:rsidR="00E34DC0">
        <w:rPr>
          <w:rFonts w:ascii="Arial" w:hAnsi="Arial" w:cs="Arial"/>
        </w:rPr>
        <w:t>sta</w:t>
      </w:r>
      <w:r w:rsidRPr="00AF3FEE">
        <w:rPr>
          <w:rFonts w:ascii="Arial" w:hAnsi="Arial" w:cs="Arial"/>
        </w:rPr>
        <w:t xml:space="preserve"> podprl</w:t>
      </w:r>
      <w:r w:rsidR="000E3F72">
        <w:rPr>
          <w:rFonts w:ascii="Arial" w:hAnsi="Arial" w:cs="Arial"/>
        </w:rPr>
        <w:t>a</w:t>
      </w:r>
      <w:r w:rsidRPr="00AF3FEE">
        <w:rPr>
          <w:rFonts w:ascii="Arial" w:hAnsi="Arial" w:cs="Arial"/>
        </w:rPr>
        <w:t xml:space="preserve"> z identificiranjem in odpravljanjem zakonodajnih ovir, poenostavljanjem upravnih postopkov z </w:t>
      </w:r>
      <w:r w:rsidRPr="00AF3FEE">
        <w:rPr>
          <w:rFonts w:ascii="Arial" w:hAnsi="Arial" w:cs="Arial"/>
        </w:rPr>
        <w:lastRenderedPageBreak/>
        <w:t>modelom vse na enem mestu, z zagotavljanjem instrumentov finančne podpore, s podporo razvoju velikih skupnih projektov, predvsem na lokacijah, kjer se vsa električna energija porabi na lokaciji</w:t>
      </w:r>
      <w:r w:rsidR="000E3F72">
        <w:rPr>
          <w:rFonts w:ascii="Arial" w:hAnsi="Arial" w:cs="Arial"/>
        </w:rPr>
        <w:t>,</w:t>
      </w:r>
      <w:r w:rsidRPr="00AF3FEE">
        <w:rPr>
          <w:rFonts w:ascii="Arial" w:hAnsi="Arial" w:cs="Arial"/>
        </w:rPr>
        <w:t xml:space="preserve"> </w:t>
      </w:r>
      <w:r w:rsidR="000E3F72">
        <w:rPr>
          <w:rFonts w:ascii="Arial" w:hAnsi="Arial" w:cs="Arial"/>
        </w:rPr>
        <w:t>ter</w:t>
      </w:r>
      <w:r w:rsidR="000E3F72" w:rsidRPr="00AF3FEE">
        <w:rPr>
          <w:rFonts w:ascii="Arial" w:hAnsi="Arial" w:cs="Arial"/>
        </w:rPr>
        <w:t xml:space="preserve"> </w:t>
      </w:r>
      <w:r w:rsidRPr="00AF3FEE">
        <w:rPr>
          <w:rFonts w:ascii="Arial" w:hAnsi="Arial" w:cs="Arial"/>
        </w:rPr>
        <w:t>z ozaveščanjem in ponujanjem programov usposabljanja za spodbujanje sodelovanja javnosti v skupnostih OVE.</w:t>
      </w:r>
    </w:p>
    <w:p w14:paraId="6B4CB771" w14:textId="26D27784" w:rsidR="00AF3FEE" w:rsidRPr="00AF3FEE" w:rsidRDefault="00AF3FEE" w:rsidP="00AF3FEE">
      <w:pPr>
        <w:pStyle w:val="BodyText"/>
        <w:rPr>
          <w:rFonts w:ascii="Arial" w:hAnsi="Arial" w:cs="Arial"/>
          <w:szCs w:val="22"/>
        </w:rPr>
      </w:pPr>
      <w:r w:rsidRPr="00AF3FEE">
        <w:rPr>
          <w:rFonts w:ascii="Arial" w:hAnsi="Arial" w:cs="Arial"/>
          <w:szCs w:val="22"/>
        </w:rPr>
        <w:t xml:space="preserve">Do konca leta 2024 je Slovenija </w:t>
      </w:r>
      <w:r w:rsidR="000E3F72">
        <w:rPr>
          <w:rFonts w:ascii="Arial" w:hAnsi="Arial" w:cs="Arial"/>
          <w:szCs w:val="22"/>
        </w:rPr>
        <w:t xml:space="preserve">imela </w:t>
      </w:r>
      <w:r w:rsidRPr="00AF3FEE">
        <w:rPr>
          <w:rFonts w:ascii="Arial" w:hAnsi="Arial" w:cs="Arial"/>
          <w:szCs w:val="22"/>
        </w:rPr>
        <w:t xml:space="preserve">strmo rast instalirane moči sončnih elektrarn, predvsem zaradi zelo ugodnega sistema letnih neto meritev proizvodnje in rabe električne energije. Od 1. </w:t>
      </w:r>
      <w:r w:rsidR="00E34DC0">
        <w:rPr>
          <w:rFonts w:ascii="Arial" w:hAnsi="Arial" w:cs="Arial"/>
          <w:szCs w:val="22"/>
        </w:rPr>
        <w:t>januarja</w:t>
      </w:r>
      <w:r w:rsidRPr="00AF3FEE">
        <w:rPr>
          <w:rFonts w:ascii="Arial" w:hAnsi="Arial" w:cs="Arial"/>
          <w:szCs w:val="22"/>
        </w:rPr>
        <w:t xml:space="preserve"> 2024 vstop v shemo letnih neto meritev ni več mogoč. Glede na število vlog za priključitev samooskrbnih elektrarn (v letu 2022 29.820 vlog, v letu 2023 47.990 vlog in v letu 2024 le 3981 vlog)</w:t>
      </w:r>
      <w:r w:rsidRPr="00AF3FEE">
        <w:rPr>
          <w:rStyle w:val="FootnoteReference"/>
          <w:rFonts w:ascii="Arial" w:hAnsi="Arial" w:cs="Arial"/>
          <w:szCs w:val="22"/>
        </w:rPr>
        <w:footnoteReference w:id="62"/>
      </w:r>
      <w:r w:rsidRPr="00AF3FEE">
        <w:rPr>
          <w:rFonts w:ascii="Arial" w:hAnsi="Arial" w:cs="Arial"/>
          <w:szCs w:val="22"/>
        </w:rPr>
        <w:t xml:space="preserve"> je brez novih spodbud pričakovati zmanjšanje nadaljnje rasti. Nadaljnjo rast instalirane moči sončnih elektrarn bi bilo mogoče spodbuditi tudi s podporo lokalnim energetskim skupnostim in skupnostim OVE, za kar so v prenovljenem NEPN predvideni naslednji ukrepi:</w:t>
      </w:r>
      <w:r w:rsidRPr="00AF3FEE">
        <w:rPr>
          <w:rStyle w:val="eop"/>
          <w:rFonts w:ascii="Arial" w:hAnsi="Arial" w:cs="Arial"/>
          <w:szCs w:val="22"/>
        </w:rPr>
        <w:t> </w:t>
      </w:r>
    </w:p>
    <w:p w14:paraId="7926648E" w14:textId="5EB5A599" w:rsidR="00AF3FEE" w:rsidRPr="00AF3FEE" w:rsidRDefault="00E34DC0" w:rsidP="0038553C">
      <w:pPr>
        <w:pStyle w:val="ListParagraph"/>
        <w:numPr>
          <w:ilvl w:val="0"/>
          <w:numId w:val="15"/>
        </w:numPr>
        <w:jc w:val="both"/>
        <w:rPr>
          <w:rFonts w:ascii="Arial" w:hAnsi="Arial" w:cs="Arial"/>
        </w:rPr>
      </w:pPr>
      <w:r>
        <w:rPr>
          <w:rFonts w:ascii="Arial" w:hAnsi="Arial" w:cs="Arial"/>
        </w:rPr>
        <w:t>vključitev</w:t>
      </w:r>
      <w:r w:rsidRPr="00AF3FEE">
        <w:rPr>
          <w:rFonts w:ascii="Arial" w:hAnsi="Arial" w:cs="Arial"/>
        </w:rPr>
        <w:t xml:space="preserve"> </w:t>
      </w:r>
      <w:r w:rsidR="00AF3FEE" w:rsidRPr="00AF3FEE">
        <w:rPr>
          <w:rFonts w:ascii="Arial" w:hAnsi="Arial" w:cs="Arial"/>
        </w:rPr>
        <w:t xml:space="preserve">energetskih skupnosti v lokalne energetske koncepte (LEK): </w:t>
      </w:r>
      <w:r>
        <w:rPr>
          <w:rFonts w:ascii="Arial" w:hAnsi="Arial" w:cs="Arial"/>
        </w:rPr>
        <w:t>v</w:t>
      </w:r>
      <w:r w:rsidR="00AF3FEE" w:rsidRPr="00AF3FEE">
        <w:rPr>
          <w:rFonts w:ascii="Arial" w:hAnsi="Arial" w:cs="Arial"/>
        </w:rPr>
        <w:t xml:space="preserve">zpostavljena bo pravna in </w:t>
      </w:r>
      <w:r>
        <w:rPr>
          <w:rFonts w:ascii="Arial" w:hAnsi="Arial" w:cs="Arial"/>
        </w:rPr>
        <w:t>zakon</w:t>
      </w:r>
      <w:r w:rsidR="00482642">
        <w:rPr>
          <w:rFonts w:ascii="Arial" w:hAnsi="Arial" w:cs="Arial"/>
        </w:rPr>
        <w:t>odajna</w:t>
      </w:r>
      <w:r w:rsidRPr="00AF3FEE">
        <w:rPr>
          <w:rFonts w:ascii="Arial" w:hAnsi="Arial" w:cs="Arial"/>
        </w:rPr>
        <w:t xml:space="preserve"> </w:t>
      </w:r>
      <w:r w:rsidR="00AF3FEE" w:rsidRPr="00AF3FEE">
        <w:rPr>
          <w:rFonts w:ascii="Arial" w:hAnsi="Arial" w:cs="Arial"/>
        </w:rPr>
        <w:t>podlaga za večjo vključenost lokalnih skupnosti pri odločanju in izvajanju energetskih projektov;</w:t>
      </w:r>
    </w:p>
    <w:p w14:paraId="50EC9B30" w14:textId="7C98F9D4" w:rsidR="00AF3FEE" w:rsidRPr="00AF3FEE" w:rsidRDefault="00E34DC0" w:rsidP="0038553C">
      <w:pPr>
        <w:pStyle w:val="ListParagraph"/>
        <w:numPr>
          <w:ilvl w:val="0"/>
          <w:numId w:val="15"/>
        </w:numPr>
        <w:jc w:val="both"/>
        <w:rPr>
          <w:rFonts w:ascii="Arial" w:hAnsi="Arial" w:cs="Arial"/>
        </w:rPr>
      </w:pPr>
      <w:r>
        <w:rPr>
          <w:rFonts w:ascii="Arial" w:hAnsi="Arial" w:cs="Arial"/>
        </w:rPr>
        <w:t>f</w:t>
      </w:r>
      <w:r w:rsidR="00AF3FEE" w:rsidRPr="00AF3FEE">
        <w:rPr>
          <w:rFonts w:ascii="Arial" w:hAnsi="Arial" w:cs="Arial"/>
        </w:rPr>
        <w:t xml:space="preserve">inančne spodbude za skupnostne projekte: </w:t>
      </w:r>
      <w:r>
        <w:rPr>
          <w:rFonts w:ascii="Arial" w:hAnsi="Arial" w:cs="Arial"/>
        </w:rPr>
        <w:t>p</w:t>
      </w:r>
      <w:r w:rsidR="00AF3FEE" w:rsidRPr="00AF3FEE">
        <w:rPr>
          <w:rFonts w:ascii="Arial" w:hAnsi="Arial" w:cs="Arial"/>
        </w:rPr>
        <w:t>redviden</w:t>
      </w:r>
      <w:r>
        <w:rPr>
          <w:rFonts w:ascii="Arial" w:hAnsi="Arial" w:cs="Arial"/>
        </w:rPr>
        <w:t>i</w:t>
      </w:r>
      <w:r w:rsidR="00AF3FEE" w:rsidRPr="00AF3FEE">
        <w:rPr>
          <w:rFonts w:ascii="Arial" w:hAnsi="Arial" w:cs="Arial"/>
        </w:rPr>
        <w:t xml:space="preserve"> so nepovratna sredstva in ugodni posojilni mehanizmi za razvoj večjih skupnostnih OVE elektrarn na ustreznih lokacijah;</w:t>
      </w:r>
    </w:p>
    <w:p w14:paraId="200A672B" w14:textId="28008544" w:rsidR="00AF3FEE" w:rsidRPr="00AF3FEE" w:rsidRDefault="00E34DC0" w:rsidP="0038553C">
      <w:pPr>
        <w:pStyle w:val="ListParagraph"/>
        <w:numPr>
          <w:ilvl w:val="0"/>
          <w:numId w:val="15"/>
        </w:numPr>
        <w:jc w:val="both"/>
        <w:rPr>
          <w:rFonts w:ascii="Arial" w:hAnsi="Arial" w:cs="Arial"/>
        </w:rPr>
      </w:pPr>
      <w:r>
        <w:rPr>
          <w:rFonts w:ascii="Arial" w:hAnsi="Arial" w:cs="Arial"/>
        </w:rPr>
        <w:t>i</w:t>
      </w:r>
      <w:r w:rsidR="00AF3FEE" w:rsidRPr="00AF3FEE">
        <w:rPr>
          <w:rFonts w:ascii="Arial" w:hAnsi="Arial" w:cs="Arial"/>
        </w:rPr>
        <w:t xml:space="preserve">zobraževanje in ozaveščanje: </w:t>
      </w:r>
      <w:r>
        <w:rPr>
          <w:rFonts w:ascii="Arial" w:hAnsi="Arial" w:cs="Arial"/>
        </w:rPr>
        <w:t>o</w:t>
      </w:r>
      <w:r w:rsidR="00AF3FEE" w:rsidRPr="00AF3FEE">
        <w:rPr>
          <w:rFonts w:ascii="Arial" w:hAnsi="Arial" w:cs="Arial"/>
        </w:rPr>
        <w:t>rganizacija programov usposabljanja in informiranja za ključne deležnike, vključno z občinami, podjetji in gospodinjstvi, da bi povečali vključenost prebivalstva v energetske skupnosti;</w:t>
      </w:r>
    </w:p>
    <w:p w14:paraId="4A249138" w14:textId="77F0B4CC" w:rsidR="00AF3FEE" w:rsidRPr="00AF3FEE" w:rsidRDefault="00E34DC0" w:rsidP="0038553C">
      <w:pPr>
        <w:pStyle w:val="ListParagraph"/>
        <w:numPr>
          <w:ilvl w:val="0"/>
          <w:numId w:val="15"/>
        </w:numPr>
        <w:jc w:val="both"/>
        <w:rPr>
          <w:rFonts w:ascii="Arial" w:hAnsi="Arial" w:cs="Arial"/>
        </w:rPr>
      </w:pPr>
      <w:r>
        <w:rPr>
          <w:rFonts w:ascii="Arial" w:hAnsi="Arial" w:cs="Arial"/>
        </w:rPr>
        <w:t>p</w:t>
      </w:r>
      <w:r w:rsidR="00AF3FEE" w:rsidRPr="00AF3FEE">
        <w:rPr>
          <w:rFonts w:ascii="Arial" w:hAnsi="Arial" w:cs="Arial"/>
        </w:rPr>
        <w:t xml:space="preserve">romocija inovativnih modelov upravljanja energije: </w:t>
      </w:r>
      <w:r>
        <w:rPr>
          <w:rFonts w:ascii="Arial" w:hAnsi="Arial" w:cs="Arial"/>
        </w:rPr>
        <w:t>r</w:t>
      </w:r>
      <w:r w:rsidR="00AF3FEE" w:rsidRPr="00AF3FEE">
        <w:rPr>
          <w:rFonts w:ascii="Arial" w:hAnsi="Arial" w:cs="Arial"/>
        </w:rPr>
        <w:t xml:space="preserve">azvoj modelov za souporabo energije, </w:t>
      </w:r>
      <w:r>
        <w:rPr>
          <w:rFonts w:ascii="Arial" w:hAnsi="Arial" w:cs="Arial"/>
        </w:rPr>
        <w:t>v katerih</w:t>
      </w:r>
      <w:r w:rsidRPr="00AF3FEE">
        <w:rPr>
          <w:rFonts w:ascii="Arial" w:hAnsi="Arial" w:cs="Arial"/>
        </w:rPr>
        <w:t xml:space="preserve"> </w:t>
      </w:r>
      <w:r w:rsidR="00AF3FEE" w:rsidRPr="00AF3FEE">
        <w:rPr>
          <w:rFonts w:ascii="Arial" w:hAnsi="Arial" w:cs="Arial"/>
        </w:rPr>
        <w:t>lokalni odjemalci in proizvajalci električne energije sodelujejo pri optimizaciji rabe OVE;</w:t>
      </w:r>
    </w:p>
    <w:p w14:paraId="77E3FED0" w14:textId="1A7ADADA" w:rsidR="00AF3FEE" w:rsidRPr="00AF3FEE" w:rsidRDefault="00E34DC0" w:rsidP="0038553C">
      <w:pPr>
        <w:pStyle w:val="ListParagraph"/>
        <w:numPr>
          <w:ilvl w:val="0"/>
          <w:numId w:val="15"/>
        </w:numPr>
        <w:jc w:val="both"/>
        <w:rPr>
          <w:rFonts w:ascii="Arial" w:hAnsi="Arial" w:cs="Arial"/>
        </w:rPr>
      </w:pPr>
      <w:r>
        <w:rPr>
          <w:rFonts w:ascii="Arial" w:hAnsi="Arial" w:cs="Arial"/>
        </w:rPr>
        <w:t>p</w:t>
      </w:r>
      <w:r w:rsidR="00AF3FEE" w:rsidRPr="00AF3FEE">
        <w:rPr>
          <w:rFonts w:ascii="Arial" w:hAnsi="Arial" w:cs="Arial"/>
        </w:rPr>
        <w:t xml:space="preserve">ovezovanje energetskih skupnosti v širše energetske trge: </w:t>
      </w:r>
      <w:r>
        <w:rPr>
          <w:rFonts w:ascii="Arial" w:hAnsi="Arial" w:cs="Arial"/>
        </w:rPr>
        <w:t>o</w:t>
      </w:r>
      <w:r w:rsidR="00AF3FEE" w:rsidRPr="00AF3FEE">
        <w:rPr>
          <w:rFonts w:ascii="Arial" w:hAnsi="Arial" w:cs="Arial"/>
        </w:rPr>
        <w:t>mogočanje sodelovanja lokalnih energetskih skupnosti pri trgovanju z električno energijo, kar bo povečalo njihovo ekonomsko vzdržnost in konkurenčnost. </w:t>
      </w:r>
    </w:p>
    <w:p w14:paraId="00B359DE" w14:textId="6BB5699D" w:rsidR="00AF3FEE" w:rsidRPr="00AF3FEE" w:rsidRDefault="00AF3FEE" w:rsidP="00AF3FEE">
      <w:pPr>
        <w:jc w:val="both"/>
        <w:rPr>
          <w:rFonts w:ascii="Arial" w:hAnsi="Arial" w:cs="Arial"/>
        </w:rPr>
      </w:pPr>
      <w:r w:rsidRPr="00AF3FEE">
        <w:rPr>
          <w:rFonts w:ascii="Arial" w:hAnsi="Arial" w:cs="Arial"/>
        </w:rPr>
        <w:t xml:space="preserve">Število energetskih objektov energetskih skupnosti postopno narašča: leta 2019 je bila evidentirana ena takšna skupnost, leta 2020 </w:t>
      </w:r>
      <w:r w:rsidR="00482642">
        <w:rPr>
          <w:rFonts w:ascii="Arial" w:hAnsi="Arial" w:cs="Arial"/>
        </w:rPr>
        <w:t xml:space="preserve">so bile </w:t>
      </w:r>
      <w:r w:rsidR="00E34DC0">
        <w:rPr>
          <w:rFonts w:ascii="Arial" w:hAnsi="Arial" w:cs="Arial"/>
        </w:rPr>
        <w:t>štiri</w:t>
      </w:r>
      <w:r w:rsidR="00482642">
        <w:rPr>
          <w:rFonts w:ascii="Arial" w:hAnsi="Arial" w:cs="Arial"/>
        </w:rPr>
        <w:t xml:space="preserve"> takšne skupnosti</w:t>
      </w:r>
      <w:r w:rsidRPr="00AF3FEE">
        <w:rPr>
          <w:rFonts w:ascii="Arial" w:hAnsi="Arial" w:cs="Arial"/>
        </w:rPr>
        <w:t xml:space="preserve">, leta 2021 </w:t>
      </w:r>
      <w:r w:rsidR="00482642">
        <w:rPr>
          <w:rFonts w:ascii="Arial" w:hAnsi="Arial" w:cs="Arial"/>
        </w:rPr>
        <w:t xml:space="preserve">jih je bilo </w:t>
      </w:r>
      <w:r w:rsidRPr="00AF3FEE">
        <w:rPr>
          <w:rFonts w:ascii="Arial" w:hAnsi="Arial" w:cs="Arial"/>
        </w:rPr>
        <w:t xml:space="preserve">30, leta 2022 57 in leta 2023 171. Skupna moč energetskih proizvodnih objektov energetskih skupnosti je bila leta 2019 14 kW, leta 2023 pa 8200 kW. Leta 2023 je bilo v skupnosti vključenih </w:t>
      </w:r>
      <w:r w:rsidRPr="00AF3FEE">
        <w:rPr>
          <w:rFonts w:ascii="Arial" w:hAnsi="Arial" w:cs="Arial"/>
          <w:color w:val="000000"/>
        </w:rPr>
        <w:t>230</w:t>
      </w:r>
      <w:r w:rsidR="00482642">
        <w:rPr>
          <w:rFonts w:ascii="Arial" w:hAnsi="Arial" w:cs="Arial"/>
          <w:color w:val="000000"/>
        </w:rPr>
        <w:t xml:space="preserve"> odjemalcev</w:t>
      </w:r>
      <w:r w:rsidRPr="00AF3FEE">
        <w:rPr>
          <w:rFonts w:ascii="Arial" w:hAnsi="Arial" w:cs="Arial"/>
          <w:color w:val="000000"/>
        </w:rPr>
        <w:t>, leta 2023 pa 467</w:t>
      </w:r>
      <w:r w:rsidR="00E34DC0">
        <w:rPr>
          <w:rFonts w:ascii="Arial" w:hAnsi="Arial" w:cs="Arial"/>
          <w:color w:val="000000"/>
        </w:rPr>
        <w:t>.</w:t>
      </w:r>
      <w:r w:rsidRPr="00AF3FEE">
        <w:rPr>
          <w:rStyle w:val="FootnoteReference"/>
          <w:rFonts w:ascii="Arial" w:hAnsi="Arial" w:cs="Arial"/>
        </w:rPr>
        <w:footnoteReference w:id="63"/>
      </w:r>
    </w:p>
    <w:p w14:paraId="7B8B4720" w14:textId="2B264661" w:rsidR="00AF3FEE" w:rsidRPr="00AF3FEE" w:rsidRDefault="00AF3FEE" w:rsidP="00AF3FEE">
      <w:pPr>
        <w:pStyle w:val="Heading41"/>
        <w:jc w:val="both"/>
        <w:rPr>
          <w:rFonts w:cs="Arial"/>
          <w:szCs w:val="22"/>
        </w:rPr>
      </w:pPr>
      <w:r w:rsidRPr="00AF3FEE">
        <w:rPr>
          <w:rFonts w:cs="Arial"/>
          <w:szCs w:val="22"/>
        </w:rPr>
        <w:t>Promocija proizvodnje daljinske toplote iz obnovljivih virov energije in v SPTE z visokim izkoristkom</w:t>
      </w:r>
    </w:p>
    <w:p w14:paraId="2934A0A5" w14:textId="29A18BDF" w:rsidR="00AF3FEE" w:rsidRPr="00AF3FEE" w:rsidRDefault="00AF3FEE" w:rsidP="00AF3FEE">
      <w:pPr>
        <w:pStyle w:val="Naslov-VplivUkrepa-Sektorji"/>
        <w:jc w:val="both"/>
        <w:rPr>
          <w:rFonts w:ascii="Arial" w:eastAsia="Palatino Linotype" w:hAnsi="Arial" w:cs="Arial"/>
          <w:szCs w:val="22"/>
        </w:rPr>
      </w:pPr>
      <w:r w:rsidRPr="00AF3FEE">
        <w:rPr>
          <w:rFonts w:ascii="Arial" w:eastAsia="Palatino Linotype" w:hAnsi="Arial" w:cs="Arial"/>
          <w:szCs w:val="22"/>
        </w:rPr>
        <w:t xml:space="preserve">Sektorji, na katere </w:t>
      </w:r>
      <w:r w:rsidR="00E34DC0" w:rsidRPr="00AF3FEE">
        <w:rPr>
          <w:rFonts w:ascii="Arial" w:eastAsia="Palatino Linotype" w:hAnsi="Arial" w:cs="Arial"/>
          <w:szCs w:val="22"/>
        </w:rPr>
        <w:t xml:space="preserve">vpliva </w:t>
      </w:r>
      <w:r w:rsidRPr="00AF3FEE">
        <w:rPr>
          <w:rFonts w:ascii="Arial" w:eastAsia="Palatino Linotype" w:hAnsi="Arial" w:cs="Arial"/>
          <w:szCs w:val="22"/>
        </w:rPr>
        <w:t>izvajanje ukrepa</w:t>
      </w:r>
      <w:r w:rsidRPr="00A57F7D">
        <w:rPr>
          <w:rFonts w:ascii="Arial" w:eastAsia="Palatino Linotype" w:hAnsi="Arial" w:cs="Arial"/>
          <w:b w:val="0"/>
          <w:szCs w:val="22"/>
        </w:rPr>
        <w:t xml:space="preserve">: </w:t>
      </w:r>
      <w:r w:rsidRPr="0038553C">
        <w:rPr>
          <w:rFonts w:ascii="Arial" w:eastAsia="Palatino Linotype" w:hAnsi="Arial" w:cs="Arial"/>
          <w:b w:val="0"/>
          <w:bCs/>
          <w:szCs w:val="22"/>
        </w:rPr>
        <w:t>proizvodnja elektrike in toplote</w:t>
      </w:r>
      <w:r w:rsidR="00482642">
        <w:rPr>
          <w:rFonts w:ascii="Arial" w:eastAsia="Palatino Linotype" w:hAnsi="Arial" w:cs="Arial"/>
          <w:b w:val="0"/>
          <w:bCs/>
          <w:szCs w:val="22"/>
        </w:rPr>
        <w:t>.</w:t>
      </w:r>
      <w:r w:rsidRPr="00AF3FEE">
        <w:rPr>
          <w:rFonts w:ascii="Arial" w:eastAsia="Palatino Linotype" w:hAnsi="Arial" w:cs="Arial"/>
          <w:b w:val="0"/>
          <w:bCs/>
          <w:i/>
          <w:iCs/>
          <w:szCs w:val="22"/>
        </w:rPr>
        <w:t xml:space="preserve"> </w:t>
      </w:r>
    </w:p>
    <w:p w14:paraId="6303AF48" w14:textId="357FA9C7" w:rsidR="00AF3FEE" w:rsidRPr="00AF3FEE" w:rsidRDefault="00AF3FEE" w:rsidP="00AF3FEE">
      <w:pPr>
        <w:spacing w:line="245" w:lineRule="auto"/>
        <w:jc w:val="both"/>
        <w:rPr>
          <w:rFonts w:ascii="Arial" w:eastAsia="Palatino Linotype" w:hAnsi="Arial" w:cs="Arial"/>
        </w:rPr>
      </w:pPr>
      <w:r w:rsidRPr="00AF3FEE">
        <w:rPr>
          <w:rFonts w:ascii="Arial" w:eastAsia="Palatino Linotype" w:hAnsi="Arial" w:cs="Arial"/>
        </w:rPr>
        <w:t>Za spodbujanje SPTE je pomemben obvezni delež toplote iz OVE, SPTE in odvečne toplote, ki jih morajo dosegati vsi sistemi daljinskega ogrevanja (SDO), kot je določeno v 50. členu Zakona o učinkoviti rabi energije (ZURE)</w:t>
      </w:r>
      <w:r w:rsidR="00845CA0">
        <w:rPr>
          <w:rFonts w:ascii="Arial" w:eastAsia="Palatino Linotype" w:hAnsi="Arial" w:cs="Arial"/>
        </w:rPr>
        <w:t>,</w:t>
      </w:r>
      <w:r w:rsidRPr="00AF3FEE">
        <w:rPr>
          <w:rFonts w:ascii="Arial" w:eastAsia="Palatino Linotype" w:hAnsi="Arial" w:cs="Arial"/>
        </w:rPr>
        <w:t xml:space="preserve"> in sicer da morajo distributerji na letni ravni zagotoviti toploto iz vsaj enega od naslednjih virov: (i) vsaj 50 % toplote</w:t>
      </w:r>
      <w:r w:rsidR="00845CA0">
        <w:rPr>
          <w:rFonts w:ascii="Arial" w:eastAsia="Palatino Linotype" w:hAnsi="Arial" w:cs="Arial"/>
        </w:rPr>
        <w:t>,</w:t>
      </w:r>
      <w:r w:rsidRPr="00AF3FEE">
        <w:rPr>
          <w:rFonts w:ascii="Arial" w:eastAsia="Palatino Linotype" w:hAnsi="Arial" w:cs="Arial"/>
        </w:rPr>
        <w:t xml:space="preserve"> proizvedene iz OVE, (ii) vsaj 50 % odvečne toplote (OT), (iii) vsaj 75 % toplote iz soproizvodnje toplote in električne energije z visokim izkoristkom (SPTE) ali (iv) vsaj 50 % kombinacije toplote iz prvih treh alinej. Konec leta 2023 je bilo od 110 evidentiranih sistemov daljinskega ogrevanja in hlajenja (SDOH) učinkovitih 68 oziroma 61,8</w:t>
      </w:r>
      <w:r w:rsidR="00DC03E5">
        <w:rPr>
          <w:rFonts w:ascii="Arial" w:eastAsia="Palatino Linotype" w:hAnsi="Arial" w:cs="Arial"/>
        </w:rPr>
        <w:t xml:space="preserve"> </w:t>
      </w:r>
      <w:r w:rsidRPr="00AF3FEE">
        <w:rPr>
          <w:rFonts w:ascii="Arial" w:eastAsia="Palatino Linotype" w:hAnsi="Arial" w:cs="Arial"/>
        </w:rPr>
        <w:t>%, v vseh SDO</w:t>
      </w:r>
      <w:r w:rsidR="00482642">
        <w:rPr>
          <w:rFonts w:ascii="Arial" w:eastAsia="Palatino Linotype" w:hAnsi="Arial" w:cs="Arial"/>
        </w:rPr>
        <w:t>H</w:t>
      </w:r>
      <w:r w:rsidRPr="00AF3FEE">
        <w:rPr>
          <w:rFonts w:ascii="Arial" w:eastAsia="Palatino Linotype" w:hAnsi="Arial" w:cs="Arial"/>
        </w:rPr>
        <w:t xml:space="preserve"> v Sloveniji pa je bilo 75,3 % toplote</w:t>
      </w:r>
      <w:r w:rsidR="00845CA0">
        <w:rPr>
          <w:rFonts w:ascii="Arial" w:eastAsia="Palatino Linotype" w:hAnsi="Arial" w:cs="Arial"/>
        </w:rPr>
        <w:t>,</w:t>
      </w:r>
      <w:r w:rsidRPr="00AF3FEE">
        <w:rPr>
          <w:rFonts w:ascii="Arial" w:eastAsia="Palatino Linotype" w:hAnsi="Arial" w:cs="Arial"/>
        </w:rPr>
        <w:t xml:space="preserve"> proizvedene iz OVE oziroma v napravah SPTE. </w:t>
      </w:r>
    </w:p>
    <w:p w14:paraId="1F685917" w14:textId="7DA100DE" w:rsidR="00AF3FEE" w:rsidRPr="00AF3FEE" w:rsidRDefault="00AF3FEE" w:rsidP="00AF3FEE">
      <w:pPr>
        <w:spacing w:line="245" w:lineRule="auto"/>
        <w:jc w:val="both"/>
        <w:rPr>
          <w:rFonts w:ascii="Arial" w:eastAsia="Palatino Linotype" w:hAnsi="Arial" w:cs="Arial"/>
        </w:rPr>
      </w:pPr>
      <w:r w:rsidRPr="00AF3FEE">
        <w:rPr>
          <w:rFonts w:ascii="Arial" w:eastAsia="Palatino Linotype" w:hAnsi="Arial" w:cs="Arial"/>
        </w:rPr>
        <w:lastRenderedPageBreak/>
        <w:t xml:space="preserve">V načrtu je prenova ZSROVE, da se uveljavi obveznost povečanja deleža toplote iz OVE in OT v obdobju do </w:t>
      </w:r>
      <w:r w:rsidR="00845CA0">
        <w:rPr>
          <w:rFonts w:ascii="Arial" w:eastAsia="Palatino Linotype" w:hAnsi="Arial" w:cs="Arial"/>
        </w:rPr>
        <w:t xml:space="preserve">leta </w:t>
      </w:r>
      <w:r w:rsidRPr="00AF3FEE">
        <w:rPr>
          <w:rFonts w:ascii="Arial" w:eastAsia="Palatino Linotype" w:hAnsi="Arial" w:cs="Arial"/>
        </w:rPr>
        <w:t>2030 za vsaj 2,2 % letno oziroma doseganje skupnega deleža vsaj 25 % v letu 2030 in vsaj 40 % v letu 2035. Ob tem je predvidena uvedba modela spodbud, ki bo spodbujal SDOH k pospešenemu povečevanju deleža OVE in OT. Za kakovostno pripravo in izvajanje trajnostnih načrtov razvoja SDOH (prenove, širitve in novogradnje) so predviden</w:t>
      </w:r>
      <w:r w:rsidR="00845CA0">
        <w:rPr>
          <w:rFonts w:ascii="Arial" w:eastAsia="Palatino Linotype" w:hAnsi="Arial" w:cs="Arial"/>
        </w:rPr>
        <w:t>i</w:t>
      </w:r>
      <w:r w:rsidRPr="00AF3FEE">
        <w:rPr>
          <w:rFonts w:ascii="Arial" w:eastAsia="Palatino Linotype" w:hAnsi="Arial" w:cs="Arial"/>
        </w:rPr>
        <w:t xml:space="preserve"> usposabljanja in tehnična pomoč pri razvoju projektov ter digitalizirani postopki za spremljanje njihovega izvajanja.</w:t>
      </w:r>
    </w:p>
    <w:p w14:paraId="012E8B78" w14:textId="6363C15E" w:rsidR="00AF3FEE" w:rsidRPr="00AF3FEE" w:rsidRDefault="00AF3FEE" w:rsidP="00AF3FEE">
      <w:pPr>
        <w:spacing w:line="245" w:lineRule="auto"/>
        <w:jc w:val="both"/>
        <w:rPr>
          <w:rFonts w:ascii="Arial" w:eastAsia="Palatino Linotype" w:hAnsi="Arial" w:cs="Arial"/>
        </w:rPr>
      </w:pPr>
      <w:r w:rsidRPr="00AF3FEE">
        <w:rPr>
          <w:rFonts w:ascii="Arial" w:eastAsia="Palatino Linotype" w:hAnsi="Arial" w:cs="Arial"/>
        </w:rPr>
        <w:t>Obratovalne podpore v shemi (v obliki premije ali fiksne cene) so namenjene spodbujanju proizvodnje električne energije iz OVE in/ali v soproizvodnji toplote in električne energije (SPTE) z visokim izkoristkom v vseh sektorjih</w:t>
      </w:r>
      <w:r w:rsidR="00845CA0">
        <w:rPr>
          <w:rFonts w:ascii="Arial" w:eastAsia="Palatino Linotype" w:hAnsi="Arial" w:cs="Arial"/>
        </w:rPr>
        <w:t>,</w:t>
      </w:r>
      <w:r w:rsidRPr="00AF3FEE">
        <w:rPr>
          <w:rFonts w:ascii="Arial" w:eastAsia="Palatino Linotype" w:hAnsi="Arial" w:cs="Arial"/>
        </w:rPr>
        <w:t xml:space="preserve"> in sicer v napravah SPTE, manjših od 20 MW, ali elektrarnah na OVE</w:t>
      </w:r>
      <w:r w:rsidR="00845CA0">
        <w:rPr>
          <w:rFonts w:ascii="Arial" w:eastAsia="Palatino Linotype" w:hAnsi="Arial" w:cs="Arial"/>
        </w:rPr>
        <w:t>,</w:t>
      </w:r>
      <w:r w:rsidRPr="00AF3FEE">
        <w:rPr>
          <w:rFonts w:ascii="Arial" w:eastAsia="Palatino Linotype" w:hAnsi="Arial" w:cs="Arial"/>
        </w:rPr>
        <w:t xml:space="preserve"> manjših od 10 MW, z izjemo vetrnih polj, ki morajo biti manjša od 50 MW (za </w:t>
      </w:r>
      <w:r w:rsidR="00A70EE9" w:rsidRPr="00AF3FEE">
        <w:rPr>
          <w:rFonts w:ascii="Arial" w:eastAsia="Palatino Linotype" w:hAnsi="Arial" w:cs="Arial"/>
        </w:rPr>
        <w:t>podrobnejši</w:t>
      </w:r>
      <w:r w:rsidRPr="00AF3FEE">
        <w:rPr>
          <w:rFonts w:ascii="Arial" w:eastAsia="Palatino Linotype" w:hAnsi="Arial" w:cs="Arial"/>
        </w:rPr>
        <w:t xml:space="preserve"> opis glej </w:t>
      </w:r>
      <w:r w:rsidRPr="00AF3FEE">
        <w:rPr>
          <w:rFonts w:ascii="Arial" w:eastAsia="Palatino Linotype" w:hAnsi="Arial" w:cs="Arial"/>
        </w:rPr>
        <w:fldChar w:fldCharType="begin"/>
      </w:r>
      <w:r w:rsidRPr="00AF3FEE">
        <w:rPr>
          <w:rFonts w:ascii="Arial" w:eastAsia="Palatino Linotype" w:hAnsi="Arial" w:cs="Arial"/>
        </w:rPr>
        <w:instrText xml:space="preserve"> REF _Ref193096754 \r \h  \* MERGEFORMAT </w:instrText>
      </w:r>
      <w:r w:rsidRPr="00AF3FEE">
        <w:rPr>
          <w:rFonts w:ascii="Arial" w:eastAsia="Palatino Linotype" w:hAnsi="Arial" w:cs="Arial"/>
        </w:rPr>
      </w:r>
      <w:r w:rsidRPr="00AF3FEE">
        <w:rPr>
          <w:rFonts w:ascii="Arial" w:eastAsia="Palatino Linotype" w:hAnsi="Arial" w:cs="Arial"/>
        </w:rPr>
        <w:fldChar w:fldCharType="separate"/>
      </w:r>
      <w:r w:rsidR="006D5B8D">
        <w:rPr>
          <w:rFonts w:ascii="Arial" w:eastAsia="Palatino Linotype" w:hAnsi="Arial" w:cs="Arial"/>
        </w:rPr>
        <w:t>M-16</w:t>
      </w:r>
      <w:r w:rsidRPr="00AF3FEE">
        <w:rPr>
          <w:rFonts w:ascii="Arial" w:eastAsia="Palatino Linotype" w:hAnsi="Arial" w:cs="Arial"/>
        </w:rPr>
        <w:fldChar w:fldCharType="end"/>
      </w:r>
      <w:r w:rsidRPr="00AF3FEE">
        <w:rPr>
          <w:rFonts w:ascii="Arial" w:eastAsia="Palatino Linotype" w:hAnsi="Arial" w:cs="Arial"/>
        </w:rPr>
        <w:t>)</w:t>
      </w:r>
      <w:r w:rsidR="00845CA0">
        <w:rPr>
          <w:rFonts w:ascii="Arial" w:eastAsia="Palatino Linotype" w:hAnsi="Arial" w:cs="Arial"/>
        </w:rPr>
        <w:t>.</w:t>
      </w:r>
    </w:p>
    <w:p w14:paraId="71A93256" w14:textId="77777777" w:rsidR="00AF3FEE" w:rsidRPr="00AF3FEE" w:rsidRDefault="00AF3FEE" w:rsidP="00AF3FEE">
      <w:pPr>
        <w:spacing w:line="245" w:lineRule="auto"/>
        <w:jc w:val="both"/>
        <w:rPr>
          <w:rFonts w:ascii="Arial" w:eastAsia="Palatino Linotype" w:hAnsi="Arial" w:cs="Arial"/>
        </w:rPr>
      </w:pPr>
      <w:r w:rsidRPr="00AF3FEE">
        <w:rPr>
          <w:rFonts w:ascii="Arial" w:eastAsia="Palatino Linotype" w:hAnsi="Arial" w:cs="Arial"/>
        </w:rPr>
        <w:t xml:space="preserve">Vgradnjo naprav SPTE z visokim izkoristkom spodbuja tudi Pravilnik o učinkoviti rabi energije v stavbah (PURES, 2022), ki opredeljuje, da se za tehnologijo OVE šteje tudi SPTE na neobnovljive energente v deležu toplote, ki jo proizvede ta sistem. </w:t>
      </w:r>
    </w:p>
    <w:p w14:paraId="02FD12D8" w14:textId="35A53C0A" w:rsidR="00AF3FEE" w:rsidRPr="00AF3FEE" w:rsidRDefault="00AF3FEE" w:rsidP="00AF3FEE">
      <w:pPr>
        <w:spacing w:after="0"/>
        <w:jc w:val="both"/>
        <w:rPr>
          <w:rFonts w:ascii="Arial" w:hAnsi="Arial" w:cs="Arial"/>
        </w:rPr>
      </w:pPr>
      <w:r w:rsidRPr="00AF3FEE">
        <w:rPr>
          <w:rFonts w:ascii="Arial" w:hAnsi="Arial" w:cs="Arial"/>
        </w:rPr>
        <w:t>Kot del načrta za zagotavlja</w:t>
      </w:r>
      <w:r w:rsidR="00CA6D1B">
        <w:rPr>
          <w:rFonts w:ascii="Arial" w:hAnsi="Arial" w:cs="Arial"/>
        </w:rPr>
        <w:t>n</w:t>
      </w:r>
      <w:r w:rsidRPr="00AF3FEE">
        <w:rPr>
          <w:rFonts w:ascii="Arial" w:hAnsi="Arial" w:cs="Arial"/>
        </w:rPr>
        <w:t xml:space="preserve">je stabilnih, predvidljivih in zadostnih finančnih sredstev in redno izvajanje razpisov za spodbujanje DO je bil v letu 2023 v skladu z Načrtom za okrevanje in odpornost (NOO) objavljen javni razpis za sofinanciranje prestrukturiranja daljinskih sistemov na OVE za obdobje </w:t>
      </w:r>
      <w:r w:rsidR="00845CA0">
        <w:rPr>
          <w:rFonts w:ascii="Arial" w:hAnsi="Arial" w:cs="Arial"/>
        </w:rPr>
        <w:t xml:space="preserve">od leta </w:t>
      </w:r>
      <w:r w:rsidRPr="00AF3FEE">
        <w:rPr>
          <w:rFonts w:ascii="Arial" w:hAnsi="Arial" w:cs="Arial"/>
        </w:rPr>
        <w:t xml:space="preserve">2023 do </w:t>
      </w:r>
      <w:r w:rsidR="00845CA0">
        <w:rPr>
          <w:rFonts w:ascii="Arial" w:hAnsi="Arial" w:cs="Arial"/>
        </w:rPr>
        <w:t xml:space="preserve">leta </w:t>
      </w:r>
      <w:r w:rsidRPr="00AF3FEE">
        <w:rPr>
          <w:rFonts w:ascii="Arial" w:hAnsi="Arial" w:cs="Arial"/>
        </w:rPr>
        <w:t xml:space="preserve">2025, ki je bil v letu 2024 predčasno zaprt (ob porabi 2,9 </w:t>
      </w:r>
      <w:r w:rsidR="006A109B">
        <w:rPr>
          <w:rFonts w:ascii="Arial" w:hAnsi="Arial" w:cs="Arial"/>
        </w:rPr>
        <w:t xml:space="preserve">milijona evrov </w:t>
      </w:r>
      <w:r w:rsidRPr="00AF3FEE">
        <w:rPr>
          <w:rFonts w:ascii="Arial" w:hAnsi="Arial" w:cs="Arial"/>
        </w:rPr>
        <w:t xml:space="preserve">od razpisanih 11 </w:t>
      </w:r>
      <w:r w:rsidR="006A109B">
        <w:rPr>
          <w:rFonts w:ascii="Arial" w:hAnsi="Arial" w:cs="Arial"/>
        </w:rPr>
        <w:t>milijonov evrov</w:t>
      </w:r>
      <w:r w:rsidRPr="00AF3FEE">
        <w:rPr>
          <w:rFonts w:ascii="Arial" w:hAnsi="Arial" w:cs="Arial"/>
        </w:rPr>
        <w:t xml:space="preserve">) in nadomeščen z novim razpisom iz programa NOO za obdobje </w:t>
      </w:r>
      <w:r w:rsidR="00845CA0">
        <w:rPr>
          <w:rFonts w:ascii="Arial" w:hAnsi="Arial" w:cs="Arial"/>
        </w:rPr>
        <w:t xml:space="preserve">od leta </w:t>
      </w:r>
      <w:r w:rsidRPr="00AF3FEE">
        <w:rPr>
          <w:rFonts w:ascii="Arial" w:hAnsi="Arial" w:cs="Arial"/>
        </w:rPr>
        <w:t xml:space="preserve">2024 do </w:t>
      </w:r>
      <w:r w:rsidR="00845CA0">
        <w:rPr>
          <w:rFonts w:ascii="Arial" w:hAnsi="Arial" w:cs="Arial"/>
        </w:rPr>
        <w:t xml:space="preserve">leta </w:t>
      </w:r>
      <w:r w:rsidRPr="00AF3FEE">
        <w:rPr>
          <w:rFonts w:ascii="Arial" w:hAnsi="Arial" w:cs="Arial"/>
        </w:rPr>
        <w:t xml:space="preserve">2026, ki namenja 25 </w:t>
      </w:r>
      <w:r w:rsidR="006A109B">
        <w:rPr>
          <w:rFonts w:ascii="Arial" w:hAnsi="Arial" w:cs="Arial"/>
        </w:rPr>
        <w:t xml:space="preserve">milijonov evrov </w:t>
      </w:r>
      <w:r w:rsidRPr="00AF3FEE">
        <w:rPr>
          <w:rFonts w:ascii="Arial" w:hAnsi="Arial" w:cs="Arial"/>
        </w:rPr>
        <w:t xml:space="preserve">sredstev za ukrepe povečanja proizvodnje električne energije in toplote iz OVE, in sicer iz toplotnih črpalk, sprejemnikov sončne energije (toplote), kotlov na lesno biomaso ter gradnjo postrojenj SPTE iz OVE v obstoječih sistemih DO. </w:t>
      </w:r>
    </w:p>
    <w:p w14:paraId="41C8A263"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promocijo proizvodnje daljinske toplote iz obnovljivih virov energije in v SPTE z visokim izkoristkom</w:t>
      </w:r>
    </w:p>
    <w:p w14:paraId="490A9977" w14:textId="1EFD0B40" w:rsidR="00AF3FEE" w:rsidRPr="00AF3FEE" w:rsidRDefault="00AF3FEE" w:rsidP="00AF3FEE">
      <w:pPr>
        <w:pStyle w:val="Naslov-VplivUkrepa-Sektorji"/>
        <w:jc w:val="both"/>
        <w:rPr>
          <w:rFonts w:ascii="Arial" w:eastAsia="Palatino Linotype" w:hAnsi="Arial" w:cs="Arial"/>
          <w:szCs w:val="22"/>
        </w:rPr>
      </w:pPr>
      <w:r w:rsidRPr="00AF3FEE">
        <w:rPr>
          <w:rFonts w:ascii="Arial" w:eastAsia="Palatino Linotype" w:hAnsi="Arial" w:cs="Arial"/>
          <w:szCs w:val="22"/>
        </w:rPr>
        <w:t xml:space="preserve">Sektorji, na katere </w:t>
      </w:r>
      <w:r w:rsidR="003F3D00" w:rsidRPr="00AF3FEE">
        <w:rPr>
          <w:rFonts w:ascii="Arial" w:eastAsia="Palatino Linotype" w:hAnsi="Arial" w:cs="Arial"/>
          <w:szCs w:val="22"/>
        </w:rPr>
        <w:t xml:space="preserve">vpliva </w:t>
      </w:r>
      <w:r w:rsidRPr="00AF3FEE">
        <w:rPr>
          <w:rFonts w:ascii="Arial" w:eastAsia="Palatino Linotype" w:hAnsi="Arial" w:cs="Arial"/>
          <w:szCs w:val="22"/>
        </w:rPr>
        <w:t>izvajanje ukrepa</w:t>
      </w:r>
      <w:r w:rsidRPr="00A57F7D">
        <w:rPr>
          <w:rFonts w:ascii="Arial" w:eastAsia="Palatino Linotype" w:hAnsi="Arial" w:cs="Arial"/>
          <w:b w:val="0"/>
          <w:szCs w:val="22"/>
        </w:rPr>
        <w:t xml:space="preserve">: </w:t>
      </w:r>
      <w:r w:rsidRPr="0038553C">
        <w:rPr>
          <w:rFonts w:ascii="Arial" w:eastAsia="Palatino Linotype" w:hAnsi="Arial" w:cs="Arial"/>
          <w:b w:val="0"/>
          <w:szCs w:val="22"/>
        </w:rPr>
        <w:t>proizvodnja elektrike in toplote</w:t>
      </w:r>
      <w:r w:rsidR="00CA6D1B">
        <w:rPr>
          <w:rFonts w:ascii="Arial" w:eastAsia="Palatino Linotype" w:hAnsi="Arial" w:cs="Arial"/>
          <w:b w:val="0"/>
          <w:szCs w:val="22"/>
        </w:rPr>
        <w:t>.</w:t>
      </w:r>
      <w:r w:rsidRPr="00AF3FEE">
        <w:rPr>
          <w:rFonts w:ascii="Arial" w:eastAsia="Palatino Linotype" w:hAnsi="Arial" w:cs="Arial"/>
          <w:bCs/>
          <w:i/>
          <w:iCs/>
          <w:szCs w:val="22"/>
        </w:rPr>
        <w:t xml:space="preserve"> </w:t>
      </w:r>
    </w:p>
    <w:p w14:paraId="36AE517C" w14:textId="6CA551E4" w:rsidR="00AF3FEE" w:rsidRPr="00AF3FEE" w:rsidRDefault="00AF3FEE" w:rsidP="00AF3FEE">
      <w:pPr>
        <w:pStyle w:val="BodyText"/>
        <w:rPr>
          <w:rFonts w:ascii="Arial" w:hAnsi="Arial" w:cs="Arial"/>
          <w:szCs w:val="22"/>
        </w:rPr>
      </w:pPr>
      <w:r w:rsidRPr="00AF3FEE">
        <w:rPr>
          <w:rFonts w:ascii="Arial" w:hAnsi="Arial" w:cs="Arial"/>
          <w:szCs w:val="22"/>
        </w:rPr>
        <w:t>Za podporo lokalnemu energetskemu načrtovanju in usmerjanju prednostne rabe energentov za oskrbo s toploto in hlajenjem, v skladu z načeli trajnostnega razvoja, energetske učinkovitosti in rabe OVE,so predvidena usposabljanja za pripravljavce občinskih prostorskih aktov in lokalnih energetskih konceptov (LEK). Ti vključujejo tudi občinske načrte za ogrevanje in hlajenje, ki naj bi sistemom DO zagotavljali enakovredne razvojne možnosti.</w:t>
      </w:r>
    </w:p>
    <w:p w14:paraId="5878C10F" w14:textId="42CAD812" w:rsidR="00AF3FEE" w:rsidRPr="00AF3FEE" w:rsidRDefault="00AF3FEE" w:rsidP="00AF3FEE">
      <w:pPr>
        <w:pStyle w:val="BodyText"/>
        <w:rPr>
          <w:rFonts w:ascii="Arial" w:hAnsi="Arial" w:cs="Arial"/>
          <w:szCs w:val="22"/>
        </w:rPr>
      </w:pPr>
      <w:r w:rsidRPr="00AF3FEE">
        <w:rPr>
          <w:rFonts w:ascii="Arial" w:hAnsi="Arial" w:cs="Arial"/>
          <w:szCs w:val="22"/>
        </w:rPr>
        <w:t xml:space="preserve">NEPN načrtuje tudi več sprememb Akta o metodologiji za oblikovanje cene toplote za daljinsko ogrevanje, ki naj bi za izvajalce DOH uvedel reguliran donos na sredstva, obenem pa zagotovil zakonodajne podlage za oblikovanje naprednih tarifnih modelov, kot sta </w:t>
      </w:r>
      <w:r w:rsidR="004F2B0D">
        <w:rPr>
          <w:rFonts w:ascii="Arial" w:hAnsi="Arial" w:cs="Arial"/>
          <w:szCs w:val="22"/>
        </w:rPr>
        <w:t>na primer</w:t>
      </w:r>
      <w:r w:rsidRPr="00AF3FEE">
        <w:rPr>
          <w:rFonts w:ascii="Arial" w:hAnsi="Arial" w:cs="Arial"/>
          <w:szCs w:val="22"/>
        </w:rPr>
        <w:t xml:space="preserve"> motivacijski variabilni del tarife (bonus/malus) v odvisnosti od temperature povratka (cilj je znižanje temperature v distribucijskem omrežju) </w:t>
      </w:r>
      <w:r w:rsidR="00A6695B">
        <w:rPr>
          <w:rFonts w:ascii="Arial" w:hAnsi="Arial" w:cs="Arial"/>
          <w:szCs w:val="22"/>
        </w:rPr>
        <w:t xml:space="preserve">in </w:t>
      </w:r>
      <w:r w:rsidRPr="00AF3FEE">
        <w:rPr>
          <w:rFonts w:ascii="Arial" w:hAnsi="Arial" w:cs="Arial"/>
          <w:szCs w:val="22"/>
        </w:rPr>
        <w:t>spodbujanje aktivne vloge odjemalcev (prilagajanje, prosumerji).</w:t>
      </w:r>
    </w:p>
    <w:p w14:paraId="2B935370" w14:textId="7AD00234" w:rsidR="00AF3FEE" w:rsidRPr="00AF3FEE" w:rsidRDefault="00AF3FEE" w:rsidP="00AF3FEE">
      <w:pPr>
        <w:pStyle w:val="BodyText"/>
        <w:rPr>
          <w:rFonts w:ascii="Arial" w:hAnsi="Arial" w:cs="Arial"/>
          <w:szCs w:val="22"/>
        </w:rPr>
      </w:pPr>
      <w:r w:rsidRPr="00AF3FEE">
        <w:rPr>
          <w:rFonts w:ascii="Arial" w:hAnsi="Arial" w:cs="Arial"/>
          <w:szCs w:val="22"/>
        </w:rPr>
        <w:t xml:space="preserve">Za usmerjanje razvoja SDOH in spodbujanje pridobivanja toplote iz geotermalne energije, bodisi z neposredno rabo bodisi s pomočjo velikih toplotnih črpalk, je predvidena priprava strokovnih podlag. Te bodo vključevale analizo potenciala geotermije v kombinaciji z drugimi OVE v SDOH ter identifikacijo prednostnih oziroma ključnih območij v javnem interesu, kjer je zaradi prostorsko neenakomerne razporeditve visokega potenciala smiselna uporaba – tako v kmetijstvu (rastlinjaki in hladilnice) kot v stavbah in industriji (ogrevanje in hlajenje). Hkrati bodo določeni projektni pogoji za sprejemljive vplive na okolje ter posebni tehnični ukrepi za njihovo zagotavljanje, vključno z vplivi na podzemno vodo. Prav tako bodo preučene možnosti za </w:t>
      </w:r>
      <w:r w:rsidRPr="00AF3FEE">
        <w:rPr>
          <w:rFonts w:ascii="Arial" w:hAnsi="Arial" w:cs="Arial"/>
          <w:szCs w:val="22"/>
        </w:rPr>
        <w:lastRenderedPageBreak/>
        <w:t xml:space="preserve">gradnjo hranilnikov toplote (in hladu) večjih </w:t>
      </w:r>
      <w:r w:rsidR="00A6695B">
        <w:rPr>
          <w:rFonts w:ascii="Arial" w:hAnsi="Arial" w:cs="Arial"/>
          <w:szCs w:val="22"/>
        </w:rPr>
        <w:t>zmogljivosti</w:t>
      </w:r>
      <w:r w:rsidRPr="00AF3FEE">
        <w:rPr>
          <w:rFonts w:ascii="Arial" w:hAnsi="Arial" w:cs="Arial"/>
          <w:szCs w:val="22"/>
        </w:rPr>
        <w:t xml:space="preserve">, ki bodo omogočali dolgoročno shranjevanje energije. </w:t>
      </w:r>
    </w:p>
    <w:p w14:paraId="4DF4B43F" w14:textId="1898ED16" w:rsidR="00AF3FEE" w:rsidRPr="00AF3FEE" w:rsidRDefault="00AF3FEE" w:rsidP="00AF3FEE">
      <w:pPr>
        <w:pStyle w:val="BodyText"/>
        <w:rPr>
          <w:rFonts w:ascii="Arial" w:hAnsi="Arial" w:cs="Arial"/>
          <w:szCs w:val="22"/>
        </w:rPr>
      </w:pPr>
      <w:r w:rsidRPr="00AF3FEE">
        <w:rPr>
          <w:rFonts w:ascii="Arial" w:hAnsi="Arial" w:cs="Arial"/>
          <w:szCs w:val="22"/>
        </w:rPr>
        <w:t xml:space="preserve">Ukrepi za krepitev podpornega okolja za SDOH vključujejo (i) oblikovanje finančnih in regulatornih mehanizmov za zmanjšanje finančnih tveganj poslovanja, ki izhajajo iz potrebnih velikih in dolgoročnih investicij, (ii) pripravo smernic in izvedbenih dokumentov (kot so sporazumi in pogodbe), ki podpirajo razvoj oskrbe s toploto po modelu »toplota kot storitev«, (iii) uvajanje pogodbenega zagotavljanja prihrankov energije pri prenovah toplotnih postaj in ukrepih na internih ogrevalnih sistemih kot del obveznega doseganja prihrankov energije ter (iv) določitev meril in pogojev za centralizirano oskrbo javnih stavb s toploto in hladom, </w:t>
      </w:r>
      <w:r w:rsidR="00023476">
        <w:rPr>
          <w:rFonts w:ascii="Arial" w:eastAsia="Calibri" w:hAnsi="Arial" w:cs="Arial"/>
          <w:szCs w:val="22"/>
        </w:rPr>
        <w:t xml:space="preserve">z namenom </w:t>
      </w:r>
      <w:r w:rsidRPr="00AF3FEE">
        <w:rPr>
          <w:rFonts w:ascii="Arial" w:hAnsi="Arial" w:cs="Arial"/>
          <w:szCs w:val="22"/>
        </w:rPr>
        <w:t xml:space="preserve">vzpostavitve stabilnih jedrnih </w:t>
      </w:r>
      <w:r w:rsidR="00A6695B">
        <w:rPr>
          <w:rFonts w:ascii="Arial" w:hAnsi="Arial" w:cs="Arial"/>
          <w:szCs w:val="22"/>
        </w:rPr>
        <w:t>zmogljivosti</w:t>
      </w:r>
      <w:r w:rsidR="00A6695B" w:rsidRPr="00AF3FEE">
        <w:rPr>
          <w:rFonts w:ascii="Arial" w:hAnsi="Arial" w:cs="Arial"/>
          <w:szCs w:val="22"/>
        </w:rPr>
        <w:t xml:space="preserve"> </w:t>
      </w:r>
      <w:r w:rsidRPr="00AF3FEE">
        <w:rPr>
          <w:rFonts w:ascii="Arial" w:hAnsi="Arial" w:cs="Arial"/>
          <w:szCs w:val="22"/>
        </w:rPr>
        <w:t xml:space="preserve">toplotnega odjema, ki ustvarjajo pogoje za širitev </w:t>
      </w:r>
      <w:r w:rsidR="00A6695B">
        <w:rPr>
          <w:rFonts w:ascii="Arial" w:hAnsi="Arial" w:cs="Arial"/>
          <w:szCs w:val="22"/>
        </w:rPr>
        <w:t>in</w:t>
      </w:r>
      <w:r w:rsidR="005679A2">
        <w:rPr>
          <w:rFonts w:ascii="Arial" w:hAnsi="Arial" w:cs="Arial"/>
          <w:szCs w:val="22"/>
        </w:rPr>
        <w:t xml:space="preserve"> </w:t>
      </w:r>
      <w:r w:rsidRPr="00AF3FEE">
        <w:rPr>
          <w:rFonts w:ascii="Arial" w:hAnsi="Arial" w:cs="Arial"/>
          <w:szCs w:val="22"/>
        </w:rPr>
        <w:t>trajnostni razvoj sistemov.</w:t>
      </w:r>
    </w:p>
    <w:p w14:paraId="3FB3B672" w14:textId="58D074EE" w:rsidR="00AF3FEE" w:rsidRPr="0038553C" w:rsidRDefault="0038553C" w:rsidP="0038553C">
      <w:pPr>
        <w:pStyle w:val="Heading3"/>
      </w:pPr>
      <w:bookmarkStart w:id="75" w:name="_Toc196300815"/>
      <w:r w:rsidRPr="0038553C">
        <w:t xml:space="preserve">II.D.3 </w:t>
      </w:r>
      <w:r w:rsidR="00AF3FEE" w:rsidRPr="0038553C">
        <w:t xml:space="preserve">Raba energije </w:t>
      </w:r>
      <w:r w:rsidR="00A24C50">
        <w:t>–</w:t>
      </w:r>
      <w:r w:rsidR="00AF3FEE" w:rsidRPr="0038553C">
        <w:t xml:space="preserve"> </w:t>
      </w:r>
      <w:r w:rsidR="00A24C50">
        <w:t>i</w:t>
      </w:r>
      <w:r w:rsidR="00AF3FEE" w:rsidRPr="0038553C">
        <w:t>ndustrija</w:t>
      </w:r>
      <w:bookmarkEnd w:id="75"/>
    </w:p>
    <w:p w14:paraId="6C6AF9EB" w14:textId="77777777" w:rsidR="00AF3FEE" w:rsidRPr="00AF3FEE" w:rsidRDefault="00AF3FEE" w:rsidP="00AF3FEE">
      <w:pPr>
        <w:pStyle w:val="Heading41"/>
        <w:tabs>
          <w:tab w:val="left" w:pos="680"/>
        </w:tabs>
        <w:spacing w:before="360"/>
        <w:ind w:left="680" w:hanging="680"/>
        <w:jc w:val="both"/>
        <w:rPr>
          <w:rFonts w:cs="Arial"/>
          <w:szCs w:val="22"/>
        </w:rPr>
      </w:pPr>
      <w:r w:rsidRPr="00AF3FEE">
        <w:rPr>
          <w:rFonts w:eastAsia="Palatino Linotype" w:cs="Arial"/>
          <w:szCs w:val="22"/>
        </w:rPr>
        <w:t>Spodbujanje učinkovite rabe energije in rabe OVE v industriji</w:t>
      </w:r>
    </w:p>
    <w:p w14:paraId="5F02A9A6" w14:textId="0E12908C" w:rsidR="00AF3FEE" w:rsidRPr="00AF3FEE" w:rsidRDefault="00AF3FEE" w:rsidP="00AF3FEE">
      <w:pPr>
        <w:spacing w:line="245" w:lineRule="auto"/>
        <w:jc w:val="both"/>
        <w:rPr>
          <w:rFonts w:ascii="Arial" w:hAnsi="Arial" w:cs="Arial"/>
        </w:rPr>
      </w:pPr>
      <w:r w:rsidRPr="00AF3FEE">
        <w:rPr>
          <w:rFonts w:ascii="Arial" w:eastAsia="Palatino Linotype" w:hAnsi="Arial" w:cs="Arial"/>
          <w:b/>
          <w:bCs/>
        </w:rPr>
        <w:t xml:space="preserve">Sektorji, na katere </w:t>
      </w:r>
      <w:r w:rsidR="003F3D00" w:rsidRPr="00AF3FEE">
        <w:rPr>
          <w:rFonts w:ascii="Arial" w:eastAsia="Palatino Linotype" w:hAnsi="Arial" w:cs="Arial"/>
          <w:b/>
          <w:bCs/>
        </w:rPr>
        <w:t xml:space="preserve">vpliva </w:t>
      </w:r>
      <w:r w:rsidRPr="00AF3FEE">
        <w:rPr>
          <w:rFonts w:ascii="Arial" w:eastAsia="Palatino Linotype" w:hAnsi="Arial" w:cs="Arial"/>
          <w:b/>
          <w:bCs/>
        </w:rPr>
        <w:t>izvajanje ukrepa</w:t>
      </w:r>
      <w:r w:rsidRPr="00A57F7D">
        <w:rPr>
          <w:rFonts w:ascii="Arial" w:eastAsia="Palatino Linotype" w:hAnsi="Arial" w:cs="Arial"/>
          <w:bCs/>
        </w:rPr>
        <w:t xml:space="preserve">: </w:t>
      </w:r>
      <w:r w:rsidRPr="0038553C">
        <w:rPr>
          <w:rFonts w:ascii="Arial" w:eastAsia="Palatino Linotype" w:hAnsi="Arial" w:cs="Arial"/>
        </w:rPr>
        <w:t>raba energije v industriji in gradbeništvu</w:t>
      </w:r>
      <w:r w:rsidR="005679A2">
        <w:rPr>
          <w:rFonts w:ascii="Arial" w:eastAsia="Palatino Linotype" w:hAnsi="Arial" w:cs="Arial"/>
        </w:rPr>
        <w:t>.</w:t>
      </w:r>
    </w:p>
    <w:p w14:paraId="04333A1F" w14:textId="47E2E2A8" w:rsidR="00AF3FEE" w:rsidRPr="00AF3FEE" w:rsidRDefault="00AF3FEE" w:rsidP="00AF3FEE">
      <w:pPr>
        <w:pStyle w:val="BodyText"/>
        <w:rPr>
          <w:rFonts w:ascii="Arial" w:hAnsi="Arial" w:cs="Arial"/>
          <w:szCs w:val="22"/>
        </w:rPr>
      </w:pPr>
      <w:r w:rsidRPr="00AF3FEE">
        <w:rPr>
          <w:rFonts w:ascii="Arial" w:eastAsia="Palatino Linotype" w:hAnsi="Arial" w:cs="Arial"/>
          <w:szCs w:val="22"/>
        </w:rPr>
        <w:t>Spodbujanje učinkovite rabe energije v gospodarstvu se je do leta 2024 izvajalo predvsem prek treh okvirnih finančnih mehanizmov, in sicer prek kohezijskega sklada, prek sheme obveznega doseganja prihrankov končne energije za podjetja, ki prodajajo energijo (2296 GWh prihranka energije v letu 2023, od tega okoli 244 GWh v industriji</w:t>
      </w:r>
      <w:r w:rsidRPr="00AF3FEE">
        <w:rPr>
          <w:rStyle w:val="FootnoteReference"/>
          <w:rFonts w:ascii="Arial" w:eastAsia="Palatino Linotype" w:hAnsi="Arial" w:cs="Arial"/>
          <w:szCs w:val="22"/>
        </w:rPr>
        <w:footnoteReference w:id="64"/>
      </w:r>
      <w:r w:rsidRPr="00AF3FEE">
        <w:rPr>
          <w:rFonts w:ascii="Arial" w:eastAsia="Palatino Linotype" w:hAnsi="Arial" w:cs="Arial"/>
          <w:szCs w:val="22"/>
        </w:rPr>
        <w:t>)</w:t>
      </w:r>
      <w:r w:rsidR="005679A2">
        <w:rPr>
          <w:rFonts w:ascii="Arial" w:eastAsia="Palatino Linotype" w:hAnsi="Arial" w:cs="Arial"/>
          <w:szCs w:val="22"/>
        </w:rPr>
        <w:t>,</w:t>
      </w:r>
      <w:r w:rsidRPr="00AF3FEE">
        <w:rPr>
          <w:rFonts w:ascii="Arial" w:eastAsia="Palatino Linotype" w:hAnsi="Arial" w:cs="Arial"/>
          <w:szCs w:val="22"/>
        </w:rPr>
        <w:t xml:space="preserve"> </w:t>
      </w:r>
      <w:r w:rsidR="005679A2">
        <w:rPr>
          <w:rFonts w:ascii="Arial" w:eastAsia="Palatino Linotype" w:hAnsi="Arial" w:cs="Arial"/>
          <w:szCs w:val="22"/>
        </w:rPr>
        <w:t>ter</w:t>
      </w:r>
      <w:r w:rsidR="005679A2" w:rsidRPr="00AF3FEE">
        <w:rPr>
          <w:rFonts w:ascii="Arial" w:eastAsia="Palatino Linotype" w:hAnsi="Arial" w:cs="Arial"/>
          <w:szCs w:val="22"/>
        </w:rPr>
        <w:t xml:space="preserve"> </w:t>
      </w:r>
      <w:r w:rsidRPr="00AF3FEE">
        <w:rPr>
          <w:rFonts w:ascii="Arial" w:eastAsia="Palatino Linotype" w:hAnsi="Arial" w:cs="Arial"/>
          <w:szCs w:val="22"/>
        </w:rPr>
        <w:t>prek povratnih in nepovratnih sredstev. V okviru sheme obveznega doseganja prihrankov končne energije (</w:t>
      </w:r>
      <w:r w:rsidR="00DC3569">
        <w:rPr>
          <w:rFonts w:ascii="Arial" w:eastAsia="Palatino Linotype" w:hAnsi="Arial" w:cs="Arial"/>
          <w:szCs w:val="22"/>
        </w:rPr>
        <w:t>tako imenovani</w:t>
      </w:r>
      <w:r w:rsidRPr="00AF3FEE">
        <w:rPr>
          <w:rFonts w:ascii="Arial" w:eastAsia="Palatino Linotype" w:hAnsi="Arial" w:cs="Arial"/>
          <w:szCs w:val="22"/>
        </w:rPr>
        <w:t xml:space="preserve"> zavezanci) so se v industrijskem sektorju izvajali ukrepi za samooskrbo z električno energijo in ukrepi </w:t>
      </w:r>
      <w:r w:rsidR="00A6695B">
        <w:rPr>
          <w:rFonts w:ascii="Arial" w:eastAsia="Palatino Linotype" w:hAnsi="Arial" w:cs="Arial"/>
          <w:szCs w:val="22"/>
        </w:rPr>
        <w:t>za izvedbo</w:t>
      </w:r>
      <w:r w:rsidRPr="00AF3FEE">
        <w:rPr>
          <w:rFonts w:ascii="Arial" w:eastAsia="Palatino Linotype" w:hAnsi="Arial" w:cs="Arial"/>
          <w:szCs w:val="22"/>
        </w:rPr>
        <w:t xml:space="preserve"> </w:t>
      </w:r>
      <w:r w:rsidR="00A6695B" w:rsidRPr="00AF3FEE">
        <w:rPr>
          <w:rFonts w:ascii="Arial" w:eastAsia="Palatino Linotype" w:hAnsi="Arial" w:cs="Arial"/>
          <w:szCs w:val="22"/>
        </w:rPr>
        <w:t>energetsk</w:t>
      </w:r>
      <w:r w:rsidR="00A6695B">
        <w:rPr>
          <w:rFonts w:ascii="Arial" w:eastAsia="Palatino Linotype" w:hAnsi="Arial" w:cs="Arial"/>
          <w:szCs w:val="22"/>
        </w:rPr>
        <w:t>ega</w:t>
      </w:r>
      <w:r w:rsidR="00A6695B" w:rsidRPr="00AF3FEE">
        <w:rPr>
          <w:rFonts w:ascii="Arial" w:eastAsia="Palatino Linotype" w:hAnsi="Arial" w:cs="Arial"/>
          <w:szCs w:val="22"/>
        </w:rPr>
        <w:t xml:space="preserve"> </w:t>
      </w:r>
      <w:r w:rsidRPr="00AF3FEE">
        <w:rPr>
          <w:rFonts w:ascii="Arial" w:eastAsia="Palatino Linotype" w:hAnsi="Arial" w:cs="Arial"/>
          <w:szCs w:val="22"/>
        </w:rPr>
        <w:t>pregled</w:t>
      </w:r>
      <w:r w:rsidR="00A6695B">
        <w:rPr>
          <w:rFonts w:ascii="Arial" w:eastAsia="Palatino Linotype" w:hAnsi="Arial" w:cs="Arial"/>
          <w:szCs w:val="22"/>
        </w:rPr>
        <w:t>a</w:t>
      </w:r>
      <w:r w:rsidRPr="00AF3FEE">
        <w:rPr>
          <w:rFonts w:ascii="Arial" w:eastAsia="Palatino Linotype" w:hAnsi="Arial" w:cs="Arial"/>
          <w:szCs w:val="22"/>
        </w:rPr>
        <w:t xml:space="preserve">. </w:t>
      </w:r>
    </w:p>
    <w:p w14:paraId="3C49718E" w14:textId="661E24C4" w:rsidR="00AF3FEE" w:rsidRPr="00AF3FEE" w:rsidRDefault="00AF3FEE" w:rsidP="00AF3FEE">
      <w:pPr>
        <w:pStyle w:val="BodyText"/>
        <w:rPr>
          <w:rFonts w:ascii="Arial" w:hAnsi="Arial" w:cs="Arial"/>
          <w:szCs w:val="22"/>
        </w:rPr>
      </w:pPr>
      <w:r w:rsidRPr="00AF3FEE">
        <w:rPr>
          <w:rFonts w:ascii="Arial" w:eastAsia="Palatino Linotype" w:hAnsi="Arial" w:cs="Arial"/>
          <w:szCs w:val="22"/>
        </w:rPr>
        <w:t xml:space="preserve">Povratna in tudi nepovratna sredstva za gospodarstvo ponuja tudi Eko sklad. V letnem poročilu Eko sklada za leto </w:t>
      </w:r>
      <w:r w:rsidRPr="00B613AD">
        <w:rPr>
          <w:rFonts w:ascii="Arial" w:eastAsia="Palatino Linotype" w:hAnsi="Arial" w:cs="Arial"/>
          <w:szCs w:val="22"/>
        </w:rPr>
        <w:t>2023</w:t>
      </w:r>
      <w:r w:rsidR="00B613AD">
        <w:rPr>
          <w:rStyle w:val="FootnoteReference"/>
          <w:rFonts w:ascii="Arial" w:eastAsia="Palatino Linotype" w:hAnsi="Arial" w:cs="Arial"/>
          <w:szCs w:val="22"/>
        </w:rPr>
        <w:footnoteReference w:id="65"/>
      </w:r>
      <w:r w:rsidRPr="00B613AD">
        <w:rPr>
          <w:rFonts w:ascii="Arial" w:eastAsia="Palatino Linotype" w:hAnsi="Arial" w:cs="Arial"/>
          <w:szCs w:val="22"/>
        </w:rPr>
        <w:t xml:space="preserve"> niso </w:t>
      </w:r>
      <w:r w:rsidRPr="00AF3FEE">
        <w:rPr>
          <w:rFonts w:ascii="Arial" w:eastAsia="Palatino Linotype" w:hAnsi="Arial" w:cs="Arial"/>
          <w:szCs w:val="22"/>
        </w:rPr>
        <w:t xml:space="preserve">podani podatki o doseženih prihrankih energije in emisij za industrijska podjetja. Za finančne spodbude iz kohezijskih sredstev prihranki energije niso bili ocenjeni, saj spremljanje financiranja ni bilo pripravljeno na način, ki bi omogočal </w:t>
      </w:r>
      <w:r w:rsidR="00A6695B">
        <w:rPr>
          <w:rFonts w:ascii="Arial" w:eastAsia="Palatino Linotype" w:hAnsi="Arial" w:cs="Arial"/>
          <w:szCs w:val="22"/>
        </w:rPr>
        <w:t>tak</w:t>
      </w:r>
      <w:r w:rsidR="00A6695B" w:rsidRPr="00AF3FEE">
        <w:rPr>
          <w:rFonts w:ascii="Arial" w:eastAsia="Palatino Linotype" w:hAnsi="Arial" w:cs="Arial"/>
          <w:szCs w:val="22"/>
        </w:rPr>
        <w:t xml:space="preserve">e </w:t>
      </w:r>
      <w:r w:rsidRPr="00AF3FEE">
        <w:rPr>
          <w:rFonts w:ascii="Arial" w:eastAsia="Palatino Linotype" w:hAnsi="Arial" w:cs="Arial"/>
          <w:szCs w:val="22"/>
        </w:rPr>
        <w:t>analize.</w:t>
      </w:r>
    </w:p>
    <w:p w14:paraId="68963A90" w14:textId="15BF6281" w:rsidR="00AF3FEE" w:rsidRPr="00AF3FEE" w:rsidRDefault="00AF3FEE" w:rsidP="00AF3FEE">
      <w:pPr>
        <w:pStyle w:val="BodyText"/>
        <w:rPr>
          <w:rFonts w:ascii="Arial" w:hAnsi="Arial" w:cs="Arial"/>
          <w:szCs w:val="22"/>
        </w:rPr>
      </w:pPr>
      <w:r w:rsidRPr="00AF3FEE">
        <w:rPr>
          <w:rFonts w:ascii="Arial" w:eastAsia="Palatino Linotype" w:hAnsi="Arial" w:cs="Arial"/>
          <w:szCs w:val="22"/>
        </w:rPr>
        <w:t xml:space="preserve">Kreditirane naložbe pravnih oseb, samostojnih podjetnikov in zasebnikov na podlagi v letu 2023 podpisanih kreditnih pogodb bodo prispevale k zmanjšanju emisij toplogrednih plinov, </w:t>
      </w:r>
      <w:r w:rsidR="00A6695B" w:rsidRPr="00AF3FEE">
        <w:rPr>
          <w:rFonts w:ascii="Arial" w:eastAsia="Palatino Linotype" w:hAnsi="Arial" w:cs="Arial"/>
          <w:szCs w:val="22"/>
        </w:rPr>
        <w:t>izražen</w:t>
      </w:r>
      <w:r w:rsidR="00A6695B">
        <w:rPr>
          <w:rFonts w:ascii="Arial" w:eastAsia="Palatino Linotype" w:hAnsi="Arial" w:cs="Arial"/>
          <w:szCs w:val="22"/>
        </w:rPr>
        <w:t>em</w:t>
      </w:r>
      <w:r w:rsidR="00A6695B" w:rsidRPr="00AF3FEE">
        <w:rPr>
          <w:rFonts w:ascii="Arial" w:eastAsia="Palatino Linotype" w:hAnsi="Arial" w:cs="Arial"/>
          <w:szCs w:val="22"/>
        </w:rPr>
        <w:t xml:space="preserve"> </w:t>
      </w:r>
      <w:r w:rsidRPr="00AF3FEE">
        <w:rPr>
          <w:rFonts w:ascii="Arial" w:eastAsia="Palatino Linotype" w:hAnsi="Arial" w:cs="Arial"/>
          <w:szCs w:val="22"/>
        </w:rPr>
        <w:t>v emisijah CO</w:t>
      </w:r>
      <w:r w:rsidRPr="00AF3FEE">
        <w:rPr>
          <w:rFonts w:ascii="Arial" w:eastAsia="Palatino Linotype" w:hAnsi="Arial" w:cs="Arial"/>
          <w:szCs w:val="22"/>
          <w:vertAlign w:val="subscript"/>
        </w:rPr>
        <w:t>2</w:t>
      </w:r>
      <w:r w:rsidRPr="00AF3FEE">
        <w:rPr>
          <w:rFonts w:ascii="Arial" w:eastAsia="Palatino Linotype" w:hAnsi="Arial" w:cs="Arial"/>
          <w:szCs w:val="22"/>
        </w:rPr>
        <w:t xml:space="preserve">, </w:t>
      </w:r>
      <w:r w:rsidR="005679A2">
        <w:rPr>
          <w:rFonts w:ascii="Arial" w:eastAsia="Palatino Linotype" w:hAnsi="Arial" w:cs="Arial"/>
          <w:szCs w:val="22"/>
        </w:rPr>
        <w:t xml:space="preserve">in sicer </w:t>
      </w:r>
      <w:r w:rsidRPr="00AF3FEE">
        <w:rPr>
          <w:rFonts w:ascii="Arial" w:eastAsia="Palatino Linotype" w:hAnsi="Arial" w:cs="Arial"/>
          <w:szCs w:val="22"/>
        </w:rPr>
        <w:t>za 1340 ton letno</w:t>
      </w:r>
      <w:r w:rsidR="005679A2">
        <w:rPr>
          <w:rFonts w:ascii="Arial" w:eastAsia="Palatino Linotype" w:hAnsi="Arial" w:cs="Arial"/>
          <w:szCs w:val="22"/>
        </w:rPr>
        <w:t>,</w:t>
      </w:r>
      <w:r w:rsidRPr="00AF3FEE">
        <w:rPr>
          <w:rFonts w:ascii="Arial" w:eastAsia="Palatino Linotype" w:hAnsi="Arial" w:cs="Arial"/>
          <w:szCs w:val="22"/>
        </w:rPr>
        <w:t xml:space="preserve"> in k zmanjšanju rabe energije za 2,9 GWh. Po izvedenih naložbah bodo kreditirane naložbe proizvedle 1,7 GWh »zelene elektrike«</w:t>
      </w:r>
      <w:r w:rsidR="00A6695B">
        <w:rPr>
          <w:rFonts w:ascii="Arial" w:eastAsia="Palatino Linotype" w:hAnsi="Arial" w:cs="Arial"/>
          <w:szCs w:val="22"/>
        </w:rPr>
        <w:t>.</w:t>
      </w:r>
      <w:r w:rsidRPr="00AF3FEE">
        <w:rPr>
          <w:rStyle w:val="FootnoteReference"/>
          <w:rFonts w:ascii="Arial" w:eastAsia="Palatino Linotype" w:hAnsi="Arial" w:cs="Arial"/>
          <w:szCs w:val="22"/>
        </w:rPr>
        <w:footnoteReference w:id="66"/>
      </w:r>
    </w:p>
    <w:p w14:paraId="66518851" w14:textId="741F4628" w:rsidR="00AF3FEE" w:rsidRPr="00AF3FEE" w:rsidRDefault="00AF3FEE" w:rsidP="00AF3FEE">
      <w:pPr>
        <w:pStyle w:val="BodyText"/>
        <w:rPr>
          <w:rFonts w:ascii="Arial" w:hAnsi="Arial" w:cs="Arial"/>
          <w:szCs w:val="22"/>
        </w:rPr>
      </w:pPr>
      <w:r w:rsidRPr="00AF3FEE">
        <w:rPr>
          <w:rFonts w:ascii="Arial" w:eastAsia="Palatino Linotype" w:hAnsi="Arial" w:cs="Arial"/>
          <w:szCs w:val="22"/>
        </w:rPr>
        <w:t xml:space="preserve">Eko sklad v letih </w:t>
      </w:r>
      <w:r w:rsidR="00A6695B">
        <w:rPr>
          <w:rFonts w:ascii="Arial" w:eastAsia="Palatino Linotype" w:hAnsi="Arial" w:cs="Arial"/>
          <w:szCs w:val="22"/>
        </w:rPr>
        <w:t xml:space="preserve">od </w:t>
      </w:r>
      <w:r w:rsidRPr="00AF3FEE">
        <w:rPr>
          <w:rFonts w:ascii="Arial" w:eastAsia="Palatino Linotype" w:hAnsi="Arial" w:cs="Arial"/>
          <w:szCs w:val="22"/>
        </w:rPr>
        <w:t>2021 do 2025 namenja 34,0</w:t>
      </w:r>
      <w:r w:rsidRPr="00AF3FEE">
        <w:rPr>
          <w:rStyle w:val="FootnoteReference"/>
          <w:rFonts w:ascii="Arial" w:eastAsia="Palatino Linotype" w:hAnsi="Arial" w:cs="Arial"/>
          <w:szCs w:val="22"/>
        </w:rPr>
        <w:footnoteReference w:id="67"/>
      </w:r>
      <w:r w:rsidRPr="00AF3FEE">
        <w:rPr>
          <w:rFonts w:ascii="Arial" w:eastAsia="Palatino Linotype" w:hAnsi="Arial" w:cs="Arial"/>
          <w:szCs w:val="22"/>
        </w:rPr>
        <w:t xml:space="preserve"> </w:t>
      </w:r>
      <w:r w:rsidR="006A109B">
        <w:rPr>
          <w:rFonts w:ascii="Arial" w:eastAsia="Palatino Linotype" w:hAnsi="Arial" w:cs="Arial"/>
          <w:szCs w:val="22"/>
        </w:rPr>
        <w:t xml:space="preserve">milijona evrov </w:t>
      </w:r>
      <w:r w:rsidRPr="00AF3FEE">
        <w:rPr>
          <w:rFonts w:ascii="Arial" w:eastAsia="Palatino Linotype" w:hAnsi="Arial" w:cs="Arial"/>
          <w:szCs w:val="22"/>
        </w:rPr>
        <w:t xml:space="preserve">nepovratnih finančnih pomoči gospodarskim družbam in drugim pravnim osebam za spodbujanje ukrepov učinkovite rabe energije v stavbah in rabe obnovljivih virov energije, kot tudi za spodbujanje ukrepov učinkovite rabe električne energije, in sicer za vgradnjo energijsko učinkovitih sistemov razsvetljave, vgradnjo energijsko učinkovitih elektromotornih pogonov, za optimizacijo tehnoloških procesov </w:t>
      </w:r>
      <w:r w:rsidR="00A6695B">
        <w:rPr>
          <w:rFonts w:ascii="Arial" w:eastAsia="Palatino Linotype" w:hAnsi="Arial" w:cs="Arial"/>
          <w:szCs w:val="22"/>
        </w:rPr>
        <w:t>in</w:t>
      </w:r>
      <w:r w:rsidR="00A6695B" w:rsidRPr="00AF3FEE">
        <w:rPr>
          <w:rFonts w:ascii="Arial" w:eastAsia="Palatino Linotype" w:hAnsi="Arial" w:cs="Arial"/>
          <w:szCs w:val="22"/>
        </w:rPr>
        <w:t xml:space="preserve"> </w:t>
      </w:r>
      <w:r w:rsidRPr="00AF3FEE">
        <w:rPr>
          <w:rFonts w:ascii="Arial" w:eastAsia="Palatino Linotype" w:hAnsi="Arial" w:cs="Arial"/>
          <w:szCs w:val="22"/>
        </w:rPr>
        <w:t xml:space="preserve">za izkoriščanje odpadne toplote. Število naložb je omejeno z razpisanimi sredstvi, pozivi podjetjem za prijavo projektov pa so odprti do porabe sredstev. Konec leta 2024 je Eko sklad objavil javni poziv za nepovratne finančne spodbude za nove naložbe v učinkovito rabo energije in obnovljive vire energije za poslovne subjekte. Namen javnega poziva je spodbuditi </w:t>
      </w:r>
      <w:r w:rsidRPr="00AF3FEE">
        <w:rPr>
          <w:rFonts w:ascii="Arial" w:eastAsia="Palatino Linotype" w:hAnsi="Arial" w:cs="Arial"/>
          <w:szCs w:val="22"/>
        </w:rPr>
        <w:lastRenderedPageBreak/>
        <w:t>izvedbo ukrepov učinkovite rabe energije v stavbah in tehnoloških procesih, ukrepov učinkovite rabe električne energije, rabe odpadne toplote v procesih ter ukrepov za povečanje rabe obnovljivih virov energije. Višina nepovratnih sredstev znaša 4.000.000</w:t>
      </w:r>
      <w:r w:rsidR="006A109B">
        <w:rPr>
          <w:rFonts w:ascii="Arial" w:eastAsia="Palatino Linotype" w:hAnsi="Arial" w:cs="Arial"/>
          <w:szCs w:val="22"/>
        </w:rPr>
        <w:t xml:space="preserve"> evrov</w:t>
      </w:r>
      <w:r w:rsidRPr="00AF3FEE">
        <w:rPr>
          <w:rFonts w:ascii="Arial" w:eastAsia="Palatino Linotype" w:hAnsi="Arial" w:cs="Arial"/>
          <w:szCs w:val="22"/>
        </w:rPr>
        <w:t>, pri čemer lahko višina nepovratne finančne spodbude znaša do 30 % upravičenih stroškov naložbe.</w:t>
      </w:r>
    </w:p>
    <w:p w14:paraId="60E77BBE" w14:textId="77777777" w:rsidR="00AF3FEE" w:rsidRPr="00AF3FEE" w:rsidRDefault="00AF3FEE" w:rsidP="00AF3FEE">
      <w:pPr>
        <w:pStyle w:val="BodyText"/>
        <w:rPr>
          <w:rFonts w:ascii="Arial" w:hAnsi="Arial" w:cs="Arial"/>
          <w:szCs w:val="22"/>
        </w:rPr>
      </w:pPr>
      <w:r w:rsidRPr="00AF3FEE">
        <w:rPr>
          <w:rFonts w:ascii="Arial" w:eastAsia="Palatino Linotype" w:hAnsi="Arial" w:cs="Arial"/>
          <w:szCs w:val="22"/>
        </w:rPr>
        <w:t xml:space="preserve">Eko sklad sofinancira tudi nepovratne finančne pomoči za energetske preglede v malih in srednje velikih podjetjih v industriji in storitvenem sektorju ter uvajanje sistemov za upravljanje z energijo. </w:t>
      </w:r>
    </w:p>
    <w:p w14:paraId="2B830C94" w14:textId="6ED3525B" w:rsidR="00AF3FEE" w:rsidRPr="00AF3FEE" w:rsidRDefault="00AF3FEE" w:rsidP="00AF3FEE">
      <w:pPr>
        <w:pStyle w:val="BodyText"/>
        <w:rPr>
          <w:rFonts w:ascii="Arial" w:hAnsi="Arial" w:cs="Arial"/>
          <w:szCs w:val="22"/>
        </w:rPr>
      </w:pPr>
      <w:r w:rsidRPr="00AF3FEE">
        <w:rPr>
          <w:rFonts w:ascii="Arial" w:eastAsia="Palatino Linotype" w:hAnsi="Arial" w:cs="Arial"/>
          <w:szCs w:val="22"/>
        </w:rPr>
        <w:t>Tudi v obdobju do leta 2030 bodo industriji za naložbe URE in izrab</w:t>
      </w:r>
      <w:r w:rsidR="00983C87">
        <w:rPr>
          <w:rFonts w:ascii="Arial" w:eastAsia="Palatino Linotype" w:hAnsi="Arial" w:cs="Arial"/>
          <w:szCs w:val="22"/>
        </w:rPr>
        <w:t>o</w:t>
      </w:r>
      <w:r w:rsidRPr="00AF3FEE">
        <w:rPr>
          <w:rFonts w:ascii="Arial" w:eastAsia="Palatino Linotype" w:hAnsi="Arial" w:cs="Arial"/>
          <w:szCs w:val="22"/>
        </w:rPr>
        <w:t xml:space="preserve"> OVE na voljo sredstva v okviru obveznega doseganja prihrankov končne energije za podjetja, ki prodajajo energijo, sredstva Eko sklada in različnih virov za spodbujanje podjetništva, ki bodo vključevala zahteve po učinkovitejši rabi energije in vključevanju OVE. </w:t>
      </w:r>
    </w:p>
    <w:p w14:paraId="5D865A76" w14:textId="0092D4F7" w:rsidR="00AF3FEE" w:rsidRPr="00AF3FEE" w:rsidRDefault="00AF3FEE" w:rsidP="00AF3FEE">
      <w:pPr>
        <w:pStyle w:val="BodyText"/>
        <w:rPr>
          <w:rFonts w:ascii="Arial" w:hAnsi="Arial" w:cs="Arial"/>
          <w:szCs w:val="22"/>
        </w:rPr>
      </w:pPr>
      <w:r w:rsidRPr="00AF3FEE">
        <w:rPr>
          <w:rFonts w:ascii="Arial" w:eastAsia="Palatino Linotype" w:hAnsi="Arial" w:cs="Arial"/>
          <w:szCs w:val="22"/>
        </w:rPr>
        <w:t xml:space="preserve">SID banka ponuja različne finančne instrumente, ki se nanašajo na financiranje trajnostne gospodarske rasti in razvoja, inovacijskih vlaganj ter tekočega poslovanja z dolžniškimi in lastniškimi oblikami financiranja na različnih področjih, med drugim </w:t>
      </w:r>
      <w:r w:rsidR="001A310E">
        <w:rPr>
          <w:rFonts w:ascii="Arial" w:eastAsia="Palatino Linotype" w:hAnsi="Arial" w:cs="Arial"/>
          <w:szCs w:val="22"/>
        </w:rPr>
        <w:t xml:space="preserve">financiranje </w:t>
      </w:r>
      <w:r w:rsidRPr="00AF3FEE">
        <w:rPr>
          <w:rFonts w:ascii="Arial" w:eastAsia="Palatino Linotype" w:hAnsi="Arial" w:cs="Arial"/>
          <w:szCs w:val="22"/>
        </w:rPr>
        <w:t>raziskav, razvoj</w:t>
      </w:r>
      <w:r w:rsidR="001A310E">
        <w:rPr>
          <w:rFonts w:ascii="Arial" w:eastAsia="Palatino Linotype" w:hAnsi="Arial" w:cs="Arial"/>
          <w:szCs w:val="22"/>
        </w:rPr>
        <w:t>a</w:t>
      </w:r>
      <w:r w:rsidRPr="00AF3FEE">
        <w:rPr>
          <w:rFonts w:ascii="Arial" w:eastAsia="Palatino Linotype" w:hAnsi="Arial" w:cs="Arial"/>
          <w:szCs w:val="22"/>
        </w:rPr>
        <w:t xml:space="preserve"> in inovacij, mal</w:t>
      </w:r>
      <w:r w:rsidR="001A310E">
        <w:rPr>
          <w:rFonts w:ascii="Arial" w:eastAsia="Palatino Linotype" w:hAnsi="Arial" w:cs="Arial"/>
          <w:szCs w:val="22"/>
        </w:rPr>
        <w:t>ih</w:t>
      </w:r>
      <w:r w:rsidRPr="00AF3FEE">
        <w:rPr>
          <w:rFonts w:ascii="Arial" w:eastAsia="Palatino Linotype" w:hAnsi="Arial" w:cs="Arial"/>
          <w:szCs w:val="22"/>
        </w:rPr>
        <w:t xml:space="preserve"> in srednje velik</w:t>
      </w:r>
      <w:r w:rsidR="001A310E">
        <w:rPr>
          <w:rFonts w:ascii="Arial" w:eastAsia="Palatino Linotype" w:hAnsi="Arial" w:cs="Arial"/>
          <w:szCs w:val="22"/>
        </w:rPr>
        <w:t>ih</w:t>
      </w:r>
      <w:r w:rsidRPr="00AF3FEE">
        <w:rPr>
          <w:rFonts w:ascii="Arial" w:eastAsia="Palatino Linotype" w:hAnsi="Arial" w:cs="Arial"/>
          <w:szCs w:val="22"/>
        </w:rPr>
        <w:t xml:space="preserve"> </w:t>
      </w:r>
      <w:r w:rsidR="001A310E" w:rsidRPr="00AF3FEE">
        <w:rPr>
          <w:rFonts w:ascii="Arial" w:eastAsia="Palatino Linotype" w:hAnsi="Arial" w:cs="Arial"/>
          <w:szCs w:val="22"/>
        </w:rPr>
        <w:t>podjet</w:t>
      </w:r>
      <w:r w:rsidR="001A310E">
        <w:rPr>
          <w:rFonts w:ascii="Arial" w:eastAsia="Palatino Linotype" w:hAnsi="Arial" w:cs="Arial"/>
          <w:szCs w:val="22"/>
        </w:rPr>
        <w:t>ij</w:t>
      </w:r>
      <w:r w:rsidRPr="00AF3FEE">
        <w:rPr>
          <w:rFonts w:ascii="Arial" w:eastAsia="Palatino Linotype" w:hAnsi="Arial" w:cs="Arial"/>
          <w:szCs w:val="22"/>
        </w:rPr>
        <w:t>, digitalizacij</w:t>
      </w:r>
      <w:r w:rsidR="001A310E">
        <w:rPr>
          <w:rFonts w:ascii="Arial" w:eastAsia="Palatino Linotype" w:hAnsi="Arial" w:cs="Arial"/>
          <w:szCs w:val="22"/>
        </w:rPr>
        <w:t>e</w:t>
      </w:r>
      <w:r w:rsidRPr="00AF3FEE">
        <w:rPr>
          <w:rFonts w:ascii="Arial" w:eastAsia="Palatino Linotype" w:hAnsi="Arial" w:cs="Arial"/>
          <w:szCs w:val="22"/>
        </w:rPr>
        <w:t>, energetsk</w:t>
      </w:r>
      <w:r w:rsidR="001A310E">
        <w:rPr>
          <w:rFonts w:ascii="Arial" w:eastAsia="Palatino Linotype" w:hAnsi="Arial" w:cs="Arial"/>
          <w:szCs w:val="22"/>
        </w:rPr>
        <w:t>e</w:t>
      </w:r>
      <w:r w:rsidRPr="00AF3FEE">
        <w:rPr>
          <w:rFonts w:ascii="Arial" w:eastAsia="Palatino Linotype" w:hAnsi="Arial" w:cs="Arial"/>
          <w:szCs w:val="22"/>
        </w:rPr>
        <w:t xml:space="preserve"> učinkovitost</w:t>
      </w:r>
      <w:r w:rsidR="001A310E">
        <w:rPr>
          <w:rFonts w:ascii="Arial" w:eastAsia="Palatino Linotype" w:hAnsi="Arial" w:cs="Arial"/>
          <w:szCs w:val="22"/>
        </w:rPr>
        <w:t>i</w:t>
      </w:r>
      <w:r w:rsidRPr="00AF3FEE">
        <w:rPr>
          <w:rFonts w:ascii="Arial" w:eastAsia="Palatino Linotype" w:hAnsi="Arial" w:cs="Arial"/>
          <w:szCs w:val="22"/>
        </w:rPr>
        <w:t xml:space="preserve"> in trajnostn</w:t>
      </w:r>
      <w:r w:rsidR="001A310E">
        <w:rPr>
          <w:rFonts w:ascii="Arial" w:eastAsia="Palatino Linotype" w:hAnsi="Arial" w:cs="Arial"/>
          <w:szCs w:val="22"/>
        </w:rPr>
        <w:t>ega</w:t>
      </w:r>
      <w:r w:rsidRPr="00AF3FEE">
        <w:rPr>
          <w:rFonts w:ascii="Arial" w:eastAsia="Palatino Linotype" w:hAnsi="Arial" w:cs="Arial"/>
          <w:szCs w:val="22"/>
        </w:rPr>
        <w:t xml:space="preserve"> urban</w:t>
      </w:r>
      <w:r w:rsidR="001A310E">
        <w:rPr>
          <w:rFonts w:ascii="Arial" w:eastAsia="Palatino Linotype" w:hAnsi="Arial" w:cs="Arial"/>
          <w:szCs w:val="22"/>
        </w:rPr>
        <w:t>ega</w:t>
      </w:r>
      <w:r w:rsidRPr="00AF3FEE">
        <w:rPr>
          <w:rFonts w:ascii="Arial" w:eastAsia="Palatino Linotype" w:hAnsi="Arial" w:cs="Arial"/>
          <w:szCs w:val="22"/>
        </w:rPr>
        <w:t xml:space="preserve"> razvoj</w:t>
      </w:r>
      <w:r w:rsidR="001A310E">
        <w:rPr>
          <w:rFonts w:ascii="Arial" w:eastAsia="Palatino Linotype" w:hAnsi="Arial" w:cs="Arial"/>
          <w:szCs w:val="22"/>
        </w:rPr>
        <w:t>a</w:t>
      </w:r>
      <w:r w:rsidRPr="00AF3FEE">
        <w:rPr>
          <w:rFonts w:ascii="Arial" w:eastAsia="Palatino Linotype" w:hAnsi="Arial" w:cs="Arial"/>
          <w:szCs w:val="22"/>
        </w:rPr>
        <w:t xml:space="preserve">. V tem kontekstu ponuja SID banka financiranje trajnostnih projektov in podjetij prek programa (SID ZELEN), ki omogoča financiranje naložb in obratnih sredstev za projekte v Republiki Sloveniji ter refinanciranje pripravljalnih in izvedbenih aktivnosti projekta do največ 10 % vrednosti kredita. Financiranje zelenih projektov je </w:t>
      </w:r>
      <w:r w:rsidR="004F2B0D">
        <w:rPr>
          <w:rFonts w:ascii="Arial" w:eastAsia="Palatino Linotype" w:hAnsi="Arial" w:cs="Arial"/>
          <w:szCs w:val="22"/>
        </w:rPr>
        <w:t xml:space="preserve">mogoče </w:t>
      </w:r>
      <w:r w:rsidRPr="00AF3FEE">
        <w:rPr>
          <w:rFonts w:ascii="Arial" w:eastAsia="Palatino Linotype" w:hAnsi="Arial" w:cs="Arial"/>
          <w:szCs w:val="22"/>
        </w:rPr>
        <w:t xml:space="preserve">tudi po vseh programih SID banke, saj je za projekte s trajnostno komponento kot vir financiranja uporabljena zelena obveznica. Zelena obveznica temelji na obliki in načinu financiranja okoljskih projektov s pomočjo kapitalskega trga. Sredstva, zbrana z izdajo zelene obveznice, se lahko uporabijo za ekološko učinkovite produkte, tehnologije in procese, preprečevanje onesnaževanja in nadzor, trajnostno upravljanje življenjskih naravnih virov, trajnostno upravljanje vodnih virov, obnovljivo energijo, energetsko učinkovitost in čisti </w:t>
      </w:r>
      <w:r w:rsidR="00B014BA">
        <w:rPr>
          <w:rFonts w:ascii="Arial" w:eastAsia="Palatino Linotype" w:hAnsi="Arial" w:cs="Arial"/>
          <w:szCs w:val="22"/>
        </w:rPr>
        <w:t>promet</w:t>
      </w:r>
      <w:r w:rsidRPr="00AF3FEE">
        <w:rPr>
          <w:rFonts w:ascii="Arial" w:eastAsia="Palatino Linotype" w:hAnsi="Arial" w:cs="Arial"/>
          <w:szCs w:val="22"/>
        </w:rPr>
        <w:t>.</w:t>
      </w:r>
    </w:p>
    <w:p w14:paraId="064952C3" w14:textId="25C406C1" w:rsidR="00AF3FEE" w:rsidRPr="00AF3FEE" w:rsidRDefault="00AF3FEE" w:rsidP="00AF3FEE">
      <w:pPr>
        <w:pStyle w:val="BodyText"/>
        <w:rPr>
          <w:rFonts w:ascii="Arial" w:hAnsi="Arial" w:cs="Arial"/>
          <w:szCs w:val="22"/>
        </w:rPr>
      </w:pPr>
      <w:r w:rsidRPr="00AF3FEE">
        <w:rPr>
          <w:rFonts w:ascii="Arial" w:eastAsia="Palatino Linotype" w:hAnsi="Arial" w:cs="Arial"/>
          <w:szCs w:val="22"/>
        </w:rPr>
        <w:t>Strategija pametne specializacije S5</w:t>
      </w:r>
      <w:r w:rsidRPr="00AF3FEE">
        <w:rPr>
          <w:rStyle w:val="FootnoteReference"/>
          <w:rFonts w:ascii="Arial" w:eastAsia="Palatino Linotype" w:hAnsi="Arial" w:cs="Arial"/>
          <w:szCs w:val="22"/>
        </w:rPr>
        <w:footnoteReference w:id="68"/>
      </w:r>
      <w:r w:rsidRPr="00AF3FEE">
        <w:rPr>
          <w:rFonts w:ascii="Arial" w:eastAsia="Palatino Linotype" w:hAnsi="Arial" w:cs="Arial"/>
          <w:szCs w:val="22"/>
        </w:rPr>
        <w:t xml:space="preserve"> ostaja podlaga za izvajanje evropske kohezijske politike v industriji tudi v programskem obdobju 2021</w:t>
      </w:r>
      <w:r w:rsidR="00B014BA">
        <w:rPr>
          <w:rFonts w:ascii="Arial" w:eastAsia="Palatino Linotype" w:hAnsi="Arial" w:cs="Arial"/>
          <w:szCs w:val="22"/>
        </w:rPr>
        <w:t>–</w:t>
      </w:r>
      <w:r w:rsidRPr="00AF3FEE">
        <w:rPr>
          <w:rFonts w:ascii="Arial" w:eastAsia="Palatino Linotype" w:hAnsi="Arial" w:cs="Arial"/>
          <w:szCs w:val="22"/>
        </w:rPr>
        <w:t xml:space="preserve">2027. Evropski predpisi predvidevajo njeno prenovo in jo obravnavajo kot omogočitveni pogoj za sprostitev sredstev, ki so vezana na investicije znotraj </w:t>
      </w:r>
      <w:r w:rsidR="001B3337">
        <w:rPr>
          <w:rFonts w:ascii="Arial" w:eastAsia="Palatino Linotype" w:hAnsi="Arial" w:cs="Arial"/>
          <w:szCs w:val="22"/>
        </w:rPr>
        <w:t>c</w:t>
      </w:r>
      <w:r w:rsidRPr="00AF3FEE">
        <w:rPr>
          <w:rFonts w:ascii="Arial" w:eastAsia="Palatino Linotype" w:hAnsi="Arial" w:cs="Arial"/>
          <w:szCs w:val="22"/>
        </w:rPr>
        <w:t xml:space="preserve">ilja politike 1 – Pametna Evropa. Izvajanje S5 temelji na modelu razvojnega sodelovanja, ki poudarja tesnejše, institucionalizirano sodelovanje med državo, gospodarstvom, institucijami znanja in drugimi </w:t>
      </w:r>
      <w:r w:rsidR="001B3337">
        <w:rPr>
          <w:rFonts w:ascii="Arial" w:eastAsia="Palatino Linotype" w:hAnsi="Arial" w:cs="Arial"/>
          <w:szCs w:val="22"/>
        </w:rPr>
        <w:t xml:space="preserve">pomembnimi </w:t>
      </w:r>
      <w:r w:rsidRPr="00AF3FEE">
        <w:rPr>
          <w:rFonts w:ascii="Arial" w:eastAsia="Palatino Linotype" w:hAnsi="Arial" w:cs="Arial"/>
          <w:szCs w:val="22"/>
        </w:rPr>
        <w:t xml:space="preserve">deležniki na področju raziskav, razvoja in inovacij. Pri spodbujanju sodelovanja med inovacijskimi deležniki imajo ključno vlogo </w:t>
      </w:r>
      <w:bookmarkStart w:id="76" w:name="_Hlk196208478"/>
      <w:r w:rsidR="00E67B4B">
        <w:rPr>
          <w:rFonts w:ascii="Arial" w:eastAsia="Palatino Linotype" w:hAnsi="Arial" w:cs="Arial"/>
          <w:szCs w:val="22"/>
        </w:rPr>
        <w:t>s</w:t>
      </w:r>
      <w:r w:rsidR="001B3337">
        <w:rPr>
          <w:rFonts w:ascii="Arial" w:eastAsia="Palatino Linotype" w:hAnsi="Arial" w:cs="Arial"/>
          <w:szCs w:val="22"/>
        </w:rPr>
        <w:t xml:space="preserve">trateška razvojno-inovacijska partnerstva </w:t>
      </w:r>
      <w:bookmarkEnd w:id="76"/>
      <w:r w:rsidR="001B3337">
        <w:rPr>
          <w:rFonts w:ascii="Arial" w:eastAsia="Palatino Linotype" w:hAnsi="Arial" w:cs="Arial"/>
          <w:szCs w:val="22"/>
        </w:rPr>
        <w:t>(</w:t>
      </w:r>
      <w:r w:rsidRPr="00AF3FEE">
        <w:rPr>
          <w:rFonts w:ascii="Arial" w:eastAsia="Palatino Linotype" w:hAnsi="Arial" w:cs="Arial"/>
          <w:szCs w:val="22"/>
        </w:rPr>
        <w:t>SRIP</w:t>
      </w:r>
      <w:r w:rsidR="00750732">
        <w:rPr>
          <w:rFonts w:ascii="Arial" w:eastAsia="Palatino Linotype" w:hAnsi="Arial" w:cs="Arial"/>
          <w:szCs w:val="22"/>
        </w:rPr>
        <w:t>)</w:t>
      </w:r>
      <w:r w:rsidRPr="00AF3FEE">
        <w:rPr>
          <w:rFonts w:ascii="Arial" w:eastAsia="Palatino Linotype" w:hAnsi="Arial" w:cs="Arial"/>
          <w:szCs w:val="22"/>
        </w:rPr>
        <w:t>, na državni ravni pa je ključna medresorska koordinacija, saj izvajanje S5 poteka v okviru pristojnosti različnih ministrstev. SRIP skupaj z državo ne le sooblikujejo razvojno politiko (</w:t>
      </w:r>
      <w:r w:rsidR="004F2B0D">
        <w:rPr>
          <w:rFonts w:ascii="Arial" w:eastAsia="Palatino Linotype" w:hAnsi="Arial" w:cs="Arial"/>
          <w:szCs w:val="22"/>
        </w:rPr>
        <w:t>na primer</w:t>
      </w:r>
      <w:r w:rsidRPr="00AF3FEE">
        <w:rPr>
          <w:rFonts w:ascii="Arial" w:eastAsia="Palatino Linotype" w:hAnsi="Arial" w:cs="Arial"/>
          <w:szCs w:val="22"/>
        </w:rPr>
        <w:t xml:space="preserve"> s skupnim opredeljevanjem nacionalnih strateških razvojnih </w:t>
      </w:r>
      <w:r w:rsidR="00B014BA">
        <w:rPr>
          <w:rFonts w:ascii="Arial" w:eastAsia="Palatino Linotype" w:hAnsi="Arial" w:cs="Arial"/>
          <w:szCs w:val="22"/>
        </w:rPr>
        <w:t>prednostnih nalog</w:t>
      </w:r>
      <w:r w:rsidR="00E67B4B">
        <w:rPr>
          <w:rFonts w:ascii="Arial" w:eastAsia="Palatino Linotype" w:hAnsi="Arial" w:cs="Arial"/>
          <w:szCs w:val="22"/>
        </w:rPr>
        <w:t>)</w:t>
      </w:r>
      <w:r w:rsidRPr="00AF3FEE">
        <w:rPr>
          <w:rFonts w:ascii="Arial" w:eastAsia="Palatino Linotype" w:hAnsi="Arial" w:cs="Arial"/>
          <w:szCs w:val="22"/>
        </w:rPr>
        <w:t>, ampak tudi organizirajo celovit</w:t>
      </w:r>
      <w:r w:rsidR="00E67B4B">
        <w:rPr>
          <w:rFonts w:ascii="Arial" w:eastAsia="Palatino Linotype" w:hAnsi="Arial" w:cs="Arial"/>
          <w:szCs w:val="22"/>
        </w:rPr>
        <w:t>i</w:t>
      </w:r>
      <w:r w:rsidRPr="00AF3FEE">
        <w:rPr>
          <w:rFonts w:ascii="Arial" w:eastAsia="Palatino Linotype" w:hAnsi="Arial" w:cs="Arial"/>
          <w:szCs w:val="22"/>
        </w:rPr>
        <w:t xml:space="preserve"> razvojno-inovacijski ekosistem po področjih uporabe S5 (</w:t>
      </w:r>
      <w:r w:rsidR="00E67B4B">
        <w:rPr>
          <w:rFonts w:ascii="Arial" w:eastAsia="Palatino Linotype" w:hAnsi="Arial" w:cs="Arial"/>
          <w:i/>
          <w:szCs w:val="22"/>
        </w:rPr>
        <w:t>i</w:t>
      </w:r>
      <w:r w:rsidRPr="00AF3FEE">
        <w:rPr>
          <w:rFonts w:ascii="Arial" w:eastAsia="Palatino Linotype" w:hAnsi="Arial" w:cs="Arial"/>
          <w:i/>
          <w:szCs w:val="22"/>
        </w:rPr>
        <w:t>zboljšanje raziskovalnih in inovacijskih zmogljivosti ter uvajanje naprednih tehnologij</w:t>
      </w:r>
      <w:r w:rsidRPr="00A57F7D">
        <w:rPr>
          <w:rFonts w:ascii="Arial" w:eastAsia="Palatino Linotype" w:hAnsi="Arial" w:cs="Arial"/>
          <w:szCs w:val="22"/>
        </w:rPr>
        <w:t xml:space="preserve">, </w:t>
      </w:r>
      <w:r w:rsidR="00E67B4B">
        <w:rPr>
          <w:rFonts w:ascii="Arial" w:eastAsia="Palatino Linotype" w:hAnsi="Arial" w:cs="Arial"/>
          <w:i/>
          <w:szCs w:val="22"/>
        </w:rPr>
        <w:t>i</w:t>
      </w:r>
      <w:r w:rsidRPr="00AF3FEE">
        <w:rPr>
          <w:rFonts w:ascii="Arial" w:eastAsia="Palatino Linotype" w:hAnsi="Arial" w:cs="Arial"/>
          <w:i/>
          <w:szCs w:val="22"/>
        </w:rPr>
        <w:t>zboljšanje rasti in konkurenčnosti MSP ter ustvarjanje delovnih mest v MSP</w:t>
      </w:r>
      <w:r w:rsidRPr="00A57F7D">
        <w:rPr>
          <w:rFonts w:ascii="Arial" w:eastAsia="Palatino Linotype" w:hAnsi="Arial" w:cs="Arial"/>
          <w:szCs w:val="22"/>
        </w:rPr>
        <w:t xml:space="preserve">, </w:t>
      </w:r>
      <w:r w:rsidR="00E67B4B">
        <w:rPr>
          <w:rFonts w:ascii="Arial" w:eastAsia="Palatino Linotype" w:hAnsi="Arial" w:cs="Arial"/>
          <w:i/>
          <w:szCs w:val="22"/>
        </w:rPr>
        <w:t>r</w:t>
      </w:r>
      <w:r w:rsidRPr="00AF3FEE">
        <w:rPr>
          <w:rFonts w:ascii="Arial" w:eastAsia="Palatino Linotype" w:hAnsi="Arial" w:cs="Arial"/>
          <w:i/>
          <w:szCs w:val="22"/>
        </w:rPr>
        <w:t>azvoj znanj in spretnosti za pametno specializacijo, industrijsko tranzicijo in podjetništvo</w:t>
      </w:r>
      <w:r w:rsidRPr="00AF3FEE">
        <w:rPr>
          <w:rFonts w:ascii="Arial" w:eastAsia="Palatino Linotype" w:hAnsi="Arial" w:cs="Arial"/>
          <w:szCs w:val="22"/>
        </w:rPr>
        <w:t xml:space="preserve"> </w:t>
      </w:r>
      <w:r w:rsidR="00E67B4B">
        <w:rPr>
          <w:rFonts w:ascii="Arial" w:eastAsia="Palatino Linotype" w:hAnsi="Arial" w:cs="Arial"/>
          <w:szCs w:val="22"/>
        </w:rPr>
        <w:t>ter</w:t>
      </w:r>
      <w:r w:rsidR="00E67B4B" w:rsidRPr="00AF3FEE">
        <w:rPr>
          <w:rFonts w:ascii="Arial" w:eastAsia="Palatino Linotype" w:hAnsi="Arial" w:cs="Arial"/>
          <w:szCs w:val="22"/>
        </w:rPr>
        <w:t xml:space="preserve"> </w:t>
      </w:r>
      <w:r w:rsidR="00E67B4B">
        <w:rPr>
          <w:rFonts w:ascii="Arial" w:eastAsia="Palatino Linotype" w:hAnsi="Arial" w:cs="Arial"/>
          <w:i/>
          <w:szCs w:val="22"/>
        </w:rPr>
        <w:t>d</w:t>
      </w:r>
      <w:r w:rsidRPr="00AF3FEE">
        <w:rPr>
          <w:rFonts w:ascii="Arial" w:eastAsia="Palatino Linotype" w:hAnsi="Arial" w:cs="Arial"/>
          <w:i/>
          <w:szCs w:val="22"/>
        </w:rPr>
        <w:t>igitalna preobrazba</w:t>
      </w:r>
      <w:r w:rsidRPr="00AF3FEE">
        <w:rPr>
          <w:rFonts w:ascii="Arial" w:eastAsia="Palatino Linotype" w:hAnsi="Arial" w:cs="Arial"/>
          <w:szCs w:val="22"/>
        </w:rPr>
        <w:t>).</w:t>
      </w:r>
      <w:r w:rsidRPr="00AF3FEE">
        <w:rPr>
          <w:rFonts w:ascii="Arial" w:eastAsia="Palatino Linotype" w:hAnsi="Arial" w:cs="Arial"/>
          <w:b/>
          <w:szCs w:val="22"/>
        </w:rPr>
        <w:t xml:space="preserve"> </w:t>
      </w:r>
    </w:p>
    <w:p w14:paraId="45F8B9E9" w14:textId="77777777" w:rsidR="00AF3FEE" w:rsidRPr="00AF3FEE" w:rsidRDefault="00AF3FEE" w:rsidP="00AF3FEE">
      <w:pPr>
        <w:pStyle w:val="BodyText"/>
        <w:rPr>
          <w:rFonts w:ascii="Arial" w:hAnsi="Arial" w:cs="Arial"/>
          <w:szCs w:val="22"/>
        </w:rPr>
      </w:pPr>
      <w:r w:rsidRPr="00AF3FEE">
        <w:rPr>
          <w:rFonts w:ascii="Arial" w:eastAsia="Palatino Linotype" w:hAnsi="Arial" w:cs="Arial"/>
          <w:szCs w:val="22"/>
        </w:rPr>
        <w:t>Za industrijo so seveda pomembni tudi vsi ukrepi, navedeni v poglavju o večsektorskih instrumentih.</w:t>
      </w:r>
      <w:r w:rsidRPr="00AF3FEE">
        <w:rPr>
          <w:rFonts w:ascii="Arial" w:eastAsia="Palatino Linotype" w:hAnsi="Arial" w:cs="Arial"/>
          <w:i/>
          <w:iCs/>
          <w:szCs w:val="22"/>
        </w:rPr>
        <w:t xml:space="preserve"> </w:t>
      </w:r>
    </w:p>
    <w:p w14:paraId="72010CE3" w14:textId="77777777" w:rsidR="00AF3FEE" w:rsidRPr="00AF3FEE" w:rsidRDefault="00AF3FEE" w:rsidP="00AF3FEE">
      <w:pPr>
        <w:pStyle w:val="Heading41"/>
        <w:jc w:val="both"/>
        <w:rPr>
          <w:rFonts w:cs="Arial"/>
          <w:szCs w:val="22"/>
          <w:lang w:val="sl-SI"/>
        </w:rPr>
      </w:pPr>
      <w:r w:rsidRPr="00AF3FEE">
        <w:rPr>
          <w:rFonts w:cs="Arial"/>
          <w:szCs w:val="22"/>
          <w:lang w:val="sl-SI"/>
        </w:rPr>
        <w:t>Dodatne aktivnosti za spodbujanje učinkovite rabe energije in rabe OVE v industriji</w:t>
      </w:r>
    </w:p>
    <w:p w14:paraId="2D585A3A" w14:textId="6C43D2E8" w:rsidR="00AF3FEE" w:rsidRPr="00AF3FEE" w:rsidRDefault="00AF3FEE" w:rsidP="00AF3FEE">
      <w:pPr>
        <w:spacing w:line="245" w:lineRule="auto"/>
        <w:jc w:val="both"/>
        <w:rPr>
          <w:rFonts w:ascii="Arial" w:eastAsia="Palatino Linotype" w:hAnsi="Arial" w:cs="Arial"/>
          <w:i/>
          <w:iCs/>
        </w:rPr>
      </w:pPr>
      <w:r w:rsidRPr="00AF3FEE">
        <w:rPr>
          <w:rFonts w:ascii="Arial" w:eastAsia="Palatino Linotype" w:hAnsi="Arial" w:cs="Arial"/>
          <w:b/>
          <w:bCs/>
        </w:rPr>
        <w:t xml:space="preserve">Sektorji, na katere </w:t>
      </w:r>
      <w:r w:rsidR="003F3D00" w:rsidRPr="00AF3FEE">
        <w:rPr>
          <w:rFonts w:ascii="Arial" w:eastAsia="Palatino Linotype" w:hAnsi="Arial" w:cs="Arial"/>
          <w:b/>
          <w:bCs/>
        </w:rPr>
        <w:t xml:space="preserve">vpliva </w:t>
      </w:r>
      <w:r w:rsidRPr="00AF3FEE">
        <w:rPr>
          <w:rFonts w:ascii="Arial" w:eastAsia="Palatino Linotype" w:hAnsi="Arial" w:cs="Arial"/>
          <w:b/>
          <w:bCs/>
        </w:rPr>
        <w:t>izvajanje ukrepa</w:t>
      </w:r>
      <w:r w:rsidRPr="00A57F7D">
        <w:rPr>
          <w:rFonts w:ascii="Arial" w:eastAsia="Palatino Linotype" w:hAnsi="Arial" w:cs="Arial"/>
          <w:bCs/>
        </w:rPr>
        <w:t xml:space="preserve">: </w:t>
      </w:r>
      <w:r w:rsidRPr="0038553C">
        <w:rPr>
          <w:rFonts w:ascii="Arial" w:eastAsia="Palatino Linotype" w:hAnsi="Arial" w:cs="Arial"/>
        </w:rPr>
        <w:t>raba energije v industriji in gradbeništvu</w:t>
      </w:r>
      <w:r w:rsidR="00E67B4B">
        <w:rPr>
          <w:rFonts w:ascii="Arial" w:eastAsia="Palatino Linotype" w:hAnsi="Arial" w:cs="Arial"/>
        </w:rPr>
        <w:t>.</w:t>
      </w:r>
    </w:p>
    <w:p w14:paraId="318A1CFE" w14:textId="5209D1BE" w:rsidR="00AF3FEE" w:rsidRPr="00AF3FEE" w:rsidRDefault="00AF3FEE" w:rsidP="00AF3FEE">
      <w:pPr>
        <w:spacing w:line="245" w:lineRule="auto"/>
        <w:jc w:val="both"/>
        <w:rPr>
          <w:rFonts w:ascii="Arial" w:hAnsi="Arial" w:cs="Arial"/>
        </w:rPr>
      </w:pPr>
      <w:r w:rsidRPr="00AF3FEE">
        <w:rPr>
          <w:rFonts w:ascii="Arial" w:eastAsia="Palatino Linotype" w:hAnsi="Arial" w:cs="Arial"/>
        </w:rPr>
        <w:lastRenderedPageBreak/>
        <w:t xml:space="preserve">NEPN predvideva kar nekaj finančnih spodbud v obliki povratnih in nepovratnih sredstev za spodbujanje učinkovite rabe energije in vpeljave OVE v industriji. V okviru Zakona o spodbujanju investicij (ZSInv) je predvidena intenzivna podpora investicijam v zeleni tehnološki prehod, pri čemer se sredstva usmerjajo </w:t>
      </w:r>
      <w:r w:rsidR="00CC2786">
        <w:rPr>
          <w:rFonts w:ascii="Arial" w:eastAsia="Palatino Linotype" w:hAnsi="Arial" w:cs="Arial"/>
        </w:rPr>
        <w:t xml:space="preserve">v skladu </w:t>
      </w:r>
      <w:r w:rsidRPr="00AF3FEE">
        <w:rPr>
          <w:rFonts w:ascii="Arial" w:eastAsia="Palatino Linotype" w:hAnsi="Arial" w:cs="Arial"/>
        </w:rPr>
        <w:t>s kriteriji URE/OVE/nizkoogljičnosti in krožnosti, še posebej</w:t>
      </w:r>
      <w:r w:rsidR="00E67B4B">
        <w:rPr>
          <w:rFonts w:ascii="Arial" w:eastAsia="Palatino Linotype" w:hAnsi="Arial" w:cs="Arial"/>
        </w:rPr>
        <w:t>,</w:t>
      </w:r>
      <w:r w:rsidRPr="00AF3FEE">
        <w:rPr>
          <w:rFonts w:ascii="Arial" w:eastAsia="Palatino Linotype" w:hAnsi="Arial" w:cs="Arial"/>
        </w:rPr>
        <w:t xml:space="preserve"> kadar so financirana iz namenskih virov (</w:t>
      </w:r>
      <w:r w:rsidR="004F2B0D">
        <w:rPr>
          <w:rFonts w:ascii="Arial" w:eastAsia="Palatino Linotype" w:hAnsi="Arial" w:cs="Arial"/>
        </w:rPr>
        <w:t>na primer</w:t>
      </w:r>
      <w:r w:rsidRPr="00AF3FEE">
        <w:rPr>
          <w:rFonts w:ascii="Arial" w:eastAsia="Palatino Linotype" w:hAnsi="Arial" w:cs="Arial"/>
        </w:rPr>
        <w:t xml:space="preserve"> Sklad za podnebne spremembe). Poseben poudarek je na malih in srednje velikih podjetjih ter kompleksnih večsektorskih projektih.</w:t>
      </w:r>
    </w:p>
    <w:p w14:paraId="1A86FF69" w14:textId="77777777" w:rsidR="00AF3FEE" w:rsidRPr="00AF3FEE" w:rsidRDefault="00AF3FEE" w:rsidP="00AF3FEE">
      <w:pPr>
        <w:spacing w:line="245" w:lineRule="auto"/>
        <w:jc w:val="both"/>
        <w:rPr>
          <w:rFonts w:ascii="Arial" w:hAnsi="Arial" w:cs="Arial"/>
        </w:rPr>
      </w:pPr>
      <w:r w:rsidRPr="00AF3FEE">
        <w:rPr>
          <w:rFonts w:ascii="Arial" w:eastAsia="Palatino Linotype" w:hAnsi="Arial" w:cs="Arial"/>
        </w:rPr>
        <w:t>V okviru projekta LIFE IP Care4Climate do leta 2026 potekajo aktivnosti, kot so tehnična pomoč pri pozivih Eko sklada ter analiza in oblikovanje novih spodbud za gospodarstvo na področju URE in OVE.</w:t>
      </w:r>
    </w:p>
    <w:p w14:paraId="48012F64" w14:textId="0A67379A" w:rsidR="00AF3FEE" w:rsidRPr="00AF3FEE" w:rsidRDefault="00AF3FEE" w:rsidP="00AF3FEE">
      <w:pPr>
        <w:spacing w:line="245" w:lineRule="auto"/>
        <w:jc w:val="both"/>
        <w:rPr>
          <w:rFonts w:ascii="Arial" w:hAnsi="Arial" w:cs="Arial"/>
        </w:rPr>
      </w:pPr>
      <w:r w:rsidRPr="00AF3FEE">
        <w:rPr>
          <w:rFonts w:ascii="Arial" w:eastAsia="Palatino Linotype" w:hAnsi="Arial" w:cs="Arial"/>
        </w:rPr>
        <w:t xml:space="preserve">Razvija se shema spodbud za URE in OVE v industriji, ki vključuje različne finančne instrumente (povratna, nepovratna sredstva, »blending«), primarno iz sredstev </w:t>
      </w:r>
      <w:r w:rsidR="00475B85" w:rsidRPr="00AF3FEE">
        <w:rPr>
          <w:rFonts w:ascii="Arial" w:eastAsia="Palatino Linotype" w:hAnsi="Arial" w:cs="Arial"/>
        </w:rPr>
        <w:t xml:space="preserve">EU </w:t>
      </w:r>
      <w:r w:rsidRPr="00AF3FEE">
        <w:rPr>
          <w:rFonts w:ascii="Arial" w:eastAsia="Palatino Linotype" w:hAnsi="Arial" w:cs="Arial"/>
        </w:rPr>
        <w:t xml:space="preserve">in REPowerEU ter Eko sklada. To zajema širitev nabora ukrepov in povečanje obsega sredstev </w:t>
      </w:r>
      <w:r w:rsidR="00E67B4B">
        <w:rPr>
          <w:rFonts w:ascii="Arial" w:eastAsia="Palatino Linotype" w:hAnsi="Arial" w:cs="Arial"/>
        </w:rPr>
        <w:t>ter</w:t>
      </w:r>
      <w:r w:rsidR="00E67B4B" w:rsidRPr="00AF3FEE">
        <w:rPr>
          <w:rFonts w:ascii="Arial" w:eastAsia="Palatino Linotype" w:hAnsi="Arial" w:cs="Arial"/>
        </w:rPr>
        <w:t xml:space="preserve"> </w:t>
      </w:r>
      <w:r w:rsidRPr="00AF3FEE">
        <w:rPr>
          <w:rFonts w:ascii="Arial" w:eastAsia="Palatino Linotype" w:hAnsi="Arial" w:cs="Arial"/>
        </w:rPr>
        <w:t>pripravo ciljnih podpornih mehanizmov, vključno s spodbujanjem energetskega pogodbeništva. Spodbude bodo namenjene tudi vzpostavitvi energetskih skupnosti, ki povezujejo industrijo, lokalno energetiko in prebivalce za izkoriščanje sinergijskih učinkov, kot so odvečna toplota, uporaba vodika in skupnostne sončne elektrarne.</w:t>
      </w:r>
    </w:p>
    <w:p w14:paraId="7083FDC5" w14:textId="3BAFDAEB" w:rsidR="00AF3FEE" w:rsidRPr="00AF3FEE" w:rsidRDefault="00AF3FEE" w:rsidP="00AF3FEE">
      <w:pPr>
        <w:spacing w:line="245" w:lineRule="auto"/>
        <w:jc w:val="both"/>
        <w:rPr>
          <w:rFonts w:ascii="Arial" w:hAnsi="Arial" w:cs="Arial"/>
        </w:rPr>
      </w:pPr>
      <w:r w:rsidRPr="00AF3FEE">
        <w:rPr>
          <w:rFonts w:ascii="Arial" w:eastAsia="Palatino Linotype" w:hAnsi="Arial" w:cs="Arial"/>
        </w:rPr>
        <w:t>Na podlagi Uredbe o posrednih stroških (Uradni list RS, št. 25/23) so v NEPN predvidene spodbude za izboljšanje energetske in snovne učinkovitosti, proizvodnjo energije iz obnovljivih virov (OVE) ter naložbe za zmanjšanje procesnih emisij TGP in drugih onesnaževal. Uredba določa način in pogoje za dodelitev nadomestil sektorjem, ki so izpostavljeni tveganju premestitve emisij CO</w:t>
      </w:r>
      <w:r w:rsidRPr="00AF3FEE">
        <w:rPr>
          <w:rFonts w:ascii="Cambria Math" w:eastAsia="Palatino Linotype" w:hAnsi="Cambria Math" w:cs="Cambria Math"/>
        </w:rPr>
        <w:t>₂</w:t>
      </w:r>
      <w:r w:rsidRPr="00AF3FEE">
        <w:rPr>
          <w:rFonts w:ascii="Arial" w:eastAsia="Palatino Linotype" w:hAnsi="Arial" w:cs="Arial"/>
        </w:rPr>
        <w:t>. Za učinkovito uporabo sredstev bodo pripravljena podrobna merila, ki bodo zagotovila, da dodeljena sredstva neposredno prispevajo k zmanjšanju emisij in trajnostnemu razvoju industrije.</w:t>
      </w:r>
    </w:p>
    <w:p w14:paraId="12AB64BB" w14:textId="1B6A6A56" w:rsidR="00AF3FEE" w:rsidRPr="00AF3FEE" w:rsidRDefault="00AF3FEE" w:rsidP="00AF3FEE">
      <w:pPr>
        <w:spacing w:line="245" w:lineRule="auto"/>
        <w:jc w:val="both"/>
        <w:rPr>
          <w:rFonts w:ascii="Arial" w:hAnsi="Arial" w:cs="Arial"/>
        </w:rPr>
      </w:pPr>
      <w:r w:rsidRPr="00AF3FEE">
        <w:rPr>
          <w:rFonts w:ascii="Arial" w:eastAsia="Palatino Linotype" w:hAnsi="Arial" w:cs="Arial"/>
        </w:rPr>
        <w:t xml:space="preserve">Za MSP se oblikujejo spodbujevalni programi in tehnična pomoč, da bi spodbudili mala in srednja podjetja, </w:t>
      </w:r>
      <w:r w:rsidR="00A24C50">
        <w:rPr>
          <w:rFonts w:ascii="Arial" w:eastAsia="Palatino Linotype" w:hAnsi="Arial" w:cs="Arial"/>
        </w:rPr>
        <w:t>ki</w:t>
      </w:r>
      <w:r w:rsidR="00A24C50" w:rsidRPr="00AF3FEE">
        <w:rPr>
          <w:rFonts w:ascii="Arial" w:eastAsia="Palatino Linotype" w:hAnsi="Arial" w:cs="Arial"/>
        </w:rPr>
        <w:t xml:space="preserve"> </w:t>
      </w:r>
      <w:r w:rsidRPr="00AF3FEE">
        <w:rPr>
          <w:rFonts w:ascii="Arial" w:eastAsia="Palatino Linotype" w:hAnsi="Arial" w:cs="Arial"/>
        </w:rPr>
        <w:t>niso zavezana k izvajanju energetskih pregledov in naknadnemu izvajanju priporočil, ki izhajajo iz teh pregledov.</w:t>
      </w:r>
    </w:p>
    <w:p w14:paraId="54441EA4" w14:textId="6D86F101" w:rsidR="00AF3FEE" w:rsidRPr="0038553C" w:rsidRDefault="0038553C" w:rsidP="0038553C">
      <w:pPr>
        <w:pStyle w:val="Heading3"/>
      </w:pPr>
      <w:bookmarkStart w:id="77" w:name="_Toc196300816"/>
      <w:r w:rsidRPr="0038553C">
        <w:t xml:space="preserve">II.D.4 </w:t>
      </w:r>
      <w:r w:rsidR="00AF3FEE" w:rsidRPr="0038553C">
        <w:t xml:space="preserve">Raba energije </w:t>
      </w:r>
      <w:r w:rsidR="00A24C50">
        <w:t>–</w:t>
      </w:r>
      <w:r w:rsidR="00AF3FEE" w:rsidRPr="0038553C">
        <w:t xml:space="preserve"> </w:t>
      </w:r>
      <w:r w:rsidR="00A24C50">
        <w:t>s</w:t>
      </w:r>
      <w:r w:rsidR="00AF3FEE" w:rsidRPr="0038553C">
        <w:t>tavbe</w:t>
      </w:r>
      <w:bookmarkEnd w:id="77"/>
    </w:p>
    <w:p w14:paraId="54586912" w14:textId="77777777" w:rsidR="00AF3FEE" w:rsidRPr="00AF3FEE" w:rsidRDefault="00AF3FEE" w:rsidP="00AF3FEE">
      <w:pPr>
        <w:pStyle w:val="Heading41"/>
        <w:jc w:val="both"/>
        <w:rPr>
          <w:rFonts w:cs="Arial"/>
          <w:szCs w:val="22"/>
        </w:rPr>
      </w:pPr>
      <w:bookmarkStart w:id="78" w:name="_Ref121236974"/>
      <w:r w:rsidRPr="00AF3FEE">
        <w:rPr>
          <w:rFonts w:cs="Arial"/>
          <w:szCs w:val="22"/>
        </w:rPr>
        <w:t xml:space="preserve">SPODBUJANJE URE IN RABE OVE </w:t>
      </w:r>
      <w:bookmarkEnd w:id="78"/>
      <w:r w:rsidRPr="00AF3FEE">
        <w:rPr>
          <w:rFonts w:cs="Arial"/>
          <w:szCs w:val="22"/>
        </w:rPr>
        <w:t>V STAVBAH NA SPLOŠNO</w:t>
      </w:r>
    </w:p>
    <w:p w14:paraId="5EC3BC2B" w14:textId="6EF3BA90" w:rsidR="00AF3FEE" w:rsidRPr="00AF3FEE" w:rsidRDefault="00AF3FEE" w:rsidP="00AF3FEE">
      <w:pPr>
        <w:pStyle w:val="Naslov-VplivUkrepa-Sektorji"/>
        <w:jc w:val="both"/>
        <w:rPr>
          <w:rFonts w:ascii="Arial" w:hAnsi="Arial" w:cs="Arial"/>
          <w:noProof/>
          <w:szCs w:val="22"/>
        </w:rPr>
      </w:pPr>
      <w:r w:rsidRPr="00AF3FEE">
        <w:rPr>
          <w:rFonts w:ascii="Arial" w:hAnsi="Arial" w:cs="Arial"/>
          <w:noProof/>
          <w:szCs w:val="22"/>
        </w:rPr>
        <w:t xml:space="preserve">Sektorji, na katere </w:t>
      </w:r>
      <w:r w:rsidR="003F3D00"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javnem sektorju, zasebnem storitvenem sektorju in gospodinjstvih</w:t>
      </w:r>
      <w:r w:rsidR="00E67B4B">
        <w:rPr>
          <w:rFonts w:ascii="Arial" w:hAnsi="Arial" w:cs="Arial"/>
          <w:b w:val="0"/>
          <w:noProof/>
          <w:szCs w:val="22"/>
        </w:rPr>
        <w:t>.</w:t>
      </w:r>
    </w:p>
    <w:p w14:paraId="1616954A"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Predpisi in strateški razvojni dokumenti za energetsko učinkovitost stavb</w:t>
      </w:r>
    </w:p>
    <w:p w14:paraId="7B69FF49" w14:textId="6C34E940" w:rsidR="00AF3FEE" w:rsidRPr="00AF3FEE" w:rsidRDefault="00AF3FEE" w:rsidP="00AF3FEE">
      <w:pPr>
        <w:jc w:val="both"/>
        <w:rPr>
          <w:rFonts w:ascii="Arial" w:hAnsi="Arial" w:cs="Arial"/>
        </w:rPr>
      </w:pPr>
      <w:r w:rsidRPr="00AF3FEE">
        <w:rPr>
          <w:rFonts w:ascii="Arial" w:hAnsi="Arial" w:cs="Arial"/>
          <w:noProof/>
        </w:rPr>
        <w:t xml:space="preserve">Leta 2022 je bil sprejet nov </w:t>
      </w:r>
      <w:hyperlink r:id="rId31" w:tgtFrame="_blank" w:tooltip="Pravilnik o učinkoviti rabi energije v stavbah" w:history="1">
        <w:r w:rsidRPr="00AF3FEE">
          <w:rPr>
            <w:rFonts w:ascii="Arial" w:hAnsi="Arial" w:cs="Arial"/>
            <w:i/>
            <w:iCs/>
            <w:noProof/>
          </w:rPr>
          <w:t>Pravilnik o učinkoviti rabi energije v stavbah (PURES)</w:t>
        </w:r>
        <w:r w:rsidR="00A24C50">
          <w:rPr>
            <w:rFonts w:ascii="Arial" w:hAnsi="Arial" w:cs="Arial"/>
            <w:iCs/>
            <w:noProof/>
          </w:rPr>
          <w:t>,</w:t>
        </w:r>
        <w:r w:rsidRPr="00AF3FEE">
          <w:rPr>
            <w:rFonts w:ascii="Arial" w:hAnsi="Arial" w:cs="Arial"/>
            <w:noProof/>
            <w:vertAlign w:val="superscript"/>
          </w:rPr>
          <w:footnoteReference w:id="69"/>
        </w:r>
      </w:hyperlink>
      <w:r w:rsidRPr="00AF3FEE">
        <w:rPr>
          <w:rFonts w:ascii="Arial" w:hAnsi="Arial" w:cs="Arial"/>
          <w:noProof/>
        </w:rPr>
        <w:t xml:space="preserve"> ki skupaj s </w:t>
      </w:r>
      <w:r w:rsidRPr="00AF3FEE">
        <w:rPr>
          <w:rFonts w:ascii="Arial" w:hAnsi="Arial" w:cs="Arial"/>
          <w:i/>
          <w:iCs/>
          <w:noProof/>
        </w:rPr>
        <w:t>Tehnično smernico – Učinkovita raba energije TSG-1-004:2010</w:t>
      </w:r>
      <w:r w:rsidRPr="00AF3FEE">
        <w:rPr>
          <w:rFonts w:ascii="Arial" w:hAnsi="Arial" w:cs="Arial"/>
          <w:noProof/>
        </w:rPr>
        <w:t xml:space="preserve"> podaja zahteve za minimalno energetsko učinkovitost stavb za novogradnje in večje prenove obstoječih stavb ter minimalne zahteve za vzdrževanje in tehnične izboljšave</w:t>
      </w:r>
      <w:r w:rsidR="00A24C50">
        <w:rPr>
          <w:rFonts w:ascii="Arial" w:hAnsi="Arial" w:cs="Arial"/>
          <w:noProof/>
        </w:rPr>
        <w:t>.</w:t>
      </w:r>
      <w:r w:rsidRPr="00AF3FEE">
        <w:rPr>
          <w:rStyle w:val="FootnoteReference"/>
          <w:rFonts w:ascii="Arial" w:hAnsi="Arial" w:cs="Arial"/>
          <w:noProof/>
        </w:rPr>
        <w:footnoteReference w:id="70"/>
      </w:r>
      <w:r w:rsidRPr="00AF3FEE">
        <w:rPr>
          <w:rFonts w:ascii="Arial" w:hAnsi="Arial" w:cs="Arial"/>
          <w:noProof/>
        </w:rPr>
        <w:t xml:space="preserve"> Nova posodobitev PURES je načrtovana za leto 2026.</w:t>
      </w:r>
    </w:p>
    <w:p w14:paraId="2C7397B2" w14:textId="5478157B" w:rsidR="00AF3FEE" w:rsidRPr="00AF3FEE" w:rsidRDefault="00AF3FEE" w:rsidP="00AF3FEE">
      <w:pPr>
        <w:jc w:val="both"/>
        <w:rPr>
          <w:rFonts w:ascii="Arial" w:hAnsi="Arial" w:cs="Arial"/>
        </w:rPr>
      </w:pPr>
      <w:r w:rsidRPr="00AF3FEE">
        <w:rPr>
          <w:rFonts w:ascii="Arial" w:hAnsi="Arial" w:cs="Arial"/>
          <w:noProof/>
        </w:rPr>
        <w:t xml:space="preserve">V letu 2021 je bila sprejeta </w:t>
      </w:r>
      <w:r w:rsidRPr="00AF3FEE">
        <w:rPr>
          <w:rFonts w:ascii="Arial" w:hAnsi="Arial" w:cs="Arial"/>
          <w:i/>
          <w:iCs/>
          <w:noProof/>
        </w:rPr>
        <w:t>Dolgoročna strategija energetske prenove stavb do leta 2050 (DSEPS 2050)</w:t>
      </w:r>
      <w:r w:rsidR="00A24C50">
        <w:rPr>
          <w:rFonts w:ascii="Arial" w:hAnsi="Arial" w:cs="Arial"/>
          <w:iCs/>
          <w:noProof/>
        </w:rPr>
        <w:t>,</w:t>
      </w:r>
      <w:r w:rsidRPr="00A57F7D">
        <w:rPr>
          <w:rStyle w:val="FootnoteReference"/>
          <w:rFonts w:ascii="Arial" w:hAnsi="Arial" w:cs="Arial"/>
          <w:noProof/>
        </w:rPr>
        <w:footnoteReference w:id="71"/>
      </w:r>
      <w:r w:rsidRPr="00AF3FEE">
        <w:rPr>
          <w:rFonts w:ascii="Arial" w:hAnsi="Arial" w:cs="Arial"/>
          <w:noProof/>
        </w:rPr>
        <w:t xml:space="preserve"> ki si kot osnovni cilj zastavlja prenovo nacionalnega fonda obstoječih javnih in zasebnih stanovanjskih in nestanovanjskih stavb v visokoenergetsko učinkovit in razogljičen stavbni fond do leta 2050. Cilj do leta 2030 je zmanjšanje emisij toplogrednih plinov (TGP) v stavbah za vsaj 70 </w:t>
      </w:r>
      <w:r w:rsidR="00A24C50">
        <w:rPr>
          <w:rFonts w:ascii="Arial" w:hAnsi="Arial" w:cs="Arial"/>
          <w:noProof/>
        </w:rPr>
        <w:t>%</w:t>
      </w:r>
      <w:r w:rsidR="00A24C50" w:rsidRPr="00AF3FEE">
        <w:rPr>
          <w:rFonts w:ascii="Arial" w:hAnsi="Arial" w:cs="Arial"/>
          <w:noProof/>
        </w:rPr>
        <w:t xml:space="preserve"> </w:t>
      </w:r>
      <w:r w:rsidRPr="00AF3FEE">
        <w:rPr>
          <w:rFonts w:ascii="Arial" w:hAnsi="Arial" w:cs="Arial"/>
          <w:noProof/>
        </w:rPr>
        <w:t xml:space="preserve">glede na leto 2005 in približevanje neto ničelnim emisijam v sektorju stavb do leta 2050, kar bo doseženo z nadaljnjim spodbujanjem visoke stopnje energetskih </w:t>
      </w:r>
      <w:r w:rsidRPr="00AF3FEE">
        <w:rPr>
          <w:rFonts w:ascii="Arial" w:hAnsi="Arial" w:cs="Arial"/>
          <w:noProof/>
        </w:rPr>
        <w:lastRenderedPageBreak/>
        <w:t>prenov stavb in ogrevanja s tehnologijami OVE, vključno s sistemi daljinskega ogrevanja, ki izkoriščajo OVE. Zaradi prenovljene Direktive o energetski učinkovitosti stavb iz leta 2024</w:t>
      </w:r>
      <w:r w:rsidRPr="00AF3FEE">
        <w:rPr>
          <w:rStyle w:val="FootnoteReference"/>
          <w:rFonts w:ascii="Arial" w:hAnsi="Arial" w:cs="Arial"/>
          <w:noProof/>
        </w:rPr>
        <w:footnoteReference w:id="72"/>
      </w:r>
      <w:r w:rsidRPr="00AF3FEE">
        <w:rPr>
          <w:rFonts w:ascii="Arial" w:hAnsi="Arial" w:cs="Arial"/>
          <w:noProof/>
        </w:rPr>
        <w:t xml:space="preserve"> je do leta 2026 za prenos zahtev načrtovana prenova DSEPS.</w:t>
      </w:r>
    </w:p>
    <w:p w14:paraId="698F4B06"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Energetska prenova stavb</w:t>
      </w:r>
    </w:p>
    <w:p w14:paraId="393E0A55" w14:textId="2EEA7F28" w:rsidR="00AF3FEE" w:rsidRPr="00AF3FEE" w:rsidRDefault="00AF3FEE" w:rsidP="00AF3FEE">
      <w:pPr>
        <w:jc w:val="both"/>
        <w:rPr>
          <w:rFonts w:ascii="Arial" w:hAnsi="Arial" w:cs="Arial"/>
        </w:rPr>
      </w:pPr>
      <w:r w:rsidRPr="00AF3FEE">
        <w:rPr>
          <w:rFonts w:ascii="Arial" w:hAnsi="Arial" w:cs="Arial"/>
        </w:rPr>
        <w:t xml:space="preserve">V podporo energetski prenovi stavb je bil z DSEPS 2050 uveljavljen in z NEPN 2024 nadgrajen instrument, namenjen vzpostavitvi in nadgradnji sistema zagotavljanja kakovosti energetske prenove stavb v okviru strukturiranega procesa sodelovanja deležnikov, certificiranja izvajalcev in procesov ter izobraževanja oziroma usposabljanja deležnikov. Instrument se delno izvaja v okviru projekta </w:t>
      </w:r>
      <w:r w:rsidRPr="00AF3FEE">
        <w:rPr>
          <w:rFonts w:ascii="Arial" w:hAnsi="Arial" w:cs="Arial"/>
          <w:noProof/>
        </w:rPr>
        <w:t>LIFE IP CARE4CLIMATE, ki teče od leta 2019 pod vodstvom MOPE (</w:t>
      </w:r>
      <w:hyperlink r:id="rId32">
        <w:r w:rsidRPr="00AF3FEE">
          <w:rPr>
            <w:rStyle w:val="Hyperlink"/>
            <w:rFonts w:ascii="Arial" w:hAnsi="Arial" w:cs="Arial"/>
          </w:rPr>
          <w:t>https://www.care4climate.si/sl</w:t>
        </w:r>
      </w:hyperlink>
      <w:r w:rsidRPr="00AF3FEE">
        <w:rPr>
          <w:rFonts w:ascii="Arial" w:hAnsi="Arial" w:cs="Arial"/>
          <w:noProof/>
        </w:rPr>
        <w:t>).</w:t>
      </w:r>
    </w:p>
    <w:p w14:paraId="1C1F40F6" w14:textId="37A5411E" w:rsidR="00AF3FEE" w:rsidRPr="00AF3FEE" w:rsidRDefault="00AF3FEE" w:rsidP="00AF3FEE">
      <w:pPr>
        <w:jc w:val="both"/>
        <w:rPr>
          <w:rFonts w:ascii="Arial" w:hAnsi="Arial" w:cs="Arial"/>
          <w:b/>
          <w:bCs/>
          <w:noProof/>
        </w:rPr>
      </w:pPr>
      <w:r w:rsidRPr="00AF3FEE">
        <w:rPr>
          <w:rFonts w:ascii="Arial" w:hAnsi="Arial" w:cs="Arial"/>
        </w:rPr>
        <w:t xml:space="preserve">Eden od izzivov pri prenovi stavb so tudi stavbe kulturne dediščine, saj </w:t>
      </w:r>
      <w:r w:rsidRPr="00AF3FEE">
        <w:rPr>
          <w:rFonts w:ascii="Arial" w:hAnsi="Arial" w:cs="Arial"/>
          <w:noProof/>
        </w:rPr>
        <w:t>zaradi svojih posebnosti običajno zahtevajo višje naložbe in določena odstopanja od zahtevanih parametrov prenove, ki veljajo za druge stavbe</w:t>
      </w:r>
      <w:r w:rsidRPr="00AF3FEE">
        <w:rPr>
          <w:rFonts w:ascii="Arial" w:hAnsi="Arial" w:cs="Arial"/>
        </w:rPr>
        <w:t xml:space="preserve">. </w:t>
      </w:r>
      <w:r w:rsidRPr="00AF3FEE">
        <w:rPr>
          <w:rFonts w:ascii="Arial" w:hAnsi="Arial" w:cs="Arial"/>
          <w:noProof/>
        </w:rPr>
        <w:t xml:space="preserve">Leta 2016 so bile sprejete </w:t>
      </w:r>
      <w:r w:rsidRPr="00AF3FEE">
        <w:rPr>
          <w:rFonts w:ascii="Arial" w:hAnsi="Arial" w:cs="Arial"/>
          <w:i/>
          <w:iCs/>
          <w:noProof/>
        </w:rPr>
        <w:t>Smernice za energetsko prenovo stavb kulturne dediščine</w:t>
      </w:r>
      <w:r w:rsidR="00A24C50">
        <w:rPr>
          <w:rFonts w:ascii="Arial" w:hAnsi="Arial" w:cs="Arial"/>
          <w:iCs/>
          <w:noProof/>
        </w:rPr>
        <w:t>,</w:t>
      </w:r>
      <w:r w:rsidRPr="00AF3FEE">
        <w:rPr>
          <w:rStyle w:val="FootnoteReference"/>
          <w:rFonts w:ascii="Arial" w:hAnsi="Arial" w:cs="Arial"/>
          <w:noProof/>
        </w:rPr>
        <w:footnoteReference w:id="73"/>
      </w:r>
      <w:r w:rsidRPr="00AF3FEE">
        <w:rPr>
          <w:rFonts w:ascii="Arial" w:hAnsi="Arial" w:cs="Arial"/>
          <w:noProof/>
        </w:rPr>
        <w:t xml:space="preserve"> ki vsebujejo usmeritve glede arhitekturno-oblikovnih vidikov energetske prenove, </w:t>
      </w:r>
      <w:r w:rsidR="00A503EB">
        <w:rPr>
          <w:rFonts w:ascii="Arial" w:hAnsi="Arial" w:cs="Arial"/>
          <w:noProof/>
        </w:rPr>
        <w:t xml:space="preserve">v skladu </w:t>
      </w:r>
      <w:r w:rsidRPr="00AF3FEE">
        <w:rPr>
          <w:rFonts w:ascii="Arial" w:hAnsi="Arial" w:cs="Arial"/>
          <w:noProof/>
        </w:rPr>
        <w:t xml:space="preserve">s cilji varovanja, in usmeritve za izvajanje pilotnih projektov. Priprava posodobljenih smernic je načrtovana za leto 2025, njihovo sprejetje pa za leto </w:t>
      </w:r>
      <w:r w:rsidR="00A86890">
        <w:rPr>
          <w:rFonts w:ascii="Arial" w:hAnsi="Arial" w:cs="Arial"/>
          <w:noProof/>
        </w:rPr>
        <w:t>poz</w:t>
      </w:r>
      <w:r w:rsidR="00A86890" w:rsidRPr="00AF3FEE">
        <w:rPr>
          <w:rFonts w:ascii="Arial" w:hAnsi="Arial" w:cs="Arial"/>
          <w:noProof/>
        </w:rPr>
        <w:t>neje</w:t>
      </w:r>
      <w:r w:rsidRPr="00AF3FEE">
        <w:rPr>
          <w:rFonts w:ascii="Arial" w:hAnsi="Arial" w:cs="Arial"/>
          <w:noProof/>
        </w:rPr>
        <w:t xml:space="preserve">. Obenem je načrtovana tudi priprava smernic za usmerjeno financiranje celovitih prenov stavb kulturne dediščine, vključno s posodobitvijo in </w:t>
      </w:r>
      <w:r w:rsidR="00A24C50">
        <w:rPr>
          <w:rFonts w:ascii="Arial" w:hAnsi="Arial" w:cs="Arial"/>
          <w:noProof/>
        </w:rPr>
        <w:t>vključitvijo</w:t>
      </w:r>
      <w:r w:rsidR="00A24C50" w:rsidRPr="00AF3FEE">
        <w:rPr>
          <w:rFonts w:ascii="Arial" w:hAnsi="Arial" w:cs="Arial"/>
          <w:noProof/>
        </w:rPr>
        <w:t xml:space="preserve"> </w:t>
      </w:r>
      <w:r w:rsidRPr="00AF3FEE">
        <w:rPr>
          <w:rFonts w:ascii="Arial" w:hAnsi="Arial" w:cs="Arial"/>
          <w:noProof/>
        </w:rPr>
        <w:t xml:space="preserve">meril za financiranje v javne razpise, s čimer bo omogočen lažji dostop do sredstev za energetsko prenovo teh stavb. V okviru razpisov za kohezijska sredstva v sklopu </w:t>
      </w:r>
      <w:bookmarkStart w:id="79" w:name="_Hlk196208860"/>
      <w:r w:rsidRPr="00AF3FEE">
        <w:rPr>
          <w:rFonts w:ascii="Arial" w:hAnsi="Arial" w:cs="Arial"/>
          <w:noProof/>
        </w:rPr>
        <w:t>Operativnega programa za izvajanje Evropske kohezijske politike</w:t>
      </w:r>
      <w:bookmarkEnd w:id="79"/>
      <w:r w:rsidRPr="00AF3FEE">
        <w:rPr>
          <w:rFonts w:ascii="Arial" w:hAnsi="Arial" w:cs="Arial"/>
          <w:noProof/>
        </w:rPr>
        <w:t xml:space="preserve"> v obdobju 2014−2020 (OP EKP 2014–2020)</w:t>
      </w:r>
      <w:r w:rsidRPr="00AF3FEE">
        <w:rPr>
          <w:rStyle w:val="FootnoteReference"/>
          <w:rFonts w:ascii="Arial" w:hAnsi="Arial" w:cs="Arial"/>
          <w:noProof/>
        </w:rPr>
        <w:footnoteReference w:id="74"/>
      </w:r>
      <w:r w:rsidRPr="00AF3FEE">
        <w:rPr>
          <w:rFonts w:ascii="Arial" w:hAnsi="Arial" w:cs="Arial"/>
          <w:noProof/>
        </w:rPr>
        <w:t xml:space="preserve"> </w:t>
      </w:r>
      <w:r w:rsidR="00E013F0">
        <w:rPr>
          <w:rFonts w:ascii="Arial" w:hAnsi="Arial" w:cs="Arial"/>
          <w:noProof/>
        </w:rPr>
        <w:t xml:space="preserve">so </w:t>
      </w:r>
      <w:r w:rsidRPr="00AF3FEE">
        <w:rPr>
          <w:rFonts w:ascii="Arial" w:hAnsi="Arial" w:cs="Arial"/>
          <w:noProof/>
        </w:rPr>
        <w:t>se te stavbe sicer že ocenjeval</w:t>
      </w:r>
      <w:r w:rsidR="00E013F0">
        <w:rPr>
          <w:rFonts w:ascii="Arial" w:hAnsi="Arial" w:cs="Arial"/>
          <w:noProof/>
        </w:rPr>
        <w:t>e</w:t>
      </w:r>
      <w:r w:rsidRPr="00AF3FEE">
        <w:rPr>
          <w:rFonts w:ascii="Arial" w:hAnsi="Arial" w:cs="Arial"/>
          <w:noProof/>
        </w:rPr>
        <w:t xml:space="preserve"> po </w:t>
      </w:r>
      <w:r w:rsidR="00A503EB">
        <w:rPr>
          <w:rFonts w:ascii="Arial" w:hAnsi="Arial" w:cs="Arial"/>
          <w:noProof/>
        </w:rPr>
        <w:t xml:space="preserve">posebnih </w:t>
      </w:r>
      <w:r w:rsidRPr="00AF3FEE">
        <w:rPr>
          <w:rFonts w:ascii="Arial" w:hAnsi="Arial" w:cs="Arial"/>
          <w:noProof/>
        </w:rPr>
        <w:t>merilih, nepovratne finančne spodbude za njihovo energetsko prenovo pa so iz sredstev evropskih skladov na voljo tudi v programskem obdobju 2021–2027. V obdobju 2023–2026 bo energetska prenova stavb kulturne dediščine sofinancirana tudi iz Sklada za podnebne spremembe, in sicer bodo izvedeni trije projekti, v okviru katerih bo prenovljenih skupno 6110 m</w:t>
      </w:r>
      <w:r w:rsidRPr="00AF3FEE">
        <w:rPr>
          <w:rFonts w:ascii="Arial" w:hAnsi="Arial" w:cs="Arial"/>
          <w:noProof/>
          <w:vertAlign w:val="superscript"/>
        </w:rPr>
        <w:t>2</w:t>
      </w:r>
      <w:r w:rsidRPr="00AF3FEE">
        <w:rPr>
          <w:rFonts w:ascii="Arial" w:hAnsi="Arial" w:cs="Arial"/>
          <w:noProof/>
        </w:rPr>
        <w:t xml:space="preserve"> površine.</w:t>
      </w:r>
    </w:p>
    <w:p w14:paraId="760BEE49"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Energetsko pogodbeništvo (EPO)</w:t>
      </w:r>
    </w:p>
    <w:p w14:paraId="42C16D51" w14:textId="5233AEA2" w:rsidR="00AF3FEE" w:rsidRPr="00AF3FEE" w:rsidRDefault="00AF3FEE" w:rsidP="00AF3FEE">
      <w:pPr>
        <w:jc w:val="both"/>
        <w:rPr>
          <w:rFonts w:ascii="Arial" w:hAnsi="Arial" w:cs="Arial"/>
          <w:noProof/>
        </w:rPr>
      </w:pPr>
      <w:r w:rsidRPr="00AF3FEE">
        <w:rPr>
          <w:rFonts w:ascii="Arial" w:hAnsi="Arial" w:cs="Arial"/>
          <w:noProof/>
        </w:rPr>
        <w:t xml:space="preserve">Namen </w:t>
      </w:r>
      <w:bookmarkStart w:id="80" w:name="_Hlk196208837"/>
      <w:r w:rsidRPr="00AF3FEE">
        <w:rPr>
          <w:rFonts w:ascii="Arial" w:hAnsi="Arial" w:cs="Arial"/>
          <w:noProof/>
        </w:rPr>
        <w:t xml:space="preserve">energetskega pogodbeništva </w:t>
      </w:r>
      <w:bookmarkEnd w:id="80"/>
      <w:r w:rsidRPr="00AF3FEE">
        <w:rPr>
          <w:rFonts w:ascii="Arial" w:hAnsi="Arial" w:cs="Arial"/>
          <w:noProof/>
        </w:rPr>
        <w:t xml:space="preserve">(EPO) je podpreti doseganje večjega obsega energetskih prenov z vključevanjem zasebnih partnerjev. V okviru OP EKP 2014–2020 je bilo v javnem sektorju z nepovratnimi sredstvi iz Kohezijskega sklada podprtih kar 134 projektov. Med njimi je bilo 48 projektov (37 %) izvedenih po modelu EPO. </w:t>
      </w:r>
      <w:r w:rsidR="00E607E8">
        <w:rPr>
          <w:rFonts w:ascii="Arial" w:hAnsi="Arial" w:cs="Arial"/>
          <w:noProof/>
        </w:rPr>
        <w:t>N</w:t>
      </w:r>
      <w:r w:rsidR="004F2B0D">
        <w:rPr>
          <w:rFonts w:ascii="Arial" w:hAnsi="Arial" w:cs="Arial"/>
          <w:noProof/>
        </w:rPr>
        <w:t xml:space="preserve">avedeni </w:t>
      </w:r>
      <w:r w:rsidRPr="00AF3FEE">
        <w:rPr>
          <w:rFonts w:ascii="Arial" w:hAnsi="Arial" w:cs="Arial"/>
          <w:noProof/>
        </w:rPr>
        <w:t xml:space="preserve">projekti so </w:t>
      </w:r>
      <w:r w:rsidR="00E607E8">
        <w:rPr>
          <w:rFonts w:ascii="Arial" w:hAnsi="Arial" w:cs="Arial"/>
          <w:noProof/>
        </w:rPr>
        <w:t xml:space="preserve">zajeli </w:t>
      </w:r>
      <w:r w:rsidRPr="00AF3FEE">
        <w:rPr>
          <w:rFonts w:ascii="Arial" w:hAnsi="Arial" w:cs="Arial"/>
          <w:noProof/>
        </w:rPr>
        <w:t xml:space="preserve">dobri dve tretjini vse površine v projekte vključenih stavb in še malenkost več, 69 % vsega doseženega prihranka energije. V prihodnje sta predvidena nadaljnji razvoj in prenos v prakso obstoječih finančnih instrumentov in modelov financiranja, vključno s širitvijo ukrepa iz javnega sektorja </w:t>
      </w:r>
      <w:r w:rsidR="00740993">
        <w:rPr>
          <w:rFonts w:ascii="Arial" w:hAnsi="Arial" w:cs="Arial"/>
          <w:noProof/>
        </w:rPr>
        <w:t>v</w:t>
      </w:r>
      <w:r w:rsidR="00740993" w:rsidRPr="00AF3FEE">
        <w:rPr>
          <w:rFonts w:ascii="Arial" w:hAnsi="Arial" w:cs="Arial"/>
          <w:noProof/>
        </w:rPr>
        <w:t xml:space="preserve"> </w:t>
      </w:r>
      <w:r w:rsidRPr="00AF3FEE">
        <w:rPr>
          <w:rFonts w:ascii="Arial" w:hAnsi="Arial" w:cs="Arial"/>
          <w:noProof/>
        </w:rPr>
        <w:t>druge sektorje, zlasti stanovanjskega, in spodbujanjem nastanka podjetij za energetske storitve.</w:t>
      </w:r>
    </w:p>
    <w:p w14:paraId="118B8D94"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SPODBUJANJE URE IN RABE OVE V STAVBAH NA SPLOŠNO</w:t>
      </w:r>
    </w:p>
    <w:p w14:paraId="31C30F61" w14:textId="23BF51BF" w:rsidR="00AF3FEE" w:rsidRPr="00AF3FEE" w:rsidRDefault="00AF3FEE" w:rsidP="00AF3FEE">
      <w:pPr>
        <w:pStyle w:val="Naslov-VplivUkrepa-Sektorji"/>
        <w:jc w:val="both"/>
        <w:rPr>
          <w:rFonts w:ascii="Arial" w:hAnsi="Arial" w:cs="Arial"/>
          <w:noProof/>
          <w:szCs w:val="22"/>
        </w:rPr>
      </w:pPr>
      <w:r w:rsidRPr="00AF3FEE">
        <w:rPr>
          <w:rFonts w:ascii="Arial" w:hAnsi="Arial" w:cs="Arial"/>
          <w:noProof/>
          <w:szCs w:val="22"/>
        </w:rPr>
        <w:t xml:space="preserve">Sektorji, na katere </w:t>
      </w:r>
      <w:r w:rsidR="003F3D00"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javnem sektorju, zasebnem storitvenem sektorju in gospodinjstvih</w:t>
      </w:r>
      <w:r w:rsidR="008F164B">
        <w:rPr>
          <w:rFonts w:ascii="Arial" w:hAnsi="Arial" w:cs="Arial"/>
          <w:b w:val="0"/>
          <w:noProof/>
          <w:szCs w:val="22"/>
        </w:rPr>
        <w:t>.</w:t>
      </w:r>
    </w:p>
    <w:p w14:paraId="2331C0F3" w14:textId="5C96A5B8" w:rsidR="00AF3FEE" w:rsidRPr="00AF3FEE" w:rsidRDefault="00AF3FEE" w:rsidP="00AF3FEE">
      <w:pPr>
        <w:jc w:val="both"/>
        <w:rPr>
          <w:rFonts w:ascii="Arial" w:hAnsi="Arial" w:cs="Arial"/>
        </w:rPr>
      </w:pPr>
      <w:r w:rsidRPr="00AF3FEE">
        <w:rPr>
          <w:rFonts w:ascii="Arial" w:hAnsi="Arial" w:cs="Arial"/>
        </w:rPr>
        <w:lastRenderedPageBreak/>
        <w:t xml:space="preserve">V obdobju do leta 2030 je načrtovan prehod na celovite prenove stavb. Ta med drugim vključuje vzpostavitev ustreznega regulatornega okolja za trajnostno vrednotenje stavb, pripravo podlag za spodbujanje in financiranje trajnostne prenove, ki </w:t>
      </w:r>
      <w:r w:rsidRPr="00AF3FEE">
        <w:rPr>
          <w:rFonts w:ascii="Arial" w:hAnsi="Arial" w:cs="Arial"/>
          <w:noProof/>
        </w:rPr>
        <w:t xml:space="preserve">poleg energetske prenove upošteva tudi vse druge pomembne vidike prenove stavb (potresna in požarna varnost, problematika radona </w:t>
      </w:r>
      <w:r w:rsidR="00DC3569">
        <w:rPr>
          <w:rFonts w:ascii="Arial" w:hAnsi="Arial" w:cs="Arial"/>
          <w:noProof/>
        </w:rPr>
        <w:t>in podobno</w:t>
      </w:r>
      <w:r w:rsidRPr="00AF3FEE">
        <w:rPr>
          <w:rFonts w:ascii="Arial" w:hAnsi="Arial" w:cs="Arial"/>
          <w:noProof/>
        </w:rPr>
        <w:t>),</w:t>
      </w:r>
      <w:r w:rsidRPr="00AF3FEE">
        <w:rPr>
          <w:rFonts w:ascii="Arial" w:hAnsi="Arial" w:cs="Arial"/>
        </w:rPr>
        <w:t xml:space="preserve"> izvedbo vzorčnih projektov ter pripravo načrta za trajnostno prenovo stavb in finančnega načrta za njihovo financiranje. V okviru projekta </w:t>
      </w:r>
      <w:r w:rsidRPr="00AF3FEE">
        <w:rPr>
          <w:rFonts w:ascii="Arial" w:hAnsi="Arial" w:cs="Arial"/>
          <w:noProof/>
        </w:rPr>
        <w:t>LIFE IP CARE4CLIMATE</w:t>
      </w:r>
      <w:r w:rsidRPr="00AF3FEE">
        <w:rPr>
          <w:rFonts w:ascii="Arial" w:hAnsi="Arial" w:cs="Arial"/>
          <w:i/>
          <w:iCs/>
          <w:noProof/>
        </w:rPr>
        <w:t xml:space="preserve"> </w:t>
      </w:r>
      <w:r w:rsidRPr="00AF3FEE">
        <w:rPr>
          <w:rFonts w:ascii="Arial" w:hAnsi="Arial" w:cs="Arial"/>
          <w:noProof/>
        </w:rPr>
        <w:t xml:space="preserve">poteka tudi razvoj </w:t>
      </w:r>
      <w:bookmarkStart w:id="81" w:name="_Hlk196208893"/>
      <w:r w:rsidRPr="00AF3FEE">
        <w:rPr>
          <w:rFonts w:ascii="Arial" w:hAnsi="Arial" w:cs="Arial"/>
          <w:noProof/>
        </w:rPr>
        <w:t xml:space="preserve">kazalnikov trajnostne gradnje za Slovenijo </w:t>
      </w:r>
      <w:bookmarkEnd w:id="81"/>
      <w:r w:rsidRPr="00AF3FEE">
        <w:rPr>
          <w:rFonts w:ascii="Arial" w:hAnsi="Arial" w:cs="Arial"/>
          <w:noProof/>
        </w:rPr>
        <w:t>(</w:t>
      </w:r>
      <w:bookmarkStart w:id="82" w:name="_Hlk195707577"/>
      <w:r w:rsidRPr="00AF3FEE">
        <w:rPr>
          <w:rFonts w:ascii="Arial" w:hAnsi="Arial" w:cs="Arial"/>
          <w:noProof/>
        </w:rPr>
        <w:t>SLO kTG</w:t>
      </w:r>
      <w:bookmarkEnd w:id="82"/>
      <w:r w:rsidRPr="00AF3FEE">
        <w:rPr>
          <w:rFonts w:ascii="Arial" w:hAnsi="Arial" w:cs="Arial"/>
          <w:noProof/>
        </w:rPr>
        <w:t xml:space="preserve">), katerih namen je nadaljnje zmanjšanje okoljskih vplivov in emisij TGP v gradbenem sektorju. V </w:t>
      </w:r>
      <w:r w:rsidR="008F164B">
        <w:rPr>
          <w:rFonts w:ascii="Arial" w:hAnsi="Arial" w:cs="Arial"/>
          <w:noProof/>
        </w:rPr>
        <w:t>okviru</w:t>
      </w:r>
      <w:r w:rsidR="008F164B" w:rsidRPr="00AF3FEE">
        <w:rPr>
          <w:rFonts w:ascii="Arial" w:hAnsi="Arial" w:cs="Arial"/>
          <w:noProof/>
        </w:rPr>
        <w:t xml:space="preserve"> </w:t>
      </w:r>
      <w:r w:rsidRPr="00AF3FEE">
        <w:rPr>
          <w:rFonts w:ascii="Arial" w:hAnsi="Arial" w:cs="Arial"/>
          <w:noProof/>
        </w:rPr>
        <w:t>projekta potekata tudi testiranje SLO kTG v praksi in priprava smernic za trajnostno gradnjo.</w:t>
      </w:r>
    </w:p>
    <w:p w14:paraId="46C3F368" w14:textId="4D644DBF" w:rsidR="00AF3FEE" w:rsidRPr="00AF3FEE" w:rsidRDefault="00AF3FEE" w:rsidP="00AF3FEE">
      <w:pPr>
        <w:jc w:val="both"/>
        <w:rPr>
          <w:rFonts w:ascii="Arial" w:hAnsi="Arial" w:cs="Arial"/>
        </w:rPr>
      </w:pPr>
      <w:r w:rsidRPr="00AF3FEE">
        <w:rPr>
          <w:rFonts w:ascii="Arial" w:hAnsi="Arial" w:cs="Arial"/>
          <w:noProof/>
        </w:rPr>
        <w:t xml:space="preserve">V sredini leta 2021 je bil sprejet </w:t>
      </w:r>
      <w:r w:rsidRPr="00AF3FEE">
        <w:rPr>
          <w:rFonts w:ascii="Arial" w:hAnsi="Arial" w:cs="Arial"/>
          <w:i/>
          <w:iCs/>
          <w:noProof/>
        </w:rPr>
        <w:t>Zakon o spodbujanju rabe obnovljivih virov energije (ZSROVE)</w:t>
      </w:r>
      <w:r w:rsidR="00E013F0" w:rsidRPr="00A57F7D">
        <w:rPr>
          <w:rFonts w:ascii="Arial" w:hAnsi="Arial" w:cs="Arial"/>
          <w:iCs/>
          <w:noProof/>
        </w:rPr>
        <w:t>,</w:t>
      </w:r>
      <w:r w:rsidRPr="00A57F7D">
        <w:rPr>
          <w:rStyle w:val="FootnoteReference"/>
          <w:rFonts w:ascii="Arial" w:hAnsi="Arial" w:cs="Arial"/>
          <w:noProof/>
        </w:rPr>
        <w:footnoteReference w:id="75"/>
      </w:r>
      <w:r w:rsidRPr="00E013F0">
        <w:rPr>
          <w:rFonts w:ascii="Arial" w:hAnsi="Arial" w:cs="Arial"/>
          <w:noProof/>
        </w:rPr>
        <w:t xml:space="preserve"> </w:t>
      </w:r>
      <w:r w:rsidRPr="00AF3FEE">
        <w:rPr>
          <w:rFonts w:ascii="Arial" w:hAnsi="Arial" w:cs="Arial"/>
          <w:noProof/>
        </w:rPr>
        <w:t xml:space="preserve">ki v 53. členu prepoveduje projektiranje in vgradnjo kotlov na kurilno olje, mazut in premog, razen </w:t>
      </w:r>
      <w:r w:rsidR="008F164B">
        <w:rPr>
          <w:rFonts w:ascii="Arial" w:hAnsi="Arial" w:cs="Arial"/>
          <w:noProof/>
        </w:rPr>
        <w:t>če</w:t>
      </w:r>
      <w:r w:rsidR="00E013F0" w:rsidRPr="00AF3FEE">
        <w:rPr>
          <w:rFonts w:ascii="Arial" w:hAnsi="Arial" w:cs="Arial"/>
          <w:noProof/>
        </w:rPr>
        <w:t xml:space="preserve"> </w:t>
      </w:r>
      <w:r w:rsidRPr="00AF3FEE">
        <w:rPr>
          <w:rFonts w:ascii="Arial" w:hAnsi="Arial" w:cs="Arial"/>
          <w:noProof/>
        </w:rPr>
        <w:t xml:space="preserve">je uporaba kurilnega olja, mazuta in premoga del industrijskega ali proizvodnega procesa. </w:t>
      </w:r>
      <w:r w:rsidR="004F2B0D">
        <w:rPr>
          <w:rFonts w:ascii="Arial" w:hAnsi="Arial" w:cs="Arial"/>
          <w:noProof/>
        </w:rPr>
        <w:t xml:space="preserve">Navedeni </w:t>
      </w:r>
      <w:r w:rsidRPr="00AF3FEE">
        <w:rPr>
          <w:rFonts w:ascii="Arial" w:hAnsi="Arial" w:cs="Arial"/>
          <w:noProof/>
        </w:rPr>
        <w:t xml:space="preserve">člen je </w:t>
      </w:r>
      <w:r w:rsidR="004F2B0D">
        <w:rPr>
          <w:rFonts w:ascii="Arial" w:hAnsi="Arial" w:cs="Arial"/>
          <w:noProof/>
        </w:rPr>
        <w:t xml:space="preserve">začel veljati </w:t>
      </w:r>
      <w:r w:rsidRPr="00AF3FEE">
        <w:rPr>
          <w:rFonts w:ascii="Arial" w:hAnsi="Arial" w:cs="Arial"/>
          <w:noProof/>
        </w:rPr>
        <w:t xml:space="preserve">1. </w:t>
      </w:r>
      <w:r w:rsidR="004F2B0D" w:rsidRPr="00AF3FEE">
        <w:rPr>
          <w:rFonts w:ascii="Arial" w:hAnsi="Arial" w:cs="Arial"/>
          <w:noProof/>
        </w:rPr>
        <w:t>januarj</w:t>
      </w:r>
      <w:r w:rsidR="004F2B0D">
        <w:rPr>
          <w:rFonts w:ascii="Arial" w:hAnsi="Arial" w:cs="Arial"/>
          <w:noProof/>
        </w:rPr>
        <w:t>a</w:t>
      </w:r>
      <w:r w:rsidR="004F2B0D" w:rsidRPr="00AF3FEE">
        <w:rPr>
          <w:rFonts w:ascii="Arial" w:hAnsi="Arial" w:cs="Arial"/>
          <w:noProof/>
        </w:rPr>
        <w:t xml:space="preserve"> </w:t>
      </w:r>
      <w:r w:rsidRPr="00AF3FEE">
        <w:rPr>
          <w:rFonts w:ascii="Arial" w:hAnsi="Arial" w:cs="Arial"/>
          <w:noProof/>
        </w:rPr>
        <w:t xml:space="preserve">2023. Leta 2025 bo pripravljen program opuščanja uporabe fosilnih virov do leta 2050 za potrebe različnih tipologij stavb. V tem okviru </w:t>
      </w:r>
      <w:r w:rsidR="00E013F0">
        <w:rPr>
          <w:rFonts w:ascii="Arial" w:hAnsi="Arial" w:cs="Arial"/>
          <w:noProof/>
        </w:rPr>
        <w:t>sta</w:t>
      </w:r>
      <w:r w:rsidR="00E013F0" w:rsidRPr="00AF3FEE">
        <w:rPr>
          <w:rFonts w:ascii="Arial" w:hAnsi="Arial" w:cs="Arial"/>
          <w:noProof/>
        </w:rPr>
        <w:t xml:space="preserve"> </w:t>
      </w:r>
      <w:r w:rsidRPr="00AF3FEE">
        <w:rPr>
          <w:rFonts w:ascii="Arial" w:hAnsi="Arial" w:cs="Arial"/>
          <w:noProof/>
        </w:rPr>
        <w:t>predviden</w:t>
      </w:r>
      <w:r w:rsidR="00E013F0">
        <w:rPr>
          <w:rFonts w:ascii="Arial" w:hAnsi="Arial" w:cs="Arial"/>
          <w:noProof/>
        </w:rPr>
        <w:t>i</w:t>
      </w:r>
      <w:r w:rsidRPr="00AF3FEE">
        <w:rPr>
          <w:rFonts w:ascii="Arial" w:hAnsi="Arial" w:cs="Arial"/>
          <w:noProof/>
        </w:rPr>
        <w:t xml:space="preserve"> tudi okrepitev nepovratnih investicijskih spodbud in vzpostavitev dodatnih finančnih instrumentov za zamenjavo sistemov ogrevanja, ki uporabljajo fosilna goriva, z učinkov</w:t>
      </w:r>
      <w:r w:rsidR="008F164B">
        <w:rPr>
          <w:rFonts w:ascii="Arial" w:hAnsi="Arial" w:cs="Arial"/>
          <w:noProof/>
        </w:rPr>
        <w:t>i</w:t>
      </w:r>
      <w:r w:rsidRPr="00AF3FEE">
        <w:rPr>
          <w:rFonts w:ascii="Arial" w:hAnsi="Arial" w:cs="Arial"/>
          <w:noProof/>
        </w:rPr>
        <w:t>timi in trajnostnimi alternativami. Hitrejši prehod na OVE bo</w:t>
      </w:r>
      <w:r w:rsidR="00A70EE9">
        <w:rPr>
          <w:rFonts w:ascii="Arial" w:hAnsi="Arial" w:cs="Arial"/>
          <w:noProof/>
        </w:rPr>
        <w:t xml:space="preserve"> </w:t>
      </w:r>
      <w:r w:rsidR="00DC3569">
        <w:rPr>
          <w:rFonts w:ascii="Arial" w:hAnsi="Arial" w:cs="Arial"/>
          <w:noProof/>
        </w:rPr>
        <w:t xml:space="preserve">treba </w:t>
      </w:r>
      <w:r w:rsidR="00A70EE9">
        <w:rPr>
          <w:rFonts w:ascii="Arial" w:hAnsi="Arial" w:cs="Arial"/>
          <w:noProof/>
        </w:rPr>
        <w:t>podpreti</w:t>
      </w:r>
      <w:r w:rsidRPr="00AF3FEE">
        <w:rPr>
          <w:rFonts w:ascii="Arial" w:hAnsi="Arial" w:cs="Arial"/>
          <w:noProof/>
        </w:rPr>
        <w:t xml:space="preserve"> tudi z ustreznim uravnavanjem višine dajatve na emisije CO</w:t>
      </w:r>
      <w:r w:rsidRPr="00AF3FEE">
        <w:rPr>
          <w:rFonts w:ascii="Arial" w:hAnsi="Arial" w:cs="Arial"/>
          <w:noProof/>
          <w:vertAlign w:val="subscript"/>
        </w:rPr>
        <w:t>2</w:t>
      </w:r>
      <w:r w:rsidRPr="00AF3FEE">
        <w:rPr>
          <w:rFonts w:ascii="Arial" w:hAnsi="Arial" w:cs="Arial"/>
          <w:noProof/>
        </w:rPr>
        <w:t xml:space="preserve"> in</w:t>
      </w:r>
      <w:r w:rsidR="00A70EE9">
        <w:rPr>
          <w:rFonts w:ascii="Arial" w:hAnsi="Arial" w:cs="Arial"/>
          <w:noProof/>
        </w:rPr>
        <w:t xml:space="preserve"> višino</w:t>
      </w:r>
      <w:r w:rsidRPr="00AF3FEE">
        <w:rPr>
          <w:rFonts w:ascii="Arial" w:hAnsi="Arial" w:cs="Arial"/>
          <w:noProof/>
        </w:rPr>
        <w:t xml:space="preserve"> trošarin na fosilne </w:t>
      </w:r>
      <w:r w:rsidR="00A70EE9">
        <w:rPr>
          <w:rFonts w:ascii="Arial" w:hAnsi="Arial" w:cs="Arial"/>
          <w:noProof/>
        </w:rPr>
        <w:t>energente</w:t>
      </w:r>
      <w:r w:rsidRPr="00AF3FEE">
        <w:rPr>
          <w:rFonts w:ascii="Arial" w:hAnsi="Arial" w:cs="Arial"/>
          <w:noProof/>
        </w:rPr>
        <w:t xml:space="preserve"> za ogrevanje.</w:t>
      </w:r>
    </w:p>
    <w:p w14:paraId="665DC168" w14:textId="0C0D4CDB" w:rsidR="00AF3FEE" w:rsidRPr="00AF3FEE" w:rsidRDefault="00AF3FEE" w:rsidP="00AF3FEE">
      <w:pPr>
        <w:jc w:val="both"/>
        <w:rPr>
          <w:rFonts w:ascii="Arial" w:hAnsi="Arial" w:cs="Arial"/>
        </w:rPr>
      </w:pPr>
      <w:r w:rsidRPr="00AF3FEE">
        <w:rPr>
          <w:rFonts w:ascii="Arial" w:hAnsi="Arial" w:cs="Arial"/>
        </w:rPr>
        <w:t>Pomembn</w:t>
      </w:r>
      <w:r w:rsidR="00E013F0">
        <w:rPr>
          <w:rFonts w:ascii="Arial" w:hAnsi="Arial" w:cs="Arial"/>
        </w:rPr>
        <w:t>a</w:t>
      </w:r>
      <w:r w:rsidRPr="00AF3FEE">
        <w:rPr>
          <w:rFonts w:ascii="Arial" w:hAnsi="Arial" w:cs="Arial"/>
        </w:rPr>
        <w:t xml:space="preserve"> dodatn</w:t>
      </w:r>
      <w:r w:rsidR="00E013F0">
        <w:rPr>
          <w:rFonts w:ascii="Arial" w:hAnsi="Arial" w:cs="Arial"/>
        </w:rPr>
        <w:t>a</w:t>
      </w:r>
      <w:r w:rsidRPr="00AF3FEE">
        <w:rPr>
          <w:rFonts w:ascii="Arial" w:hAnsi="Arial" w:cs="Arial"/>
        </w:rPr>
        <w:t xml:space="preserve"> aktivnost </w:t>
      </w:r>
      <w:r w:rsidR="00E013F0">
        <w:rPr>
          <w:rFonts w:ascii="Arial" w:hAnsi="Arial" w:cs="Arial"/>
        </w:rPr>
        <w:t>je</w:t>
      </w:r>
      <w:r w:rsidR="00E013F0" w:rsidRPr="00AF3FEE">
        <w:rPr>
          <w:rFonts w:ascii="Arial" w:hAnsi="Arial" w:cs="Arial"/>
        </w:rPr>
        <w:t xml:space="preserve"> </w:t>
      </w:r>
      <w:r w:rsidRPr="00AF3FEE">
        <w:rPr>
          <w:rFonts w:ascii="Arial" w:hAnsi="Arial" w:cs="Arial"/>
        </w:rPr>
        <w:t xml:space="preserve">tudi </w:t>
      </w:r>
      <w:r w:rsidRPr="00AF3FEE">
        <w:rPr>
          <w:rFonts w:ascii="Arial" w:hAnsi="Arial" w:cs="Arial"/>
          <w:noProof/>
        </w:rPr>
        <w:t xml:space="preserve">preučitev </w:t>
      </w:r>
      <w:r w:rsidR="004F2B0D">
        <w:rPr>
          <w:rFonts w:ascii="Arial" w:hAnsi="Arial" w:cs="Arial"/>
          <w:noProof/>
        </w:rPr>
        <w:t xml:space="preserve">mogočih </w:t>
      </w:r>
      <w:r w:rsidRPr="00AF3FEE">
        <w:rPr>
          <w:rFonts w:ascii="Arial" w:hAnsi="Arial" w:cs="Arial"/>
          <w:noProof/>
        </w:rPr>
        <w:t>rešitev za delitev spodbud oz</w:t>
      </w:r>
      <w:r w:rsidR="004F2B0D">
        <w:rPr>
          <w:rFonts w:ascii="Arial" w:hAnsi="Arial" w:cs="Arial"/>
        </w:rPr>
        <w:t>iroma</w:t>
      </w:r>
      <w:r w:rsidRPr="00AF3FEE">
        <w:rPr>
          <w:rFonts w:ascii="Arial" w:hAnsi="Arial" w:cs="Arial"/>
          <w:noProof/>
        </w:rPr>
        <w:t xml:space="preserve"> njenih učinkov med lastnike in najemnike v stanovanjskem, javnem in zasebnem storitvenem sektorju. Posebna pozornost bo namenjena tudi vzpostavitvi aktivnih stavb. V tem okviru </w:t>
      </w:r>
      <w:r w:rsidRPr="00AF3FEE">
        <w:rPr>
          <w:rFonts w:ascii="Arial" w:hAnsi="Arial" w:cs="Arial"/>
        </w:rPr>
        <w:t>bodo pripravljen</w:t>
      </w:r>
      <w:r w:rsidR="00E013F0">
        <w:rPr>
          <w:rFonts w:ascii="Arial" w:hAnsi="Arial" w:cs="Arial"/>
        </w:rPr>
        <w:t>i</w:t>
      </w:r>
      <w:r w:rsidRPr="00AF3FEE">
        <w:rPr>
          <w:rFonts w:ascii="Arial" w:hAnsi="Arial" w:cs="Arial"/>
        </w:rPr>
        <w:t xml:space="preserve"> rešitve in ukrepi za učinkovit nadzor energije </w:t>
      </w:r>
      <w:r w:rsidR="00E013F0">
        <w:rPr>
          <w:rFonts w:ascii="Arial" w:hAnsi="Arial" w:cs="Arial"/>
        </w:rPr>
        <w:t>v</w:t>
      </w:r>
      <w:r w:rsidR="00E013F0" w:rsidRPr="00AF3FEE">
        <w:rPr>
          <w:rFonts w:ascii="Arial" w:hAnsi="Arial" w:cs="Arial"/>
        </w:rPr>
        <w:t xml:space="preserve"> </w:t>
      </w:r>
      <w:r w:rsidRPr="00AF3FEE">
        <w:rPr>
          <w:rFonts w:ascii="Arial" w:hAnsi="Arial" w:cs="Arial"/>
        </w:rPr>
        <w:t>stavbah in učinkovito vključitev OVE za potrebe prilagajanja proizvodnje in rabe energije, izboljšanja energetske in stroškovne učinkovitosti sistema ter varnosti oskrbe.</w:t>
      </w:r>
    </w:p>
    <w:p w14:paraId="35D1B0D0" w14:textId="77777777" w:rsidR="00AF3FEE" w:rsidRPr="00AF3FEE" w:rsidRDefault="00AF3FEE" w:rsidP="00AF3FEE">
      <w:pPr>
        <w:pStyle w:val="Heading41"/>
        <w:tabs>
          <w:tab w:val="left" w:pos="680"/>
        </w:tabs>
        <w:spacing w:before="360"/>
        <w:ind w:left="680" w:hanging="680"/>
        <w:jc w:val="both"/>
        <w:rPr>
          <w:rFonts w:cs="Arial"/>
          <w:szCs w:val="22"/>
          <w:u w:val="single"/>
          <w:lang w:val="sl-SI"/>
        </w:rPr>
      </w:pPr>
      <w:r w:rsidRPr="00AF3FEE">
        <w:rPr>
          <w:rFonts w:cs="Arial"/>
          <w:szCs w:val="22"/>
          <w:lang w:val="sl-SI"/>
        </w:rPr>
        <w:t>SPODBUJANJE URE IN RABE OVE V GOSPODINJSTVIH</w:t>
      </w:r>
    </w:p>
    <w:p w14:paraId="4878E2F8" w14:textId="754A1BA3" w:rsidR="00AF3FEE" w:rsidRPr="00AF3FEE" w:rsidRDefault="00AF3FEE" w:rsidP="00AF3FEE">
      <w:pPr>
        <w:pStyle w:val="Naslov-VplivUkrepa-Sektorji"/>
        <w:jc w:val="both"/>
        <w:rPr>
          <w:rFonts w:ascii="Arial" w:hAnsi="Arial" w:cs="Arial"/>
          <w:noProof/>
          <w:szCs w:val="22"/>
        </w:rPr>
      </w:pPr>
      <w:r w:rsidRPr="00AF3FEE">
        <w:rPr>
          <w:rFonts w:ascii="Arial" w:hAnsi="Arial" w:cs="Arial"/>
          <w:noProof/>
          <w:szCs w:val="22"/>
        </w:rPr>
        <w:t xml:space="preserve">Sektorji, na katere </w:t>
      </w:r>
      <w:r w:rsidR="003F3D00"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gospodinjstvih</w:t>
      </w:r>
      <w:r w:rsidR="008F164B">
        <w:rPr>
          <w:rFonts w:ascii="Arial" w:hAnsi="Arial" w:cs="Arial"/>
          <w:b w:val="0"/>
          <w:noProof/>
          <w:szCs w:val="22"/>
        </w:rPr>
        <w:t>.</w:t>
      </w:r>
    </w:p>
    <w:p w14:paraId="60A821E7"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Sheme povratnih in nepovratnih sredstev za URE in OVE v stanovanjskih stavbah</w:t>
      </w:r>
    </w:p>
    <w:p w14:paraId="2D2984A5" w14:textId="37133141" w:rsidR="00AF3FEE" w:rsidRPr="00AF3FEE" w:rsidRDefault="00AF3FEE" w:rsidP="00AF3FEE">
      <w:pPr>
        <w:pStyle w:val="BodyText"/>
        <w:rPr>
          <w:rFonts w:ascii="Arial" w:hAnsi="Arial" w:cs="Arial"/>
          <w:noProof/>
          <w:szCs w:val="22"/>
        </w:rPr>
      </w:pPr>
      <w:r w:rsidRPr="00AF3FEE">
        <w:rPr>
          <w:rFonts w:ascii="Arial" w:hAnsi="Arial" w:cs="Arial"/>
          <w:noProof/>
          <w:szCs w:val="22"/>
        </w:rPr>
        <w:t>Glavni instrument za večjo energetsko učinkovitost in rabo OVE v gospodinjstvih so finančne spodbude, ki jih naložbam v eno- in dvostanovanjskih stavbah od leta 2008, v večstanovanjskih stavbah pa od leta 2009 dodeljuje Eko sklad. Nabor ukrepov</w:t>
      </w:r>
      <w:r w:rsidR="001D65EC">
        <w:rPr>
          <w:rFonts w:ascii="Arial" w:hAnsi="Arial" w:cs="Arial"/>
          <w:noProof/>
          <w:szCs w:val="22"/>
        </w:rPr>
        <w:t>,</w:t>
      </w:r>
      <w:r w:rsidRPr="00AF3FEE">
        <w:rPr>
          <w:rStyle w:val="FootnoteReference"/>
          <w:rFonts w:ascii="Arial" w:hAnsi="Arial" w:cs="Arial"/>
          <w:noProof/>
          <w:szCs w:val="22"/>
        </w:rPr>
        <w:footnoteReference w:id="76"/>
      </w:r>
      <w:r w:rsidRPr="00AF3FEE">
        <w:rPr>
          <w:rFonts w:ascii="Arial" w:hAnsi="Arial" w:cs="Arial"/>
          <w:noProof/>
          <w:szCs w:val="22"/>
        </w:rPr>
        <w:t xml:space="preserve"> ki so jim nepovratna sredstva namenjena, se v okviru posameznih javnih pozivov nekoliko spreminja, spreminjajo se lahko tudi višine spodbud.</w:t>
      </w:r>
    </w:p>
    <w:p w14:paraId="2CD26CBC" w14:textId="3B2B2B80" w:rsidR="00AF3FEE" w:rsidRPr="00AF3FEE" w:rsidRDefault="00AF3FEE" w:rsidP="00AF3FEE">
      <w:pPr>
        <w:pStyle w:val="BodyText"/>
        <w:rPr>
          <w:rFonts w:ascii="Arial" w:hAnsi="Arial" w:cs="Arial"/>
          <w:noProof/>
          <w:spacing w:val="-2"/>
          <w:szCs w:val="22"/>
        </w:rPr>
      </w:pPr>
      <w:r w:rsidRPr="00AF3FEE">
        <w:rPr>
          <w:rFonts w:ascii="Arial" w:hAnsi="Arial" w:cs="Arial"/>
          <w:noProof/>
          <w:szCs w:val="22"/>
        </w:rPr>
        <w:t>Nepovratna sredstva Eko sklada se od leta 2014 financirajo iz dveh virov: iz prispevka na rabo energije za povečanje energetske učinkovitosti in Sklada za podnebne spremembe. Ker so programi Eko sklada kot alternativni ukrep vključeni tudi v obveznost doseganja prihrankov energije v okviru 7. člena EED iz leta 2012 oz</w:t>
      </w:r>
      <w:r w:rsidR="004F2B0D">
        <w:rPr>
          <w:rFonts w:ascii="Arial" w:hAnsi="Arial" w:cs="Arial"/>
        </w:rPr>
        <w:t>iroma</w:t>
      </w:r>
      <w:r w:rsidRPr="00AF3FEE">
        <w:rPr>
          <w:rFonts w:ascii="Arial" w:hAnsi="Arial" w:cs="Arial"/>
          <w:noProof/>
          <w:szCs w:val="22"/>
        </w:rPr>
        <w:t xml:space="preserve"> 8. člena EED iz leta 2023 (glej tudi </w:t>
      </w:r>
      <w:r w:rsidR="008F164B">
        <w:rPr>
          <w:rFonts w:ascii="Arial" w:hAnsi="Arial" w:cs="Arial"/>
          <w:noProof/>
          <w:szCs w:val="22"/>
        </w:rPr>
        <w:t>ukrep</w:t>
      </w:r>
      <w:r w:rsidR="008F164B" w:rsidRPr="00AF3FEE">
        <w:rPr>
          <w:rFonts w:ascii="Arial" w:hAnsi="Arial" w:cs="Arial"/>
          <w:noProof/>
          <w:szCs w:val="22"/>
        </w:rPr>
        <w:t xml:space="preserve"> </w:t>
      </w:r>
      <w:r w:rsidR="008F164B">
        <w:rPr>
          <w:rFonts w:ascii="Arial" w:hAnsi="Arial" w:cs="Arial"/>
          <w:noProof/>
          <w:szCs w:val="22"/>
        </w:rPr>
        <w:t>o</w:t>
      </w:r>
      <w:r w:rsidRPr="00AF3FEE">
        <w:rPr>
          <w:rFonts w:ascii="Arial" w:hAnsi="Arial" w:cs="Arial"/>
          <w:noProof/>
          <w:szCs w:val="22"/>
        </w:rPr>
        <w:t>bveznosti dobaviteljev energije za doseganje prihrankov energije pri končnih odjemalcih</w:t>
      </w:r>
      <w:r w:rsidR="008F164B">
        <w:rPr>
          <w:rFonts w:ascii="Arial" w:hAnsi="Arial" w:cs="Arial"/>
          <w:noProof/>
          <w:szCs w:val="22"/>
        </w:rPr>
        <w:t>;</w:t>
      </w:r>
      <w:r w:rsidRPr="00AF3FEE">
        <w:rPr>
          <w:rFonts w:ascii="Arial" w:hAnsi="Arial" w:cs="Arial"/>
          <w:noProof/>
          <w:szCs w:val="22"/>
        </w:rPr>
        <w:t xml:space="preserve"> </w:t>
      </w:r>
      <w:r w:rsidRPr="00AF3FEE">
        <w:rPr>
          <w:rFonts w:ascii="Arial" w:hAnsi="Arial" w:cs="Arial"/>
          <w:noProof/>
          <w:szCs w:val="22"/>
        </w:rPr>
        <w:fldChar w:fldCharType="begin"/>
      </w:r>
      <w:r w:rsidRPr="00AF3FEE">
        <w:rPr>
          <w:rFonts w:ascii="Arial" w:hAnsi="Arial" w:cs="Arial"/>
          <w:noProof/>
          <w:szCs w:val="22"/>
        </w:rPr>
        <w:instrText xml:space="preserve"> REF _Ref192858929 \r \h  \* MERGEFORMAT </w:instrText>
      </w:r>
      <w:r w:rsidRPr="00AF3FEE">
        <w:rPr>
          <w:rFonts w:ascii="Arial" w:hAnsi="Arial" w:cs="Arial"/>
          <w:noProof/>
          <w:szCs w:val="22"/>
        </w:rPr>
      </w:r>
      <w:r w:rsidRPr="00AF3FEE">
        <w:rPr>
          <w:rFonts w:ascii="Arial" w:hAnsi="Arial" w:cs="Arial"/>
          <w:noProof/>
          <w:szCs w:val="22"/>
        </w:rPr>
        <w:fldChar w:fldCharType="separate"/>
      </w:r>
      <w:r w:rsidRPr="00AF3FEE">
        <w:rPr>
          <w:rFonts w:ascii="Arial" w:hAnsi="Arial" w:cs="Arial"/>
          <w:noProof/>
          <w:szCs w:val="22"/>
        </w:rPr>
        <w:t>M-10</w:t>
      </w:r>
      <w:r w:rsidRPr="00AF3FEE">
        <w:rPr>
          <w:rFonts w:ascii="Arial" w:hAnsi="Arial" w:cs="Arial"/>
          <w:noProof/>
          <w:szCs w:val="22"/>
        </w:rPr>
        <w:fldChar w:fldCharType="end"/>
      </w:r>
      <w:r w:rsidRPr="00AF3FEE">
        <w:rPr>
          <w:rFonts w:ascii="Arial" w:hAnsi="Arial" w:cs="Arial"/>
          <w:noProof/>
          <w:szCs w:val="22"/>
        </w:rPr>
        <w:t xml:space="preserve">), se je letni znesek nepovratnih spodbud, izplačanih za izvedbo ukrepov v gospodinjstvih, od vključno leta 2019 dalje bistveno povečal. V obdobju 2021‒2023 je bilo tako skupno </w:t>
      </w:r>
      <w:r w:rsidRPr="00AF3FEE">
        <w:rPr>
          <w:rFonts w:ascii="Arial" w:hAnsi="Arial" w:cs="Arial"/>
          <w:noProof/>
          <w:szCs w:val="22"/>
        </w:rPr>
        <w:lastRenderedPageBreak/>
        <w:t xml:space="preserve">izplačanih 135 </w:t>
      </w:r>
      <w:r w:rsidR="006A109B">
        <w:rPr>
          <w:rFonts w:ascii="Arial" w:hAnsi="Arial" w:cs="Arial"/>
          <w:noProof/>
          <w:szCs w:val="22"/>
        </w:rPr>
        <w:t xml:space="preserve">milijonov evrov </w:t>
      </w:r>
      <w:r w:rsidRPr="00AF3FEE">
        <w:rPr>
          <w:rFonts w:ascii="Arial" w:hAnsi="Arial" w:cs="Arial"/>
          <w:noProof/>
          <w:szCs w:val="22"/>
        </w:rPr>
        <w:t xml:space="preserve">nepovratnih spodbud, v obdobju 2014‒2020 za primerjavo 214 </w:t>
      </w:r>
      <w:r w:rsidR="006A109B">
        <w:rPr>
          <w:rFonts w:ascii="Arial" w:hAnsi="Arial" w:cs="Arial"/>
          <w:noProof/>
          <w:szCs w:val="22"/>
        </w:rPr>
        <w:t>milijonov evrov</w:t>
      </w:r>
      <w:r w:rsidRPr="00AF3FEE">
        <w:rPr>
          <w:rFonts w:ascii="Arial" w:hAnsi="Arial" w:cs="Arial"/>
          <w:noProof/>
          <w:szCs w:val="22"/>
        </w:rPr>
        <w:t xml:space="preserve">, učinek na letno zmanjšanje emisij TGP pa je ocenjen na 179 kt </w:t>
      </w:r>
      <w:r w:rsidR="008F164B">
        <w:rPr>
          <w:rFonts w:ascii="Arial" w:hAnsi="Arial" w:cs="Arial"/>
          <w:noProof/>
          <w:szCs w:val="22"/>
        </w:rPr>
        <w:t xml:space="preserve">ekv. </w:t>
      </w:r>
      <w:r w:rsidRPr="00AF3FEE">
        <w:rPr>
          <w:rFonts w:ascii="Arial" w:hAnsi="Arial" w:cs="Arial"/>
          <w:noProof/>
          <w:szCs w:val="22"/>
        </w:rPr>
        <w:t>CO</w:t>
      </w:r>
      <w:r w:rsidRPr="00AF3FEE">
        <w:rPr>
          <w:rFonts w:ascii="Arial" w:hAnsi="Arial" w:cs="Arial"/>
          <w:noProof/>
          <w:szCs w:val="22"/>
          <w:vertAlign w:val="subscript"/>
        </w:rPr>
        <w:t>2</w:t>
      </w:r>
      <w:r w:rsidRPr="00AF3FEE">
        <w:rPr>
          <w:rFonts w:ascii="Arial" w:hAnsi="Arial" w:cs="Arial"/>
          <w:noProof/>
          <w:szCs w:val="22"/>
        </w:rPr>
        <w:t>.</w:t>
      </w:r>
    </w:p>
    <w:p w14:paraId="1FA22404" w14:textId="1F628859"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Za izvedbo ukrepov URE in rabe OVE lahko gospodinjstva pridobijo tudi ugodne kredite Eko sklada, ukrepi v gospodinjstvih pa se izvajajo tudi v okviru sheme obveznega doseganja prihrankov končne energije za zavezance (glej tudi </w:t>
      </w:r>
      <w:r w:rsidR="00906DDA">
        <w:rPr>
          <w:rFonts w:ascii="Arial" w:hAnsi="Arial" w:cs="Arial"/>
          <w:noProof/>
          <w:szCs w:val="22"/>
        </w:rPr>
        <w:t>ukrep o</w:t>
      </w:r>
      <w:r w:rsidRPr="00AF3FEE">
        <w:rPr>
          <w:rFonts w:ascii="Arial" w:hAnsi="Arial" w:cs="Arial"/>
          <w:noProof/>
          <w:szCs w:val="22"/>
        </w:rPr>
        <w:t>bveznosti dobaviteljev energije za doseganje prihrankov energije pri končnih odjemalcih</w:t>
      </w:r>
      <w:r w:rsidR="00906DDA">
        <w:rPr>
          <w:rFonts w:ascii="Arial" w:hAnsi="Arial" w:cs="Arial"/>
          <w:noProof/>
          <w:szCs w:val="22"/>
        </w:rPr>
        <w:t>;</w:t>
      </w:r>
      <w:r w:rsidRPr="00AF3FEE">
        <w:rPr>
          <w:rFonts w:ascii="Arial" w:hAnsi="Arial" w:cs="Arial"/>
          <w:noProof/>
          <w:szCs w:val="22"/>
        </w:rPr>
        <w:t xml:space="preserve"> </w:t>
      </w:r>
      <w:r w:rsidRPr="00AF3FEE">
        <w:rPr>
          <w:rFonts w:ascii="Arial" w:hAnsi="Arial" w:cs="Arial"/>
          <w:noProof/>
          <w:szCs w:val="22"/>
        </w:rPr>
        <w:fldChar w:fldCharType="begin"/>
      </w:r>
      <w:r w:rsidRPr="00AF3FEE">
        <w:rPr>
          <w:rFonts w:ascii="Arial" w:hAnsi="Arial" w:cs="Arial"/>
          <w:noProof/>
          <w:szCs w:val="22"/>
        </w:rPr>
        <w:instrText xml:space="preserve"> REF _Ref192858929 \r \h  \* MERGEFORMAT </w:instrText>
      </w:r>
      <w:r w:rsidRPr="00AF3FEE">
        <w:rPr>
          <w:rFonts w:ascii="Arial" w:hAnsi="Arial" w:cs="Arial"/>
          <w:noProof/>
          <w:szCs w:val="22"/>
        </w:rPr>
      </w:r>
      <w:r w:rsidRPr="00AF3FEE">
        <w:rPr>
          <w:rFonts w:ascii="Arial" w:hAnsi="Arial" w:cs="Arial"/>
          <w:noProof/>
          <w:szCs w:val="22"/>
        </w:rPr>
        <w:fldChar w:fldCharType="separate"/>
      </w:r>
      <w:r w:rsidRPr="00AF3FEE">
        <w:rPr>
          <w:rFonts w:ascii="Arial" w:hAnsi="Arial" w:cs="Arial"/>
          <w:noProof/>
          <w:szCs w:val="22"/>
        </w:rPr>
        <w:t>M-10</w:t>
      </w:r>
      <w:r w:rsidRPr="00AF3FEE">
        <w:rPr>
          <w:rFonts w:ascii="Arial" w:hAnsi="Arial" w:cs="Arial"/>
          <w:noProof/>
          <w:szCs w:val="22"/>
        </w:rPr>
        <w:fldChar w:fldCharType="end"/>
      </w:r>
      <w:r w:rsidRPr="00AF3FEE">
        <w:rPr>
          <w:rFonts w:ascii="Arial" w:hAnsi="Arial" w:cs="Arial"/>
          <w:noProof/>
          <w:szCs w:val="22"/>
        </w:rPr>
        <w:t>).</w:t>
      </w:r>
    </w:p>
    <w:p w14:paraId="2A4C7E61"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Podpora učinkovitejši rabi energije v stanovanjskih stavbah</w:t>
      </w:r>
    </w:p>
    <w:p w14:paraId="5399094F" w14:textId="7CF4BBB4"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Pomembna aktivnost za podporo učinkovitejši rabi energije v stanovanjskih stavbah je delovanje mreže energetsko svetovalnih pisarn ENSVET, ki je aktivna že od leta 1993, od leta 2014 dalje pa deluje </w:t>
      </w:r>
      <w:r w:rsidR="00906DDA">
        <w:rPr>
          <w:rFonts w:ascii="Arial" w:hAnsi="Arial" w:cs="Arial"/>
          <w:noProof/>
          <w:szCs w:val="22"/>
        </w:rPr>
        <w:t xml:space="preserve">v okviru </w:t>
      </w:r>
      <w:r w:rsidRPr="00AF3FEE">
        <w:rPr>
          <w:rFonts w:ascii="Arial" w:hAnsi="Arial" w:cs="Arial"/>
          <w:noProof/>
          <w:szCs w:val="22"/>
        </w:rPr>
        <w:t xml:space="preserve">Eko sklada. Mreža zagotavlja občanom neodvisno energetsko svetovanje ter informacijske, izobraževalne in ozaveščevalne aktivnosti za promocijo ukrepov energetske učinkovitosti in rabe OVE v lokalnem okolju. Sodeluje tudi v okviru izvajanja ukrepov za zmanjševanje energetske revščine. Leta 2023 je v 59 pisarnah mreže ENSVET delovalo 49 usposobljenih neodvisnih energetskih svetovalcev, ki so </w:t>
      </w:r>
      <w:r w:rsidR="00906DDA">
        <w:rPr>
          <w:rFonts w:ascii="Arial" w:hAnsi="Arial" w:cs="Arial"/>
          <w:noProof/>
          <w:szCs w:val="22"/>
        </w:rPr>
        <w:t xml:space="preserve">izvedli </w:t>
      </w:r>
      <w:r w:rsidRPr="00AF3FEE">
        <w:rPr>
          <w:rFonts w:ascii="Arial" w:hAnsi="Arial" w:cs="Arial"/>
          <w:noProof/>
          <w:szCs w:val="22"/>
        </w:rPr>
        <w:t xml:space="preserve">8049 aktivnosti (nasveti s pisnim poročilom, e-nasveti, članki, RTV prispevki, predavanja, šole </w:t>
      </w:r>
      <w:r w:rsidR="004F2B0D">
        <w:rPr>
          <w:rFonts w:ascii="Arial" w:hAnsi="Arial" w:cs="Arial"/>
          <w:noProof/>
          <w:szCs w:val="22"/>
        </w:rPr>
        <w:t>in tako dalje</w:t>
      </w:r>
      <w:r w:rsidRPr="00AF3FEE">
        <w:rPr>
          <w:rFonts w:ascii="Arial" w:hAnsi="Arial" w:cs="Arial"/>
          <w:noProof/>
          <w:szCs w:val="22"/>
        </w:rPr>
        <w:t>). Načrt za leto 2027 je 15.000 aktivnosti. Načrtovan</w:t>
      </w:r>
      <w:r w:rsidR="00906DDA">
        <w:rPr>
          <w:rFonts w:ascii="Arial" w:hAnsi="Arial" w:cs="Arial"/>
          <w:noProof/>
          <w:szCs w:val="22"/>
        </w:rPr>
        <w:t>a</w:t>
      </w:r>
      <w:r w:rsidRPr="00AF3FEE">
        <w:rPr>
          <w:rFonts w:ascii="Arial" w:hAnsi="Arial" w:cs="Arial"/>
          <w:noProof/>
          <w:szCs w:val="22"/>
        </w:rPr>
        <w:t xml:space="preserve"> </w:t>
      </w:r>
      <w:r w:rsidR="00906DDA">
        <w:rPr>
          <w:rFonts w:ascii="Arial" w:hAnsi="Arial" w:cs="Arial"/>
          <w:noProof/>
          <w:szCs w:val="22"/>
        </w:rPr>
        <w:t>sta</w:t>
      </w:r>
      <w:r w:rsidR="00906DDA" w:rsidRPr="00AF3FEE">
        <w:rPr>
          <w:rFonts w:ascii="Arial" w:hAnsi="Arial" w:cs="Arial"/>
          <w:noProof/>
          <w:szCs w:val="22"/>
        </w:rPr>
        <w:t xml:space="preserve"> </w:t>
      </w:r>
      <w:r w:rsidRPr="00AF3FEE">
        <w:rPr>
          <w:rFonts w:ascii="Arial" w:hAnsi="Arial" w:cs="Arial"/>
          <w:noProof/>
          <w:szCs w:val="22"/>
        </w:rPr>
        <w:t xml:space="preserve">nadaljevanje svetovanja in okrepitev delovanja mreže s širitvijo v nove občine in razširitvijo svetovalnih aktivnosti tudi </w:t>
      </w:r>
      <w:r w:rsidR="001D65EC">
        <w:rPr>
          <w:rFonts w:ascii="Arial" w:hAnsi="Arial" w:cs="Arial"/>
          <w:noProof/>
          <w:szCs w:val="22"/>
        </w:rPr>
        <w:t>z</w:t>
      </w:r>
      <w:r w:rsidR="001D65EC" w:rsidRPr="00AF3FEE">
        <w:rPr>
          <w:rFonts w:ascii="Arial" w:hAnsi="Arial" w:cs="Arial"/>
          <w:noProof/>
          <w:szCs w:val="22"/>
        </w:rPr>
        <w:t xml:space="preserve">a </w:t>
      </w:r>
      <w:r w:rsidRPr="00AF3FEE">
        <w:rPr>
          <w:rFonts w:ascii="Arial" w:hAnsi="Arial" w:cs="Arial"/>
          <w:noProof/>
          <w:szCs w:val="22"/>
        </w:rPr>
        <w:t>podjetja. Predvidena je tudi okrepitev podpore etažnim lastnikom pri načrtovanju energetskih prenov večstanovanjskih stavb.</w:t>
      </w:r>
    </w:p>
    <w:p w14:paraId="3106ECC6" w14:textId="0CA2A715" w:rsidR="00AF3FEE" w:rsidRPr="00AF3FEE" w:rsidRDefault="00AF3FEE" w:rsidP="00AF3FEE">
      <w:pPr>
        <w:jc w:val="both"/>
        <w:rPr>
          <w:rFonts w:ascii="Arial" w:hAnsi="Arial" w:cs="Arial"/>
        </w:rPr>
      </w:pPr>
      <w:r w:rsidRPr="00AF3FEE">
        <w:rPr>
          <w:rFonts w:ascii="Arial" w:hAnsi="Arial" w:cs="Arial"/>
        </w:rPr>
        <w:t xml:space="preserve">Instrument obvezne delitve in obračuna stroškov za toploto v večstanovanjskih stavbah je </w:t>
      </w:r>
      <w:r w:rsidR="001D65EC">
        <w:rPr>
          <w:rFonts w:ascii="Arial" w:hAnsi="Arial" w:cs="Arial"/>
        </w:rPr>
        <w:t>v veljavi</w:t>
      </w:r>
      <w:r w:rsidR="001D65EC" w:rsidRPr="00AF3FEE">
        <w:rPr>
          <w:rFonts w:ascii="Arial" w:hAnsi="Arial" w:cs="Arial"/>
        </w:rPr>
        <w:t xml:space="preserve"> </w:t>
      </w:r>
      <w:r w:rsidRPr="00AF3FEE">
        <w:rPr>
          <w:rFonts w:ascii="Arial" w:hAnsi="Arial" w:cs="Arial"/>
        </w:rPr>
        <w:t>že od leta 2011. Pravilnik</w:t>
      </w:r>
      <w:r w:rsidR="001D65EC">
        <w:rPr>
          <w:rFonts w:ascii="Arial" w:hAnsi="Arial" w:cs="Arial"/>
        </w:rPr>
        <w:t>,</w:t>
      </w:r>
      <w:r w:rsidRPr="00AF3FEE">
        <w:rPr>
          <w:rStyle w:val="FootnoteReference"/>
          <w:rFonts w:ascii="Arial" w:hAnsi="Arial" w:cs="Arial"/>
        </w:rPr>
        <w:footnoteReference w:id="77"/>
      </w:r>
      <w:r w:rsidRPr="00AF3FEE">
        <w:rPr>
          <w:rFonts w:ascii="Arial" w:hAnsi="Arial" w:cs="Arial"/>
        </w:rPr>
        <w:t xml:space="preserve"> ki ureja to področje, je bil zadnjič spremenjen in dopolnjen leta 2016, zato se bo v letu 2025 preverjalo, ali so potrebne kakšne spremembe, in </w:t>
      </w:r>
      <w:r w:rsidR="000030A7">
        <w:rPr>
          <w:rFonts w:ascii="Arial" w:hAnsi="Arial" w:cs="Arial"/>
        </w:rPr>
        <w:t xml:space="preserve">bodo </w:t>
      </w:r>
      <w:r w:rsidRPr="00AF3FEE">
        <w:rPr>
          <w:rFonts w:ascii="Arial" w:hAnsi="Arial" w:cs="Arial"/>
        </w:rPr>
        <w:t xml:space="preserve">po potrebi </w:t>
      </w:r>
      <w:r w:rsidR="000030A7" w:rsidRPr="00AF3FEE">
        <w:rPr>
          <w:rFonts w:ascii="Arial" w:hAnsi="Arial" w:cs="Arial"/>
        </w:rPr>
        <w:t>izpelja</w:t>
      </w:r>
      <w:r w:rsidR="000030A7">
        <w:rPr>
          <w:rFonts w:ascii="Arial" w:hAnsi="Arial" w:cs="Arial"/>
        </w:rPr>
        <w:t>ni</w:t>
      </w:r>
      <w:r w:rsidR="000030A7" w:rsidRPr="00AF3FEE">
        <w:rPr>
          <w:rFonts w:ascii="Arial" w:hAnsi="Arial" w:cs="Arial"/>
        </w:rPr>
        <w:t xml:space="preserve"> </w:t>
      </w:r>
      <w:r w:rsidRPr="00AF3FEE">
        <w:rPr>
          <w:rFonts w:ascii="Arial" w:hAnsi="Arial" w:cs="Arial"/>
        </w:rPr>
        <w:t>ustrezn</w:t>
      </w:r>
      <w:r w:rsidR="001D65EC">
        <w:rPr>
          <w:rFonts w:ascii="Arial" w:hAnsi="Arial" w:cs="Arial"/>
        </w:rPr>
        <w:t>i</w:t>
      </w:r>
      <w:r w:rsidRPr="00AF3FEE">
        <w:rPr>
          <w:rFonts w:ascii="Arial" w:hAnsi="Arial" w:cs="Arial"/>
        </w:rPr>
        <w:t xml:space="preserve"> postopk</w:t>
      </w:r>
      <w:r w:rsidR="001D65EC">
        <w:rPr>
          <w:rFonts w:ascii="Arial" w:hAnsi="Arial" w:cs="Arial"/>
        </w:rPr>
        <w:t>i</w:t>
      </w:r>
      <w:r w:rsidRPr="00AF3FEE">
        <w:rPr>
          <w:rFonts w:ascii="Arial" w:hAnsi="Arial" w:cs="Arial"/>
        </w:rPr>
        <w:t>.</w:t>
      </w:r>
    </w:p>
    <w:p w14:paraId="71B62FEF"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Izvajanje ukrepov za zmanjševanje energetske revščine</w:t>
      </w:r>
    </w:p>
    <w:p w14:paraId="7559D304" w14:textId="6306FFF6" w:rsidR="00AF3FEE" w:rsidRPr="00AF3FEE" w:rsidRDefault="00AF3FEE" w:rsidP="00AF3FEE">
      <w:pPr>
        <w:jc w:val="both"/>
        <w:rPr>
          <w:rFonts w:ascii="Arial" w:hAnsi="Arial" w:cs="Arial"/>
          <w:noProof/>
        </w:rPr>
      </w:pPr>
      <w:r w:rsidRPr="00AF3FEE">
        <w:rPr>
          <w:rFonts w:ascii="Arial" w:hAnsi="Arial" w:cs="Arial"/>
        </w:rPr>
        <w:t xml:space="preserve">Ukrepe za zmanjševanje energetske revščine izvaja Eko sklad. </w:t>
      </w:r>
      <w:r w:rsidRPr="00AF3FEE">
        <w:rPr>
          <w:rFonts w:ascii="Arial" w:hAnsi="Arial" w:cs="Arial"/>
          <w:noProof/>
        </w:rPr>
        <w:t>Izvajajo se konkretne aktivnosti, ki prispevajo k manjši rabi in strošku energije, pa tudi k izboljšanju bivanjskih razmer.</w:t>
      </w:r>
      <w:r w:rsidRPr="00AF3FEE">
        <w:rPr>
          <w:rFonts w:ascii="Arial" w:hAnsi="Arial" w:cs="Arial"/>
        </w:rPr>
        <w:t xml:space="preserve"> Energetsko revna gospodinjstva so upravičena </w:t>
      </w:r>
      <w:r w:rsidRPr="00AF3FEE">
        <w:rPr>
          <w:rFonts w:ascii="Arial" w:hAnsi="Arial" w:cs="Arial"/>
          <w:noProof/>
        </w:rPr>
        <w:t xml:space="preserve">do spodbud, ki pokrivajo 100 % stroškov naložbe </w:t>
      </w:r>
      <w:r w:rsidR="00C14FBF">
        <w:rPr>
          <w:rFonts w:ascii="Arial" w:hAnsi="Arial" w:cs="Arial"/>
          <w:noProof/>
        </w:rPr>
        <w:t>za</w:t>
      </w:r>
      <w:r w:rsidR="00C14FBF" w:rsidRPr="00AF3FEE">
        <w:rPr>
          <w:rFonts w:ascii="Arial" w:hAnsi="Arial" w:cs="Arial"/>
          <w:noProof/>
        </w:rPr>
        <w:t xml:space="preserve"> </w:t>
      </w:r>
      <w:r w:rsidRPr="00AF3FEE">
        <w:rPr>
          <w:rFonts w:ascii="Arial" w:hAnsi="Arial" w:cs="Arial"/>
          <w:noProof/>
        </w:rPr>
        <w:t>energetsk</w:t>
      </w:r>
      <w:r w:rsidR="00C14FBF">
        <w:rPr>
          <w:rFonts w:ascii="Arial" w:hAnsi="Arial" w:cs="Arial"/>
          <w:noProof/>
        </w:rPr>
        <w:t>o</w:t>
      </w:r>
      <w:r w:rsidRPr="00AF3FEE">
        <w:rPr>
          <w:rFonts w:ascii="Arial" w:hAnsi="Arial" w:cs="Arial"/>
          <w:noProof/>
        </w:rPr>
        <w:t xml:space="preserve"> prenov</w:t>
      </w:r>
      <w:r w:rsidR="00C14FBF">
        <w:rPr>
          <w:rFonts w:ascii="Arial" w:hAnsi="Arial" w:cs="Arial"/>
          <w:noProof/>
        </w:rPr>
        <w:t>o</w:t>
      </w:r>
      <w:r w:rsidRPr="00AF3FEE">
        <w:rPr>
          <w:rFonts w:ascii="Arial" w:hAnsi="Arial" w:cs="Arial"/>
          <w:noProof/>
        </w:rPr>
        <w:t xml:space="preserve"> večstanovanjskih stavb in za izvedbo ukrepov</w:t>
      </w:r>
      <w:r w:rsidRPr="00AF3FEE">
        <w:rPr>
          <w:rStyle w:val="FootnoteReference"/>
          <w:rFonts w:ascii="Arial" w:hAnsi="Arial" w:cs="Arial"/>
          <w:noProof/>
        </w:rPr>
        <w:footnoteReference w:id="78"/>
      </w:r>
      <w:r w:rsidRPr="00AF3FEE">
        <w:rPr>
          <w:rFonts w:ascii="Arial" w:hAnsi="Arial" w:cs="Arial"/>
          <w:noProof/>
        </w:rPr>
        <w:t xml:space="preserve"> v okviru pozivov ZER, ki so nasledili program ZERO500. Tega je Eko sklad poskusno izvedel v obdobju 2020–2023, zanj pa je imel na </w:t>
      </w:r>
      <w:r w:rsidR="001115B9">
        <w:rPr>
          <w:rFonts w:ascii="Arial" w:hAnsi="Arial" w:cs="Arial"/>
          <w:noProof/>
        </w:rPr>
        <w:t xml:space="preserve">voljo </w:t>
      </w:r>
      <w:r w:rsidRPr="00AF3FEE">
        <w:rPr>
          <w:rFonts w:ascii="Arial" w:hAnsi="Arial" w:cs="Arial"/>
          <w:noProof/>
        </w:rPr>
        <w:t xml:space="preserve">5 milijonov evrov kohezijskih sredstev. V okviru zadnjega poziva za nepovratne spodbude za zmanjševanje energetske revščine, ZER 2024, so sredstva zagotovljena iz Evropskega sklada za regionalni razvoj (ESRR), in sicer je skupaj s slovensko udeležbo na voljo 19,8 </w:t>
      </w:r>
      <w:r w:rsidR="002958C7">
        <w:rPr>
          <w:rFonts w:ascii="Arial" w:hAnsi="Arial" w:cs="Arial"/>
          <w:noProof/>
        </w:rPr>
        <w:t>milijona</w:t>
      </w:r>
      <w:r w:rsidRPr="00AF3FEE">
        <w:rPr>
          <w:rFonts w:ascii="Arial" w:hAnsi="Arial" w:cs="Arial"/>
          <w:noProof/>
        </w:rPr>
        <w:t xml:space="preserve"> </w:t>
      </w:r>
      <w:r w:rsidR="002958C7">
        <w:rPr>
          <w:rFonts w:ascii="Arial" w:hAnsi="Arial" w:cs="Arial"/>
          <w:noProof/>
        </w:rPr>
        <w:t>evrov</w:t>
      </w:r>
      <w:r w:rsidRPr="00AF3FEE">
        <w:rPr>
          <w:rFonts w:ascii="Arial" w:hAnsi="Arial" w:cs="Arial"/>
          <w:noProof/>
        </w:rPr>
        <w:t>.</w:t>
      </w:r>
    </w:p>
    <w:p w14:paraId="12012F93" w14:textId="08F7CA76" w:rsidR="00AF3FEE" w:rsidRPr="00AF3FEE" w:rsidRDefault="00AF3FEE" w:rsidP="00AF3FEE">
      <w:pPr>
        <w:jc w:val="both"/>
        <w:rPr>
          <w:rFonts w:ascii="Arial" w:hAnsi="Arial" w:cs="Arial"/>
          <w:noProof/>
        </w:rPr>
      </w:pPr>
      <w:r w:rsidRPr="00AF3FEE">
        <w:rPr>
          <w:rFonts w:ascii="Arial" w:hAnsi="Arial" w:cs="Arial"/>
        </w:rPr>
        <w:t>V obdobju 2021–2023 je bilo v energetsko revnih gospodinjstvih v okviru različnih pozivov izvedenih 512 zamenjav starih kurilnih naprav na trdna goriva z novimi na lesno biomaso</w:t>
      </w:r>
      <w:r w:rsidRPr="00AF3FEE">
        <w:rPr>
          <w:rStyle w:val="FootnoteReference"/>
          <w:rFonts w:ascii="Arial" w:hAnsi="Arial" w:cs="Arial"/>
        </w:rPr>
        <w:footnoteReference w:id="79"/>
      </w:r>
      <w:r w:rsidRPr="00AF3FEE">
        <w:rPr>
          <w:rFonts w:ascii="Arial" w:hAnsi="Arial" w:cs="Arial"/>
        </w:rPr>
        <w:t xml:space="preserve"> in podprtih 32 etažnih lastnikov v okviru naložb </w:t>
      </w:r>
      <w:r w:rsidRPr="00AF3FEE">
        <w:rPr>
          <w:rFonts w:ascii="Arial" w:hAnsi="Arial" w:cs="Arial"/>
          <w:noProof/>
        </w:rPr>
        <w:t>energetske prenove večstanovanjskih stavb. V okviru programa ZERO500 je bilo v istem obdobju izvedenih 559 ukrepov v 425 energetsko revnih gospodinjstvih. Leta 2022 je bila sprejeta Uredba o merilih za opredelitev in ocenjevanje števila energetsko revnih gospodinjstev</w:t>
      </w:r>
      <w:r w:rsidR="00EB6962">
        <w:rPr>
          <w:rFonts w:ascii="Arial" w:hAnsi="Arial" w:cs="Arial"/>
          <w:noProof/>
        </w:rPr>
        <w:t>,</w:t>
      </w:r>
      <w:r w:rsidRPr="00AF3FEE">
        <w:rPr>
          <w:rStyle w:val="FootnoteReference"/>
          <w:rFonts w:ascii="Arial" w:hAnsi="Arial" w:cs="Arial"/>
          <w:noProof/>
        </w:rPr>
        <w:footnoteReference w:id="80"/>
      </w:r>
      <w:r w:rsidRPr="00AF3FEE">
        <w:rPr>
          <w:rFonts w:ascii="Arial" w:hAnsi="Arial" w:cs="Arial"/>
          <w:noProof/>
        </w:rPr>
        <w:t xml:space="preserve"> ki opredeljuje energetsko revščino, leta 2023 pa Akcijski načrt za zmanjševanje energetske revščine za obdobje treh let</w:t>
      </w:r>
      <w:r w:rsidR="00EB6962">
        <w:rPr>
          <w:rFonts w:ascii="Arial" w:hAnsi="Arial" w:cs="Arial"/>
          <w:noProof/>
        </w:rPr>
        <w:t>.</w:t>
      </w:r>
      <w:r w:rsidRPr="00AF3FEE">
        <w:rPr>
          <w:rStyle w:val="FootnoteReference"/>
          <w:rFonts w:ascii="Arial" w:hAnsi="Arial" w:cs="Arial"/>
          <w:noProof/>
        </w:rPr>
        <w:footnoteReference w:id="81"/>
      </w:r>
      <w:r w:rsidRPr="00AF3FEE">
        <w:rPr>
          <w:rFonts w:ascii="Arial" w:hAnsi="Arial" w:cs="Arial"/>
          <w:noProof/>
        </w:rPr>
        <w:t xml:space="preserve"> Njegovo izvajanje je </w:t>
      </w:r>
      <w:r w:rsidRPr="00AF3FEE">
        <w:rPr>
          <w:rFonts w:ascii="Arial" w:hAnsi="Arial" w:cs="Arial"/>
          <w:noProof/>
        </w:rPr>
        <w:lastRenderedPageBreak/>
        <w:t xml:space="preserve">predvideno v obdobju 2024–2026, poleg nadaljevanja izvajanja </w:t>
      </w:r>
      <w:r w:rsidR="000030A7">
        <w:rPr>
          <w:rFonts w:ascii="Arial" w:hAnsi="Arial" w:cs="Arial"/>
          <w:noProof/>
        </w:rPr>
        <w:t>veljavnih</w:t>
      </w:r>
      <w:r w:rsidR="000030A7" w:rsidRPr="00AF3FEE">
        <w:rPr>
          <w:rFonts w:ascii="Arial" w:hAnsi="Arial" w:cs="Arial"/>
          <w:noProof/>
        </w:rPr>
        <w:t xml:space="preserve"> </w:t>
      </w:r>
      <w:r w:rsidRPr="00AF3FEE">
        <w:rPr>
          <w:rFonts w:ascii="Arial" w:hAnsi="Arial" w:cs="Arial"/>
          <w:noProof/>
        </w:rPr>
        <w:t>instrumentov pa je načrtovana tudi</w:t>
      </w:r>
      <w:r w:rsidRPr="00AF3FEE">
        <w:rPr>
          <w:rFonts w:ascii="Arial" w:hAnsi="Arial" w:cs="Arial"/>
        </w:rPr>
        <w:t xml:space="preserve"> </w:t>
      </w:r>
      <w:r w:rsidRPr="00AF3FEE">
        <w:rPr>
          <w:rFonts w:ascii="Arial" w:hAnsi="Arial" w:cs="Arial"/>
          <w:noProof/>
        </w:rPr>
        <w:t xml:space="preserve">vzpostavitev celovite sheme za zmanjševanje energetske revščine, naprej </w:t>
      </w:r>
      <w:r w:rsidR="000030A7">
        <w:rPr>
          <w:rFonts w:ascii="Arial" w:hAnsi="Arial" w:cs="Arial"/>
          <w:noProof/>
        </w:rPr>
        <w:t>poskusno</w:t>
      </w:r>
      <w:r w:rsidRPr="00AF3FEE">
        <w:rPr>
          <w:rFonts w:ascii="Arial" w:hAnsi="Arial" w:cs="Arial"/>
          <w:noProof/>
        </w:rPr>
        <w:t xml:space="preserve">, po letu 2027 pa v celotnem obsegu. Posodobitev akcijskega načrta je predvidena v letih 2026 in 2029. Do sredine leta 2025 je v pripravi tudi Socialni načrt za podnebje, ki je </w:t>
      </w:r>
      <w:r w:rsidR="000030A7">
        <w:rPr>
          <w:rFonts w:ascii="Arial" w:hAnsi="Arial" w:cs="Arial"/>
          <w:noProof/>
        </w:rPr>
        <w:t xml:space="preserve">prvi pogoj </w:t>
      </w:r>
      <w:r w:rsidRPr="00AF3FEE">
        <w:rPr>
          <w:rFonts w:ascii="Arial" w:hAnsi="Arial" w:cs="Arial"/>
          <w:noProof/>
        </w:rPr>
        <w:t xml:space="preserve">za črpanje sredstev iz Socialnega sklada za podnebje na ravni EU. V </w:t>
      </w:r>
      <w:r w:rsidR="000030A7">
        <w:rPr>
          <w:rFonts w:ascii="Arial" w:hAnsi="Arial" w:cs="Arial"/>
          <w:noProof/>
        </w:rPr>
        <w:t xml:space="preserve">navedeni </w:t>
      </w:r>
      <w:r w:rsidRPr="00AF3FEE">
        <w:rPr>
          <w:rFonts w:ascii="Arial" w:hAnsi="Arial" w:cs="Arial"/>
          <w:noProof/>
        </w:rPr>
        <w:t>načrt bodo vključeni tudi ukrepi za zmanjševanje energetske revščine.</w:t>
      </w:r>
    </w:p>
    <w:p w14:paraId="528ADC43" w14:textId="77777777" w:rsidR="00AF3FEE" w:rsidRPr="00AF3FEE" w:rsidRDefault="00AF3FEE" w:rsidP="00AF3FEE">
      <w:pPr>
        <w:jc w:val="both"/>
        <w:rPr>
          <w:rFonts w:ascii="Arial" w:hAnsi="Arial" w:cs="Arial"/>
          <w:noProof/>
        </w:rPr>
      </w:pPr>
      <w:r w:rsidRPr="00AF3FEE">
        <w:rPr>
          <w:rFonts w:ascii="Arial" w:hAnsi="Arial" w:cs="Arial"/>
          <w:noProof/>
        </w:rPr>
        <w:t>Za doseganje ciljev zmanjšanja emisij in pravičnega prehoda bosta potrebna tudi priprava in izvajanje komplementarnih politik in ukrepov za zmanjševanje in preprečevanje energetske revščine v okviru razvojne, plačne, zaposlitvene, davčne, stanovanjske, socialne in drugih politik.</w:t>
      </w:r>
    </w:p>
    <w:p w14:paraId="3430E995" w14:textId="77777777" w:rsidR="00AF3FEE" w:rsidRPr="00AF3FEE" w:rsidRDefault="00AF3FEE" w:rsidP="00AF3FEE">
      <w:pPr>
        <w:pStyle w:val="Heading41"/>
        <w:tabs>
          <w:tab w:val="left" w:pos="680"/>
        </w:tabs>
        <w:spacing w:before="360"/>
        <w:ind w:left="680" w:hanging="680"/>
        <w:jc w:val="both"/>
        <w:rPr>
          <w:rFonts w:cs="Arial"/>
          <w:szCs w:val="22"/>
          <w:u w:val="single"/>
          <w:lang w:val="sl-SI"/>
        </w:rPr>
      </w:pPr>
      <w:r w:rsidRPr="00AF3FEE">
        <w:rPr>
          <w:rFonts w:cs="Arial"/>
          <w:szCs w:val="22"/>
          <w:lang w:val="sl-SI"/>
        </w:rPr>
        <w:t xml:space="preserve">DODATNI UKREPI ZA </w:t>
      </w:r>
      <w:r w:rsidRPr="00AF3FEE">
        <w:rPr>
          <w:rFonts w:cs="Arial"/>
          <w:bCs/>
          <w:noProof/>
          <w:szCs w:val="22"/>
          <w:lang w:val="sl-SI"/>
        </w:rPr>
        <w:t>SPODBUJANJE URE IN RABE OVE V GOSPODINJSTVIH</w:t>
      </w:r>
    </w:p>
    <w:p w14:paraId="537DBA8A" w14:textId="251EBAFB" w:rsidR="00AF3FEE" w:rsidRPr="00AF3FEE" w:rsidRDefault="00AF3FEE" w:rsidP="00AF3FEE">
      <w:pPr>
        <w:pStyle w:val="Naslov-VplivUkrepa-Sektorji"/>
        <w:jc w:val="both"/>
        <w:rPr>
          <w:rFonts w:ascii="Arial" w:hAnsi="Arial" w:cs="Arial"/>
          <w:noProof/>
          <w:szCs w:val="22"/>
        </w:rPr>
      </w:pPr>
      <w:r w:rsidRPr="00AF3FEE">
        <w:rPr>
          <w:rFonts w:ascii="Arial" w:hAnsi="Arial" w:cs="Arial"/>
          <w:noProof/>
          <w:szCs w:val="22"/>
        </w:rPr>
        <w:t xml:space="preserve">Sektorji, na katere </w:t>
      </w:r>
      <w:r w:rsidR="003F3D00"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gospodinjstvih</w:t>
      </w:r>
      <w:r w:rsidR="000030A7">
        <w:rPr>
          <w:rFonts w:ascii="Arial" w:hAnsi="Arial" w:cs="Arial"/>
          <w:b w:val="0"/>
          <w:noProof/>
          <w:szCs w:val="22"/>
        </w:rPr>
        <w:t>.</w:t>
      </w:r>
    </w:p>
    <w:p w14:paraId="196A2FEE"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Dodatni ukrepi za gospodinjstva na področju prenove stanovanjskih stavb</w:t>
      </w:r>
    </w:p>
    <w:p w14:paraId="19BD713D" w14:textId="5DF2D504" w:rsidR="00AF3FEE" w:rsidRPr="00AF3FEE" w:rsidRDefault="00AF3FEE" w:rsidP="00AF3FEE">
      <w:pPr>
        <w:jc w:val="both"/>
        <w:rPr>
          <w:rFonts w:ascii="Arial" w:hAnsi="Arial" w:cs="Arial"/>
          <w:noProof/>
        </w:rPr>
      </w:pPr>
      <w:r w:rsidRPr="00AF3FEE">
        <w:rPr>
          <w:rFonts w:ascii="Arial" w:hAnsi="Arial" w:cs="Arial"/>
        </w:rPr>
        <w:t xml:space="preserve">Večina dodatnih ukrepov za spodbujanje URE in rabe OVE v gospodinjstvih je namenjenih prenovi stanovanjskih stavb. </w:t>
      </w:r>
      <w:r w:rsidRPr="00AF3FEE">
        <w:rPr>
          <w:rFonts w:ascii="Arial" w:hAnsi="Arial" w:cs="Arial"/>
          <w:noProof/>
        </w:rPr>
        <w:t xml:space="preserve">Eden od ukrepov je usmerjen v spremembo predpisov, ki urejajo soglasja pri odločitvah o prenovah stavb z več lastniki in o zadolževanju. Za odločitev za celovito energetsko prenovo je po </w:t>
      </w:r>
      <w:r w:rsidR="00B11F0C">
        <w:rPr>
          <w:rFonts w:ascii="Arial" w:hAnsi="Arial" w:cs="Arial"/>
          <w:noProof/>
        </w:rPr>
        <w:t>veljavni</w:t>
      </w:r>
      <w:r w:rsidR="00B11F0C" w:rsidRPr="00AF3FEE">
        <w:rPr>
          <w:rFonts w:ascii="Arial" w:hAnsi="Arial" w:cs="Arial"/>
          <w:noProof/>
        </w:rPr>
        <w:t xml:space="preserve"> </w:t>
      </w:r>
      <w:r w:rsidRPr="00AF3FEE">
        <w:rPr>
          <w:rFonts w:ascii="Arial" w:hAnsi="Arial" w:cs="Arial"/>
          <w:noProof/>
        </w:rPr>
        <w:t xml:space="preserve">ureditvi potrebno 75-odstotno soglasje etažnih lastnikov, za odločanje o najemu in odplačevanju posojila v breme rezervnega sklada pa soglasje vseh etažnih lastnikov. Načrtovano je, da se bo pridobivanje soglasij uredilo na novo, </w:t>
      </w:r>
      <w:r w:rsidR="00B11F0C">
        <w:rPr>
          <w:rFonts w:ascii="Arial" w:hAnsi="Arial" w:cs="Arial"/>
          <w:noProof/>
        </w:rPr>
        <w:t xml:space="preserve">da bi bile </w:t>
      </w:r>
      <w:r w:rsidRPr="00AF3FEE">
        <w:rPr>
          <w:rFonts w:ascii="Arial" w:hAnsi="Arial" w:cs="Arial"/>
          <w:noProof/>
        </w:rPr>
        <w:t xml:space="preserve">energetske prenove večstanovanjskih stavb lažje izvedljive. Oblikovane bodo dodatne aktivnosti za </w:t>
      </w:r>
      <w:r w:rsidR="00B11F0C" w:rsidRPr="00AF3FEE">
        <w:rPr>
          <w:rFonts w:ascii="Arial" w:hAnsi="Arial" w:cs="Arial"/>
          <w:noProof/>
        </w:rPr>
        <w:t>spodbud</w:t>
      </w:r>
      <w:r w:rsidR="00B11F0C">
        <w:rPr>
          <w:rFonts w:ascii="Arial" w:hAnsi="Arial" w:cs="Arial"/>
          <w:noProof/>
        </w:rPr>
        <w:t>o</w:t>
      </w:r>
      <w:r w:rsidR="00B11F0C" w:rsidRPr="00AF3FEE">
        <w:rPr>
          <w:rFonts w:ascii="Arial" w:hAnsi="Arial" w:cs="Arial"/>
          <w:noProof/>
        </w:rPr>
        <w:t xml:space="preserve"> </w:t>
      </w:r>
      <w:r w:rsidRPr="00AF3FEE">
        <w:rPr>
          <w:rFonts w:ascii="Arial" w:hAnsi="Arial" w:cs="Arial"/>
          <w:noProof/>
        </w:rPr>
        <w:t xml:space="preserve">celovite prenove večstanovanjskih stavb in zagotovljena </w:t>
      </w:r>
      <w:r w:rsidR="00B11F0C">
        <w:rPr>
          <w:rFonts w:ascii="Arial" w:hAnsi="Arial" w:cs="Arial"/>
          <w:noProof/>
        </w:rPr>
        <w:t xml:space="preserve">bodo </w:t>
      </w:r>
      <w:r w:rsidRPr="00AF3FEE">
        <w:rPr>
          <w:rFonts w:ascii="Arial" w:hAnsi="Arial" w:cs="Arial"/>
          <w:noProof/>
        </w:rPr>
        <w:t>dodatna nepovratna finančna sredstva v kombinaciji različnih finančnih instrumentov za izvedbo teh prenov.</w:t>
      </w:r>
    </w:p>
    <w:p w14:paraId="13ADF858" w14:textId="339B6AFA" w:rsidR="00AF3FEE" w:rsidRPr="00AF3FEE" w:rsidRDefault="00AF3FEE" w:rsidP="00AF3FEE">
      <w:pPr>
        <w:pStyle w:val="BodyText"/>
        <w:rPr>
          <w:rFonts w:ascii="Arial" w:hAnsi="Arial" w:cs="Arial"/>
          <w:noProof/>
          <w:szCs w:val="22"/>
        </w:rPr>
      </w:pPr>
      <w:r w:rsidRPr="00AF3FEE">
        <w:rPr>
          <w:rFonts w:ascii="Arial" w:hAnsi="Arial" w:cs="Arial"/>
          <w:noProof/>
          <w:szCs w:val="22"/>
        </w:rPr>
        <w:t>Za spodbujanje naložb v celovito energetsko prenovo večstanovanjskih stavb že potekajo aktivnosti tudi v okviru projekta LIFE IP CARE4CLIMATE. Razvita sta bila dva finančna instrumenta</w:t>
      </w:r>
      <w:r w:rsidR="00B11F0C">
        <w:rPr>
          <w:rFonts w:ascii="Arial" w:hAnsi="Arial" w:cs="Arial"/>
          <w:noProof/>
          <w:szCs w:val="22"/>
        </w:rPr>
        <w:t>;</w:t>
      </w:r>
      <w:r w:rsidRPr="00AF3FEE">
        <w:rPr>
          <w:rFonts w:ascii="Arial" w:hAnsi="Arial" w:cs="Arial"/>
          <w:noProof/>
          <w:szCs w:val="22"/>
        </w:rPr>
        <w:t xml:space="preserve"> prvi </w:t>
      </w:r>
      <w:r w:rsidR="00037BB0" w:rsidRPr="00AF3FEE">
        <w:rPr>
          <w:rStyle w:val="rynqvb"/>
          <w:rFonts w:ascii="Arial" w:hAnsi="Arial" w:cs="Arial"/>
          <w:szCs w:val="22"/>
        </w:rPr>
        <w:t xml:space="preserve">omogoča </w:t>
      </w:r>
      <w:r w:rsidRPr="00AF3FEE">
        <w:rPr>
          <w:rStyle w:val="rynqvb"/>
          <w:rFonts w:ascii="Arial" w:hAnsi="Arial" w:cs="Arial"/>
          <w:szCs w:val="22"/>
        </w:rPr>
        <w:t xml:space="preserve">financiranje celovitih prenov z ugodnim posojilom, ki se poplačuje iz rezervnega sklada večstanovanjske stavbe, drugi pa v financiranje celovite prenove vključuje sofinanciranje </w:t>
      </w:r>
      <w:r w:rsidRPr="00AF3FEE">
        <w:rPr>
          <w:rFonts w:ascii="Arial" w:hAnsi="Arial" w:cs="Arial"/>
          <w:szCs w:val="22"/>
        </w:rPr>
        <w:t>s strani podjetja za energetske storitve</w:t>
      </w:r>
      <w:r w:rsidRPr="00AF3FEE">
        <w:rPr>
          <w:rStyle w:val="rynqvb"/>
          <w:rFonts w:ascii="Arial" w:hAnsi="Arial" w:cs="Arial"/>
          <w:szCs w:val="22"/>
        </w:rPr>
        <w:t xml:space="preserve">. </w:t>
      </w:r>
      <w:r w:rsidRPr="00AF3FEE">
        <w:rPr>
          <w:rFonts w:ascii="Arial" w:hAnsi="Arial" w:cs="Arial"/>
          <w:noProof/>
          <w:szCs w:val="22"/>
        </w:rPr>
        <w:t>Oba finančna instrumenta, ki bosta leta 2025 testirana na petih pilotnih projektih, vključujeta tudi nepovratna finančna sredstva za naložbo. V razvoju je tudi še tretji finančni instrument.</w:t>
      </w:r>
    </w:p>
    <w:p w14:paraId="141D10E1" w14:textId="37AA5487" w:rsidR="00AF3FEE" w:rsidRPr="00AF3FEE" w:rsidRDefault="00AF3FEE" w:rsidP="00AF3FEE">
      <w:pPr>
        <w:jc w:val="both"/>
        <w:rPr>
          <w:rFonts w:ascii="Arial" w:hAnsi="Arial" w:cs="Arial"/>
        </w:rPr>
      </w:pPr>
      <w:r w:rsidRPr="00AF3FEE">
        <w:rPr>
          <w:rFonts w:ascii="Arial" w:hAnsi="Arial" w:cs="Arial"/>
          <w:noProof/>
        </w:rPr>
        <w:t>V sodelovanju s finančnimi institucijami v Sloveniji in EU bodo preučene možnosti za oblikovanje jamstvene sheme, ki bo za izvedbo energetske prenove stavbe zagotovila individualna jamstva kreditojemalcem ali rezervnemu skladu v primeru zadolžitve v breme rezervnega sklada. V tem okviru je načrtovana tudi pridobitev finančnih virov za vzpostavitev te sheme in od leta 2027 dalje tudi njeno izvajanje.</w:t>
      </w:r>
    </w:p>
    <w:p w14:paraId="3A1D3119" w14:textId="5205EF1F" w:rsidR="00AF3FEE" w:rsidRPr="00AF3FEE" w:rsidRDefault="00AF3FEE" w:rsidP="00AF3FEE">
      <w:pPr>
        <w:jc w:val="both"/>
        <w:rPr>
          <w:rFonts w:ascii="Arial" w:hAnsi="Arial" w:cs="Arial"/>
        </w:rPr>
      </w:pPr>
      <w:r w:rsidRPr="00AF3FEE">
        <w:rPr>
          <w:rFonts w:ascii="Arial" w:hAnsi="Arial" w:cs="Arial"/>
        </w:rPr>
        <w:t xml:space="preserve">Za večji obseg celovitih prenov večstanovanjskih stavb je </w:t>
      </w:r>
      <w:r w:rsidR="00037BB0" w:rsidRPr="00AF3FEE">
        <w:rPr>
          <w:rFonts w:ascii="Arial" w:hAnsi="Arial" w:cs="Arial"/>
        </w:rPr>
        <w:t>pomemb</w:t>
      </w:r>
      <w:r w:rsidR="00037BB0">
        <w:rPr>
          <w:rFonts w:ascii="Arial" w:hAnsi="Arial" w:cs="Arial"/>
        </w:rPr>
        <w:t>na</w:t>
      </w:r>
      <w:r w:rsidR="00037BB0" w:rsidRPr="00AF3FEE">
        <w:rPr>
          <w:rFonts w:ascii="Arial" w:hAnsi="Arial" w:cs="Arial"/>
        </w:rPr>
        <w:t xml:space="preserve"> </w:t>
      </w:r>
      <w:r w:rsidRPr="00AF3FEE">
        <w:rPr>
          <w:rFonts w:ascii="Arial" w:hAnsi="Arial" w:cs="Arial"/>
        </w:rPr>
        <w:t xml:space="preserve">tudi </w:t>
      </w:r>
      <w:r w:rsidR="00037BB0" w:rsidRPr="00AF3FEE">
        <w:rPr>
          <w:rFonts w:ascii="Arial" w:hAnsi="Arial" w:cs="Arial"/>
        </w:rPr>
        <w:t>vzpostavit</w:t>
      </w:r>
      <w:r w:rsidR="00037BB0">
        <w:rPr>
          <w:rFonts w:ascii="Arial" w:hAnsi="Arial" w:cs="Arial"/>
        </w:rPr>
        <w:t>ev</w:t>
      </w:r>
      <w:r w:rsidR="00037BB0" w:rsidRPr="00AF3FEE">
        <w:rPr>
          <w:rFonts w:ascii="Arial" w:hAnsi="Arial" w:cs="Arial"/>
        </w:rPr>
        <w:t xml:space="preserve"> </w:t>
      </w:r>
      <w:r w:rsidRPr="00AF3FEE">
        <w:rPr>
          <w:rFonts w:ascii="Arial" w:hAnsi="Arial" w:cs="Arial"/>
        </w:rPr>
        <w:t xml:space="preserve">projektne pisarne za celovito prenovo stanovanjskih stavb. Namen ukrepa je povečati obseg in okrepiti kakovost priprave celovitih in trajnostnih prenov stavb po načelu »vse na enem mestu« ter podpreti izvajanje finančnih instrumentov za celovito prenovo vseh stanovanjskih stavb. Pisarna bo začela </w:t>
      </w:r>
      <w:r w:rsidR="00037BB0">
        <w:rPr>
          <w:rFonts w:ascii="Arial" w:hAnsi="Arial" w:cs="Arial"/>
        </w:rPr>
        <w:t xml:space="preserve">delati </w:t>
      </w:r>
      <w:r w:rsidRPr="00AF3FEE">
        <w:rPr>
          <w:rFonts w:ascii="Arial" w:hAnsi="Arial" w:cs="Arial"/>
        </w:rPr>
        <w:t>predvidoma leta 2026.</w:t>
      </w:r>
    </w:p>
    <w:p w14:paraId="0CF1701D" w14:textId="48B35433" w:rsidR="00AF3FEE" w:rsidRPr="00AF3FEE" w:rsidRDefault="00AF3FEE" w:rsidP="00AF3FEE">
      <w:pPr>
        <w:jc w:val="both"/>
        <w:rPr>
          <w:rFonts w:ascii="Arial" w:hAnsi="Arial" w:cs="Arial"/>
        </w:rPr>
      </w:pPr>
      <w:r w:rsidRPr="00AF3FEE">
        <w:rPr>
          <w:rFonts w:ascii="Arial" w:hAnsi="Arial" w:cs="Arial"/>
        </w:rPr>
        <w:t xml:space="preserve">Poseben ukrep je namenjen še celoviti prenovi stanovanj v javni lasti. Aktivnosti se bodo začele leta 2026 s celostnim popisom stanovanj v javni lasti z vidika kakovosti bivanja, potresne varnosti, energetske učinkovitosti in </w:t>
      </w:r>
      <w:r w:rsidR="00B11F0C">
        <w:rPr>
          <w:rFonts w:ascii="Arial" w:hAnsi="Arial" w:cs="Arial"/>
        </w:rPr>
        <w:t>zmogljivosti</w:t>
      </w:r>
      <w:r w:rsidR="00B11F0C" w:rsidRPr="00AF3FEE">
        <w:rPr>
          <w:rFonts w:ascii="Arial" w:hAnsi="Arial" w:cs="Arial"/>
        </w:rPr>
        <w:t xml:space="preserve"> </w:t>
      </w:r>
      <w:r w:rsidRPr="00AF3FEE">
        <w:rPr>
          <w:rFonts w:ascii="Arial" w:hAnsi="Arial" w:cs="Arial"/>
        </w:rPr>
        <w:t>ter primernosti za prenovo in energetsko nadgradnjo (umeščanja OVE) stavbnega fonda. V naslednjem koraku bo nato pripravljena strategija celostne prenove javnega stanovanjskega fonda. Njeno izvajanje je načrtovano v obdobju 2027–2035.</w:t>
      </w:r>
    </w:p>
    <w:p w14:paraId="2566CED2"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lastRenderedPageBreak/>
        <w:t>Dodaten razvoj finančnih spodbud za naložbe URE in rabe OVE v gospodinjstvih</w:t>
      </w:r>
    </w:p>
    <w:p w14:paraId="7419104C" w14:textId="22B208F6" w:rsidR="00AF3FEE" w:rsidRPr="00AF3FEE" w:rsidRDefault="00AF3FEE" w:rsidP="00AF3FEE">
      <w:pPr>
        <w:pStyle w:val="BodyText"/>
        <w:rPr>
          <w:rFonts w:ascii="Arial" w:hAnsi="Arial" w:cs="Arial"/>
          <w:noProof/>
          <w:szCs w:val="22"/>
        </w:rPr>
      </w:pPr>
      <w:r w:rsidRPr="00AF3FEE">
        <w:rPr>
          <w:rFonts w:ascii="Arial" w:hAnsi="Arial" w:cs="Arial"/>
          <w:noProof/>
          <w:szCs w:val="22"/>
        </w:rPr>
        <w:t>Za doseganje ciljev na področju prihrankov energije in prenove stanovanjskih stavb z namenom zmanjšanja rabe energije in emisij TGP je načrtovana tudi nadgradnja</w:t>
      </w:r>
      <w:r w:rsidRPr="00AF3FEE">
        <w:rPr>
          <w:rFonts w:ascii="Arial" w:hAnsi="Arial" w:cs="Arial"/>
          <w:b/>
          <w:bCs/>
          <w:noProof/>
          <w:szCs w:val="22"/>
        </w:rPr>
        <w:t xml:space="preserve"> </w:t>
      </w:r>
      <w:r w:rsidRPr="00AF3FEE">
        <w:rPr>
          <w:rFonts w:ascii="Arial" w:hAnsi="Arial" w:cs="Arial"/>
          <w:noProof/>
          <w:szCs w:val="22"/>
        </w:rPr>
        <w:t xml:space="preserve">finančnih spodbud za naložbe URE in rabe OVE v gospodinjstvih, ki obsega širok nabor aktivnosti: pripravo finančnega načrta spodbujanja ukrepov v gospodinjstvih, vključno z določitvijo virov financiranja, spodbujevalnih mehanizmov in ukrepov za odstranjevanje ključnih ovir, zagotovitev spodbud za pripravo projektov v stanovanjskem sektorju, izvedbo </w:t>
      </w:r>
      <w:r w:rsidR="009610BC">
        <w:rPr>
          <w:rFonts w:ascii="Arial" w:hAnsi="Arial" w:cs="Arial"/>
          <w:noProof/>
          <w:szCs w:val="22"/>
        </w:rPr>
        <w:t xml:space="preserve">poskusnih </w:t>
      </w:r>
      <w:r w:rsidRPr="00AF3FEE">
        <w:rPr>
          <w:rFonts w:ascii="Arial" w:hAnsi="Arial" w:cs="Arial"/>
          <w:noProof/>
          <w:szCs w:val="22"/>
        </w:rPr>
        <w:t>projektov, pripravo novih finančnih instrumentov za naložbe URE in rabe OVE, okrepitev delovanja Eko sklada, zlasti na področju ozaveščanja in informiranja skupaj z Borzenom, poenostavitev administrativnih postopkov pri dodeljevanju spodbud in podobno. Z DSEPS 2050 je bil načrtovan tudi ukrep zagotovitve zadostnih virov za finančne spodbude za energetsko učinkovitost in rabo OVE v stanovanjskih stavbah, in sicer s postopnim povečevanjem prispevka na rabo energije za povečanje energetske učinkovitosti, ki pa se ne izvaja.</w:t>
      </w:r>
    </w:p>
    <w:p w14:paraId="009334CA" w14:textId="77777777" w:rsidR="00AF3FEE" w:rsidRPr="00AF3FEE" w:rsidRDefault="00AF3FEE" w:rsidP="00AF3FEE">
      <w:pPr>
        <w:pStyle w:val="Heading41"/>
        <w:tabs>
          <w:tab w:val="left" w:pos="680"/>
        </w:tabs>
        <w:spacing w:before="360"/>
        <w:ind w:left="680" w:hanging="680"/>
        <w:jc w:val="both"/>
        <w:rPr>
          <w:rFonts w:cs="Arial"/>
          <w:szCs w:val="22"/>
          <w:u w:val="single"/>
          <w:lang w:val="sl-SI"/>
        </w:rPr>
      </w:pPr>
      <w:r w:rsidRPr="00AF3FEE">
        <w:rPr>
          <w:rFonts w:cs="Arial"/>
          <w:szCs w:val="22"/>
          <w:lang w:val="sl-SI"/>
        </w:rPr>
        <w:t>SPODBUJANJE URE IN RABE OVE V JAVNEM SEKTORJU</w:t>
      </w:r>
    </w:p>
    <w:p w14:paraId="2A5CE28E" w14:textId="230E9671" w:rsidR="00AF3FEE" w:rsidRPr="00AF3FEE" w:rsidRDefault="00AF3FEE" w:rsidP="00AF3FEE">
      <w:pPr>
        <w:pStyle w:val="Naslov-VplivUkrepa-Sektorji"/>
        <w:keepNext/>
        <w:jc w:val="both"/>
        <w:rPr>
          <w:rFonts w:ascii="Arial" w:hAnsi="Arial" w:cs="Arial"/>
          <w:noProof/>
          <w:szCs w:val="22"/>
        </w:rPr>
      </w:pPr>
      <w:r w:rsidRPr="00AF3FEE">
        <w:rPr>
          <w:rFonts w:ascii="Arial" w:hAnsi="Arial" w:cs="Arial"/>
          <w:noProof/>
          <w:szCs w:val="22"/>
        </w:rPr>
        <w:t xml:space="preserve">Sektorji, na katere </w:t>
      </w:r>
      <w:r w:rsidR="003F3D00"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javnem sektorju</w:t>
      </w:r>
      <w:r w:rsidR="009610BC">
        <w:rPr>
          <w:rFonts w:ascii="Arial" w:hAnsi="Arial" w:cs="Arial"/>
          <w:b w:val="0"/>
          <w:noProof/>
          <w:szCs w:val="22"/>
        </w:rPr>
        <w:t>.</w:t>
      </w:r>
    </w:p>
    <w:p w14:paraId="486C2BC4" w14:textId="13364948"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Upravljanje energij</w:t>
      </w:r>
      <w:r w:rsidR="00C64332">
        <w:rPr>
          <w:rFonts w:ascii="Arial" w:hAnsi="Arial" w:cs="Arial"/>
          <w:szCs w:val="22"/>
          <w:lang w:val="sl-SI"/>
        </w:rPr>
        <w:t>e</w:t>
      </w:r>
      <w:r w:rsidRPr="00AF3FEE">
        <w:rPr>
          <w:rFonts w:ascii="Arial" w:hAnsi="Arial" w:cs="Arial"/>
          <w:szCs w:val="22"/>
          <w:lang w:val="sl-SI"/>
        </w:rPr>
        <w:t xml:space="preserve"> v javnem sektorju</w:t>
      </w:r>
    </w:p>
    <w:p w14:paraId="78D7DCCC" w14:textId="656BDCB1" w:rsidR="00AF3FEE" w:rsidRPr="00AF3FEE" w:rsidRDefault="00AF3FEE" w:rsidP="00AF3FEE">
      <w:pPr>
        <w:jc w:val="both"/>
        <w:rPr>
          <w:rFonts w:ascii="Arial" w:hAnsi="Arial" w:cs="Arial"/>
          <w:noProof/>
        </w:rPr>
      </w:pPr>
      <w:r w:rsidRPr="00AF3FEE">
        <w:rPr>
          <w:rFonts w:ascii="Arial" w:hAnsi="Arial" w:cs="Arial"/>
          <w:noProof/>
        </w:rPr>
        <w:t>Obvezno upravljanje energij</w:t>
      </w:r>
      <w:r w:rsidR="00C64332">
        <w:rPr>
          <w:rFonts w:ascii="Arial" w:hAnsi="Arial" w:cs="Arial"/>
          <w:noProof/>
        </w:rPr>
        <w:t>e</w:t>
      </w:r>
      <w:r w:rsidRPr="00AF3FEE">
        <w:rPr>
          <w:rFonts w:ascii="Arial" w:hAnsi="Arial" w:cs="Arial"/>
          <w:noProof/>
        </w:rPr>
        <w:t xml:space="preserve"> v javnem sektorju je bilo uvedeno leta 2016. Sestavljeno je iz energetskega knjigovodstva, izvajanja ukrepov URE in rabe OVE ter poročanja o stroških za energijo, vrstah energentov in izvajanju ukrepov. Obvezno je za vse stavbe z uporabno površino nad 250 m</w:t>
      </w:r>
      <w:r w:rsidRPr="00AF3FEE">
        <w:rPr>
          <w:rFonts w:ascii="Arial" w:hAnsi="Arial" w:cs="Arial"/>
          <w:noProof/>
          <w:vertAlign w:val="superscript"/>
        </w:rPr>
        <w:t>2</w:t>
      </w:r>
      <w:r w:rsidRPr="00AF3FEE">
        <w:rPr>
          <w:rFonts w:ascii="Arial" w:hAnsi="Arial" w:cs="Arial"/>
          <w:noProof/>
        </w:rPr>
        <w:t>, ki so v lasti ali upravljanju javne uprave v širšem smislu. Pravne podlage je opredelil Energetski zakon (EZ-1), od leta 2020 pa ga ureja</w:t>
      </w:r>
      <w:r w:rsidR="009610BC">
        <w:rPr>
          <w:rFonts w:ascii="Arial" w:hAnsi="Arial" w:cs="Arial"/>
          <w:noProof/>
        </w:rPr>
        <w:t>ta</w:t>
      </w:r>
      <w:r w:rsidRPr="00AF3FEE">
        <w:rPr>
          <w:rFonts w:ascii="Arial" w:hAnsi="Arial" w:cs="Arial"/>
          <w:noProof/>
        </w:rPr>
        <w:t xml:space="preserve"> ZURE</w:t>
      </w:r>
      <w:r w:rsidRPr="00AF3FEE">
        <w:rPr>
          <w:rFonts w:ascii="Arial" w:hAnsi="Arial" w:cs="Arial"/>
          <w:i/>
          <w:iCs/>
          <w:noProof/>
        </w:rPr>
        <w:t xml:space="preserve"> </w:t>
      </w:r>
      <w:r w:rsidR="009610BC">
        <w:rPr>
          <w:rFonts w:ascii="Arial" w:hAnsi="Arial" w:cs="Arial"/>
          <w:iCs/>
          <w:noProof/>
        </w:rPr>
        <w:t xml:space="preserve">in </w:t>
      </w:r>
      <w:r w:rsidRPr="00AF3FEE">
        <w:rPr>
          <w:rFonts w:ascii="Arial" w:hAnsi="Arial" w:cs="Arial"/>
          <w:noProof/>
        </w:rPr>
        <w:t>na izvedbeni ravni Uredba o upravljanju z energijo v javnem sektorju</w:t>
      </w:r>
      <w:r w:rsidR="00C64332">
        <w:rPr>
          <w:rFonts w:ascii="Arial" w:hAnsi="Arial" w:cs="Arial"/>
          <w:noProof/>
        </w:rPr>
        <w:t>.</w:t>
      </w:r>
      <w:r w:rsidRPr="00AF3FEE">
        <w:rPr>
          <w:rStyle w:val="FootnoteReference"/>
          <w:rFonts w:ascii="Arial" w:hAnsi="Arial" w:cs="Arial"/>
          <w:noProof/>
        </w:rPr>
        <w:footnoteReference w:id="82"/>
      </w:r>
    </w:p>
    <w:p w14:paraId="0C3E777F"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Sheme povratnih in nepovratnih sredstev za URE in OVE v javnem sektorju</w:t>
      </w:r>
    </w:p>
    <w:p w14:paraId="537B0081" w14:textId="38A78825"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Za energetsko prenovo javnih stavb so nepovratna sredstva na </w:t>
      </w:r>
      <w:r w:rsidR="001115B9">
        <w:rPr>
          <w:rFonts w:ascii="Arial" w:hAnsi="Arial" w:cs="Arial"/>
          <w:noProof/>
          <w:szCs w:val="22"/>
        </w:rPr>
        <w:t xml:space="preserve">voljo </w:t>
      </w:r>
      <w:r w:rsidRPr="00AF3FEE">
        <w:rPr>
          <w:rFonts w:ascii="Arial" w:hAnsi="Arial" w:cs="Arial"/>
          <w:noProof/>
          <w:szCs w:val="22"/>
        </w:rPr>
        <w:t>od leta 2010 dalje. Najprej so bila to kohezijska sredstva v okviru Operativnega programa razvoja okoljske in prometne infrastrukture 2007−2013 (OP ROPI)</w:t>
      </w:r>
      <w:r w:rsidR="00C64332">
        <w:rPr>
          <w:rFonts w:ascii="Arial" w:hAnsi="Arial" w:cs="Arial"/>
          <w:noProof/>
          <w:szCs w:val="22"/>
        </w:rPr>
        <w:t>,</w:t>
      </w:r>
      <w:r w:rsidRPr="00AF3FEE">
        <w:rPr>
          <w:rStyle w:val="FootnoteReference"/>
          <w:rFonts w:ascii="Arial" w:hAnsi="Arial" w:cs="Arial"/>
          <w:noProof/>
          <w:szCs w:val="22"/>
        </w:rPr>
        <w:footnoteReference w:id="83"/>
      </w:r>
      <w:r w:rsidRPr="00AF3FEE">
        <w:rPr>
          <w:rFonts w:ascii="Arial" w:hAnsi="Arial" w:cs="Arial"/>
          <w:noProof/>
          <w:szCs w:val="22"/>
        </w:rPr>
        <w:t xml:space="preserve"> nato pa v okviru OP EKP 2014−2020. Slednja so bila namenjena energetski prenovi stavb ožjega javnega sektorja, občin in širšega javnega sektorja za stavbe v lasti države</w:t>
      </w:r>
      <w:r w:rsidRPr="00AF3FEE">
        <w:rPr>
          <w:rFonts w:ascii="Arial" w:hAnsi="Arial" w:cs="Arial"/>
          <w:i/>
          <w:iCs/>
          <w:noProof/>
          <w:szCs w:val="22"/>
        </w:rPr>
        <w:t>.</w:t>
      </w:r>
      <w:r w:rsidRPr="00AF3FEE">
        <w:rPr>
          <w:rFonts w:ascii="Arial" w:hAnsi="Arial" w:cs="Arial"/>
          <w:noProof/>
          <w:szCs w:val="22"/>
        </w:rPr>
        <w:t xml:space="preserve"> Za doseganje večjega obsega energetskih prenov so bile v OP EKP 2014−2020 spodbude namenjene tudi sofinanciranju projektov, ki se izvajajo po modelu EPO.</w:t>
      </w:r>
    </w:p>
    <w:p w14:paraId="30CF25A3" w14:textId="6EEC50A9"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Skupno je bilo v drugem programskem obdobju s skoraj 110 </w:t>
      </w:r>
      <w:r w:rsidR="006A109B">
        <w:rPr>
          <w:rFonts w:ascii="Arial" w:hAnsi="Arial" w:cs="Arial"/>
          <w:noProof/>
          <w:szCs w:val="22"/>
        </w:rPr>
        <w:t xml:space="preserve">milijoni evrov </w:t>
      </w:r>
      <w:r w:rsidRPr="00AF3FEE">
        <w:rPr>
          <w:rFonts w:ascii="Arial" w:hAnsi="Arial" w:cs="Arial"/>
          <w:noProof/>
          <w:szCs w:val="22"/>
        </w:rPr>
        <w:t>nepovratnih sredstev podprtih 134 projektov, v okviru katerih je bil prenovljen 1 milijon m</w:t>
      </w:r>
      <w:r w:rsidRPr="00AF3FEE">
        <w:rPr>
          <w:rFonts w:ascii="Arial" w:hAnsi="Arial" w:cs="Arial"/>
          <w:noProof/>
          <w:szCs w:val="22"/>
          <w:vertAlign w:val="superscript"/>
        </w:rPr>
        <w:t>2</w:t>
      </w:r>
      <w:r w:rsidRPr="00AF3FEE">
        <w:rPr>
          <w:rFonts w:ascii="Arial" w:hAnsi="Arial" w:cs="Arial"/>
          <w:noProof/>
          <w:szCs w:val="22"/>
        </w:rPr>
        <w:t xml:space="preserve"> površine stavb in doseženo zmanjšanje emisij za 21 kt/leto. Pri izvajanju energetske prenove so bile </w:t>
      </w:r>
      <w:r w:rsidR="009610BC">
        <w:rPr>
          <w:rFonts w:ascii="Arial" w:hAnsi="Arial" w:cs="Arial"/>
          <w:noProof/>
          <w:szCs w:val="22"/>
        </w:rPr>
        <w:t>najuspešnejše</w:t>
      </w:r>
      <w:r w:rsidRPr="00AF3FEE">
        <w:rPr>
          <w:rFonts w:ascii="Arial" w:hAnsi="Arial" w:cs="Arial"/>
          <w:noProof/>
          <w:szCs w:val="22"/>
        </w:rPr>
        <w:t xml:space="preserve"> občine, ki so prispevale kar 69 % vseh projektov in 71 % vse prenovljene površine. Najslabše, s samo šestimi izvedenimi projekti, je energetska prenova potekala v ožjem javnem sektorju, kar je imelo negativen vpliv tudi na doseganje cilja obveznega deleža prenov stavb ožjega javnega sektorja v okviru 5. člena EED iz leta 2012. Zahtevana </w:t>
      </w:r>
      <w:r w:rsidRPr="00AF3FEE">
        <w:rPr>
          <w:rStyle w:val="BodyTextChar"/>
          <w:rFonts w:ascii="Arial" w:eastAsiaTheme="majorEastAsia" w:hAnsi="Arial" w:cs="Arial"/>
          <w:noProof/>
          <w:szCs w:val="22"/>
        </w:rPr>
        <w:t>letna prenova 3 % skupne tlorisne površine stavb v lasti in rabi osrednje vlade</w:t>
      </w:r>
      <w:bookmarkStart w:id="83" w:name="_Hlk83651402"/>
      <w:r w:rsidRPr="00AF3FEE">
        <w:rPr>
          <w:rStyle w:val="BodyTextChar"/>
          <w:rFonts w:ascii="Arial" w:eastAsiaTheme="majorEastAsia" w:hAnsi="Arial" w:cs="Arial"/>
          <w:noProof/>
          <w:szCs w:val="22"/>
        </w:rPr>
        <w:t>, ki se ogrevajo in/ali ohlajajo</w:t>
      </w:r>
      <w:bookmarkEnd w:id="83"/>
      <w:r w:rsidRPr="00AF3FEE">
        <w:rPr>
          <w:rStyle w:val="BodyTextChar"/>
          <w:rFonts w:ascii="Arial" w:eastAsiaTheme="majorEastAsia" w:hAnsi="Arial" w:cs="Arial"/>
          <w:noProof/>
          <w:szCs w:val="22"/>
        </w:rPr>
        <w:t xml:space="preserve">, v obdobju 2014–2023 namreč ni bila nikoli dosežena. </w:t>
      </w:r>
      <w:bookmarkStart w:id="84" w:name="_Hlk83651944"/>
      <w:r w:rsidR="004F2B0D">
        <w:rPr>
          <w:rStyle w:val="BodyTextChar"/>
          <w:rFonts w:ascii="Arial" w:eastAsiaTheme="majorEastAsia" w:hAnsi="Arial" w:cs="Arial"/>
          <w:noProof/>
          <w:szCs w:val="22"/>
        </w:rPr>
        <w:t xml:space="preserve">Navedena </w:t>
      </w:r>
      <w:r w:rsidRPr="00AF3FEE">
        <w:rPr>
          <w:rFonts w:ascii="Arial" w:hAnsi="Arial" w:cs="Arial"/>
          <w:szCs w:val="22"/>
        </w:rPr>
        <w:t xml:space="preserve">obveznost se sicer </w:t>
      </w:r>
      <w:bookmarkEnd w:id="84"/>
      <w:r w:rsidRPr="00AF3FEE">
        <w:rPr>
          <w:rFonts w:ascii="Arial" w:hAnsi="Arial" w:cs="Arial"/>
          <w:szCs w:val="22"/>
        </w:rPr>
        <w:t>v skladu z EED iz leta 2023 širi na celoten javni sektor.</w:t>
      </w:r>
    </w:p>
    <w:p w14:paraId="15E3B0B7" w14:textId="64519BB1"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Energetska prenova javnih stavb v okviru kohezijske politike se nadaljuje tudi v programskem obdobju </w:t>
      </w:r>
      <w:r w:rsidRPr="00AF3FEE">
        <w:rPr>
          <w:rStyle w:val="BodyTextChar"/>
          <w:rFonts w:ascii="Arial" w:eastAsiaTheme="majorEastAsia" w:hAnsi="Arial" w:cs="Arial"/>
          <w:noProof/>
          <w:szCs w:val="22"/>
        </w:rPr>
        <w:t xml:space="preserve">2021–2027. Leta 2024 je bil objavljen razpis za občine, </w:t>
      </w:r>
      <w:r w:rsidR="00C64332">
        <w:rPr>
          <w:rStyle w:val="BodyTextChar"/>
          <w:rFonts w:ascii="Arial" w:eastAsiaTheme="majorEastAsia" w:hAnsi="Arial" w:cs="Arial"/>
          <w:noProof/>
          <w:szCs w:val="22"/>
        </w:rPr>
        <w:t>v katerem</w:t>
      </w:r>
      <w:r w:rsidR="00C64332" w:rsidRPr="00AF3FEE">
        <w:rPr>
          <w:rStyle w:val="BodyTextChar"/>
          <w:rFonts w:ascii="Arial" w:eastAsiaTheme="majorEastAsia" w:hAnsi="Arial" w:cs="Arial"/>
          <w:noProof/>
          <w:szCs w:val="22"/>
        </w:rPr>
        <w:t xml:space="preserve"> </w:t>
      </w:r>
      <w:r w:rsidRPr="00AF3FEE">
        <w:rPr>
          <w:rStyle w:val="BodyTextChar"/>
          <w:rFonts w:ascii="Arial" w:eastAsiaTheme="majorEastAsia" w:hAnsi="Arial" w:cs="Arial"/>
          <w:noProof/>
          <w:szCs w:val="22"/>
        </w:rPr>
        <w:t xml:space="preserve">so sredstva namenjena celoviti energetski prenovi stavb (30 </w:t>
      </w:r>
      <w:r w:rsidR="006A109B">
        <w:rPr>
          <w:rStyle w:val="BodyTextChar"/>
          <w:rFonts w:ascii="Arial" w:eastAsiaTheme="majorEastAsia" w:hAnsi="Arial" w:cs="Arial"/>
          <w:noProof/>
          <w:szCs w:val="22"/>
        </w:rPr>
        <w:t>milijonov evrov</w:t>
      </w:r>
      <w:r w:rsidRPr="00AF3FEE">
        <w:rPr>
          <w:rStyle w:val="BodyTextChar"/>
          <w:rFonts w:ascii="Arial" w:eastAsiaTheme="majorEastAsia" w:hAnsi="Arial" w:cs="Arial"/>
          <w:noProof/>
          <w:szCs w:val="22"/>
        </w:rPr>
        <w:t xml:space="preserve">) in gradnji novih naprav za proizvodnjo električne energije iz sončne energije, </w:t>
      </w:r>
      <w:r w:rsidR="00C64332">
        <w:rPr>
          <w:rStyle w:val="BodyTextChar"/>
          <w:rFonts w:ascii="Arial" w:eastAsiaTheme="majorEastAsia" w:hAnsi="Arial" w:cs="Arial"/>
          <w:noProof/>
          <w:szCs w:val="22"/>
        </w:rPr>
        <w:t>v skladu</w:t>
      </w:r>
      <w:r w:rsidR="00C64332" w:rsidRPr="00AF3FEE">
        <w:rPr>
          <w:rStyle w:val="BodyTextChar"/>
          <w:rFonts w:ascii="Arial" w:eastAsiaTheme="majorEastAsia" w:hAnsi="Arial" w:cs="Arial"/>
          <w:noProof/>
          <w:szCs w:val="22"/>
        </w:rPr>
        <w:t xml:space="preserve"> </w:t>
      </w:r>
      <w:r w:rsidRPr="00AF3FEE">
        <w:rPr>
          <w:rStyle w:val="BodyTextChar"/>
          <w:rFonts w:ascii="Arial" w:eastAsiaTheme="majorEastAsia" w:hAnsi="Arial" w:cs="Arial"/>
          <w:noProof/>
          <w:szCs w:val="22"/>
        </w:rPr>
        <w:t xml:space="preserve">s konceptom samooskrbe z električno energijo (4,5 </w:t>
      </w:r>
      <w:r w:rsidR="006A109B">
        <w:rPr>
          <w:rStyle w:val="BodyTextChar"/>
          <w:rFonts w:ascii="Arial" w:eastAsiaTheme="majorEastAsia" w:hAnsi="Arial" w:cs="Arial"/>
          <w:noProof/>
          <w:szCs w:val="22"/>
        </w:rPr>
        <w:t>milijona evrov</w:t>
      </w:r>
      <w:r w:rsidRPr="00AF3FEE">
        <w:rPr>
          <w:rStyle w:val="BodyTextChar"/>
          <w:rFonts w:ascii="Arial" w:eastAsiaTheme="majorEastAsia" w:hAnsi="Arial" w:cs="Arial"/>
          <w:noProof/>
          <w:szCs w:val="22"/>
        </w:rPr>
        <w:t xml:space="preserve">). Podobno povabilo je bilo v začetku leta 2025 objavljeno </w:t>
      </w:r>
      <w:r w:rsidRPr="00AF3FEE">
        <w:rPr>
          <w:rStyle w:val="BodyTextChar"/>
          <w:rFonts w:ascii="Arial" w:eastAsiaTheme="majorEastAsia" w:hAnsi="Arial" w:cs="Arial"/>
          <w:noProof/>
          <w:szCs w:val="22"/>
        </w:rPr>
        <w:lastRenderedPageBreak/>
        <w:t xml:space="preserve">tudi za ožji in širši javni sektor za stavbe v lasti države, na </w:t>
      </w:r>
      <w:r w:rsidR="001115B9">
        <w:rPr>
          <w:rStyle w:val="BodyTextChar"/>
          <w:rFonts w:ascii="Arial" w:eastAsiaTheme="majorEastAsia" w:hAnsi="Arial" w:cs="Arial"/>
          <w:noProof/>
          <w:szCs w:val="22"/>
        </w:rPr>
        <w:t xml:space="preserve">voljo </w:t>
      </w:r>
      <w:r w:rsidRPr="00AF3FEE">
        <w:rPr>
          <w:rStyle w:val="BodyTextChar"/>
          <w:rFonts w:ascii="Arial" w:eastAsiaTheme="majorEastAsia" w:hAnsi="Arial" w:cs="Arial"/>
          <w:noProof/>
          <w:szCs w:val="22"/>
        </w:rPr>
        <w:t xml:space="preserve">pa je 16 </w:t>
      </w:r>
      <w:r w:rsidR="006A109B">
        <w:rPr>
          <w:rStyle w:val="BodyTextChar"/>
          <w:rFonts w:ascii="Arial" w:eastAsiaTheme="majorEastAsia" w:hAnsi="Arial" w:cs="Arial"/>
          <w:noProof/>
          <w:szCs w:val="22"/>
        </w:rPr>
        <w:t xml:space="preserve">milijonov evrov </w:t>
      </w:r>
      <w:r w:rsidRPr="00AF3FEE">
        <w:rPr>
          <w:rStyle w:val="BodyTextChar"/>
          <w:rFonts w:ascii="Arial" w:eastAsiaTheme="majorEastAsia" w:hAnsi="Arial" w:cs="Arial"/>
          <w:noProof/>
          <w:szCs w:val="22"/>
        </w:rPr>
        <w:t xml:space="preserve">za prvi in 2,4 </w:t>
      </w:r>
      <w:r w:rsidR="006A109B">
        <w:rPr>
          <w:rStyle w:val="BodyTextChar"/>
          <w:rFonts w:ascii="Arial" w:eastAsiaTheme="majorEastAsia" w:hAnsi="Arial" w:cs="Arial"/>
          <w:noProof/>
          <w:szCs w:val="22"/>
        </w:rPr>
        <w:t xml:space="preserve">milijona evrov </w:t>
      </w:r>
      <w:r w:rsidRPr="00AF3FEE">
        <w:rPr>
          <w:rStyle w:val="BodyTextChar"/>
          <w:rFonts w:ascii="Arial" w:eastAsiaTheme="majorEastAsia" w:hAnsi="Arial" w:cs="Arial"/>
          <w:noProof/>
          <w:szCs w:val="22"/>
        </w:rPr>
        <w:t xml:space="preserve">za drugi namen. V okviru Načrta za okrevanje in odpornost (NOO) poteka energetska prenova javnih stavb izjemnega upravnega ali družbenega pomena. Do sredine leta 2024 je bilo v tem okviru za izvedbo izbranih 24 projektov. V okviru NOO so na </w:t>
      </w:r>
      <w:r w:rsidR="001115B9">
        <w:rPr>
          <w:rStyle w:val="BodyTextChar"/>
          <w:rFonts w:ascii="Arial" w:eastAsiaTheme="majorEastAsia" w:hAnsi="Arial" w:cs="Arial"/>
          <w:noProof/>
          <w:szCs w:val="22"/>
        </w:rPr>
        <w:t xml:space="preserve">voljo </w:t>
      </w:r>
      <w:r w:rsidRPr="00AF3FEE">
        <w:rPr>
          <w:rStyle w:val="BodyTextChar"/>
          <w:rFonts w:ascii="Arial" w:eastAsiaTheme="majorEastAsia" w:hAnsi="Arial" w:cs="Arial"/>
          <w:noProof/>
          <w:szCs w:val="22"/>
        </w:rPr>
        <w:t xml:space="preserve">tudi sredstva za nadgradnjo tehničnih stavbnih sistemov, in sicer za javne izobraževalne ustanove ter domove za bivanje in oskrbo starejših in invalidnih oseb. Nadaljuje se tudi energetska prenova stavb zdravstvene infrastrukture posebnega pomena zaradi </w:t>
      </w:r>
      <w:r w:rsidR="00C64332">
        <w:rPr>
          <w:rStyle w:val="BodyTextChar"/>
          <w:rFonts w:ascii="Arial" w:eastAsiaTheme="majorEastAsia" w:hAnsi="Arial" w:cs="Arial"/>
          <w:noProof/>
          <w:szCs w:val="22"/>
        </w:rPr>
        <w:t>covida</w:t>
      </w:r>
      <w:r w:rsidRPr="00AF3FEE">
        <w:rPr>
          <w:rStyle w:val="BodyTextChar"/>
          <w:rFonts w:ascii="Arial" w:eastAsiaTheme="majorEastAsia" w:hAnsi="Arial" w:cs="Arial"/>
          <w:noProof/>
          <w:szCs w:val="22"/>
        </w:rPr>
        <w:t>-19 v sklopu pobude React-EU.</w:t>
      </w:r>
    </w:p>
    <w:p w14:paraId="5AFF0F6E" w14:textId="77777777" w:rsidR="00AF3FEE" w:rsidRPr="00AF3FEE" w:rsidRDefault="00AF3FEE" w:rsidP="00AF3FEE">
      <w:pPr>
        <w:pStyle w:val="BodyText"/>
        <w:rPr>
          <w:rFonts w:ascii="Arial" w:hAnsi="Arial" w:cs="Arial"/>
          <w:noProof/>
          <w:szCs w:val="22"/>
        </w:rPr>
      </w:pPr>
      <w:r w:rsidRPr="00AF3FEE">
        <w:rPr>
          <w:rFonts w:ascii="Arial" w:hAnsi="Arial" w:cs="Arial"/>
          <w:noProof/>
          <w:szCs w:val="22"/>
        </w:rPr>
        <w:t>Za spodbujanje naložb energetske prenove javnih stavb je treba tudi v prihodnje zagotoviti stalno razpoložljivost nepovratnih sredstev ter spodbuditi pripravo projektov v okviru pridobljenih in dodatnih sredstev mednarodne tehnične pomoči ELENA.</w:t>
      </w:r>
    </w:p>
    <w:p w14:paraId="05FFDC96" w14:textId="77777777" w:rsidR="00AF3FEE" w:rsidRPr="00AF3FEE" w:rsidRDefault="00AF3FEE" w:rsidP="00AF3FEE">
      <w:pPr>
        <w:pStyle w:val="BodyText"/>
        <w:rPr>
          <w:rFonts w:ascii="Arial" w:hAnsi="Arial" w:cs="Arial"/>
          <w:noProof/>
          <w:szCs w:val="22"/>
        </w:rPr>
      </w:pPr>
      <w:r w:rsidRPr="00AF3FEE">
        <w:rPr>
          <w:rFonts w:ascii="Arial" w:hAnsi="Arial" w:cs="Arial"/>
          <w:noProof/>
          <w:szCs w:val="22"/>
        </w:rPr>
        <w:t>Za izvajanje ukrepov URE in rabe OVE nepovratna sredstva javnemu sektorju dodeljuje tudi Eko sklad. Poleg nepovratnih sredstev so na voljo tudi krediti, namenjeni zmanjšanju rabe energije in emisij TGP ter povečanju proizvodnje energije iz OVE (Eko sklad in drugi ponudniki).</w:t>
      </w:r>
    </w:p>
    <w:p w14:paraId="43BE1001"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noProof/>
          <w:szCs w:val="22"/>
          <w:lang w:val="sl-SI"/>
        </w:rPr>
        <w:t>Projektna pisarna za energetsko prenovo stavb</w:t>
      </w:r>
    </w:p>
    <w:p w14:paraId="6D78C1F7" w14:textId="351C5A6D"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Za spodbujanje in podporo pri prenovi javnih stavb deluje od leta 2016 v sklopu ministrstva, pristojnega za energijo, </w:t>
      </w:r>
      <w:r w:rsidR="009610BC">
        <w:rPr>
          <w:rFonts w:ascii="Arial" w:hAnsi="Arial" w:cs="Arial"/>
          <w:noProof/>
          <w:szCs w:val="22"/>
        </w:rPr>
        <w:t>p</w:t>
      </w:r>
      <w:r w:rsidRPr="00AF3FEE">
        <w:rPr>
          <w:rFonts w:ascii="Arial" w:hAnsi="Arial" w:cs="Arial"/>
          <w:noProof/>
          <w:szCs w:val="22"/>
        </w:rPr>
        <w:t xml:space="preserve">rojektna pisarna za energetsko prenovo stavb (PP-EPS). Pisarna dodeljuje nepovratna sredstva javnemu sektorju, spremlja izvajanje projektov energetske prenove javnih stavb, </w:t>
      </w:r>
      <w:r w:rsidR="00C64332">
        <w:rPr>
          <w:rFonts w:ascii="Arial" w:hAnsi="Arial" w:cs="Arial"/>
          <w:noProof/>
          <w:szCs w:val="22"/>
        </w:rPr>
        <w:t xml:space="preserve">sofinancirala </w:t>
      </w:r>
      <w:r w:rsidRPr="00AF3FEE">
        <w:rPr>
          <w:rFonts w:ascii="Arial" w:hAnsi="Arial" w:cs="Arial"/>
          <w:noProof/>
          <w:szCs w:val="22"/>
        </w:rPr>
        <w:t>je tudi projekt izdelave tehnične in ekonomske dokumentacije za projekte energetske prenove stavb ožjega in širšega javnega sektorja v lasti države, pripravlja in izdaja navodila oz</w:t>
      </w:r>
      <w:r w:rsidR="004F2B0D">
        <w:rPr>
          <w:rFonts w:ascii="Arial" w:hAnsi="Arial" w:cs="Arial"/>
        </w:rPr>
        <w:t>iroma</w:t>
      </w:r>
      <w:r w:rsidRPr="00AF3FEE">
        <w:rPr>
          <w:rFonts w:ascii="Arial" w:hAnsi="Arial" w:cs="Arial"/>
          <w:noProof/>
          <w:szCs w:val="22"/>
        </w:rPr>
        <w:t xml:space="preserve"> smernice ter vzdržuje in posodablja evidenco stavb v lasti in uporabi ožjega javnega sektorja.</w:t>
      </w:r>
    </w:p>
    <w:p w14:paraId="4CB60522" w14:textId="77777777" w:rsidR="00AF3FEE" w:rsidRPr="00AF3FEE" w:rsidRDefault="00AF3FEE" w:rsidP="00AF3FEE">
      <w:pPr>
        <w:pStyle w:val="Heading41"/>
        <w:jc w:val="both"/>
        <w:rPr>
          <w:rFonts w:cs="Arial"/>
          <w:szCs w:val="22"/>
        </w:rPr>
      </w:pPr>
      <w:r w:rsidRPr="00AF3FEE">
        <w:rPr>
          <w:rFonts w:cs="Arial"/>
          <w:szCs w:val="22"/>
        </w:rPr>
        <w:t>DODATNI UKREPI ZA SPODBUJANJE URE IN RABE OVE V JAVNEM SEKTORJU</w:t>
      </w:r>
    </w:p>
    <w:p w14:paraId="7DEFD279" w14:textId="1BC5E722" w:rsidR="00AF3FEE" w:rsidRPr="00AF3FEE" w:rsidRDefault="00AF3FEE" w:rsidP="00AF3FEE">
      <w:pPr>
        <w:pStyle w:val="Naslov-VplivUkrepa-Sektorji"/>
        <w:keepNext/>
        <w:jc w:val="both"/>
        <w:rPr>
          <w:rFonts w:ascii="Arial" w:hAnsi="Arial" w:cs="Arial"/>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 xml:space="preserve">: </w:t>
      </w:r>
      <w:r w:rsidRPr="0038553C">
        <w:rPr>
          <w:rFonts w:ascii="Arial" w:hAnsi="Arial" w:cs="Arial"/>
          <w:b w:val="0"/>
          <w:noProof/>
          <w:szCs w:val="22"/>
        </w:rPr>
        <w:t>raba energije v javnem sektorju</w:t>
      </w:r>
      <w:r w:rsidR="009610BC">
        <w:rPr>
          <w:rFonts w:ascii="Arial" w:hAnsi="Arial" w:cs="Arial"/>
          <w:b w:val="0"/>
          <w:noProof/>
          <w:szCs w:val="22"/>
        </w:rPr>
        <w:t>.</w:t>
      </w:r>
    </w:p>
    <w:p w14:paraId="746A6616" w14:textId="77777777" w:rsidR="00AF3FEE" w:rsidRPr="00AF3FEE" w:rsidRDefault="00AF3FEE" w:rsidP="00AF3FEE">
      <w:pPr>
        <w:pStyle w:val="NaslovVTekstu"/>
        <w:jc w:val="both"/>
        <w:rPr>
          <w:rFonts w:ascii="Arial" w:hAnsi="Arial" w:cs="Arial"/>
          <w:szCs w:val="22"/>
          <w:lang w:val="sl-SI"/>
        </w:rPr>
      </w:pPr>
      <w:r w:rsidRPr="00AF3FEE">
        <w:rPr>
          <w:rFonts w:ascii="Arial" w:hAnsi="Arial" w:cs="Arial"/>
          <w:szCs w:val="22"/>
          <w:lang w:val="sl-SI"/>
        </w:rPr>
        <w:t>Dodatni ukrepi na področju prenove javnih stavb</w:t>
      </w:r>
    </w:p>
    <w:p w14:paraId="30DB5D31" w14:textId="5B19AD80"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Načrtovano je, da bo PP-EPS z namenom pospešitve priprave projektov celovite energetske prenove javnih stavb nadgradila svoje delovanje, in sicer z zagotavljanjem strokovne podpore pri določanju prednostnih projektov, pripravi teh projektov, opredelitvi izvedbenega modela, spremljanju in verifikaciji prihrankov energije </w:t>
      </w:r>
      <w:r w:rsidR="004F2B0D">
        <w:rPr>
          <w:rFonts w:ascii="Arial" w:hAnsi="Arial" w:cs="Arial"/>
          <w:noProof/>
          <w:szCs w:val="22"/>
        </w:rPr>
        <w:t>in tako dalje</w:t>
      </w:r>
      <w:r w:rsidRPr="00AF3FEE">
        <w:rPr>
          <w:rFonts w:ascii="Arial" w:hAnsi="Arial" w:cs="Arial"/>
          <w:noProof/>
          <w:szCs w:val="22"/>
        </w:rPr>
        <w:t xml:space="preserve">, z aktivnim razvojem in spodbujanjem novih finančnih modelov za </w:t>
      </w:r>
      <w:r w:rsidR="009610BC" w:rsidRPr="00AF3FEE">
        <w:rPr>
          <w:rFonts w:ascii="Arial" w:hAnsi="Arial" w:cs="Arial"/>
          <w:noProof/>
          <w:szCs w:val="22"/>
        </w:rPr>
        <w:t>spodbud</w:t>
      </w:r>
      <w:r w:rsidR="009610BC">
        <w:rPr>
          <w:rFonts w:ascii="Arial" w:hAnsi="Arial" w:cs="Arial"/>
          <w:noProof/>
          <w:szCs w:val="22"/>
        </w:rPr>
        <w:t>o</w:t>
      </w:r>
      <w:r w:rsidR="009610BC" w:rsidRPr="00AF3FEE">
        <w:rPr>
          <w:rFonts w:ascii="Arial" w:hAnsi="Arial" w:cs="Arial"/>
          <w:noProof/>
          <w:szCs w:val="22"/>
        </w:rPr>
        <w:t xml:space="preserve"> </w:t>
      </w:r>
      <w:r w:rsidRPr="00AF3FEE">
        <w:rPr>
          <w:rFonts w:ascii="Arial" w:hAnsi="Arial" w:cs="Arial"/>
          <w:noProof/>
          <w:szCs w:val="22"/>
        </w:rPr>
        <w:t xml:space="preserve">prenove javnih stavb in pogodbenega zagotavljanja prihrankov energije ter z vzpostavitvijo sistema kakovosti za projekte energetske prenove javnih stavb. Za ustrezno izvajanje teh nalog pisarne bo treba v prihodnje zagotoviti ustrezne </w:t>
      </w:r>
      <w:r w:rsidRPr="00AF3FEE">
        <w:rPr>
          <w:rFonts w:ascii="Arial" w:hAnsi="Arial" w:cs="Arial"/>
          <w:szCs w:val="22"/>
        </w:rPr>
        <w:t>človeške in finančne vire.</w:t>
      </w:r>
    </w:p>
    <w:p w14:paraId="6A92FCBC" w14:textId="0321F234"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V okviru NOO je v pripravi Akcijski načrt za prenovo javnih stavb. Načrt bo vseboval analizo stavbnega fonda in potreb v javnem sektorju ter konkretne korake pri prenovi stavb, vključno z opredelitvijo </w:t>
      </w:r>
      <w:r w:rsidR="004F2B0D">
        <w:rPr>
          <w:rFonts w:ascii="Arial" w:hAnsi="Arial" w:cs="Arial"/>
          <w:noProof/>
          <w:szCs w:val="22"/>
        </w:rPr>
        <w:t xml:space="preserve">mogočih </w:t>
      </w:r>
      <w:r w:rsidRPr="00AF3FEE">
        <w:rPr>
          <w:rFonts w:ascii="Arial" w:hAnsi="Arial" w:cs="Arial"/>
          <w:noProof/>
          <w:szCs w:val="22"/>
        </w:rPr>
        <w:t>virov financiranja. Ena od možnosti financiranja se kaže tudi v obliki sistemskega javnega finančnega vira za financiranje energetskih prenov stavb ožjega in morda tudi širšega javnega sektorja države. Za finačni načrt širše energetske prenove javnih stavb že poteka priprava strokovnih podlag v okviru projekta LIFE IP CARE4CLIMATE. Akcijski načrt bo predvidoma pripravljen v letu 2025. V DSESP 2050 so za področje prenove javnih stavb načrtovane dodatne aktivnosti za razvoj finančnih instrumentov, ki bodo podpirali energetsko prenovo stavb ožjega javnega sektorja, okrepiti pa bo treba tudi aktivnosti na področju izobraževanja in usposabljanja vseh vključenih v pripravo in izvedbo projektov energetske prenove stavb.</w:t>
      </w:r>
    </w:p>
    <w:p w14:paraId="23F6B3A2" w14:textId="48555B2E" w:rsidR="00AF3FEE" w:rsidRPr="00AF3FEE" w:rsidRDefault="004570CF" w:rsidP="00AF3FEE">
      <w:pPr>
        <w:pStyle w:val="NaslovVTekstu"/>
        <w:jc w:val="both"/>
        <w:rPr>
          <w:rFonts w:ascii="Arial" w:hAnsi="Arial" w:cs="Arial"/>
          <w:szCs w:val="22"/>
          <w:lang w:val="sl-SI"/>
        </w:rPr>
      </w:pPr>
      <w:r>
        <w:rPr>
          <w:rFonts w:ascii="Arial" w:hAnsi="Arial" w:cs="Arial"/>
          <w:szCs w:val="22"/>
          <w:lang w:val="sl-SI"/>
        </w:rPr>
        <w:t xml:space="preserve">Drugi </w:t>
      </w:r>
      <w:r w:rsidR="00AF3FEE" w:rsidRPr="00AF3FEE">
        <w:rPr>
          <w:rFonts w:ascii="Arial" w:hAnsi="Arial" w:cs="Arial"/>
          <w:szCs w:val="22"/>
          <w:lang w:val="sl-SI"/>
        </w:rPr>
        <w:t>dodatni ukrepi za spodbujanje URE in rabe OVE v javnem sektorju</w:t>
      </w:r>
    </w:p>
    <w:p w14:paraId="4A560094" w14:textId="21E2ACBD" w:rsidR="00AF3FEE" w:rsidRPr="00AF3FEE" w:rsidRDefault="00AF3FEE" w:rsidP="00AF3FEE">
      <w:pPr>
        <w:jc w:val="both"/>
        <w:rPr>
          <w:rFonts w:ascii="Arial" w:hAnsi="Arial" w:cs="Arial"/>
        </w:rPr>
      </w:pPr>
      <w:r w:rsidRPr="00AF3FEE">
        <w:rPr>
          <w:rFonts w:ascii="Arial" w:hAnsi="Arial" w:cs="Arial"/>
        </w:rPr>
        <w:t>V sklopu upravljanja energij</w:t>
      </w:r>
      <w:r w:rsidR="00C64332">
        <w:rPr>
          <w:rFonts w:ascii="Arial" w:hAnsi="Arial" w:cs="Arial"/>
        </w:rPr>
        <w:t>e</w:t>
      </w:r>
      <w:r w:rsidRPr="00AF3FEE">
        <w:rPr>
          <w:rFonts w:ascii="Arial" w:hAnsi="Arial" w:cs="Arial"/>
        </w:rPr>
        <w:t xml:space="preserve"> v javnem sektorju bodo pripravljene strokovne podlage za Dolgoročno energetsko in podnebno strategijo javnega sektorja, vključno s programom </w:t>
      </w:r>
      <w:r w:rsidRPr="00AF3FEE">
        <w:rPr>
          <w:rFonts w:ascii="Arial" w:hAnsi="Arial" w:cs="Arial"/>
        </w:rPr>
        <w:lastRenderedPageBreak/>
        <w:t>upravljanja energij</w:t>
      </w:r>
      <w:r w:rsidR="00C64332">
        <w:rPr>
          <w:rFonts w:ascii="Arial" w:hAnsi="Arial" w:cs="Arial"/>
        </w:rPr>
        <w:t>e</w:t>
      </w:r>
      <w:r w:rsidRPr="00AF3FEE">
        <w:rPr>
          <w:rFonts w:ascii="Arial" w:hAnsi="Arial" w:cs="Arial"/>
        </w:rPr>
        <w:t>. Za leto 2027 je načrtovano, da bo na teh strokovnih podlag</w:t>
      </w:r>
      <w:r w:rsidR="004570CF">
        <w:rPr>
          <w:rFonts w:ascii="Arial" w:hAnsi="Arial" w:cs="Arial"/>
        </w:rPr>
        <w:t>ah</w:t>
      </w:r>
      <w:r w:rsidRPr="00AF3FEE">
        <w:rPr>
          <w:rFonts w:ascii="Arial" w:hAnsi="Arial" w:cs="Arial"/>
        </w:rPr>
        <w:t xml:space="preserve"> posodobljena uredba, ki </w:t>
      </w:r>
      <w:r w:rsidR="004570CF">
        <w:rPr>
          <w:rFonts w:ascii="Arial" w:hAnsi="Arial" w:cs="Arial"/>
        </w:rPr>
        <w:t xml:space="preserve">zdaj </w:t>
      </w:r>
      <w:r w:rsidRPr="00AF3FEE">
        <w:rPr>
          <w:rFonts w:ascii="Arial" w:hAnsi="Arial" w:cs="Arial"/>
        </w:rPr>
        <w:t>ureja to področje. Za stavbe v državni lasti je načrtovano izboljšanje upravljanja energij</w:t>
      </w:r>
      <w:r w:rsidR="00C64332">
        <w:rPr>
          <w:rFonts w:ascii="Arial" w:hAnsi="Arial" w:cs="Arial"/>
        </w:rPr>
        <w:t>e</w:t>
      </w:r>
      <w:r w:rsidRPr="00AF3FEE">
        <w:rPr>
          <w:rFonts w:ascii="Arial" w:hAnsi="Arial" w:cs="Arial"/>
        </w:rPr>
        <w:t>, in sicer naj bi bile v tem okviru javne stavbe, ki so v upravljanju Ministrstva za javno upravo</w:t>
      </w:r>
      <w:r w:rsidR="001115B9">
        <w:rPr>
          <w:rFonts w:ascii="Arial" w:hAnsi="Arial" w:cs="Arial"/>
        </w:rPr>
        <w:t xml:space="preserve"> Republike Slovenije</w:t>
      </w:r>
      <w:r w:rsidRPr="00AF3FEE">
        <w:rPr>
          <w:rFonts w:ascii="Arial" w:hAnsi="Arial" w:cs="Arial"/>
        </w:rPr>
        <w:t xml:space="preserve">, opremljene s sistemi za spremljanje rabe energije. V javne stavbe naj bi se </w:t>
      </w:r>
      <w:r w:rsidR="004570CF">
        <w:rPr>
          <w:rFonts w:ascii="Arial" w:hAnsi="Arial" w:cs="Arial"/>
        </w:rPr>
        <w:t>zaradi</w:t>
      </w:r>
      <w:r w:rsidRPr="00AF3FEE">
        <w:rPr>
          <w:rFonts w:ascii="Arial" w:hAnsi="Arial" w:cs="Arial"/>
        </w:rPr>
        <w:t xml:space="preserve"> znižanja stroškov in rabe energije ter izboljšanja bivalnega ugodja vpeljal</w:t>
      </w:r>
      <w:r w:rsidR="00C64332">
        <w:rPr>
          <w:rFonts w:ascii="Arial" w:hAnsi="Arial" w:cs="Arial"/>
        </w:rPr>
        <w:t>a</w:t>
      </w:r>
      <w:r w:rsidRPr="00AF3FEE">
        <w:rPr>
          <w:rFonts w:ascii="Arial" w:hAnsi="Arial" w:cs="Arial"/>
        </w:rPr>
        <w:t xml:space="preserve"> tudi pregled in optimizacij</w:t>
      </w:r>
      <w:r w:rsidR="00C64332">
        <w:rPr>
          <w:rFonts w:ascii="Arial" w:hAnsi="Arial" w:cs="Arial"/>
        </w:rPr>
        <w:t>a</w:t>
      </w:r>
      <w:r w:rsidRPr="00AF3FEE">
        <w:rPr>
          <w:rFonts w:ascii="Arial" w:hAnsi="Arial" w:cs="Arial"/>
        </w:rPr>
        <w:t xml:space="preserve"> delovanja že delujočih tehničnih stavbnih sistemov (Re-Co), njihovih obratovalnih in vzdrževalnih postopkov ter medsebojnega vpliva z uporabniki stavbe. Na področju poročanja bo zagotovljena dodatna tehnična in strokovna podpora, v ožjem javnem sektorju pa bo treba za izvajanje upravljanja energij</w:t>
      </w:r>
      <w:r w:rsidR="00C64332">
        <w:rPr>
          <w:rFonts w:ascii="Arial" w:hAnsi="Arial" w:cs="Arial"/>
        </w:rPr>
        <w:t>e</w:t>
      </w:r>
      <w:r w:rsidRPr="00AF3FEE">
        <w:rPr>
          <w:rFonts w:ascii="Arial" w:hAnsi="Arial" w:cs="Arial"/>
        </w:rPr>
        <w:t xml:space="preserve"> zagotoviti tudi ustrezne človeške in finančne vire.</w:t>
      </w:r>
    </w:p>
    <w:p w14:paraId="6061067B" w14:textId="77777777" w:rsidR="00AF3FEE" w:rsidRPr="00AF3FEE" w:rsidRDefault="00AF3FEE" w:rsidP="00AF3FEE">
      <w:pPr>
        <w:jc w:val="both"/>
        <w:rPr>
          <w:rFonts w:ascii="Arial" w:hAnsi="Arial" w:cs="Arial"/>
        </w:rPr>
      </w:pPr>
      <w:r w:rsidRPr="00AF3FEE">
        <w:rPr>
          <w:rFonts w:ascii="Arial" w:hAnsi="Arial" w:cs="Arial"/>
        </w:rPr>
        <w:t>Do leta 2026 je načrtovana tudi nadgradnja sistema energetskega knjigovodstva. Ta naj bi postal eden od podsistemov celovitega informacijskega sistema za zbiranje podatkov o energetskih lastnostih stavb. Poleg podsistema za energetsko knjigovodstvo bo informacijski sistem vključeval še podsistem za izdelavo in izdajo ter vodenje registra energetskih izkaznic, podsistem za izdelavo in vodenje registra poročil pregledov klimatskih sistemov ter podsistem za administracijo sistema in upravljanje registrov. Del informacijskega sistema bo namreč tudi več različnih registrov neodvisnih strokovnjakov in izdajateljev energetskih izkaznic in poročil o klimatskih sistemih ter upravljavcev, ki poročajo o energetskem knjigovodstvu.</w:t>
      </w:r>
    </w:p>
    <w:p w14:paraId="054278ED" w14:textId="586D8367" w:rsidR="00AF3FEE" w:rsidRPr="0038553C" w:rsidRDefault="0038553C" w:rsidP="0038553C">
      <w:pPr>
        <w:pStyle w:val="Heading3"/>
      </w:pPr>
      <w:bookmarkStart w:id="85" w:name="_Toc196300817"/>
      <w:r w:rsidRPr="0038553C">
        <w:t xml:space="preserve">II.D.5 </w:t>
      </w:r>
      <w:r w:rsidR="00AF3FEE" w:rsidRPr="0038553C">
        <w:t xml:space="preserve">Raba energije </w:t>
      </w:r>
      <w:r w:rsidR="001D49C0">
        <w:t>–</w:t>
      </w:r>
      <w:r w:rsidR="00AF3FEE" w:rsidRPr="0038553C">
        <w:t xml:space="preserve"> </w:t>
      </w:r>
      <w:r w:rsidR="001D49C0">
        <w:t>p</w:t>
      </w:r>
      <w:r w:rsidR="00AF3FEE" w:rsidRPr="0038553C">
        <w:t>romet</w:t>
      </w:r>
      <w:bookmarkEnd w:id="85"/>
    </w:p>
    <w:p w14:paraId="6225C036" w14:textId="77777777" w:rsidR="00AF3FEE" w:rsidRPr="00AF3FEE" w:rsidRDefault="00AF3FEE" w:rsidP="00AF3FEE">
      <w:pPr>
        <w:pStyle w:val="Heading41"/>
        <w:tabs>
          <w:tab w:val="left" w:pos="680"/>
        </w:tabs>
        <w:spacing w:before="360"/>
        <w:ind w:left="680" w:hanging="680"/>
        <w:jc w:val="both"/>
        <w:rPr>
          <w:rFonts w:cs="Arial"/>
          <w:szCs w:val="22"/>
        </w:rPr>
      </w:pPr>
      <w:r w:rsidRPr="00AF3FEE">
        <w:rPr>
          <w:rFonts w:cs="Arial"/>
          <w:szCs w:val="22"/>
        </w:rPr>
        <w:t xml:space="preserve">Spodbujanje trajnostnega prometa na splošno </w:t>
      </w:r>
    </w:p>
    <w:p w14:paraId="5D4BC696" w14:textId="7F2A3E19"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4570CF">
        <w:rPr>
          <w:rStyle w:val="Tekst-VplivUkrepa-SektorjiCharChar"/>
          <w:rFonts w:ascii="Arial" w:hAnsi="Arial" w:cs="Arial"/>
          <w:b w:val="0"/>
          <w:bCs/>
          <w:i w:val="0"/>
          <w:noProof/>
          <w:szCs w:val="22"/>
        </w:rPr>
        <w:t>.</w:t>
      </w:r>
    </w:p>
    <w:p w14:paraId="3F0E42B5" w14:textId="57399B41" w:rsidR="00AF3FEE" w:rsidRPr="00AF3FEE" w:rsidRDefault="00AF3FEE" w:rsidP="00AF3FEE">
      <w:pPr>
        <w:pStyle w:val="BodyText"/>
        <w:rPr>
          <w:rFonts w:ascii="Arial" w:hAnsi="Arial" w:cs="Arial"/>
          <w:szCs w:val="22"/>
        </w:rPr>
      </w:pPr>
      <w:r w:rsidRPr="00AF3FEE">
        <w:rPr>
          <w:rFonts w:ascii="Arial" w:hAnsi="Arial" w:cs="Arial"/>
          <w:szCs w:val="22"/>
        </w:rPr>
        <w:t xml:space="preserve">Ukrep je namenjen nadaljevanju izvajanja horizontalnih in mehkih ukrepov, ki obsegajo vse prometne podsisteme </w:t>
      </w:r>
      <w:r w:rsidR="004B07F9">
        <w:rPr>
          <w:rFonts w:ascii="Arial" w:hAnsi="Arial" w:cs="Arial"/>
          <w:szCs w:val="22"/>
        </w:rPr>
        <w:t>in</w:t>
      </w:r>
      <w:r w:rsidR="004B07F9" w:rsidRPr="00AF3FEE">
        <w:rPr>
          <w:rFonts w:ascii="Arial" w:hAnsi="Arial" w:cs="Arial"/>
          <w:szCs w:val="22"/>
        </w:rPr>
        <w:t xml:space="preserve"> </w:t>
      </w:r>
      <w:r w:rsidRPr="00AF3FEE">
        <w:rPr>
          <w:rFonts w:ascii="Arial" w:hAnsi="Arial" w:cs="Arial"/>
          <w:szCs w:val="22"/>
        </w:rPr>
        <w:t>ravni načrtovanja oziroma upravljanja prometa. Med njimi so celostno prometno načrtovanje, koordinacija razvoja tega področja, spodbujanje trajnostne mobilnosti in digitalizacija v prometu. Celostno prometno načrtovanje na občinski ravni je z občinskimi celostnimi prometnimi strategijami (CPS) že uveljavljeno in dobro sprejeto, predvidena pa je tudi priprava regionalnih</w:t>
      </w:r>
      <w:r w:rsidR="004570CF">
        <w:rPr>
          <w:rFonts w:ascii="Arial" w:hAnsi="Arial" w:cs="Arial"/>
          <w:szCs w:val="22"/>
        </w:rPr>
        <w:t xml:space="preserve"> CPS</w:t>
      </w:r>
      <w:r w:rsidRPr="00AF3FEE">
        <w:rPr>
          <w:rFonts w:ascii="Arial" w:hAnsi="Arial" w:cs="Arial"/>
          <w:szCs w:val="22"/>
        </w:rPr>
        <w:t xml:space="preserve">. Za pripravo strategij so predvidena nepovratna finančna sredstva iz evropskega kohezijskega sklada. Strateško urejanje področja prometa prinaša poleg zmanjšanja emisij TGP tudi dodatne koristi: boljšo izkoriščenost prometne infrastrukture, nižje stroške za mobilnost v proračunih prebivalcev in javnih institucij, manjše zastoje, učinkovitejše naložbe, večje zadovoljstvo prebivalcev in manjše onesnaženje zraka. Celostna obravnava prometa prinaša tudi merljivo izboljšanje kakovosti bivanja prebivalcev </w:t>
      </w:r>
      <w:r w:rsidR="004B07F9">
        <w:rPr>
          <w:rFonts w:ascii="Arial" w:hAnsi="Arial" w:cs="Arial"/>
          <w:szCs w:val="22"/>
        </w:rPr>
        <w:t>ter</w:t>
      </w:r>
      <w:r w:rsidR="004B07F9" w:rsidRPr="00AF3FEE">
        <w:rPr>
          <w:rFonts w:ascii="Arial" w:hAnsi="Arial" w:cs="Arial"/>
          <w:szCs w:val="22"/>
        </w:rPr>
        <w:t xml:space="preserve"> </w:t>
      </w:r>
      <w:r w:rsidRPr="00AF3FEE">
        <w:rPr>
          <w:rFonts w:ascii="Arial" w:hAnsi="Arial" w:cs="Arial"/>
          <w:szCs w:val="22"/>
        </w:rPr>
        <w:t xml:space="preserve">povečanje možnosti občin </w:t>
      </w:r>
      <w:r w:rsidR="004B07F9">
        <w:rPr>
          <w:rFonts w:ascii="Arial" w:hAnsi="Arial" w:cs="Arial"/>
          <w:szCs w:val="22"/>
        </w:rPr>
        <w:t>in</w:t>
      </w:r>
      <w:r w:rsidR="004B07F9" w:rsidRPr="00AF3FEE">
        <w:rPr>
          <w:rFonts w:ascii="Arial" w:hAnsi="Arial" w:cs="Arial"/>
          <w:szCs w:val="22"/>
        </w:rPr>
        <w:t xml:space="preserve"> </w:t>
      </w:r>
      <w:r w:rsidRPr="00AF3FEE">
        <w:rPr>
          <w:rFonts w:ascii="Arial" w:hAnsi="Arial" w:cs="Arial"/>
          <w:szCs w:val="22"/>
        </w:rPr>
        <w:t>regij za uspešen razvoj. Priprava in izvajanje CPS je lahko zgled za druge države, je zakonsko podprta z Zakonom o celostnem prometnem načrtovanju</w:t>
      </w:r>
      <w:r w:rsidR="004B07F9">
        <w:rPr>
          <w:rFonts w:ascii="Arial" w:hAnsi="Arial" w:cs="Arial"/>
          <w:szCs w:val="22"/>
        </w:rPr>
        <w:t>,</w:t>
      </w:r>
      <w:r w:rsidRPr="00AF3FEE">
        <w:rPr>
          <w:rStyle w:val="FootnoteReference"/>
          <w:rFonts w:ascii="Arial" w:hAnsi="Arial" w:cs="Arial"/>
          <w:szCs w:val="22"/>
        </w:rPr>
        <w:footnoteReference w:id="84"/>
      </w:r>
      <w:r w:rsidRPr="00AF3FEE">
        <w:rPr>
          <w:rFonts w:ascii="Arial" w:hAnsi="Arial" w:cs="Arial"/>
          <w:szCs w:val="22"/>
        </w:rPr>
        <w:t xml:space="preserve"> sprejetem v letu 2022, in je dobro dokumentirana na portalu spletne platforme za trajnostno mobilnost</w:t>
      </w:r>
      <w:r w:rsidR="004B07F9">
        <w:rPr>
          <w:rFonts w:ascii="Arial" w:hAnsi="Arial" w:cs="Arial"/>
          <w:szCs w:val="22"/>
        </w:rPr>
        <w:t>.</w:t>
      </w:r>
      <w:r w:rsidRPr="00AF3FEE">
        <w:rPr>
          <w:rStyle w:val="FootnoteReference"/>
          <w:rFonts w:ascii="Arial" w:hAnsi="Arial" w:cs="Arial"/>
          <w:szCs w:val="22"/>
        </w:rPr>
        <w:footnoteReference w:id="85"/>
      </w:r>
      <w:r w:rsidRPr="00AF3FEE">
        <w:rPr>
          <w:rFonts w:ascii="Arial" w:hAnsi="Arial" w:cs="Arial"/>
          <w:szCs w:val="22"/>
        </w:rPr>
        <w:t xml:space="preserve"> </w:t>
      </w:r>
    </w:p>
    <w:p w14:paraId="2121E7E8" w14:textId="53E0086B" w:rsidR="00AF3FEE" w:rsidRPr="00AF3FEE" w:rsidRDefault="00AF3FEE" w:rsidP="00AF3FEE">
      <w:pPr>
        <w:pStyle w:val="BodyText"/>
        <w:rPr>
          <w:rFonts w:ascii="Arial" w:hAnsi="Arial" w:cs="Arial"/>
          <w:szCs w:val="22"/>
        </w:rPr>
      </w:pPr>
      <w:r w:rsidRPr="00AF3FEE">
        <w:rPr>
          <w:rFonts w:ascii="Arial" w:hAnsi="Arial" w:cs="Arial"/>
          <w:szCs w:val="22"/>
        </w:rPr>
        <w:t xml:space="preserve">Sestavni del so tudi ukrepi za spodbujanje trajnostne mobilnosti, na primer </w:t>
      </w:r>
      <w:r w:rsidR="004B07F9">
        <w:rPr>
          <w:rFonts w:ascii="Arial" w:hAnsi="Arial" w:cs="Arial"/>
          <w:szCs w:val="22"/>
        </w:rPr>
        <w:t>s</w:t>
      </w:r>
      <w:r w:rsidR="004B07F9" w:rsidRPr="00AF3FEE">
        <w:rPr>
          <w:rFonts w:ascii="Arial" w:hAnsi="Arial" w:cs="Arial"/>
          <w:szCs w:val="22"/>
        </w:rPr>
        <w:t xml:space="preserve"> </w:t>
      </w:r>
      <w:r w:rsidRPr="00AF3FEE">
        <w:rPr>
          <w:rFonts w:ascii="Arial" w:hAnsi="Arial" w:cs="Arial"/>
          <w:szCs w:val="22"/>
        </w:rPr>
        <w:t>promocijsk</w:t>
      </w:r>
      <w:r w:rsidR="004B07F9">
        <w:rPr>
          <w:rFonts w:ascii="Arial" w:hAnsi="Arial" w:cs="Arial"/>
          <w:szCs w:val="22"/>
        </w:rPr>
        <w:t>o</w:t>
      </w:r>
      <w:r w:rsidRPr="00AF3FEE">
        <w:rPr>
          <w:rFonts w:ascii="Arial" w:hAnsi="Arial" w:cs="Arial"/>
          <w:szCs w:val="22"/>
        </w:rPr>
        <w:t xml:space="preserve"> in ozaveščevaln</w:t>
      </w:r>
      <w:r w:rsidR="004B07F9">
        <w:rPr>
          <w:rFonts w:ascii="Arial" w:hAnsi="Arial" w:cs="Arial"/>
          <w:szCs w:val="22"/>
        </w:rPr>
        <w:t>o</w:t>
      </w:r>
      <w:r w:rsidRPr="00AF3FEE">
        <w:rPr>
          <w:rFonts w:ascii="Arial" w:hAnsi="Arial" w:cs="Arial"/>
          <w:szCs w:val="22"/>
        </w:rPr>
        <w:t xml:space="preserve"> kampanj</w:t>
      </w:r>
      <w:r w:rsidR="004B07F9">
        <w:rPr>
          <w:rFonts w:ascii="Arial" w:hAnsi="Arial" w:cs="Arial"/>
          <w:szCs w:val="22"/>
        </w:rPr>
        <w:t>o</w:t>
      </w:r>
      <w:r w:rsidRPr="00AF3FEE">
        <w:rPr>
          <w:rFonts w:ascii="Arial" w:hAnsi="Arial" w:cs="Arial"/>
          <w:szCs w:val="22"/>
        </w:rPr>
        <w:t>. Do</w:t>
      </w:r>
      <w:r w:rsidR="0082337A">
        <w:rPr>
          <w:rFonts w:ascii="Arial" w:hAnsi="Arial" w:cs="Arial"/>
          <w:szCs w:val="22"/>
        </w:rPr>
        <w:t xml:space="preserve"> konca</w:t>
      </w:r>
      <w:r w:rsidRPr="00AF3FEE">
        <w:rPr>
          <w:rFonts w:ascii="Arial" w:hAnsi="Arial" w:cs="Arial"/>
          <w:szCs w:val="22"/>
        </w:rPr>
        <w:t xml:space="preserve"> leta 2026 bo potekal projekt </w:t>
      </w:r>
      <w:r w:rsidRPr="00AF3FEE">
        <w:rPr>
          <w:rFonts w:ascii="Arial" w:hAnsi="Arial" w:cs="Arial"/>
          <w:noProof/>
          <w:szCs w:val="22"/>
        </w:rPr>
        <w:t>LIFE IP CARE4CLIMATE</w:t>
      </w:r>
      <w:r w:rsidRPr="00AF3FEE">
        <w:rPr>
          <w:rFonts w:ascii="Arial" w:hAnsi="Arial" w:cs="Arial"/>
          <w:szCs w:val="22"/>
        </w:rPr>
        <w:t xml:space="preserve">, ki ozavešča, izobražuje in usposablja deležnike, med drugim tudi na področju trajnostne mobilnosti. Nadaljuje se podpiranje mobilnostnih načrtov za večje generatorje prometa, s katerimi se promovirajo uporaba </w:t>
      </w:r>
      <w:r w:rsidR="00D35D20" w:rsidRPr="00AF3FEE">
        <w:rPr>
          <w:rFonts w:ascii="Arial" w:hAnsi="Arial" w:cs="Arial"/>
          <w:szCs w:val="22"/>
        </w:rPr>
        <w:t xml:space="preserve">javnega potniškega prometa </w:t>
      </w:r>
      <w:r w:rsidR="00D35D20">
        <w:rPr>
          <w:rFonts w:ascii="Arial" w:hAnsi="Arial" w:cs="Arial"/>
          <w:szCs w:val="22"/>
        </w:rPr>
        <w:t>(</w:t>
      </w:r>
      <w:r w:rsidRPr="00AF3FEE">
        <w:rPr>
          <w:rFonts w:ascii="Arial" w:hAnsi="Arial" w:cs="Arial"/>
          <w:szCs w:val="22"/>
        </w:rPr>
        <w:t>JPP</w:t>
      </w:r>
      <w:r w:rsidR="00D35D20">
        <w:rPr>
          <w:rFonts w:ascii="Arial" w:hAnsi="Arial" w:cs="Arial"/>
          <w:szCs w:val="22"/>
        </w:rPr>
        <w:t>)</w:t>
      </w:r>
      <w:r w:rsidRPr="00AF3FEE">
        <w:rPr>
          <w:rFonts w:ascii="Arial" w:hAnsi="Arial" w:cs="Arial"/>
          <w:szCs w:val="22"/>
        </w:rPr>
        <w:t xml:space="preserve"> in aktivne mobilnosti ter zmanjšuje uporaba osebnih vozil na ravni posamezne lokacije. Predvidene so finančne spodbude za pripravo mobilnostnih načrtov in obvezne strokovne podlage za usmeritve za velike generatorje prometa v občinskih prostorskih aktih.</w:t>
      </w:r>
    </w:p>
    <w:p w14:paraId="2CCA7411" w14:textId="505B50D0" w:rsidR="00AF3FEE" w:rsidRPr="00AF3FEE" w:rsidRDefault="00AF3FEE" w:rsidP="00AF3FEE">
      <w:pPr>
        <w:pStyle w:val="BodyText"/>
        <w:rPr>
          <w:rFonts w:ascii="Arial" w:hAnsi="Arial" w:cs="Arial"/>
          <w:szCs w:val="22"/>
        </w:rPr>
      </w:pPr>
      <w:r w:rsidRPr="00AF3FEE">
        <w:rPr>
          <w:rFonts w:ascii="Arial" w:hAnsi="Arial" w:cs="Arial"/>
          <w:szCs w:val="22"/>
        </w:rPr>
        <w:lastRenderedPageBreak/>
        <w:t xml:space="preserve">Digitalizacija v prometu, na primer </w:t>
      </w:r>
      <w:r w:rsidR="004B07F9">
        <w:rPr>
          <w:rFonts w:ascii="Arial" w:hAnsi="Arial" w:cs="Arial"/>
          <w:szCs w:val="22"/>
        </w:rPr>
        <w:t>z</w:t>
      </w:r>
      <w:r w:rsidR="004B07F9" w:rsidRPr="00AF3FEE">
        <w:rPr>
          <w:rFonts w:ascii="Arial" w:hAnsi="Arial" w:cs="Arial"/>
          <w:szCs w:val="22"/>
        </w:rPr>
        <w:t xml:space="preserve"> vzpostavit</w:t>
      </w:r>
      <w:r w:rsidR="004B07F9">
        <w:rPr>
          <w:rFonts w:ascii="Arial" w:hAnsi="Arial" w:cs="Arial"/>
          <w:szCs w:val="22"/>
        </w:rPr>
        <w:t>vijo</w:t>
      </w:r>
      <w:r w:rsidR="004B07F9" w:rsidRPr="00AF3FEE">
        <w:rPr>
          <w:rFonts w:ascii="Arial" w:hAnsi="Arial" w:cs="Arial"/>
          <w:szCs w:val="22"/>
        </w:rPr>
        <w:t xml:space="preserve"> </w:t>
      </w:r>
      <w:r w:rsidRPr="00AF3FEE">
        <w:rPr>
          <w:rFonts w:ascii="Arial" w:hAnsi="Arial" w:cs="Arial"/>
          <w:szCs w:val="22"/>
        </w:rPr>
        <w:t xml:space="preserve">sistema potovalnih podatkov, je pomemben horizontalni ukrep, ki izboljšuje privlačnost uporabe različnih oblik mobilnosti. Zaradi boljše uporabniške izkušnje za načrtovanje in izvajanje poti imajo uporabniki na voljo več privlačnih alternativ osebnemu avtomobilu, kar prispeva k zmanjševanju emisij TGP. Portal SiMO, </w:t>
      </w:r>
      <w:r w:rsidR="004A2648">
        <w:rPr>
          <w:rFonts w:ascii="Arial" w:hAnsi="Arial" w:cs="Arial"/>
          <w:szCs w:val="22"/>
        </w:rPr>
        <w:t xml:space="preserve">zdaj </w:t>
      </w:r>
      <w:r w:rsidRPr="00AF3FEE">
        <w:rPr>
          <w:rFonts w:ascii="Arial" w:hAnsi="Arial" w:cs="Arial"/>
          <w:szCs w:val="22"/>
        </w:rPr>
        <w:t xml:space="preserve">osredotočen na javni promet, je prvi korak k </w:t>
      </w:r>
      <w:r w:rsidR="004B07F9" w:rsidRPr="00AF3FEE">
        <w:rPr>
          <w:rFonts w:ascii="Arial" w:hAnsi="Arial" w:cs="Arial"/>
          <w:szCs w:val="22"/>
        </w:rPr>
        <w:t>t</w:t>
      </w:r>
      <w:r w:rsidR="004B07F9">
        <w:rPr>
          <w:rFonts w:ascii="Arial" w:hAnsi="Arial" w:cs="Arial"/>
          <w:szCs w:val="22"/>
        </w:rPr>
        <w:t>ej</w:t>
      </w:r>
      <w:r w:rsidR="004B07F9" w:rsidRPr="00AF3FEE">
        <w:rPr>
          <w:rFonts w:ascii="Arial" w:hAnsi="Arial" w:cs="Arial"/>
          <w:szCs w:val="22"/>
        </w:rPr>
        <w:t xml:space="preserve"> </w:t>
      </w:r>
      <w:r w:rsidRPr="00AF3FEE">
        <w:rPr>
          <w:rFonts w:ascii="Arial" w:hAnsi="Arial" w:cs="Arial"/>
          <w:szCs w:val="22"/>
        </w:rPr>
        <w:t>storitvi, ki bo vključevala vse oblike prometa.</w:t>
      </w:r>
    </w:p>
    <w:p w14:paraId="6DD38046" w14:textId="0F55EAC3"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 xml:space="preserve">Dodatni ukrepi za spodbujanje trajnostnega prometa na splošno </w:t>
      </w:r>
    </w:p>
    <w:p w14:paraId="65ECDDEF" w14:textId="5A38273C"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4A2648">
        <w:rPr>
          <w:rStyle w:val="Tekst-VplivUkrepa-SektorjiCharChar"/>
          <w:rFonts w:ascii="Arial" w:hAnsi="Arial" w:cs="Arial"/>
          <w:b w:val="0"/>
          <w:bCs/>
          <w:i w:val="0"/>
          <w:noProof/>
          <w:szCs w:val="22"/>
        </w:rPr>
        <w:t>.</w:t>
      </w:r>
    </w:p>
    <w:p w14:paraId="4B0B183A" w14:textId="4CDBE0A3" w:rsidR="00AF3FEE" w:rsidRPr="00AF3FEE" w:rsidRDefault="00AF3FEE" w:rsidP="00AF3FEE">
      <w:pPr>
        <w:pStyle w:val="BodyText"/>
        <w:rPr>
          <w:rFonts w:ascii="Arial" w:hAnsi="Arial" w:cs="Arial"/>
          <w:szCs w:val="22"/>
        </w:rPr>
      </w:pPr>
      <w:r w:rsidRPr="00AF3FEE">
        <w:rPr>
          <w:rFonts w:ascii="Arial" w:hAnsi="Arial" w:cs="Arial"/>
          <w:szCs w:val="22"/>
        </w:rPr>
        <w:t xml:space="preserve">Dodatni horizontalni ukrepi predvidevajo vzpostavitev novega koncepta financiranja prometne infrastrukture z namenom pospešenega načrtovanja, umeščanja in gradnje sodobne železniške, cestne, kolesarske </w:t>
      </w:r>
      <w:r w:rsidR="005454B1">
        <w:rPr>
          <w:rFonts w:ascii="Arial" w:hAnsi="Arial" w:cs="Arial"/>
          <w:szCs w:val="22"/>
        </w:rPr>
        <w:t>in</w:t>
      </w:r>
      <w:r w:rsidR="005454B1" w:rsidRPr="00AF3FEE">
        <w:rPr>
          <w:rFonts w:ascii="Arial" w:hAnsi="Arial" w:cs="Arial"/>
          <w:szCs w:val="22"/>
        </w:rPr>
        <w:t xml:space="preserve"> </w:t>
      </w:r>
      <w:r w:rsidRPr="00AF3FEE">
        <w:rPr>
          <w:rFonts w:ascii="Arial" w:hAnsi="Arial" w:cs="Arial"/>
          <w:szCs w:val="22"/>
        </w:rPr>
        <w:t xml:space="preserve">druge prometne infrastrukture. </w:t>
      </w:r>
      <w:r w:rsidR="00273C50">
        <w:rPr>
          <w:rFonts w:ascii="Arial" w:hAnsi="Arial" w:cs="Arial"/>
          <w:szCs w:val="22"/>
        </w:rPr>
        <w:t>G</w:t>
      </w:r>
      <w:r w:rsidRPr="00AF3FEE">
        <w:rPr>
          <w:rFonts w:ascii="Arial" w:hAnsi="Arial" w:cs="Arial"/>
          <w:szCs w:val="22"/>
        </w:rPr>
        <w:t>radnja pogojev za uporabo trajnostnih oblik mobilnosti je ključna za spodbujanje prevozov z nižjimi emisijami. S tem je povezana tudi presoja izhodišč za ekonomsko vrednotenje investicijskih projektov, z namenom, da se izvaja</w:t>
      </w:r>
      <w:r w:rsidR="005454B1">
        <w:rPr>
          <w:rFonts w:ascii="Arial" w:hAnsi="Arial" w:cs="Arial"/>
          <w:szCs w:val="22"/>
        </w:rPr>
        <w:t>j</w:t>
      </w:r>
      <w:r w:rsidR="00CA4EA5">
        <w:rPr>
          <w:rFonts w:ascii="Arial" w:hAnsi="Arial" w:cs="Arial"/>
          <w:szCs w:val="22"/>
        </w:rPr>
        <w:t>o</w:t>
      </w:r>
      <w:r w:rsidRPr="00AF3FEE">
        <w:rPr>
          <w:rFonts w:ascii="Arial" w:hAnsi="Arial" w:cs="Arial"/>
          <w:szCs w:val="22"/>
        </w:rPr>
        <w:t xml:space="preserve"> projekt</w:t>
      </w:r>
      <w:r w:rsidR="005454B1">
        <w:rPr>
          <w:rFonts w:ascii="Arial" w:hAnsi="Arial" w:cs="Arial"/>
          <w:szCs w:val="22"/>
        </w:rPr>
        <w:t>i</w:t>
      </w:r>
      <w:r w:rsidRPr="00AF3FEE">
        <w:rPr>
          <w:rFonts w:ascii="Arial" w:hAnsi="Arial" w:cs="Arial"/>
          <w:szCs w:val="22"/>
        </w:rPr>
        <w:t xml:space="preserve">, ki dejansko prispevajo k zmanjševanju emisij. Namen priprave in izvajanja Socialnega načrta za podnebje je predvideti ukrepe za zmanjševanje prevozne revščine, ki največkrat izboljšujejo dostopnost z javnim prevozom, kar prispeva k manjšim izpustom TGP. Dodatni ukrep na področju digitalizacije je uporaba tehnologij, ki omogočajo učinkovitejše načrtovanje in </w:t>
      </w:r>
      <w:r w:rsidR="005454B1">
        <w:rPr>
          <w:rFonts w:ascii="Arial" w:hAnsi="Arial" w:cs="Arial"/>
          <w:szCs w:val="22"/>
        </w:rPr>
        <w:t>potek</w:t>
      </w:r>
      <w:r w:rsidR="005454B1" w:rsidRPr="00AF3FEE">
        <w:rPr>
          <w:rFonts w:ascii="Arial" w:hAnsi="Arial" w:cs="Arial"/>
          <w:szCs w:val="22"/>
        </w:rPr>
        <w:t xml:space="preserve"> </w:t>
      </w:r>
      <w:r w:rsidRPr="00AF3FEE">
        <w:rPr>
          <w:rFonts w:ascii="Arial" w:hAnsi="Arial" w:cs="Arial"/>
          <w:szCs w:val="22"/>
        </w:rPr>
        <w:t xml:space="preserve">prometa, tudi javnega. Zaradi krajšanja </w:t>
      </w:r>
      <w:r w:rsidR="005454B1" w:rsidRPr="00AF3FEE">
        <w:rPr>
          <w:rFonts w:ascii="Arial" w:hAnsi="Arial" w:cs="Arial"/>
          <w:szCs w:val="22"/>
        </w:rPr>
        <w:t>potovaln</w:t>
      </w:r>
      <w:r w:rsidR="005454B1">
        <w:rPr>
          <w:rFonts w:ascii="Arial" w:hAnsi="Arial" w:cs="Arial"/>
          <w:szCs w:val="22"/>
        </w:rPr>
        <w:t>ega</w:t>
      </w:r>
      <w:r w:rsidR="005454B1" w:rsidRPr="00AF3FEE">
        <w:rPr>
          <w:rFonts w:ascii="Arial" w:hAnsi="Arial" w:cs="Arial"/>
          <w:szCs w:val="22"/>
        </w:rPr>
        <w:t xml:space="preserve"> čas</w:t>
      </w:r>
      <w:r w:rsidR="005454B1">
        <w:rPr>
          <w:rFonts w:ascii="Arial" w:hAnsi="Arial" w:cs="Arial"/>
          <w:szCs w:val="22"/>
        </w:rPr>
        <w:t>a</w:t>
      </w:r>
      <w:r w:rsidR="005454B1" w:rsidRPr="00AF3FEE">
        <w:rPr>
          <w:rFonts w:ascii="Arial" w:hAnsi="Arial" w:cs="Arial"/>
          <w:szCs w:val="22"/>
        </w:rPr>
        <w:t xml:space="preserve"> </w:t>
      </w:r>
      <w:r w:rsidRPr="00AF3FEE">
        <w:rPr>
          <w:rFonts w:ascii="Arial" w:hAnsi="Arial" w:cs="Arial"/>
          <w:szCs w:val="22"/>
        </w:rPr>
        <w:t>imajo uporabniki na voljo več privlačnih alternativ osebnemu avtomobilu.</w:t>
      </w:r>
    </w:p>
    <w:p w14:paraId="03AD5353" w14:textId="4B12CDAF"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Ukrepi za zmanjšanje števila oz</w:t>
      </w:r>
      <w:r w:rsidR="004F2B0D">
        <w:rPr>
          <w:rFonts w:cs="Arial"/>
          <w:szCs w:val="22"/>
          <w:lang w:val="sl-SI"/>
        </w:rPr>
        <w:t>IROMA</w:t>
      </w:r>
      <w:r w:rsidRPr="00AF3FEE">
        <w:rPr>
          <w:rFonts w:cs="Arial"/>
          <w:szCs w:val="22"/>
          <w:lang w:val="sl-SI"/>
        </w:rPr>
        <w:t xml:space="preserve"> skrajšanje </w:t>
      </w:r>
      <w:r w:rsidR="00CA4EA5">
        <w:rPr>
          <w:rFonts w:cs="Arial"/>
          <w:szCs w:val="22"/>
          <w:lang w:val="sl-SI"/>
        </w:rPr>
        <w:t>razdalje</w:t>
      </w:r>
      <w:r w:rsidR="005454B1" w:rsidRPr="00AF3FEE">
        <w:rPr>
          <w:rFonts w:cs="Arial"/>
          <w:szCs w:val="22"/>
          <w:lang w:val="sl-SI"/>
        </w:rPr>
        <w:t xml:space="preserve"> </w:t>
      </w:r>
      <w:r w:rsidRPr="00AF3FEE">
        <w:rPr>
          <w:rFonts w:cs="Arial"/>
          <w:szCs w:val="22"/>
          <w:lang w:val="sl-SI"/>
        </w:rPr>
        <w:t xml:space="preserve">potovanj </w:t>
      </w:r>
    </w:p>
    <w:p w14:paraId="2B6239FF" w14:textId="2B698718"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CA4EA5">
        <w:rPr>
          <w:rStyle w:val="Tekst-VplivUkrepa-SektorjiCharChar"/>
          <w:rFonts w:ascii="Arial" w:hAnsi="Arial" w:cs="Arial"/>
          <w:b w:val="0"/>
          <w:bCs/>
          <w:i w:val="0"/>
          <w:noProof/>
          <w:szCs w:val="22"/>
        </w:rPr>
        <w:t>.</w:t>
      </w:r>
    </w:p>
    <w:p w14:paraId="7257B0DE" w14:textId="2EFBC785" w:rsidR="00AF3FEE" w:rsidRPr="00AF3FEE" w:rsidRDefault="00AF3FEE" w:rsidP="00AF3FEE">
      <w:pPr>
        <w:pStyle w:val="BodyText"/>
        <w:rPr>
          <w:rFonts w:ascii="Arial" w:hAnsi="Arial" w:cs="Arial"/>
          <w:szCs w:val="22"/>
        </w:rPr>
      </w:pPr>
      <w:r w:rsidRPr="00AF3FEE">
        <w:rPr>
          <w:rFonts w:ascii="Arial" w:hAnsi="Arial" w:cs="Arial"/>
          <w:szCs w:val="22"/>
        </w:rPr>
        <w:t>Ta skupina ukrepov je ključna za zmanjševanje potrebe po potovanjih ali vsaj skrajševanje razdalj</w:t>
      </w:r>
      <w:r w:rsidR="005454B1">
        <w:rPr>
          <w:rFonts w:ascii="Arial" w:hAnsi="Arial" w:cs="Arial"/>
          <w:szCs w:val="22"/>
        </w:rPr>
        <w:t>e</w:t>
      </w:r>
      <w:r w:rsidRPr="00AF3FEE">
        <w:rPr>
          <w:rFonts w:ascii="Arial" w:hAnsi="Arial" w:cs="Arial"/>
          <w:szCs w:val="22"/>
        </w:rPr>
        <w:t xml:space="preserve"> potovanj. Pomembni so tako delo od doma </w:t>
      </w:r>
      <w:r w:rsidR="00CA4EA5">
        <w:rPr>
          <w:rFonts w:ascii="Arial" w:hAnsi="Arial" w:cs="Arial"/>
          <w:szCs w:val="22"/>
        </w:rPr>
        <w:t>kot tudi</w:t>
      </w:r>
      <w:r w:rsidR="00CA4EA5" w:rsidRPr="00AF3FEE">
        <w:rPr>
          <w:rFonts w:ascii="Arial" w:hAnsi="Arial" w:cs="Arial"/>
          <w:szCs w:val="22"/>
        </w:rPr>
        <w:t xml:space="preserve"> </w:t>
      </w:r>
      <w:r w:rsidRPr="00AF3FEE">
        <w:rPr>
          <w:rFonts w:ascii="Arial" w:hAnsi="Arial" w:cs="Arial"/>
          <w:szCs w:val="22"/>
        </w:rPr>
        <w:t xml:space="preserve">način izplačila potnih stroškov </w:t>
      </w:r>
      <w:r w:rsidR="00CA4EA5">
        <w:rPr>
          <w:rFonts w:ascii="Arial" w:hAnsi="Arial" w:cs="Arial"/>
          <w:szCs w:val="22"/>
        </w:rPr>
        <w:t>in</w:t>
      </w:r>
      <w:r w:rsidR="00CA4EA5" w:rsidRPr="00AF3FEE">
        <w:rPr>
          <w:rFonts w:ascii="Arial" w:hAnsi="Arial" w:cs="Arial"/>
          <w:szCs w:val="22"/>
        </w:rPr>
        <w:t xml:space="preserve"> </w:t>
      </w:r>
      <w:r w:rsidRPr="00AF3FEE">
        <w:rPr>
          <w:rFonts w:ascii="Arial" w:hAnsi="Arial" w:cs="Arial"/>
          <w:szCs w:val="22"/>
        </w:rPr>
        <w:t xml:space="preserve">prostorsko načrtovanje. V določenih sektorjih javne uprave se hibridni način dela tudi po epidemiji omogoča oziroma spodbuja, vendar se je obseg dela od doma po epidemiji </w:t>
      </w:r>
      <w:r w:rsidR="00CA4EA5">
        <w:rPr>
          <w:rFonts w:ascii="Arial" w:hAnsi="Arial" w:cs="Arial"/>
          <w:szCs w:val="22"/>
        </w:rPr>
        <w:t xml:space="preserve">vseeno </w:t>
      </w:r>
      <w:r w:rsidRPr="00AF3FEE">
        <w:rPr>
          <w:rFonts w:ascii="Arial" w:hAnsi="Arial" w:cs="Arial"/>
          <w:szCs w:val="22"/>
        </w:rPr>
        <w:t>zmanjšal. Določanje meril za delo od doma v javni upravi in širitev usmeritev, ki veljajo za uslužbence v državni upravi, na vse javne uslužbence bi pripomogl</w:t>
      </w:r>
      <w:r w:rsidR="00CA4EA5">
        <w:rPr>
          <w:rFonts w:ascii="Arial" w:hAnsi="Arial" w:cs="Arial"/>
          <w:szCs w:val="22"/>
        </w:rPr>
        <w:t>a</w:t>
      </w:r>
      <w:r w:rsidRPr="00AF3FEE">
        <w:rPr>
          <w:rFonts w:ascii="Arial" w:hAnsi="Arial" w:cs="Arial"/>
          <w:szCs w:val="22"/>
        </w:rPr>
        <w:t xml:space="preserve"> k zmanjševanju potrebe po potovanju na delo, s tem pa </w:t>
      </w:r>
      <w:r w:rsidR="00CA4EA5">
        <w:rPr>
          <w:rFonts w:ascii="Arial" w:hAnsi="Arial" w:cs="Arial"/>
          <w:szCs w:val="22"/>
        </w:rPr>
        <w:t xml:space="preserve">k </w:t>
      </w:r>
      <w:r w:rsidRPr="00AF3FEE">
        <w:rPr>
          <w:rFonts w:ascii="Arial" w:hAnsi="Arial" w:cs="Arial"/>
          <w:szCs w:val="22"/>
        </w:rPr>
        <w:t xml:space="preserve">zmanjšanju emisij TGP in zastojev. Še vedno obstaja velika potreba po trajnostnih rešitvah pri obračunu nadomestila stroškov prevoza na delo, ki jih bo </w:t>
      </w:r>
      <w:r w:rsidR="00DC3569">
        <w:rPr>
          <w:rFonts w:ascii="Arial" w:hAnsi="Arial" w:cs="Arial"/>
          <w:szCs w:val="22"/>
        </w:rPr>
        <w:t xml:space="preserve">treba </w:t>
      </w:r>
      <w:r w:rsidRPr="00AF3FEE">
        <w:rPr>
          <w:rFonts w:ascii="Arial" w:hAnsi="Arial" w:cs="Arial"/>
          <w:szCs w:val="22"/>
        </w:rPr>
        <w:t xml:space="preserve">sprejeti v dialogu s socialnimi partnerji in </w:t>
      </w:r>
      <w:r w:rsidR="00CA4EA5">
        <w:rPr>
          <w:rFonts w:ascii="Arial" w:hAnsi="Arial" w:cs="Arial"/>
          <w:szCs w:val="22"/>
        </w:rPr>
        <w:t>z namenom</w:t>
      </w:r>
      <w:r w:rsidRPr="00AF3FEE">
        <w:rPr>
          <w:rFonts w:ascii="Arial" w:hAnsi="Arial" w:cs="Arial"/>
          <w:szCs w:val="22"/>
        </w:rPr>
        <w:t xml:space="preserve"> spodbujanja večje uporabe JPP in drugih oblik trajnostne mobilnosti.</w:t>
      </w:r>
    </w:p>
    <w:p w14:paraId="29292E8F" w14:textId="637EBC03" w:rsidR="00AF3FEE" w:rsidRPr="00AF3FEE" w:rsidRDefault="00AF3FEE" w:rsidP="00AF3FEE">
      <w:pPr>
        <w:pStyle w:val="BodyText"/>
        <w:rPr>
          <w:rFonts w:ascii="Arial" w:hAnsi="Arial" w:cs="Arial"/>
          <w:szCs w:val="22"/>
          <w:u w:val="single"/>
        </w:rPr>
      </w:pPr>
      <w:r w:rsidRPr="00AF3FEE">
        <w:rPr>
          <w:rFonts w:ascii="Arial" w:hAnsi="Arial" w:cs="Arial"/>
          <w:szCs w:val="22"/>
        </w:rPr>
        <w:t xml:space="preserve">Prostorska razporeditev aktivnosti v povezavi s prometno infrastrukturo je ključna za vzpostavitev čim krajših razdalj med aktivnostmi in </w:t>
      </w:r>
      <w:r w:rsidR="005454B1">
        <w:rPr>
          <w:rFonts w:ascii="Arial" w:hAnsi="Arial" w:cs="Arial"/>
          <w:szCs w:val="22"/>
        </w:rPr>
        <w:t xml:space="preserve">za </w:t>
      </w:r>
      <w:r w:rsidRPr="00AF3FEE">
        <w:rPr>
          <w:rFonts w:ascii="Arial" w:hAnsi="Arial" w:cs="Arial"/>
          <w:szCs w:val="22"/>
        </w:rPr>
        <w:t xml:space="preserve">dobro dostopnost na različne načine ter vpliva na oblikovanje potovalnih navad uporabnikov. Boljša </w:t>
      </w:r>
      <w:r w:rsidR="005454B1">
        <w:rPr>
          <w:rFonts w:ascii="Arial" w:hAnsi="Arial" w:cs="Arial"/>
          <w:szCs w:val="22"/>
        </w:rPr>
        <w:t>poveza</w:t>
      </w:r>
      <w:r w:rsidR="005454B1" w:rsidRPr="00AF3FEE">
        <w:rPr>
          <w:rFonts w:ascii="Arial" w:hAnsi="Arial" w:cs="Arial"/>
          <w:szCs w:val="22"/>
        </w:rPr>
        <w:t xml:space="preserve"> </w:t>
      </w:r>
      <w:r w:rsidRPr="00AF3FEE">
        <w:rPr>
          <w:rFonts w:ascii="Arial" w:hAnsi="Arial" w:cs="Arial"/>
          <w:szCs w:val="22"/>
        </w:rPr>
        <w:t>med sektorjema prinaša pozitivne učinke tako na lokalni (</w:t>
      </w:r>
      <w:r w:rsidR="004F2B0D">
        <w:rPr>
          <w:rFonts w:ascii="Arial" w:hAnsi="Arial" w:cs="Arial"/>
          <w:szCs w:val="22"/>
        </w:rPr>
        <w:t>na primer</w:t>
      </w:r>
      <w:r w:rsidRPr="00AF3FEE">
        <w:rPr>
          <w:rFonts w:ascii="Arial" w:hAnsi="Arial" w:cs="Arial"/>
          <w:szCs w:val="22"/>
        </w:rPr>
        <w:t xml:space="preserve"> </w:t>
      </w:r>
      <w:r w:rsidR="00CA4EA5">
        <w:rPr>
          <w:rFonts w:ascii="Arial" w:hAnsi="Arial" w:cs="Arial"/>
          <w:szCs w:val="22"/>
        </w:rPr>
        <w:t xml:space="preserve">s sledenjem </w:t>
      </w:r>
      <w:r w:rsidRPr="00AF3FEE">
        <w:rPr>
          <w:rFonts w:ascii="Arial" w:hAnsi="Arial" w:cs="Arial"/>
          <w:szCs w:val="22"/>
        </w:rPr>
        <w:t>koncept</w:t>
      </w:r>
      <w:r w:rsidR="00CA4EA5">
        <w:rPr>
          <w:rFonts w:ascii="Arial" w:hAnsi="Arial" w:cs="Arial"/>
          <w:szCs w:val="22"/>
        </w:rPr>
        <w:t>u</w:t>
      </w:r>
      <w:r w:rsidRPr="00AF3FEE">
        <w:rPr>
          <w:rFonts w:ascii="Arial" w:hAnsi="Arial" w:cs="Arial"/>
          <w:szCs w:val="22"/>
        </w:rPr>
        <w:t xml:space="preserve"> 15-minutnih naselij za spodbujanje aktivne mobilnosti in umeščanja novih aktivnosti v koridorje javnega prevoza) kot na državni ravni z izvajanjem koncepta policentričnega razvoja in blaženja negativnih posledic dnevnih migracij, ki potekajo večinoma z avtomobilom. Zakon o celostnem prometnem načrtovanju predpisuje </w:t>
      </w:r>
      <w:r w:rsidR="005454B1">
        <w:rPr>
          <w:rFonts w:ascii="Arial" w:hAnsi="Arial" w:cs="Arial"/>
          <w:szCs w:val="22"/>
        </w:rPr>
        <w:t>povezovanje</w:t>
      </w:r>
      <w:r w:rsidR="005454B1" w:rsidRPr="00AF3FEE">
        <w:rPr>
          <w:rFonts w:ascii="Arial" w:hAnsi="Arial" w:cs="Arial"/>
          <w:szCs w:val="22"/>
        </w:rPr>
        <w:t xml:space="preserve"> </w:t>
      </w:r>
      <w:r w:rsidRPr="00AF3FEE">
        <w:rPr>
          <w:rFonts w:ascii="Arial" w:hAnsi="Arial" w:cs="Arial"/>
          <w:szCs w:val="22"/>
        </w:rPr>
        <w:t xml:space="preserve">obeh sektorjev </w:t>
      </w:r>
      <w:r w:rsidR="005454B1">
        <w:rPr>
          <w:rFonts w:ascii="Arial" w:hAnsi="Arial" w:cs="Arial"/>
          <w:szCs w:val="22"/>
        </w:rPr>
        <w:t>z</w:t>
      </w:r>
      <w:r w:rsidR="005454B1" w:rsidRPr="00AF3FEE">
        <w:rPr>
          <w:rFonts w:ascii="Arial" w:hAnsi="Arial" w:cs="Arial"/>
          <w:szCs w:val="22"/>
        </w:rPr>
        <w:t xml:space="preserve"> obvezn</w:t>
      </w:r>
      <w:r w:rsidR="005454B1">
        <w:rPr>
          <w:rFonts w:ascii="Arial" w:hAnsi="Arial" w:cs="Arial"/>
          <w:szCs w:val="22"/>
        </w:rPr>
        <w:t>imi</w:t>
      </w:r>
      <w:r w:rsidR="005454B1" w:rsidRPr="00AF3FEE">
        <w:rPr>
          <w:rFonts w:ascii="Arial" w:hAnsi="Arial" w:cs="Arial"/>
          <w:szCs w:val="22"/>
        </w:rPr>
        <w:t xml:space="preserve"> strokovn</w:t>
      </w:r>
      <w:r w:rsidR="005454B1">
        <w:rPr>
          <w:rFonts w:ascii="Arial" w:hAnsi="Arial" w:cs="Arial"/>
          <w:szCs w:val="22"/>
        </w:rPr>
        <w:t>imi</w:t>
      </w:r>
      <w:r w:rsidR="005454B1" w:rsidRPr="00AF3FEE">
        <w:rPr>
          <w:rFonts w:ascii="Arial" w:hAnsi="Arial" w:cs="Arial"/>
          <w:szCs w:val="22"/>
        </w:rPr>
        <w:t xml:space="preserve"> podlag</w:t>
      </w:r>
      <w:r w:rsidR="005454B1">
        <w:rPr>
          <w:rFonts w:ascii="Arial" w:hAnsi="Arial" w:cs="Arial"/>
          <w:szCs w:val="22"/>
        </w:rPr>
        <w:t>ami</w:t>
      </w:r>
      <w:r w:rsidR="005454B1" w:rsidRPr="00AF3FEE">
        <w:rPr>
          <w:rFonts w:ascii="Arial" w:hAnsi="Arial" w:cs="Arial"/>
          <w:szCs w:val="22"/>
        </w:rPr>
        <w:t xml:space="preserve"> </w:t>
      </w:r>
      <w:r w:rsidRPr="00AF3FEE">
        <w:rPr>
          <w:rFonts w:ascii="Arial" w:hAnsi="Arial" w:cs="Arial"/>
          <w:szCs w:val="22"/>
        </w:rPr>
        <w:t xml:space="preserve">v okviru priprave občinskih prostorskih načrtov, v pripravi pa so tudi že prvi regionalni prostorski </w:t>
      </w:r>
      <w:r w:rsidR="00DC3569">
        <w:rPr>
          <w:rFonts w:ascii="Arial" w:hAnsi="Arial" w:cs="Arial"/>
          <w:szCs w:val="22"/>
        </w:rPr>
        <w:t>načrti</w:t>
      </w:r>
      <w:r w:rsidRPr="00AF3FEE">
        <w:rPr>
          <w:rFonts w:ascii="Arial" w:hAnsi="Arial" w:cs="Arial"/>
          <w:szCs w:val="22"/>
        </w:rPr>
        <w:t>.</w:t>
      </w:r>
    </w:p>
    <w:p w14:paraId="2BEBEBCF" w14:textId="5CF3A49D"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zmanjšanje števila oz</w:t>
      </w:r>
      <w:r w:rsidR="004F2B0D">
        <w:rPr>
          <w:rFonts w:cs="Arial"/>
          <w:szCs w:val="22"/>
          <w:lang w:val="sl-SI"/>
        </w:rPr>
        <w:t>IROMA</w:t>
      </w:r>
      <w:r w:rsidRPr="00AF3FEE">
        <w:rPr>
          <w:rFonts w:cs="Arial"/>
          <w:szCs w:val="22"/>
          <w:lang w:val="sl-SI"/>
        </w:rPr>
        <w:t xml:space="preserve"> skrajšanje </w:t>
      </w:r>
      <w:r w:rsidR="00023476">
        <w:rPr>
          <w:rFonts w:cs="Arial"/>
          <w:szCs w:val="22"/>
          <w:lang w:val="sl-SI"/>
        </w:rPr>
        <w:t xml:space="preserve">razdalje </w:t>
      </w:r>
      <w:r w:rsidRPr="00AF3FEE">
        <w:rPr>
          <w:rFonts w:cs="Arial"/>
          <w:szCs w:val="22"/>
          <w:lang w:val="sl-SI"/>
        </w:rPr>
        <w:t xml:space="preserve">potovanj </w:t>
      </w:r>
    </w:p>
    <w:p w14:paraId="14C21F19" w14:textId="09FEF8A0"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023476">
        <w:rPr>
          <w:rStyle w:val="Tekst-VplivUkrepa-SektorjiCharChar"/>
          <w:rFonts w:ascii="Arial" w:hAnsi="Arial" w:cs="Arial"/>
          <w:b w:val="0"/>
          <w:bCs/>
          <w:i w:val="0"/>
          <w:noProof/>
          <w:szCs w:val="22"/>
        </w:rPr>
        <w:t>.</w:t>
      </w:r>
    </w:p>
    <w:p w14:paraId="762FACB7" w14:textId="4E7239B3" w:rsidR="00AF3FEE" w:rsidRPr="00AF3FEE" w:rsidRDefault="00AF3FEE" w:rsidP="00AF3FEE">
      <w:pPr>
        <w:pStyle w:val="BodyText"/>
        <w:rPr>
          <w:rFonts w:ascii="Arial" w:hAnsi="Arial" w:cs="Arial"/>
          <w:szCs w:val="22"/>
        </w:rPr>
      </w:pPr>
      <w:r w:rsidRPr="00AF3FEE">
        <w:rPr>
          <w:rFonts w:ascii="Arial" w:hAnsi="Arial" w:cs="Arial"/>
          <w:szCs w:val="22"/>
        </w:rPr>
        <w:lastRenderedPageBreak/>
        <w:t xml:space="preserve">Dodatno je predviden ukrep zagotavljanja digitalne infrastrukture za delo od doma in vzpostavljanje regijskih prostorov za sodelo z namenom omogočanja dela bližje domu. Na področju prostorskega načrtovanja bi nadgradnja nacionalnega prometnega modela z </w:t>
      </w:r>
      <w:r w:rsidR="00023476">
        <w:rPr>
          <w:rFonts w:ascii="Arial" w:hAnsi="Arial" w:cs="Arial"/>
          <w:szCs w:val="22"/>
        </w:rPr>
        <w:t xml:space="preserve">vključevanjem </w:t>
      </w:r>
      <w:r w:rsidRPr="00AF3FEE">
        <w:rPr>
          <w:rFonts w:ascii="Arial" w:hAnsi="Arial" w:cs="Arial"/>
          <w:szCs w:val="22"/>
        </w:rPr>
        <w:t xml:space="preserve">prostorskih podatkov omogočila bolj </w:t>
      </w:r>
      <w:r w:rsidR="00023476">
        <w:rPr>
          <w:rFonts w:ascii="Arial" w:hAnsi="Arial" w:cs="Arial"/>
          <w:szCs w:val="22"/>
        </w:rPr>
        <w:t xml:space="preserve">povezan </w:t>
      </w:r>
      <w:r w:rsidRPr="00AF3FEE">
        <w:rPr>
          <w:rFonts w:ascii="Arial" w:hAnsi="Arial" w:cs="Arial"/>
          <w:szCs w:val="22"/>
        </w:rPr>
        <w:t xml:space="preserve">in celovit </w:t>
      </w:r>
      <w:r w:rsidR="005454B1">
        <w:rPr>
          <w:rFonts w:ascii="Arial" w:hAnsi="Arial" w:cs="Arial"/>
          <w:szCs w:val="22"/>
        </w:rPr>
        <w:t>način</w:t>
      </w:r>
      <w:r w:rsidRPr="00AF3FEE">
        <w:rPr>
          <w:rFonts w:ascii="Arial" w:hAnsi="Arial" w:cs="Arial"/>
          <w:szCs w:val="22"/>
        </w:rPr>
        <w:t xml:space="preserve"> umeščanj</w:t>
      </w:r>
      <w:r w:rsidR="005454B1">
        <w:rPr>
          <w:rFonts w:ascii="Arial" w:hAnsi="Arial" w:cs="Arial"/>
          <w:szCs w:val="22"/>
        </w:rPr>
        <w:t>a</w:t>
      </w:r>
      <w:r w:rsidRPr="00AF3FEE">
        <w:rPr>
          <w:rFonts w:ascii="Arial" w:hAnsi="Arial" w:cs="Arial"/>
          <w:szCs w:val="22"/>
        </w:rPr>
        <w:t xml:space="preserve"> aktivnosti in prometne infrastrukture v prostor.</w:t>
      </w:r>
    </w:p>
    <w:p w14:paraId="1E01CFE2"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Spodbujanje javnega potniškega prometa</w:t>
      </w:r>
    </w:p>
    <w:p w14:paraId="4690DE0E" w14:textId="0F1C79D9"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023476">
        <w:rPr>
          <w:rStyle w:val="Tekst-VplivUkrepa-SektorjiCharChar"/>
          <w:rFonts w:ascii="Arial" w:hAnsi="Arial" w:cs="Arial"/>
          <w:b w:val="0"/>
          <w:bCs/>
          <w:i w:val="0"/>
          <w:noProof/>
          <w:szCs w:val="22"/>
        </w:rPr>
        <w:t>.</w:t>
      </w:r>
    </w:p>
    <w:p w14:paraId="3EA38778" w14:textId="4111308D" w:rsidR="00AF3FEE" w:rsidRPr="00AF3FEE" w:rsidRDefault="00AF3FEE" w:rsidP="00AF3FEE">
      <w:pPr>
        <w:pStyle w:val="BodyText"/>
        <w:rPr>
          <w:rFonts w:ascii="Arial" w:hAnsi="Arial" w:cs="Arial"/>
          <w:szCs w:val="22"/>
        </w:rPr>
      </w:pPr>
      <w:r w:rsidRPr="00AF3FEE">
        <w:rPr>
          <w:rFonts w:ascii="Arial" w:hAnsi="Arial" w:cs="Arial"/>
          <w:szCs w:val="22"/>
        </w:rPr>
        <w:t xml:space="preserve">Nadaljevanje nadgradnje železniškega omrežja je ključnega pomena za spodbujanje nizkoogljične oblike mobilnosti z vlaki. Zagotavljanje TEN-T standardov na jedrnem omrežju in prepustnosti na regionalnih železniških progah </w:t>
      </w:r>
      <w:r w:rsidR="00023476">
        <w:rPr>
          <w:rFonts w:ascii="Arial" w:hAnsi="Arial" w:cs="Arial"/>
          <w:szCs w:val="22"/>
        </w:rPr>
        <w:t>z namenom</w:t>
      </w:r>
      <w:r w:rsidRPr="00AF3FEE">
        <w:rPr>
          <w:rFonts w:ascii="Arial" w:hAnsi="Arial" w:cs="Arial"/>
          <w:szCs w:val="22"/>
        </w:rPr>
        <w:t xml:space="preserve"> zagotovitve 15-minutnega taktnega prometa v </w:t>
      </w:r>
      <w:r w:rsidR="00023476">
        <w:rPr>
          <w:rFonts w:ascii="Arial" w:hAnsi="Arial" w:cs="Arial"/>
          <w:szCs w:val="22"/>
        </w:rPr>
        <w:t>l</w:t>
      </w:r>
      <w:r w:rsidRPr="00AF3FEE">
        <w:rPr>
          <w:rFonts w:ascii="Arial" w:hAnsi="Arial" w:cs="Arial"/>
          <w:szCs w:val="22"/>
        </w:rPr>
        <w:t xml:space="preserve">jubljanski urbani regiji (LUR+) je ena od </w:t>
      </w:r>
      <w:r w:rsidR="00DC4A37">
        <w:rPr>
          <w:rFonts w:ascii="Arial" w:hAnsi="Arial" w:cs="Arial"/>
          <w:szCs w:val="22"/>
        </w:rPr>
        <w:t>prednost</w:t>
      </w:r>
      <w:r w:rsidR="00DC4A37" w:rsidRPr="00AF3FEE">
        <w:rPr>
          <w:rFonts w:ascii="Arial" w:hAnsi="Arial" w:cs="Arial"/>
          <w:szCs w:val="22"/>
        </w:rPr>
        <w:t xml:space="preserve">nih </w:t>
      </w:r>
      <w:r w:rsidRPr="00AF3FEE">
        <w:rPr>
          <w:rFonts w:ascii="Arial" w:hAnsi="Arial" w:cs="Arial"/>
          <w:szCs w:val="22"/>
        </w:rPr>
        <w:t xml:space="preserve">nalog v prometno najbolj obremenjeni regiji. K temu </w:t>
      </w:r>
      <w:r w:rsidR="00DC4A37" w:rsidRPr="00AF3FEE">
        <w:rPr>
          <w:rFonts w:ascii="Arial" w:hAnsi="Arial" w:cs="Arial"/>
          <w:szCs w:val="22"/>
        </w:rPr>
        <w:t>s</w:t>
      </w:r>
      <w:r w:rsidR="00DC4A37">
        <w:rPr>
          <w:rFonts w:ascii="Arial" w:hAnsi="Arial" w:cs="Arial"/>
          <w:szCs w:val="22"/>
        </w:rPr>
        <w:t>padajo</w:t>
      </w:r>
      <w:r w:rsidR="00DC4A37" w:rsidRPr="00AF3FEE">
        <w:rPr>
          <w:rFonts w:ascii="Arial" w:hAnsi="Arial" w:cs="Arial"/>
          <w:szCs w:val="22"/>
        </w:rPr>
        <w:t xml:space="preserve"> </w:t>
      </w:r>
      <w:r w:rsidRPr="00AF3FEE">
        <w:rPr>
          <w:rFonts w:ascii="Arial" w:hAnsi="Arial" w:cs="Arial"/>
          <w:szCs w:val="22"/>
        </w:rPr>
        <w:t xml:space="preserve">tudi elektrifikacija železniškega omrežja, gradnja drugega tira v prednostnih koridorjih </w:t>
      </w:r>
      <w:r w:rsidR="00023476">
        <w:rPr>
          <w:rFonts w:ascii="Arial" w:hAnsi="Arial" w:cs="Arial"/>
          <w:szCs w:val="22"/>
        </w:rPr>
        <w:t>zunaj</w:t>
      </w:r>
      <w:r w:rsidR="00023476" w:rsidRPr="00AF3FEE">
        <w:rPr>
          <w:rFonts w:ascii="Arial" w:hAnsi="Arial" w:cs="Arial"/>
          <w:szCs w:val="22"/>
        </w:rPr>
        <w:t xml:space="preserve"> </w:t>
      </w:r>
      <w:r w:rsidRPr="00AF3FEE">
        <w:rPr>
          <w:rFonts w:ascii="Arial" w:hAnsi="Arial" w:cs="Arial"/>
          <w:szCs w:val="22"/>
        </w:rPr>
        <w:t>območja LUR+ ter nadgradnja železniških postaj in postajališč na prednostnih lokacijah po Sloveniji. Še naprej se stremi k načrtovanju in gradnji večmodalnih potniških vozlišč za kombiniranje različnih oblik prevoza.</w:t>
      </w:r>
    </w:p>
    <w:p w14:paraId="2290CBE8" w14:textId="1F0CF3CC" w:rsidR="00AF3FEE" w:rsidRPr="00AF3FEE" w:rsidRDefault="00AF3FEE" w:rsidP="00AF3FEE">
      <w:pPr>
        <w:pStyle w:val="BodyText"/>
        <w:rPr>
          <w:rFonts w:ascii="Arial" w:hAnsi="Arial" w:cs="Arial"/>
          <w:szCs w:val="22"/>
        </w:rPr>
      </w:pPr>
      <w:r w:rsidRPr="00AF3FEE">
        <w:rPr>
          <w:rFonts w:ascii="Arial" w:hAnsi="Arial" w:cs="Arial"/>
          <w:szCs w:val="22"/>
        </w:rPr>
        <w:t>Na področju avtobusnega prometa se nadaljuje nadgradnj</w:t>
      </w:r>
      <w:r w:rsidR="00DC4A37">
        <w:rPr>
          <w:rFonts w:ascii="Arial" w:hAnsi="Arial" w:cs="Arial"/>
          <w:szCs w:val="22"/>
        </w:rPr>
        <w:t>a</w:t>
      </w:r>
      <w:r w:rsidRPr="00AF3FEE">
        <w:rPr>
          <w:rFonts w:ascii="Arial" w:hAnsi="Arial" w:cs="Arial"/>
          <w:szCs w:val="22"/>
        </w:rPr>
        <w:t xml:space="preserve"> sistema </w:t>
      </w:r>
      <w:r w:rsidR="00023476">
        <w:rPr>
          <w:rFonts w:ascii="Arial" w:hAnsi="Arial" w:cs="Arial"/>
          <w:szCs w:val="22"/>
        </w:rPr>
        <w:t>z namenom</w:t>
      </w:r>
      <w:r w:rsidRPr="00AF3FEE">
        <w:rPr>
          <w:rFonts w:ascii="Arial" w:hAnsi="Arial" w:cs="Arial"/>
          <w:szCs w:val="22"/>
        </w:rPr>
        <w:t xml:space="preserve"> zagotavljanja atraktivnega in integriranega mestnega in medkrajevnega avtobusnega ter železniškega javnega prevoza. Pomemben korak je bil storjen s prenovami koncesij, standardov dostopnosti in voznih redov v letu 2024, ki se nadaljuje z načrtovano </w:t>
      </w:r>
      <w:r w:rsidR="00DA7ED4">
        <w:rPr>
          <w:rFonts w:ascii="Arial" w:hAnsi="Arial" w:cs="Arial"/>
          <w:szCs w:val="22"/>
        </w:rPr>
        <w:t xml:space="preserve">vključitvijo </w:t>
      </w:r>
      <w:r w:rsidRPr="00AF3FEE">
        <w:rPr>
          <w:rFonts w:ascii="Arial" w:hAnsi="Arial" w:cs="Arial"/>
          <w:szCs w:val="22"/>
        </w:rPr>
        <w:t xml:space="preserve">voznih redov v železniškem prometu. </w:t>
      </w:r>
      <w:r w:rsidRPr="00AF3FEE">
        <w:rPr>
          <w:rFonts w:ascii="Arial" w:eastAsia="Calibri" w:hAnsi="Arial" w:cs="Arial"/>
          <w:noProof/>
          <w:szCs w:val="22"/>
        </w:rPr>
        <w:t xml:space="preserve">V razpisu za nove koncesijske pogodbe je bil standard dostopnosti povečan za 20 %, </w:t>
      </w:r>
      <w:r w:rsidR="00DC3569">
        <w:rPr>
          <w:rFonts w:ascii="Arial" w:eastAsia="Calibri" w:hAnsi="Arial" w:cs="Arial"/>
          <w:noProof/>
          <w:szCs w:val="22"/>
        </w:rPr>
        <w:t xml:space="preserve">to je </w:t>
      </w:r>
      <w:r w:rsidRPr="00AF3FEE">
        <w:rPr>
          <w:rFonts w:ascii="Arial" w:eastAsia="Calibri" w:hAnsi="Arial" w:cs="Arial"/>
          <w:noProof/>
          <w:szCs w:val="22"/>
        </w:rPr>
        <w:t xml:space="preserve">na račun jutranjih in popoldanskih konic, </w:t>
      </w:r>
      <w:r w:rsidR="00DA7ED4">
        <w:rPr>
          <w:rFonts w:ascii="Arial" w:eastAsia="Calibri" w:hAnsi="Arial" w:cs="Arial"/>
          <w:noProof/>
          <w:szCs w:val="22"/>
        </w:rPr>
        <w:t xml:space="preserve">bolj </w:t>
      </w:r>
      <w:r w:rsidR="00DA7ED4" w:rsidRPr="00AF3FEE">
        <w:rPr>
          <w:rFonts w:ascii="Arial" w:eastAsia="Calibri" w:hAnsi="Arial" w:cs="Arial"/>
          <w:noProof/>
          <w:szCs w:val="22"/>
        </w:rPr>
        <w:t>oddaljen</w:t>
      </w:r>
      <w:r w:rsidR="00DA7ED4">
        <w:rPr>
          <w:rFonts w:ascii="Arial" w:eastAsia="Calibri" w:hAnsi="Arial" w:cs="Arial"/>
          <w:noProof/>
          <w:szCs w:val="22"/>
        </w:rPr>
        <w:t>ih</w:t>
      </w:r>
      <w:r w:rsidR="00DA7ED4" w:rsidRPr="00AF3FEE">
        <w:rPr>
          <w:rFonts w:ascii="Arial" w:eastAsia="Calibri" w:hAnsi="Arial" w:cs="Arial"/>
          <w:noProof/>
          <w:szCs w:val="22"/>
        </w:rPr>
        <w:t xml:space="preserve"> </w:t>
      </w:r>
      <w:r w:rsidRPr="00AF3FEE">
        <w:rPr>
          <w:rFonts w:ascii="Arial" w:eastAsia="Calibri" w:hAnsi="Arial" w:cs="Arial"/>
          <w:noProof/>
          <w:szCs w:val="22"/>
        </w:rPr>
        <w:t xml:space="preserve">krajev ter turizma. </w:t>
      </w:r>
      <w:r w:rsidRPr="00AF3FEE">
        <w:rPr>
          <w:rFonts w:ascii="Arial" w:hAnsi="Arial" w:cs="Arial"/>
          <w:szCs w:val="22"/>
        </w:rPr>
        <w:t xml:space="preserve">Še naprej se spodbuja gradnja infrastrukture za avtobusni promet, kot so rumeni pasovi (tako na občinskih kot na državnih cestah), ki so pomembni za skrajševanje </w:t>
      </w:r>
      <w:r w:rsidR="00DA7ED4" w:rsidRPr="00AF3FEE">
        <w:rPr>
          <w:rFonts w:ascii="Arial" w:hAnsi="Arial" w:cs="Arial"/>
          <w:szCs w:val="22"/>
        </w:rPr>
        <w:t>potovaln</w:t>
      </w:r>
      <w:r w:rsidR="00DA7ED4">
        <w:rPr>
          <w:rFonts w:ascii="Arial" w:hAnsi="Arial" w:cs="Arial"/>
          <w:szCs w:val="22"/>
        </w:rPr>
        <w:t>ega</w:t>
      </w:r>
      <w:r w:rsidR="00DA7ED4" w:rsidRPr="00AF3FEE">
        <w:rPr>
          <w:rFonts w:ascii="Arial" w:hAnsi="Arial" w:cs="Arial"/>
          <w:szCs w:val="22"/>
        </w:rPr>
        <w:t xml:space="preserve"> čas</w:t>
      </w:r>
      <w:r w:rsidR="00DA7ED4">
        <w:rPr>
          <w:rFonts w:ascii="Arial" w:hAnsi="Arial" w:cs="Arial"/>
          <w:szCs w:val="22"/>
        </w:rPr>
        <w:t>a</w:t>
      </w:r>
      <w:r w:rsidRPr="00AF3FEE">
        <w:rPr>
          <w:rFonts w:ascii="Arial" w:hAnsi="Arial" w:cs="Arial"/>
          <w:szCs w:val="22"/>
        </w:rPr>
        <w:t xml:space="preserve">. Izboljšanje uporabniške izkušnje v javnem potniškem prometu je ključno za privabljanje večjega števila potnikov. Še naprej se izvaja projekt </w:t>
      </w:r>
      <w:r w:rsidR="00D35D20">
        <w:rPr>
          <w:rFonts w:ascii="Arial" w:hAnsi="Arial" w:cs="Arial"/>
          <w:szCs w:val="22"/>
        </w:rPr>
        <w:t>i</w:t>
      </w:r>
      <w:r w:rsidRPr="00AF3FEE">
        <w:rPr>
          <w:rFonts w:ascii="Arial" w:hAnsi="Arial" w:cs="Arial"/>
          <w:szCs w:val="22"/>
        </w:rPr>
        <w:t xml:space="preserve">ntegriranega javnega potniškega prometa (IJPP), katerega cilj je povezava različnih vrst javnega prometa. V letu 2023 </w:t>
      </w:r>
      <w:r w:rsidR="00DC4A37">
        <w:rPr>
          <w:rFonts w:ascii="Arial" w:hAnsi="Arial" w:cs="Arial"/>
          <w:szCs w:val="22"/>
        </w:rPr>
        <w:t>so bile</w:t>
      </w:r>
      <w:r w:rsidRPr="00AF3FEE">
        <w:rPr>
          <w:rFonts w:ascii="Arial" w:hAnsi="Arial" w:cs="Arial"/>
          <w:szCs w:val="22"/>
        </w:rPr>
        <w:t xml:space="preserve"> </w:t>
      </w:r>
      <w:r w:rsidR="00DC4A37" w:rsidRPr="00AF3FEE">
        <w:rPr>
          <w:rFonts w:ascii="Arial" w:hAnsi="Arial" w:cs="Arial"/>
          <w:szCs w:val="22"/>
        </w:rPr>
        <w:t>prenov</w:t>
      </w:r>
      <w:r w:rsidR="00DC4A37">
        <w:rPr>
          <w:rFonts w:ascii="Arial" w:hAnsi="Arial" w:cs="Arial"/>
          <w:szCs w:val="22"/>
        </w:rPr>
        <w:t>ljene</w:t>
      </w:r>
      <w:r w:rsidR="00DC4A37" w:rsidRPr="00AF3FEE">
        <w:rPr>
          <w:rFonts w:ascii="Arial" w:hAnsi="Arial" w:cs="Arial"/>
          <w:szCs w:val="22"/>
        </w:rPr>
        <w:t xml:space="preserve"> </w:t>
      </w:r>
      <w:r w:rsidRPr="00AF3FEE">
        <w:rPr>
          <w:rFonts w:ascii="Arial" w:hAnsi="Arial" w:cs="Arial"/>
          <w:szCs w:val="22"/>
        </w:rPr>
        <w:t xml:space="preserve">enotne IJPP vozovnice in </w:t>
      </w:r>
      <w:r w:rsidR="00DC4A37" w:rsidRPr="00AF3FEE">
        <w:rPr>
          <w:rFonts w:ascii="Arial" w:hAnsi="Arial" w:cs="Arial"/>
          <w:szCs w:val="22"/>
        </w:rPr>
        <w:t>uved</w:t>
      </w:r>
      <w:r w:rsidR="00DC4A37">
        <w:rPr>
          <w:rFonts w:ascii="Arial" w:hAnsi="Arial" w:cs="Arial"/>
          <w:szCs w:val="22"/>
        </w:rPr>
        <w:t xml:space="preserve">ene </w:t>
      </w:r>
      <w:r w:rsidR="00DA7ED4">
        <w:rPr>
          <w:rFonts w:ascii="Arial" w:hAnsi="Arial" w:cs="Arial"/>
          <w:szCs w:val="22"/>
        </w:rPr>
        <w:t xml:space="preserve">so bile </w:t>
      </w:r>
      <w:r w:rsidRPr="00AF3FEE">
        <w:rPr>
          <w:rFonts w:ascii="Arial" w:hAnsi="Arial" w:cs="Arial"/>
          <w:szCs w:val="22"/>
        </w:rPr>
        <w:t xml:space="preserve">nove vozovnice </w:t>
      </w:r>
      <w:r w:rsidR="00DA7ED4">
        <w:rPr>
          <w:rFonts w:ascii="Arial" w:hAnsi="Arial" w:cs="Arial"/>
          <w:szCs w:val="22"/>
        </w:rPr>
        <w:t>"</w:t>
      </w:r>
      <w:r w:rsidRPr="00AF3FEE">
        <w:rPr>
          <w:rFonts w:ascii="Arial" w:hAnsi="Arial" w:cs="Arial"/>
          <w:szCs w:val="22"/>
        </w:rPr>
        <w:t>Slovenija</w:t>
      </w:r>
      <w:r w:rsidR="00DA7ED4">
        <w:rPr>
          <w:rFonts w:ascii="Arial" w:hAnsi="Arial" w:cs="Arial"/>
          <w:szCs w:val="22"/>
        </w:rPr>
        <w:t>"</w:t>
      </w:r>
      <w:r w:rsidRPr="00AF3FEE">
        <w:rPr>
          <w:rFonts w:ascii="Arial" w:hAnsi="Arial" w:cs="Arial"/>
          <w:szCs w:val="22"/>
        </w:rPr>
        <w:t xml:space="preserve"> </w:t>
      </w:r>
      <w:r w:rsidR="00DE0962">
        <w:rPr>
          <w:rFonts w:ascii="Arial" w:hAnsi="Arial" w:cs="Arial"/>
          <w:szCs w:val="22"/>
        </w:rPr>
        <w:t>in</w:t>
      </w:r>
      <w:r w:rsidR="00DE0962" w:rsidRPr="00AF3FEE">
        <w:rPr>
          <w:rFonts w:ascii="Arial" w:hAnsi="Arial" w:cs="Arial"/>
          <w:szCs w:val="22"/>
        </w:rPr>
        <w:t xml:space="preserve"> </w:t>
      </w:r>
      <w:r w:rsidRPr="00AF3FEE">
        <w:rPr>
          <w:rFonts w:ascii="Arial" w:hAnsi="Arial" w:cs="Arial"/>
          <w:szCs w:val="22"/>
        </w:rPr>
        <w:t>nove tarife prevoznin.</w:t>
      </w:r>
      <w:r w:rsidRPr="00AF3FEE">
        <w:rPr>
          <w:rFonts w:ascii="Arial" w:hAnsi="Arial" w:cs="Arial"/>
          <w:szCs w:val="22"/>
          <w:lang w:val="it-IT"/>
        </w:rPr>
        <w:t xml:space="preserve"> Na voljo so dnevne, tridnevne, tedenske, mesečne in letne vozovnice. </w:t>
      </w:r>
      <w:r w:rsidRPr="00AF3FEE">
        <w:rPr>
          <w:rFonts w:ascii="Arial" w:hAnsi="Arial" w:cs="Arial"/>
          <w:szCs w:val="22"/>
        </w:rPr>
        <w:t xml:space="preserve">Nadaljuje se subvencioniranje vozovnic za JPP. Po novem je na voljo 50-odstotni popust na cene enotnih vozovnic za otroke. Vikend in družinske vozovnice so postale trajni ukrep. </w:t>
      </w:r>
      <w:r w:rsidR="00DA7ED4">
        <w:rPr>
          <w:rFonts w:ascii="Arial" w:hAnsi="Arial" w:cs="Arial"/>
          <w:szCs w:val="22"/>
        </w:rPr>
        <w:t xml:space="preserve">Povezava </w:t>
      </w:r>
      <w:r w:rsidRPr="00AF3FEE">
        <w:rPr>
          <w:rFonts w:ascii="Arial" w:hAnsi="Arial" w:cs="Arial"/>
          <w:szCs w:val="22"/>
        </w:rPr>
        <w:t xml:space="preserve">z mestnim prometom je še v izvajanju. Za načrtovanje poti z javnim prometom je bil pod </w:t>
      </w:r>
      <w:r w:rsidR="00906DDA">
        <w:rPr>
          <w:rFonts w:ascii="Arial" w:hAnsi="Arial" w:cs="Arial"/>
          <w:szCs w:val="22"/>
        </w:rPr>
        <w:t xml:space="preserve">pokroviteljstvom </w:t>
      </w:r>
      <w:r w:rsidRPr="00AF3FEE">
        <w:rPr>
          <w:rFonts w:ascii="Arial" w:hAnsi="Arial" w:cs="Arial"/>
          <w:szCs w:val="22"/>
        </w:rPr>
        <w:t>Ministrstva za infrastrukturo</w:t>
      </w:r>
      <w:r w:rsidR="001115B9">
        <w:rPr>
          <w:rFonts w:ascii="Arial" w:hAnsi="Arial" w:cs="Arial"/>
          <w:szCs w:val="22"/>
        </w:rPr>
        <w:t xml:space="preserve"> Republike Slovenije</w:t>
      </w:r>
      <w:r w:rsidRPr="00AF3FEE">
        <w:rPr>
          <w:rFonts w:ascii="Arial" w:hAnsi="Arial" w:cs="Arial"/>
          <w:szCs w:val="22"/>
        </w:rPr>
        <w:t xml:space="preserve">, Nacionalnega centra za upravljanje prometa (NCUP), vzpostavljen portal SiMO, </w:t>
      </w:r>
      <w:r w:rsidR="00DA7ED4">
        <w:rPr>
          <w:rFonts w:ascii="Arial" w:hAnsi="Arial" w:cs="Arial"/>
          <w:szCs w:val="22"/>
        </w:rPr>
        <w:t>temelječ</w:t>
      </w:r>
      <w:r w:rsidRPr="00AF3FEE">
        <w:rPr>
          <w:rFonts w:ascii="Arial" w:hAnsi="Arial" w:cs="Arial"/>
          <w:szCs w:val="22"/>
        </w:rPr>
        <w:t xml:space="preserve"> na podatkih, ki so na voljo prek Nacionalne točke dostopa do prometnih podatkov (NAP). SiMO odpravlja razdrobljenost informacij, saj v eni storitvi združuje vse vozne rede, posodobitve poti v realnem času </w:t>
      </w:r>
      <w:r w:rsidR="00DE0962">
        <w:rPr>
          <w:rFonts w:ascii="Arial" w:hAnsi="Arial" w:cs="Arial"/>
          <w:szCs w:val="22"/>
        </w:rPr>
        <w:t>in</w:t>
      </w:r>
      <w:r w:rsidR="00DE0962" w:rsidRPr="00AF3FEE">
        <w:rPr>
          <w:rFonts w:ascii="Arial" w:hAnsi="Arial" w:cs="Arial"/>
          <w:szCs w:val="22"/>
        </w:rPr>
        <w:t xml:space="preserve"> </w:t>
      </w:r>
      <w:r w:rsidRPr="00AF3FEE">
        <w:rPr>
          <w:rFonts w:ascii="Arial" w:hAnsi="Arial" w:cs="Arial"/>
          <w:szCs w:val="22"/>
        </w:rPr>
        <w:t>informacije o dostopnosti.</w:t>
      </w:r>
    </w:p>
    <w:p w14:paraId="27EB376F"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Dodatne aktivnosti za spodbujanje javnega potniškega prometa</w:t>
      </w:r>
    </w:p>
    <w:p w14:paraId="05BA60FD" w14:textId="4EF19B58"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DA7ED4">
        <w:rPr>
          <w:rStyle w:val="Tekst-VplivUkrepa-SektorjiCharChar"/>
          <w:rFonts w:ascii="Arial" w:hAnsi="Arial" w:cs="Arial"/>
          <w:b w:val="0"/>
          <w:bCs/>
          <w:i w:val="0"/>
          <w:noProof/>
          <w:szCs w:val="22"/>
        </w:rPr>
        <w:t>.</w:t>
      </w:r>
    </w:p>
    <w:p w14:paraId="5A277E35" w14:textId="3076D39D" w:rsidR="00AF3FEE" w:rsidRPr="00AF3FEE" w:rsidRDefault="00AF3FEE" w:rsidP="00AF3FEE">
      <w:pPr>
        <w:pStyle w:val="BodyText"/>
        <w:rPr>
          <w:rFonts w:ascii="Arial" w:hAnsi="Arial" w:cs="Arial"/>
          <w:szCs w:val="22"/>
        </w:rPr>
      </w:pPr>
      <w:r w:rsidRPr="00AF3FEE">
        <w:rPr>
          <w:rFonts w:ascii="Arial" w:hAnsi="Arial" w:cs="Arial"/>
          <w:szCs w:val="22"/>
        </w:rPr>
        <w:t>Strateško načrtovanje javnega prometa je ključno za celovit</w:t>
      </w:r>
      <w:r w:rsidR="00FA16D0">
        <w:rPr>
          <w:rFonts w:ascii="Arial" w:hAnsi="Arial" w:cs="Arial"/>
          <w:szCs w:val="22"/>
        </w:rPr>
        <w:t>o</w:t>
      </w:r>
      <w:r w:rsidRPr="00AF3FEE">
        <w:rPr>
          <w:rFonts w:ascii="Arial" w:hAnsi="Arial" w:cs="Arial"/>
          <w:szCs w:val="22"/>
        </w:rPr>
        <w:t xml:space="preserve"> </w:t>
      </w:r>
      <w:r w:rsidR="00DA7ED4">
        <w:rPr>
          <w:rFonts w:ascii="Arial" w:hAnsi="Arial" w:cs="Arial"/>
          <w:szCs w:val="22"/>
        </w:rPr>
        <w:t xml:space="preserve">in </w:t>
      </w:r>
      <w:r w:rsidRPr="00AF3FEE">
        <w:rPr>
          <w:rFonts w:ascii="Arial" w:hAnsi="Arial" w:cs="Arial"/>
          <w:szCs w:val="22"/>
        </w:rPr>
        <w:t>učinkovito načrtovanje in upravljanj</w:t>
      </w:r>
      <w:r w:rsidR="00D175B3">
        <w:rPr>
          <w:rFonts w:ascii="Arial" w:hAnsi="Arial" w:cs="Arial"/>
          <w:szCs w:val="22"/>
        </w:rPr>
        <w:t>e</w:t>
      </w:r>
      <w:r w:rsidRPr="00AF3FEE">
        <w:rPr>
          <w:rFonts w:ascii="Arial" w:hAnsi="Arial" w:cs="Arial"/>
          <w:szCs w:val="22"/>
        </w:rPr>
        <w:t xml:space="preserve"> javnega prevoza, zato je predviden</w:t>
      </w:r>
      <w:r w:rsidR="009C3AFF">
        <w:rPr>
          <w:rFonts w:ascii="Arial" w:hAnsi="Arial" w:cs="Arial"/>
          <w:szCs w:val="22"/>
        </w:rPr>
        <w:t>a</w:t>
      </w:r>
      <w:r w:rsidRPr="00AF3FEE">
        <w:rPr>
          <w:rFonts w:ascii="Arial" w:hAnsi="Arial" w:cs="Arial"/>
          <w:szCs w:val="22"/>
        </w:rPr>
        <w:t xml:space="preserve"> </w:t>
      </w:r>
      <w:r w:rsidR="009C3AFF">
        <w:rPr>
          <w:rFonts w:ascii="Arial" w:hAnsi="Arial" w:cs="Arial"/>
          <w:szCs w:val="22"/>
        </w:rPr>
        <w:t>krepitev</w:t>
      </w:r>
      <w:r w:rsidR="009C3AFF" w:rsidRPr="00AF3FEE">
        <w:rPr>
          <w:rFonts w:ascii="Arial" w:hAnsi="Arial" w:cs="Arial"/>
          <w:szCs w:val="22"/>
        </w:rPr>
        <w:t xml:space="preserve"> </w:t>
      </w:r>
      <w:r w:rsidRPr="00AF3FEE">
        <w:rPr>
          <w:rFonts w:ascii="Arial" w:hAnsi="Arial" w:cs="Arial"/>
          <w:szCs w:val="22"/>
        </w:rPr>
        <w:t>delovanja Družbe za upravljanje javnega potniškega prometa (DUJPP), ustanovljene leta 2022. Med predvidenimi ukrepi je tudi priprava Strategij</w:t>
      </w:r>
      <w:r w:rsidR="00D175B3">
        <w:rPr>
          <w:rFonts w:ascii="Arial" w:hAnsi="Arial" w:cs="Arial"/>
          <w:szCs w:val="22"/>
        </w:rPr>
        <w:t>e</w:t>
      </w:r>
      <w:r w:rsidRPr="00AF3FEE">
        <w:rPr>
          <w:rFonts w:ascii="Arial" w:hAnsi="Arial" w:cs="Arial"/>
          <w:szCs w:val="22"/>
        </w:rPr>
        <w:t xml:space="preserve"> razvoja javnega potniškega prometa. Na področju železniške infrastrukture so poleg nadgradenj obstoječih prog predvideni projekti gradnje novih prog, kot so ljubljansko železniško vozlišče (za tovorni promet), novi odseki prog v obstoječih koridorjih in začetne aktivnosti za gradnjo nove hitre železniške povezave med Ljubljano in Mariborom. Za izboljšanje večmodalnih potovanj je predvidena podpora za gradnjo lokalnih mobilnostnih točk v občinah za kombiniranje različnih oblik prevoza v mestih in prestopnih točk na regionalni ravni, zlasti ob železniških postajah </w:t>
      </w:r>
      <w:r w:rsidR="00D175B3">
        <w:rPr>
          <w:rFonts w:ascii="Arial" w:hAnsi="Arial" w:cs="Arial"/>
          <w:szCs w:val="22"/>
        </w:rPr>
        <w:t>in</w:t>
      </w:r>
      <w:r w:rsidR="00D175B3" w:rsidRPr="00AF3FEE">
        <w:rPr>
          <w:rFonts w:ascii="Arial" w:hAnsi="Arial" w:cs="Arial"/>
          <w:szCs w:val="22"/>
        </w:rPr>
        <w:t xml:space="preserve"> </w:t>
      </w:r>
      <w:r w:rsidRPr="00AF3FEE">
        <w:rPr>
          <w:rFonts w:ascii="Arial" w:hAnsi="Arial" w:cs="Arial"/>
          <w:szCs w:val="22"/>
        </w:rPr>
        <w:t xml:space="preserve">postajališčih. Zato je treba določiti kriterije opremljenosti </w:t>
      </w:r>
      <w:r w:rsidR="00D175B3" w:rsidRPr="00AF3FEE">
        <w:rPr>
          <w:rFonts w:ascii="Arial" w:hAnsi="Arial" w:cs="Arial"/>
          <w:szCs w:val="22"/>
        </w:rPr>
        <w:t>t</w:t>
      </w:r>
      <w:r w:rsidR="00D175B3">
        <w:rPr>
          <w:rFonts w:ascii="Arial" w:hAnsi="Arial" w:cs="Arial"/>
          <w:szCs w:val="22"/>
        </w:rPr>
        <w:t>e</w:t>
      </w:r>
      <w:r w:rsidR="00D175B3" w:rsidRPr="00AF3FEE">
        <w:rPr>
          <w:rFonts w:ascii="Arial" w:hAnsi="Arial" w:cs="Arial"/>
          <w:szCs w:val="22"/>
        </w:rPr>
        <w:t xml:space="preserve">h </w:t>
      </w:r>
      <w:r w:rsidRPr="00AF3FEE">
        <w:rPr>
          <w:rFonts w:ascii="Arial" w:hAnsi="Arial" w:cs="Arial"/>
          <w:szCs w:val="22"/>
        </w:rPr>
        <w:t xml:space="preserve">točk in preučiti možnost uvedbe enotnega sistema izposoje koles. Prevideni so tudi ukrepi </w:t>
      </w:r>
      <w:r w:rsidRPr="00AF3FEE">
        <w:rPr>
          <w:rFonts w:ascii="Arial" w:hAnsi="Arial" w:cs="Arial"/>
          <w:szCs w:val="22"/>
        </w:rPr>
        <w:lastRenderedPageBreak/>
        <w:t xml:space="preserve">za boljše pogoje za prevoz koles z vlaki. Za izboljšanje konkurenčnosti javnega potniškega prometa je pomembno izboljšati dostopnost obstoječih dejavnosti, ki so </w:t>
      </w:r>
      <w:r w:rsidR="00BB6494">
        <w:rPr>
          <w:rFonts w:ascii="Arial" w:hAnsi="Arial" w:cs="Arial"/>
          <w:szCs w:val="22"/>
        </w:rPr>
        <w:t xml:space="preserve">zdaj </w:t>
      </w:r>
      <w:r w:rsidRPr="00AF3FEE">
        <w:rPr>
          <w:rFonts w:ascii="Arial" w:hAnsi="Arial" w:cs="Arial"/>
          <w:szCs w:val="22"/>
        </w:rPr>
        <w:t xml:space="preserve">slabo dostopna z javnim prometom. Redni odhodi vlakov so zelo pomembni za izboljšanje privlačnosti javnega prevoza. Končni cilj nadgradnje železniških prog je uvedba taktnega voznega reda, to pomeni redne odhode vlakov, avtobusov in drugih sredstev javnega potniškega prometa v taktu na vsakih 30, 60 oziroma 120 minut, odvisno od priljubljenosti relacije. Ker pa je uvedba taktnega voznega reda do </w:t>
      </w:r>
      <w:r w:rsidR="00BB6494">
        <w:rPr>
          <w:rFonts w:ascii="Arial" w:hAnsi="Arial" w:cs="Arial"/>
          <w:szCs w:val="22"/>
        </w:rPr>
        <w:t>neke</w:t>
      </w:r>
      <w:r w:rsidR="00BB6494" w:rsidRPr="00AF3FEE">
        <w:rPr>
          <w:rFonts w:ascii="Arial" w:hAnsi="Arial" w:cs="Arial"/>
          <w:szCs w:val="22"/>
        </w:rPr>
        <w:t xml:space="preserve"> </w:t>
      </w:r>
      <w:r w:rsidRPr="00AF3FEE">
        <w:rPr>
          <w:rFonts w:ascii="Arial" w:hAnsi="Arial" w:cs="Arial"/>
          <w:szCs w:val="22"/>
        </w:rPr>
        <w:t xml:space="preserve">mere </w:t>
      </w:r>
      <w:r w:rsidR="004F2B0D">
        <w:rPr>
          <w:rFonts w:ascii="Arial" w:hAnsi="Arial" w:cs="Arial"/>
          <w:szCs w:val="22"/>
        </w:rPr>
        <w:t xml:space="preserve">mogoča </w:t>
      </w:r>
      <w:r w:rsidRPr="00AF3FEE">
        <w:rPr>
          <w:rFonts w:ascii="Arial" w:hAnsi="Arial" w:cs="Arial"/>
          <w:szCs w:val="22"/>
        </w:rPr>
        <w:t>tudi v okviru obstoječe infrastrukture, ukrep predvideva uvedbo taktnega voznega reda na 30 min</w:t>
      </w:r>
      <w:r w:rsidR="00D175B3">
        <w:rPr>
          <w:rFonts w:ascii="Arial" w:hAnsi="Arial" w:cs="Arial"/>
          <w:szCs w:val="22"/>
        </w:rPr>
        <w:t>ut</w:t>
      </w:r>
      <w:r w:rsidRPr="00AF3FEE">
        <w:rPr>
          <w:rFonts w:ascii="Arial" w:hAnsi="Arial" w:cs="Arial"/>
          <w:szCs w:val="22"/>
        </w:rPr>
        <w:t xml:space="preserve"> v regiji LUR+ že pred gradnjo drugih tirov, po nadgradnji pa je cilj </w:t>
      </w:r>
      <w:r w:rsidR="00BB6494">
        <w:rPr>
          <w:rFonts w:ascii="Arial" w:hAnsi="Arial" w:cs="Arial"/>
          <w:szCs w:val="22"/>
        </w:rPr>
        <w:t xml:space="preserve">uvedba </w:t>
      </w:r>
      <w:r w:rsidR="00BB6494" w:rsidRPr="00AF3FEE">
        <w:rPr>
          <w:rFonts w:ascii="Arial" w:hAnsi="Arial" w:cs="Arial"/>
          <w:szCs w:val="22"/>
        </w:rPr>
        <w:t>odhod</w:t>
      </w:r>
      <w:r w:rsidR="00BB6494">
        <w:rPr>
          <w:rFonts w:ascii="Arial" w:hAnsi="Arial" w:cs="Arial"/>
          <w:szCs w:val="22"/>
        </w:rPr>
        <w:t>ov</w:t>
      </w:r>
      <w:r w:rsidR="00BB6494" w:rsidRPr="00AF3FEE">
        <w:rPr>
          <w:rFonts w:ascii="Arial" w:hAnsi="Arial" w:cs="Arial"/>
          <w:szCs w:val="22"/>
        </w:rPr>
        <w:t xml:space="preserve"> </w:t>
      </w:r>
      <w:r w:rsidRPr="00AF3FEE">
        <w:rPr>
          <w:rFonts w:ascii="Arial" w:hAnsi="Arial" w:cs="Arial"/>
          <w:szCs w:val="22"/>
        </w:rPr>
        <w:t xml:space="preserve">na 15 minut. Prav tako je predviden taktni vozni red na območju Maribora. Predvideno je upravljanje </w:t>
      </w:r>
      <w:r w:rsidR="00D175B3">
        <w:rPr>
          <w:rFonts w:ascii="Arial" w:hAnsi="Arial" w:cs="Arial"/>
          <w:szCs w:val="22"/>
        </w:rPr>
        <w:t xml:space="preserve">zmogljivosti </w:t>
      </w:r>
      <w:r w:rsidRPr="00AF3FEE">
        <w:rPr>
          <w:rFonts w:ascii="Arial" w:hAnsi="Arial" w:cs="Arial"/>
          <w:szCs w:val="22"/>
        </w:rPr>
        <w:t xml:space="preserve">avtobusnih prevozov bodisi z rezervacijskim sistemom bodisi z dinamičnim povečevanjem </w:t>
      </w:r>
      <w:r w:rsidR="00BB6494">
        <w:rPr>
          <w:rFonts w:ascii="Arial" w:hAnsi="Arial" w:cs="Arial"/>
          <w:szCs w:val="22"/>
        </w:rPr>
        <w:t>zmogljivosti</w:t>
      </w:r>
      <w:r w:rsidR="00D175B3" w:rsidRPr="00AF3FEE">
        <w:rPr>
          <w:rFonts w:ascii="Arial" w:hAnsi="Arial" w:cs="Arial"/>
          <w:szCs w:val="22"/>
        </w:rPr>
        <w:t xml:space="preserve"> </w:t>
      </w:r>
      <w:r w:rsidRPr="00AF3FEE">
        <w:rPr>
          <w:rFonts w:ascii="Arial" w:hAnsi="Arial" w:cs="Arial"/>
          <w:szCs w:val="22"/>
        </w:rPr>
        <w:t xml:space="preserve">v času povečanega povpraševanja. Za povečanje </w:t>
      </w:r>
      <w:r w:rsidR="00D175B3">
        <w:rPr>
          <w:rFonts w:ascii="Arial" w:hAnsi="Arial" w:cs="Arial"/>
          <w:szCs w:val="22"/>
        </w:rPr>
        <w:t>zmogljivosti</w:t>
      </w:r>
      <w:r w:rsidR="00D175B3" w:rsidRPr="00AF3FEE">
        <w:rPr>
          <w:rFonts w:ascii="Arial" w:hAnsi="Arial" w:cs="Arial"/>
          <w:szCs w:val="22"/>
        </w:rPr>
        <w:t xml:space="preserve"> </w:t>
      </w:r>
      <w:r w:rsidRPr="00AF3FEE">
        <w:rPr>
          <w:rFonts w:ascii="Arial" w:hAnsi="Arial" w:cs="Arial"/>
          <w:szCs w:val="22"/>
        </w:rPr>
        <w:t xml:space="preserve">je ena od možnosti tudi omogočanje daljših vozil javnega potniškega prevoza. Navsezadnje pa je predvideno tudi izboljšanje konkurenčnosti ne samo medkrajevnega, temveč tudi mestnega prometa s prenovami linij, povečanjem števila odhodov, povezovanjem prestopnih točk </w:t>
      </w:r>
      <w:r w:rsidR="004F2B0D">
        <w:rPr>
          <w:rFonts w:ascii="Arial" w:hAnsi="Arial" w:cs="Arial"/>
          <w:szCs w:val="22"/>
        </w:rPr>
        <w:t>in tako dalje</w:t>
      </w:r>
      <w:r w:rsidRPr="00AF3FEE">
        <w:rPr>
          <w:rFonts w:ascii="Arial" w:hAnsi="Arial" w:cs="Arial"/>
          <w:szCs w:val="22"/>
        </w:rPr>
        <w:t xml:space="preserve">. Poleg infrastrukture za skrajševanje </w:t>
      </w:r>
      <w:r w:rsidR="00D175B3" w:rsidRPr="00AF3FEE">
        <w:rPr>
          <w:rFonts w:ascii="Arial" w:hAnsi="Arial" w:cs="Arial"/>
          <w:szCs w:val="22"/>
        </w:rPr>
        <w:t>potovaln</w:t>
      </w:r>
      <w:r w:rsidR="00D175B3">
        <w:rPr>
          <w:rFonts w:ascii="Arial" w:hAnsi="Arial" w:cs="Arial"/>
          <w:szCs w:val="22"/>
        </w:rPr>
        <w:t>ega</w:t>
      </w:r>
      <w:r w:rsidR="00D175B3" w:rsidRPr="00AF3FEE">
        <w:rPr>
          <w:rFonts w:ascii="Arial" w:hAnsi="Arial" w:cs="Arial"/>
          <w:szCs w:val="22"/>
        </w:rPr>
        <w:t xml:space="preserve"> čas</w:t>
      </w:r>
      <w:r w:rsidR="00D175B3">
        <w:rPr>
          <w:rFonts w:ascii="Arial" w:hAnsi="Arial" w:cs="Arial"/>
          <w:szCs w:val="22"/>
        </w:rPr>
        <w:t>a</w:t>
      </w:r>
      <w:r w:rsidRPr="00AF3FEE">
        <w:rPr>
          <w:rFonts w:ascii="Arial" w:hAnsi="Arial" w:cs="Arial"/>
          <w:szCs w:val="22"/>
        </w:rPr>
        <w:t xml:space="preserve">, na primer prednosti v križiščih </w:t>
      </w:r>
      <w:r w:rsidR="00D175B3">
        <w:rPr>
          <w:rFonts w:ascii="Arial" w:hAnsi="Arial" w:cs="Arial"/>
          <w:szCs w:val="22"/>
        </w:rPr>
        <w:t>in</w:t>
      </w:r>
      <w:r w:rsidR="00D175B3" w:rsidRPr="00AF3FEE">
        <w:rPr>
          <w:rFonts w:ascii="Arial" w:hAnsi="Arial" w:cs="Arial"/>
          <w:szCs w:val="22"/>
        </w:rPr>
        <w:t xml:space="preserve"> </w:t>
      </w:r>
      <w:r w:rsidRPr="00AF3FEE">
        <w:rPr>
          <w:rFonts w:ascii="Arial" w:hAnsi="Arial" w:cs="Arial"/>
          <w:szCs w:val="22"/>
        </w:rPr>
        <w:t xml:space="preserve">rumenih pasov v mestu, je pomembno, da se </w:t>
      </w:r>
      <w:r w:rsidR="00D175B3">
        <w:rPr>
          <w:rFonts w:ascii="Arial" w:hAnsi="Arial" w:cs="Arial"/>
          <w:szCs w:val="22"/>
        </w:rPr>
        <w:t>ta</w:t>
      </w:r>
      <w:r w:rsidR="00BB6494">
        <w:rPr>
          <w:rFonts w:ascii="Arial" w:hAnsi="Arial" w:cs="Arial"/>
          <w:szCs w:val="22"/>
        </w:rPr>
        <w:t xml:space="preserve"> infrastruktura</w:t>
      </w:r>
      <w:r w:rsidRPr="00AF3FEE">
        <w:rPr>
          <w:rFonts w:ascii="Arial" w:hAnsi="Arial" w:cs="Arial"/>
          <w:szCs w:val="22"/>
        </w:rPr>
        <w:t xml:space="preserve"> navezuje tudi na rumene pasove v zaledju mest. Na primer, glede na predvideno širitev dveh avtocestnih krakov na širšem območju Ljubljane je treba preučiti možnosti izrabe novih pasov za prednostn</w:t>
      </w:r>
      <w:r w:rsidR="00D175B3">
        <w:rPr>
          <w:rFonts w:ascii="Arial" w:hAnsi="Arial" w:cs="Arial"/>
          <w:szCs w:val="22"/>
        </w:rPr>
        <w:t>i</w:t>
      </w:r>
      <w:r w:rsidRPr="00AF3FEE">
        <w:rPr>
          <w:rFonts w:ascii="Arial" w:hAnsi="Arial" w:cs="Arial"/>
          <w:szCs w:val="22"/>
        </w:rPr>
        <w:t xml:space="preserve"> </w:t>
      </w:r>
      <w:r w:rsidR="00BB6494">
        <w:rPr>
          <w:rFonts w:ascii="Arial" w:hAnsi="Arial" w:cs="Arial"/>
          <w:szCs w:val="22"/>
        </w:rPr>
        <w:t xml:space="preserve">potek </w:t>
      </w:r>
      <w:r w:rsidRPr="00AF3FEE">
        <w:rPr>
          <w:rFonts w:ascii="Arial" w:hAnsi="Arial" w:cs="Arial"/>
          <w:szCs w:val="22"/>
        </w:rPr>
        <w:t>javnega prevoza. Uporabnišk</w:t>
      </w:r>
      <w:r w:rsidR="00D175B3">
        <w:rPr>
          <w:rFonts w:ascii="Arial" w:hAnsi="Arial" w:cs="Arial"/>
          <w:szCs w:val="22"/>
        </w:rPr>
        <w:t>a</w:t>
      </w:r>
      <w:r w:rsidRPr="00AF3FEE">
        <w:rPr>
          <w:rFonts w:ascii="Arial" w:hAnsi="Arial" w:cs="Arial"/>
          <w:szCs w:val="22"/>
        </w:rPr>
        <w:t xml:space="preserve"> izkušnj</w:t>
      </w:r>
      <w:r w:rsidR="00D175B3">
        <w:rPr>
          <w:rFonts w:ascii="Arial" w:hAnsi="Arial" w:cs="Arial"/>
          <w:szCs w:val="22"/>
        </w:rPr>
        <w:t>a</w:t>
      </w:r>
      <w:r w:rsidRPr="00AF3FEE">
        <w:rPr>
          <w:rFonts w:ascii="Arial" w:hAnsi="Arial" w:cs="Arial"/>
          <w:szCs w:val="22"/>
        </w:rPr>
        <w:t xml:space="preserve"> v javnem prometu se bo izboljševal</w:t>
      </w:r>
      <w:r w:rsidR="00D175B3">
        <w:rPr>
          <w:rFonts w:ascii="Arial" w:hAnsi="Arial" w:cs="Arial"/>
          <w:szCs w:val="22"/>
        </w:rPr>
        <w:t>a</w:t>
      </w:r>
      <w:r w:rsidRPr="00AF3FEE">
        <w:rPr>
          <w:rFonts w:ascii="Arial" w:hAnsi="Arial" w:cs="Arial"/>
          <w:szCs w:val="22"/>
        </w:rPr>
        <w:t xml:space="preserve"> z nadaljnjim razvojem mobilnosti kot storitev (MaaS), določitvijo standardov kakovosti javnega prometa, digitalizacijo načinov plačila vozovnic </w:t>
      </w:r>
      <w:r w:rsidR="00D175B3">
        <w:rPr>
          <w:rFonts w:ascii="Arial" w:hAnsi="Arial" w:cs="Arial"/>
          <w:szCs w:val="22"/>
        </w:rPr>
        <w:t>in</w:t>
      </w:r>
      <w:r w:rsidR="00D175B3" w:rsidRPr="00AF3FEE">
        <w:rPr>
          <w:rFonts w:ascii="Arial" w:hAnsi="Arial" w:cs="Arial"/>
          <w:szCs w:val="22"/>
        </w:rPr>
        <w:t xml:space="preserve"> </w:t>
      </w:r>
      <w:r w:rsidRPr="00AF3FEE">
        <w:rPr>
          <w:rFonts w:ascii="Arial" w:hAnsi="Arial" w:cs="Arial"/>
          <w:szCs w:val="22"/>
        </w:rPr>
        <w:t xml:space="preserve">digitalizacijo informacij, namenjenih funkcionalno oviranim osebam. Dodatno je predviden ukrep spodbujanja ponudbe dinamičnih prevozov, to je </w:t>
      </w:r>
      <w:r w:rsidR="00D175B3" w:rsidRPr="00AF3FEE">
        <w:rPr>
          <w:rFonts w:ascii="Arial" w:hAnsi="Arial" w:cs="Arial"/>
          <w:szCs w:val="22"/>
        </w:rPr>
        <w:t>prevoz</w:t>
      </w:r>
      <w:r w:rsidR="00D175B3">
        <w:rPr>
          <w:rFonts w:ascii="Arial" w:hAnsi="Arial" w:cs="Arial"/>
          <w:szCs w:val="22"/>
        </w:rPr>
        <w:t>ov</w:t>
      </w:r>
      <w:r w:rsidRPr="00AF3FEE">
        <w:rPr>
          <w:rFonts w:ascii="Arial" w:hAnsi="Arial" w:cs="Arial"/>
          <w:szCs w:val="22"/>
        </w:rPr>
        <w:t>, ki se prilagaja</w:t>
      </w:r>
      <w:r w:rsidR="00D175B3">
        <w:rPr>
          <w:rFonts w:ascii="Arial" w:hAnsi="Arial" w:cs="Arial"/>
          <w:szCs w:val="22"/>
        </w:rPr>
        <w:t>jo</w:t>
      </w:r>
      <w:r w:rsidRPr="00AF3FEE">
        <w:rPr>
          <w:rFonts w:ascii="Arial" w:hAnsi="Arial" w:cs="Arial"/>
          <w:szCs w:val="22"/>
        </w:rPr>
        <w:t xml:space="preserve"> povpraševanju oz</w:t>
      </w:r>
      <w:r w:rsidR="004F2B0D">
        <w:rPr>
          <w:rFonts w:ascii="Arial" w:hAnsi="Arial" w:cs="Arial"/>
        </w:rPr>
        <w:t>iroma</w:t>
      </w:r>
      <w:r w:rsidRPr="00AF3FEE">
        <w:rPr>
          <w:rFonts w:ascii="Arial" w:hAnsi="Arial" w:cs="Arial"/>
          <w:szCs w:val="22"/>
        </w:rPr>
        <w:t xml:space="preserve"> se izvaja</w:t>
      </w:r>
      <w:r w:rsidR="00D175B3">
        <w:rPr>
          <w:rFonts w:ascii="Arial" w:hAnsi="Arial" w:cs="Arial"/>
          <w:szCs w:val="22"/>
        </w:rPr>
        <w:t>jo</w:t>
      </w:r>
      <w:r w:rsidRPr="00AF3FEE">
        <w:rPr>
          <w:rFonts w:ascii="Arial" w:hAnsi="Arial" w:cs="Arial"/>
          <w:szCs w:val="22"/>
        </w:rPr>
        <w:t xml:space="preserve"> na zahtevo – tako z vidika ureditve zakonodaje in finančnih spodbud kot tudi </w:t>
      </w:r>
      <w:r w:rsidR="00F74DDA">
        <w:rPr>
          <w:rFonts w:ascii="Arial" w:hAnsi="Arial" w:cs="Arial"/>
          <w:szCs w:val="22"/>
        </w:rPr>
        <w:t xml:space="preserve">z vidika </w:t>
      </w:r>
      <w:r w:rsidRPr="00AF3FEE">
        <w:rPr>
          <w:rFonts w:ascii="Arial" w:hAnsi="Arial" w:cs="Arial"/>
          <w:szCs w:val="22"/>
        </w:rPr>
        <w:t xml:space="preserve">zbiranja podatkov in vključevanja v informacijske sisteme. Država že izvaja </w:t>
      </w:r>
      <w:r w:rsidR="00F74DDA">
        <w:rPr>
          <w:rFonts w:ascii="Arial" w:hAnsi="Arial" w:cs="Arial"/>
          <w:szCs w:val="22"/>
        </w:rPr>
        <w:t>poskusni</w:t>
      </w:r>
      <w:r w:rsidR="00F74DDA" w:rsidRPr="00AF3FEE">
        <w:rPr>
          <w:rFonts w:ascii="Arial" w:hAnsi="Arial" w:cs="Arial"/>
          <w:szCs w:val="22"/>
        </w:rPr>
        <w:t xml:space="preserve"> </w:t>
      </w:r>
      <w:r w:rsidRPr="00AF3FEE">
        <w:rPr>
          <w:rFonts w:ascii="Arial" w:hAnsi="Arial" w:cs="Arial"/>
          <w:szCs w:val="22"/>
        </w:rPr>
        <w:t>projekt prevoza na klic za gibalno ovirane osebe. Predvidena je tudi digitalizacija javnega potniškega prometa z namenom učinkovitejšega načrtovanja linij in voznih redov JPP ter sledenja v realnem času.</w:t>
      </w:r>
    </w:p>
    <w:p w14:paraId="3821AF37"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Ukrepi za povečanje deleža poti z aktivno mobilnostjo</w:t>
      </w:r>
    </w:p>
    <w:p w14:paraId="7F4BA366" w14:textId="59A0EE9F"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F74DDA">
        <w:rPr>
          <w:rStyle w:val="Tekst-VplivUkrepa-SektorjiCharChar"/>
          <w:rFonts w:ascii="Arial" w:hAnsi="Arial" w:cs="Arial"/>
          <w:b w:val="0"/>
          <w:bCs/>
          <w:i w:val="0"/>
          <w:noProof/>
          <w:szCs w:val="22"/>
        </w:rPr>
        <w:t>.</w:t>
      </w:r>
    </w:p>
    <w:p w14:paraId="13C878C4" w14:textId="0DEF39A2" w:rsidR="00AF3FEE" w:rsidRPr="00AF3FEE" w:rsidRDefault="00AF3FEE" w:rsidP="00AF3FEE">
      <w:pPr>
        <w:pStyle w:val="BodyText"/>
        <w:rPr>
          <w:rFonts w:ascii="Arial" w:hAnsi="Arial" w:cs="Arial"/>
          <w:szCs w:val="22"/>
        </w:rPr>
      </w:pPr>
      <w:r w:rsidRPr="00AF3FEE">
        <w:rPr>
          <w:rFonts w:ascii="Arial" w:hAnsi="Arial" w:cs="Arial"/>
          <w:szCs w:val="22"/>
        </w:rPr>
        <w:t>Za povečanje uporabe aktivne mobilnosti so predvideni ukrepi na področju gradnje in ureditve namenske infrastrukture za pešce in kolesarje.</w:t>
      </w:r>
    </w:p>
    <w:p w14:paraId="0CCDC2A9" w14:textId="0AA3CEA5" w:rsidR="00AF3FEE" w:rsidRPr="00AF3FEE" w:rsidRDefault="00AF3FEE" w:rsidP="00AF3FEE">
      <w:pPr>
        <w:pStyle w:val="BodyText"/>
        <w:rPr>
          <w:rFonts w:ascii="Arial" w:hAnsi="Arial" w:cs="Arial"/>
          <w:szCs w:val="22"/>
        </w:rPr>
      </w:pPr>
      <w:r w:rsidRPr="00AF3FEE">
        <w:rPr>
          <w:rFonts w:ascii="Arial" w:hAnsi="Arial" w:cs="Arial"/>
          <w:szCs w:val="22"/>
        </w:rPr>
        <w:t>Predvideva</w:t>
      </w:r>
      <w:r w:rsidR="00D175B3">
        <w:rPr>
          <w:rFonts w:ascii="Arial" w:hAnsi="Arial" w:cs="Arial"/>
          <w:szCs w:val="22"/>
        </w:rPr>
        <w:t>ta</w:t>
      </w:r>
      <w:r w:rsidRPr="00AF3FEE">
        <w:rPr>
          <w:rFonts w:ascii="Arial" w:hAnsi="Arial" w:cs="Arial"/>
          <w:szCs w:val="22"/>
        </w:rPr>
        <w:t xml:space="preserve"> se sprejetje in izvajanje Strateškega načrta za razvoj kolesarjenja do leta 2030, osnutek je že pripravljen. Namen je vzpostavitev sklenjenega omrežja kakovostnih kolesarskih povezav, vzdrževanje kakovosti obstoječih kolesarskih povezav </w:t>
      </w:r>
      <w:r w:rsidR="00D175B3">
        <w:rPr>
          <w:rFonts w:ascii="Arial" w:hAnsi="Arial" w:cs="Arial"/>
          <w:szCs w:val="22"/>
        </w:rPr>
        <w:t>in</w:t>
      </w:r>
      <w:r w:rsidR="00D175B3" w:rsidRPr="00AF3FEE">
        <w:rPr>
          <w:rFonts w:ascii="Arial" w:hAnsi="Arial" w:cs="Arial"/>
          <w:szCs w:val="22"/>
        </w:rPr>
        <w:t xml:space="preserve"> </w:t>
      </w:r>
      <w:r w:rsidRPr="00AF3FEE">
        <w:rPr>
          <w:rFonts w:ascii="Arial" w:hAnsi="Arial" w:cs="Arial"/>
          <w:szCs w:val="22"/>
        </w:rPr>
        <w:t>zagotavljanje pogojev za večmodalnost. Do leta 2024 je bilo vzpostavljenih približno 1000 kilometrov državnih kolesarskih povezav od načrtovanih 3000 kilometrov državnega kolesarskega omrežja. Namenja</w:t>
      </w:r>
      <w:r w:rsidR="00D175B3">
        <w:rPr>
          <w:rFonts w:ascii="Arial" w:hAnsi="Arial" w:cs="Arial"/>
          <w:szCs w:val="22"/>
        </w:rPr>
        <w:t>jo</w:t>
      </w:r>
      <w:r w:rsidRPr="00AF3FEE">
        <w:rPr>
          <w:rFonts w:ascii="Arial" w:hAnsi="Arial" w:cs="Arial"/>
          <w:szCs w:val="22"/>
        </w:rPr>
        <w:t xml:space="preserve"> se finančne spodbude za urejanje infrastrukture za pešce, za izdelavo zasnov infrastrukture za hojo in kolesarjenje v prostorskih aktih, zasnov lokalnih načrtov hodljivosti ter drugih ukrepov za spodbujanje hoje.</w:t>
      </w:r>
    </w:p>
    <w:p w14:paraId="4CB17D80"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povečanje deleža poti z aktivno mobilnostjo</w:t>
      </w:r>
    </w:p>
    <w:p w14:paraId="50286281" w14:textId="493B5939"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F74DDA">
        <w:rPr>
          <w:rStyle w:val="Tekst-VplivUkrepa-SektorjiCharChar"/>
          <w:rFonts w:ascii="Arial" w:hAnsi="Arial" w:cs="Arial"/>
          <w:b w:val="0"/>
          <w:bCs/>
          <w:i w:val="0"/>
          <w:noProof/>
          <w:szCs w:val="22"/>
        </w:rPr>
        <w:t>.</w:t>
      </w:r>
    </w:p>
    <w:p w14:paraId="3857C1E2" w14:textId="1A37F012" w:rsidR="00AF3FEE" w:rsidRPr="00AF3FEE" w:rsidRDefault="00AF3FEE" w:rsidP="00AF3FEE">
      <w:pPr>
        <w:pStyle w:val="BodyText"/>
        <w:rPr>
          <w:rFonts w:ascii="Arial" w:hAnsi="Arial" w:cs="Arial"/>
          <w:szCs w:val="22"/>
        </w:rPr>
      </w:pPr>
      <w:r w:rsidRPr="00AF3FEE">
        <w:rPr>
          <w:rFonts w:ascii="Arial" w:hAnsi="Arial" w:cs="Arial"/>
          <w:szCs w:val="22"/>
        </w:rPr>
        <w:t>Na področju infrastrukture se dodatno predvideva</w:t>
      </w:r>
      <w:r w:rsidR="00D175B3">
        <w:rPr>
          <w:rFonts w:ascii="Arial" w:hAnsi="Arial" w:cs="Arial"/>
          <w:szCs w:val="22"/>
        </w:rPr>
        <w:t>jo</w:t>
      </w:r>
      <w:r w:rsidRPr="00AF3FEE">
        <w:rPr>
          <w:rFonts w:ascii="Arial" w:hAnsi="Arial" w:cs="Arial"/>
          <w:szCs w:val="22"/>
        </w:rPr>
        <w:t xml:space="preserve"> spodbude za gradnjo kakovostne infrastrukture za parkiranje koles ob večjih generatorjih prometa in za gradnjo omrežja polnilnic za električna kolesa. Pripravil</w:t>
      </w:r>
      <w:r w:rsidR="00D175B3">
        <w:rPr>
          <w:rFonts w:ascii="Arial" w:hAnsi="Arial" w:cs="Arial"/>
          <w:szCs w:val="22"/>
        </w:rPr>
        <w:t>a</w:t>
      </w:r>
      <w:r w:rsidRPr="00AF3FEE">
        <w:rPr>
          <w:rFonts w:ascii="Arial" w:hAnsi="Arial" w:cs="Arial"/>
          <w:szCs w:val="22"/>
        </w:rPr>
        <w:t xml:space="preserve"> se bo zakonodaj</w:t>
      </w:r>
      <w:r w:rsidR="00D175B3">
        <w:rPr>
          <w:rFonts w:ascii="Arial" w:hAnsi="Arial" w:cs="Arial"/>
          <w:szCs w:val="22"/>
        </w:rPr>
        <w:t>a</w:t>
      </w:r>
      <w:r w:rsidRPr="00AF3FEE">
        <w:rPr>
          <w:rFonts w:ascii="Arial" w:hAnsi="Arial" w:cs="Arial"/>
          <w:szCs w:val="22"/>
        </w:rPr>
        <w:t>, ki bi za novogradnje predpisovala minimalne parkirne normative za kolesa, vključno s polnilno infrastrukturo za e-kolesa, v skladu z Evropsko direktivo o energetski učinkovitosti stavb. Stremi se k umeščanj</w:t>
      </w:r>
      <w:r w:rsidR="00D175B3">
        <w:rPr>
          <w:rFonts w:ascii="Arial" w:hAnsi="Arial" w:cs="Arial"/>
          <w:szCs w:val="22"/>
        </w:rPr>
        <w:t>u</w:t>
      </w:r>
      <w:r w:rsidRPr="00AF3FEE">
        <w:rPr>
          <w:rFonts w:ascii="Arial" w:hAnsi="Arial" w:cs="Arial"/>
          <w:szCs w:val="22"/>
        </w:rPr>
        <w:t xml:space="preserve"> državnega kolesarskega omrežja </w:t>
      </w:r>
      <w:r w:rsidR="00D175B3">
        <w:rPr>
          <w:rFonts w:ascii="Arial" w:hAnsi="Arial" w:cs="Arial"/>
          <w:szCs w:val="22"/>
        </w:rPr>
        <w:t>v</w:t>
      </w:r>
      <w:r w:rsidRPr="00AF3FEE">
        <w:rPr>
          <w:rFonts w:ascii="Arial" w:hAnsi="Arial" w:cs="Arial"/>
          <w:szCs w:val="22"/>
        </w:rPr>
        <w:t xml:space="preserve"> nov</w:t>
      </w:r>
      <w:r w:rsidR="00D175B3">
        <w:rPr>
          <w:rFonts w:ascii="Arial" w:hAnsi="Arial" w:cs="Arial"/>
          <w:szCs w:val="22"/>
        </w:rPr>
        <w:t>o</w:t>
      </w:r>
      <w:r w:rsidRPr="00AF3FEE">
        <w:rPr>
          <w:rFonts w:ascii="Arial" w:hAnsi="Arial" w:cs="Arial"/>
          <w:szCs w:val="22"/>
        </w:rPr>
        <w:t xml:space="preserve"> železnišk</w:t>
      </w:r>
      <w:r w:rsidR="00D175B3">
        <w:rPr>
          <w:rFonts w:ascii="Arial" w:hAnsi="Arial" w:cs="Arial"/>
          <w:szCs w:val="22"/>
        </w:rPr>
        <w:t>o</w:t>
      </w:r>
      <w:r w:rsidRPr="00AF3FEE">
        <w:rPr>
          <w:rFonts w:ascii="Arial" w:hAnsi="Arial" w:cs="Arial"/>
          <w:szCs w:val="22"/>
        </w:rPr>
        <w:t xml:space="preserve"> infrastruktur</w:t>
      </w:r>
      <w:r w:rsidR="00D175B3">
        <w:rPr>
          <w:rFonts w:ascii="Arial" w:hAnsi="Arial" w:cs="Arial"/>
          <w:szCs w:val="22"/>
        </w:rPr>
        <w:t>o</w:t>
      </w:r>
      <w:r w:rsidRPr="00AF3FEE">
        <w:rPr>
          <w:rFonts w:ascii="Arial" w:hAnsi="Arial" w:cs="Arial"/>
          <w:szCs w:val="22"/>
        </w:rPr>
        <w:t xml:space="preserve">, kjer je to </w:t>
      </w:r>
      <w:r w:rsidR="004F2B0D">
        <w:rPr>
          <w:rFonts w:ascii="Arial" w:hAnsi="Arial" w:cs="Arial"/>
          <w:szCs w:val="22"/>
        </w:rPr>
        <w:t xml:space="preserve">mogoče </w:t>
      </w:r>
      <w:r w:rsidRPr="00AF3FEE">
        <w:rPr>
          <w:rFonts w:ascii="Arial" w:hAnsi="Arial" w:cs="Arial"/>
          <w:szCs w:val="22"/>
        </w:rPr>
        <w:t xml:space="preserve">ter ob upoštevanju </w:t>
      </w:r>
      <w:r w:rsidRPr="00AF3FEE">
        <w:rPr>
          <w:rFonts w:ascii="Arial" w:hAnsi="Arial" w:cs="Arial"/>
          <w:szCs w:val="22"/>
        </w:rPr>
        <w:lastRenderedPageBreak/>
        <w:t xml:space="preserve">varnostnih in vzdrževalnih potreb železniške infrastrukture. Dodatno se v okviru strokovnih podlag za regionalne prostorske </w:t>
      </w:r>
      <w:r w:rsidR="00DC3569">
        <w:rPr>
          <w:rFonts w:ascii="Arial" w:hAnsi="Arial" w:cs="Arial"/>
          <w:szCs w:val="22"/>
        </w:rPr>
        <w:t xml:space="preserve">načrte </w:t>
      </w:r>
      <w:r w:rsidRPr="00AF3FEE">
        <w:rPr>
          <w:rFonts w:ascii="Arial" w:hAnsi="Arial" w:cs="Arial"/>
          <w:szCs w:val="22"/>
        </w:rPr>
        <w:t>preuči</w:t>
      </w:r>
      <w:r w:rsidR="00D175B3">
        <w:rPr>
          <w:rFonts w:ascii="Arial" w:hAnsi="Arial" w:cs="Arial"/>
          <w:szCs w:val="22"/>
        </w:rPr>
        <w:t>jo</w:t>
      </w:r>
      <w:r w:rsidRPr="00AF3FEE">
        <w:rPr>
          <w:rFonts w:ascii="Arial" w:hAnsi="Arial" w:cs="Arial"/>
          <w:szCs w:val="22"/>
        </w:rPr>
        <w:t xml:space="preserve"> </w:t>
      </w:r>
      <w:r w:rsidR="00F74DDA">
        <w:rPr>
          <w:rFonts w:ascii="Arial" w:hAnsi="Arial" w:cs="Arial"/>
          <w:szCs w:val="22"/>
        </w:rPr>
        <w:t xml:space="preserve">možnosti </w:t>
      </w:r>
      <w:r w:rsidRPr="00AF3FEE">
        <w:rPr>
          <w:rFonts w:ascii="Arial" w:hAnsi="Arial" w:cs="Arial"/>
          <w:szCs w:val="22"/>
        </w:rPr>
        <w:t>in učink</w:t>
      </w:r>
      <w:r w:rsidR="00D175B3">
        <w:rPr>
          <w:rFonts w:ascii="Arial" w:hAnsi="Arial" w:cs="Arial"/>
          <w:szCs w:val="22"/>
        </w:rPr>
        <w:t>i</w:t>
      </w:r>
      <w:r w:rsidRPr="00AF3FEE">
        <w:rPr>
          <w:rFonts w:ascii="Arial" w:hAnsi="Arial" w:cs="Arial"/>
          <w:szCs w:val="22"/>
        </w:rPr>
        <w:t xml:space="preserve"> gradnje zmogljivejših kolesarskih povezav v gravitacijskem zaledju mestnih občin ter izdela</w:t>
      </w:r>
      <w:r w:rsidR="00D175B3">
        <w:rPr>
          <w:rFonts w:ascii="Arial" w:hAnsi="Arial" w:cs="Arial"/>
          <w:szCs w:val="22"/>
        </w:rPr>
        <w:t>jo</w:t>
      </w:r>
      <w:r w:rsidRPr="00AF3FEE">
        <w:rPr>
          <w:rFonts w:ascii="Arial" w:hAnsi="Arial" w:cs="Arial"/>
          <w:szCs w:val="22"/>
        </w:rPr>
        <w:t xml:space="preserve"> zasnove omrežij. </w:t>
      </w:r>
      <w:r w:rsidR="00CC2786">
        <w:rPr>
          <w:rFonts w:ascii="Arial" w:hAnsi="Arial" w:cs="Arial"/>
          <w:szCs w:val="22"/>
        </w:rPr>
        <w:t xml:space="preserve">V skladu </w:t>
      </w:r>
      <w:r w:rsidRPr="00AF3FEE">
        <w:rPr>
          <w:rFonts w:ascii="Arial" w:hAnsi="Arial" w:cs="Arial"/>
          <w:szCs w:val="22"/>
        </w:rPr>
        <w:t>s tem se dopolni</w:t>
      </w:r>
      <w:r w:rsidR="00D175B3">
        <w:rPr>
          <w:rFonts w:ascii="Arial" w:hAnsi="Arial" w:cs="Arial"/>
          <w:szCs w:val="22"/>
        </w:rPr>
        <w:t>jo</w:t>
      </w:r>
      <w:r w:rsidRPr="00AF3FEE">
        <w:rPr>
          <w:rFonts w:ascii="Arial" w:hAnsi="Arial" w:cs="Arial"/>
          <w:szCs w:val="22"/>
        </w:rPr>
        <w:t xml:space="preserve"> predpis</w:t>
      </w:r>
      <w:r w:rsidR="00D175B3">
        <w:rPr>
          <w:rFonts w:ascii="Arial" w:hAnsi="Arial" w:cs="Arial"/>
          <w:szCs w:val="22"/>
        </w:rPr>
        <w:t>i</w:t>
      </w:r>
      <w:r w:rsidRPr="00AF3FEE">
        <w:rPr>
          <w:rFonts w:ascii="Arial" w:hAnsi="Arial" w:cs="Arial"/>
          <w:szCs w:val="22"/>
        </w:rPr>
        <w:t xml:space="preserve"> in standard</w:t>
      </w:r>
      <w:r w:rsidR="00D175B3">
        <w:rPr>
          <w:rFonts w:ascii="Arial" w:hAnsi="Arial" w:cs="Arial"/>
          <w:szCs w:val="22"/>
        </w:rPr>
        <w:t>i</w:t>
      </w:r>
      <w:r w:rsidRPr="00AF3FEE">
        <w:rPr>
          <w:rFonts w:ascii="Arial" w:hAnsi="Arial" w:cs="Arial"/>
          <w:szCs w:val="22"/>
        </w:rPr>
        <w:t xml:space="preserve"> za projektiranje kolesarskih površin. Namen je spodbujanje kolesarjenja kot dnevne mobilnosti med občinami, z </w:t>
      </w:r>
      <w:r w:rsidR="00D175B3">
        <w:rPr>
          <w:rFonts w:ascii="Arial" w:hAnsi="Arial" w:cs="Arial"/>
          <w:szCs w:val="22"/>
        </w:rPr>
        <w:t>boljšimi</w:t>
      </w:r>
      <w:r w:rsidRPr="00AF3FEE">
        <w:rPr>
          <w:rFonts w:ascii="Arial" w:hAnsi="Arial" w:cs="Arial"/>
          <w:szCs w:val="22"/>
        </w:rPr>
        <w:t xml:space="preserve"> uslug</w:t>
      </w:r>
      <w:r w:rsidR="00D175B3">
        <w:rPr>
          <w:rFonts w:ascii="Arial" w:hAnsi="Arial" w:cs="Arial"/>
          <w:szCs w:val="22"/>
        </w:rPr>
        <w:t>ami</w:t>
      </w:r>
      <w:r w:rsidRPr="00AF3FEE">
        <w:rPr>
          <w:rFonts w:ascii="Arial" w:hAnsi="Arial" w:cs="Arial"/>
          <w:szCs w:val="22"/>
        </w:rPr>
        <w:t xml:space="preserve"> zaradi čim bolj </w:t>
      </w:r>
      <w:r w:rsidR="00F74DDA">
        <w:rPr>
          <w:rFonts w:ascii="Arial" w:hAnsi="Arial" w:cs="Arial"/>
          <w:szCs w:val="22"/>
        </w:rPr>
        <w:t>neposrednega</w:t>
      </w:r>
      <w:r w:rsidR="00F74DDA" w:rsidRPr="00AF3FEE">
        <w:rPr>
          <w:rFonts w:ascii="Arial" w:hAnsi="Arial" w:cs="Arial"/>
          <w:szCs w:val="22"/>
        </w:rPr>
        <w:t xml:space="preserve"> </w:t>
      </w:r>
      <w:r w:rsidRPr="00AF3FEE">
        <w:rPr>
          <w:rFonts w:ascii="Arial" w:hAnsi="Arial" w:cs="Arial"/>
          <w:szCs w:val="22"/>
        </w:rPr>
        <w:t xml:space="preserve">poteka, manjšega števila križanja in </w:t>
      </w:r>
      <w:r w:rsidR="00D175B3">
        <w:rPr>
          <w:rFonts w:ascii="Arial" w:hAnsi="Arial" w:cs="Arial"/>
          <w:szCs w:val="22"/>
        </w:rPr>
        <w:t>širših</w:t>
      </w:r>
      <w:r w:rsidRPr="00AF3FEE">
        <w:rPr>
          <w:rFonts w:ascii="Arial" w:hAnsi="Arial" w:cs="Arial"/>
          <w:szCs w:val="22"/>
        </w:rPr>
        <w:t xml:space="preserve"> poti pa je cilj zmanjšanje potovalnega časa za dnevno mobilnost </w:t>
      </w:r>
      <w:r w:rsidR="00D175B3">
        <w:rPr>
          <w:rFonts w:ascii="Arial" w:hAnsi="Arial" w:cs="Arial"/>
          <w:szCs w:val="22"/>
        </w:rPr>
        <w:t>ter</w:t>
      </w:r>
      <w:r w:rsidR="00D175B3" w:rsidRPr="00AF3FEE">
        <w:rPr>
          <w:rFonts w:ascii="Arial" w:hAnsi="Arial" w:cs="Arial"/>
          <w:szCs w:val="22"/>
        </w:rPr>
        <w:t xml:space="preserve"> </w:t>
      </w:r>
      <w:r w:rsidRPr="00AF3FEE">
        <w:rPr>
          <w:rFonts w:ascii="Arial" w:hAnsi="Arial" w:cs="Arial"/>
          <w:szCs w:val="22"/>
        </w:rPr>
        <w:t>povečanje privlačnosti in udobja kolesarjenja. Dodatno je predviden sklop ukrepov na področju spodbujanja aktivne mobilnosti, ki predvideva finančne spodbude za aktivno opravljanje poti na delo, kot je dobra praksa že v mnogih evropskih državah. Nadaljuje</w:t>
      </w:r>
      <w:r w:rsidR="00D175B3">
        <w:rPr>
          <w:rFonts w:ascii="Arial" w:hAnsi="Arial" w:cs="Arial"/>
          <w:szCs w:val="22"/>
        </w:rPr>
        <w:t>ta</w:t>
      </w:r>
      <w:r w:rsidRPr="00AF3FEE">
        <w:rPr>
          <w:rFonts w:ascii="Arial" w:hAnsi="Arial" w:cs="Arial"/>
          <w:szCs w:val="22"/>
        </w:rPr>
        <w:t xml:space="preserve"> se tudi shem</w:t>
      </w:r>
      <w:r w:rsidR="00D175B3">
        <w:rPr>
          <w:rFonts w:ascii="Arial" w:hAnsi="Arial" w:cs="Arial"/>
          <w:szCs w:val="22"/>
        </w:rPr>
        <w:t>a</w:t>
      </w:r>
      <w:r w:rsidRPr="00AF3FEE">
        <w:rPr>
          <w:rFonts w:ascii="Arial" w:hAnsi="Arial" w:cs="Arial"/>
          <w:szCs w:val="22"/>
        </w:rPr>
        <w:t xml:space="preserve"> podpor za nakup koles (od leta 2024 so na voljo subvencije za nakup električnih koles) ter izvajanje promocijskih kampanj za spodbujanje hoje in kolesarjenja (</w:t>
      </w:r>
      <w:r w:rsidR="004F2B0D">
        <w:rPr>
          <w:rFonts w:ascii="Arial" w:hAnsi="Arial" w:cs="Arial"/>
          <w:szCs w:val="22"/>
        </w:rPr>
        <w:t>na primer</w:t>
      </w:r>
      <w:r w:rsidRPr="00AF3FEE">
        <w:rPr>
          <w:rFonts w:ascii="Arial" w:hAnsi="Arial" w:cs="Arial"/>
          <w:szCs w:val="22"/>
        </w:rPr>
        <w:t xml:space="preserve"> kampanja Polni zagona). Na področju umirjanja prometa se nadaljuje uvajanje območij z omejenim motornim prometom v naseljih – Zakon o celostnem prometnem načrtovanju občinam že narekuje pripravo strokovnih podlag za območja prijaznega prometa. Prav tako se nadaljuje</w:t>
      </w:r>
      <w:r w:rsidR="00D175B3">
        <w:rPr>
          <w:rFonts w:ascii="Arial" w:hAnsi="Arial" w:cs="Arial"/>
          <w:szCs w:val="22"/>
        </w:rPr>
        <w:t>jo</w:t>
      </w:r>
      <w:r w:rsidRPr="00AF3FEE">
        <w:rPr>
          <w:rFonts w:ascii="Arial" w:hAnsi="Arial" w:cs="Arial"/>
          <w:szCs w:val="22"/>
        </w:rPr>
        <w:t xml:space="preserve"> ukrepi umirjanja prometa </w:t>
      </w:r>
      <w:r w:rsidR="00D175B3">
        <w:rPr>
          <w:rFonts w:ascii="Arial" w:hAnsi="Arial" w:cs="Arial"/>
          <w:szCs w:val="22"/>
        </w:rPr>
        <w:t>na</w:t>
      </w:r>
      <w:r w:rsidR="00D175B3" w:rsidRPr="00AF3FEE">
        <w:rPr>
          <w:rFonts w:ascii="Arial" w:hAnsi="Arial" w:cs="Arial"/>
          <w:szCs w:val="22"/>
        </w:rPr>
        <w:t xml:space="preserve"> </w:t>
      </w:r>
      <w:r w:rsidRPr="00AF3FEE">
        <w:rPr>
          <w:rFonts w:ascii="Arial" w:hAnsi="Arial" w:cs="Arial"/>
          <w:szCs w:val="22"/>
        </w:rPr>
        <w:t>alpskih območjih, aktivnosti se že izvajajo v nekaterih alpskih dolinah, kot so Vrata</w:t>
      </w:r>
      <w:r w:rsidR="00D175B3">
        <w:rPr>
          <w:rFonts w:ascii="Arial" w:hAnsi="Arial" w:cs="Arial"/>
          <w:szCs w:val="22"/>
        </w:rPr>
        <w:t>,</w:t>
      </w:r>
      <w:r w:rsidRPr="00AF3FEE">
        <w:rPr>
          <w:rFonts w:ascii="Arial" w:hAnsi="Arial" w:cs="Arial"/>
          <w:szCs w:val="22"/>
        </w:rPr>
        <w:t xml:space="preserve"> in na alpskih cestah, kot je prelaz Vršič. Po zgledu mnogih evropskih držav se bo</w:t>
      </w:r>
      <w:r w:rsidR="00BA13B0">
        <w:rPr>
          <w:rFonts w:ascii="Arial" w:hAnsi="Arial" w:cs="Arial"/>
          <w:szCs w:val="22"/>
        </w:rPr>
        <w:t>do</w:t>
      </w:r>
      <w:r w:rsidRPr="00AF3FEE">
        <w:rPr>
          <w:rFonts w:ascii="Arial" w:hAnsi="Arial" w:cs="Arial"/>
          <w:szCs w:val="22"/>
        </w:rPr>
        <w:t xml:space="preserve"> </w:t>
      </w:r>
      <w:r w:rsidR="00BA13B0">
        <w:rPr>
          <w:rFonts w:ascii="Arial" w:hAnsi="Arial" w:cs="Arial"/>
          <w:szCs w:val="22"/>
        </w:rPr>
        <w:t xml:space="preserve">začele </w:t>
      </w:r>
      <w:r w:rsidRPr="00AF3FEE">
        <w:rPr>
          <w:rFonts w:ascii="Arial" w:hAnsi="Arial" w:cs="Arial"/>
          <w:szCs w:val="22"/>
        </w:rPr>
        <w:t>aktivnosti za preučitev učinkov in izvedbo znižanja dovoljene hitrosti v naseljih na 30 km/h. Gre za ukrep, ki zelo pozitivno prispeva k večji varnosti vseh udeležencev v prometu, zlasti pešcev in kolesarjev. Občinam so že na voljo sredstva za umirjanje prometa na državnih cestah skozi naselja.</w:t>
      </w:r>
    </w:p>
    <w:p w14:paraId="19B5DED5"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Ukrepi za bolj trajnostno uporabo osebnih motornih vozil</w:t>
      </w:r>
    </w:p>
    <w:p w14:paraId="71326226" w14:textId="6F019E67"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BA13B0">
        <w:rPr>
          <w:rStyle w:val="Tekst-VplivUkrepa-SektorjiCharChar"/>
          <w:rFonts w:ascii="Arial" w:hAnsi="Arial" w:cs="Arial"/>
          <w:b w:val="0"/>
          <w:bCs/>
          <w:i w:val="0"/>
          <w:noProof/>
          <w:szCs w:val="22"/>
        </w:rPr>
        <w:t>.</w:t>
      </w:r>
    </w:p>
    <w:p w14:paraId="34EC44AA" w14:textId="051D2022" w:rsidR="00AF3FEE" w:rsidRPr="00AF3FEE" w:rsidRDefault="00AF3FEE" w:rsidP="00AF3FEE">
      <w:pPr>
        <w:pStyle w:val="BodyText"/>
        <w:rPr>
          <w:rFonts w:ascii="Arial" w:hAnsi="Arial" w:cs="Arial"/>
          <w:szCs w:val="22"/>
        </w:rPr>
      </w:pPr>
      <w:r w:rsidRPr="00AF3FEE">
        <w:rPr>
          <w:rFonts w:ascii="Arial" w:hAnsi="Arial" w:cs="Arial"/>
          <w:szCs w:val="22"/>
        </w:rPr>
        <w:t>Nadaljuje</w:t>
      </w:r>
      <w:r w:rsidR="002D70DD">
        <w:rPr>
          <w:rFonts w:ascii="Arial" w:hAnsi="Arial" w:cs="Arial"/>
          <w:szCs w:val="22"/>
        </w:rPr>
        <w:t>jo</w:t>
      </w:r>
      <w:r w:rsidRPr="00AF3FEE">
        <w:rPr>
          <w:rFonts w:ascii="Arial" w:hAnsi="Arial" w:cs="Arial"/>
          <w:szCs w:val="22"/>
        </w:rPr>
        <w:t xml:space="preserve"> in nadgrajuje</w:t>
      </w:r>
      <w:r w:rsidR="002D70DD">
        <w:rPr>
          <w:rFonts w:ascii="Arial" w:hAnsi="Arial" w:cs="Arial"/>
          <w:szCs w:val="22"/>
        </w:rPr>
        <w:t>jo</w:t>
      </w:r>
      <w:r w:rsidRPr="00AF3FEE">
        <w:rPr>
          <w:rFonts w:ascii="Arial" w:hAnsi="Arial" w:cs="Arial"/>
          <w:szCs w:val="22"/>
        </w:rPr>
        <w:t xml:space="preserve"> se aktivnosti upravljanja parkiranja v urbanih, turističnih in zavarovanih območjih. MOPE je v </w:t>
      </w:r>
      <w:r w:rsidR="002D70DD" w:rsidRPr="00AF3FEE">
        <w:rPr>
          <w:rFonts w:ascii="Arial" w:hAnsi="Arial" w:cs="Arial"/>
          <w:szCs w:val="22"/>
        </w:rPr>
        <w:t>let</w:t>
      </w:r>
      <w:r w:rsidR="002D70DD">
        <w:rPr>
          <w:rFonts w:ascii="Arial" w:hAnsi="Arial" w:cs="Arial"/>
          <w:szCs w:val="22"/>
        </w:rPr>
        <w:t>ih</w:t>
      </w:r>
      <w:r w:rsidR="002D70DD" w:rsidRPr="00AF3FEE">
        <w:rPr>
          <w:rFonts w:ascii="Arial" w:hAnsi="Arial" w:cs="Arial"/>
          <w:szCs w:val="22"/>
        </w:rPr>
        <w:t xml:space="preserve"> </w:t>
      </w:r>
      <w:r w:rsidRPr="00AF3FEE">
        <w:rPr>
          <w:rFonts w:ascii="Arial" w:hAnsi="Arial" w:cs="Arial"/>
          <w:szCs w:val="22"/>
        </w:rPr>
        <w:t>2022 in 2023 izvajal projekt Trajnostna parkirna politika, v okviru katerega so bil</w:t>
      </w:r>
      <w:r w:rsidR="00BA13B0">
        <w:rPr>
          <w:rFonts w:ascii="Arial" w:hAnsi="Arial" w:cs="Arial"/>
          <w:szCs w:val="22"/>
        </w:rPr>
        <w:t>i</w:t>
      </w:r>
      <w:r w:rsidRPr="00AF3FEE">
        <w:rPr>
          <w:rFonts w:ascii="Arial" w:hAnsi="Arial" w:cs="Arial"/>
          <w:szCs w:val="22"/>
        </w:rPr>
        <w:t xml:space="preserve"> pripravljen</w:t>
      </w:r>
      <w:r w:rsidR="002D70DD">
        <w:rPr>
          <w:rFonts w:ascii="Arial" w:hAnsi="Arial" w:cs="Arial"/>
          <w:szCs w:val="22"/>
        </w:rPr>
        <w:t>i</w:t>
      </w:r>
      <w:r w:rsidRPr="00AF3FEE">
        <w:rPr>
          <w:rFonts w:ascii="Arial" w:hAnsi="Arial" w:cs="Arial"/>
          <w:szCs w:val="22"/>
        </w:rPr>
        <w:t xml:space="preserve"> nacionalne smernice za izdelavo načrtov izvajanja parkirne politike, nacionalni strateški okvir za parkirno politiko ter podlage za digitalizacijo izvajanja parkirne politike. Maksimalni parkirni standardi ostajajo ukrep, ki bi imel pomembne učinke na upravljanje ponudbe parkirnih mest. </w:t>
      </w:r>
    </w:p>
    <w:p w14:paraId="67130725"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bolj trajnostno uporabo osebnih motornih vozil</w:t>
      </w:r>
    </w:p>
    <w:p w14:paraId="60060B07" w14:textId="49667112"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i w:val="0"/>
          <w:szCs w:val="22"/>
        </w:rPr>
        <w:t xml:space="preserve"> </w:t>
      </w:r>
      <w:r w:rsidRPr="00407339">
        <w:rPr>
          <w:rStyle w:val="Tekst-VplivUkrepa-SektorjiCharChar"/>
          <w:rFonts w:ascii="Arial" w:hAnsi="Arial" w:cs="Arial"/>
          <w:b w:val="0"/>
          <w:bCs/>
          <w:i w:val="0"/>
          <w:noProof/>
          <w:szCs w:val="22"/>
        </w:rPr>
        <w:t>promet</w:t>
      </w:r>
      <w:r w:rsidR="00BA13B0">
        <w:rPr>
          <w:rStyle w:val="Tekst-VplivUkrepa-SektorjiCharChar"/>
          <w:rFonts w:ascii="Arial" w:hAnsi="Arial" w:cs="Arial"/>
          <w:b w:val="0"/>
          <w:bCs/>
          <w:i w:val="0"/>
          <w:noProof/>
          <w:szCs w:val="22"/>
        </w:rPr>
        <w:t>.</w:t>
      </w:r>
    </w:p>
    <w:p w14:paraId="62E1FDA8" w14:textId="5347AEAC" w:rsidR="00AF3FEE" w:rsidRPr="00AF3FEE" w:rsidRDefault="00AF3FEE" w:rsidP="00AF3FEE">
      <w:pPr>
        <w:pStyle w:val="BodyText"/>
        <w:rPr>
          <w:rFonts w:ascii="Arial" w:hAnsi="Arial" w:cs="Arial"/>
          <w:szCs w:val="22"/>
          <w:u w:val="single"/>
        </w:rPr>
      </w:pPr>
      <w:r w:rsidRPr="00AF3FEE">
        <w:rPr>
          <w:rFonts w:ascii="Arial" w:hAnsi="Arial" w:cs="Arial"/>
          <w:szCs w:val="22"/>
        </w:rPr>
        <w:t>Preučiti je treba možnosti in učinke uvedbe mestne takse (ang</w:t>
      </w:r>
      <w:r w:rsidR="00BA13B0">
        <w:rPr>
          <w:rFonts w:ascii="Arial" w:hAnsi="Arial" w:cs="Arial"/>
          <w:szCs w:val="22"/>
        </w:rPr>
        <w:t>l</w:t>
      </w:r>
      <w:r w:rsidRPr="00AF3FEE">
        <w:rPr>
          <w:rFonts w:ascii="Arial" w:hAnsi="Arial" w:cs="Arial"/>
          <w:szCs w:val="22"/>
        </w:rPr>
        <w:t xml:space="preserve">. congestion charge) za vstop z motornimi vozili v Ljubljano in Maribor, kar bi zajemalo raziskavo, zakonodajne rešitve </w:t>
      </w:r>
      <w:r w:rsidR="009C3AFF">
        <w:rPr>
          <w:rFonts w:ascii="Arial" w:hAnsi="Arial" w:cs="Arial"/>
          <w:szCs w:val="22"/>
        </w:rPr>
        <w:t xml:space="preserve">ter </w:t>
      </w:r>
      <w:r w:rsidRPr="00AF3FEE">
        <w:rPr>
          <w:rFonts w:ascii="Arial" w:hAnsi="Arial" w:cs="Arial"/>
          <w:szCs w:val="22"/>
        </w:rPr>
        <w:t xml:space="preserve">določitev prejemnikov </w:t>
      </w:r>
      <w:r w:rsidR="009C3AFF">
        <w:rPr>
          <w:rFonts w:ascii="Arial" w:hAnsi="Arial" w:cs="Arial"/>
          <w:szCs w:val="22"/>
        </w:rPr>
        <w:t>in</w:t>
      </w:r>
      <w:r w:rsidR="009C3AFF" w:rsidRPr="00AF3FEE">
        <w:rPr>
          <w:rFonts w:ascii="Arial" w:hAnsi="Arial" w:cs="Arial"/>
          <w:szCs w:val="22"/>
        </w:rPr>
        <w:t xml:space="preserve"> </w:t>
      </w:r>
      <w:r w:rsidRPr="00AF3FEE">
        <w:rPr>
          <w:rFonts w:ascii="Arial" w:hAnsi="Arial" w:cs="Arial"/>
          <w:szCs w:val="22"/>
        </w:rPr>
        <w:t>namenov zbranih sredstev.</w:t>
      </w:r>
    </w:p>
    <w:p w14:paraId="12CD0860" w14:textId="0004E503" w:rsidR="00AF3FEE" w:rsidRPr="00AF3FEE" w:rsidRDefault="00AF3FEE" w:rsidP="00AF3FEE">
      <w:pPr>
        <w:pStyle w:val="BodyText"/>
        <w:rPr>
          <w:rFonts w:ascii="Arial" w:hAnsi="Arial" w:cs="Arial"/>
          <w:szCs w:val="22"/>
        </w:rPr>
      </w:pPr>
      <w:r w:rsidRPr="00AF3FEE">
        <w:rPr>
          <w:rFonts w:ascii="Arial" w:hAnsi="Arial" w:cs="Arial"/>
          <w:szCs w:val="22"/>
        </w:rPr>
        <w:t xml:space="preserve">Upravljanje parkiranja je eden od </w:t>
      </w:r>
      <w:r w:rsidR="00BA13B0">
        <w:rPr>
          <w:rFonts w:ascii="Arial" w:hAnsi="Arial" w:cs="Arial"/>
          <w:szCs w:val="22"/>
        </w:rPr>
        <w:t>najučinkovitejših</w:t>
      </w:r>
      <w:r w:rsidRPr="00AF3FEE">
        <w:rPr>
          <w:rFonts w:ascii="Arial" w:hAnsi="Arial" w:cs="Arial"/>
          <w:szCs w:val="22"/>
        </w:rPr>
        <w:t xml:space="preserve"> ukrepov za spreminjanje potovalnih navad in kakovost bivanja, zato je na področju parkirne politike več dodatnih ukrepov, kot so zmanjševanje števila parkirnih mest na javnih površinah in spodbude za pripravo občinskih načrtov za izvajanje parkirne politike. Za mestne občine bodo ti načrti po Zakonu o celostnem prometnem načrtovanju obvezni.</w:t>
      </w:r>
    </w:p>
    <w:p w14:paraId="5EC70564" w14:textId="4EAAE438" w:rsidR="00AF3FEE" w:rsidRPr="00AF3FEE" w:rsidRDefault="00AF3FEE" w:rsidP="00AF3FEE">
      <w:pPr>
        <w:pStyle w:val="BodyText"/>
        <w:rPr>
          <w:rFonts w:ascii="Arial" w:hAnsi="Arial" w:cs="Arial"/>
          <w:szCs w:val="22"/>
        </w:rPr>
      </w:pPr>
      <w:r w:rsidRPr="00AF3FEE">
        <w:rPr>
          <w:rFonts w:ascii="Arial" w:hAnsi="Arial" w:cs="Arial"/>
          <w:szCs w:val="22"/>
        </w:rPr>
        <w:t>Predvidena je večja skupina ukrepov za spodbujanje učinkovitejš</w:t>
      </w:r>
      <w:r w:rsidR="009C3AFF">
        <w:rPr>
          <w:rFonts w:ascii="Arial" w:hAnsi="Arial" w:cs="Arial"/>
          <w:szCs w:val="22"/>
        </w:rPr>
        <w:t>e</w:t>
      </w:r>
      <w:r w:rsidRPr="00AF3FEE">
        <w:rPr>
          <w:rFonts w:ascii="Arial" w:hAnsi="Arial" w:cs="Arial"/>
          <w:szCs w:val="22"/>
        </w:rPr>
        <w:t xml:space="preserve"> rab</w:t>
      </w:r>
      <w:r w:rsidR="009C3AFF">
        <w:rPr>
          <w:rFonts w:ascii="Arial" w:hAnsi="Arial" w:cs="Arial"/>
          <w:szCs w:val="22"/>
        </w:rPr>
        <w:t>e</w:t>
      </w:r>
      <w:r w:rsidRPr="00AF3FEE">
        <w:rPr>
          <w:rFonts w:ascii="Arial" w:hAnsi="Arial" w:cs="Arial"/>
          <w:szCs w:val="22"/>
        </w:rPr>
        <w:t xml:space="preserve"> avtomobila. Med njimi je na primer uvajanje oblik spodbujanja opuščanja lastnih vozil za gospodinjstva. Načrtovani so ukrepi za spodbujanje sopotništva z namenom povečanja zasedenosti avtomobilov, kot so posodobitev zakonodaje za ureditev sopotništva (zakonsko omogočanje takih prevozov in regulacija na področju varnosti potnikov), podpor</w:t>
      </w:r>
      <w:r w:rsidR="005D373B">
        <w:rPr>
          <w:rFonts w:ascii="Arial" w:hAnsi="Arial" w:cs="Arial"/>
          <w:szCs w:val="22"/>
        </w:rPr>
        <w:t>a</w:t>
      </w:r>
      <w:r w:rsidRPr="00AF3FEE">
        <w:rPr>
          <w:rFonts w:ascii="Arial" w:hAnsi="Arial" w:cs="Arial"/>
          <w:szCs w:val="22"/>
        </w:rPr>
        <w:t xml:space="preserve"> za širitev sistemov za souporabo avtomobilov in platform za sopotništvo, vzpostavitev parkirišč za sopotništvo (zakonske podlage, finančna sredstva) in </w:t>
      </w:r>
      <w:r w:rsidR="005D373B">
        <w:rPr>
          <w:rFonts w:ascii="Arial" w:hAnsi="Arial" w:cs="Arial"/>
          <w:szCs w:val="22"/>
        </w:rPr>
        <w:t>povezava</w:t>
      </w:r>
      <w:r w:rsidR="005D373B" w:rsidRPr="00AF3FEE">
        <w:rPr>
          <w:rFonts w:ascii="Arial" w:hAnsi="Arial" w:cs="Arial"/>
          <w:szCs w:val="22"/>
        </w:rPr>
        <w:t xml:space="preserve"> </w:t>
      </w:r>
      <w:r w:rsidRPr="00AF3FEE">
        <w:rPr>
          <w:rFonts w:ascii="Arial" w:hAnsi="Arial" w:cs="Arial"/>
          <w:szCs w:val="22"/>
        </w:rPr>
        <w:t xml:space="preserve">z drugimi oblikami mobilnostnih točk, podpora pri razvoju in uporabi tehnoloških rešitev za sopotništvo (na primer aplikacij za iskanje sopotnikov) </w:t>
      </w:r>
      <w:r w:rsidRPr="00AF3FEE">
        <w:rPr>
          <w:rFonts w:ascii="Arial" w:hAnsi="Arial" w:cs="Arial"/>
          <w:szCs w:val="22"/>
        </w:rPr>
        <w:lastRenderedPageBreak/>
        <w:t>ter priprava študije, pravnih podlag in uvedba omejitve uporabe posameznih prometnih pasov na avtocestah za vozila z več potniki. Podpiral</w:t>
      </w:r>
      <w:r w:rsidR="005D373B">
        <w:rPr>
          <w:rFonts w:ascii="Arial" w:hAnsi="Arial" w:cs="Arial"/>
          <w:szCs w:val="22"/>
        </w:rPr>
        <w:t>a</w:t>
      </w:r>
      <w:r w:rsidRPr="00AF3FEE">
        <w:rPr>
          <w:rFonts w:ascii="Arial" w:hAnsi="Arial" w:cs="Arial"/>
          <w:szCs w:val="22"/>
        </w:rPr>
        <w:t xml:space="preserve"> se bo širitev sistemov za souporabo avtomobilov. Podobno kot za znižanje hitrosti v naseljih se bo</w:t>
      </w:r>
      <w:r w:rsidR="005D373B">
        <w:rPr>
          <w:rFonts w:ascii="Arial" w:hAnsi="Arial" w:cs="Arial"/>
          <w:szCs w:val="22"/>
        </w:rPr>
        <w:t>do</w:t>
      </w:r>
      <w:r w:rsidRPr="00AF3FEE">
        <w:rPr>
          <w:rFonts w:ascii="Arial" w:hAnsi="Arial" w:cs="Arial"/>
          <w:szCs w:val="22"/>
        </w:rPr>
        <w:t xml:space="preserve"> preučil</w:t>
      </w:r>
      <w:r w:rsidR="005D373B">
        <w:rPr>
          <w:rFonts w:ascii="Arial" w:hAnsi="Arial" w:cs="Arial"/>
          <w:szCs w:val="22"/>
        </w:rPr>
        <w:t>i</w:t>
      </w:r>
      <w:r w:rsidRPr="00AF3FEE">
        <w:rPr>
          <w:rFonts w:ascii="Arial" w:hAnsi="Arial" w:cs="Arial"/>
          <w:szCs w:val="22"/>
        </w:rPr>
        <w:t xml:space="preserve"> možnosti in učink</w:t>
      </w:r>
      <w:r w:rsidR="005D373B">
        <w:rPr>
          <w:rFonts w:ascii="Arial" w:hAnsi="Arial" w:cs="Arial"/>
          <w:szCs w:val="22"/>
        </w:rPr>
        <w:t>i</w:t>
      </w:r>
      <w:r w:rsidRPr="00AF3FEE">
        <w:rPr>
          <w:rFonts w:ascii="Arial" w:hAnsi="Arial" w:cs="Arial"/>
          <w:szCs w:val="22"/>
        </w:rPr>
        <w:t xml:space="preserve"> znižanja dovoljene hitrosti na avtocestah in hitrih cestah (</w:t>
      </w:r>
      <w:r w:rsidR="004F2B0D">
        <w:rPr>
          <w:rFonts w:ascii="Arial" w:hAnsi="Arial" w:cs="Arial"/>
          <w:szCs w:val="22"/>
        </w:rPr>
        <w:t>na primer</w:t>
      </w:r>
      <w:r w:rsidRPr="00AF3FEE">
        <w:rPr>
          <w:rFonts w:ascii="Arial" w:hAnsi="Arial" w:cs="Arial"/>
          <w:szCs w:val="22"/>
        </w:rPr>
        <w:t xml:space="preserve"> učinki na izpuste TGP, varnost, zastoj</w:t>
      </w:r>
      <w:r w:rsidR="005D373B">
        <w:rPr>
          <w:rFonts w:ascii="Arial" w:hAnsi="Arial" w:cs="Arial"/>
          <w:szCs w:val="22"/>
        </w:rPr>
        <w:t>i</w:t>
      </w:r>
      <w:r w:rsidRPr="00AF3FEE">
        <w:rPr>
          <w:rFonts w:ascii="Arial" w:hAnsi="Arial" w:cs="Arial"/>
          <w:szCs w:val="22"/>
        </w:rPr>
        <w:t>, potovaln</w:t>
      </w:r>
      <w:r w:rsidR="005D373B">
        <w:rPr>
          <w:rFonts w:ascii="Arial" w:hAnsi="Arial" w:cs="Arial"/>
          <w:szCs w:val="22"/>
        </w:rPr>
        <w:t>i</w:t>
      </w:r>
      <w:r w:rsidRPr="00AF3FEE">
        <w:rPr>
          <w:rFonts w:ascii="Arial" w:hAnsi="Arial" w:cs="Arial"/>
          <w:szCs w:val="22"/>
        </w:rPr>
        <w:t xml:space="preserve"> čas in tako dalje)</w:t>
      </w:r>
      <w:r w:rsidR="005D373B">
        <w:rPr>
          <w:rFonts w:ascii="Arial" w:hAnsi="Arial" w:cs="Arial"/>
          <w:szCs w:val="22"/>
        </w:rPr>
        <w:t>.</w:t>
      </w:r>
      <w:r w:rsidRPr="00AF3FEE">
        <w:rPr>
          <w:rFonts w:ascii="Arial" w:hAnsi="Arial" w:cs="Arial"/>
          <w:szCs w:val="22"/>
        </w:rPr>
        <w:t xml:space="preserve"> </w:t>
      </w:r>
      <w:r w:rsidR="005D373B">
        <w:rPr>
          <w:rFonts w:ascii="Arial" w:hAnsi="Arial" w:cs="Arial"/>
          <w:szCs w:val="22"/>
        </w:rPr>
        <w:t>U</w:t>
      </w:r>
      <w:r w:rsidRPr="00AF3FEE">
        <w:rPr>
          <w:rFonts w:ascii="Arial" w:hAnsi="Arial" w:cs="Arial"/>
          <w:szCs w:val="22"/>
        </w:rPr>
        <w:t xml:space="preserve">krep </w:t>
      </w:r>
      <w:r w:rsidR="005D373B">
        <w:rPr>
          <w:rFonts w:ascii="Arial" w:hAnsi="Arial" w:cs="Arial"/>
          <w:szCs w:val="22"/>
        </w:rPr>
        <w:t xml:space="preserve">bo </w:t>
      </w:r>
      <w:r w:rsidR="005D373B" w:rsidRPr="00AF3FEE">
        <w:rPr>
          <w:rFonts w:ascii="Arial" w:hAnsi="Arial" w:cs="Arial"/>
          <w:szCs w:val="22"/>
        </w:rPr>
        <w:t>izved</w:t>
      </w:r>
      <w:r w:rsidR="005D373B">
        <w:rPr>
          <w:rFonts w:ascii="Arial" w:hAnsi="Arial" w:cs="Arial"/>
          <w:szCs w:val="22"/>
        </w:rPr>
        <w:t>en</w:t>
      </w:r>
      <w:r w:rsidR="005D373B" w:rsidRPr="00AF3FEE">
        <w:rPr>
          <w:rFonts w:ascii="Arial" w:hAnsi="Arial" w:cs="Arial"/>
          <w:szCs w:val="22"/>
        </w:rPr>
        <w:t xml:space="preserve"> </w:t>
      </w:r>
      <w:r w:rsidRPr="00AF3FEE">
        <w:rPr>
          <w:rFonts w:ascii="Arial" w:hAnsi="Arial" w:cs="Arial"/>
          <w:szCs w:val="22"/>
        </w:rPr>
        <w:t>v skladu z ugotovitvami študije. Analiziralo se bo tudi uveljavljanje načela onesnaževalec plača pri različnih scenarijih cestninjenja, na podlagi katerih bo sprejeta odločitev o obliki in načinu cestninjenja v Sloveniji po letu 2030. Vzpostavila se bo nacionalna evidenca cestnih zapor, ki bo omogočila usklajeno načrtovanje zapor med vsemi upravljavci cestne infrastrukture (DRSI, DARS, občine), kar bo pripomoglo k zmanjšanju zastojev in posledično izpustov TGP.</w:t>
      </w:r>
    </w:p>
    <w:p w14:paraId="1426C837"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Spodbujanje trajnostnega tovornega prometa</w:t>
      </w:r>
    </w:p>
    <w:p w14:paraId="2EDB9543" w14:textId="0D02200C"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i w:val="0"/>
          <w:szCs w:val="22"/>
        </w:rPr>
        <w:t xml:space="preserve"> </w:t>
      </w:r>
      <w:r w:rsidRPr="00407339">
        <w:rPr>
          <w:rStyle w:val="Tekst-VplivUkrepa-SektorjiCharChar"/>
          <w:rFonts w:ascii="Arial" w:hAnsi="Arial" w:cs="Arial"/>
          <w:b w:val="0"/>
          <w:bCs/>
          <w:i w:val="0"/>
          <w:noProof/>
          <w:szCs w:val="22"/>
        </w:rPr>
        <w:t>promet</w:t>
      </w:r>
      <w:r w:rsidR="00F56DA5">
        <w:rPr>
          <w:rStyle w:val="Tekst-VplivUkrepa-SektorjiCharChar"/>
          <w:rFonts w:ascii="Arial" w:hAnsi="Arial" w:cs="Arial"/>
          <w:b w:val="0"/>
          <w:bCs/>
          <w:i w:val="0"/>
          <w:noProof/>
          <w:szCs w:val="22"/>
        </w:rPr>
        <w:t>.</w:t>
      </w:r>
    </w:p>
    <w:p w14:paraId="38F9F66B" w14:textId="6B15C8F3" w:rsidR="00AF3FEE" w:rsidRPr="00AF3FEE" w:rsidRDefault="00AF3FEE" w:rsidP="00AF3FEE">
      <w:pPr>
        <w:pStyle w:val="BodyText"/>
        <w:rPr>
          <w:rFonts w:ascii="Arial" w:hAnsi="Arial" w:cs="Arial"/>
          <w:szCs w:val="22"/>
        </w:rPr>
      </w:pPr>
      <w:r w:rsidRPr="00AF3FEE">
        <w:rPr>
          <w:rFonts w:ascii="Arial" w:hAnsi="Arial" w:cs="Arial"/>
          <w:szCs w:val="22"/>
        </w:rPr>
        <w:t xml:space="preserve">Z namenom povečanja učinkovitosti tovornega prometa je predvidena gradnja infrastrukture za tovorni promet. </w:t>
      </w:r>
      <w:r w:rsidRPr="00AF3FEE">
        <w:rPr>
          <w:rFonts w:ascii="Arial" w:hAnsi="Arial" w:cs="Arial"/>
          <w:noProof/>
          <w:szCs w:val="22"/>
        </w:rPr>
        <w:t xml:space="preserve">Slovenija je močno izpostavljena tranzitnemu prometu zaradi svoje lege na križišču V. in X. evropskega koridorja, ki </w:t>
      </w:r>
      <w:r w:rsidR="005D373B">
        <w:rPr>
          <w:rFonts w:ascii="Arial" w:hAnsi="Arial" w:cs="Arial"/>
          <w:noProof/>
          <w:szCs w:val="22"/>
        </w:rPr>
        <w:t xml:space="preserve">sta </w:t>
      </w:r>
      <w:r w:rsidRPr="00AF3FEE">
        <w:rPr>
          <w:rFonts w:ascii="Arial" w:hAnsi="Arial" w:cs="Arial"/>
          <w:noProof/>
          <w:szCs w:val="22"/>
        </w:rPr>
        <w:t xml:space="preserve">v pretežnem delu tudi del TEN-T jedrnega omrežja in koridorjev jedrnega omrežja. Dolgoročna usmeritev je preusmeritev cestnega tovornega prometa na železnice, </w:t>
      </w:r>
      <w:r w:rsidR="00F56DA5">
        <w:rPr>
          <w:rFonts w:ascii="Arial" w:hAnsi="Arial" w:cs="Arial"/>
          <w:noProof/>
          <w:szCs w:val="22"/>
        </w:rPr>
        <w:t xml:space="preserve">prvi pogoj </w:t>
      </w:r>
      <w:r w:rsidR="005D373B">
        <w:rPr>
          <w:rFonts w:ascii="Arial" w:hAnsi="Arial" w:cs="Arial"/>
          <w:noProof/>
          <w:szCs w:val="22"/>
        </w:rPr>
        <w:t xml:space="preserve">za to pa je </w:t>
      </w:r>
      <w:r w:rsidRPr="00AF3FEE">
        <w:rPr>
          <w:rFonts w:ascii="Arial" w:hAnsi="Arial" w:cs="Arial"/>
          <w:noProof/>
          <w:szCs w:val="22"/>
        </w:rPr>
        <w:t xml:space="preserve">moderna in zanesljiva železniška infrastruktura, </w:t>
      </w:r>
      <w:r w:rsidR="00F56DA5">
        <w:rPr>
          <w:rFonts w:ascii="Arial" w:hAnsi="Arial" w:cs="Arial"/>
          <w:noProof/>
          <w:szCs w:val="22"/>
        </w:rPr>
        <w:t xml:space="preserve">ki </w:t>
      </w:r>
      <w:r w:rsidRPr="00AF3FEE">
        <w:rPr>
          <w:rFonts w:ascii="Arial" w:hAnsi="Arial" w:cs="Arial"/>
          <w:noProof/>
          <w:szCs w:val="22"/>
        </w:rPr>
        <w:t xml:space="preserve">se je </w:t>
      </w:r>
      <w:r w:rsidR="00F56DA5">
        <w:rPr>
          <w:rFonts w:ascii="Arial" w:hAnsi="Arial" w:cs="Arial"/>
          <w:noProof/>
          <w:szCs w:val="22"/>
        </w:rPr>
        <w:t xml:space="preserve">že </w:t>
      </w:r>
      <w:r w:rsidRPr="00AF3FEE">
        <w:rPr>
          <w:rFonts w:ascii="Arial" w:hAnsi="Arial" w:cs="Arial"/>
          <w:noProof/>
          <w:szCs w:val="22"/>
        </w:rPr>
        <w:t>začela</w:t>
      </w:r>
      <w:r w:rsidR="00F56DA5">
        <w:rPr>
          <w:rFonts w:ascii="Arial" w:hAnsi="Arial" w:cs="Arial"/>
          <w:noProof/>
          <w:szCs w:val="22"/>
        </w:rPr>
        <w:t xml:space="preserve"> graditi</w:t>
      </w:r>
      <w:r w:rsidRPr="00AF3FEE">
        <w:rPr>
          <w:rFonts w:ascii="Arial" w:hAnsi="Arial" w:cs="Arial"/>
          <w:noProof/>
          <w:szCs w:val="22"/>
        </w:rPr>
        <w:t xml:space="preserve">. Poudarek je na somodalnosti, za kar </w:t>
      </w:r>
      <w:r w:rsidR="005D373B">
        <w:rPr>
          <w:rFonts w:ascii="Arial" w:hAnsi="Arial" w:cs="Arial"/>
          <w:noProof/>
          <w:szCs w:val="22"/>
        </w:rPr>
        <w:t>sta</w:t>
      </w:r>
      <w:r w:rsidR="005D373B" w:rsidRPr="00AF3FEE">
        <w:rPr>
          <w:rFonts w:ascii="Arial" w:hAnsi="Arial" w:cs="Arial"/>
          <w:noProof/>
          <w:szCs w:val="22"/>
        </w:rPr>
        <w:t xml:space="preserve"> </w:t>
      </w:r>
      <w:r w:rsidRPr="00AF3FEE">
        <w:rPr>
          <w:rFonts w:ascii="Arial" w:hAnsi="Arial" w:cs="Arial"/>
          <w:noProof/>
          <w:szCs w:val="22"/>
        </w:rPr>
        <w:t xml:space="preserve">ključnega pomena gradnja in posodobitev obstoječe prometne infrastrukture, predvsem železniške. </w:t>
      </w:r>
      <w:r w:rsidRPr="00AF3FEE">
        <w:rPr>
          <w:rFonts w:ascii="Arial" w:hAnsi="Arial" w:cs="Arial"/>
          <w:szCs w:val="22"/>
        </w:rPr>
        <w:t xml:space="preserve">Med ukrepi so </w:t>
      </w:r>
      <w:r w:rsidR="00F56DA5">
        <w:rPr>
          <w:rFonts w:ascii="Arial" w:hAnsi="Arial" w:cs="Arial"/>
          <w:szCs w:val="22"/>
        </w:rPr>
        <w:t xml:space="preserve">prepoznava </w:t>
      </w:r>
      <w:r w:rsidRPr="00AF3FEE">
        <w:rPr>
          <w:rFonts w:ascii="Arial" w:hAnsi="Arial" w:cs="Arial"/>
          <w:szCs w:val="22"/>
        </w:rPr>
        <w:t xml:space="preserve">potreb po gradnji intermodalnih vozlišč in malih logističnih centrov za tovorni promet, izboljšanje železniške infrastrukture in dokončanje gradnje nove dvotirne proge Divača–Koper. </w:t>
      </w:r>
      <w:r w:rsidRPr="00AF3FEE">
        <w:rPr>
          <w:rFonts w:ascii="Arial" w:hAnsi="Arial" w:cs="Arial"/>
          <w:noProof/>
          <w:szCs w:val="22"/>
        </w:rPr>
        <w:t>Do leta 2030 bodo izvedene naslednje aktivnosti: posodobljeni, nadgrajeni in zgrajeni bodo vsi odseki omrežja TEN-T; izvedena bo elektrifikacija celotnega slovenskega železniškega omrežja</w:t>
      </w:r>
      <w:r w:rsidR="00F56DA5">
        <w:rPr>
          <w:rFonts w:ascii="Arial" w:hAnsi="Arial" w:cs="Arial"/>
          <w:noProof/>
          <w:szCs w:val="22"/>
        </w:rPr>
        <w:t>;</w:t>
      </w:r>
      <w:r w:rsidRPr="00AF3FEE">
        <w:rPr>
          <w:rFonts w:ascii="Arial" w:hAnsi="Arial" w:cs="Arial"/>
          <w:noProof/>
          <w:szCs w:val="22"/>
        </w:rPr>
        <w:t xml:space="preserve"> na celotnem omrežju TEN-T bo uvedben ERTMS (ETCS ravni 2)</w:t>
      </w:r>
      <w:r w:rsidR="00F56DA5">
        <w:rPr>
          <w:rFonts w:ascii="Arial" w:hAnsi="Arial" w:cs="Arial"/>
          <w:noProof/>
          <w:szCs w:val="22"/>
        </w:rPr>
        <w:t>;</w:t>
      </w:r>
      <w:r w:rsidRPr="00AF3FEE">
        <w:rPr>
          <w:rFonts w:ascii="Arial" w:hAnsi="Arial" w:cs="Arial"/>
          <w:noProof/>
          <w:szCs w:val="22"/>
        </w:rPr>
        <w:t xml:space="preserve"> izvedene bodo posodobitve, nadgradnje in novogradnje regionalnega omrežja. Ukrep je dodatno podprt tudi v Strategiji in Programu razvoja prometa v R</w:t>
      </w:r>
      <w:r w:rsidR="002958C7">
        <w:rPr>
          <w:rFonts w:ascii="Arial" w:hAnsi="Arial" w:cs="Arial"/>
          <w:noProof/>
          <w:szCs w:val="22"/>
        </w:rPr>
        <w:t xml:space="preserve">epubliki </w:t>
      </w:r>
      <w:r w:rsidRPr="00AF3FEE">
        <w:rPr>
          <w:rFonts w:ascii="Arial" w:hAnsi="Arial" w:cs="Arial"/>
          <w:noProof/>
          <w:szCs w:val="22"/>
        </w:rPr>
        <w:t>S</w:t>
      </w:r>
      <w:r w:rsidR="002958C7">
        <w:rPr>
          <w:rFonts w:ascii="Arial" w:hAnsi="Arial" w:cs="Arial"/>
          <w:noProof/>
          <w:szCs w:val="22"/>
        </w:rPr>
        <w:t>loveniji</w:t>
      </w:r>
      <w:r w:rsidRPr="00AF3FEE">
        <w:rPr>
          <w:rFonts w:ascii="Arial" w:hAnsi="Arial" w:cs="Arial"/>
          <w:noProof/>
          <w:szCs w:val="22"/>
        </w:rPr>
        <w:t xml:space="preserve"> </w:t>
      </w:r>
      <w:r w:rsidR="00F56DA5">
        <w:rPr>
          <w:rFonts w:ascii="Arial" w:hAnsi="Arial" w:cs="Arial"/>
          <w:noProof/>
          <w:szCs w:val="22"/>
        </w:rPr>
        <w:t>ter</w:t>
      </w:r>
      <w:r w:rsidR="00F56DA5" w:rsidRPr="00AF3FEE">
        <w:rPr>
          <w:rFonts w:ascii="Arial" w:hAnsi="Arial" w:cs="Arial"/>
          <w:noProof/>
          <w:szCs w:val="22"/>
        </w:rPr>
        <w:t xml:space="preserve"> </w:t>
      </w:r>
      <w:r w:rsidRPr="00AF3FEE">
        <w:rPr>
          <w:rFonts w:ascii="Arial" w:hAnsi="Arial" w:cs="Arial"/>
          <w:noProof/>
          <w:szCs w:val="22"/>
        </w:rPr>
        <w:t xml:space="preserve">z nepovratnimi finančnimi sredstvi iz evropskih virov. </w:t>
      </w:r>
      <w:r w:rsidRPr="00AF3FEE">
        <w:rPr>
          <w:rFonts w:ascii="Arial" w:hAnsi="Arial" w:cs="Arial"/>
          <w:szCs w:val="22"/>
        </w:rPr>
        <w:t>Vključeval</w:t>
      </w:r>
      <w:r w:rsidR="00F56DA5">
        <w:rPr>
          <w:rFonts w:ascii="Arial" w:hAnsi="Arial" w:cs="Arial"/>
          <w:szCs w:val="22"/>
        </w:rPr>
        <w:t>i</w:t>
      </w:r>
      <w:r w:rsidRPr="00AF3FEE">
        <w:rPr>
          <w:rFonts w:ascii="Arial" w:hAnsi="Arial" w:cs="Arial"/>
          <w:szCs w:val="22"/>
        </w:rPr>
        <w:t xml:space="preserve"> se bo</w:t>
      </w:r>
      <w:r w:rsidR="005D373B">
        <w:rPr>
          <w:rFonts w:ascii="Arial" w:hAnsi="Arial" w:cs="Arial"/>
          <w:szCs w:val="22"/>
        </w:rPr>
        <w:t>do</w:t>
      </w:r>
      <w:r w:rsidRPr="00AF3FEE">
        <w:rPr>
          <w:rFonts w:ascii="Arial" w:hAnsi="Arial" w:cs="Arial"/>
          <w:szCs w:val="22"/>
        </w:rPr>
        <w:t xml:space="preserve"> zunanj</w:t>
      </w:r>
      <w:r w:rsidR="005D373B">
        <w:rPr>
          <w:rFonts w:ascii="Arial" w:hAnsi="Arial" w:cs="Arial"/>
          <w:szCs w:val="22"/>
        </w:rPr>
        <w:t>i</w:t>
      </w:r>
      <w:r w:rsidRPr="00AF3FEE">
        <w:rPr>
          <w:rFonts w:ascii="Arial" w:hAnsi="Arial" w:cs="Arial"/>
          <w:szCs w:val="22"/>
        </w:rPr>
        <w:t xml:space="preserve"> strošk</w:t>
      </w:r>
      <w:r w:rsidR="005D373B">
        <w:rPr>
          <w:rFonts w:ascii="Arial" w:hAnsi="Arial" w:cs="Arial"/>
          <w:szCs w:val="22"/>
        </w:rPr>
        <w:t>i</w:t>
      </w:r>
      <w:r w:rsidRPr="00AF3FEE">
        <w:rPr>
          <w:rFonts w:ascii="Arial" w:hAnsi="Arial" w:cs="Arial"/>
          <w:szCs w:val="22"/>
        </w:rPr>
        <w:t xml:space="preserve"> v dajatve za cestni tovorni promet (na primer nadomestila za uporabo cest) in spodbujal</w:t>
      </w:r>
      <w:r w:rsidR="00F56DA5">
        <w:rPr>
          <w:rFonts w:ascii="Arial" w:hAnsi="Arial" w:cs="Arial"/>
          <w:szCs w:val="22"/>
        </w:rPr>
        <w:t>a</w:t>
      </w:r>
      <w:r w:rsidRPr="00AF3FEE">
        <w:rPr>
          <w:rFonts w:ascii="Arial" w:hAnsi="Arial" w:cs="Arial"/>
          <w:szCs w:val="22"/>
        </w:rPr>
        <w:t xml:space="preserve"> </w:t>
      </w:r>
      <w:r w:rsidR="00F56DA5">
        <w:rPr>
          <w:rFonts w:ascii="Arial" w:hAnsi="Arial" w:cs="Arial"/>
          <w:szCs w:val="22"/>
        </w:rPr>
        <w:t xml:space="preserve">se bo </w:t>
      </w:r>
      <w:r w:rsidRPr="00AF3FEE">
        <w:rPr>
          <w:rFonts w:ascii="Arial" w:hAnsi="Arial" w:cs="Arial"/>
          <w:szCs w:val="22"/>
        </w:rPr>
        <w:t>večjo zasedenost tovornih vozil. Vzpostavil</w:t>
      </w:r>
      <w:r w:rsidR="005D373B">
        <w:rPr>
          <w:rFonts w:ascii="Arial" w:hAnsi="Arial" w:cs="Arial"/>
          <w:szCs w:val="22"/>
        </w:rPr>
        <w:t>a</w:t>
      </w:r>
      <w:r w:rsidRPr="00AF3FEE">
        <w:rPr>
          <w:rFonts w:ascii="Arial" w:hAnsi="Arial" w:cs="Arial"/>
          <w:szCs w:val="22"/>
        </w:rPr>
        <w:t xml:space="preserve"> se bo tudi uporab</w:t>
      </w:r>
      <w:r w:rsidR="005D373B">
        <w:rPr>
          <w:rFonts w:ascii="Arial" w:hAnsi="Arial" w:cs="Arial"/>
          <w:szCs w:val="22"/>
        </w:rPr>
        <w:t>a</w:t>
      </w:r>
      <w:r w:rsidRPr="00AF3FEE">
        <w:rPr>
          <w:rFonts w:ascii="Arial" w:hAnsi="Arial" w:cs="Arial"/>
          <w:szCs w:val="22"/>
        </w:rPr>
        <w:t xml:space="preserve"> digitalnih dokumentov v tovornem cestnem prometu, pri čemer gre za izvajanje direktiv EFTI in e-CMR.</w:t>
      </w:r>
    </w:p>
    <w:p w14:paraId="686F40DC"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Dodatni ukrepi za spodbujanje trajnostnega tovornega prometa</w:t>
      </w:r>
    </w:p>
    <w:p w14:paraId="0F181789" w14:textId="3DCAFE2D"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i w:val="0"/>
          <w:szCs w:val="22"/>
        </w:rPr>
        <w:t xml:space="preserve"> </w:t>
      </w:r>
      <w:r w:rsidRPr="00407339">
        <w:rPr>
          <w:rStyle w:val="Tekst-VplivUkrepa-SektorjiCharChar"/>
          <w:rFonts w:ascii="Arial" w:hAnsi="Arial" w:cs="Arial"/>
          <w:b w:val="0"/>
          <w:bCs/>
          <w:i w:val="0"/>
          <w:noProof/>
          <w:szCs w:val="22"/>
        </w:rPr>
        <w:t>promet</w:t>
      </w:r>
      <w:r w:rsidR="00F56DA5">
        <w:rPr>
          <w:rStyle w:val="Tekst-VplivUkrepa-SektorjiCharChar"/>
          <w:rFonts w:ascii="Arial" w:hAnsi="Arial" w:cs="Arial"/>
          <w:b w:val="0"/>
          <w:bCs/>
          <w:i w:val="0"/>
          <w:noProof/>
          <w:szCs w:val="22"/>
        </w:rPr>
        <w:t>.</w:t>
      </w:r>
    </w:p>
    <w:p w14:paraId="2A4B8D8E" w14:textId="332CC90E" w:rsidR="00AF3FEE" w:rsidRPr="00AF3FEE" w:rsidRDefault="00AF3FEE" w:rsidP="00AF3FEE">
      <w:pPr>
        <w:pStyle w:val="BodyText"/>
        <w:rPr>
          <w:rFonts w:ascii="Arial" w:hAnsi="Arial" w:cs="Arial"/>
          <w:szCs w:val="22"/>
        </w:rPr>
      </w:pPr>
      <w:r w:rsidRPr="00AF3FEE">
        <w:rPr>
          <w:rFonts w:ascii="Arial" w:hAnsi="Arial" w:cs="Arial"/>
          <w:szCs w:val="22"/>
        </w:rPr>
        <w:t>Na področju strateškega načrtovanja je predvidena vključitev strateških usmeritev za tovorni promet v procesu priprave državne celostne prometne strategije. Na občinski ravni se bo</w:t>
      </w:r>
      <w:r w:rsidR="00A6336A">
        <w:rPr>
          <w:rFonts w:ascii="Arial" w:hAnsi="Arial" w:cs="Arial"/>
          <w:szCs w:val="22"/>
        </w:rPr>
        <w:t>do</w:t>
      </w:r>
      <w:r w:rsidRPr="00AF3FEE">
        <w:rPr>
          <w:rFonts w:ascii="Arial" w:hAnsi="Arial" w:cs="Arial"/>
          <w:szCs w:val="22"/>
        </w:rPr>
        <w:t xml:space="preserve"> finančno podpiral</w:t>
      </w:r>
      <w:r w:rsidR="00A6336A">
        <w:rPr>
          <w:rFonts w:ascii="Arial" w:hAnsi="Arial" w:cs="Arial"/>
          <w:szCs w:val="22"/>
        </w:rPr>
        <w:t>e</w:t>
      </w:r>
      <w:r w:rsidRPr="00AF3FEE">
        <w:rPr>
          <w:rFonts w:ascii="Arial" w:hAnsi="Arial" w:cs="Arial"/>
          <w:szCs w:val="22"/>
        </w:rPr>
        <w:t xml:space="preserve"> občine za pripravo načrtov upravljanja mestne logistike </w:t>
      </w:r>
      <w:r w:rsidR="00023476">
        <w:rPr>
          <w:rFonts w:ascii="Arial" w:eastAsia="Calibri" w:hAnsi="Arial" w:cs="Arial"/>
          <w:szCs w:val="22"/>
        </w:rPr>
        <w:t xml:space="preserve">z namenom </w:t>
      </w:r>
      <w:r w:rsidRPr="00AF3FEE">
        <w:rPr>
          <w:rFonts w:ascii="Arial" w:hAnsi="Arial" w:cs="Arial"/>
          <w:szCs w:val="22"/>
        </w:rPr>
        <w:t xml:space="preserve">optimizacije in elektrifikacije logističnih procesov in s tem </w:t>
      </w:r>
      <w:r w:rsidR="00BC0E35" w:rsidRPr="00AF3FEE">
        <w:rPr>
          <w:rFonts w:ascii="Arial" w:hAnsi="Arial" w:cs="Arial"/>
          <w:szCs w:val="22"/>
        </w:rPr>
        <w:t>zmanjšanj</w:t>
      </w:r>
      <w:r w:rsidR="00BC0E35">
        <w:rPr>
          <w:rFonts w:ascii="Arial" w:hAnsi="Arial" w:cs="Arial"/>
          <w:szCs w:val="22"/>
        </w:rPr>
        <w:t>a</w:t>
      </w:r>
      <w:r w:rsidR="00BC0E35" w:rsidRPr="00AF3FEE">
        <w:rPr>
          <w:rFonts w:ascii="Arial" w:hAnsi="Arial" w:cs="Arial"/>
          <w:szCs w:val="22"/>
        </w:rPr>
        <w:t xml:space="preserve"> </w:t>
      </w:r>
      <w:r w:rsidRPr="00AF3FEE">
        <w:rPr>
          <w:rFonts w:ascii="Arial" w:hAnsi="Arial" w:cs="Arial"/>
          <w:szCs w:val="22"/>
        </w:rPr>
        <w:t xml:space="preserve">negativnih vplivov tovornega prometa v mestih oziroma </w:t>
      </w:r>
      <w:r w:rsidR="00BC0E35">
        <w:rPr>
          <w:rFonts w:ascii="Arial" w:hAnsi="Arial" w:cs="Arial"/>
          <w:szCs w:val="22"/>
        </w:rPr>
        <w:t xml:space="preserve">na </w:t>
      </w:r>
      <w:r w:rsidRPr="00AF3FEE">
        <w:rPr>
          <w:rFonts w:ascii="Arial" w:hAnsi="Arial" w:cs="Arial"/>
          <w:szCs w:val="22"/>
        </w:rPr>
        <w:t xml:space="preserve">funkcionalnih urbanih območjih. </w:t>
      </w:r>
    </w:p>
    <w:p w14:paraId="2F824F90" w14:textId="5E25679F" w:rsidR="00AF3FEE" w:rsidRPr="00AF3FEE" w:rsidRDefault="00AF3FEE" w:rsidP="00AF3FEE">
      <w:pPr>
        <w:pStyle w:val="BodyText"/>
        <w:rPr>
          <w:rFonts w:ascii="Arial" w:hAnsi="Arial" w:cs="Arial"/>
          <w:szCs w:val="22"/>
        </w:rPr>
      </w:pPr>
      <w:r w:rsidRPr="00AF3FEE">
        <w:rPr>
          <w:rFonts w:ascii="Arial" w:hAnsi="Arial" w:cs="Arial"/>
          <w:szCs w:val="22"/>
        </w:rPr>
        <w:t xml:space="preserve">Na področju infrastrukture </w:t>
      </w:r>
      <w:r w:rsidR="00A6336A">
        <w:rPr>
          <w:rFonts w:ascii="Arial" w:hAnsi="Arial" w:cs="Arial"/>
          <w:szCs w:val="22"/>
        </w:rPr>
        <w:t>sta</w:t>
      </w:r>
      <w:r w:rsidR="00BC0E35">
        <w:rPr>
          <w:rFonts w:ascii="Arial" w:hAnsi="Arial" w:cs="Arial"/>
          <w:szCs w:val="22"/>
        </w:rPr>
        <w:t xml:space="preserve"> </w:t>
      </w:r>
      <w:r w:rsidRPr="00AF3FEE">
        <w:rPr>
          <w:rFonts w:ascii="Arial" w:hAnsi="Arial" w:cs="Arial"/>
          <w:szCs w:val="22"/>
        </w:rPr>
        <w:t>dodatno predviden</w:t>
      </w:r>
      <w:r w:rsidR="00A6336A">
        <w:rPr>
          <w:rFonts w:ascii="Arial" w:hAnsi="Arial" w:cs="Arial"/>
          <w:szCs w:val="22"/>
        </w:rPr>
        <w:t>i</w:t>
      </w:r>
      <w:r w:rsidRPr="00AF3FEE">
        <w:rPr>
          <w:rFonts w:ascii="Arial" w:hAnsi="Arial" w:cs="Arial"/>
          <w:szCs w:val="22"/>
        </w:rPr>
        <w:t xml:space="preserve"> nadgradnja tovorne postaje Koper, </w:t>
      </w:r>
      <w:r w:rsidR="00023476">
        <w:rPr>
          <w:rFonts w:ascii="Arial" w:eastAsia="Calibri" w:hAnsi="Arial" w:cs="Arial"/>
          <w:szCs w:val="22"/>
        </w:rPr>
        <w:t xml:space="preserve">z namenom </w:t>
      </w:r>
      <w:r w:rsidRPr="00AF3FEE">
        <w:rPr>
          <w:rFonts w:ascii="Arial" w:hAnsi="Arial" w:cs="Arial"/>
          <w:szCs w:val="22"/>
        </w:rPr>
        <w:t>podpore povečanim blagovnim tokovom na novi povezavi Divača–Koper</w:t>
      </w:r>
      <w:r w:rsidR="00BC0E35">
        <w:rPr>
          <w:rFonts w:ascii="Arial" w:hAnsi="Arial" w:cs="Arial"/>
          <w:szCs w:val="22"/>
        </w:rPr>
        <w:t>,</w:t>
      </w:r>
      <w:r w:rsidRPr="00AF3FEE">
        <w:rPr>
          <w:rFonts w:ascii="Arial" w:hAnsi="Arial" w:cs="Arial"/>
          <w:szCs w:val="22"/>
        </w:rPr>
        <w:t xml:space="preserve"> </w:t>
      </w:r>
      <w:r w:rsidR="00A6336A">
        <w:rPr>
          <w:rFonts w:ascii="Arial" w:hAnsi="Arial" w:cs="Arial"/>
          <w:szCs w:val="22"/>
        </w:rPr>
        <w:t>in</w:t>
      </w:r>
      <w:r w:rsidR="00A6336A" w:rsidRPr="00AF3FEE">
        <w:rPr>
          <w:rFonts w:ascii="Arial" w:hAnsi="Arial" w:cs="Arial"/>
          <w:szCs w:val="22"/>
        </w:rPr>
        <w:t xml:space="preserve"> </w:t>
      </w:r>
      <w:r w:rsidRPr="00AF3FEE">
        <w:rPr>
          <w:rFonts w:ascii="Arial" w:hAnsi="Arial" w:cs="Arial"/>
          <w:szCs w:val="22"/>
        </w:rPr>
        <w:t>spodbujanje terminalskih storitev preklada</w:t>
      </w:r>
      <w:r w:rsidR="00BC0E35">
        <w:rPr>
          <w:rFonts w:ascii="Arial" w:hAnsi="Arial" w:cs="Arial"/>
          <w:szCs w:val="22"/>
        </w:rPr>
        <w:t>nja</w:t>
      </w:r>
      <w:r w:rsidRPr="00AF3FEE">
        <w:rPr>
          <w:rFonts w:ascii="Arial" w:hAnsi="Arial" w:cs="Arial"/>
          <w:szCs w:val="22"/>
        </w:rPr>
        <w:t xml:space="preserve"> </w:t>
      </w:r>
      <w:r w:rsidR="00BC0E35">
        <w:rPr>
          <w:rFonts w:ascii="Arial" w:hAnsi="Arial" w:cs="Arial"/>
          <w:szCs w:val="22"/>
        </w:rPr>
        <w:t>zabojnikov</w:t>
      </w:r>
      <w:r w:rsidR="00BC0E35" w:rsidRPr="00AF3FEE">
        <w:rPr>
          <w:rFonts w:ascii="Arial" w:hAnsi="Arial" w:cs="Arial"/>
          <w:szCs w:val="22"/>
        </w:rPr>
        <w:t xml:space="preserve"> </w:t>
      </w:r>
      <w:r w:rsidRPr="00AF3FEE">
        <w:rPr>
          <w:rFonts w:ascii="Arial" w:hAnsi="Arial" w:cs="Arial"/>
          <w:szCs w:val="22"/>
        </w:rPr>
        <w:t>v kombiniranem prevozu blaga – s sprejetjem ustreznih zakonskih podlag in zagotovitvijo sredstev v skladu z evropsko direktivo. Izvedena bo</w:t>
      </w:r>
      <w:r w:rsidR="00A6336A">
        <w:rPr>
          <w:rFonts w:ascii="Arial" w:hAnsi="Arial" w:cs="Arial"/>
          <w:szCs w:val="22"/>
        </w:rPr>
        <w:t>sta</w:t>
      </w:r>
      <w:r w:rsidRPr="00AF3FEE">
        <w:rPr>
          <w:rFonts w:ascii="Arial" w:hAnsi="Arial" w:cs="Arial"/>
          <w:szCs w:val="22"/>
        </w:rPr>
        <w:t xml:space="preserve"> </w:t>
      </w:r>
      <w:r w:rsidR="00BC0E35">
        <w:rPr>
          <w:rFonts w:ascii="Arial" w:hAnsi="Arial" w:cs="Arial"/>
          <w:szCs w:val="22"/>
        </w:rPr>
        <w:t>prepoznava</w:t>
      </w:r>
      <w:r w:rsidR="00BC0E35" w:rsidRPr="00AF3FEE">
        <w:rPr>
          <w:rFonts w:ascii="Arial" w:hAnsi="Arial" w:cs="Arial"/>
          <w:szCs w:val="22"/>
        </w:rPr>
        <w:t xml:space="preserve"> </w:t>
      </w:r>
      <w:r w:rsidRPr="00AF3FEE">
        <w:rPr>
          <w:rFonts w:ascii="Arial" w:hAnsi="Arial" w:cs="Arial"/>
          <w:szCs w:val="22"/>
        </w:rPr>
        <w:t>potreb in spodbujanje gospodarskih subjektov h gradnji, obnovi in ponovni uporabi industrijskih tirov s sofinanciranjem in podporo pri pridobivanju sredstev</w:t>
      </w:r>
      <w:r w:rsidR="00A6336A" w:rsidRPr="00A6336A">
        <w:rPr>
          <w:rFonts w:ascii="Arial" w:hAnsi="Arial" w:cs="Arial"/>
          <w:szCs w:val="22"/>
        </w:rPr>
        <w:t xml:space="preserve"> </w:t>
      </w:r>
      <w:r w:rsidR="00A6336A" w:rsidRPr="00AF3FEE">
        <w:rPr>
          <w:rFonts w:ascii="Arial" w:hAnsi="Arial" w:cs="Arial"/>
          <w:szCs w:val="22"/>
        </w:rPr>
        <w:t>EU</w:t>
      </w:r>
      <w:r w:rsidRPr="00AF3FEE">
        <w:rPr>
          <w:rFonts w:ascii="Arial" w:hAnsi="Arial" w:cs="Arial"/>
          <w:szCs w:val="22"/>
        </w:rPr>
        <w:t xml:space="preserve">. </w:t>
      </w:r>
    </w:p>
    <w:p w14:paraId="35330C06" w14:textId="5C051B26" w:rsidR="00AF3FEE" w:rsidRPr="00AF3FEE" w:rsidRDefault="00AF3FEE" w:rsidP="00AF3FEE">
      <w:pPr>
        <w:pStyle w:val="BodyText"/>
        <w:rPr>
          <w:rFonts w:ascii="Arial" w:hAnsi="Arial" w:cs="Arial"/>
          <w:szCs w:val="22"/>
        </w:rPr>
      </w:pPr>
      <w:r w:rsidRPr="00AF3FEE">
        <w:rPr>
          <w:rFonts w:ascii="Arial" w:hAnsi="Arial" w:cs="Arial"/>
          <w:szCs w:val="22"/>
        </w:rPr>
        <w:t xml:space="preserve">Spodbujal se bo tudi razvoj trga železniškega prevoza s programom finančnih, </w:t>
      </w:r>
      <w:r w:rsidR="00A6336A">
        <w:rPr>
          <w:rFonts w:ascii="Arial" w:hAnsi="Arial" w:cs="Arial"/>
          <w:szCs w:val="22"/>
        </w:rPr>
        <w:t>zakon</w:t>
      </w:r>
      <w:r w:rsidR="00BC0E35">
        <w:rPr>
          <w:rFonts w:ascii="Arial" w:hAnsi="Arial" w:cs="Arial"/>
          <w:szCs w:val="22"/>
        </w:rPr>
        <w:t>odajnih</w:t>
      </w:r>
      <w:r w:rsidR="00A6336A" w:rsidRPr="00AF3FEE">
        <w:rPr>
          <w:rFonts w:ascii="Arial" w:hAnsi="Arial" w:cs="Arial"/>
          <w:szCs w:val="22"/>
        </w:rPr>
        <w:t xml:space="preserve"> </w:t>
      </w:r>
      <w:r w:rsidRPr="00AF3FEE">
        <w:rPr>
          <w:rFonts w:ascii="Arial" w:hAnsi="Arial" w:cs="Arial"/>
          <w:szCs w:val="22"/>
        </w:rPr>
        <w:t xml:space="preserve">in drugih podpor za prevoz tovora po železnicah. </w:t>
      </w:r>
    </w:p>
    <w:p w14:paraId="02610B50" w14:textId="77777777" w:rsidR="00AF3FEE" w:rsidRPr="00AF3FEE" w:rsidRDefault="00AF3FEE" w:rsidP="00AF3FEE">
      <w:pPr>
        <w:pStyle w:val="Heading41"/>
        <w:jc w:val="both"/>
        <w:rPr>
          <w:rFonts w:cs="Arial"/>
          <w:szCs w:val="22"/>
          <w:lang w:val="sl-SI"/>
        </w:rPr>
      </w:pPr>
      <w:r w:rsidRPr="00AF3FEE">
        <w:rPr>
          <w:rFonts w:cs="Arial"/>
          <w:szCs w:val="22"/>
          <w:lang w:val="sl-SI"/>
        </w:rPr>
        <w:lastRenderedPageBreak/>
        <w:t>Povečanje učinkovitosti vozil ter spodbujanje uporabe goriv z nizkimi emisijami CO</w:t>
      </w:r>
      <w:r w:rsidRPr="00A57F7D">
        <w:rPr>
          <w:rFonts w:cs="Arial"/>
          <w:szCs w:val="22"/>
          <w:vertAlign w:val="subscript"/>
          <w:lang w:val="sl-SI"/>
        </w:rPr>
        <w:t>2</w:t>
      </w:r>
    </w:p>
    <w:p w14:paraId="5FFBBA54" w14:textId="4AEF7039"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BC0E35">
        <w:rPr>
          <w:rStyle w:val="Tekst-VplivUkrepa-SektorjiCharChar"/>
          <w:rFonts w:ascii="Arial" w:hAnsi="Arial" w:cs="Arial"/>
          <w:b w:val="0"/>
          <w:bCs/>
          <w:i w:val="0"/>
          <w:noProof/>
          <w:szCs w:val="22"/>
        </w:rPr>
        <w:t>.</w:t>
      </w:r>
    </w:p>
    <w:p w14:paraId="5728002F" w14:textId="77777777" w:rsidR="00AF3FEE" w:rsidRPr="00AF3FEE" w:rsidRDefault="00AF3FEE" w:rsidP="00AF3FEE">
      <w:pPr>
        <w:pStyle w:val="NaslovVTekstu"/>
        <w:jc w:val="both"/>
        <w:rPr>
          <w:rFonts w:ascii="Arial" w:hAnsi="Arial" w:cs="Arial"/>
          <w:noProof/>
          <w:szCs w:val="22"/>
          <w:lang w:val="sl-SI"/>
        </w:rPr>
      </w:pPr>
      <w:r w:rsidRPr="00AF3FEE">
        <w:rPr>
          <w:rFonts w:ascii="Arial" w:hAnsi="Arial" w:cs="Arial"/>
          <w:noProof/>
          <w:szCs w:val="22"/>
          <w:lang w:val="sl-SI"/>
        </w:rPr>
        <w:t>Povečanje učinkovitosti vozil</w:t>
      </w:r>
    </w:p>
    <w:p w14:paraId="349BE97C" w14:textId="77777777" w:rsidR="00AF3FEE" w:rsidRPr="00407339" w:rsidRDefault="00AF3FEE" w:rsidP="00AF3FEE">
      <w:pPr>
        <w:pStyle w:val="BodyText"/>
        <w:rPr>
          <w:rStyle w:val="Tekst-VplivUkrepa-SektorjiCharChar"/>
          <w:rFonts w:ascii="Arial" w:eastAsia="Calibri" w:hAnsi="Arial" w:cs="Arial"/>
          <w:i w:val="0"/>
          <w:iCs/>
          <w:noProof/>
          <w:szCs w:val="22"/>
        </w:rPr>
      </w:pPr>
      <w:r w:rsidRPr="00407339">
        <w:rPr>
          <w:rStyle w:val="Tekst-VplivUkrepa-SektorjiCharChar"/>
          <w:rFonts w:ascii="Arial" w:eastAsia="Calibri" w:hAnsi="Arial" w:cs="Arial"/>
          <w:i w:val="0"/>
          <w:iCs/>
          <w:noProof/>
          <w:szCs w:val="22"/>
        </w:rPr>
        <w:t>Ukrep temelji na treh stebrih:</w:t>
      </w:r>
    </w:p>
    <w:p w14:paraId="5C590ECA" w14:textId="7A015215" w:rsidR="00AF3FEE" w:rsidRPr="00AF3FEE" w:rsidRDefault="00AF3FEE" w:rsidP="00AF3FEE">
      <w:pPr>
        <w:pStyle w:val="TEKSTseznamKoncentriran"/>
        <w:spacing w:line="244" w:lineRule="auto"/>
        <w:ind w:left="714" w:hanging="357"/>
        <w:jc w:val="both"/>
        <w:rPr>
          <w:rFonts w:ascii="Arial" w:hAnsi="Arial" w:cs="Arial"/>
          <w:noProof/>
          <w:szCs w:val="22"/>
        </w:rPr>
      </w:pPr>
      <w:r w:rsidRPr="00AF3FEE">
        <w:rPr>
          <w:rFonts w:ascii="Arial" w:hAnsi="Arial" w:cs="Arial"/>
          <w:noProof/>
          <w:szCs w:val="22"/>
        </w:rPr>
        <w:t>obveznostih proizvajalcev vozil glede zmanjšanja emisij CO</w:t>
      </w:r>
      <w:r w:rsidRPr="00AF3FEE">
        <w:rPr>
          <w:rFonts w:ascii="Arial" w:hAnsi="Arial" w:cs="Arial"/>
          <w:noProof/>
          <w:szCs w:val="22"/>
          <w:vertAlign w:val="subscript"/>
        </w:rPr>
        <w:t>2</w:t>
      </w:r>
      <w:r w:rsidRPr="00AF3FEE">
        <w:rPr>
          <w:rFonts w:ascii="Arial" w:hAnsi="Arial" w:cs="Arial"/>
          <w:noProof/>
          <w:szCs w:val="22"/>
        </w:rPr>
        <w:t xml:space="preserve"> na prevožen</w:t>
      </w:r>
      <w:r w:rsidR="00D93E28">
        <w:rPr>
          <w:rFonts w:ascii="Arial" w:hAnsi="Arial" w:cs="Arial"/>
          <w:noProof/>
          <w:szCs w:val="22"/>
        </w:rPr>
        <w:t>i</w:t>
      </w:r>
      <w:r w:rsidRPr="00AF3FEE">
        <w:rPr>
          <w:rFonts w:ascii="Arial" w:hAnsi="Arial" w:cs="Arial"/>
          <w:noProof/>
          <w:szCs w:val="22"/>
        </w:rPr>
        <w:t xml:space="preserve"> kilometer za nova vozila,</w:t>
      </w:r>
    </w:p>
    <w:p w14:paraId="5F9945EE" w14:textId="5EB1185E" w:rsidR="00AF3FEE" w:rsidRPr="00AF3FEE" w:rsidRDefault="00AF3FEE" w:rsidP="00AF3FEE">
      <w:pPr>
        <w:pStyle w:val="TEKSTseznamKoncentriran"/>
        <w:spacing w:line="244" w:lineRule="auto"/>
        <w:ind w:left="714" w:hanging="357"/>
        <w:jc w:val="both"/>
        <w:rPr>
          <w:rFonts w:ascii="Arial" w:hAnsi="Arial" w:cs="Arial"/>
          <w:noProof/>
          <w:szCs w:val="22"/>
        </w:rPr>
      </w:pPr>
      <w:r w:rsidRPr="00AF3FEE">
        <w:rPr>
          <w:rFonts w:ascii="Arial" w:hAnsi="Arial" w:cs="Arial"/>
          <w:noProof/>
          <w:szCs w:val="22"/>
        </w:rPr>
        <w:t xml:space="preserve">ozaveščanju ljudi o porabi goriva in emisijah vozil </w:t>
      </w:r>
      <w:r w:rsidR="00BC0E35">
        <w:rPr>
          <w:rFonts w:ascii="Arial" w:hAnsi="Arial" w:cs="Arial"/>
          <w:noProof/>
          <w:szCs w:val="22"/>
        </w:rPr>
        <w:t>ter</w:t>
      </w:r>
    </w:p>
    <w:p w14:paraId="161CA08B" w14:textId="4B00A9EF" w:rsidR="00AF3FEE" w:rsidRPr="00AF3FEE" w:rsidRDefault="00AF3FEE" w:rsidP="00AF3FEE">
      <w:pPr>
        <w:pStyle w:val="TEKSTseznamKoncentriran"/>
        <w:spacing w:line="244" w:lineRule="auto"/>
        <w:ind w:left="714" w:hanging="357"/>
        <w:jc w:val="both"/>
        <w:rPr>
          <w:rFonts w:ascii="Arial" w:hAnsi="Arial" w:cs="Arial"/>
          <w:noProof/>
          <w:szCs w:val="22"/>
        </w:rPr>
      </w:pPr>
      <w:r w:rsidRPr="00AF3FEE">
        <w:rPr>
          <w:rFonts w:ascii="Arial" w:hAnsi="Arial" w:cs="Arial"/>
          <w:noProof/>
          <w:szCs w:val="22"/>
        </w:rPr>
        <w:t>spodbujanju nakupa in uporabe učinkovitejših vozil prek dajatev.</w:t>
      </w:r>
    </w:p>
    <w:p w14:paraId="6347A93E" w14:textId="2F47FCAD" w:rsidR="00AF3FEE" w:rsidRPr="00AF3FEE" w:rsidRDefault="00AF3FEE" w:rsidP="00AF3FEE">
      <w:pPr>
        <w:pStyle w:val="BodyText"/>
        <w:rPr>
          <w:rFonts w:ascii="Arial" w:hAnsi="Arial" w:cs="Arial"/>
          <w:noProof/>
          <w:szCs w:val="22"/>
        </w:rPr>
      </w:pPr>
      <w:r w:rsidRPr="00AF3FEE">
        <w:rPr>
          <w:rFonts w:ascii="Arial" w:hAnsi="Arial" w:cs="Arial"/>
          <w:noProof/>
          <w:szCs w:val="22"/>
        </w:rPr>
        <w:t>Evropska komisija je leta 2009 sprejela prve obvezujoče cilje za povprečne emisije CO</w:t>
      </w:r>
      <w:r w:rsidRPr="00AF3FEE">
        <w:rPr>
          <w:rFonts w:ascii="Arial" w:hAnsi="Arial" w:cs="Arial"/>
          <w:noProof/>
          <w:szCs w:val="22"/>
          <w:vertAlign w:val="subscript"/>
        </w:rPr>
        <w:t>2</w:t>
      </w:r>
      <w:r w:rsidRPr="00AF3FEE">
        <w:rPr>
          <w:rFonts w:ascii="Arial" w:hAnsi="Arial" w:cs="Arial"/>
          <w:noProof/>
          <w:szCs w:val="22"/>
        </w:rPr>
        <w:t xml:space="preserve"> novih avtomobilov. Zadnji veljavni cilji so bili sprejeti leta 2023. Povprečne emisije CO</w:t>
      </w:r>
      <w:r w:rsidRPr="00AF3FEE">
        <w:rPr>
          <w:rFonts w:ascii="Arial" w:hAnsi="Arial" w:cs="Arial"/>
          <w:noProof/>
          <w:szCs w:val="22"/>
          <w:vertAlign w:val="subscript"/>
        </w:rPr>
        <w:t>2</w:t>
      </w:r>
      <w:r w:rsidRPr="00AF3FEE">
        <w:rPr>
          <w:rFonts w:ascii="Arial" w:hAnsi="Arial" w:cs="Arial"/>
          <w:noProof/>
          <w:szCs w:val="22"/>
        </w:rPr>
        <w:t xml:space="preserve"> novih avtomobilov morajo biti leta 2030 vsaj </w:t>
      </w:r>
      <w:r w:rsidR="00D93E28">
        <w:rPr>
          <w:rFonts w:ascii="Arial" w:hAnsi="Arial" w:cs="Arial"/>
          <w:noProof/>
          <w:szCs w:val="22"/>
        </w:rPr>
        <w:t xml:space="preserve">za </w:t>
      </w:r>
      <w:r w:rsidRPr="00AF3FEE">
        <w:rPr>
          <w:rFonts w:ascii="Arial" w:hAnsi="Arial" w:cs="Arial"/>
          <w:noProof/>
          <w:szCs w:val="22"/>
        </w:rPr>
        <w:t>55 % nižj</w:t>
      </w:r>
      <w:r w:rsidR="00BC0E35">
        <w:rPr>
          <w:rFonts w:ascii="Arial" w:hAnsi="Arial" w:cs="Arial"/>
          <w:noProof/>
          <w:szCs w:val="22"/>
        </w:rPr>
        <w:t>e</w:t>
      </w:r>
      <w:r w:rsidRPr="00AF3FEE">
        <w:rPr>
          <w:rFonts w:ascii="Arial" w:hAnsi="Arial" w:cs="Arial"/>
          <w:noProof/>
          <w:szCs w:val="22"/>
        </w:rPr>
        <w:t xml:space="preserve"> kot leta 2021, novih kombijev pa </w:t>
      </w:r>
      <w:r w:rsidR="00D93E28">
        <w:rPr>
          <w:rFonts w:ascii="Arial" w:hAnsi="Arial" w:cs="Arial"/>
          <w:noProof/>
          <w:szCs w:val="22"/>
        </w:rPr>
        <w:t xml:space="preserve">za </w:t>
      </w:r>
      <w:r w:rsidRPr="00AF3FEE">
        <w:rPr>
          <w:rFonts w:ascii="Arial" w:hAnsi="Arial" w:cs="Arial"/>
          <w:noProof/>
          <w:szCs w:val="22"/>
        </w:rPr>
        <w:t xml:space="preserve">50 %. Po letu 2035 ne bo več </w:t>
      </w:r>
      <w:r w:rsidR="004F2B0D">
        <w:rPr>
          <w:rFonts w:ascii="Arial" w:hAnsi="Arial" w:cs="Arial"/>
          <w:noProof/>
          <w:szCs w:val="22"/>
        </w:rPr>
        <w:t xml:space="preserve">mogoče </w:t>
      </w:r>
      <w:r w:rsidRPr="00AF3FEE">
        <w:rPr>
          <w:rFonts w:ascii="Arial" w:hAnsi="Arial" w:cs="Arial"/>
          <w:noProof/>
          <w:szCs w:val="22"/>
        </w:rPr>
        <w:t>registrirati novih vozil, ki povzročajo emisije CO</w:t>
      </w:r>
      <w:r w:rsidRPr="00AF3FEE">
        <w:rPr>
          <w:rFonts w:ascii="Arial" w:hAnsi="Arial" w:cs="Arial"/>
          <w:noProof/>
          <w:szCs w:val="22"/>
          <w:vertAlign w:val="subscript"/>
        </w:rPr>
        <w:t>2</w:t>
      </w:r>
      <w:r w:rsidRPr="00AF3FEE">
        <w:rPr>
          <w:rFonts w:ascii="Arial" w:hAnsi="Arial" w:cs="Arial"/>
          <w:noProof/>
          <w:szCs w:val="22"/>
        </w:rPr>
        <w:t xml:space="preserve">. </w:t>
      </w:r>
    </w:p>
    <w:p w14:paraId="4F34AAEE" w14:textId="6D3F93EA"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Za težka tovorna vozila je EU sprejela nove cilje leta 2024. Prejšnji cilji so bili močno zaostreni, poleg tega so bili razširjeni na več vrst vozil in </w:t>
      </w:r>
      <w:r w:rsidR="007C178E">
        <w:rPr>
          <w:rFonts w:ascii="Arial" w:hAnsi="Arial" w:cs="Arial"/>
          <w:noProof/>
          <w:szCs w:val="22"/>
        </w:rPr>
        <w:t>z</w:t>
      </w:r>
      <w:r w:rsidR="007C178E" w:rsidRPr="00AF3FEE">
        <w:rPr>
          <w:rFonts w:ascii="Arial" w:hAnsi="Arial" w:cs="Arial"/>
          <w:noProof/>
          <w:szCs w:val="22"/>
        </w:rPr>
        <w:t xml:space="preserve">daj </w:t>
      </w:r>
      <w:r w:rsidR="00D93E28">
        <w:rPr>
          <w:rFonts w:ascii="Arial" w:hAnsi="Arial" w:cs="Arial"/>
          <w:noProof/>
          <w:szCs w:val="22"/>
        </w:rPr>
        <w:t>zajem</w:t>
      </w:r>
      <w:r w:rsidR="00D93E28" w:rsidRPr="00AF3FEE">
        <w:rPr>
          <w:rFonts w:ascii="Arial" w:hAnsi="Arial" w:cs="Arial"/>
          <w:noProof/>
          <w:szCs w:val="22"/>
        </w:rPr>
        <w:t xml:space="preserve">ajo </w:t>
      </w:r>
      <w:r w:rsidRPr="00AF3FEE">
        <w:rPr>
          <w:rFonts w:ascii="Arial" w:hAnsi="Arial" w:cs="Arial"/>
          <w:noProof/>
          <w:szCs w:val="22"/>
        </w:rPr>
        <w:t>vlačilce, mestne avtobuse, turistične avtobuse</w:t>
      </w:r>
      <w:r w:rsidR="00D93E28">
        <w:rPr>
          <w:rFonts w:ascii="Arial" w:hAnsi="Arial" w:cs="Arial"/>
          <w:noProof/>
          <w:szCs w:val="22"/>
        </w:rPr>
        <w:t xml:space="preserve"> in</w:t>
      </w:r>
      <w:r w:rsidRPr="00AF3FEE">
        <w:rPr>
          <w:rFonts w:ascii="Arial" w:hAnsi="Arial" w:cs="Arial"/>
          <w:noProof/>
          <w:szCs w:val="22"/>
        </w:rPr>
        <w:t xml:space="preserve"> tovornjake. Cilj za leto 2030 je zmanjšanje emisij za 45 % glede na referenčne emisije v obdobju </w:t>
      </w:r>
      <w:r w:rsidR="00BC0E35">
        <w:rPr>
          <w:rFonts w:ascii="Arial" w:hAnsi="Arial" w:cs="Arial"/>
          <w:noProof/>
          <w:szCs w:val="22"/>
        </w:rPr>
        <w:t xml:space="preserve">od </w:t>
      </w:r>
      <w:r w:rsidRPr="00AF3FEE">
        <w:rPr>
          <w:rFonts w:ascii="Arial" w:hAnsi="Arial" w:cs="Arial"/>
          <w:noProof/>
          <w:szCs w:val="22"/>
        </w:rPr>
        <w:t>1. julij</w:t>
      </w:r>
      <w:r w:rsidR="00BC0E35">
        <w:rPr>
          <w:rFonts w:ascii="Arial" w:hAnsi="Arial" w:cs="Arial"/>
          <w:noProof/>
          <w:szCs w:val="22"/>
        </w:rPr>
        <w:t>a</w:t>
      </w:r>
      <w:r w:rsidRPr="00AF3FEE">
        <w:rPr>
          <w:rFonts w:ascii="Arial" w:hAnsi="Arial" w:cs="Arial"/>
          <w:noProof/>
          <w:szCs w:val="22"/>
        </w:rPr>
        <w:t xml:space="preserve"> 2019 </w:t>
      </w:r>
      <w:r w:rsidR="00BC0E35">
        <w:rPr>
          <w:rFonts w:ascii="Arial" w:hAnsi="Arial" w:cs="Arial"/>
          <w:noProof/>
          <w:szCs w:val="22"/>
        </w:rPr>
        <w:t xml:space="preserve">do </w:t>
      </w:r>
      <w:r w:rsidRPr="00AF3FEE">
        <w:rPr>
          <w:rFonts w:ascii="Arial" w:hAnsi="Arial" w:cs="Arial"/>
          <w:noProof/>
          <w:szCs w:val="22"/>
        </w:rPr>
        <w:t>1. junij</w:t>
      </w:r>
      <w:r w:rsidR="00BC0E35">
        <w:rPr>
          <w:rFonts w:ascii="Arial" w:hAnsi="Arial" w:cs="Arial"/>
          <w:noProof/>
          <w:szCs w:val="22"/>
        </w:rPr>
        <w:t>a</w:t>
      </w:r>
      <w:r w:rsidRPr="00AF3FEE">
        <w:rPr>
          <w:rFonts w:ascii="Arial" w:hAnsi="Arial" w:cs="Arial"/>
          <w:noProof/>
          <w:szCs w:val="22"/>
        </w:rPr>
        <w:t xml:space="preserve"> 2020, za leto 2040 pa zmanjšanje za 90 %. </w:t>
      </w:r>
    </w:p>
    <w:p w14:paraId="328E4C85" w14:textId="67ED7C77"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Obveščanje in ozaveščanje v največji meri </w:t>
      </w:r>
      <w:r w:rsidR="00AF5F8D">
        <w:rPr>
          <w:rFonts w:ascii="Arial" w:hAnsi="Arial" w:cs="Arial"/>
          <w:noProof/>
          <w:szCs w:val="22"/>
        </w:rPr>
        <w:t xml:space="preserve">potekata z </w:t>
      </w:r>
      <w:r w:rsidR="00AF5F8D" w:rsidRPr="00AF3FEE">
        <w:rPr>
          <w:rFonts w:ascii="Arial" w:hAnsi="Arial" w:cs="Arial"/>
          <w:noProof/>
          <w:szCs w:val="22"/>
        </w:rPr>
        <w:t>označevanj</w:t>
      </w:r>
      <w:r w:rsidR="00AF5F8D">
        <w:rPr>
          <w:rFonts w:ascii="Arial" w:hAnsi="Arial" w:cs="Arial"/>
          <w:noProof/>
          <w:szCs w:val="22"/>
        </w:rPr>
        <w:t>em</w:t>
      </w:r>
      <w:r w:rsidR="00AF5F8D" w:rsidRPr="00AF3FEE">
        <w:rPr>
          <w:rFonts w:ascii="Arial" w:hAnsi="Arial" w:cs="Arial"/>
          <w:noProof/>
          <w:szCs w:val="22"/>
        </w:rPr>
        <w:t xml:space="preserve"> </w:t>
      </w:r>
      <w:r w:rsidRPr="00AF3FEE">
        <w:rPr>
          <w:rFonts w:ascii="Arial" w:hAnsi="Arial" w:cs="Arial"/>
          <w:noProof/>
          <w:szCs w:val="22"/>
        </w:rPr>
        <w:t xml:space="preserve">porabe goriv na osebnih vozilih. </w:t>
      </w:r>
      <w:r w:rsidR="00CC2786">
        <w:rPr>
          <w:rFonts w:ascii="Arial" w:hAnsi="Arial" w:cs="Arial"/>
          <w:noProof/>
          <w:szCs w:val="22"/>
        </w:rPr>
        <w:t xml:space="preserve">V skladu </w:t>
      </w:r>
      <w:r w:rsidRPr="00AF3FEE">
        <w:rPr>
          <w:rFonts w:ascii="Arial" w:hAnsi="Arial" w:cs="Arial"/>
          <w:noProof/>
          <w:szCs w:val="22"/>
        </w:rPr>
        <w:t>z Uredbo o informacijah o varčnosti porabe goriva, emisijah ogljikovega dioksida in emisijah onesnaževal zunanjega zraka, ki prenaša Direktivo 1999/94/ES</w:t>
      </w:r>
      <w:r w:rsidR="00AF5F8D">
        <w:rPr>
          <w:rFonts w:ascii="Arial" w:hAnsi="Arial" w:cs="Arial"/>
          <w:noProof/>
          <w:szCs w:val="22"/>
        </w:rPr>
        <w:t>,</w:t>
      </w:r>
      <w:r w:rsidRPr="00AF3FEE">
        <w:rPr>
          <w:rStyle w:val="FootnoteReference"/>
          <w:rFonts w:ascii="Arial" w:hAnsi="Arial" w:cs="Arial"/>
          <w:noProof/>
          <w:szCs w:val="22"/>
        </w:rPr>
        <w:footnoteReference w:id="86"/>
      </w:r>
      <w:r w:rsidRPr="00AF3FEE">
        <w:rPr>
          <w:rFonts w:ascii="Arial" w:hAnsi="Arial" w:cs="Arial"/>
          <w:noProof/>
          <w:szCs w:val="22"/>
        </w:rPr>
        <w:t xml:space="preserve"> morajo dobavitelji osebnih vozil zagotoviti podatke o porabi goriva in emisijah vozil na prodajnem mestu, kakor tudi v promocijskem prospektu. Poleg tega morajo pripraviti tudi priročnik o varčni rabi goriva in emisijah CO</w:t>
      </w:r>
      <w:r w:rsidRPr="00AF3FEE">
        <w:rPr>
          <w:rFonts w:ascii="Arial" w:hAnsi="Arial" w:cs="Arial"/>
          <w:noProof/>
          <w:szCs w:val="22"/>
          <w:vertAlign w:val="subscript"/>
        </w:rPr>
        <w:t>2</w:t>
      </w:r>
      <w:r w:rsidRPr="00AF3FEE">
        <w:rPr>
          <w:rFonts w:ascii="Arial" w:hAnsi="Arial" w:cs="Arial"/>
          <w:noProof/>
          <w:szCs w:val="22"/>
        </w:rPr>
        <w:t>.</w:t>
      </w:r>
    </w:p>
    <w:p w14:paraId="181A5EEA" w14:textId="6D521E62"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Učinkovito rabo vozil spodbuja tudi ukrep </w:t>
      </w:r>
      <w:r w:rsidR="00AF5F8D">
        <w:rPr>
          <w:rFonts w:ascii="Arial" w:hAnsi="Arial" w:cs="Arial"/>
          <w:noProof/>
          <w:szCs w:val="22"/>
        </w:rPr>
        <w:t>z</w:t>
      </w:r>
      <w:r w:rsidRPr="00AF3FEE">
        <w:rPr>
          <w:rFonts w:ascii="Arial" w:hAnsi="Arial" w:cs="Arial"/>
          <w:noProof/>
          <w:szCs w:val="22"/>
        </w:rPr>
        <w:t xml:space="preserve">eleno javno naročanje (glej ukrep </w:t>
      </w:r>
      <w:r w:rsidRPr="00AF3FEE">
        <w:rPr>
          <w:rFonts w:ascii="Arial" w:hAnsi="Arial" w:cs="Arial"/>
          <w:noProof/>
          <w:szCs w:val="22"/>
        </w:rPr>
        <w:fldChar w:fldCharType="begin"/>
      </w:r>
      <w:r w:rsidRPr="00AF3FEE">
        <w:rPr>
          <w:rFonts w:ascii="Arial" w:hAnsi="Arial" w:cs="Arial"/>
          <w:noProof/>
          <w:szCs w:val="22"/>
        </w:rPr>
        <w:instrText xml:space="preserve"> REF _Ref192941165 \r \h  \* MERGEFORMAT </w:instrText>
      </w:r>
      <w:r w:rsidRPr="00AF3FEE">
        <w:rPr>
          <w:rFonts w:ascii="Arial" w:hAnsi="Arial" w:cs="Arial"/>
          <w:noProof/>
          <w:szCs w:val="22"/>
        </w:rPr>
      </w:r>
      <w:r w:rsidRPr="00AF3FEE">
        <w:rPr>
          <w:rFonts w:ascii="Arial" w:hAnsi="Arial" w:cs="Arial"/>
          <w:noProof/>
          <w:szCs w:val="22"/>
        </w:rPr>
        <w:fldChar w:fldCharType="separate"/>
      </w:r>
      <w:r w:rsidRPr="00AF3FEE">
        <w:rPr>
          <w:rFonts w:ascii="Arial" w:hAnsi="Arial" w:cs="Arial"/>
          <w:noProof/>
          <w:szCs w:val="22"/>
        </w:rPr>
        <w:t>M-8</w:t>
      </w:r>
      <w:r w:rsidRPr="00AF3FEE">
        <w:rPr>
          <w:rFonts w:ascii="Arial" w:hAnsi="Arial" w:cs="Arial"/>
          <w:noProof/>
          <w:szCs w:val="22"/>
        </w:rPr>
        <w:fldChar w:fldCharType="end"/>
      </w:r>
      <w:r w:rsidRPr="00AF3FEE">
        <w:rPr>
          <w:rFonts w:ascii="Arial" w:hAnsi="Arial" w:cs="Arial"/>
          <w:noProof/>
          <w:szCs w:val="22"/>
        </w:rPr>
        <w:t>)</w:t>
      </w:r>
      <w:r w:rsidR="00AF5F8D">
        <w:rPr>
          <w:rFonts w:ascii="Arial" w:hAnsi="Arial" w:cs="Arial"/>
          <w:noProof/>
          <w:szCs w:val="22"/>
        </w:rPr>
        <w:t>,</w:t>
      </w:r>
      <w:r w:rsidRPr="00AF3FEE">
        <w:rPr>
          <w:rFonts w:ascii="Arial" w:hAnsi="Arial" w:cs="Arial"/>
          <w:noProof/>
          <w:szCs w:val="22"/>
        </w:rPr>
        <w:t xml:space="preserve"> saj so predmet </w:t>
      </w:r>
      <w:r w:rsidR="00AF5F8D">
        <w:rPr>
          <w:rFonts w:ascii="Arial" w:hAnsi="Arial" w:cs="Arial"/>
          <w:noProof/>
          <w:szCs w:val="22"/>
        </w:rPr>
        <w:t xml:space="preserve">tega ukrepa </w:t>
      </w:r>
      <w:r w:rsidRPr="00AF3FEE">
        <w:rPr>
          <w:rFonts w:ascii="Arial" w:hAnsi="Arial" w:cs="Arial"/>
          <w:noProof/>
          <w:szCs w:val="22"/>
        </w:rPr>
        <w:t>tudi vozila in storitve prevoza.</w:t>
      </w:r>
    </w:p>
    <w:p w14:paraId="46B7ED41" w14:textId="19A71046"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Tretji steber </w:t>
      </w:r>
      <w:r w:rsidR="00AF5F8D">
        <w:rPr>
          <w:rFonts w:ascii="Arial" w:hAnsi="Arial" w:cs="Arial"/>
          <w:noProof/>
          <w:szCs w:val="22"/>
        </w:rPr>
        <w:t xml:space="preserve">so </w:t>
      </w:r>
      <w:r w:rsidRPr="00AF3FEE">
        <w:rPr>
          <w:rFonts w:ascii="Arial" w:hAnsi="Arial" w:cs="Arial"/>
          <w:noProof/>
          <w:szCs w:val="22"/>
        </w:rPr>
        <w:t xml:space="preserve">davčni ukrepi. Davek na motorna vozila (DMV) se plačuje za vozila, ki se dajo prvič v promet ali se prvič registrirajo na </w:t>
      </w:r>
      <w:r w:rsidR="00AF5F8D">
        <w:rPr>
          <w:rFonts w:ascii="Arial" w:hAnsi="Arial" w:cs="Arial"/>
          <w:noProof/>
          <w:szCs w:val="22"/>
        </w:rPr>
        <w:t>ozemlju</w:t>
      </w:r>
      <w:r w:rsidR="00AF5F8D" w:rsidRPr="00AF3FEE">
        <w:rPr>
          <w:rFonts w:ascii="Arial" w:hAnsi="Arial" w:cs="Arial"/>
          <w:noProof/>
          <w:szCs w:val="22"/>
        </w:rPr>
        <w:t xml:space="preserve"> </w:t>
      </w:r>
      <w:r w:rsidRPr="00AF3FEE">
        <w:rPr>
          <w:rFonts w:ascii="Arial" w:hAnsi="Arial" w:cs="Arial"/>
          <w:noProof/>
          <w:szCs w:val="22"/>
        </w:rPr>
        <w:t>Republike Slovenije.</w:t>
      </w:r>
      <w:r w:rsidR="00CE5F74" w:rsidRPr="00CE5F74">
        <w:rPr>
          <w:rFonts w:ascii="Arial" w:hAnsi="Arial" w:cs="Arial"/>
          <w:noProof/>
          <w:szCs w:val="22"/>
        </w:rPr>
        <w:t xml:space="preserve"> </w:t>
      </w:r>
      <w:r w:rsidR="00CE5F74" w:rsidRPr="00AF3FEE">
        <w:rPr>
          <w:rFonts w:ascii="Arial" w:hAnsi="Arial" w:cs="Arial"/>
          <w:noProof/>
          <w:szCs w:val="22"/>
        </w:rPr>
        <w:t xml:space="preserve">Leta 2020 je </w:t>
      </w:r>
      <w:r w:rsidR="00D93E28">
        <w:rPr>
          <w:rFonts w:ascii="Arial" w:hAnsi="Arial" w:cs="Arial"/>
          <w:noProof/>
          <w:szCs w:val="22"/>
        </w:rPr>
        <w:t>začel veljati</w:t>
      </w:r>
      <w:r w:rsidR="00D93E28" w:rsidRPr="00AF3FEE">
        <w:rPr>
          <w:rFonts w:ascii="Arial" w:hAnsi="Arial" w:cs="Arial"/>
          <w:noProof/>
          <w:szCs w:val="22"/>
        </w:rPr>
        <w:t xml:space="preserve"> </w:t>
      </w:r>
      <w:r w:rsidR="00CE5F74" w:rsidRPr="00AF3FEE">
        <w:rPr>
          <w:rFonts w:ascii="Arial" w:hAnsi="Arial" w:cs="Arial"/>
          <w:noProof/>
          <w:szCs w:val="22"/>
        </w:rPr>
        <w:t xml:space="preserve">nov Zakon o davku na motorna vozila (ZDMV-1), ki je spremenil </w:t>
      </w:r>
      <w:r w:rsidR="00CE5F74">
        <w:rPr>
          <w:rFonts w:ascii="Arial" w:hAnsi="Arial" w:cs="Arial"/>
          <w:noProof/>
          <w:szCs w:val="22"/>
        </w:rPr>
        <w:t>davčno osnovo za davek</w:t>
      </w:r>
      <w:r w:rsidR="00AF5F8D">
        <w:rPr>
          <w:rFonts w:ascii="Arial" w:hAnsi="Arial" w:cs="Arial"/>
          <w:noProof/>
          <w:szCs w:val="22"/>
        </w:rPr>
        <w:t>;</w:t>
      </w:r>
      <w:r w:rsidR="00CE5F74">
        <w:rPr>
          <w:rFonts w:ascii="Arial" w:hAnsi="Arial" w:cs="Arial"/>
          <w:noProof/>
          <w:szCs w:val="22"/>
        </w:rPr>
        <w:t xml:space="preserve"> </w:t>
      </w:r>
      <w:r w:rsidR="00AF5F8D">
        <w:rPr>
          <w:rFonts w:ascii="Arial" w:hAnsi="Arial" w:cs="Arial"/>
          <w:noProof/>
          <w:szCs w:val="22"/>
        </w:rPr>
        <w:t xml:space="preserve">ta </w:t>
      </w:r>
      <w:r w:rsidR="00CE5F74">
        <w:rPr>
          <w:rFonts w:ascii="Arial" w:hAnsi="Arial" w:cs="Arial"/>
          <w:noProof/>
          <w:szCs w:val="22"/>
        </w:rPr>
        <w:t xml:space="preserve">je bila odvisna od </w:t>
      </w:r>
      <w:r w:rsidR="00CE5F74" w:rsidRPr="00426C3C">
        <w:rPr>
          <w:rFonts w:ascii="Arial" w:hAnsi="Arial" w:cs="Arial"/>
          <w:noProof/>
          <w:szCs w:val="22"/>
        </w:rPr>
        <w:t>prostornin</w:t>
      </w:r>
      <w:r w:rsidR="00CE5F74">
        <w:rPr>
          <w:rFonts w:ascii="Arial" w:hAnsi="Arial" w:cs="Arial"/>
          <w:noProof/>
          <w:szCs w:val="22"/>
        </w:rPr>
        <w:t>e</w:t>
      </w:r>
      <w:r w:rsidR="00CE5F74" w:rsidRPr="00426C3C">
        <w:rPr>
          <w:rFonts w:ascii="Arial" w:hAnsi="Arial" w:cs="Arial"/>
          <w:noProof/>
          <w:szCs w:val="22"/>
        </w:rPr>
        <w:t xml:space="preserve"> </w:t>
      </w:r>
      <w:r w:rsidR="00AF5F8D">
        <w:rPr>
          <w:rFonts w:ascii="Arial" w:hAnsi="Arial" w:cs="Arial"/>
          <w:noProof/>
          <w:szCs w:val="22"/>
        </w:rPr>
        <w:t xml:space="preserve">in </w:t>
      </w:r>
      <w:r w:rsidR="00CE5F74" w:rsidRPr="00426C3C">
        <w:rPr>
          <w:rFonts w:ascii="Arial" w:hAnsi="Arial" w:cs="Arial"/>
          <w:noProof/>
          <w:szCs w:val="22"/>
        </w:rPr>
        <w:t>moč</w:t>
      </w:r>
      <w:r w:rsidR="00CE5F74">
        <w:rPr>
          <w:rFonts w:ascii="Arial" w:hAnsi="Arial" w:cs="Arial"/>
          <w:noProof/>
          <w:szCs w:val="22"/>
        </w:rPr>
        <w:t>i</w:t>
      </w:r>
      <w:r w:rsidR="00CE5F74" w:rsidRPr="00426C3C">
        <w:rPr>
          <w:rFonts w:ascii="Arial" w:hAnsi="Arial" w:cs="Arial"/>
          <w:noProof/>
          <w:szCs w:val="22"/>
        </w:rPr>
        <w:t xml:space="preserve"> motorja </w:t>
      </w:r>
      <w:r w:rsidR="00AF5F8D">
        <w:rPr>
          <w:rFonts w:ascii="Arial" w:hAnsi="Arial" w:cs="Arial"/>
          <w:noProof/>
          <w:szCs w:val="22"/>
        </w:rPr>
        <w:t>ter</w:t>
      </w:r>
      <w:r w:rsidR="00AF5F8D" w:rsidRPr="00426C3C">
        <w:rPr>
          <w:rFonts w:ascii="Arial" w:hAnsi="Arial" w:cs="Arial"/>
          <w:noProof/>
          <w:szCs w:val="22"/>
        </w:rPr>
        <w:t xml:space="preserve"> </w:t>
      </w:r>
      <w:r w:rsidR="00CE5F74" w:rsidRPr="00426C3C">
        <w:rPr>
          <w:rFonts w:ascii="Arial" w:hAnsi="Arial" w:cs="Arial"/>
          <w:noProof/>
          <w:szCs w:val="22"/>
        </w:rPr>
        <w:t>vrst</w:t>
      </w:r>
      <w:r w:rsidR="00CE5F74">
        <w:rPr>
          <w:rFonts w:ascii="Arial" w:hAnsi="Arial" w:cs="Arial"/>
          <w:noProof/>
          <w:szCs w:val="22"/>
        </w:rPr>
        <w:t>e</w:t>
      </w:r>
      <w:r w:rsidR="00CE5F74" w:rsidRPr="00426C3C">
        <w:rPr>
          <w:rFonts w:ascii="Arial" w:hAnsi="Arial" w:cs="Arial"/>
          <w:noProof/>
          <w:szCs w:val="22"/>
        </w:rPr>
        <w:t xml:space="preserve"> goriva</w:t>
      </w:r>
      <w:r w:rsidR="00AF5F8D">
        <w:rPr>
          <w:rFonts w:ascii="Arial" w:hAnsi="Arial" w:cs="Arial"/>
          <w:noProof/>
          <w:szCs w:val="22"/>
        </w:rPr>
        <w:t>,</w:t>
      </w:r>
      <w:r w:rsidR="00CE5F74">
        <w:rPr>
          <w:rFonts w:ascii="Arial" w:hAnsi="Arial" w:cs="Arial"/>
          <w:noProof/>
          <w:szCs w:val="22"/>
        </w:rPr>
        <w:t xml:space="preserve"> tako</w:t>
      </w:r>
      <w:r w:rsidR="00CE5F74" w:rsidRPr="00AF3FEE">
        <w:rPr>
          <w:rFonts w:ascii="Arial" w:hAnsi="Arial" w:cs="Arial"/>
          <w:noProof/>
          <w:szCs w:val="22"/>
        </w:rPr>
        <w:t xml:space="preserve"> da je </w:t>
      </w:r>
      <w:r w:rsidR="00CE5F74" w:rsidRPr="00426C3C">
        <w:rPr>
          <w:rFonts w:ascii="Arial" w:hAnsi="Arial" w:cs="Arial"/>
          <w:noProof/>
          <w:szCs w:val="22"/>
        </w:rPr>
        <w:t>kriterij za izračun davka le izpust CO</w:t>
      </w:r>
      <w:r w:rsidR="00CE5F74" w:rsidRPr="00D93E28">
        <w:rPr>
          <w:rFonts w:ascii="Cambria Math" w:hAnsi="Cambria Math" w:cs="Cambria Math"/>
          <w:noProof/>
          <w:szCs w:val="22"/>
        </w:rPr>
        <w:t>₂</w:t>
      </w:r>
      <w:r w:rsidR="00CE5F74" w:rsidRPr="00D93E28">
        <w:rPr>
          <w:rFonts w:ascii="Arial" w:hAnsi="Arial" w:cs="Arial"/>
          <w:noProof/>
          <w:szCs w:val="22"/>
        </w:rPr>
        <w:t xml:space="preserve"> </w:t>
      </w:r>
      <w:r w:rsidR="00CE5F74" w:rsidRPr="00426C3C">
        <w:rPr>
          <w:rFonts w:ascii="Arial" w:hAnsi="Arial" w:cs="Arial"/>
          <w:noProof/>
          <w:szCs w:val="22"/>
        </w:rPr>
        <w:t>vozila, ki se meri po standardu WLTP</w:t>
      </w:r>
      <w:r w:rsidR="00CE5F74">
        <w:rPr>
          <w:rFonts w:ascii="Arial" w:hAnsi="Arial" w:cs="Arial"/>
          <w:noProof/>
          <w:szCs w:val="22"/>
        </w:rPr>
        <w:t xml:space="preserve"> </w:t>
      </w:r>
      <w:r w:rsidR="00CE5F74" w:rsidRPr="00426C3C">
        <w:rPr>
          <w:rFonts w:ascii="Arial" w:hAnsi="Arial" w:cs="Arial"/>
          <w:noProof/>
          <w:szCs w:val="22"/>
        </w:rPr>
        <w:t>(Worldwide Harmonized Light Vehicles Test Procedure)</w:t>
      </w:r>
      <w:r w:rsidR="00CE5F74">
        <w:rPr>
          <w:rFonts w:ascii="Arial" w:hAnsi="Arial" w:cs="Arial"/>
          <w:noProof/>
          <w:szCs w:val="22"/>
        </w:rPr>
        <w:t xml:space="preserve">. </w:t>
      </w:r>
      <w:r w:rsidR="00CE5F74" w:rsidRPr="00AF3FEE">
        <w:rPr>
          <w:rFonts w:ascii="Arial" w:hAnsi="Arial" w:cs="Arial"/>
          <w:noProof/>
          <w:szCs w:val="22"/>
        </w:rPr>
        <w:t>Davek je progresiven</w:t>
      </w:r>
      <w:r w:rsidR="00CE5F74">
        <w:rPr>
          <w:rFonts w:ascii="Arial" w:hAnsi="Arial" w:cs="Arial"/>
          <w:noProof/>
          <w:szCs w:val="22"/>
        </w:rPr>
        <w:t xml:space="preserve"> in vi</w:t>
      </w:r>
      <w:r w:rsidR="00CE5F74" w:rsidRPr="00426C3C">
        <w:rPr>
          <w:rFonts w:ascii="Arial" w:hAnsi="Arial" w:cs="Arial"/>
          <w:noProof/>
          <w:szCs w:val="22"/>
        </w:rPr>
        <w:t>šina davka narašča s stopnjo emisij CO</w:t>
      </w:r>
      <w:r w:rsidR="00CE5F74" w:rsidRPr="00D93E28">
        <w:rPr>
          <w:rFonts w:ascii="Cambria Math" w:hAnsi="Cambria Math" w:cs="Cambria Math"/>
          <w:noProof/>
          <w:szCs w:val="22"/>
        </w:rPr>
        <w:t>₂</w:t>
      </w:r>
      <w:r w:rsidR="00CE5F74" w:rsidRPr="00426C3C">
        <w:rPr>
          <w:rFonts w:ascii="Arial" w:hAnsi="Arial" w:cs="Arial"/>
          <w:noProof/>
          <w:szCs w:val="22"/>
        </w:rPr>
        <w:t xml:space="preserve">, kar pomeni, da so vozila z višjimi emisijami </w:t>
      </w:r>
      <w:r w:rsidR="00E708DC" w:rsidRPr="00426C3C">
        <w:rPr>
          <w:rFonts w:ascii="Arial" w:hAnsi="Arial" w:cs="Arial"/>
          <w:noProof/>
          <w:szCs w:val="22"/>
        </w:rPr>
        <w:t>bol</w:t>
      </w:r>
      <w:r w:rsidR="00E708DC">
        <w:rPr>
          <w:rFonts w:ascii="Arial" w:hAnsi="Arial" w:cs="Arial"/>
          <w:noProof/>
          <w:szCs w:val="22"/>
        </w:rPr>
        <w:t xml:space="preserve">j </w:t>
      </w:r>
      <w:r w:rsidR="00CE5F74" w:rsidRPr="00426C3C">
        <w:rPr>
          <w:rFonts w:ascii="Arial" w:hAnsi="Arial" w:cs="Arial"/>
          <w:noProof/>
          <w:szCs w:val="22"/>
        </w:rPr>
        <w:t>obdavčena.</w:t>
      </w:r>
      <w:r w:rsidR="00CE5F74">
        <w:rPr>
          <w:rFonts w:ascii="Arial" w:hAnsi="Arial" w:cs="Arial"/>
          <w:noProof/>
          <w:szCs w:val="22"/>
        </w:rPr>
        <w:t xml:space="preserve"> Pragovi </w:t>
      </w:r>
      <w:r w:rsidR="00CE5F74" w:rsidRPr="00426C3C">
        <w:rPr>
          <w:rFonts w:ascii="Arial" w:hAnsi="Arial" w:cs="Arial"/>
          <w:noProof/>
          <w:szCs w:val="22"/>
        </w:rPr>
        <w:t xml:space="preserve">za višje stopnje obdavčitve so </w:t>
      </w:r>
      <w:r w:rsidR="00E708DC">
        <w:rPr>
          <w:rFonts w:ascii="Arial" w:hAnsi="Arial" w:cs="Arial"/>
          <w:noProof/>
          <w:szCs w:val="22"/>
        </w:rPr>
        <w:t>sorazmerno</w:t>
      </w:r>
      <w:r w:rsidR="00E708DC" w:rsidRPr="00426C3C">
        <w:rPr>
          <w:rFonts w:ascii="Arial" w:hAnsi="Arial" w:cs="Arial"/>
          <w:noProof/>
          <w:szCs w:val="22"/>
        </w:rPr>
        <w:t xml:space="preserve"> </w:t>
      </w:r>
      <w:r w:rsidR="00CE5F74" w:rsidRPr="00426C3C">
        <w:rPr>
          <w:rFonts w:ascii="Arial" w:hAnsi="Arial" w:cs="Arial"/>
          <w:noProof/>
          <w:szCs w:val="22"/>
        </w:rPr>
        <w:t xml:space="preserve">visoki, kar pomeni, da davek manj spodbuja </w:t>
      </w:r>
      <w:r w:rsidR="00CE5F74">
        <w:rPr>
          <w:rFonts w:ascii="Arial" w:hAnsi="Arial" w:cs="Arial"/>
          <w:noProof/>
          <w:szCs w:val="22"/>
        </w:rPr>
        <w:t xml:space="preserve">k </w:t>
      </w:r>
      <w:r w:rsidR="00CE5F74" w:rsidRPr="00426C3C">
        <w:rPr>
          <w:rFonts w:ascii="Arial" w:hAnsi="Arial" w:cs="Arial"/>
          <w:noProof/>
          <w:szCs w:val="22"/>
        </w:rPr>
        <w:t>nakup</w:t>
      </w:r>
      <w:r w:rsidR="00CE5F74">
        <w:rPr>
          <w:rFonts w:ascii="Arial" w:hAnsi="Arial" w:cs="Arial"/>
          <w:noProof/>
          <w:szCs w:val="22"/>
        </w:rPr>
        <w:t xml:space="preserve">u </w:t>
      </w:r>
      <w:r w:rsidR="00CE5F74" w:rsidRPr="00426C3C">
        <w:rPr>
          <w:rFonts w:ascii="Arial" w:hAnsi="Arial" w:cs="Arial"/>
          <w:noProof/>
          <w:szCs w:val="22"/>
        </w:rPr>
        <w:t>okolju prijaznejših vozil v primerjavi z nekaterimi drugimi državami EU</w:t>
      </w:r>
      <w:r w:rsidR="00CE5F74">
        <w:rPr>
          <w:rFonts w:ascii="Arial" w:hAnsi="Arial" w:cs="Arial"/>
          <w:noProof/>
          <w:szCs w:val="22"/>
        </w:rPr>
        <w:t xml:space="preserve">. </w:t>
      </w:r>
      <w:r w:rsidRPr="00AF3FEE">
        <w:rPr>
          <w:rFonts w:ascii="Arial" w:hAnsi="Arial" w:cs="Arial"/>
          <w:noProof/>
          <w:szCs w:val="22"/>
        </w:rPr>
        <w:t xml:space="preserve">Prav tako vozila plačujejo letno nadomestilo za ceste, ki je vezano na moč motorja, pri električnih vozilih pa na težo vozila. NEPN 2024 vsebuje ukrepe </w:t>
      </w:r>
      <w:r w:rsidR="00023476">
        <w:rPr>
          <w:rFonts w:ascii="Arial" w:eastAsia="Calibri" w:hAnsi="Arial" w:cs="Arial"/>
          <w:szCs w:val="22"/>
        </w:rPr>
        <w:t xml:space="preserve">z namenom </w:t>
      </w:r>
      <w:r w:rsidRPr="00AF3FEE">
        <w:rPr>
          <w:rFonts w:ascii="Arial" w:hAnsi="Arial" w:cs="Arial"/>
          <w:noProof/>
          <w:szCs w:val="22"/>
        </w:rPr>
        <w:t>zaostritve teh dve</w:t>
      </w:r>
      <w:r w:rsidR="00D93E28">
        <w:rPr>
          <w:rFonts w:ascii="Arial" w:hAnsi="Arial" w:cs="Arial"/>
          <w:noProof/>
          <w:szCs w:val="22"/>
        </w:rPr>
        <w:t>h</w:t>
      </w:r>
      <w:r w:rsidRPr="00AF3FEE">
        <w:rPr>
          <w:rFonts w:ascii="Arial" w:hAnsi="Arial" w:cs="Arial"/>
          <w:noProof/>
          <w:szCs w:val="22"/>
        </w:rPr>
        <w:t xml:space="preserve"> ukrepov, da bosta bolj </w:t>
      </w:r>
      <w:r w:rsidR="00E708DC">
        <w:rPr>
          <w:rFonts w:ascii="Arial" w:hAnsi="Arial" w:cs="Arial"/>
          <w:noProof/>
          <w:szCs w:val="22"/>
        </w:rPr>
        <w:t xml:space="preserve">spodbujala </w:t>
      </w:r>
      <w:r w:rsidRPr="00AF3FEE">
        <w:rPr>
          <w:rFonts w:ascii="Arial" w:hAnsi="Arial" w:cs="Arial"/>
          <w:noProof/>
          <w:szCs w:val="22"/>
        </w:rPr>
        <w:t>uporabo varčnejših in lažjih vozil (M28.3)</w:t>
      </w:r>
      <w:r w:rsidR="00E708DC">
        <w:rPr>
          <w:rFonts w:ascii="Arial" w:hAnsi="Arial" w:cs="Arial"/>
          <w:noProof/>
          <w:szCs w:val="22"/>
        </w:rPr>
        <w:t>.</w:t>
      </w:r>
    </w:p>
    <w:p w14:paraId="1915C3F0" w14:textId="77777777" w:rsidR="00AF3FEE" w:rsidRPr="00AF3FEE" w:rsidRDefault="00AF3FEE" w:rsidP="00AF3FEE">
      <w:pPr>
        <w:pStyle w:val="BodyText"/>
        <w:rPr>
          <w:rFonts w:ascii="Arial" w:hAnsi="Arial" w:cs="Arial"/>
          <w:noProof/>
          <w:szCs w:val="22"/>
        </w:rPr>
      </w:pPr>
      <w:r w:rsidRPr="00AF3FEE">
        <w:rPr>
          <w:rFonts w:ascii="Arial" w:hAnsi="Arial" w:cs="Arial"/>
          <w:noProof/>
          <w:szCs w:val="22"/>
        </w:rPr>
        <w:t>V veljavi je tudi znižanje bonitete za uporabo službenega vozila v zasebne namene za vozila na električni pogon. Boniteta je bila znižana na 0 % nabavne vrednosti vozila mesečno (prej 0,3 %).</w:t>
      </w:r>
    </w:p>
    <w:p w14:paraId="730A822F" w14:textId="77777777" w:rsidR="00AF3FEE" w:rsidRPr="00AF3FEE" w:rsidRDefault="00AF3FEE" w:rsidP="00AF3FEE">
      <w:pPr>
        <w:pStyle w:val="NaslovVTekstu"/>
        <w:jc w:val="both"/>
        <w:rPr>
          <w:rFonts w:ascii="Arial" w:hAnsi="Arial" w:cs="Arial"/>
          <w:noProof/>
          <w:szCs w:val="22"/>
          <w:lang w:val="sl-SI"/>
        </w:rPr>
      </w:pPr>
      <w:r w:rsidRPr="00AF3FEE">
        <w:rPr>
          <w:rFonts w:ascii="Arial" w:hAnsi="Arial" w:cs="Arial"/>
          <w:noProof/>
          <w:szCs w:val="22"/>
          <w:lang w:val="sl-SI"/>
        </w:rPr>
        <w:t xml:space="preserve">Spodbujanje varčne vožnje </w:t>
      </w:r>
    </w:p>
    <w:p w14:paraId="75314785" w14:textId="0D87B3DF" w:rsidR="00AF3FEE" w:rsidRPr="00AF3FEE" w:rsidRDefault="00CC2786" w:rsidP="00AF3FEE">
      <w:pPr>
        <w:pStyle w:val="BodyText"/>
        <w:rPr>
          <w:rFonts w:ascii="Arial" w:hAnsi="Arial" w:cs="Arial"/>
          <w:noProof/>
          <w:szCs w:val="22"/>
        </w:rPr>
      </w:pPr>
      <w:r>
        <w:rPr>
          <w:rFonts w:ascii="Arial" w:hAnsi="Arial" w:cs="Arial"/>
          <w:noProof/>
          <w:szCs w:val="22"/>
        </w:rPr>
        <w:t xml:space="preserve">V skladu </w:t>
      </w:r>
      <w:r w:rsidR="00AF3FEE" w:rsidRPr="00AF3FEE">
        <w:rPr>
          <w:rFonts w:ascii="Arial" w:hAnsi="Arial" w:cs="Arial"/>
          <w:noProof/>
          <w:szCs w:val="22"/>
        </w:rPr>
        <w:t xml:space="preserve">z Direktivo 2003/59/ES (izobraževanje voznikov) in Uredbo 1071/2009/ES (izobraževanje upravljavcev prevozov) poteka izobraževanje voznikov in upravljavcev voznega parka tovornih vozil, </w:t>
      </w:r>
      <w:r w:rsidR="00E708DC">
        <w:rPr>
          <w:rFonts w:ascii="Arial" w:hAnsi="Arial" w:cs="Arial"/>
          <w:noProof/>
          <w:szCs w:val="22"/>
        </w:rPr>
        <w:t>tudi</w:t>
      </w:r>
      <w:r w:rsidR="00E708DC" w:rsidRPr="00AF3FEE">
        <w:rPr>
          <w:rFonts w:ascii="Arial" w:hAnsi="Arial" w:cs="Arial"/>
          <w:noProof/>
          <w:szCs w:val="22"/>
        </w:rPr>
        <w:t xml:space="preserve"> </w:t>
      </w:r>
      <w:r w:rsidR="00AF3FEE" w:rsidRPr="00AF3FEE">
        <w:rPr>
          <w:rFonts w:ascii="Arial" w:hAnsi="Arial" w:cs="Arial"/>
          <w:noProof/>
          <w:szCs w:val="22"/>
        </w:rPr>
        <w:t xml:space="preserve">z vidika varčne vožnje in logistike, ki </w:t>
      </w:r>
      <w:r w:rsidR="000241DB">
        <w:rPr>
          <w:rFonts w:ascii="Arial" w:hAnsi="Arial" w:cs="Arial"/>
          <w:noProof/>
          <w:szCs w:val="22"/>
        </w:rPr>
        <w:t xml:space="preserve">ga </w:t>
      </w:r>
      <w:r w:rsidR="00AF3FEE" w:rsidRPr="00AF3FEE">
        <w:rPr>
          <w:rFonts w:ascii="Arial" w:hAnsi="Arial" w:cs="Arial"/>
          <w:noProof/>
          <w:szCs w:val="22"/>
        </w:rPr>
        <w:t>izvaja</w:t>
      </w:r>
      <w:r w:rsidR="000241DB">
        <w:rPr>
          <w:rFonts w:ascii="Arial" w:hAnsi="Arial" w:cs="Arial"/>
          <w:noProof/>
          <w:szCs w:val="22"/>
        </w:rPr>
        <w:t>jo</w:t>
      </w:r>
      <w:r w:rsidR="00AF3FEE" w:rsidRPr="00AF3FEE">
        <w:rPr>
          <w:rFonts w:ascii="Arial" w:hAnsi="Arial" w:cs="Arial"/>
          <w:noProof/>
          <w:szCs w:val="22"/>
        </w:rPr>
        <w:t xml:space="preserve"> pooblaščeni </w:t>
      </w:r>
      <w:r w:rsidR="000241DB" w:rsidRPr="00AF3FEE">
        <w:rPr>
          <w:rFonts w:ascii="Arial" w:hAnsi="Arial" w:cs="Arial"/>
          <w:noProof/>
          <w:szCs w:val="22"/>
        </w:rPr>
        <w:lastRenderedPageBreak/>
        <w:t>izvajalc</w:t>
      </w:r>
      <w:r w:rsidR="000241DB">
        <w:rPr>
          <w:rFonts w:ascii="Arial" w:hAnsi="Arial" w:cs="Arial"/>
          <w:noProof/>
          <w:szCs w:val="22"/>
        </w:rPr>
        <w:t>i</w:t>
      </w:r>
      <w:r w:rsidR="00AF3FEE" w:rsidRPr="00AF3FEE">
        <w:rPr>
          <w:rFonts w:ascii="Arial" w:hAnsi="Arial" w:cs="Arial"/>
          <w:noProof/>
          <w:szCs w:val="22"/>
        </w:rPr>
        <w:t>. Po Zakonu o voznikih (Ur</w:t>
      </w:r>
      <w:r w:rsidR="002958C7">
        <w:rPr>
          <w:rFonts w:ascii="Arial" w:hAnsi="Arial" w:cs="Arial"/>
          <w:noProof/>
          <w:szCs w:val="22"/>
        </w:rPr>
        <w:t>adni</w:t>
      </w:r>
      <w:r w:rsidR="00AF3FEE" w:rsidRPr="00AF3FEE">
        <w:rPr>
          <w:rFonts w:ascii="Arial" w:hAnsi="Arial" w:cs="Arial"/>
          <w:noProof/>
          <w:szCs w:val="22"/>
        </w:rPr>
        <w:t xml:space="preserve"> l</w:t>
      </w:r>
      <w:r w:rsidR="002958C7">
        <w:rPr>
          <w:rFonts w:ascii="Arial" w:hAnsi="Arial" w:cs="Arial"/>
          <w:noProof/>
          <w:szCs w:val="22"/>
        </w:rPr>
        <w:t>ist</w:t>
      </w:r>
      <w:r w:rsidR="00AF3FEE" w:rsidRPr="00AF3FEE">
        <w:rPr>
          <w:rFonts w:ascii="Arial" w:hAnsi="Arial" w:cs="Arial"/>
          <w:noProof/>
          <w:szCs w:val="22"/>
        </w:rPr>
        <w:t xml:space="preserve"> RS, št. 85/16) je učenje osnov tehnik varčne in okolju prijazne vožnje sestavni del praktičnega dela usposabljanja kandidatov za voznike. Nasveti za varčno vožnjo so že vključeni v tečaje vožnje. </w:t>
      </w:r>
    </w:p>
    <w:p w14:paraId="7E91C2A8" w14:textId="77777777" w:rsidR="00AF3FEE" w:rsidRPr="00AF3FEE" w:rsidRDefault="00AF3FEE" w:rsidP="00AF3FEE">
      <w:pPr>
        <w:pStyle w:val="NaslovVTekstu"/>
        <w:jc w:val="both"/>
        <w:rPr>
          <w:rFonts w:ascii="Arial" w:hAnsi="Arial" w:cs="Arial"/>
          <w:noProof/>
          <w:szCs w:val="22"/>
          <w:lang w:val="sl-SI"/>
        </w:rPr>
      </w:pPr>
      <w:r w:rsidRPr="00AF3FEE">
        <w:rPr>
          <w:rFonts w:ascii="Arial" w:hAnsi="Arial" w:cs="Arial"/>
          <w:noProof/>
          <w:szCs w:val="22"/>
          <w:lang w:val="sl-SI"/>
        </w:rPr>
        <w:t>Spodbujanje uporabe goriv z nizkimi emisijami CO</w:t>
      </w:r>
      <w:r w:rsidRPr="00AF3FEE">
        <w:rPr>
          <w:rFonts w:ascii="Arial" w:hAnsi="Arial" w:cs="Arial"/>
          <w:noProof/>
          <w:szCs w:val="22"/>
          <w:vertAlign w:val="subscript"/>
          <w:lang w:val="sl-SI"/>
        </w:rPr>
        <w:t>2</w:t>
      </w:r>
      <w:r w:rsidRPr="00AF3FEE">
        <w:rPr>
          <w:rFonts w:ascii="Arial" w:hAnsi="Arial" w:cs="Arial"/>
          <w:noProof/>
          <w:szCs w:val="22"/>
          <w:lang w:val="sl-SI"/>
        </w:rPr>
        <w:t xml:space="preserve"> </w:t>
      </w:r>
    </w:p>
    <w:p w14:paraId="38E5A549" w14:textId="6B18F010"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Nakup električnih vozil in vozil na alternativni pogon ter gradnjo polnilne infrastrukture je v preteklosti spodbujal Eko sklad z nepovratnimi finančnimi spodbudami in krediti, </w:t>
      </w:r>
      <w:r w:rsidR="007C178E">
        <w:rPr>
          <w:rFonts w:ascii="Arial" w:hAnsi="Arial" w:cs="Arial"/>
          <w:noProof/>
          <w:szCs w:val="22"/>
        </w:rPr>
        <w:t>z</w:t>
      </w:r>
      <w:r w:rsidR="007C178E" w:rsidRPr="00AF3FEE">
        <w:rPr>
          <w:rFonts w:ascii="Arial" w:hAnsi="Arial" w:cs="Arial"/>
          <w:noProof/>
          <w:szCs w:val="22"/>
        </w:rPr>
        <w:t xml:space="preserve">daj </w:t>
      </w:r>
      <w:r w:rsidR="000241DB">
        <w:rPr>
          <w:rFonts w:ascii="Arial" w:hAnsi="Arial" w:cs="Arial"/>
          <w:noProof/>
          <w:szCs w:val="22"/>
        </w:rPr>
        <w:t xml:space="preserve">pa </w:t>
      </w:r>
      <w:r w:rsidRPr="00AF3FEE">
        <w:rPr>
          <w:rFonts w:ascii="Arial" w:hAnsi="Arial" w:cs="Arial"/>
          <w:noProof/>
          <w:szCs w:val="22"/>
        </w:rPr>
        <w:t>subvencije ponuja Borzen, Eko sklad pa še vedno kredite. Subvencije se podeljuje</w:t>
      </w:r>
      <w:r w:rsidR="000241DB">
        <w:rPr>
          <w:rFonts w:ascii="Arial" w:hAnsi="Arial" w:cs="Arial"/>
          <w:noProof/>
          <w:szCs w:val="22"/>
        </w:rPr>
        <w:t>jo</w:t>
      </w:r>
      <w:r w:rsidRPr="00AF3FEE">
        <w:rPr>
          <w:rFonts w:ascii="Arial" w:hAnsi="Arial" w:cs="Arial"/>
          <w:noProof/>
          <w:szCs w:val="22"/>
        </w:rPr>
        <w:t xml:space="preserve"> le za električna vozila, in sicer glede na vrednost vozila. Do najvišje subvencije so upravičena vozila s ceno</w:t>
      </w:r>
      <w:r w:rsidR="00E708DC">
        <w:rPr>
          <w:rFonts w:ascii="Arial" w:hAnsi="Arial" w:cs="Arial"/>
          <w:noProof/>
          <w:szCs w:val="22"/>
        </w:rPr>
        <w:t>,</w:t>
      </w:r>
      <w:r w:rsidRPr="00AF3FEE">
        <w:rPr>
          <w:rFonts w:ascii="Arial" w:hAnsi="Arial" w:cs="Arial"/>
          <w:noProof/>
          <w:szCs w:val="22"/>
        </w:rPr>
        <w:t xml:space="preserve"> </w:t>
      </w:r>
      <w:r w:rsidR="00E708DC">
        <w:rPr>
          <w:rFonts w:ascii="Arial" w:hAnsi="Arial" w:cs="Arial"/>
          <w:noProof/>
          <w:szCs w:val="22"/>
        </w:rPr>
        <w:t xml:space="preserve">nižjo </w:t>
      </w:r>
      <w:r w:rsidRPr="00AF3FEE">
        <w:rPr>
          <w:rFonts w:ascii="Arial" w:hAnsi="Arial" w:cs="Arial"/>
          <w:noProof/>
          <w:szCs w:val="22"/>
        </w:rPr>
        <w:t>od 35.000</w:t>
      </w:r>
      <w:r w:rsidR="006A109B">
        <w:rPr>
          <w:rFonts w:ascii="Arial" w:hAnsi="Arial" w:cs="Arial"/>
          <w:noProof/>
          <w:szCs w:val="22"/>
        </w:rPr>
        <w:t xml:space="preserve"> evrov</w:t>
      </w:r>
      <w:r w:rsidRPr="00AF3FEE">
        <w:rPr>
          <w:rFonts w:ascii="Arial" w:hAnsi="Arial" w:cs="Arial"/>
          <w:noProof/>
          <w:szCs w:val="22"/>
        </w:rPr>
        <w:t xml:space="preserve">, vozila s ceno nad 65.000 </w:t>
      </w:r>
      <w:r w:rsidR="006A109B">
        <w:rPr>
          <w:rFonts w:ascii="Arial" w:hAnsi="Arial" w:cs="Arial"/>
          <w:noProof/>
          <w:szCs w:val="22"/>
        </w:rPr>
        <w:t xml:space="preserve">evrov </w:t>
      </w:r>
      <w:r w:rsidRPr="00AF3FEE">
        <w:rPr>
          <w:rFonts w:ascii="Arial" w:hAnsi="Arial" w:cs="Arial"/>
          <w:noProof/>
          <w:szCs w:val="22"/>
        </w:rPr>
        <w:t>pa do subvencije niso upravičena. Do subvencije so upravičena nova in rabljena vozila</w:t>
      </w:r>
      <w:r w:rsidR="000241DB">
        <w:rPr>
          <w:rFonts w:ascii="Arial" w:hAnsi="Arial" w:cs="Arial"/>
          <w:noProof/>
          <w:szCs w:val="22"/>
        </w:rPr>
        <w:t>,</w:t>
      </w:r>
      <w:r w:rsidRPr="00AF3FEE">
        <w:rPr>
          <w:rFonts w:ascii="Arial" w:hAnsi="Arial" w:cs="Arial"/>
          <w:noProof/>
          <w:szCs w:val="22"/>
        </w:rPr>
        <w:t xml:space="preserve"> uvožena v Slovenijo, pri čemer so </w:t>
      </w:r>
      <w:r w:rsidR="00E708DC" w:rsidRPr="00AF3FEE">
        <w:rPr>
          <w:rFonts w:ascii="Arial" w:hAnsi="Arial" w:cs="Arial"/>
          <w:noProof/>
          <w:szCs w:val="22"/>
        </w:rPr>
        <w:t xml:space="preserve">subvencije </w:t>
      </w:r>
      <w:r w:rsidRPr="00AF3FEE">
        <w:rPr>
          <w:rFonts w:ascii="Arial" w:hAnsi="Arial" w:cs="Arial"/>
          <w:noProof/>
          <w:szCs w:val="22"/>
        </w:rPr>
        <w:t>za rabljena vozila nižje. Subvencije so na voljo za fizične in pravne osebe</w:t>
      </w:r>
      <w:r w:rsidR="00E708DC">
        <w:rPr>
          <w:rFonts w:ascii="Arial" w:hAnsi="Arial" w:cs="Arial"/>
          <w:noProof/>
          <w:szCs w:val="22"/>
        </w:rPr>
        <w:t>,</w:t>
      </w:r>
      <w:r w:rsidRPr="00AF3FEE">
        <w:rPr>
          <w:rFonts w:ascii="Arial" w:hAnsi="Arial" w:cs="Arial"/>
          <w:noProof/>
          <w:szCs w:val="22"/>
        </w:rPr>
        <w:t xml:space="preserve"> </w:t>
      </w:r>
      <w:r w:rsidR="000241DB">
        <w:rPr>
          <w:rFonts w:ascii="Arial" w:hAnsi="Arial" w:cs="Arial"/>
          <w:noProof/>
          <w:szCs w:val="22"/>
        </w:rPr>
        <w:t>in sicer</w:t>
      </w:r>
      <w:r w:rsidRPr="00AF3FEE">
        <w:rPr>
          <w:rFonts w:ascii="Arial" w:hAnsi="Arial" w:cs="Arial"/>
          <w:noProof/>
          <w:szCs w:val="22"/>
        </w:rPr>
        <w:t xml:space="preserve"> tudi za lahka tovorna vozila in avtobuse, v letu 2025 pa bodo na voljo tudi za tovorna vozila.</w:t>
      </w:r>
    </w:p>
    <w:p w14:paraId="5D02BDE8" w14:textId="6E7FEF74" w:rsidR="00AF3FEE" w:rsidRPr="00AF3FEE" w:rsidRDefault="00AF3FEE" w:rsidP="00AF3FEE">
      <w:pPr>
        <w:pStyle w:val="BodyText"/>
        <w:rPr>
          <w:rFonts w:ascii="Arial" w:hAnsi="Arial" w:cs="Arial"/>
          <w:noProof/>
          <w:szCs w:val="22"/>
        </w:rPr>
      </w:pPr>
      <w:r w:rsidRPr="00AF3FEE">
        <w:rPr>
          <w:rFonts w:ascii="Arial" w:hAnsi="Arial" w:cs="Arial"/>
          <w:noProof/>
          <w:szCs w:val="22"/>
        </w:rPr>
        <w:t>V NEPN je predvideno nadaljevanje spodbujanja nakupa lahkih električnih vozil (BEV in FCEV) in avtobusov brez stojišč (tako imenovani turistični avtobusi) z zelo nizkimi emisijami s subvencioniranjem (BEV, PHEV in FCEV), predviden</w:t>
      </w:r>
      <w:r w:rsidR="000241DB">
        <w:rPr>
          <w:rFonts w:ascii="Arial" w:hAnsi="Arial" w:cs="Arial"/>
          <w:noProof/>
          <w:szCs w:val="22"/>
        </w:rPr>
        <w:t>i</w:t>
      </w:r>
      <w:r w:rsidRPr="00AF3FEE">
        <w:rPr>
          <w:rFonts w:ascii="Arial" w:hAnsi="Arial" w:cs="Arial"/>
          <w:noProof/>
          <w:szCs w:val="22"/>
        </w:rPr>
        <w:t xml:space="preserve"> </w:t>
      </w:r>
      <w:r w:rsidR="000241DB">
        <w:rPr>
          <w:rFonts w:ascii="Arial" w:hAnsi="Arial" w:cs="Arial"/>
          <w:noProof/>
          <w:szCs w:val="22"/>
        </w:rPr>
        <w:t>sta</w:t>
      </w:r>
      <w:r w:rsidR="000241DB" w:rsidRPr="00AF3FEE">
        <w:rPr>
          <w:rFonts w:ascii="Arial" w:hAnsi="Arial" w:cs="Arial"/>
          <w:noProof/>
          <w:szCs w:val="22"/>
        </w:rPr>
        <w:t xml:space="preserve"> </w:t>
      </w:r>
      <w:r w:rsidRPr="00AF3FEE">
        <w:rPr>
          <w:rFonts w:ascii="Arial" w:hAnsi="Arial" w:cs="Arial"/>
          <w:noProof/>
          <w:szCs w:val="22"/>
        </w:rPr>
        <w:t xml:space="preserve">tudi preučitev možnosti vezave subvencije na zamenjavo starega osebnega vozila na fosilna goriva ter sprotna analiza trga z namenom prilagajanja višine subvencije aktualnim razmeram. NEPN vsebuje tudi spodbude za obnovo in nadgradnjo železniškega voznega parka (potniški in tovorni) ter uvajanje novih tehnologij na podlagi </w:t>
      </w:r>
      <w:r w:rsidR="000241DB">
        <w:rPr>
          <w:rFonts w:ascii="Arial" w:hAnsi="Arial" w:cs="Arial"/>
          <w:noProof/>
          <w:szCs w:val="22"/>
        </w:rPr>
        <w:t>zakonodaje</w:t>
      </w:r>
      <w:r w:rsidR="000241DB" w:rsidRPr="00AF3FEE">
        <w:rPr>
          <w:rFonts w:ascii="Arial" w:hAnsi="Arial" w:cs="Arial"/>
          <w:noProof/>
          <w:szCs w:val="22"/>
        </w:rPr>
        <w:t xml:space="preserve"> </w:t>
      </w:r>
      <w:r w:rsidRPr="00AF3FEE">
        <w:rPr>
          <w:rFonts w:ascii="Arial" w:hAnsi="Arial" w:cs="Arial"/>
          <w:noProof/>
          <w:szCs w:val="22"/>
        </w:rPr>
        <w:t xml:space="preserve">EU </w:t>
      </w:r>
      <w:r w:rsidR="00023476">
        <w:rPr>
          <w:rFonts w:ascii="Arial" w:eastAsia="Calibri" w:hAnsi="Arial" w:cs="Arial"/>
          <w:szCs w:val="22"/>
        </w:rPr>
        <w:t xml:space="preserve">z namenom </w:t>
      </w:r>
      <w:r w:rsidRPr="00AF3FEE">
        <w:rPr>
          <w:rFonts w:ascii="Arial" w:hAnsi="Arial" w:cs="Arial"/>
          <w:noProof/>
          <w:szCs w:val="22"/>
        </w:rPr>
        <w:t>zagotavljanja visoke kakovosti železniškega prevoza potnikov in tovora in energetske učinkovitosti, prav tako</w:t>
      </w:r>
      <w:r w:rsidR="000241DB">
        <w:rPr>
          <w:rFonts w:ascii="Arial" w:hAnsi="Arial" w:cs="Arial"/>
          <w:noProof/>
          <w:szCs w:val="22"/>
        </w:rPr>
        <w:t xml:space="preserve"> se</w:t>
      </w:r>
      <w:r w:rsidRPr="00AF3FEE">
        <w:rPr>
          <w:rFonts w:ascii="Arial" w:hAnsi="Arial" w:cs="Arial"/>
          <w:noProof/>
          <w:szCs w:val="22"/>
        </w:rPr>
        <w:t xml:space="preserve"> predvideva spodbujanje nakupa vozil brez neposrednih emisij (baterijska električna vozila, vodikova vozila) v mestih (JPP – avtobusi, taksiji) </w:t>
      </w:r>
      <w:r w:rsidR="000241DB">
        <w:rPr>
          <w:rFonts w:ascii="Arial" w:hAnsi="Arial" w:cs="Arial"/>
          <w:noProof/>
          <w:szCs w:val="22"/>
        </w:rPr>
        <w:t>in</w:t>
      </w:r>
      <w:r w:rsidR="000241DB" w:rsidRPr="00AF3FEE">
        <w:rPr>
          <w:rFonts w:ascii="Arial" w:hAnsi="Arial" w:cs="Arial"/>
          <w:noProof/>
          <w:szCs w:val="22"/>
        </w:rPr>
        <w:t xml:space="preserve"> </w:t>
      </w:r>
      <w:r w:rsidRPr="00AF3FEE">
        <w:rPr>
          <w:rFonts w:ascii="Arial" w:hAnsi="Arial" w:cs="Arial"/>
          <w:noProof/>
          <w:szCs w:val="22"/>
        </w:rPr>
        <w:t>podporne polnilne infrastrukture.</w:t>
      </w:r>
    </w:p>
    <w:p w14:paraId="4D3C45B2" w14:textId="44CE4E56"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V Sloveniji se primešavanje biogoriv k fosilnim gorivom spodbuja </w:t>
      </w:r>
      <w:r w:rsidR="000241DB">
        <w:rPr>
          <w:rFonts w:ascii="Arial" w:hAnsi="Arial" w:cs="Arial"/>
          <w:noProof/>
          <w:szCs w:val="22"/>
        </w:rPr>
        <w:t>z</w:t>
      </w:r>
      <w:r w:rsidR="000241DB" w:rsidRPr="00AF3FEE">
        <w:rPr>
          <w:rFonts w:ascii="Arial" w:hAnsi="Arial" w:cs="Arial"/>
          <w:noProof/>
          <w:szCs w:val="22"/>
        </w:rPr>
        <w:t xml:space="preserve"> obveznost</w:t>
      </w:r>
      <w:r w:rsidR="000241DB">
        <w:rPr>
          <w:rFonts w:ascii="Arial" w:hAnsi="Arial" w:cs="Arial"/>
          <w:noProof/>
          <w:szCs w:val="22"/>
        </w:rPr>
        <w:t>jo</w:t>
      </w:r>
      <w:r w:rsidR="000241DB" w:rsidRPr="00AF3FEE">
        <w:rPr>
          <w:rFonts w:ascii="Arial" w:hAnsi="Arial" w:cs="Arial"/>
          <w:noProof/>
          <w:szCs w:val="22"/>
        </w:rPr>
        <w:t xml:space="preserve"> </w:t>
      </w:r>
      <w:r w:rsidRPr="00AF3FEE">
        <w:rPr>
          <w:rFonts w:ascii="Arial" w:hAnsi="Arial" w:cs="Arial"/>
          <w:noProof/>
          <w:szCs w:val="22"/>
        </w:rPr>
        <w:t>distributerjev goriv, ki morajo v posameznem koledarskem letu dosegati energijski delež obnovljivih virov energije. Obveznost je določena v Uredbi o obnovljivih virih energije v prometu</w:t>
      </w:r>
      <w:r w:rsidR="000241DB">
        <w:rPr>
          <w:rFonts w:ascii="Arial" w:hAnsi="Arial" w:cs="Arial"/>
          <w:noProof/>
          <w:szCs w:val="22"/>
        </w:rPr>
        <w:t>,</w:t>
      </w:r>
      <w:r w:rsidRPr="00AF3FEE">
        <w:rPr>
          <w:rStyle w:val="FootnoteReference"/>
          <w:rFonts w:ascii="Arial" w:hAnsi="Arial" w:cs="Arial"/>
          <w:noProof/>
          <w:szCs w:val="22"/>
        </w:rPr>
        <w:footnoteReference w:id="87"/>
      </w:r>
      <w:r w:rsidRPr="00AF3FEE">
        <w:rPr>
          <w:rFonts w:ascii="Arial" w:hAnsi="Arial" w:cs="Arial"/>
          <w:noProof/>
          <w:szCs w:val="22"/>
        </w:rPr>
        <w:t xml:space="preserve"> in sicer do leta 2030, ko mora delež OVE znašati 20,8</w:t>
      </w:r>
      <w:r w:rsidR="000241DB">
        <w:rPr>
          <w:rFonts w:ascii="Arial" w:hAnsi="Arial" w:cs="Arial"/>
          <w:noProof/>
          <w:szCs w:val="22"/>
        </w:rPr>
        <w:t xml:space="preserve"> </w:t>
      </w:r>
      <w:r w:rsidRPr="00AF3FEE">
        <w:rPr>
          <w:rFonts w:ascii="Arial" w:hAnsi="Arial" w:cs="Arial"/>
          <w:noProof/>
          <w:szCs w:val="22"/>
        </w:rPr>
        <w:t>%. Delež obnovljivih virov energije distributer doseže s prodajo biogoriv</w:t>
      </w:r>
      <w:r w:rsidR="000241DB">
        <w:rPr>
          <w:rFonts w:ascii="Arial" w:hAnsi="Arial" w:cs="Arial"/>
          <w:noProof/>
          <w:szCs w:val="22"/>
        </w:rPr>
        <w:t>,</w:t>
      </w:r>
      <w:r w:rsidRPr="00AF3FEE">
        <w:rPr>
          <w:rFonts w:ascii="Arial" w:hAnsi="Arial" w:cs="Arial"/>
          <w:noProof/>
          <w:szCs w:val="22"/>
        </w:rPr>
        <w:t xml:space="preserve"> skladnih s trajnostnimi merili, električne energije iz obnovljivih virov energije, vodika iz obnovljivih virov energije ter kombinacijo naštetih goriv. </w:t>
      </w:r>
      <w:r w:rsidR="00CC2786">
        <w:rPr>
          <w:rFonts w:ascii="Arial" w:hAnsi="Arial" w:cs="Arial"/>
          <w:noProof/>
          <w:szCs w:val="22"/>
        </w:rPr>
        <w:t xml:space="preserve">V skladu </w:t>
      </w:r>
      <w:r w:rsidRPr="00AF3FEE">
        <w:rPr>
          <w:rFonts w:ascii="Arial" w:hAnsi="Arial" w:cs="Arial"/>
          <w:noProof/>
          <w:szCs w:val="22"/>
        </w:rPr>
        <w:t xml:space="preserve">z direktivo EU 2015/1513 je v uredbi omejen največji prispevek biogoriv, proizvedenih iz žita in drugih poljščin z visoko vsebnostjo škroba, rastlin za pridelavo sladkorja, oljnic </w:t>
      </w:r>
      <w:r w:rsidR="000241DB">
        <w:rPr>
          <w:rFonts w:ascii="Arial" w:hAnsi="Arial" w:cs="Arial"/>
          <w:noProof/>
          <w:szCs w:val="22"/>
        </w:rPr>
        <w:t xml:space="preserve">in </w:t>
      </w:r>
      <w:r w:rsidRPr="00AF3FEE">
        <w:rPr>
          <w:rFonts w:ascii="Arial" w:hAnsi="Arial" w:cs="Arial"/>
          <w:noProof/>
          <w:szCs w:val="22"/>
        </w:rPr>
        <w:t>poljščin, ki se na kmetijskih zemljiščih pridelujejo kot glavne poljščine predvsem za energetske namene</w:t>
      </w:r>
      <w:r w:rsidR="00711D65">
        <w:rPr>
          <w:rFonts w:ascii="Arial" w:hAnsi="Arial" w:cs="Arial"/>
          <w:noProof/>
          <w:szCs w:val="22"/>
        </w:rPr>
        <w:t>,</w:t>
      </w:r>
      <w:r w:rsidRPr="00AF3FEE">
        <w:rPr>
          <w:rFonts w:ascii="Arial" w:hAnsi="Arial" w:cs="Arial"/>
          <w:noProof/>
          <w:szCs w:val="22"/>
        </w:rPr>
        <w:t xml:space="preserve"> leta 2020 na 7 % končne porabe energije v državi v prometu. </w:t>
      </w:r>
    </w:p>
    <w:p w14:paraId="1C4AA465" w14:textId="4DA39630" w:rsidR="00AF3FEE" w:rsidRPr="00AF3FEE" w:rsidRDefault="00AF3FEE" w:rsidP="00AF3FEE">
      <w:pPr>
        <w:pStyle w:val="BodyText"/>
        <w:rPr>
          <w:rFonts w:ascii="Arial" w:hAnsi="Arial" w:cs="Arial"/>
          <w:szCs w:val="22"/>
        </w:rPr>
      </w:pPr>
      <w:r w:rsidRPr="00AF3FEE">
        <w:rPr>
          <w:rFonts w:ascii="Arial" w:hAnsi="Arial" w:cs="Arial"/>
          <w:noProof/>
          <w:szCs w:val="22"/>
        </w:rPr>
        <w:t>Za kompenzacijo dodatnih stroškov dobaviteljev za nakup biogoriv se v uredbi o oblikovanju cen reguliranih naftnih derivatov pri izračunu cene reguliranih goriv upošteva dodatek za biokomponento, kar omogoča distributerjem goriv, da del stroškov za biogoriva prenesejo v končno ceno goriv.</w:t>
      </w:r>
    </w:p>
    <w:p w14:paraId="76916B4A" w14:textId="39A02524"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 xml:space="preserve">Dodatne aktivnosti za povečanje učinkovitosti vozil </w:t>
      </w:r>
      <w:r w:rsidR="00265BCA">
        <w:rPr>
          <w:rFonts w:cs="Arial"/>
          <w:szCs w:val="22"/>
          <w:lang w:val="sl-SI"/>
        </w:rPr>
        <w:t>in</w:t>
      </w:r>
      <w:r w:rsidR="00265BCA" w:rsidRPr="00AF3FEE">
        <w:rPr>
          <w:rFonts w:cs="Arial"/>
          <w:szCs w:val="22"/>
          <w:lang w:val="sl-SI"/>
        </w:rPr>
        <w:t xml:space="preserve"> </w:t>
      </w:r>
      <w:r w:rsidRPr="00AF3FEE">
        <w:rPr>
          <w:rFonts w:cs="Arial"/>
          <w:szCs w:val="22"/>
          <w:lang w:val="sl-SI"/>
        </w:rPr>
        <w:t>spodbujanje uporabe goriv z nizkimi emisijami CO</w:t>
      </w:r>
      <w:r w:rsidRPr="00AF3FEE">
        <w:rPr>
          <w:rFonts w:cs="Arial"/>
          <w:szCs w:val="22"/>
          <w:vertAlign w:val="subscript"/>
          <w:lang w:val="sl-SI"/>
        </w:rPr>
        <w:t>2</w:t>
      </w:r>
    </w:p>
    <w:p w14:paraId="43CDE35A" w14:textId="4FBD9F22" w:rsidR="00AF3FEE" w:rsidRPr="00AF3FEE" w:rsidRDefault="00AF3FEE" w:rsidP="00AF3FEE">
      <w:pPr>
        <w:pStyle w:val="Naslov-VplivUkrepa-Sektorji"/>
        <w:jc w:val="both"/>
        <w:rPr>
          <w:rStyle w:val="Tekst-VplivUkrepa-SektorjiCharChar"/>
          <w:rFonts w:ascii="Arial" w:hAnsi="Arial" w:cs="Arial"/>
          <w:i w:val="0"/>
          <w:noProof/>
          <w:szCs w:val="22"/>
        </w:rPr>
      </w:pPr>
      <w:r w:rsidRPr="00AF3FEE">
        <w:rPr>
          <w:rFonts w:ascii="Arial" w:hAnsi="Arial" w:cs="Arial"/>
          <w:noProof/>
          <w:szCs w:val="22"/>
        </w:rPr>
        <w:t xml:space="preserve">Sektorji, na katere </w:t>
      </w:r>
      <w:r w:rsidR="001D43EB" w:rsidRPr="00AF3FEE">
        <w:rPr>
          <w:rFonts w:ascii="Arial" w:hAnsi="Arial" w:cs="Arial"/>
          <w:noProof/>
          <w:szCs w:val="22"/>
        </w:rPr>
        <w:t xml:space="preserve">vpliva </w:t>
      </w:r>
      <w:r w:rsidRPr="00AF3FEE">
        <w:rPr>
          <w:rFonts w:ascii="Arial" w:hAnsi="Arial" w:cs="Arial"/>
          <w:noProof/>
          <w:szCs w:val="22"/>
        </w:rPr>
        <w:t>izvajanje ukrepa</w:t>
      </w:r>
      <w:r w:rsidRPr="00A57F7D">
        <w:rPr>
          <w:rFonts w:ascii="Arial" w:hAnsi="Arial" w:cs="Arial"/>
          <w:b w:val="0"/>
          <w:noProof/>
          <w:szCs w:val="22"/>
        </w:rPr>
        <w:t>:</w:t>
      </w:r>
      <w:r w:rsidRPr="00A57F7D">
        <w:rPr>
          <w:rStyle w:val="Tekst-VplivUkrepa-SektorjiCharChar"/>
          <w:rFonts w:ascii="Arial" w:hAnsi="Arial" w:cs="Arial"/>
          <w:b w:val="0"/>
          <w:szCs w:val="22"/>
        </w:rPr>
        <w:t xml:space="preserve"> </w:t>
      </w:r>
      <w:r w:rsidRPr="00407339">
        <w:rPr>
          <w:rStyle w:val="Tekst-VplivUkrepa-SektorjiCharChar"/>
          <w:rFonts w:ascii="Arial" w:hAnsi="Arial" w:cs="Arial"/>
          <w:b w:val="0"/>
          <w:bCs/>
          <w:i w:val="0"/>
          <w:noProof/>
          <w:szCs w:val="22"/>
        </w:rPr>
        <w:t>promet</w:t>
      </w:r>
      <w:r w:rsidR="00711D65">
        <w:rPr>
          <w:rStyle w:val="Tekst-VplivUkrepa-SektorjiCharChar"/>
          <w:rFonts w:ascii="Arial" w:hAnsi="Arial" w:cs="Arial"/>
          <w:b w:val="0"/>
          <w:bCs/>
          <w:i w:val="0"/>
          <w:noProof/>
          <w:szCs w:val="22"/>
        </w:rPr>
        <w:t>.</w:t>
      </w:r>
    </w:p>
    <w:p w14:paraId="4C97DC12" w14:textId="34B51B59" w:rsidR="00AF3FEE" w:rsidRPr="00AF3FEE" w:rsidRDefault="00AF3FEE" w:rsidP="00AF3FEE">
      <w:pPr>
        <w:jc w:val="both"/>
        <w:rPr>
          <w:rFonts w:ascii="Arial" w:hAnsi="Arial" w:cs="Arial"/>
        </w:rPr>
      </w:pPr>
      <w:r w:rsidRPr="00AF3FEE">
        <w:rPr>
          <w:rFonts w:ascii="Arial" w:hAnsi="Arial" w:cs="Arial"/>
        </w:rPr>
        <w:t>Dodatne aktivnosti</w:t>
      </w:r>
      <w:r w:rsidR="00711D65">
        <w:rPr>
          <w:rFonts w:ascii="Arial" w:hAnsi="Arial" w:cs="Arial"/>
        </w:rPr>
        <w:t>,</w:t>
      </w:r>
      <w:r w:rsidRPr="00AF3FEE">
        <w:rPr>
          <w:rFonts w:ascii="Arial" w:hAnsi="Arial" w:cs="Arial"/>
        </w:rPr>
        <w:t xml:space="preserve"> zajete v NEPN 2024</w:t>
      </w:r>
      <w:r w:rsidR="00711D65">
        <w:rPr>
          <w:rFonts w:ascii="Arial" w:hAnsi="Arial" w:cs="Arial"/>
        </w:rPr>
        <w:t>,</w:t>
      </w:r>
      <w:r w:rsidRPr="00AF3FEE">
        <w:rPr>
          <w:rFonts w:ascii="Arial" w:hAnsi="Arial" w:cs="Arial"/>
        </w:rPr>
        <w:t xml:space="preserve"> so vezane na:</w:t>
      </w:r>
    </w:p>
    <w:p w14:paraId="78E27959" w14:textId="5891D1E8" w:rsidR="00AF3FEE" w:rsidRPr="00AF3FEE" w:rsidRDefault="00265BCA" w:rsidP="00AF3FEE">
      <w:pPr>
        <w:pStyle w:val="TEKSTseznamKoncentriran"/>
        <w:jc w:val="both"/>
        <w:rPr>
          <w:rFonts w:ascii="Arial" w:hAnsi="Arial" w:cs="Arial"/>
          <w:szCs w:val="22"/>
        </w:rPr>
      </w:pPr>
      <w:r>
        <w:rPr>
          <w:rFonts w:ascii="Arial" w:hAnsi="Arial" w:cs="Arial"/>
          <w:szCs w:val="22"/>
        </w:rPr>
        <w:t>s</w:t>
      </w:r>
      <w:r w:rsidR="00AF3FEE" w:rsidRPr="00AF3FEE">
        <w:rPr>
          <w:rFonts w:ascii="Arial" w:hAnsi="Arial" w:cs="Arial"/>
          <w:szCs w:val="22"/>
        </w:rPr>
        <w:t xml:space="preserve">podbujanje prehoda na vozila z nizkimi </w:t>
      </w:r>
      <w:r w:rsidRPr="00AF3FEE">
        <w:rPr>
          <w:rFonts w:ascii="Arial" w:hAnsi="Arial" w:cs="Arial"/>
          <w:szCs w:val="22"/>
        </w:rPr>
        <w:t>emisij</w:t>
      </w:r>
      <w:r w:rsidR="00185178">
        <w:rPr>
          <w:rFonts w:ascii="Arial" w:hAnsi="Arial" w:cs="Arial"/>
          <w:szCs w:val="22"/>
        </w:rPr>
        <w:t>ami</w:t>
      </w:r>
      <w:r w:rsidRPr="00AF3FEE">
        <w:rPr>
          <w:rFonts w:ascii="Arial" w:hAnsi="Arial" w:cs="Arial"/>
          <w:szCs w:val="22"/>
        </w:rPr>
        <w:t xml:space="preserve"> </w:t>
      </w:r>
      <w:r w:rsidR="00AF3FEE" w:rsidRPr="00AF3FEE">
        <w:rPr>
          <w:rFonts w:ascii="Arial" w:hAnsi="Arial" w:cs="Arial"/>
          <w:szCs w:val="22"/>
        </w:rPr>
        <w:t xml:space="preserve">ali brez emisij: </w:t>
      </w:r>
      <w:r>
        <w:rPr>
          <w:rFonts w:ascii="Arial" w:hAnsi="Arial" w:cs="Arial"/>
          <w:szCs w:val="22"/>
        </w:rPr>
        <w:t>n</w:t>
      </w:r>
      <w:r w:rsidR="00AF3FEE" w:rsidRPr="00AF3FEE">
        <w:rPr>
          <w:rFonts w:ascii="Arial" w:hAnsi="Arial" w:cs="Arial"/>
          <w:szCs w:val="22"/>
        </w:rPr>
        <w:t>ačrtuje se izvajanje javnih pozivov in razpisov za sofinanciranje študij, demonstracijskih projektov in promocijskih aktivnosti v podporo prehodu na alternativna goriva v prometu</w:t>
      </w:r>
      <w:r>
        <w:rPr>
          <w:rFonts w:ascii="Arial" w:hAnsi="Arial" w:cs="Arial"/>
          <w:szCs w:val="22"/>
        </w:rPr>
        <w:t>,</w:t>
      </w:r>
      <w:r w:rsidR="00AF3FEE" w:rsidRPr="00AF3FEE">
        <w:rPr>
          <w:rFonts w:ascii="Arial" w:hAnsi="Arial" w:cs="Arial"/>
          <w:szCs w:val="22"/>
        </w:rPr>
        <w:t xml:space="preserve"> </w:t>
      </w:r>
      <w:r>
        <w:rPr>
          <w:rFonts w:ascii="Arial" w:hAnsi="Arial" w:cs="Arial"/>
          <w:szCs w:val="22"/>
        </w:rPr>
        <w:t>p</w:t>
      </w:r>
      <w:r w:rsidR="00AF3FEE" w:rsidRPr="00AF3FEE">
        <w:rPr>
          <w:rFonts w:ascii="Arial" w:hAnsi="Arial" w:cs="Arial"/>
          <w:szCs w:val="22"/>
        </w:rPr>
        <w:t xml:space="preserve">redvidene so spodbude za zamenjavo tovornih vozil na fosilna goriva z vozili na alternativni pogon do leta 2030. Slovenija bo tudi </w:t>
      </w:r>
      <w:r>
        <w:rPr>
          <w:rFonts w:ascii="Arial" w:hAnsi="Arial" w:cs="Arial"/>
          <w:szCs w:val="22"/>
        </w:rPr>
        <w:t>zaostri</w:t>
      </w:r>
      <w:r w:rsidRPr="00AF3FEE">
        <w:rPr>
          <w:rFonts w:ascii="Arial" w:hAnsi="Arial" w:cs="Arial"/>
          <w:szCs w:val="22"/>
        </w:rPr>
        <w:t xml:space="preserve">la </w:t>
      </w:r>
      <w:r w:rsidR="00AF3FEE" w:rsidRPr="00AF3FEE">
        <w:rPr>
          <w:rFonts w:ascii="Arial" w:hAnsi="Arial" w:cs="Arial"/>
          <w:szCs w:val="22"/>
        </w:rPr>
        <w:t xml:space="preserve">cilje glede deleža čistih in </w:t>
      </w:r>
      <w:r w:rsidR="00AF3FEE" w:rsidRPr="00AF3FEE">
        <w:rPr>
          <w:rFonts w:ascii="Arial" w:hAnsi="Arial" w:cs="Arial"/>
          <w:szCs w:val="22"/>
        </w:rPr>
        <w:lastRenderedPageBreak/>
        <w:t xml:space="preserve">brezemisijskih vozil v zelenem javnem naročanju po letu 2025. Prav tako je predvidena prilagoditev največje dovoljene teže električnih vozil, ki jih je mogoče upravljati z vozniškim dovoljenjem kategorije B, </w:t>
      </w:r>
      <w:r>
        <w:rPr>
          <w:rFonts w:ascii="Arial" w:hAnsi="Arial" w:cs="Arial"/>
          <w:szCs w:val="22"/>
        </w:rPr>
        <w:t>v skladu</w:t>
      </w:r>
      <w:r w:rsidRPr="00AF3FEE">
        <w:rPr>
          <w:rFonts w:ascii="Arial" w:hAnsi="Arial" w:cs="Arial"/>
          <w:szCs w:val="22"/>
        </w:rPr>
        <w:t xml:space="preserve"> </w:t>
      </w:r>
      <w:r w:rsidR="00AF3FEE" w:rsidRPr="00AF3FEE">
        <w:rPr>
          <w:rFonts w:ascii="Arial" w:hAnsi="Arial" w:cs="Arial"/>
          <w:szCs w:val="22"/>
        </w:rPr>
        <w:t>z evropsko zakonodajo</w:t>
      </w:r>
      <w:r>
        <w:rPr>
          <w:rFonts w:ascii="Arial" w:hAnsi="Arial" w:cs="Arial"/>
          <w:szCs w:val="22"/>
        </w:rPr>
        <w:t>;</w:t>
      </w:r>
    </w:p>
    <w:p w14:paraId="2356513B" w14:textId="30F4C77B" w:rsidR="00AF3FEE" w:rsidRPr="00AF3FEE" w:rsidRDefault="00265BCA" w:rsidP="00AF3FEE">
      <w:pPr>
        <w:pStyle w:val="TEKSTseznamKoncentriran"/>
        <w:jc w:val="both"/>
        <w:rPr>
          <w:rFonts w:ascii="Arial" w:hAnsi="Arial" w:cs="Arial"/>
          <w:szCs w:val="22"/>
        </w:rPr>
      </w:pPr>
      <w:r>
        <w:rPr>
          <w:rFonts w:ascii="Arial" w:hAnsi="Arial" w:cs="Arial"/>
          <w:szCs w:val="22"/>
        </w:rPr>
        <w:t>s</w:t>
      </w:r>
      <w:r w:rsidR="00AF3FEE" w:rsidRPr="00AF3FEE">
        <w:rPr>
          <w:rFonts w:ascii="Arial" w:hAnsi="Arial" w:cs="Arial"/>
          <w:szCs w:val="22"/>
        </w:rPr>
        <w:t>podbujanje postavitve polnilne</w:t>
      </w:r>
      <w:r w:rsidR="0082337A">
        <w:rPr>
          <w:rFonts w:ascii="Arial" w:hAnsi="Arial" w:cs="Arial"/>
          <w:szCs w:val="22"/>
        </w:rPr>
        <w:t xml:space="preserve"> in oskrbovalne</w:t>
      </w:r>
      <w:r w:rsidR="00AF3FEE" w:rsidRPr="00AF3FEE">
        <w:rPr>
          <w:rFonts w:ascii="Arial" w:hAnsi="Arial" w:cs="Arial"/>
          <w:szCs w:val="22"/>
        </w:rPr>
        <w:t xml:space="preserve"> infrastrukture za alternativna goriva v prometu: </w:t>
      </w:r>
      <w:r w:rsidR="00A10204">
        <w:rPr>
          <w:rFonts w:ascii="Arial" w:hAnsi="Arial" w:cs="Arial"/>
          <w:szCs w:val="22"/>
        </w:rPr>
        <w:t>p</w:t>
      </w:r>
      <w:r w:rsidR="00AF3FEE" w:rsidRPr="00AF3FEE">
        <w:rPr>
          <w:rFonts w:ascii="Arial" w:hAnsi="Arial" w:cs="Arial"/>
          <w:szCs w:val="22"/>
        </w:rPr>
        <w:t>ripravljena bo prenovljena strategija za razvoj trga alternativnih goriv in infrastrukture v prometnem sektorju, ki bo vključevala akcijski načrt za spodbujanje prehoda na alternativna goriva. Načrtuje</w:t>
      </w:r>
      <w:r w:rsidR="00A10204">
        <w:rPr>
          <w:rFonts w:ascii="Arial" w:hAnsi="Arial" w:cs="Arial"/>
          <w:szCs w:val="22"/>
        </w:rPr>
        <w:t>jo</w:t>
      </w:r>
      <w:r w:rsidR="00AF3FEE" w:rsidRPr="00AF3FEE">
        <w:rPr>
          <w:rFonts w:ascii="Arial" w:hAnsi="Arial" w:cs="Arial"/>
          <w:szCs w:val="22"/>
        </w:rPr>
        <w:t xml:space="preserve"> se določitev primernih lokacij za polnilne parke visokih moči, vzpostavitev informacijskega sistema za izmenjavo podatkov o polnilnih mestih ter zagotavljanje oskrbovalnih mest za različna alternativna goriva (vodik, UZP) v cestnem, pomorskem in letalskem prometu. Predviden</w:t>
      </w:r>
      <w:r w:rsidR="00A10204">
        <w:rPr>
          <w:rFonts w:ascii="Arial" w:hAnsi="Arial" w:cs="Arial"/>
          <w:szCs w:val="22"/>
        </w:rPr>
        <w:t>i</w:t>
      </w:r>
      <w:r w:rsidR="00AF3FEE" w:rsidRPr="00AF3FEE">
        <w:rPr>
          <w:rFonts w:ascii="Arial" w:hAnsi="Arial" w:cs="Arial"/>
          <w:szCs w:val="22"/>
        </w:rPr>
        <w:t xml:space="preserve"> </w:t>
      </w:r>
      <w:r w:rsidR="00A10204">
        <w:rPr>
          <w:rFonts w:ascii="Arial" w:hAnsi="Arial" w:cs="Arial"/>
          <w:szCs w:val="22"/>
        </w:rPr>
        <w:t xml:space="preserve">so </w:t>
      </w:r>
      <w:r w:rsidR="00AF3FEE" w:rsidRPr="00AF3FEE">
        <w:rPr>
          <w:rFonts w:ascii="Arial" w:hAnsi="Arial" w:cs="Arial"/>
          <w:szCs w:val="22"/>
        </w:rPr>
        <w:t>sofinanciranje polnilnih postaj</w:t>
      </w:r>
      <w:r w:rsidR="00731EB8">
        <w:rPr>
          <w:rFonts w:ascii="Arial" w:hAnsi="Arial" w:cs="Arial"/>
          <w:szCs w:val="22"/>
        </w:rPr>
        <w:t xml:space="preserve"> za hitro polnjenje električnih vozil</w:t>
      </w:r>
      <w:r w:rsidR="00AF3FEE" w:rsidRPr="00AF3FEE">
        <w:rPr>
          <w:rFonts w:ascii="Arial" w:hAnsi="Arial" w:cs="Arial"/>
          <w:szCs w:val="22"/>
        </w:rPr>
        <w:t xml:space="preserve"> ob ključni prometni infrastrukturi, spodbude za infrastrukturo na vodik, platforma za podporo mobilnosti brez emisij in </w:t>
      </w:r>
      <w:r w:rsidR="00185178">
        <w:rPr>
          <w:rFonts w:ascii="Arial" w:hAnsi="Arial" w:cs="Arial"/>
          <w:szCs w:val="22"/>
        </w:rPr>
        <w:t xml:space="preserve">vključitev </w:t>
      </w:r>
      <w:r w:rsidR="00AF3FEE" w:rsidRPr="00AF3FEE">
        <w:rPr>
          <w:rFonts w:ascii="Arial" w:hAnsi="Arial" w:cs="Arial"/>
          <w:szCs w:val="22"/>
        </w:rPr>
        <w:t>obnovljivih virov energije. Prav tako se načrtuje</w:t>
      </w:r>
      <w:r w:rsidR="00A10204">
        <w:rPr>
          <w:rFonts w:ascii="Arial" w:hAnsi="Arial" w:cs="Arial"/>
          <w:szCs w:val="22"/>
        </w:rPr>
        <w:t>jo</w:t>
      </w:r>
      <w:r w:rsidR="00AF3FEE" w:rsidRPr="00AF3FEE">
        <w:rPr>
          <w:rFonts w:ascii="Arial" w:hAnsi="Arial" w:cs="Arial"/>
          <w:szCs w:val="22"/>
        </w:rPr>
        <w:t xml:space="preserve"> posodobitev zakonodaje glede polnilne infrastrukture in podporni ukrepi, kot so hranilniki energije za zmanjšanje vpliva na omrežje</w:t>
      </w:r>
      <w:r w:rsidR="00185178">
        <w:rPr>
          <w:rFonts w:ascii="Arial" w:hAnsi="Arial" w:cs="Arial"/>
          <w:szCs w:val="22"/>
        </w:rPr>
        <w:t>;</w:t>
      </w:r>
    </w:p>
    <w:p w14:paraId="41770EB0" w14:textId="53FC568B" w:rsidR="00AF3FEE" w:rsidRPr="00AF3FEE" w:rsidRDefault="00265BCA" w:rsidP="00AF3FEE">
      <w:pPr>
        <w:pStyle w:val="TEKSTseznamKoncentriran"/>
        <w:jc w:val="both"/>
        <w:rPr>
          <w:rFonts w:ascii="Arial" w:hAnsi="Arial" w:cs="Arial"/>
          <w:szCs w:val="22"/>
        </w:rPr>
      </w:pPr>
      <w:r>
        <w:rPr>
          <w:rFonts w:ascii="Arial" w:hAnsi="Arial" w:cs="Arial"/>
          <w:szCs w:val="22"/>
        </w:rPr>
        <w:t>p</w:t>
      </w:r>
      <w:r w:rsidR="00AF3FEE" w:rsidRPr="00AF3FEE">
        <w:rPr>
          <w:rFonts w:ascii="Arial" w:hAnsi="Arial" w:cs="Arial"/>
          <w:szCs w:val="22"/>
        </w:rPr>
        <w:t xml:space="preserve">ovečanje deleža OVE v prometu: </w:t>
      </w:r>
      <w:r w:rsidR="00A10204">
        <w:rPr>
          <w:rFonts w:ascii="Arial" w:hAnsi="Arial" w:cs="Arial"/>
          <w:szCs w:val="22"/>
        </w:rPr>
        <w:t>z</w:t>
      </w:r>
      <w:r w:rsidR="00AF3FEE" w:rsidRPr="00AF3FEE">
        <w:rPr>
          <w:rFonts w:ascii="Arial" w:hAnsi="Arial" w:cs="Arial"/>
          <w:szCs w:val="22"/>
        </w:rPr>
        <w:t>aostritev zahtev glede doseganja deleža OVE ali zmanjšanja intenzivnosti emisij distributerjev goriv v skladu z veljavno Evropsko zakonodajo</w:t>
      </w:r>
      <w:r w:rsidR="00A10204">
        <w:rPr>
          <w:rFonts w:ascii="Arial" w:hAnsi="Arial" w:cs="Arial"/>
          <w:szCs w:val="22"/>
        </w:rPr>
        <w:t>,</w:t>
      </w:r>
      <w:r w:rsidR="00AF3FEE" w:rsidRPr="00AF3FEE">
        <w:rPr>
          <w:rFonts w:ascii="Arial" w:hAnsi="Arial" w:cs="Arial"/>
          <w:szCs w:val="22"/>
        </w:rPr>
        <w:t xml:space="preserve"> </w:t>
      </w:r>
      <w:r w:rsidR="00A10204">
        <w:rPr>
          <w:rFonts w:ascii="Arial" w:hAnsi="Arial" w:cs="Arial"/>
          <w:szCs w:val="22"/>
        </w:rPr>
        <w:t>p</w:t>
      </w:r>
      <w:r w:rsidR="00AF3FEE" w:rsidRPr="00AF3FEE">
        <w:rPr>
          <w:rFonts w:ascii="Arial" w:hAnsi="Arial" w:cs="Arial"/>
          <w:szCs w:val="22"/>
        </w:rPr>
        <w:t xml:space="preserve">riprava analize obstoječih in </w:t>
      </w:r>
      <w:r w:rsidR="004F2B0D">
        <w:rPr>
          <w:rFonts w:ascii="Arial" w:hAnsi="Arial" w:cs="Arial"/>
          <w:szCs w:val="22"/>
        </w:rPr>
        <w:t xml:space="preserve">mogočih </w:t>
      </w:r>
      <w:r w:rsidR="00AF3FEE" w:rsidRPr="00AF3FEE">
        <w:rPr>
          <w:rFonts w:ascii="Arial" w:hAnsi="Arial" w:cs="Arial"/>
          <w:szCs w:val="22"/>
        </w:rPr>
        <w:t xml:space="preserve">novih spodbud (vključno s trošarinami) za večjo uporabo biogoriv v </w:t>
      </w:r>
      <w:r w:rsidR="00CE5F74">
        <w:rPr>
          <w:rFonts w:ascii="Arial" w:hAnsi="Arial" w:cs="Arial"/>
          <w:szCs w:val="22"/>
        </w:rPr>
        <w:t>prometu</w:t>
      </w:r>
      <w:r w:rsidR="00AF3FEE" w:rsidRPr="00AF3FEE">
        <w:rPr>
          <w:rFonts w:ascii="Arial" w:hAnsi="Arial" w:cs="Arial"/>
          <w:szCs w:val="22"/>
        </w:rPr>
        <w:t xml:space="preserve"> (glej tudi ukrep </w:t>
      </w:r>
      <w:r w:rsidR="00AF3FEE" w:rsidRPr="00AF3FEE">
        <w:rPr>
          <w:rFonts w:ascii="Arial" w:hAnsi="Arial" w:cs="Arial"/>
          <w:szCs w:val="22"/>
        </w:rPr>
        <w:fldChar w:fldCharType="begin"/>
      </w:r>
      <w:r w:rsidR="00AF3FEE" w:rsidRPr="00AF3FEE">
        <w:rPr>
          <w:rFonts w:ascii="Arial" w:hAnsi="Arial" w:cs="Arial"/>
          <w:szCs w:val="22"/>
        </w:rPr>
        <w:instrText xml:space="preserve"> REF _Ref192947384 \r \h  \* MERGEFORMAT </w:instrText>
      </w:r>
      <w:r w:rsidR="00AF3FEE" w:rsidRPr="00AF3FEE">
        <w:rPr>
          <w:rFonts w:ascii="Arial" w:hAnsi="Arial" w:cs="Arial"/>
          <w:szCs w:val="22"/>
        </w:rPr>
      </w:r>
      <w:r w:rsidR="00AF3FEE" w:rsidRPr="00AF3FEE">
        <w:rPr>
          <w:rFonts w:ascii="Arial" w:hAnsi="Arial" w:cs="Arial"/>
          <w:szCs w:val="22"/>
        </w:rPr>
        <w:fldChar w:fldCharType="separate"/>
      </w:r>
      <w:r w:rsidR="00AF3FEE" w:rsidRPr="00AF3FEE">
        <w:rPr>
          <w:rFonts w:ascii="Arial" w:hAnsi="Arial" w:cs="Arial"/>
          <w:szCs w:val="22"/>
        </w:rPr>
        <w:t>M-4</w:t>
      </w:r>
      <w:r w:rsidR="00AF3FEE" w:rsidRPr="00AF3FEE">
        <w:rPr>
          <w:rFonts w:ascii="Arial" w:hAnsi="Arial" w:cs="Arial"/>
          <w:szCs w:val="22"/>
        </w:rPr>
        <w:fldChar w:fldCharType="end"/>
      </w:r>
      <w:r w:rsidR="00AF3FEE" w:rsidRPr="00AF3FEE">
        <w:rPr>
          <w:rFonts w:ascii="Arial" w:hAnsi="Arial" w:cs="Arial"/>
          <w:szCs w:val="22"/>
        </w:rPr>
        <w:t>)</w:t>
      </w:r>
      <w:r>
        <w:rPr>
          <w:rFonts w:ascii="Arial" w:hAnsi="Arial" w:cs="Arial"/>
          <w:szCs w:val="22"/>
        </w:rPr>
        <w:t>;</w:t>
      </w:r>
    </w:p>
    <w:p w14:paraId="0F7B5001" w14:textId="776D1389" w:rsidR="00AF3FEE" w:rsidRPr="00AF3FEE" w:rsidRDefault="00185178" w:rsidP="00AF3FEE">
      <w:pPr>
        <w:pStyle w:val="TEKSTseznamKoncentriran"/>
        <w:jc w:val="both"/>
        <w:rPr>
          <w:rFonts w:ascii="Arial" w:hAnsi="Arial" w:cs="Arial"/>
          <w:szCs w:val="22"/>
        </w:rPr>
      </w:pPr>
      <w:r>
        <w:rPr>
          <w:rFonts w:ascii="Arial" w:hAnsi="Arial" w:cs="Arial"/>
          <w:szCs w:val="22"/>
        </w:rPr>
        <w:t>druge</w:t>
      </w:r>
      <w:r w:rsidR="00A10204" w:rsidRPr="00AF3FEE">
        <w:rPr>
          <w:rFonts w:ascii="Arial" w:hAnsi="Arial" w:cs="Arial"/>
          <w:szCs w:val="22"/>
        </w:rPr>
        <w:t xml:space="preserve"> ukrep</w:t>
      </w:r>
      <w:r w:rsidR="00A10204">
        <w:rPr>
          <w:rFonts w:ascii="Arial" w:hAnsi="Arial" w:cs="Arial"/>
          <w:szCs w:val="22"/>
        </w:rPr>
        <w:t>e</w:t>
      </w:r>
      <w:r w:rsidR="00A10204" w:rsidRPr="00AF3FEE">
        <w:rPr>
          <w:rFonts w:ascii="Arial" w:hAnsi="Arial" w:cs="Arial"/>
          <w:szCs w:val="22"/>
        </w:rPr>
        <w:t xml:space="preserve"> </w:t>
      </w:r>
      <w:r w:rsidR="00AF3FEE" w:rsidRPr="00AF3FEE">
        <w:rPr>
          <w:rFonts w:ascii="Arial" w:hAnsi="Arial" w:cs="Arial"/>
          <w:szCs w:val="22"/>
        </w:rPr>
        <w:t xml:space="preserve">za zmanjšanje emisij v prometu: </w:t>
      </w:r>
      <w:r w:rsidR="00A10204">
        <w:rPr>
          <w:rFonts w:ascii="Arial" w:hAnsi="Arial" w:cs="Arial"/>
          <w:szCs w:val="22"/>
        </w:rPr>
        <w:t>p</w:t>
      </w:r>
      <w:r w:rsidR="00AF3FEE" w:rsidRPr="00AF3FEE">
        <w:rPr>
          <w:rFonts w:ascii="Arial" w:hAnsi="Arial" w:cs="Arial"/>
          <w:szCs w:val="22"/>
        </w:rPr>
        <w:t xml:space="preserve">riprava podlag in uvedba območij z nizkimi emisijami ali brez emisij, kamor je prepovedan vstop najbolj </w:t>
      </w:r>
      <w:r w:rsidRPr="00AF3FEE">
        <w:rPr>
          <w:rFonts w:ascii="Arial" w:hAnsi="Arial" w:cs="Arial"/>
          <w:szCs w:val="22"/>
        </w:rPr>
        <w:t>onesnažujoč</w:t>
      </w:r>
      <w:r>
        <w:rPr>
          <w:rFonts w:ascii="Arial" w:hAnsi="Arial" w:cs="Arial"/>
          <w:szCs w:val="22"/>
        </w:rPr>
        <w:t>im</w:t>
      </w:r>
      <w:r w:rsidRPr="00AF3FEE">
        <w:rPr>
          <w:rFonts w:ascii="Arial" w:hAnsi="Arial" w:cs="Arial"/>
          <w:szCs w:val="22"/>
        </w:rPr>
        <w:t xml:space="preserve"> vozil</w:t>
      </w:r>
      <w:r>
        <w:rPr>
          <w:rFonts w:ascii="Arial" w:hAnsi="Arial" w:cs="Arial"/>
          <w:szCs w:val="22"/>
        </w:rPr>
        <w:t>om</w:t>
      </w:r>
      <w:r w:rsidR="00AF3FEE" w:rsidRPr="00AF3FEE">
        <w:rPr>
          <w:rFonts w:ascii="Arial" w:hAnsi="Arial" w:cs="Arial"/>
          <w:szCs w:val="22"/>
        </w:rPr>
        <w:t xml:space="preserve">; </w:t>
      </w:r>
      <w:r w:rsidR="00A10204">
        <w:rPr>
          <w:rFonts w:ascii="Arial" w:hAnsi="Arial" w:cs="Arial"/>
          <w:szCs w:val="22"/>
        </w:rPr>
        <w:t>v</w:t>
      </w:r>
      <w:r w:rsidR="00AF3FEE" w:rsidRPr="00AF3FEE">
        <w:rPr>
          <w:rFonts w:ascii="Arial" w:hAnsi="Arial" w:cs="Arial"/>
          <w:szCs w:val="22"/>
        </w:rPr>
        <w:t xml:space="preserve">peljava meritve števila delcev v sklopu tehničnih pregledov v skladu s priporočili Evropske komisije z dne 20. </w:t>
      </w:r>
      <w:r w:rsidR="00FB6BD6">
        <w:rPr>
          <w:rFonts w:ascii="Arial" w:hAnsi="Arial" w:cs="Arial"/>
          <w:szCs w:val="22"/>
        </w:rPr>
        <w:t>marca</w:t>
      </w:r>
      <w:r w:rsidR="00AF3FEE" w:rsidRPr="00AF3FEE">
        <w:rPr>
          <w:rFonts w:ascii="Arial" w:hAnsi="Arial" w:cs="Arial"/>
          <w:szCs w:val="22"/>
        </w:rPr>
        <w:t xml:space="preserve"> 2023</w:t>
      </w:r>
      <w:r w:rsidR="00BF0580">
        <w:rPr>
          <w:rStyle w:val="FootnoteReference"/>
          <w:rFonts w:ascii="Arial" w:hAnsi="Arial" w:cs="Arial"/>
          <w:szCs w:val="22"/>
        </w:rPr>
        <w:footnoteReference w:id="88"/>
      </w:r>
      <w:r w:rsidR="00AF3FEE" w:rsidRPr="00AF3FEE">
        <w:rPr>
          <w:rFonts w:ascii="Arial" w:hAnsi="Arial" w:cs="Arial"/>
          <w:szCs w:val="22"/>
        </w:rPr>
        <w:t xml:space="preserve"> ter ozaveščanje javnosti o negativnih učinkih nedovoljenih posegov v izpušni sistem vozil.</w:t>
      </w:r>
    </w:p>
    <w:p w14:paraId="08B8F695" w14:textId="6016A82E" w:rsidR="00AF3FEE" w:rsidRPr="0038553C" w:rsidRDefault="0038553C" w:rsidP="0038553C">
      <w:pPr>
        <w:pStyle w:val="Heading3"/>
      </w:pPr>
      <w:bookmarkStart w:id="86" w:name="_Toc196300818"/>
      <w:r w:rsidRPr="0038553C">
        <w:t xml:space="preserve">II.D.6 </w:t>
      </w:r>
      <w:r w:rsidR="00AF3FEE" w:rsidRPr="0038553C">
        <w:t>Industrijski procesi</w:t>
      </w:r>
      <w:bookmarkEnd w:id="86"/>
      <w:r w:rsidR="00AF3FEE" w:rsidRPr="0038553C">
        <w:t xml:space="preserve"> </w:t>
      </w:r>
    </w:p>
    <w:p w14:paraId="3AD858CB" w14:textId="77777777" w:rsidR="00AF3FEE" w:rsidRPr="00AF3FEE" w:rsidRDefault="00AF3FEE" w:rsidP="00AF3FEE">
      <w:pPr>
        <w:pStyle w:val="Heading41"/>
        <w:spacing w:after="0"/>
        <w:ind w:left="0" w:firstLine="0"/>
        <w:jc w:val="both"/>
        <w:rPr>
          <w:rFonts w:cs="Arial"/>
          <w:noProof/>
          <w:szCs w:val="22"/>
          <w:lang w:val="sl-SI"/>
        </w:rPr>
      </w:pPr>
      <w:bookmarkStart w:id="87" w:name="_Toc351034045"/>
      <w:bookmarkStart w:id="88" w:name="_Toc351046650"/>
      <w:bookmarkStart w:id="89" w:name="_Ref506009860"/>
      <w:bookmarkStart w:id="90" w:name="_Ref122012301"/>
      <w:bookmarkStart w:id="91" w:name="_Ref122012335"/>
      <w:bookmarkStart w:id="92" w:name="OLE_LINK6"/>
      <w:r w:rsidRPr="00AF3FEE">
        <w:rPr>
          <w:rFonts w:cs="Arial"/>
          <w:noProof/>
          <w:szCs w:val="22"/>
          <w:lang w:val="sl-SI"/>
        </w:rPr>
        <w:t>Zmanjšanje emisij F-plinov iz stacionarnih naprav</w:t>
      </w:r>
      <w:bookmarkEnd w:id="87"/>
      <w:bookmarkEnd w:id="88"/>
      <w:bookmarkEnd w:id="89"/>
      <w:bookmarkEnd w:id="90"/>
      <w:bookmarkEnd w:id="91"/>
    </w:p>
    <w:p w14:paraId="18D33319" w14:textId="614EE9E0" w:rsidR="00AF3FEE" w:rsidRPr="00AF3FEE" w:rsidRDefault="00AF3FEE" w:rsidP="00AF3FEE">
      <w:pPr>
        <w:pStyle w:val="Tekst-VplivUkrepa-Sektorji"/>
        <w:jc w:val="both"/>
        <w:rPr>
          <w:rStyle w:val="Naslov-VplivUkrepa-SektorjiChar"/>
          <w:rFonts w:ascii="Arial" w:eastAsia="SimSun" w:hAnsi="Arial" w:cs="Arial"/>
          <w:i w:val="0"/>
          <w:iCs/>
          <w:noProof/>
          <w:szCs w:val="22"/>
        </w:rPr>
      </w:pPr>
      <w:bookmarkStart w:id="93" w:name="_Toc351034046"/>
      <w:bookmarkStart w:id="94" w:name="_Toc351046651"/>
      <w:bookmarkEnd w:id="92"/>
      <w:r w:rsidRPr="00AF3FEE">
        <w:rPr>
          <w:rStyle w:val="Naslov-VplivUkrepa-SektorjiChar"/>
          <w:rFonts w:ascii="Arial" w:eastAsia="SimSun" w:hAnsi="Arial" w:cs="Arial"/>
          <w:i w:val="0"/>
          <w:iCs/>
          <w:noProof/>
          <w:szCs w:val="22"/>
        </w:rPr>
        <w:t xml:space="preserve">Sektorji, na katere </w:t>
      </w:r>
      <w:r w:rsidR="001D43EB" w:rsidRPr="00AF3FEE">
        <w:rPr>
          <w:rStyle w:val="Naslov-VplivUkrepa-SektorjiChar"/>
          <w:rFonts w:ascii="Arial" w:eastAsia="SimSun" w:hAnsi="Arial" w:cs="Arial"/>
          <w:i w:val="0"/>
          <w:iCs/>
          <w:noProof/>
          <w:szCs w:val="22"/>
        </w:rPr>
        <w:t xml:space="preserve">vpliva </w:t>
      </w:r>
      <w:r w:rsidRPr="00AF3FEE">
        <w:rPr>
          <w:rStyle w:val="Naslov-VplivUkrepa-SektorjiChar"/>
          <w:rFonts w:ascii="Arial" w:eastAsia="SimSun" w:hAnsi="Arial" w:cs="Arial"/>
          <w:i w:val="0"/>
          <w:iCs/>
          <w:noProof/>
          <w:szCs w:val="22"/>
        </w:rPr>
        <w:t>izvajanje ukrepa</w:t>
      </w:r>
      <w:r w:rsidRPr="003072DB">
        <w:rPr>
          <w:rStyle w:val="Naslov-VplivUkrepa-SektorjiChar"/>
          <w:rFonts w:ascii="Arial" w:eastAsia="SimSun" w:hAnsi="Arial" w:cs="Arial"/>
          <w:b w:val="0"/>
          <w:i w:val="0"/>
          <w:iCs/>
          <w:noProof/>
          <w:szCs w:val="22"/>
        </w:rPr>
        <w:t xml:space="preserve">: </w:t>
      </w:r>
      <w:r w:rsidRPr="0038553C">
        <w:rPr>
          <w:rFonts w:ascii="Arial" w:hAnsi="Arial" w:cs="Arial"/>
          <w:i w:val="0"/>
          <w:iCs/>
          <w:noProof/>
          <w:szCs w:val="22"/>
        </w:rPr>
        <w:t>industrijski procesi</w:t>
      </w:r>
      <w:r w:rsidR="00185178">
        <w:rPr>
          <w:rFonts w:ascii="Arial" w:hAnsi="Arial" w:cs="Arial"/>
          <w:i w:val="0"/>
          <w:iCs/>
          <w:noProof/>
          <w:szCs w:val="22"/>
        </w:rPr>
        <w:t>.</w:t>
      </w:r>
    </w:p>
    <w:p w14:paraId="795C0744" w14:textId="1C569971" w:rsidR="00AF3FEE" w:rsidRPr="00AF3FEE" w:rsidRDefault="00AF3FEE" w:rsidP="00AF3FEE">
      <w:pPr>
        <w:pStyle w:val="BodyText"/>
        <w:rPr>
          <w:rFonts w:ascii="Arial" w:hAnsi="Arial" w:cs="Arial"/>
          <w:noProof/>
          <w:szCs w:val="22"/>
        </w:rPr>
      </w:pPr>
      <w:r w:rsidRPr="00AF3FEE">
        <w:rPr>
          <w:rFonts w:ascii="Arial" w:hAnsi="Arial" w:cs="Arial"/>
          <w:noProof/>
          <w:szCs w:val="22"/>
        </w:rPr>
        <w:t>Na zmanjšanje emisij F-plinov iz stacionarnih naprav vpliva izvajanje določb Uredbe (EU) št. 517/2014 o fluoriranih toplogrednih plinih iz leta 2014 in izvedbenih uredb. Glavni vpliv uredbe je omejevanj</w:t>
      </w:r>
      <w:r w:rsidR="00EB74DC">
        <w:rPr>
          <w:rFonts w:ascii="Arial" w:hAnsi="Arial" w:cs="Arial"/>
          <w:noProof/>
          <w:szCs w:val="22"/>
        </w:rPr>
        <w:t>e</w:t>
      </w:r>
      <w:r w:rsidRPr="00AF3FEE">
        <w:rPr>
          <w:rFonts w:ascii="Arial" w:hAnsi="Arial" w:cs="Arial"/>
          <w:noProof/>
          <w:szCs w:val="22"/>
        </w:rPr>
        <w:t xml:space="preserve"> plasiranja F-plinov na trg EU s količinsko kapico in tudi omejevanj</w:t>
      </w:r>
      <w:r w:rsidR="00EB74DC">
        <w:rPr>
          <w:rFonts w:ascii="Arial" w:hAnsi="Arial" w:cs="Arial"/>
          <w:noProof/>
          <w:szCs w:val="22"/>
        </w:rPr>
        <w:t>e</w:t>
      </w:r>
      <w:r w:rsidRPr="00AF3FEE">
        <w:rPr>
          <w:rFonts w:ascii="Arial" w:hAnsi="Arial" w:cs="Arial"/>
          <w:noProof/>
          <w:szCs w:val="22"/>
        </w:rPr>
        <w:t xml:space="preserve"> rabe F-plinov z visokim toplogrednim potencialom v napravah. </w:t>
      </w:r>
      <w:r w:rsidR="00EB74DC">
        <w:rPr>
          <w:rFonts w:ascii="Arial" w:hAnsi="Arial" w:cs="Arial"/>
          <w:noProof/>
          <w:szCs w:val="22"/>
        </w:rPr>
        <w:t>U</w:t>
      </w:r>
      <w:r w:rsidR="00EB74DC" w:rsidRPr="00AF3FEE">
        <w:rPr>
          <w:rFonts w:ascii="Arial" w:hAnsi="Arial" w:cs="Arial"/>
          <w:noProof/>
          <w:szCs w:val="22"/>
        </w:rPr>
        <w:t xml:space="preserve">redba </w:t>
      </w:r>
      <w:r w:rsidRPr="00AF3FEE">
        <w:rPr>
          <w:rFonts w:ascii="Arial" w:hAnsi="Arial" w:cs="Arial"/>
          <w:noProof/>
          <w:szCs w:val="22"/>
        </w:rPr>
        <w:t xml:space="preserve">in izvedbene uredbe </w:t>
      </w:r>
      <w:r w:rsidR="00EB74DC">
        <w:rPr>
          <w:rFonts w:ascii="Arial" w:hAnsi="Arial" w:cs="Arial"/>
          <w:noProof/>
          <w:szCs w:val="22"/>
        </w:rPr>
        <w:t xml:space="preserve">pomembno </w:t>
      </w:r>
      <w:r w:rsidRPr="00AF3FEE">
        <w:rPr>
          <w:rFonts w:ascii="Arial" w:hAnsi="Arial" w:cs="Arial"/>
          <w:noProof/>
          <w:szCs w:val="22"/>
        </w:rPr>
        <w:t>urejajo še področje ravnanja z napravami, ki vsebujejo F-pline z namenom zmanjšanja puščanja in pravilnega ravnanj</w:t>
      </w:r>
      <w:r w:rsidR="007E6FBE">
        <w:rPr>
          <w:rFonts w:ascii="Arial" w:hAnsi="Arial" w:cs="Arial"/>
          <w:noProof/>
          <w:szCs w:val="22"/>
        </w:rPr>
        <w:t>a</w:t>
      </w:r>
      <w:r w:rsidRPr="00AF3FEE">
        <w:rPr>
          <w:rFonts w:ascii="Arial" w:hAnsi="Arial" w:cs="Arial"/>
          <w:noProof/>
          <w:szCs w:val="22"/>
        </w:rPr>
        <w:t xml:space="preserve"> </w:t>
      </w:r>
      <w:r w:rsidR="007E6FBE">
        <w:rPr>
          <w:rFonts w:ascii="Arial" w:hAnsi="Arial" w:cs="Arial"/>
          <w:noProof/>
          <w:szCs w:val="22"/>
        </w:rPr>
        <w:t xml:space="preserve">s </w:t>
      </w:r>
      <w:r w:rsidRPr="00AF3FEE">
        <w:rPr>
          <w:rFonts w:ascii="Arial" w:hAnsi="Arial" w:cs="Arial"/>
          <w:noProof/>
          <w:szCs w:val="22"/>
        </w:rPr>
        <w:t xml:space="preserve">F-plini. Leta 2024 je bila sprejeta nova uredba o F-plinih (2024/573 EU), ki prinaša hitrejše zmanjševanje kvot, v sistem kvot dodaja nove aplikacije </w:t>
      </w:r>
      <w:r w:rsidR="007E6FBE">
        <w:rPr>
          <w:rFonts w:ascii="Arial" w:hAnsi="Arial" w:cs="Arial"/>
          <w:noProof/>
          <w:szCs w:val="22"/>
        </w:rPr>
        <w:t xml:space="preserve">s </w:t>
      </w:r>
      <w:r w:rsidRPr="00AF3FEE">
        <w:rPr>
          <w:rFonts w:ascii="Arial" w:hAnsi="Arial" w:cs="Arial"/>
          <w:noProof/>
          <w:szCs w:val="22"/>
        </w:rPr>
        <w:t xml:space="preserve">F-plini, vpliv uredbe širi na dodatne </w:t>
      </w:r>
      <w:r w:rsidR="00EB74DC" w:rsidRPr="00AF3FEE">
        <w:rPr>
          <w:rFonts w:ascii="Arial" w:hAnsi="Arial" w:cs="Arial"/>
          <w:noProof/>
          <w:szCs w:val="22"/>
        </w:rPr>
        <w:t>na</w:t>
      </w:r>
      <w:r w:rsidR="00EB74DC">
        <w:rPr>
          <w:rFonts w:ascii="Arial" w:hAnsi="Arial" w:cs="Arial"/>
          <w:noProof/>
          <w:szCs w:val="22"/>
        </w:rPr>
        <w:t>pr</w:t>
      </w:r>
      <w:r w:rsidR="00EB74DC" w:rsidRPr="00AF3FEE">
        <w:rPr>
          <w:rFonts w:ascii="Arial" w:hAnsi="Arial" w:cs="Arial"/>
          <w:noProof/>
          <w:szCs w:val="22"/>
        </w:rPr>
        <w:t xml:space="preserve">ave </w:t>
      </w:r>
      <w:r w:rsidRPr="00AF3FEE">
        <w:rPr>
          <w:rFonts w:ascii="Arial" w:hAnsi="Arial" w:cs="Arial"/>
          <w:noProof/>
          <w:szCs w:val="22"/>
        </w:rPr>
        <w:t xml:space="preserve">in pline, izboljšuje spremljanje </w:t>
      </w:r>
      <w:r w:rsidR="00EB74DC">
        <w:rPr>
          <w:rFonts w:ascii="Arial" w:hAnsi="Arial" w:cs="Arial"/>
          <w:noProof/>
          <w:szCs w:val="22"/>
        </w:rPr>
        <w:t>in</w:t>
      </w:r>
      <w:r w:rsidR="00EB74DC" w:rsidRPr="00AF3FEE">
        <w:rPr>
          <w:rFonts w:ascii="Arial" w:hAnsi="Arial" w:cs="Arial"/>
          <w:noProof/>
          <w:szCs w:val="22"/>
        </w:rPr>
        <w:t xml:space="preserve"> </w:t>
      </w:r>
      <w:r w:rsidRPr="00AF3FEE">
        <w:rPr>
          <w:rFonts w:ascii="Arial" w:hAnsi="Arial" w:cs="Arial"/>
          <w:noProof/>
          <w:szCs w:val="22"/>
        </w:rPr>
        <w:t xml:space="preserve">omejuje proizvodnjo F-plinov v EU. </w:t>
      </w:r>
    </w:p>
    <w:p w14:paraId="5A8FBCF4" w14:textId="6994007E" w:rsidR="00AF3FEE" w:rsidRPr="00AF3FEE" w:rsidRDefault="00AF3FEE" w:rsidP="00AF3FEE">
      <w:pPr>
        <w:pStyle w:val="BodyText"/>
        <w:rPr>
          <w:rFonts w:ascii="Arial" w:hAnsi="Arial" w:cs="Arial"/>
          <w:noProof/>
          <w:szCs w:val="22"/>
        </w:rPr>
      </w:pPr>
      <w:r w:rsidRPr="00AF3FEE">
        <w:rPr>
          <w:rFonts w:ascii="Arial" w:hAnsi="Arial" w:cs="Arial"/>
          <w:noProof/>
          <w:szCs w:val="22"/>
        </w:rPr>
        <w:t>Izvajanje v Sloveniji je določeno z Uredbo o uporabi fluoriranih toplogrednih plinov in ozonu škodljivih snoveh (Ur</w:t>
      </w:r>
      <w:r w:rsidR="002958C7">
        <w:rPr>
          <w:rFonts w:ascii="Arial" w:hAnsi="Arial" w:cs="Arial"/>
          <w:noProof/>
          <w:szCs w:val="22"/>
        </w:rPr>
        <w:t>adni</w:t>
      </w:r>
      <w:r w:rsidRPr="00AF3FEE">
        <w:rPr>
          <w:rFonts w:ascii="Arial" w:hAnsi="Arial" w:cs="Arial"/>
          <w:noProof/>
          <w:szCs w:val="22"/>
        </w:rPr>
        <w:t xml:space="preserve"> l</w:t>
      </w:r>
      <w:r w:rsidR="002958C7">
        <w:rPr>
          <w:rFonts w:ascii="Arial" w:hAnsi="Arial" w:cs="Arial"/>
          <w:noProof/>
          <w:szCs w:val="22"/>
        </w:rPr>
        <w:t>ist</w:t>
      </w:r>
      <w:r w:rsidRPr="00AF3FEE">
        <w:rPr>
          <w:rFonts w:ascii="Arial" w:hAnsi="Arial" w:cs="Arial"/>
          <w:noProof/>
          <w:szCs w:val="22"/>
        </w:rPr>
        <w:t xml:space="preserve"> RS</w:t>
      </w:r>
      <w:r w:rsidR="007E6FBE">
        <w:rPr>
          <w:rFonts w:ascii="Arial" w:hAnsi="Arial" w:cs="Arial"/>
          <w:noProof/>
          <w:szCs w:val="22"/>
        </w:rPr>
        <w:t>,</w:t>
      </w:r>
      <w:r w:rsidRPr="00AF3FEE">
        <w:rPr>
          <w:rFonts w:ascii="Arial" w:hAnsi="Arial" w:cs="Arial"/>
          <w:noProof/>
          <w:szCs w:val="22"/>
        </w:rPr>
        <w:t xml:space="preserve"> št. 60/16).</w:t>
      </w:r>
    </w:p>
    <w:p w14:paraId="5750C337" w14:textId="6DE3C068"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Izvajanje tega ukrepa bo prispevalo k znatno nižjim emisijam HFC. </w:t>
      </w:r>
    </w:p>
    <w:p w14:paraId="505E085F" w14:textId="77777777" w:rsidR="00AF3FEE" w:rsidRPr="00AF3FEE" w:rsidRDefault="00AF3FEE" w:rsidP="00AF3FEE">
      <w:pPr>
        <w:pStyle w:val="Heading41"/>
        <w:spacing w:after="0"/>
        <w:ind w:left="0" w:firstLine="0"/>
        <w:jc w:val="both"/>
        <w:rPr>
          <w:rFonts w:cs="Arial"/>
          <w:noProof/>
          <w:szCs w:val="22"/>
          <w:lang w:val="sl-SI"/>
        </w:rPr>
      </w:pPr>
      <w:bookmarkStart w:id="95" w:name="_Ref506009867"/>
      <w:bookmarkStart w:id="96" w:name="OLE_LINK7"/>
      <w:r w:rsidRPr="00AF3FEE">
        <w:rPr>
          <w:rFonts w:cs="Arial"/>
          <w:noProof/>
          <w:szCs w:val="22"/>
          <w:lang w:val="sl-SI"/>
        </w:rPr>
        <w:t>Zmanjšanje emisij F-plinov iz mobilnih klimatskih naprav</w:t>
      </w:r>
      <w:bookmarkEnd w:id="93"/>
      <w:bookmarkEnd w:id="94"/>
      <w:bookmarkEnd w:id="95"/>
    </w:p>
    <w:p w14:paraId="4273F3DC" w14:textId="55593F6E" w:rsidR="00AF3FEE" w:rsidRPr="00AF3FEE" w:rsidRDefault="00AF3FEE" w:rsidP="00AF3FEE">
      <w:pPr>
        <w:pStyle w:val="Tekst-VplivUkrepa-Sektorji"/>
        <w:jc w:val="both"/>
        <w:rPr>
          <w:rStyle w:val="Naslov-VplivUkrepa-SektorjiChar"/>
          <w:rFonts w:ascii="Arial" w:eastAsia="SimSun" w:hAnsi="Arial" w:cs="Arial"/>
          <w:i w:val="0"/>
          <w:iCs/>
          <w:noProof/>
          <w:szCs w:val="22"/>
        </w:rPr>
      </w:pPr>
      <w:bookmarkStart w:id="97" w:name="_Toc351034047"/>
      <w:bookmarkStart w:id="98" w:name="_Toc351046652"/>
      <w:bookmarkEnd w:id="96"/>
      <w:r w:rsidRPr="00AF3FEE">
        <w:rPr>
          <w:rStyle w:val="Naslov-VplivUkrepa-SektorjiChar"/>
          <w:rFonts w:ascii="Arial" w:eastAsia="SimSun" w:hAnsi="Arial" w:cs="Arial"/>
          <w:i w:val="0"/>
          <w:iCs/>
          <w:noProof/>
          <w:szCs w:val="22"/>
        </w:rPr>
        <w:t xml:space="preserve">Sektorji, na katere </w:t>
      </w:r>
      <w:r w:rsidR="001D43EB" w:rsidRPr="00AF3FEE">
        <w:rPr>
          <w:rStyle w:val="Naslov-VplivUkrepa-SektorjiChar"/>
          <w:rFonts w:ascii="Arial" w:eastAsia="SimSun" w:hAnsi="Arial" w:cs="Arial"/>
          <w:i w:val="0"/>
          <w:iCs/>
          <w:noProof/>
          <w:szCs w:val="22"/>
        </w:rPr>
        <w:t xml:space="preserve">vpliva </w:t>
      </w:r>
      <w:r w:rsidRPr="00AF3FEE">
        <w:rPr>
          <w:rStyle w:val="Naslov-VplivUkrepa-SektorjiChar"/>
          <w:rFonts w:ascii="Arial" w:eastAsia="SimSun" w:hAnsi="Arial" w:cs="Arial"/>
          <w:i w:val="0"/>
          <w:iCs/>
          <w:noProof/>
          <w:szCs w:val="22"/>
        </w:rPr>
        <w:t>izvajanje ukrepa</w:t>
      </w:r>
      <w:r w:rsidRPr="003072DB">
        <w:rPr>
          <w:rStyle w:val="Naslov-VplivUkrepa-SektorjiChar"/>
          <w:rFonts w:ascii="Arial" w:eastAsia="SimSun" w:hAnsi="Arial" w:cs="Arial"/>
          <w:b w:val="0"/>
          <w:i w:val="0"/>
          <w:iCs/>
          <w:noProof/>
          <w:szCs w:val="22"/>
        </w:rPr>
        <w:t xml:space="preserve">: </w:t>
      </w:r>
      <w:r w:rsidRPr="0038553C">
        <w:rPr>
          <w:rFonts w:ascii="Arial" w:hAnsi="Arial" w:cs="Arial"/>
          <w:i w:val="0"/>
          <w:iCs/>
          <w:noProof/>
          <w:szCs w:val="22"/>
        </w:rPr>
        <w:t>industrijski procesi</w:t>
      </w:r>
      <w:r w:rsidR="007E6FBE">
        <w:rPr>
          <w:rFonts w:ascii="Arial" w:hAnsi="Arial" w:cs="Arial"/>
          <w:i w:val="0"/>
          <w:iCs/>
          <w:noProof/>
          <w:szCs w:val="22"/>
        </w:rPr>
        <w:t>.</w:t>
      </w:r>
    </w:p>
    <w:p w14:paraId="755F2678" w14:textId="6CBBC52D"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Direktiva 2006/40/ES </w:t>
      </w:r>
      <w:r w:rsidR="007E6FBE">
        <w:rPr>
          <w:rFonts w:ascii="Arial" w:hAnsi="Arial" w:cs="Arial"/>
          <w:noProof/>
          <w:szCs w:val="22"/>
        </w:rPr>
        <w:t>Evropskega parlamenta</w:t>
      </w:r>
      <w:r w:rsidRPr="00AF3FEE">
        <w:rPr>
          <w:rFonts w:ascii="Arial" w:hAnsi="Arial" w:cs="Arial"/>
          <w:noProof/>
          <w:szCs w:val="22"/>
        </w:rPr>
        <w:t xml:space="preserve"> in Sveta o emisijah iz klimatskih naprav v motornih vozilih in spremembi Direktive Sveta 70/156/EGS (UL L št. 161 z dne 14.</w:t>
      </w:r>
      <w:r w:rsidR="007E6FBE">
        <w:rPr>
          <w:rFonts w:ascii="Arial" w:hAnsi="Arial" w:cs="Arial"/>
          <w:noProof/>
          <w:szCs w:val="22"/>
        </w:rPr>
        <w:t xml:space="preserve"> </w:t>
      </w:r>
      <w:r w:rsidR="00EB74DC">
        <w:rPr>
          <w:rFonts w:ascii="Arial" w:hAnsi="Arial" w:cs="Arial"/>
          <w:noProof/>
          <w:szCs w:val="22"/>
        </w:rPr>
        <w:t xml:space="preserve">junija </w:t>
      </w:r>
      <w:r w:rsidRPr="00AF3FEE">
        <w:rPr>
          <w:rFonts w:ascii="Arial" w:hAnsi="Arial" w:cs="Arial"/>
          <w:noProof/>
          <w:szCs w:val="22"/>
        </w:rPr>
        <w:t xml:space="preserve">2006) je bila v slovenski pravni red prenesena s tehnično specifikacijo TSV – 161/01 o emisijah iz klimatskih naprav v motornih vozilih, ki ureja področje emisij iz klimatskih naprav vozil kategorije M1 in N1 (osebna vozila ter tovorna vozila do skupne mase 3,5 t). Direktiva je bila </w:t>
      </w:r>
      <w:r w:rsidR="00EB74DC">
        <w:rPr>
          <w:rFonts w:ascii="Arial" w:hAnsi="Arial" w:cs="Arial"/>
          <w:noProof/>
          <w:szCs w:val="22"/>
        </w:rPr>
        <w:lastRenderedPageBreak/>
        <w:t>prenes</w:t>
      </w:r>
      <w:r w:rsidR="00EB74DC" w:rsidRPr="00AF3FEE">
        <w:rPr>
          <w:rFonts w:ascii="Arial" w:hAnsi="Arial" w:cs="Arial"/>
          <w:noProof/>
          <w:szCs w:val="22"/>
        </w:rPr>
        <w:t xml:space="preserve">ena </w:t>
      </w:r>
      <w:r w:rsidRPr="00AF3FEE">
        <w:rPr>
          <w:rFonts w:ascii="Arial" w:hAnsi="Arial" w:cs="Arial"/>
          <w:noProof/>
          <w:szCs w:val="22"/>
        </w:rPr>
        <w:t xml:space="preserve">v treh fazah. Zadnja faza je začela veljati 1. </w:t>
      </w:r>
      <w:r w:rsidR="00EB74DC" w:rsidRPr="00AF3FEE">
        <w:rPr>
          <w:rFonts w:ascii="Arial" w:hAnsi="Arial" w:cs="Arial"/>
          <w:noProof/>
          <w:szCs w:val="22"/>
        </w:rPr>
        <w:t>januarj</w:t>
      </w:r>
      <w:r w:rsidR="00EB74DC">
        <w:rPr>
          <w:rFonts w:ascii="Arial" w:hAnsi="Arial" w:cs="Arial"/>
          <w:noProof/>
          <w:szCs w:val="22"/>
        </w:rPr>
        <w:t>a</w:t>
      </w:r>
      <w:r w:rsidR="00EB74DC" w:rsidRPr="00AF3FEE">
        <w:rPr>
          <w:rFonts w:ascii="Arial" w:hAnsi="Arial" w:cs="Arial"/>
          <w:noProof/>
          <w:szCs w:val="22"/>
        </w:rPr>
        <w:t xml:space="preserve"> </w:t>
      </w:r>
      <w:r w:rsidRPr="00AF3FEE">
        <w:rPr>
          <w:rFonts w:ascii="Arial" w:hAnsi="Arial" w:cs="Arial"/>
          <w:noProof/>
          <w:szCs w:val="22"/>
        </w:rPr>
        <w:t xml:space="preserve">2017 s prepovedjo registracije vseh vozil z vgrajeno klimatsko napravo, ki vsebuje fluorirane </w:t>
      </w:r>
      <w:r w:rsidR="0024256B">
        <w:rPr>
          <w:rFonts w:ascii="Arial" w:hAnsi="Arial" w:cs="Arial"/>
          <w:noProof/>
          <w:szCs w:val="22"/>
        </w:rPr>
        <w:t>TGP</w:t>
      </w:r>
      <w:r w:rsidRPr="00AF3FEE">
        <w:rPr>
          <w:rFonts w:ascii="Arial" w:hAnsi="Arial" w:cs="Arial"/>
          <w:noProof/>
          <w:szCs w:val="22"/>
        </w:rPr>
        <w:t xml:space="preserve"> z globalnim potencialom segrevanja nad 150.</w:t>
      </w:r>
      <w:bookmarkEnd w:id="97"/>
      <w:bookmarkEnd w:id="98"/>
    </w:p>
    <w:p w14:paraId="5E53CAD8" w14:textId="1F3CD3E0" w:rsidR="00AF3FEE" w:rsidRPr="0038553C" w:rsidRDefault="0038553C" w:rsidP="0038553C">
      <w:pPr>
        <w:pStyle w:val="Heading3"/>
      </w:pPr>
      <w:bookmarkStart w:id="99" w:name="_Toc196300819"/>
      <w:r w:rsidRPr="0038553C">
        <w:t xml:space="preserve">II.D.7 </w:t>
      </w:r>
      <w:r w:rsidR="00AF3FEE" w:rsidRPr="0038553C">
        <w:t>Kmetijstvo</w:t>
      </w:r>
      <w:bookmarkEnd w:id="99"/>
    </w:p>
    <w:p w14:paraId="4F99A70C"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Povečanje učinkovitosti reje živali</w:t>
      </w:r>
    </w:p>
    <w:p w14:paraId="54AA4462" w14:textId="2D2DB2DF" w:rsidR="00AF3FEE" w:rsidRPr="00AF3FEE" w:rsidRDefault="00AF3FEE" w:rsidP="00AF3FEE">
      <w:pPr>
        <w:pStyle w:val="Naslov-VplivUkrepa-Sektorji"/>
        <w:jc w:val="both"/>
        <w:rPr>
          <w:rStyle w:val="Tekst-VplivUkrepa-SektorjiCharChar"/>
          <w:rFonts w:ascii="Arial" w:hAnsi="Arial" w:cs="Arial"/>
          <w:i w:val="0"/>
          <w:szCs w:val="22"/>
        </w:rPr>
      </w:pPr>
      <w:r w:rsidRPr="00AF3FEE">
        <w:rPr>
          <w:rFonts w:ascii="Arial" w:hAnsi="Arial" w:cs="Arial"/>
          <w:szCs w:val="22"/>
        </w:rPr>
        <w:t xml:space="preserve">Sektorji, na katere </w:t>
      </w:r>
      <w:r w:rsidR="001D43EB"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w:t>
      </w:r>
      <w:r w:rsidRPr="00A57F7D">
        <w:rPr>
          <w:rStyle w:val="Tekst-VplivUkrepa-SektorjiCharChar"/>
          <w:rFonts w:ascii="Arial" w:hAnsi="Arial" w:cs="Arial"/>
          <w:b w:val="0"/>
          <w:szCs w:val="22"/>
        </w:rPr>
        <w:t xml:space="preserve"> </w:t>
      </w:r>
      <w:r w:rsidRPr="0038553C">
        <w:rPr>
          <w:rStyle w:val="Tekst-VplivUkrepa-SektorjiCharChar"/>
          <w:rFonts w:ascii="Arial" w:hAnsi="Arial" w:cs="Arial"/>
          <w:b w:val="0"/>
          <w:i w:val="0"/>
          <w:iCs/>
          <w:szCs w:val="22"/>
        </w:rPr>
        <w:t>kmetijstvo</w:t>
      </w:r>
      <w:r w:rsidR="007E6FBE">
        <w:rPr>
          <w:rStyle w:val="Tekst-VplivUkrepa-SektorjiCharChar"/>
          <w:rFonts w:ascii="Arial" w:hAnsi="Arial" w:cs="Arial"/>
          <w:b w:val="0"/>
          <w:i w:val="0"/>
          <w:iCs/>
          <w:szCs w:val="22"/>
        </w:rPr>
        <w:t>.</w:t>
      </w:r>
    </w:p>
    <w:p w14:paraId="230E5951" w14:textId="73E8B9EB" w:rsidR="00AF3FEE" w:rsidRPr="00AF3FEE" w:rsidRDefault="00AF3FEE" w:rsidP="00AF3FEE">
      <w:pPr>
        <w:pStyle w:val="BodyText"/>
        <w:rPr>
          <w:rFonts w:ascii="Arial" w:hAnsi="Arial" w:cs="Arial"/>
          <w:szCs w:val="22"/>
        </w:rPr>
      </w:pPr>
      <w:r w:rsidRPr="00AF3FEE">
        <w:rPr>
          <w:rFonts w:ascii="Arial" w:hAnsi="Arial" w:cs="Arial"/>
          <w:szCs w:val="22"/>
        </w:rPr>
        <w:t xml:space="preserve">Z izboljšanjem učinkovitosti reje je mogoče zmanjšati intenzivnost emisij metana in didušikovega oksida. </w:t>
      </w:r>
      <w:r w:rsidR="007E6FBE">
        <w:rPr>
          <w:rFonts w:ascii="Arial" w:hAnsi="Arial" w:cs="Arial"/>
          <w:szCs w:val="22"/>
        </w:rPr>
        <w:t>U</w:t>
      </w:r>
      <w:r w:rsidRPr="00AF3FEE">
        <w:rPr>
          <w:rFonts w:ascii="Arial" w:hAnsi="Arial" w:cs="Arial"/>
          <w:szCs w:val="22"/>
        </w:rPr>
        <w:t xml:space="preserve">krep vključuje številne instrumente, ki jih lahko razvrstimo v tri skupine: 1) </w:t>
      </w:r>
      <w:r w:rsidR="00E34997" w:rsidRPr="00AF3FEE">
        <w:rPr>
          <w:rFonts w:ascii="Arial" w:hAnsi="Arial" w:cs="Arial"/>
          <w:szCs w:val="22"/>
        </w:rPr>
        <w:t>javn</w:t>
      </w:r>
      <w:r w:rsidR="00E34997">
        <w:rPr>
          <w:rFonts w:ascii="Arial" w:hAnsi="Arial" w:cs="Arial"/>
          <w:szCs w:val="22"/>
        </w:rPr>
        <w:t>e</w:t>
      </w:r>
      <w:r w:rsidR="00E34997" w:rsidRPr="00AF3FEE">
        <w:rPr>
          <w:rFonts w:ascii="Arial" w:hAnsi="Arial" w:cs="Arial"/>
          <w:szCs w:val="22"/>
        </w:rPr>
        <w:t xml:space="preserve"> </w:t>
      </w:r>
      <w:r w:rsidRPr="00AF3FEE">
        <w:rPr>
          <w:rFonts w:ascii="Arial" w:hAnsi="Arial" w:cs="Arial"/>
          <w:szCs w:val="22"/>
        </w:rPr>
        <w:t>služb</w:t>
      </w:r>
      <w:r w:rsidR="00E34997">
        <w:rPr>
          <w:rFonts w:ascii="Arial" w:hAnsi="Arial" w:cs="Arial"/>
          <w:szCs w:val="22"/>
        </w:rPr>
        <w:t>e</w:t>
      </w:r>
      <w:r w:rsidRPr="00AF3FEE">
        <w:rPr>
          <w:rFonts w:ascii="Arial" w:hAnsi="Arial" w:cs="Arial"/>
          <w:szCs w:val="22"/>
        </w:rPr>
        <w:t xml:space="preserve"> v živinoreji, ki vključujejo selekcij</w:t>
      </w:r>
      <w:r w:rsidR="00EB74DC">
        <w:rPr>
          <w:rFonts w:ascii="Arial" w:hAnsi="Arial" w:cs="Arial"/>
          <w:szCs w:val="22"/>
        </w:rPr>
        <w:t>o</w:t>
      </w:r>
      <w:r w:rsidRPr="00AF3FEE">
        <w:rPr>
          <w:rFonts w:ascii="Arial" w:hAnsi="Arial" w:cs="Arial"/>
          <w:szCs w:val="22"/>
        </w:rPr>
        <w:t xml:space="preserve"> goveda in drobnice v smeri učinkovitejše reje in zmanjšanja intenzivnosti emisij </w:t>
      </w:r>
      <w:r w:rsidR="0024256B">
        <w:rPr>
          <w:rFonts w:ascii="Arial" w:hAnsi="Arial" w:cs="Arial"/>
          <w:szCs w:val="22"/>
        </w:rPr>
        <w:t>TGP</w:t>
      </w:r>
      <w:r w:rsidRPr="00AF3FEE">
        <w:rPr>
          <w:rFonts w:ascii="Arial" w:hAnsi="Arial" w:cs="Arial"/>
          <w:szCs w:val="22"/>
        </w:rPr>
        <w:t xml:space="preserve">, 2) javna služba kmetijskega svetovanja in 3) spodbude za </w:t>
      </w:r>
      <w:r w:rsidR="00E34997" w:rsidRPr="00AF3FEE">
        <w:rPr>
          <w:rFonts w:ascii="Arial" w:hAnsi="Arial" w:cs="Arial"/>
          <w:szCs w:val="22"/>
        </w:rPr>
        <w:t>nadstandardn</w:t>
      </w:r>
      <w:r w:rsidR="00E34997">
        <w:rPr>
          <w:rFonts w:ascii="Arial" w:hAnsi="Arial" w:cs="Arial"/>
          <w:szCs w:val="22"/>
        </w:rPr>
        <w:t>e</w:t>
      </w:r>
      <w:r w:rsidR="00E34997" w:rsidRPr="00AF3FEE">
        <w:rPr>
          <w:rFonts w:ascii="Arial" w:hAnsi="Arial" w:cs="Arial"/>
          <w:szCs w:val="22"/>
        </w:rPr>
        <w:t xml:space="preserve"> kmetijsk</w:t>
      </w:r>
      <w:r w:rsidR="00E34997">
        <w:rPr>
          <w:rFonts w:ascii="Arial" w:hAnsi="Arial" w:cs="Arial"/>
          <w:szCs w:val="22"/>
        </w:rPr>
        <w:t>e</w:t>
      </w:r>
      <w:r w:rsidR="00E34997" w:rsidRPr="00AF3FEE">
        <w:rPr>
          <w:rFonts w:ascii="Arial" w:hAnsi="Arial" w:cs="Arial"/>
          <w:szCs w:val="22"/>
        </w:rPr>
        <w:t xml:space="preserve"> </w:t>
      </w:r>
      <w:r w:rsidRPr="00AF3FEE">
        <w:rPr>
          <w:rFonts w:ascii="Arial" w:hAnsi="Arial" w:cs="Arial"/>
          <w:szCs w:val="22"/>
        </w:rPr>
        <w:t>praks</w:t>
      </w:r>
      <w:r w:rsidR="00E34997">
        <w:rPr>
          <w:rFonts w:ascii="Arial" w:hAnsi="Arial" w:cs="Arial"/>
          <w:szCs w:val="22"/>
        </w:rPr>
        <w:t>e</w:t>
      </w:r>
      <w:r w:rsidRPr="00AF3FEE">
        <w:rPr>
          <w:rFonts w:ascii="Arial" w:hAnsi="Arial" w:cs="Arial"/>
          <w:szCs w:val="22"/>
        </w:rPr>
        <w:t xml:space="preserve">, ki se izvajajo v </w:t>
      </w:r>
      <w:r w:rsidR="00E34997">
        <w:rPr>
          <w:rFonts w:ascii="Arial" w:hAnsi="Arial" w:cs="Arial"/>
          <w:szCs w:val="22"/>
        </w:rPr>
        <w:t>okviru</w:t>
      </w:r>
      <w:r w:rsidR="00E34997" w:rsidRPr="00AF3FEE">
        <w:rPr>
          <w:rFonts w:ascii="Arial" w:hAnsi="Arial" w:cs="Arial"/>
          <w:szCs w:val="22"/>
        </w:rPr>
        <w:t xml:space="preserve"> </w:t>
      </w:r>
      <w:r w:rsidRPr="00AF3FEE">
        <w:rPr>
          <w:rFonts w:ascii="Arial" w:hAnsi="Arial" w:cs="Arial"/>
          <w:szCs w:val="22"/>
        </w:rPr>
        <w:t xml:space="preserve">Strateškega načrta skupne kmetijske politike. Ukrep med drugim vključuje finančne spodbude za </w:t>
      </w:r>
      <w:r w:rsidR="00E34997" w:rsidRPr="00AF3FEE">
        <w:rPr>
          <w:rFonts w:ascii="Arial" w:hAnsi="Arial" w:cs="Arial"/>
          <w:szCs w:val="22"/>
        </w:rPr>
        <w:t>načrtn</w:t>
      </w:r>
      <w:r w:rsidR="00E34997">
        <w:rPr>
          <w:rFonts w:ascii="Arial" w:hAnsi="Arial" w:cs="Arial"/>
          <w:szCs w:val="22"/>
        </w:rPr>
        <w:t>o</w:t>
      </w:r>
      <w:r w:rsidR="00E34997" w:rsidRPr="00AF3FEE">
        <w:rPr>
          <w:rFonts w:ascii="Arial" w:hAnsi="Arial" w:cs="Arial"/>
          <w:szCs w:val="22"/>
        </w:rPr>
        <w:t xml:space="preserve"> </w:t>
      </w:r>
      <w:r w:rsidRPr="00AF3FEE">
        <w:rPr>
          <w:rFonts w:ascii="Arial" w:hAnsi="Arial" w:cs="Arial"/>
          <w:szCs w:val="22"/>
        </w:rPr>
        <w:t>krmljenj</w:t>
      </w:r>
      <w:r w:rsidR="00E34997">
        <w:rPr>
          <w:rFonts w:ascii="Arial" w:hAnsi="Arial" w:cs="Arial"/>
          <w:szCs w:val="22"/>
        </w:rPr>
        <w:t>e</w:t>
      </w:r>
      <w:r w:rsidRPr="00AF3FEE">
        <w:rPr>
          <w:rFonts w:ascii="Arial" w:hAnsi="Arial" w:cs="Arial"/>
          <w:szCs w:val="22"/>
        </w:rPr>
        <w:t xml:space="preserve"> govedi, drobnice in prašičev na podlagi </w:t>
      </w:r>
      <w:r w:rsidR="00E34997">
        <w:rPr>
          <w:rFonts w:ascii="Arial" w:hAnsi="Arial" w:cs="Arial"/>
          <w:szCs w:val="22"/>
        </w:rPr>
        <w:t xml:space="preserve">izsledkov </w:t>
      </w:r>
      <w:r w:rsidRPr="00AF3FEE">
        <w:rPr>
          <w:rFonts w:ascii="Arial" w:hAnsi="Arial" w:cs="Arial"/>
          <w:szCs w:val="22"/>
        </w:rPr>
        <w:t xml:space="preserve">analiz krme in uporabo krmnih dodatkov za zmanjšanje emisij metana iz prebavil rejnih živali. V okviru javnih služb v živinoreji je zagotovljeno tudi vzdrževanje informacijskega sistema </w:t>
      </w:r>
      <w:r w:rsidR="00E34997">
        <w:rPr>
          <w:rFonts w:ascii="Arial" w:hAnsi="Arial" w:cs="Arial"/>
          <w:szCs w:val="22"/>
        </w:rPr>
        <w:t>g</w:t>
      </w:r>
      <w:r w:rsidRPr="00AF3FEE">
        <w:rPr>
          <w:rFonts w:ascii="Arial" w:hAnsi="Arial" w:cs="Arial"/>
          <w:szCs w:val="22"/>
        </w:rPr>
        <w:t>ovedo</w:t>
      </w:r>
      <w:r w:rsidR="00E34997">
        <w:rPr>
          <w:rFonts w:ascii="Arial" w:hAnsi="Arial" w:cs="Arial"/>
          <w:szCs w:val="22"/>
        </w:rPr>
        <w:t>;</w:t>
      </w:r>
      <w:r w:rsidRPr="00AF3FEE">
        <w:rPr>
          <w:rFonts w:ascii="Arial" w:hAnsi="Arial" w:cs="Arial"/>
          <w:szCs w:val="22"/>
        </w:rPr>
        <w:t xml:space="preserve"> </w:t>
      </w:r>
      <w:r w:rsidR="00E34997">
        <w:rPr>
          <w:rFonts w:ascii="Arial" w:hAnsi="Arial" w:cs="Arial"/>
          <w:szCs w:val="22"/>
        </w:rPr>
        <w:t xml:space="preserve">ta </w:t>
      </w:r>
      <w:r w:rsidRPr="00AF3FEE">
        <w:rPr>
          <w:rFonts w:ascii="Arial" w:hAnsi="Arial" w:cs="Arial"/>
          <w:szCs w:val="22"/>
        </w:rPr>
        <w:t xml:space="preserve">nudi rejcem molznic podporo pri odločitvah, ki vodijo k zmanjšanju emisij </w:t>
      </w:r>
      <w:r w:rsidR="0024256B">
        <w:rPr>
          <w:rFonts w:ascii="Arial" w:hAnsi="Arial" w:cs="Arial"/>
          <w:szCs w:val="22"/>
        </w:rPr>
        <w:t>TGP</w:t>
      </w:r>
      <w:r w:rsidR="00E34997">
        <w:rPr>
          <w:rFonts w:ascii="Arial" w:hAnsi="Arial" w:cs="Arial"/>
          <w:szCs w:val="22"/>
        </w:rPr>
        <w:t>,</w:t>
      </w:r>
      <w:r w:rsidR="0024256B">
        <w:rPr>
          <w:rFonts w:ascii="Arial" w:hAnsi="Arial" w:cs="Arial"/>
          <w:szCs w:val="22"/>
        </w:rPr>
        <w:t xml:space="preserve"> </w:t>
      </w:r>
      <w:r w:rsidRPr="00AF3FEE">
        <w:rPr>
          <w:rFonts w:ascii="Arial" w:hAnsi="Arial" w:cs="Arial"/>
          <w:szCs w:val="22"/>
        </w:rPr>
        <w:t xml:space="preserve">in jih informira o emisijah na njihovih kmetijah. </w:t>
      </w:r>
      <w:bookmarkStart w:id="100" w:name="_Hlk192763276"/>
      <w:r w:rsidR="00E34997">
        <w:rPr>
          <w:rFonts w:ascii="Arial" w:hAnsi="Arial" w:cs="Arial"/>
          <w:szCs w:val="22"/>
        </w:rPr>
        <w:t>U</w:t>
      </w:r>
      <w:r w:rsidRPr="00AF3FEE">
        <w:rPr>
          <w:rFonts w:ascii="Arial" w:hAnsi="Arial" w:cs="Arial"/>
          <w:szCs w:val="22"/>
        </w:rPr>
        <w:t>krep se neprestano posodablja na podlagi izvedbenih načrtov.</w:t>
      </w:r>
      <w:bookmarkEnd w:id="100"/>
    </w:p>
    <w:p w14:paraId="7885399C"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Spodbujanje načinov reje z majhnimi izpusti</w:t>
      </w:r>
    </w:p>
    <w:p w14:paraId="2A0016ED" w14:textId="6026EE66" w:rsidR="00AF3FEE" w:rsidRPr="00AF3FEE" w:rsidRDefault="00AF3FEE" w:rsidP="00AF3FEE">
      <w:pPr>
        <w:pStyle w:val="Naslov-VplivUkrepa-Sektorji"/>
        <w:jc w:val="both"/>
        <w:rPr>
          <w:rStyle w:val="Tekst-VplivUkrepa-SektorjiCharChar"/>
          <w:rFonts w:ascii="Arial" w:hAnsi="Arial" w:cs="Arial"/>
          <w:i w:val="0"/>
          <w:szCs w:val="22"/>
        </w:rPr>
      </w:pPr>
      <w:r w:rsidRPr="00AF3FEE">
        <w:rPr>
          <w:rFonts w:ascii="Arial" w:hAnsi="Arial" w:cs="Arial"/>
          <w:szCs w:val="22"/>
        </w:rPr>
        <w:t xml:space="preserve">Sektorji, na katere </w:t>
      </w:r>
      <w:r w:rsidR="001D43EB"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w:t>
      </w:r>
      <w:r w:rsidRPr="00A57F7D">
        <w:rPr>
          <w:rStyle w:val="Tekst-VplivUkrepa-SektorjiCharChar"/>
          <w:rFonts w:ascii="Arial" w:hAnsi="Arial" w:cs="Arial"/>
          <w:b w:val="0"/>
          <w:szCs w:val="22"/>
        </w:rPr>
        <w:t xml:space="preserve"> </w:t>
      </w:r>
      <w:r w:rsidRPr="0038553C">
        <w:rPr>
          <w:rStyle w:val="Tekst-VplivUkrepa-SektorjiCharChar"/>
          <w:rFonts w:ascii="Arial" w:hAnsi="Arial" w:cs="Arial"/>
          <w:b w:val="0"/>
          <w:i w:val="0"/>
          <w:iCs/>
          <w:szCs w:val="22"/>
        </w:rPr>
        <w:t>kmetijstvo</w:t>
      </w:r>
      <w:r w:rsidR="00E34997">
        <w:rPr>
          <w:rStyle w:val="Tekst-VplivUkrepa-SektorjiCharChar"/>
          <w:rFonts w:ascii="Arial" w:hAnsi="Arial" w:cs="Arial"/>
          <w:b w:val="0"/>
          <w:i w:val="0"/>
          <w:iCs/>
          <w:szCs w:val="22"/>
        </w:rPr>
        <w:t>.</w:t>
      </w:r>
    </w:p>
    <w:p w14:paraId="607C424F" w14:textId="63A7CEFA" w:rsidR="00AF3FEE" w:rsidRPr="00AF3FEE" w:rsidRDefault="00AF3FEE" w:rsidP="00AF3FEE">
      <w:pPr>
        <w:pStyle w:val="BodyText"/>
        <w:rPr>
          <w:rFonts w:ascii="Arial" w:eastAsia="Palatino Linotype" w:hAnsi="Arial" w:cs="Arial"/>
          <w:noProof/>
          <w:szCs w:val="22"/>
        </w:rPr>
      </w:pPr>
      <w:r w:rsidRPr="00AF3FEE">
        <w:rPr>
          <w:rFonts w:ascii="Arial" w:eastAsia="Palatino Linotype" w:hAnsi="Arial" w:cs="Arial"/>
          <w:noProof/>
          <w:szCs w:val="22"/>
        </w:rPr>
        <w:t xml:space="preserve">Emisije </w:t>
      </w:r>
      <w:r w:rsidR="0024256B">
        <w:rPr>
          <w:rFonts w:ascii="Arial" w:eastAsia="Palatino Linotype" w:hAnsi="Arial" w:cs="Arial"/>
          <w:noProof/>
          <w:szCs w:val="22"/>
        </w:rPr>
        <w:t>TGP</w:t>
      </w:r>
      <w:r w:rsidRPr="00AF3FEE">
        <w:rPr>
          <w:rFonts w:ascii="Arial" w:eastAsia="Palatino Linotype" w:hAnsi="Arial" w:cs="Arial"/>
          <w:noProof/>
          <w:szCs w:val="22"/>
        </w:rPr>
        <w:t xml:space="preserve"> iz gnojišč je mogoče zmanjšati s spremembo načinov reje. Gre predvsem za pašno rejo travojedih živali in za proizvodnjo bioplina iz živinskih gnojil. S pašo se izognemo emisijam metana, ki sicer nastane pri skladiščenju živinskih gnojil. Pašna reja prispeva tudi k zmanjšanju posrednih emisij didušikovega oksida in emisij zaradi rabe fosilnih goriv pri spravilu in </w:t>
      </w:r>
      <w:r w:rsidR="00817494">
        <w:rPr>
          <w:rFonts w:ascii="Arial" w:eastAsia="Palatino Linotype" w:hAnsi="Arial" w:cs="Arial"/>
          <w:noProof/>
          <w:szCs w:val="22"/>
        </w:rPr>
        <w:t>prevozu</w:t>
      </w:r>
      <w:r w:rsidR="00817494" w:rsidRPr="00AF3FEE">
        <w:rPr>
          <w:rFonts w:ascii="Arial" w:eastAsia="Palatino Linotype" w:hAnsi="Arial" w:cs="Arial"/>
          <w:noProof/>
          <w:szCs w:val="22"/>
        </w:rPr>
        <w:t xml:space="preserve"> </w:t>
      </w:r>
      <w:r w:rsidRPr="00AF3FEE">
        <w:rPr>
          <w:rFonts w:ascii="Arial" w:eastAsia="Palatino Linotype" w:hAnsi="Arial" w:cs="Arial"/>
          <w:noProof/>
          <w:szCs w:val="22"/>
        </w:rPr>
        <w:t xml:space="preserve">krme za živali v hlevski reji. K širjenju pašne reje prispevajo javna služba kmetijskega svetovanja in </w:t>
      </w:r>
      <w:r w:rsidR="00E34997" w:rsidRPr="00AF3FEE">
        <w:rPr>
          <w:rFonts w:ascii="Arial" w:eastAsia="Palatino Linotype" w:hAnsi="Arial" w:cs="Arial"/>
          <w:noProof/>
          <w:szCs w:val="22"/>
        </w:rPr>
        <w:t>Stratešk</w:t>
      </w:r>
      <w:r w:rsidR="00E34997">
        <w:rPr>
          <w:rFonts w:ascii="Arial" w:eastAsia="Palatino Linotype" w:hAnsi="Arial" w:cs="Arial"/>
          <w:noProof/>
          <w:szCs w:val="22"/>
        </w:rPr>
        <w:t>i</w:t>
      </w:r>
      <w:r w:rsidR="00E34997" w:rsidRPr="00AF3FEE">
        <w:rPr>
          <w:rFonts w:ascii="Arial" w:eastAsia="Palatino Linotype" w:hAnsi="Arial" w:cs="Arial"/>
          <w:noProof/>
          <w:szCs w:val="22"/>
        </w:rPr>
        <w:t xml:space="preserve"> </w:t>
      </w:r>
      <w:r w:rsidRPr="00AF3FEE">
        <w:rPr>
          <w:rFonts w:ascii="Arial" w:eastAsia="Palatino Linotype" w:hAnsi="Arial" w:cs="Arial"/>
          <w:noProof/>
          <w:szCs w:val="22"/>
        </w:rPr>
        <w:t xml:space="preserve">načrt skupne kmetijske politike </w:t>
      </w:r>
      <w:r w:rsidR="00817494">
        <w:rPr>
          <w:rFonts w:ascii="Arial" w:eastAsia="Palatino Linotype" w:hAnsi="Arial" w:cs="Arial"/>
          <w:noProof/>
          <w:szCs w:val="22"/>
        </w:rPr>
        <w:t>z</w:t>
      </w:r>
      <w:r w:rsidR="00817494" w:rsidRPr="00AF3FEE">
        <w:rPr>
          <w:rFonts w:ascii="Arial" w:eastAsia="Palatino Linotype" w:hAnsi="Arial" w:cs="Arial"/>
          <w:noProof/>
          <w:szCs w:val="22"/>
        </w:rPr>
        <w:t xml:space="preserve"> </w:t>
      </w:r>
      <w:r w:rsidRPr="00AF3FEE">
        <w:rPr>
          <w:rFonts w:ascii="Arial" w:eastAsia="Palatino Linotype" w:hAnsi="Arial" w:cs="Arial"/>
          <w:noProof/>
          <w:szCs w:val="22"/>
        </w:rPr>
        <w:t>intervencij</w:t>
      </w:r>
      <w:r w:rsidR="00817494">
        <w:rPr>
          <w:rFonts w:ascii="Arial" w:eastAsia="Palatino Linotype" w:hAnsi="Arial" w:cs="Arial"/>
          <w:noProof/>
          <w:szCs w:val="22"/>
        </w:rPr>
        <w:t>ami</w:t>
      </w:r>
      <w:r w:rsidRPr="00AF3FEE">
        <w:rPr>
          <w:rFonts w:ascii="Arial" w:eastAsia="Palatino Linotype" w:hAnsi="Arial" w:cs="Arial"/>
          <w:noProof/>
          <w:szCs w:val="22"/>
        </w:rPr>
        <w:t xml:space="preserve"> za izboljšanje dobrobiti živali </w:t>
      </w:r>
      <w:r w:rsidR="00B93D80">
        <w:rPr>
          <w:rFonts w:ascii="Arial" w:eastAsia="Palatino Linotype" w:hAnsi="Arial" w:cs="Arial"/>
          <w:noProof/>
          <w:szCs w:val="22"/>
        </w:rPr>
        <w:t xml:space="preserve">ter </w:t>
      </w:r>
      <w:r w:rsidRPr="00AF3FEE">
        <w:rPr>
          <w:rFonts w:ascii="Arial" w:eastAsia="Palatino Linotype" w:hAnsi="Arial" w:cs="Arial"/>
          <w:noProof/>
          <w:szCs w:val="22"/>
        </w:rPr>
        <w:t>spodbud</w:t>
      </w:r>
      <w:r w:rsidR="00817494">
        <w:rPr>
          <w:rFonts w:ascii="Arial" w:eastAsia="Palatino Linotype" w:hAnsi="Arial" w:cs="Arial"/>
          <w:noProof/>
          <w:szCs w:val="22"/>
        </w:rPr>
        <w:t>ami</w:t>
      </w:r>
      <w:r w:rsidRPr="00AF3FEE">
        <w:rPr>
          <w:rFonts w:ascii="Arial" w:eastAsia="Palatino Linotype" w:hAnsi="Arial" w:cs="Arial"/>
          <w:noProof/>
          <w:szCs w:val="22"/>
        </w:rPr>
        <w:t xml:space="preserve"> za ekološko kmetovanje in za izvajanje planinske paše. V </w:t>
      </w:r>
      <w:r w:rsidR="00B93D80">
        <w:rPr>
          <w:rFonts w:ascii="Arial" w:eastAsia="Palatino Linotype" w:hAnsi="Arial" w:cs="Arial"/>
          <w:noProof/>
          <w:szCs w:val="22"/>
        </w:rPr>
        <w:t>okviru</w:t>
      </w:r>
      <w:r w:rsidR="00B93D80" w:rsidRPr="00AF3FEE">
        <w:rPr>
          <w:rFonts w:ascii="Arial" w:eastAsia="Palatino Linotype" w:hAnsi="Arial" w:cs="Arial"/>
          <w:noProof/>
          <w:szCs w:val="22"/>
        </w:rPr>
        <w:t xml:space="preserve"> </w:t>
      </w:r>
      <w:r w:rsidRPr="00AF3FEE">
        <w:rPr>
          <w:rFonts w:ascii="Arial" w:eastAsia="Palatino Linotype" w:hAnsi="Arial" w:cs="Arial"/>
          <w:noProof/>
          <w:szCs w:val="22"/>
        </w:rPr>
        <w:t xml:space="preserve">strateškega načrta so predvidene tudi naložbe v gradnjo mikrobioplinskih naprav, ki zmanjšujejo emisije metana iz gnojišč in prispevajo k obnovljivim virom energije. </w:t>
      </w:r>
      <w:r w:rsidR="00B93D80">
        <w:rPr>
          <w:rFonts w:ascii="Arial" w:eastAsia="Palatino Linotype" w:hAnsi="Arial" w:cs="Arial"/>
          <w:noProof/>
          <w:szCs w:val="22"/>
        </w:rPr>
        <w:t xml:space="preserve">Navesti </w:t>
      </w:r>
      <w:r w:rsidRPr="00AF3FEE">
        <w:rPr>
          <w:rFonts w:ascii="Arial" w:eastAsia="Palatino Linotype" w:hAnsi="Arial" w:cs="Arial"/>
          <w:noProof/>
          <w:szCs w:val="22"/>
        </w:rPr>
        <w:t xml:space="preserve">velja tudi naložbe v sodobnejše hleve in skladišča za živinska gnojila, ki zmanjšujejo emisije amonijaka in s tem posredne izpuste didušikovega oksida (nizkoemisijski hlevi, pokrita skladišča za gnojevko). </w:t>
      </w:r>
      <w:r w:rsidR="00B93D80">
        <w:rPr>
          <w:rFonts w:ascii="Arial" w:eastAsia="Palatino Linotype" w:hAnsi="Arial" w:cs="Arial"/>
          <w:noProof/>
          <w:szCs w:val="22"/>
        </w:rPr>
        <w:t>U</w:t>
      </w:r>
      <w:r w:rsidRPr="00AF3FEE">
        <w:rPr>
          <w:rFonts w:ascii="Arial" w:eastAsia="Palatino Linotype" w:hAnsi="Arial" w:cs="Arial"/>
          <w:noProof/>
          <w:szCs w:val="22"/>
        </w:rPr>
        <w:t>krep se neprestano posodablja na podlagi izvedbenih načrtov.</w:t>
      </w:r>
    </w:p>
    <w:p w14:paraId="1A08C417" w14:textId="37BC2683" w:rsidR="00AF3FEE" w:rsidRPr="00AF3FEE" w:rsidRDefault="00817494" w:rsidP="00AF3FEE">
      <w:pPr>
        <w:pStyle w:val="Heading41"/>
        <w:tabs>
          <w:tab w:val="left" w:pos="680"/>
        </w:tabs>
        <w:spacing w:before="360"/>
        <w:ind w:left="680" w:hanging="680"/>
        <w:jc w:val="both"/>
        <w:rPr>
          <w:rFonts w:cs="Arial"/>
          <w:szCs w:val="22"/>
          <w:lang w:val="sl-SI"/>
        </w:rPr>
      </w:pPr>
      <w:bookmarkStart w:id="101" w:name="_Hlk192763733"/>
      <w:r>
        <w:rPr>
          <w:rFonts w:cs="Arial"/>
          <w:szCs w:val="22"/>
          <w:lang w:val="sl-SI"/>
        </w:rPr>
        <w:t>gospodar</w:t>
      </w:r>
      <w:r w:rsidRPr="00AF3FEE">
        <w:rPr>
          <w:rFonts w:cs="Arial"/>
          <w:szCs w:val="22"/>
          <w:lang w:val="sl-SI"/>
        </w:rPr>
        <w:t xml:space="preserve">no </w:t>
      </w:r>
      <w:r w:rsidR="00AF3FEE" w:rsidRPr="00AF3FEE">
        <w:rPr>
          <w:rFonts w:cs="Arial"/>
          <w:szCs w:val="22"/>
          <w:lang w:val="sl-SI"/>
        </w:rPr>
        <w:t>gnojenje kmetijskih rastlin z dušikom</w:t>
      </w:r>
      <w:bookmarkEnd w:id="101"/>
    </w:p>
    <w:p w14:paraId="5D5775B4" w14:textId="239E64FE" w:rsidR="00AF3FEE" w:rsidRPr="00AF3FEE" w:rsidRDefault="00AF3FEE" w:rsidP="00AF3FEE">
      <w:pPr>
        <w:pStyle w:val="Naslov-VplivUkrepa-Sektorji"/>
        <w:jc w:val="both"/>
        <w:rPr>
          <w:rStyle w:val="Tekst-VplivUkrepa-SektorjiCharChar"/>
          <w:rFonts w:ascii="Arial" w:hAnsi="Arial" w:cs="Arial"/>
          <w:i w:val="0"/>
          <w:szCs w:val="22"/>
        </w:rPr>
      </w:pPr>
      <w:r w:rsidRPr="00AF3FEE">
        <w:rPr>
          <w:rFonts w:ascii="Arial" w:hAnsi="Arial" w:cs="Arial"/>
          <w:szCs w:val="22"/>
        </w:rPr>
        <w:t xml:space="preserve">Sektorji, na katere </w:t>
      </w:r>
      <w:r w:rsidR="001D43EB"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w:t>
      </w:r>
      <w:r w:rsidRPr="00A57F7D">
        <w:rPr>
          <w:rStyle w:val="Tekst-VplivUkrepa-SektorjiCharChar"/>
          <w:rFonts w:ascii="Arial" w:hAnsi="Arial" w:cs="Arial"/>
          <w:b w:val="0"/>
          <w:szCs w:val="22"/>
        </w:rPr>
        <w:t xml:space="preserve"> </w:t>
      </w:r>
      <w:r w:rsidRPr="0038553C">
        <w:rPr>
          <w:rStyle w:val="Tekst-VplivUkrepa-SektorjiCharChar"/>
          <w:rFonts w:ascii="Arial" w:hAnsi="Arial" w:cs="Arial"/>
          <w:b w:val="0"/>
          <w:i w:val="0"/>
          <w:iCs/>
          <w:szCs w:val="22"/>
        </w:rPr>
        <w:t>kmetijstvo</w:t>
      </w:r>
      <w:r w:rsidR="00B93D80">
        <w:rPr>
          <w:rStyle w:val="Tekst-VplivUkrepa-SektorjiCharChar"/>
          <w:rFonts w:ascii="Arial" w:hAnsi="Arial" w:cs="Arial"/>
          <w:b w:val="0"/>
          <w:i w:val="0"/>
          <w:iCs/>
          <w:szCs w:val="22"/>
        </w:rPr>
        <w:t>.</w:t>
      </w:r>
    </w:p>
    <w:p w14:paraId="7F4B61F0" w14:textId="5D8CFAAF" w:rsidR="00AF3FEE" w:rsidRPr="00AF3FEE" w:rsidRDefault="00AF3FEE" w:rsidP="00AF3FEE">
      <w:pPr>
        <w:pStyle w:val="BodyText"/>
        <w:rPr>
          <w:rFonts w:ascii="Arial" w:eastAsia="Palatino Linotype" w:hAnsi="Arial" w:cs="Arial"/>
          <w:noProof/>
          <w:szCs w:val="22"/>
        </w:rPr>
      </w:pPr>
      <w:r w:rsidRPr="00AF3FEE">
        <w:rPr>
          <w:rFonts w:ascii="Arial" w:eastAsia="Palatino Linotype" w:hAnsi="Arial" w:cs="Arial"/>
          <w:noProof/>
          <w:szCs w:val="22"/>
        </w:rPr>
        <w:t xml:space="preserve">Prizadevanja na tem področju so usmerjena v učinkovitejšo rabo mineralnih in živinskih gnojil. S tem se ob zmanjšani porabi dušika obseg kmetijske pridelave ohranja ali pa celo povečuje, neposredne emisije didušikovega oksida iz kmetijskih zemljišč in posredne emisije didušikovega oksida pa se zmanjšujejo. Kmetijska politika prispeva k zmanjšanju izpustov na tem področju </w:t>
      </w:r>
      <w:r w:rsidR="00817494">
        <w:rPr>
          <w:rFonts w:ascii="Arial" w:eastAsia="Palatino Linotype" w:hAnsi="Arial" w:cs="Arial"/>
          <w:noProof/>
          <w:szCs w:val="22"/>
        </w:rPr>
        <w:t xml:space="preserve">z </w:t>
      </w:r>
      <w:r w:rsidRPr="00AF3FEE">
        <w:rPr>
          <w:rFonts w:ascii="Arial" w:eastAsia="Palatino Linotype" w:hAnsi="Arial" w:cs="Arial"/>
          <w:noProof/>
          <w:szCs w:val="22"/>
        </w:rPr>
        <w:t>intervencij</w:t>
      </w:r>
      <w:r w:rsidR="00817494">
        <w:rPr>
          <w:rFonts w:ascii="Arial" w:eastAsia="Palatino Linotype" w:hAnsi="Arial" w:cs="Arial"/>
          <w:noProof/>
          <w:szCs w:val="22"/>
        </w:rPr>
        <w:t>ami</w:t>
      </w:r>
      <w:r w:rsidRPr="00AF3FEE">
        <w:rPr>
          <w:rFonts w:ascii="Arial" w:eastAsia="Palatino Linotype" w:hAnsi="Arial" w:cs="Arial"/>
          <w:noProof/>
          <w:szCs w:val="22"/>
        </w:rPr>
        <w:t xml:space="preserve"> </w:t>
      </w:r>
      <w:bookmarkStart w:id="102" w:name="_Hlk192763540"/>
      <w:r w:rsidRPr="00AF3FEE">
        <w:rPr>
          <w:rFonts w:ascii="Arial" w:eastAsia="Palatino Linotype" w:hAnsi="Arial" w:cs="Arial"/>
          <w:noProof/>
          <w:szCs w:val="22"/>
        </w:rPr>
        <w:t xml:space="preserve">Strateškega načrta skupne kmetijske politike </w:t>
      </w:r>
      <w:bookmarkEnd w:id="102"/>
      <w:r w:rsidRPr="00AF3FEE">
        <w:rPr>
          <w:rFonts w:ascii="Arial" w:eastAsia="Palatino Linotype" w:hAnsi="Arial" w:cs="Arial"/>
          <w:noProof/>
          <w:szCs w:val="22"/>
        </w:rPr>
        <w:t>(spodbude za gnojenj</w:t>
      </w:r>
      <w:r w:rsidR="00817494">
        <w:rPr>
          <w:rFonts w:ascii="Arial" w:eastAsia="Palatino Linotype" w:hAnsi="Arial" w:cs="Arial"/>
          <w:noProof/>
          <w:szCs w:val="22"/>
        </w:rPr>
        <w:t>e</w:t>
      </w:r>
      <w:r w:rsidRPr="00AF3FEE">
        <w:rPr>
          <w:rFonts w:ascii="Arial" w:eastAsia="Palatino Linotype" w:hAnsi="Arial" w:cs="Arial"/>
          <w:noProof/>
          <w:szCs w:val="22"/>
        </w:rPr>
        <w:t xml:space="preserve"> z majhnimi emisijami, ozelenitve strnišč, gojenje metuljnic, ekološko kmetovanje, integrirani načini kmetovanja, precizno gnojenje, sofinanciranje naložb v opremo za učinkovitejšo rabo dušikovih gnojil …) in s financiranjem javne službe kmetijskega svetovanja, ki deluje tudi na področju gnojenja kmetijskih rastlin in gnojilnih načrtov. Ob splošnih intervencijah za izboljšanje učinkovitosti rabe dušikovih gnojil se v </w:t>
      </w:r>
      <w:r w:rsidR="00B93D80">
        <w:rPr>
          <w:rFonts w:ascii="Arial" w:eastAsia="Palatino Linotype" w:hAnsi="Arial" w:cs="Arial"/>
          <w:noProof/>
          <w:szCs w:val="22"/>
        </w:rPr>
        <w:t>okviru</w:t>
      </w:r>
      <w:r w:rsidR="00B93D80" w:rsidRPr="00AF3FEE">
        <w:rPr>
          <w:rFonts w:ascii="Arial" w:eastAsia="Palatino Linotype" w:hAnsi="Arial" w:cs="Arial"/>
          <w:noProof/>
          <w:szCs w:val="22"/>
        </w:rPr>
        <w:t xml:space="preserve"> </w:t>
      </w:r>
      <w:r w:rsidRPr="00AF3FEE">
        <w:rPr>
          <w:rFonts w:ascii="Arial" w:eastAsia="Palatino Linotype" w:hAnsi="Arial" w:cs="Arial"/>
          <w:noProof/>
          <w:szCs w:val="22"/>
        </w:rPr>
        <w:t>Strateškega načrta skupne kmetijske politike spodbuja tudi uporab</w:t>
      </w:r>
      <w:r w:rsidR="00817494">
        <w:rPr>
          <w:rFonts w:ascii="Arial" w:eastAsia="Palatino Linotype" w:hAnsi="Arial" w:cs="Arial"/>
          <w:noProof/>
          <w:szCs w:val="22"/>
        </w:rPr>
        <w:t>a</w:t>
      </w:r>
      <w:r w:rsidRPr="00AF3FEE">
        <w:rPr>
          <w:rFonts w:ascii="Arial" w:eastAsia="Palatino Linotype" w:hAnsi="Arial" w:cs="Arial"/>
          <w:noProof/>
          <w:szCs w:val="22"/>
        </w:rPr>
        <w:t xml:space="preserve"> inhibitorjev ureaze, nitrifikacije in denitrifikacije. Gre za prakse, ki so namenjene neposrednemu zmanjševanju emisij </w:t>
      </w:r>
      <w:r w:rsidRPr="00AF3FEE">
        <w:rPr>
          <w:rFonts w:ascii="Arial" w:eastAsia="Palatino Linotype" w:hAnsi="Arial" w:cs="Arial"/>
          <w:noProof/>
          <w:szCs w:val="22"/>
        </w:rPr>
        <w:lastRenderedPageBreak/>
        <w:t xml:space="preserve">didušikovega oksida. </w:t>
      </w:r>
      <w:r w:rsidR="00B93D80">
        <w:rPr>
          <w:rFonts w:ascii="Arial" w:eastAsia="Palatino Linotype" w:hAnsi="Arial" w:cs="Arial"/>
          <w:noProof/>
          <w:szCs w:val="22"/>
        </w:rPr>
        <w:t>U</w:t>
      </w:r>
      <w:r w:rsidRPr="00AF3FEE">
        <w:rPr>
          <w:rFonts w:ascii="Arial" w:eastAsia="Palatino Linotype" w:hAnsi="Arial" w:cs="Arial"/>
          <w:noProof/>
          <w:szCs w:val="22"/>
        </w:rPr>
        <w:t xml:space="preserve">krep </w:t>
      </w:r>
      <w:r w:rsidR="00817494">
        <w:rPr>
          <w:rFonts w:ascii="Arial" w:hAnsi="Arial" w:cs="Arial"/>
          <w:szCs w:val="22"/>
        </w:rPr>
        <w:t>gospodar</w:t>
      </w:r>
      <w:r w:rsidR="00817494" w:rsidRPr="00AF3FEE">
        <w:rPr>
          <w:rFonts w:ascii="Arial" w:hAnsi="Arial" w:cs="Arial"/>
          <w:szCs w:val="22"/>
        </w:rPr>
        <w:t xml:space="preserve">no </w:t>
      </w:r>
      <w:r w:rsidRPr="00AF3FEE">
        <w:rPr>
          <w:rFonts w:ascii="Arial" w:hAnsi="Arial" w:cs="Arial"/>
          <w:szCs w:val="22"/>
        </w:rPr>
        <w:t xml:space="preserve">gnojenje kmetijskih rastlin z dušikom </w:t>
      </w:r>
      <w:r w:rsidRPr="00AF3FEE">
        <w:rPr>
          <w:rFonts w:ascii="Arial" w:eastAsia="Palatino Linotype" w:hAnsi="Arial" w:cs="Arial"/>
          <w:noProof/>
          <w:szCs w:val="22"/>
        </w:rPr>
        <w:t>se neprestano posodablja na podlagi izvedbenih načrtov.</w:t>
      </w:r>
    </w:p>
    <w:p w14:paraId="09F93571" w14:textId="77777777" w:rsidR="00AF3FEE" w:rsidRPr="00AF3FEE" w:rsidRDefault="00AF3FEE" w:rsidP="00AF3FEE">
      <w:pPr>
        <w:pStyle w:val="Heading41"/>
        <w:tabs>
          <w:tab w:val="left" w:pos="680"/>
        </w:tabs>
        <w:spacing w:before="360"/>
        <w:ind w:left="680" w:hanging="680"/>
        <w:jc w:val="both"/>
        <w:rPr>
          <w:rFonts w:cs="Arial"/>
          <w:szCs w:val="22"/>
          <w:lang w:val="sl-SI"/>
        </w:rPr>
      </w:pPr>
      <w:r w:rsidRPr="00AF3FEE">
        <w:rPr>
          <w:rFonts w:cs="Arial"/>
          <w:szCs w:val="22"/>
          <w:lang w:val="sl-SI"/>
        </w:rPr>
        <w:t>Prehod v odporen in trajnostni prehranski sistem</w:t>
      </w:r>
    </w:p>
    <w:p w14:paraId="3883F044" w14:textId="0479FD3F" w:rsidR="00AF3FEE" w:rsidRPr="00AF3FEE" w:rsidRDefault="00AF3FEE" w:rsidP="00AF3FEE">
      <w:pPr>
        <w:pStyle w:val="Naslov-VplivUkrepa-Sektorji"/>
        <w:jc w:val="both"/>
        <w:rPr>
          <w:rStyle w:val="Tekst-VplivUkrepa-SektorjiCharChar"/>
          <w:rFonts w:ascii="Arial" w:hAnsi="Arial" w:cs="Arial"/>
          <w:i w:val="0"/>
          <w:szCs w:val="22"/>
        </w:rPr>
      </w:pPr>
      <w:r w:rsidRPr="00AF3FEE">
        <w:rPr>
          <w:rFonts w:ascii="Arial" w:hAnsi="Arial" w:cs="Arial"/>
          <w:szCs w:val="22"/>
        </w:rPr>
        <w:t xml:space="preserve">Sektorji, na katere </w:t>
      </w:r>
      <w:r w:rsidR="001D43EB" w:rsidRPr="00AF3FEE">
        <w:rPr>
          <w:rFonts w:ascii="Arial" w:hAnsi="Arial" w:cs="Arial"/>
          <w:szCs w:val="22"/>
        </w:rPr>
        <w:t xml:space="preserve">vpliva </w:t>
      </w:r>
      <w:r w:rsidRPr="00AF3FEE">
        <w:rPr>
          <w:rFonts w:ascii="Arial" w:hAnsi="Arial" w:cs="Arial"/>
          <w:szCs w:val="22"/>
        </w:rPr>
        <w:t>izvajanje ukrepa</w:t>
      </w:r>
      <w:r w:rsidRPr="00A57F7D">
        <w:rPr>
          <w:rFonts w:ascii="Arial" w:hAnsi="Arial" w:cs="Arial"/>
          <w:b w:val="0"/>
          <w:szCs w:val="22"/>
        </w:rPr>
        <w:t>:</w:t>
      </w:r>
      <w:r w:rsidRPr="00A57F7D">
        <w:rPr>
          <w:rStyle w:val="Tekst-VplivUkrepa-SektorjiCharChar"/>
          <w:rFonts w:ascii="Arial" w:hAnsi="Arial" w:cs="Arial"/>
          <w:b w:val="0"/>
          <w:szCs w:val="22"/>
        </w:rPr>
        <w:t xml:space="preserve"> </w:t>
      </w:r>
      <w:r w:rsidRPr="0038553C">
        <w:rPr>
          <w:rStyle w:val="Tekst-VplivUkrepa-SektorjiCharChar"/>
          <w:rFonts w:ascii="Arial" w:hAnsi="Arial" w:cs="Arial"/>
          <w:b w:val="0"/>
          <w:i w:val="0"/>
          <w:iCs/>
          <w:szCs w:val="22"/>
        </w:rPr>
        <w:t>kmetijstvo</w:t>
      </w:r>
      <w:r w:rsidR="00B93D80">
        <w:rPr>
          <w:rStyle w:val="Tekst-VplivUkrepa-SektorjiCharChar"/>
          <w:rFonts w:ascii="Arial" w:hAnsi="Arial" w:cs="Arial"/>
          <w:b w:val="0"/>
          <w:i w:val="0"/>
          <w:iCs/>
          <w:szCs w:val="22"/>
        </w:rPr>
        <w:t>.</w:t>
      </w:r>
    </w:p>
    <w:p w14:paraId="38A52DBB" w14:textId="6131C793" w:rsidR="00AF3FEE" w:rsidRPr="00AF3FEE" w:rsidRDefault="00AF3FEE" w:rsidP="00AF3FEE">
      <w:pPr>
        <w:jc w:val="both"/>
        <w:rPr>
          <w:rFonts w:ascii="Arial" w:hAnsi="Arial" w:cs="Arial"/>
        </w:rPr>
      </w:pPr>
      <w:r w:rsidRPr="00AF3FEE">
        <w:rPr>
          <w:rFonts w:ascii="Arial" w:hAnsi="Arial" w:cs="Arial"/>
        </w:rPr>
        <w:t>Ukrep vključuje aktivnosti za prehod v bolj trajnosten prehranski sistem s poudarkom na lokalni hrani, povečanju proizvodnje in potrošnje rastlinske hrane, povečanj</w:t>
      </w:r>
      <w:r w:rsidR="00470FBF">
        <w:rPr>
          <w:rFonts w:ascii="Arial" w:hAnsi="Arial" w:cs="Arial"/>
        </w:rPr>
        <w:t>u</w:t>
      </w:r>
      <w:r w:rsidRPr="00AF3FEE">
        <w:rPr>
          <w:rFonts w:ascii="Arial" w:hAnsi="Arial" w:cs="Arial"/>
        </w:rPr>
        <w:t xml:space="preserve"> pridelave ekološke hrane in zmanjšanj</w:t>
      </w:r>
      <w:r w:rsidR="00470FBF">
        <w:rPr>
          <w:rFonts w:ascii="Arial" w:hAnsi="Arial" w:cs="Arial"/>
        </w:rPr>
        <w:t>u</w:t>
      </w:r>
      <w:r w:rsidRPr="00AF3FEE">
        <w:rPr>
          <w:rFonts w:ascii="Arial" w:hAnsi="Arial" w:cs="Arial"/>
        </w:rPr>
        <w:t xml:space="preserve"> odpadne hrane.</w:t>
      </w:r>
    </w:p>
    <w:p w14:paraId="33D82E49" w14:textId="0453DABB" w:rsidR="00AF3FEE" w:rsidRPr="0038553C" w:rsidRDefault="0038553C" w:rsidP="0038553C">
      <w:pPr>
        <w:pStyle w:val="Heading3"/>
      </w:pPr>
      <w:bookmarkStart w:id="103" w:name="_Toc122101415"/>
      <w:bookmarkStart w:id="104" w:name="_Toc125375490"/>
      <w:bookmarkStart w:id="105" w:name="_Toc196300820"/>
      <w:r w:rsidRPr="0038553C">
        <w:t xml:space="preserve">II.D.8 </w:t>
      </w:r>
      <w:r w:rsidR="00AF3FEE" w:rsidRPr="0038553C">
        <w:t>Raba zemljišč, sprememba rabe zemljišč in gozdarstvo (LULUCF)</w:t>
      </w:r>
      <w:bookmarkEnd w:id="103"/>
      <w:bookmarkEnd w:id="104"/>
      <w:bookmarkEnd w:id="105"/>
    </w:p>
    <w:p w14:paraId="077467B6" w14:textId="77777777" w:rsidR="00AF3FEE" w:rsidRPr="00AF3FEE" w:rsidRDefault="00AF3FEE" w:rsidP="00AF3FEE">
      <w:pPr>
        <w:pStyle w:val="Heading41"/>
        <w:tabs>
          <w:tab w:val="left" w:pos="680"/>
        </w:tabs>
        <w:spacing w:before="360"/>
        <w:ind w:left="680" w:hanging="680"/>
        <w:jc w:val="both"/>
        <w:rPr>
          <w:rFonts w:cs="Arial"/>
          <w:szCs w:val="22"/>
          <w:lang w:val="sl-SI"/>
        </w:rPr>
      </w:pPr>
      <w:bookmarkStart w:id="106" w:name="_Ref192846586"/>
      <w:r w:rsidRPr="00AF3FEE">
        <w:rPr>
          <w:rFonts w:cs="Arial"/>
          <w:szCs w:val="22"/>
          <w:lang w:val="sl-SI"/>
        </w:rPr>
        <w:t>Trajnostno gospodarjenje z gozdovi</w:t>
      </w:r>
      <w:bookmarkEnd w:id="106"/>
    </w:p>
    <w:p w14:paraId="17BB65A5" w14:textId="4DC24C63" w:rsidR="00AF3FEE" w:rsidRPr="00AF3FEE" w:rsidRDefault="00AF3FEE" w:rsidP="00AF3FEE">
      <w:pPr>
        <w:jc w:val="both"/>
        <w:rPr>
          <w:rFonts w:ascii="Arial" w:hAnsi="Arial" w:cs="Arial"/>
        </w:rPr>
      </w:pPr>
      <w:r w:rsidRPr="00AF3FEE">
        <w:rPr>
          <w:rStyle w:val="Naslov-VplivUkrepa-SektorjiChar"/>
          <w:rFonts w:ascii="Arial" w:eastAsiaTheme="minorHAnsi" w:hAnsi="Arial" w:cs="Arial"/>
          <w:szCs w:val="22"/>
        </w:rPr>
        <w:t xml:space="preserve">Sektorji, na katere </w:t>
      </w:r>
      <w:r w:rsidR="001D43EB" w:rsidRPr="00AF3FEE">
        <w:rPr>
          <w:rStyle w:val="Naslov-VplivUkrepa-SektorjiChar"/>
          <w:rFonts w:ascii="Arial" w:eastAsiaTheme="minorHAnsi" w:hAnsi="Arial" w:cs="Arial"/>
          <w:szCs w:val="22"/>
        </w:rPr>
        <w:t xml:space="preserve">vpliva </w:t>
      </w:r>
      <w:r w:rsidRPr="00AF3FEE">
        <w:rPr>
          <w:rStyle w:val="Naslov-VplivUkrepa-SektorjiChar"/>
          <w:rFonts w:ascii="Arial" w:eastAsiaTheme="minorHAnsi" w:hAnsi="Arial" w:cs="Arial"/>
          <w:szCs w:val="22"/>
        </w:rPr>
        <w:t>izvajanje ukrepa</w:t>
      </w:r>
      <w:r w:rsidRPr="003072DB">
        <w:rPr>
          <w:rStyle w:val="Naslov-VplivUkrepa-SektorjiChar"/>
          <w:rFonts w:ascii="Arial" w:eastAsiaTheme="minorHAnsi" w:hAnsi="Arial" w:cs="Arial"/>
          <w:b w:val="0"/>
          <w:szCs w:val="22"/>
        </w:rPr>
        <w:t xml:space="preserve">: </w:t>
      </w:r>
      <w:r w:rsidRPr="0038553C">
        <w:rPr>
          <w:rStyle w:val="Tekst-VplivUkrepa-SektorjiCharChar"/>
          <w:rFonts w:ascii="Arial" w:eastAsiaTheme="minorHAnsi" w:hAnsi="Arial" w:cs="Arial"/>
          <w:i w:val="0"/>
          <w:iCs/>
          <w:szCs w:val="22"/>
        </w:rPr>
        <w:t>L</w:t>
      </w:r>
      <w:r w:rsidRPr="0038553C">
        <w:rPr>
          <w:rStyle w:val="Tekst-VplivUkrepa-SektorjiCharChar"/>
          <w:rFonts w:ascii="Arial" w:eastAsiaTheme="minorHAnsi" w:hAnsi="Arial" w:cs="Arial"/>
          <w:bCs/>
          <w:i w:val="0"/>
          <w:iCs/>
          <w:szCs w:val="22"/>
        </w:rPr>
        <w:t>ULUCF</w:t>
      </w:r>
      <w:r w:rsidR="00470FBF">
        <w:rPr>
          <w:rStyle w:val="Tekst-VplivUkrepa-SektorjiCharChar"/>
          <w:rFonts w:ascii="Arial" w:eastAsiaTheme="minorHAnsi" w:hAnsi="Arial" w:cs="Arial"/>
          <w:bCs/>
          <w:i w:val="0"/>
          <w:iCs/>
          <w:szCs w:val="22"/>
        </w:rPr>
        <w:t>.</w:t>
      </w:r>
    </w:p>
    <w:p w14:paraId="0B372B15" w14:textId="7384EFCC" w:rsidR="00AF3FEE" w:rsidRPr="00AF3FEE" w:rsidRDefault="00AF3FEE" w:rsidP="00AF3FEE">
      <w:pPr>
        <w:pStyle w:val="BodyText"/>
        <w:rPr>
          <w:rFonts w:ascii="Arial" w:eastAsia="Palatino Linotype" w:hAnsi="Arial" w:cs="Arial"/>
          <w:noProof/>
          <w:szCs w:val="22"/>
        </w:rPr>
      </w:pPr>
      <w:r w:rsidRPr="00AF3FEE">
        <w:rPr>
          <w:rFonts w:ascii="Arial" w:eastAsia="Palatino Linotype" w:hAnsi="Arial" w:cs="Arial"/>
          <w:noProof/>
          <w:szCs w:val="22"/>
        </w:rPr>
        <w:t xml:space="preserve">Slovenija uveljavlja politiko trajnostnega gospodarjenja z gozdovi, ki temelji na sonaravnosti, varstvu okolja in večnamenski rabi gozdov. Ta </w:t>
      </w:r>
      <w:r w:rsidR="00470FBF">
        <w:rPr>
          <w:rFonts w:ascii="Arial" w:eastAsia="Palatino Linotype" w:hAnsi="Arial" w:cs="Arial"/>
          <w:noProof/>
          <w:szCs w:val="22"/>
        </w:rPr>
        <w:t xml:space="preserve">politika </w:t>
      </w:r>
      <w:r w:rsidRPr="00AF3FEE">
        <w:rPr>
          <w:rFonts w:ascii="Arial" w:eastAsia="Palatino Linotype" w:hAnsi="Arial" w:cs="Arial"/>
          <w:noProof/>
          <w:szCs w:val="22"/>
        </w:rPr>
        <w:t xml:space="preserve">je </w:t>
      </w:r>
      <w:r w:rsidR="00470FBF">
        <w:rPr>
          <w:rFonts w:ascii="Arial" w:eastAsia="Palatino Linotype" w:hAnsi="Arial" w:cs="Arial"/>
          <w:noProof/>
          <w:szCs w:val="22"/>
        </w:rPr>
        <w:t xml:space="preserve">v skladu </w:t>
      </w:r>
      <w:r w:rsidRPr="00AF3FEE">
        <w:rPr>
          <w:rFonts w:ascii="Arial" w:eastAsia="Palatino Linotype" w:hAnsi="Arial" w:cs="Arial"/>
          <w:noProof/>
          <w:szCs w:val="22"/>
        </w:rPr>
        <w:t xml:space="preserve">z Zakonom o gozdovih in Nacionalnim gozdnim programom ter prispeva k povečanju ponora ogljika v sektorju LULUCF. Gospodarjenje poteka na podlagi gozdnogospodarskih načrtov, ki jih pripravlja Zavod za gozdove Slovenije in </w:t>
      </w:r>
      <w:r w:rsidR="003D0FD0">
        <w:rPr>
          <w:rFonts w:ascii="Arial" w:eastAsia="Palatino Linotype" w:hAnsi="Arial" w:cs="Arial"/>
          <w:noProof/>
          <w:szCs w:val="22"/>
        </w:rPr>
        <w:t xml:space="preserve">ki </w:t>
      </w:r>
      <w:r w:rsidRPr="00AF3FEE">
        <w:rPr>
          <w:rFonts w:ascii="Arial" w:eastAsia="Palatino Linotype" w:hAnsi="Arial" w:cs="Arial"/>
          <w:noProof/>
          <w:szCs w:val="22"/>
        </w:rPr>
        <w:t xml:space="preserve">določajo največji </w:t>
      </w:r>
      <w:r w:rsidR="004F2B0D">
        <w:rPr>
          <w:rFonts w:ascii="Arial" w:eastAsia="Palatino Linotype" w:hAnsi="Arial" w:cs="Arial"/>
          <w:noProof/>
          <w:szCs w:val="22"/>
        </w:rPr>
        <w:t xml:space="preserve">mogoči </w:t>
      </w:r>
      <w:r w:rsidRPr="00AF3FEE">
        <w:rPr>
          <w:rFonts w:ascii="Arial" w:eastAsia="Palatino Linotype" w:hAnsi="Arial" w:cs="Arial"/>
          <w:noProof/>
          <w:szCs w:val="22"/>
        </w:rPr>
        <w:t>posek glede na trajnostne zmogljivosti gozdov.</w:t>
      </w:r>
    </w:p>
    <w:p w14:paraId="5E7C8AAF" w14:textId="6AB266E6" w:rsidR="00AF3FEE" w:rsidRPr="00AF3FEE" w:rsidRDefault="00AF3FEE" w:rsidP="00AF3FEE">
      <w:pPr>
        <w:pStyle w:val="BodyText"/>
        <w:rPr>
          <w:rFonts w:ascii="Arial" w:eastAsia="Palatino Linotype" w:hAnsi="Arial" w:cs="Arial"/>
          <w:noProof/>
          <w:szCs w:val="22"/>
        </w:rPr>
      </w:pPr>
      <w:r w:rsidRPr="00AF3FEE">
        <w:rPr>
          <w:rFonts w:ascii="Arial" w:eastAsia="Palatino Linotype" w:hAnsi="Arial" w:cs="Arial"/>
          <w:noProof/>
          <w:szCs w:val="22"/>
        </w:rPr>
        <w:t>V novembru 2023 je Vlada Republike Slovenije sprejela območne gozdnogospodarske in lovskoupravljalske načrte za obdobje 2021</w:t>
      </w:r>
      <w:r w:rsidR="003D0FD0">
        <w:rPr>
          <w:rFonts w:ascii="Arial" w:eastAsia="Palatino Linotype" w:hAnsi="Arial" w:cs="Arial"/>
          <w:noProof/>
          <w:szCs w:val="22"/>
        </w:rPr>
        <w:t>–</w:t>
      </w:r>
      <w:r w:rsidRPr="00AF3FEE">
        <w:rPr>
          <w:rFonts w:ascii="Arial" w:eastAsia="Palatino Linotype" w:hAnsi="Arial" w:cs="Arial"/>
          <w:noProof/>
          <w:szCs w:val="22"/>
        </w:rPr>
        <w:t xml:space="preserve">2030. Načrti določajo najvišji letni </w:t>
      </w:r>
      <w:r w:rsidR="004F2B0D">
        <w:rPr>
          <w:rFonts w:ascii="Arial" w:eastAsia="Palatino Linotype" w:hAnsi="Arial" w:cs="Arial"/>
          <w:noProof/>
          <w:szCs w:val="22"/>
        </w:rPr>
        <w:t xml:space="preserve">mogoči </w:t>
      </w:r>
      <w:r w:rsidRPr="00AF3FEE">
        <w:rPr>
          <w:rFonts w:ascii="Arial" w:eastAsia="Palatino Linotype" w:hAnsi="Arial" w:cs="Arial"/>
          <w:noProof/>
          <w:szCs w:val="22"/>
        </w:rPr>
        <w:t xml:space="preserve">posek v višini 7,6 milijona m³, kar </w:t>
      </w:r>
      <w:r w:rsidR="003D0FD0">
        <w:rPr>
          <w:rFonts w:ascii="Arial" w:eastAsia="Palatino Linotype" w:hAnsi="Arial" w:cs="Arial"/>
          <w:noProof/>
          <w:szCs w:val="22"/>
        </w:rPr>
        <w:t>je</w:t>
      </w:r>
      <w:r w:rsidR="003D0FD0" w:rsidRPr="00AF3FEE">
        <w:rPr>
          <w:rFonts w:ascii="Arial" w:eastAsia="Palatino Linotype" w:hAnsi="Arial" w:cs="Arial"/>
          <w:noProof/>
          <w:szCs w:val="22"/>
        </w:rPr>
        <w:t xml:space="preserve"> </w:t>
      </w:r>
      <w:r w:rsidRPr="00AF3FEE">
        <w:rPr>
          <w:rFonts w:ascii="Arial" w:eastAsia="Palatino Linotype" w:hAnsi="Arial" w:cs="Arial"/>
          <w:noProof/>
          <w:szCs w:val="22"/>
        </w:rPr>
        <w:t xml:space="preserve">86 % letnega prirastka. Ključni cilji teh načrtov so prilagajanje drevesne sestave, vzdrževanje in povečanje ponora ogljika v gozdovih ter boljša izraba </w:t>
      </w:r>
      <w:r w:rsidR="00470FBF" w:rsidRPr="00AF3FEE">
        <w:rPr>
          <w:rFonts w:ascii="Arial" w:eastAsia="Palatino Linotype" w:hAnsi="Arial" w:cs="Arial"/>
          <w:noProof/>
          <w:szCs w:val="22"/>
        </w:rPr>
        <w:t>proizvodn</w:t>
      </w:r>
      <w:r w:rsidR="00470FBF">
        <w:rPr>
          <w:rFonts w:ascii="Arial" w:eastAsia="Palatino Linotype" w:hAnsi="Arial" w:cs="Arial"/>
          <w:noProof/>
          <w:szCs w:val="22"/>
        </w:rPr>
        <w:t>ih</w:t>
      </w:r>
      <w:r w:rsidR="00470FBF" w:rsidRPr="00AF3FEE">
        <w:rPr>
          <w:rFonts w:ascii="Arial" w:eastAsia="Palatino Linotype" w:hAnsi="Arial" w:cs="Arial"/>
          <w:noProof/>
          <w:szCs w:val="22"/>
        </w:rPr>
        <w:t xml:space="preserve"> </w:t>
      </w:r>
      <w:r w:rsidR="00470FBF">
        <w:rPr>
          <w:rFonts w:ascii="Arial" w:eastAsia="Palatino Linotype" w:hAnsi="Arial" w:cs="Arial"/>
          <w:noProof/>
          <w:szCs w:val="22"/>
        </w:rPr>
        <w:t xml:space="preserve">zmogljivosti </w:t>
      </w:r>
      <w:r w:rsidRPr="00AF3FEE">
        <w:rPr>
          <w:rFonts w:ascii="Arial" w:eastAsia="Palatino Linotype" w:hAnsi="Arial" w:cs="Arial"/>
          <w:noProof/>
          <w:szCs w:val="22"/>
        </w:rPr>
        <w:t xml:space="preserve">gozdnih rastišč, zlasti s spodbujanjem aktivnega gospodarjenja v zasebnih gozdovih, ki </w:t>
      </w:r>
      <w:r w:rsidR="003D0FD0">
        <w:rPr>
          <w:rFonts w:ascii="Arial" w:eastAsia="Palatino Linotype" w:hAnsi="Arial" w:cs="Arial"/>
          <w:noProof/>
          <w:szCs w:val="22"/>
        </w:rPr>
        <w:t>zajem</w:t>
      </w:r>
      <w:r w:rsidR="003D0FD0" w:rsidRPr="00AF3FEE">
        <w:rPr>
          <w:rFonts w:ascii="Arial" w:eastAsia="Palatino Linotype" w:hAnsi="Arial" w:cs="Arial"/>
          <w:noProof/>
          <w:szCs w:val="22"/>
        </w:rPr>
        <w:t xml:space="preserve">ajo </w:t>
      </w:r>
      <w:r w:rsidRPr="00AF3FEE">
        <w:rPr>
          <w:rFonts w:ascii="Arial" w:eastAsia="Palatino Linotype" w:hAnsi="Arial" w:cs="Arial"/>
          <w:noProof/>
          <w:szCs w:val="22"/>
        </w:rPr>
        <w:t>večino slovenskih gozdnih površin.</w:t>
      </w:r>
    </w:p>
    <w:p w14:paraId="6AE15568" w14:textId="592271E6" w:rsidR="00AF3FEE" w:rsidRPr="00AF3FEE" w:rsidRDefault="00AF3FEE" w:rsidP="00AF3FEE">
      <w:pPr>
        <w:pStyle w:val="BodyText"/>
        <w:rPr>
          <w:rFonts w:ascii="Arial" w:eastAsia="Palatino Linotype" w:hAnsi="Arial" w:cs="Arial"/>
          <w:noProof/>
          <w:szCs w:val="22"/>
        </w:rPr>
      </w:pPr>
      <w:r w:rsidRPr="00AF3FEE">
        <w:rPr>
          <w:rFonts w:ascii="Arial" w:eastAsia="Palatino Linotype" w:hAnsi="Arial" w:cs="Arial"/>
          <w:noProof/>
          <w:szCs w:val="22"/>
        </w:rPr>
        <w:t xml:space="preserve">Slovenija lastnikom gozdov nudi različne finančne spodbude, ki vključujejo nego in varstvo gozdov, obnovo in sanacijo gozdov po naravnih nesrečah, vzdrževanje in gradnjo gozdne infrastrukture ter nakup sodobne mehanizacije za sečnjo in spravilo lesa. Poudarek je tudi na krepitvi požarne varnosti v gozdovih. Pomemben del ukrepov </w:t>
      </w:r>
      <w:r w:rsidR="003D0FD0">
        <w:rPr>
          <w:rFonts w:ascii="Arial" w:eastAsia="Palatino Linotype" w:hAnsi="Arial" w:cs="Arial"/>
          <w:noProof/>
          <w:szCs w:val="22"/>
        </w:rPr>
        <w:t>so</w:t>
      </w:r>
      <w:r w:rsidR="003D0FD0" w:rsidRPr="00AF3FEE">
        <w:rPr>
          <w:rFonts w:ascii="Arial" w:eastAsia="Palatino Linotype" w:hAnsi="Arial" w:cs="Arial"/>
          <w:noProof/>
          <w:szCs w:val="22"/>
        </w:rPr>
        <w:t xml:space="preserve"> </w:t>
      </w:r>
      <w:r w:rsidRPr="00AF3FEE">
        <w:rPr>
          <w:rFonts w:ascii="Arial" w:eastAsia="Palatino Linotype" w:hAnsi="Arial" w:cs="Arial"/>
          <w:noProof/>
          <w:szCs w:val="22"/>
        </w:rPr>
        <w:t>izobraževanje lastnikov gozdov in usposabljanje o trajnostnem gospodarjenju, ki ju organizira Zavod za gozdove Slovenije. V zadnjih letih je bil poseben poudarek namenjen tudi zbiranju podatkov o stanju gozdov s sodobnimi digitalnimi orodji, kar omogoča učinkovitejše načrtovanje in izvajanje ukrepov.</w:t>
      </w:r>
    </w:p>
    <w:p w14:paraId="61965DF5" w14:textId="6D5ED7A0" w:rsidR="00AF3FEE" w:rsidRPr="00AF3FEE" w:rsidRDefault="00AF3FEE" w:rsidP="00AF3FEE">
      <w:pPr>
        <w:pStyle w:val="BodyText"/>
        <w:rPr>
          <w:rFonts w:ascii="Arial" w:hAnsi="Arial" w:cs="Arial"/>
          <w:szCs w:val="22"/>
        </w:rPr>
      </w:pPr>
      <w:r w:rsidRPr="00AF3FEE">
        <w:rPr>
          <w:rFonts w:ascii="Arial" w:eastAsia="Palatino Linotype" w:hAnsi="Arial" w:cs="Arial"/>
          <w:noProof/>
          <w:szCs w:val="22"/>
        </w:rPr>
        <w:t xml:space="preserve">Financiranje ukrepov poteka iz različih virov, kot so </w:t>
      </w:r>
      <w:r w:rsidR="00470FBF">
        <w:rPr>
          <w:rFonts w:ascii="Arial" w:eastAsia="Palatino Linotype" w:hAnsi="Arial" w:cs="Arial"/>
          <w:noProof/>
          <w:szCs w:val="22"/>
        </w:rPr>
        <w:t>celotni</w:t>
      </w:r>
      <w:r w:rsidR="00470FBF" w:rsidRPr="00AF3FEE">
        <w:rPr>
          <w:rFonts w:ascii="Arial" w:eastAsia="Palatino Linotype" w:hAnsi="Arial" w:cs="Arial"/>
          <w:noProof/>
          <w:szCs w:val="22"/>
        </w:rPr>
        <w:t xml:space="preserve"> </w:t>
      </w:r>
      <w:r w:rsidRPr="00AF3FEE">
        <w:rPr>
          <w:rFonts w:ascii="Arial" w:eastAsia="Palatino Linotype" w:hAnsi="Arial" w:cs="Arial"/>
          <w:noProof/>
          <w:szCs w:val="22"/>
        </w:rPr>
        <w:t xml:space="preserve">proračun Republike Slovenije, Gozdni sklad, Strateški načrt skupne kmetijske politike 2023–2027 </w:t>
      </w:r>
      <w:r w:rsidR="00DC3569">
        <w:rPr>
          <w:rFonts w:ascii="Arial" w:eastAsia="Palatino Linotype" w:hAnsi="Arial" w:cs="Arial"/>
          <w:noProof/>
          <w:szCs w:val="22"/>
        </w:rPr>
        <w:t>in drugo</w:t>
      </w:r>
      <w:r w:rsidRPr="00AF3FEE">
        <w:rPr>
          <w:rFonts w:ascii="Arial" w:eastAsia="Palatino Linotype" w:hAnsi="Arial" w:cs="Arial"/>
          <w:noProof/>
          <w:szCs w:val="22"/>
        </w:rPr>
        <w:t>. Skupna vrednost ukrepov, vključno z naložbami v primarno predelavo lesa in razvoj gozdnega drevesničarstva, je za obdobje 2025</w:t>
      </w:r>
      <w:r w:rsidR="003D0FD0">
        <w:rPr>
          <w:rFonts w:ascii="Arial" w:eastAsia="Palatino Linotype" w:hAnsi="Arial" w:cs="Arial"/>
          <w:noProof/>
          <w:szCs w:val="22"/>
        </w:rPr>
        <w:t>–</w:t>
      </w:r>
      <w:r w:rsidRPr="00AF3FEE">
        <w:rPr>
          <w:rFonts w:ascii="Arial" w:eastAsia="Palatino Linotype" w:hAnsi="Arial" w:cs="Arial"/>
          <w:noProof/>
          <w:szCs w:val="22"/>
        </w:rPr>
        <w:t xml:space="preserve">2030 ocenjena na več kot 55 milijonov </w:t>
      </w:r>
      <w:r w:rsidR="002958C7">
        <w:rPr>
          <w:rFonts w:ascii="Arial" w:eastAsia="Palatino Linotype" w:hAnsi="Arial" w:cs="Arial"/>
          <w:noProof/>
          <w:szCs w:val="22"/>
        </w:rPr>
        <w:t>evrov</w:t>
      </w:r>
      <w:r w:rsidRPr="00AF3FEE">
        <w:rPr>
          <w:rFonts w:ascii="Arial" w:eastAsia="Palatino Linotype" w:hAnsi="Arial" w:cs="Arial"/>
          <w:noProof/>
          <w:szCs w:val="22"/>
        </w:rPr>
        <w:t xml:space="preserve">. Trajnostno gospodarjenje z gozdovi ostaja </w:t>
      </w:r>
      <w:r w:rsidR="00176476" w:rsidRPr="00AF3FEE">
        <w:rPr>
          <w:rFonts w:ascii="Arial" w:eastAsia="Palatino Linotype" w:hAnsi="Arial" w:cs="Arial"/>
          <w:noProof/>
          <w:szCs w:val="22"/>
        </w:rPr>
        <w:t>ključ</w:t>
      </w:r>
      <w:r w:rsidR="00176476">
        <w:rPr>
          <w:rFonts w:ascii="Arial" w:eastAsia="Palatino Linotype" w:hAnsi="Arial" w:cs="Arial"/>
          <w:noProof/>
          <w:szCs w:val="22"/>
        </w:rPr>
        <w:t>ni</w:t>
      </w:r>
      <w:r w:rsidR="00176476" w:rsidRPr="00AF3FEE">
        <w:rPr>
          <w:rFonts w:ascii="Arial" w:eastAsia="Palatino Linotype" w:hAnsi="Arial" w:cs="Arial"/>
          <w:noProof/>
          <w:szCs w:val="22"/>
        </w:rPr>
        <w:t xml:space="preserve"> </w:t>
      </w:r>
      <w:r w:rsidRPr="00AF3FEE">
        <w:rPr>
          <w:rFonts w:ascii="Arial" w:eastAsia="Palatino Linotype" w:hAnsi="Arial" w:cs="Arial"/>
          <w:noProof/>
          <w:szCs w:val="22"/>
        </w:rPr>
        <w:t>ukrep za ohranjanje oz</w:t>
      </w:r>
      <w:r w:rsidR="004F2B0D">
        <w:rPr>
          <w:rFonts w:ascii="Arial" w:hAnsi="Arial" w:cs="Arial"/>
        </w:rPr>
        <w:t>iroma</w:t>
      </w:r>
      <w:r w:rsidRPr="00AF3FEE">
        <w:rPr>
          <w:rFonts w:ascii="Arial" w:eastAsia="Palatino Linotype" w:hAnsi="Arial" w:cs="Arial"/>
          <w:noProof/>
          <w:szCs w:val="22"/>
        </w:rPr>
        <w:t xml:space="preserve"> povečanje ponorov v sektorju LULUCF. V prihodnje bo večji poudarek na prilagajanju podnebnim spremembam, izboljšanju odpornosti gozdov </w:t>
      </w:r>
      <w:r w:rsidR="003D0FD0">
        <w:rPr>
          <w:rFonts w:ascii="Arial" w:eastAsia="Palatino Linotype" w:hAnsi="Arial" w:cs="Arial"/>
          <w:noProof/>
          <w:szCs w:val="22"/>
        </w:rPr>
        <w:t>in</w:t>
      </w:r>
      <w:r w:rsidR="003D0FD0" w:rsidRPr="00AF3FEE">
        <w:rPr>
          <w:rFonts w:ascii="Arial" w:eastAsia="Palatino Linotype" w:hAnsi="Arial" w:cs="Arial"/>
          <w:noProof/>
          <w:szCs w:val="22"/>
        </w:rPr>
        <w:t xml:space="preserve"> </w:t>
      </w:r>
      <w:r w:rsidRPr="00AF3FEE">
        <w:rPr>
          <w:rFonts w:ascii="Arial" w:eastAsia="Palatino Linotype" w:hAnsi="Arial" w:cs="Arial"/>
          <w:noProof/>
          <w:szCs w:val="22"/>
        </w:rPr>
        <w:t>optimizaciji rabe lesa v končnih izdelkih, ki omogočajo dolgoročno shranjevanje ogljika.</w:t>
      </w:r>
    </w:p>
    <w:p w14:paraId="609F5E7D" w14:textId="77777777" w:rsidR="00AF3FEE" w:rsidRPr="00AF3FEE" w:rsidRDefault="00AF3FEE" w:rsidP="00AF3FEE">
      <w:pPr>
        <w:pStyle w:val="Heading41"/>
        <w:tabs>
          <w:tab w:val="left" w:pos="680"/>
        </w:tabs>
        <w:spacing w:before="360"/>
        <w:ind w:left="680" w:hanging="680"/>
        <w:jc w:val="both"/>
        <w:rPr>
          <w:rFonts w:cs="Arial"/>
          <w:szCs w:val="22"/>
          <w:lang w:val="sl-SI"/>
        </w:rPr>
      </w:pPr>
      <w:bookmarkStart w:id="107" w:name="_Ref192846800"/>
      <w:r w:rsidRPr="00AF3FEE">
        <w:rPr>
          <w:rFonts w:cs="Arial"/>
          <w:szCs w:val="22"/>
          <w:lang w:val="sl-SI"/>
        </w:rPr>
        <w:t>Druge aktivnosti za zmanjšanje emisij in povečanje ponorov v sektorju LULUCF</w:t>
      </w:r>
      <w:bookmarkEnd w:id="107"/>
    </w:p>
    <w:p w14:paraId="5CF8BD1F" w14:textId="6A831327" w:rsidR="00AF3FEE" w:rsidRPr="00AF3FEE" w:rsidRDefault="00AF3FEE" w:rsidP="00AF3FEE">
      <w:pPr>
        <w:jc w:val="both"/>
        <w:rPr>
          <w:rFonts w:ascii="Arial" w:hAnsi="Arial" w:cs="Arial"/>
        </w:rPr>
      </w:pPr>
      <w:r w:rsidRPr="00AF3FEE">
        <w:rPr>
          <w:rStyle w:val="Naslov-VplivUkrepa-SektorjiChar"/>
          <w:rFonts w:ascii="Arial" w:eastAsiaTheme="minorHAnsi" w:hAnsi="Arial" w:cs="Arial"/>
          <w:szCs w:val="22"/>
        </w:rPr>
        <w:t xml:space="preserve">Sektorji, na katere </w:t>
      </w:r>
      <w:r w:rsidR="001D43EB" w:rsidRPr="00AF3FEE">
        <w:rPr>
          <w:rStyle w:val="Naslov-VplivUkrepa-SektorjiChar"/>
          <w:rFonts w:ascii="Arial" w:eastAsiaTheme="minorHAnsi" w:hAnsi="Arial" w:cs="Arial"/>
          <w:szCs w:val="22"/>
        </w:rPr>
        <w:t xml:space="preserve">vpliva </w:t>
      </w:r>
      <w:r w:rsidRPr="00AF3FEE">
        <w:rPr>
          <w:rStyle w:val="Naslov-VplivUkrepa-SektorjiChar"/>
          <w:rFonts w:ascii="Arial" w:eastAsiaTheme="minorHAnsi" w:hAnsi="Arial" w:cs="Arial"/>
          <w:szCs w:val="22"/>
        </w:rPr>
        <w:t>izvajanje ukrepa</w:t>
      </w:r>
      <w:r w:rsidRPr="003072DB">
        <w:rPr>
          <w:rStyle w:val="Naslov-VplivUkrepa-SektorjiChar"/>
          <w:rFonts w:ascii="Arial" w:eastAsiaTheme="minorHAnsi" w:hAnsi="Arial" w:cs="Arial"/>
          <w:b w:val="0"/>
          <w:szCs w:val="22"/>
        </w:rPr>
        <w:t xml:space="preserve">: </w:t>
      </w:r>
      <w:r w:rsidRPr="0038553C">
        <w:rPr>
          <w:rStyle w:val="Tekst-VplivUkrepa-SektorjiCharChar"/>
          <w:rFonts w:ascii="Arial" w:eastAsiaTheme="minorHAnsi" w:hAnsi="Arial" w:cs="Arial"/>
          <w:i w:val="0"/>
          <w:iCs/>
          <w:szCs w:val="22"/>
        </w:rPr>
        <w:t>L</w:t>
      </w:r>
      <w:r w:rsidRPr="0038553C">
        <w:rPr>
          <w:rStyle w:val="Tekst-VplivUkrepa-SektorjiCharChar"/>
          <w:rFonts w:ascii="Arial" w:eastAsiaTheme="minorHAnsi" w:hAnsi="Arial" w:cs="Arial"/>
          <w:bCs/>
          <w:i w:val="0"/>
          <w:iCs/>
          <w:szCs w:val="22"/>
        </w:rPr>
        <w:t>ULUCF</w:t>
      </w:r>
      <w:r w:rsidR="00176476">
        <w:rPr>
          <w:rStyle w:val="Tekst-VplivUkrepa-SektorjiCharChar"/>
          <w:rFonts w:ascii="Arial" w:eastAsiaTheme="minorHAnsi" w:hAnsi="Arial" w:cs="Arial"/>
          <w:bCs/>
          <w:i w:val="0"/>
          <w:iCs/>
          <w:szCs w:val="22"/>
        </w:rPr>
        <w:t>.</w:t>
      </w:r>
    </w:p>
    <w:p w14:paraId="4D7C34B0" w14:textId="6D4A8F94" w:rsidR="00AF3FEE" w:rsidRPr="00AF3FEE" w:rsidRDefault="00AF3FEE" w:rsidP="00AF3FEE">
      <w:pPr>
        <w:pStyle w:val="BodyText"/>
        <w:rPr>
          <w:rFonts w:ascii="Arial" w:hAnsi="Arial" w:cs="Arial"/>
          <w:szCs w:val="22"/>
        </w:rPr>
      </w:pPr>
      <w:r w:rsidRPr="00AF3FEE">
        <w:rPr>
          <w:rFonts w:ascii="Arial" w:hAnsi="Arial" w:cs="Arial"/>
          <w:szCs w:val="22"/>
        </w:rPr>
        <w:t xml:space="preserve">Druge aktivnosti za zmanjšanje emisij in povečanje ponorov v sektorju LULUCF, ki so bile vključene v posodobljeni </w:t>
      </w:r>
      <w:r w:rsidR="00176476">
        <w:rPr>
          <w:rFonts w:ascii="Arial" w:hAnsi="Arial" w:cs="Arial"/>
          <w:szCs w:val="22"/>
        </w:rPr>
        <w:t>c</w:t>
      </w:r>
      <w:r w:rsidRPr="00AF3FEE">
        <w:rPr>
          <w:rFonts w:ascii="Arial" w:hAnsi="Arial" w:cs="Arial"/>
          <w:szCs w:val="22"/>
        </w:rPr>
        <w:t xml:space="preserve">eloviti nacionalni energetski in podnebni načrt kot novi instrumenti, </w:t>
      </w:r>
      <w:r w:rsidRPr="00AF3FEE">
        <w:rPr>
          <w:rFonts w:ascii="Arial" w:hAnsi="Arial" w:cs="Arial"/>
          <w:szCs w:val="22"/>
        </w:rPr>
        <w:lastRenderedPageBreak/>
        <w:t xml:space="preserve">so spodbujanje investicij v primarno predelavo lesa, spodbujanje uporabe lesa pri gradnji in prenovi objektov, zmanjšanje neto letne rasti pozidanih zemljišč </w:t>
      </w:r>
      <w:r w:rsidR="001C0FA2">
        <w:rPr>
          <w:rFonts w:ascii="Arial" w:hAnsi="Arial" w:cs="Arial"/>
          <w:szCs w:val="22"/>
        </w:rPr>
        <w:t>in</w:t>
      </w:r>
      <w:r w:rsidR="001C0FA2" w:rsidRPr="00AF3FEE">
        <w:rPr>
          <w:rFonts w:ascii="Arial" w:hAnsi="Arial" w:cs="Arial"/>
          <w:szCs w:val="22"/>
        </w:rPr>
        <w:t xml:space="preserve"> </w:t>
      </w:r>
      <w:r w:rsidRPr="00AF3FEE">
        <w:rPr>
          <w:rFonts w:ascii="Arial" w:hAnsi="Arial" w:cs="Arial"/>
          <w:szCs w:val="22"/>
        </w:rPr>
        <w:t>zmanjšanje krčenja površin namenske rabe gozdov. V slovenski industrijski strategiji si je država zadala cilj, da do leta 2030 predela vsaj 3 milijone m</w:t>
      </w:r>
      <w:r w:rsidRPr="00AF3FEE">
        <w:rPr>
          <w:rFonts w:ascii="Arial" w:hAnsi="Arial" w:cs="Arial"/>
          <w:szCs w:val="22"/>
          <w:vertAlign w:val="superscript"/>
        </w:rPr>
        <w:t>3</w:t>
      </w:r>
      <w:r w:rsidRPr="00AF3FEE">
        <w:rPr>
          <w:rFonts w:ascii="Arial" w:hAnsi="Arial" w:cs="Arial"/>
          <w:szCs w:val="22"/>
        </w:rPr>
        <w:t xml:space="preserve"> okroglega lesa za neenergetsko rabo. Večina naložb bo financiranih iz Načrta za okrevanje in odpornost, skupaj z zasebnimi sredstvi pa se ocenjuje, da bodo stroški v obdobju 2025</w:t>
      </w:r>
      <w:r w:rsidR="001C0FA2">
        <w:rPr>
          <w:rFonts w:ascii="Arial" w:hAnsi="Arial" w:cs="Arial"/>
          <w:szCs w:val="22"/>
        </w:rPr>
        <w:t>–</w:t>
      </w:r>
      <w:r w:rsidRPr="00AF3FEE">
        <w:rPr>
          <w:rFonts w:ascii="Arial" w:hAnsi="Arial" w:cs="Arial"/>
          <w:szCs w:val="22"/>
        </w:rPr>
        <w:t xml:space="preserve">2030 znašali okoli 70 milijonov </w:t>
      </w:r>
      <w:r w:rsidR="002958C7">
        <w:rPr>
          <w:rFonts w:ascii="Arial" w:hAnsi="Arial" w:cs="Arial"/>
          <w:szCs w:val="22"/>
        </w:rPr>
        <w:t>evrov</w:t>
      </w:r>
      <w:r w:rsidRPr="00AF3FEE">
        <w:rPr>
          <w:rFonts w:ascii="Arial" w:hAnsi="Arial" w:cs="Arial"/>
          <w:szCs w:val="22"/>
        </w:rPr>
        <w:t>. Slovenija spodbuja večjo uporabo lesa v gradbeništvu, kjer</w:t>
      </w:r>
      <w:r w:rsidR="00CE5F74">
        <w:rPr>
          <w:rFonts w:ascii="Arial" w:hAnsi="Arial" w:cs="Arial"/>
          <w:szCs w:val="22"/>
        </w:rPr>
        <w:t xml:space="preserve"> </w:t>
      </w:r>
      <w:r w:rsidR="001C0FA2">
        <w:rPr>
          <w:rFonts w:ascii="Arial" w:hAnsi="Arial" w:cs="Arial"/>
          <w:szCs w:val="22"/>
        </w:rPr>
        <w:t xml:space="preserve">v skladu </w:t>
      </w:r>
      <w:r w:rsidR="00CE5F74">
        <w:rPr>
          <w:rFonts w:ascii="Arial" w:hAnsi="Arial" w:cs="Arial"/>
          <w:szCs w:val="22"/>
        </w:rPr>
        <w:t>z NEPN</w:t>
      </w:r>
      <w:r w:rsidRPr="00AF3FEE">
        <w:rPr>
          <w:rFonts w:ascii="Arial" w:hAnsi="Arial" w:cs="Arial"/>
          <w:szCs w:val="22"/>
        </w:rPr>
        <w:t xml:space="preserve"> </w:t>
      </w:r>
      <w:r w:rsidR="00065628">
        <w:rPr>
          <w:rFonts w:ascii="Arial" w:hAnsi="Arial" w:cs="Arial"/>
          <w:szCs w:val="22"/>
        </w:rPr>
        <w:t xml:space="preserve">namerava </w:t>
      </w:r>
      <w:r w:rsidRPr="00AF3FEE">
        <w:rPr>
          <w:rFonts w:ascii="Arial" w:hAnsi="Arial" w:cs="Arial"/>
          <w:szCs w:val="22"/>
        </w:rPr>
        <w:t xml:space="preserve">do leta 2030 </w:t>
      </w:r>
      <w:r w:rsidR="00065628" w:rsidRPr="00AF3FEE">
        <w:rPr>
          <w:rFonts w:ascii="Arial" w:hAnsi="Arial" w:cs="Arial"/>
          <w:szCs w:val="22"/>
        </w:rPr>
        <w:t>poveča</w:t>
      </w:r>
      <w:r w:rsidR="00065628">
        <w:rPr>
          <w:rFonts w:ascii="Arial" w:hAnsi="Arial" w:cs="Arial"/>
          <w:szCs w:val="22"/>
        </w:rPr>
        <w:t>ti</w:t>
      </w:r>
      <w:r w:rsidR="00065628" w:rsidRPr="00AF3FEE">
        <w:rPr>
          <w:rFonts w:ascii="Arial" w:hAnsi="Arial" w:cs="Arial"/>
          <w:szCs w:val="22"/>
        </w:rPr>
        <w:t xml:space="preserve"> </w:t>
      </w:r>
      <w:r w:rsidRPr="00AF3FEE">
        <w:rPr>
          <w:rFonts w:ascii="Arial" w:hAnsi="Arial" w:cs="Arial"/>
          <w:szCs w:val="22"/>
        </w:rPr>
        <w:t xml:space="preserve">delež lesa v javnih stavbah na 40 %. Zmanjšanje emisij zaradi pozidave in krčenja površin namenske rabe gozdov je mogoče doseči s </w:t>
      </w:r>
      <w:r w:rsidR="001C0FA2" w:rsidRPr="00AF3FEE">
        <w:rPr>
          <w:rFonts w:ascii="Arial" w:hAnsi="Arial" w:cs="Arial"/>
          <w:szCs w:val="22"/>
        </w:rPr>
        <w:t>premišljen</w:t>
      </w:r>
      <w:r w:rsidR="001C0FA2">
        <w:rPr>
          <w:rFonts w:ascii="Arial" w:hAnsi="Arial" w:cs="Arial"/>
          <w:szCs w:val="22"/>
        </w:rPr>
        <w:t>o</w:t>
      </w:r>
      <w:r w:rsidR="001C0FA2" w:rsidRPr="00AF3FEE">
        <w:rPr>
          <w:rFonts w:ascii="Arial" w:hAnsi="Arial" w:cs="Arial"/>
          <w:szCs w:val="22"/>
        </w:rPr>
        <w:t xml:space="preserve"> prostorsk</w:t>
      </w:r>
      <w:r w:rsidR="001C0FA2">
        <w:rPr>
          <w:rFonts w:ascii="Arial" w:hAnsi="Arial" w:cs="Arial"/>
          <w:szCs w:val="22"/>
        </w:rPr>
        <w:t>o</w:t>
      </w:r>
      <w:r w:rsidR="001C0FA2" w:rsidRPr="00AF3FEE">
        <w:rPr>
          <w:rFonts w:ascii="Arial" w:hAnsi="Arial" w:cs="Arial"/>
          <w:szCs w:val="22"/>
        </w:rPr>
        <w:t xml:space="preserve"> politik</w:t>
      </w:r>
      <w:r w:rsidR="001C0FA2">
        <w:rPr>
          <w:rFonts w:ascii="Arial" w:hAnsi="Arial" w:cs="Arial"/>
          <w:szCs w:val="22"/>
        </w:rPr>
        <w:t>o</w:t>
      </w:r>
      <w:r w:rsidRPr="00AF3FEE">
        <w:rPr>
          <w:rFonts w:ascii="Arial" w:hAnsi="Arial" w:cs="Arial"/>
          <w:szCs w:val="22"/>
        </w:rPr>
        <w:t xml:space="preserve">. Tu imata ključno vlogo načrtovanje </w:t>
      </w:r>
      <w:r w:rsidR="001C0FA2">
        <w:rPr>
          <w:rFonts w:ascii="Arial" w:hAnsi="Arial" w:cs="Arial"/>
          <w:szCs w:val="22"/>
        </w:rPr>
        <w:t>in</w:t>
      </w:r>
      <w:r w:rsidR="001C0FA2" w:rsidRPr="00AF3FEE">
        <w:rPr>
          <w:rFonts w:ascii="Arial" w:hAnsi="Arial" w:cs="Arial"/>
          <w:szCs w:val="22"/>
        </w:rPr>
        <w:t xml:space="preserve"> </w:t>
      </w:r>
      <w:r w:rsidRPr="00AF3FEE">
        <w:rPr>
          <w:rFonts w:ascii="Arial" w:hAnsi="Arial" w:cs="Arial"/>
          <w:szCs w:val="22"/>
        </w:rPr>
        <w:t>presoja vlog za spremembe namenske rabe gozdov v občinskih prostorskih načrtih.</w:t>
      </w:r>
    </w:p>
    <w:p w14:paraId="30FE2964" w14:textId="251E172F" w:rsidR="00AF3FEE" w:rsidRPr="00AF3FEE" w:rsidRDefault="00AF3FEE" w:rsidP="00AF3FEE">
      <w:pPr>
        <w:pStyle w:val="BodyText"/>
        <w:rPr>
          <w:rFonts w:ascii="Arial" w:hAnsi="Arial" w:cs="Arial"/>
          <w:szCs w:val="22"/>
        </w:rPr>
      </w:pPr>
      <w:r w:rsidRPr="00AF3FEE">
        <w:rPr>
          <w:rFonts w:ascii="Arial" w:hAnsi="Arial" w:cs="Arial"/>
          <w:szCs w:val="22"/>
        </w:rPr>
        <w:t>Na emisij</w:t>
      </w:r>
      <w:r w:rsidR="004824CF">
        <w:rPr>
          <w:rFonts w:ascii="Arial" w:hAnsi="Arial" w:cs="Arial"/>
          <w:szCs w:val="22"/>
        </w:rPr>
        <w:t>e</w:t>
      </w:r>
      <w:r w:rsidRPr="00AF3FEE">
        <w:rPr>
          <w:rFonts w:ascii="Arial" w:hAnsi="Arial" w:cs="Arial"/>
          <w:szCs w:val="22"/>
        </w:rPr>
        <w:t xml:space="preserve"> in </w:t>
      </w:r>
      <w:r w:rsidR="004824CF" w:rsidRPr="00AF3FEE">
        <w:rPr>
          <w:rFonts w:ascii="Arial" w:hAnsi="Arial" w:cs="Arial"/>
          <w:szCs w:val="22"/>
        </w:rPr>
        <w:t>ponor</w:t>
      </w:r>
      <w:r w:rsidR="004824CF">
        <w:rPr>
          <w:rFonts w:ascii="Arial" w:hAnsi="Arial" w:cs="Arial"/>
          <w:szCs w:val="22"/>
        </w:rPr>
        <w:t>e</w:t>
      </w:r>
      <w:r w:rsidR="004824CF" w:rsidRPr="00AF3FEE">
        <w:rPr>
          <w:rFonts w:ascii="Arial" w:hAnsi="Arial" w:cs="Arial"/>
          <w:szCs w:val="22"/>
        </w:rPr>
        <w:t xml:space="preserve"> </w:t>
      </w:r>
      <w:r w:rsidRPr="00AF3FEE">
        <w:rPr>
          <w:rFonts w:ascii="Arial" w:hAnsi="Arial" w:cs="Arial"/>
          <w:szCs w:val="22"/>
        </w:rPr>
        <w:t xml:space="preserve">v sektorju vpliva tudi obnova ali izboljšanje obstoječih naravnih ekosistemov, ki so bogati z zalogami ogljika. Gre za obnovo ekosistemov, kot so barja in močvirja, grmišča in travišča, gozdni habitatni tipi </w:t>
      </w:r>
      <w:r w:rsidR="004F2B0D">
        <w:rPr>
          <w:rFonts w:ascii="Arial" w:hAnsi="Arial" w:cs="Arial"/>
          <w:szCs w:val="22"/>
        </w:rPr>
        <w:t>in tako dalje</w:t>
      </w:r>
      <w:r w:rsidRPr="00AF3FEE">
        <w:rPr>
          <w:rFonts w:ascii="Arial" w:hAnsi="Arial" w:cs="Arial"/>
          <w:szCs w:val="22"/>
        </w:rPr>
        <w:t xml:space="preserve">, ukrep pa je </w:t>
      </w:r>
      <w:r w:rsidR="004824CF">
        <w:rPr>
          <w:rFonts w:ascii="Arial" w:hAnsi="Arial" w:cs="Arial"/>
          <w:szCs w:val="22"/>
        </w:rPr>
        <w:t>usklajen</w:t>
      </w:r>
      <w:r w:rsidR="004824CF" w:rsidRPr="00AF3FEE">
        <w:rPr>
          <w:rFonts w:ascii="Arial" w:hAnsi="Arial" w:cs="Arial"/>
          <w:szCs w:val="22"/>
        </w:rPr>
        <w:t xml:space="preserve"> </w:t>
      </w:r>
      <w:r w:rsidRPr="00AF3FEE">
        <w:rPr>
          <w:rFonts w:ascii="Arial" w:hAnsi="Arial" w:cs="Arial"/>
          <w:szCs w:val="22"/>
        </w:rPr>
        <w:t>s Programom upravljanja območij Natura 2000 za obdobje 2023</w:t>
      </w:r>
      <w:r w:rsidR="004824CF">
        <w:rPr>
          <w:rFonts w:ascii="Arial" w:eastAsia="Palatino Linotype" w:hAnsi="Arial" w:cs="Arial"/>
          <w:noProof/>
          <w:szCs w:val="22"/>
        </w:rPr>
        <w:t>–</w:t>
      </w:r>
      <w:r w:rsidRPr="00AF3FEE">
        <w:rPr>
          <w:rFonts w:ascii="Arial" w:hAnsi="Arial" w:cs="Arial"/>
          <w:szCs w:val="22"/>
        </w:rPr>
        <w:t>2028. Vrednost ukrepa v obdobju 2025</w:t>
      </w:r>
      <w:r w:rsidR="004824CF">
        <w:rPr>
          <w:rFonts w:ascii="Arial" w:hAnsi="Arial" w:cs="Arial"/>
          <w:szCs w:val="22"/>
        </w:rPr>
        <w:t>–</w:t>
      </w:r>
      <w:r w:rsidRPr="00AF3FEE">
        <w:rPr>
          <w:rFonts w:ascii="Arial" w:hAnsi="Arial" w:cs="Arial"/>
          <w:szCs w:val="22"/>
        </w:rPr>
        <w:t xml:space="preserve">2030 se ocenjuje na okoli 10 milijonov </w:t>
      </w:r>
      <w:r w:rsidR="006A109B">
        <w:rPr>
          <w:rFonts w:ascii="Arial" w:hAnsi="Arial" w:cs="Arial"/>
          <w:szCs w:val="22"/>
        </w:rPr>
        <w:t>evrov</w:t>
      </w:r>
      <w:r w:rsidRPr="00AF3FEE">
        <w:rPr>
          <w:rFonts w:ascii="Arial" w:hAnsi="Arial" w:cs="Arial"/>
          <w:szCs w:val="22"/>
        </w:rPr>
        <w:t>, ki bodo kriti iz proračuna R</w:t>
      </w:r>
      <w:r w:rsidR="002958C7">
        <w:rPr>
          <w:rFonts w:ascii="Arial" w:hAnsi="Arial" w:cs="Arial"/>
          <w:szCs w:val="22"/>
        </w:rPr>
        <w:t xml:space="preserve">epublike </w:t>
      </w:r>
      <w:r w:rsidRPr="00AF3FEE">
        <w:rPr>
          <w:rFonts w:ascii="Arial" w:hAnsi="Arial" w:cs="Arial"/>
          <w:szCs w:val="22"/>
        </w:rPr>
        <w:t>S</w:t>
      </w:r>
      <w:r w:rsidR="002958C7">
        <w:rPr>
          <w:rFonts w:ascii="Arial" w:hAnsi="Arial" w:cs="Arial"/>
          <w:szCs w:val="22"/>
        </w:rPr>
        <w:t>lovenije</w:t>
      </w:r>
      <w:r w:rsidRPr="00AF3FEE">
        <w:rPr>
          <w:rFonts w:ascii="Arial" w:hAnsi="Arial" w:cs="Arial"/>
          <w:szCs w:val="22"/>
        </w:rPr>
        <w:t>, sredstev EU (</w:t>
      </w:r>
      <w:r w:rsidR="004F2B0D">
        <w:rPr>
          <w:rFonts w:ascii="Arial" w:hAnsi="Arial" w:cs="Arial"/>
          <w:szCs w:val="22"/>
        </w:rPr>
        <w:t>na primer</w:t>
      </w:r>
      <w:r w:rsidRPr="00AF3FEE">
        <w:rPr>
          <w:rFonts w:ascii="Arial" w:hAnsi="Arial" w:cs="Arial"/>
          <w:szCs w:val="22"/>
        </w:rPr>
        <w:t xml:space="preserve"> LIFE in EKSRP) in zasebnih virov.</w:t>
      </w:r>
    </w:p>
    <w:p w14:paraId="4870F62C" w14:textId="1153B7DF" w:rsidR="00AF3FEE" w:rsidRDefault="00AF3FEE" w:rsidP="00407339">
      <w:pPr>
        <w:pStyle w:val="BodyText"/>
        <w:rPr>
          <w:rFonts w:ascii="Arial" w:hAnsi="Arial" w:cs="Arial"/>
          <w:szCs w:val="22"/>
        </w:rPr>
      </w:pPr>
      <w:r w:rsidRPr="00AF3FEE">
        <w:rPr>
          <w:rFonts w:ascii="Arial" w:hAnsi="Arial" w:cs="Arial"/>
          <w:szCs w:val="22"/>
        </w:rPr>
        <w:t xml:space="preserve">Slovenija si prizadeva, da bo izboljšala predpise na področju ohranjanja in varstva kmetijskih zemljišč ter varstva in izboljšanja kakovosti tal. Ne glede na to je pričakovati, da bo vpliv teh ukrepov </w:t>
      </w:r>
      <w:r w:rsidR="00176476">
        <w:rPr>
          <w:rFonts w:ascii="Arial" w:hAnsi="Arial" w:cs="Arial"/>
          <w:szCs w:val="22"/>
        </w:rPr>
        <w:t xml:space="preserve">v primerjavi z drugimi </w:t>
      </w:r>
      <w:r w:rsidRPr="00AF3FEE">
        <w:rPr>
          <w:rFonts w:ascii="Arial" w:hAnsi="Arial" w:cs="Arial"/>
          <w:szCs w:val="22"/>
        </w:rPr>
        <w:t xml:space="preserve">precej manjši. V zvezi s tem velja </w:t>
      </w:r>
      <w:r w:rsidR="00176476">
        <w:rPr>
          <w:rFonts w:ascii="Arial" w:hAnsi="Arial" w:cs="Arial"/>
          <w:szCs w:val="22"/>
        </w:rPr>
        <w:t>navesti</w:t>
      </w:r>
      <w:r w:rsidR="00176476" w:rsidRPr="00AF3FEE">
        <w:rPr>
          <w:rFonts w:ascii="Arial" w:hAnsi="Arial" w:cs="Arial"/>
          <w:szCs w:val="22"/>
        </w:rPr>
        <w:t xml:space="preserve"> </w:t>
      </w:r>
      <w:r w:rsidRPr="00AF3FEE">
        <w:rPr>
          <w:rFonts w:ascii="Arial" w:hAnsi="Arial" w:cs="Arial"/>
          <w:szCs w:val="22"/>
        </w:rPr>
        <w:t xml:space="preserve">še izdelavo načrta za spremljanje učinkov naravovarstvenih ukrepov na kmetijskih zemljiščih in kmetijskih tleh. Ti ukrepi namreč prinašajo sinergije na področju blaženja podnebnih sprememb in ohranjanja biotske raznovrstnosti, na kar opozarjajo številne študije in izsledki mednarodnih projektov. </w:t>
      </w:r>
    </w:p>
    <w:p w14:paraId="68F60A27" w14:textId="15288732" w:rsidR="00407339" w:rsidRPr="00407339" w:rsidRDefault="00407339" w:rsidP="00407339">
      <w:pPr>
        <w:pStyle w:val="Heading3"/>
        <w:rPr>
          <w:sz w:val="22"/>
        </w:rPr>
      </w:pPr>
      <w:bookmarkStart w:id="108" w:name="_Toc196300821"/>
      <w:r>
        <w:t>II.D.9 Odpadki</w:t>
      </w:r>
      <w:bookmarkEnd w:id="108"/>
    </w:p>
    <w:p w14:paraId="30A0D7EB" w14:textId="15BF7F63" w:rsidR="00AF3FEE" w:rsidRPr="00AF3FEE" w:rsidRDefault="00AF3FEE" w:rsidP="00AF3FEE">
      <w:pPr>
        <w:pStyle w:val="Heading41"/>
        <w:spacing w:after="0"/>
        <w:ind w:left="0" w:firstLine="0"/>
        <w:jc w:val="both"/>
        <w:rPr>
          <w:rFonts w:cs="Arial"/>
          <w:szCs w:val="22"/>
        </w:rPr>
      </w:pPr>
      <w:bookmarkStart w:id="109" w:name="OLE_LINK1"/>
      <w:r w:rsidRPr="00AF3FEE">
        <w:rPr>
          <w:rFonts w:cs="Arial"/>
          <w:szCs w:val="22"/>
        </w:rPr>
        <w:t>Zmanjšanje koli</w:t>
      </w:r>
      <w:r w:rsidR="000A119F">
        <w:rPr>
          <w:rFonts w:cs="Arial"/>
          <w:szCs w:val="22"/>
        </w:rPr>
        <w:t>č</w:t>
      </w:r>
      <w:r w:rsidRPr="00AF3FEE">
        <w:rPr>
          <w:rFonts w:cs="Arial"/>
          <w:szCs w:val="22"/>
        </w:rPr>
        <w:t xml:space="preserve">ine nastalih odpadkov </w:t>
      </w:r>
      <w:r w:rsidR="000A119F">
        <w:rPr>
          <w:rFonts w:cs="Arial"/>
          <w:szCs w:val="22"/>
        </w:rPr>
        <w:t>ter</w:t>
      </w:r>
      <w:r w:rsidR="000A119F" w:rsidRPr="00AF3FEE">
        <w:rPr>
          <w:rFonts w:cs="Arial"/>
          <w:szCs w:val="22"/>
        </w:rPr>
        <w:t xml:space="preserve"> </w:t>
      </w:r>
      <w:r w:rsidR="00CE5F74">
        <w:rPr>
          <w:rFonts w:cs="Arial"/>
          <w:szCs w:val="22"/>
        </w:rPr>
        <w:t>PROMOCIJA</w:t>
      </w:r>
      <w:r w:rsidRPr="00AF3FEE">
        <w:rPr>
          <w:rFonts w:cs="Arial"/>
          <w:szCs w:val="22"/>
        </w:rPr>
        <w:t xml:space="preserve"> ponovne uporabe </w:t>
      </w:r>
      <w:r w:rsidR="000A119F">
        <w:rPr>
          <w:rFonts w:cs="Arial"/>
          <w:szCs w:val="22"/>
        </w:rPr>
        <w:t>in</w:t>
      </w:r>
      <w:r w:rsidR="000A119F" w:rsidRPr="00AF3FEE">
        <w:rPr>
          <w:rFonts w:cs="Arial"/>
          <w:szCs w:val="22"/>
        </w:rPr>
        <w:t xml:space="preserve"> </w:t>
      </w:r>
      <w:r w:rsidRPr="00AF3FEE">
        <w:rPr>
          <w:rFonts w:cs="Arial"/>
          <w:szCs w:val="22"/>
        </w:rPr>
        <w:t>recikliranja</w:t>
      </w:r>
    </w:p>
    <w:bookmarkEnd w:id="109"/>
    <w:p w14:paraId="2588155C" w14:textId="31480C41" w:rsidR="00AF3FEE" w:rsidRPr="00AF3FEE" w:rsidRDefault="00AF3FEE" w:rsidP="00AF3FEE">
      <w:pPr>
        <w:pStyle w:val="Naslov-VplivUkrepa-Sektorji"/>
        <w:jc w:val="both"/>
        <w:rPr>
          <w:rStyle w:val="Tekst-VplivUkrepa-SektorjiCharChar"/>
          <w:rFonts w:ascii="Arial" w:hAnsi="Arial" w:cs="Arial"/>
          <w:b w:val="0"/>
          <w:noProof/>
          <w:szCs w:val="22"/>
        </w:rPr>
      </w:pPr>
      <w:r w:rsidRPr="001D43EB">
        <w:rPr>
          <w:rStyle w:val="Naslov-VplivUkrepa-SektorjiChar"/>
          <w:rFonts w:ascii="Arial" w:hAnsi="Arial" w:cs="Arial"/>
          <w:b/>
          <w:szCs w:val="22"/>
        </w:rPr>
        <w:t xml:space="preserve">Sektorji, na katere </w:t>
      </w:r>
      <w:r w:rsidR="001D43EB" w:rsidRPr="001D43EB">
        <w:rPr>
          <w:rStyle w:val="Naslov-VplivUkrepa-SektorjiChar"/>
          <w:rFonts w:ascii="Arial" w:hAnsi="Arial" w:cs="Arial"/>
          <w:b/>
          <w:szCs w:val="22"/>
        </w:rPr>
        <w:t xml:space="preserve">vpliva </w:t>
      </w:r>
      <w:r w:rsidRPr="001D43EB">
        <w:rPr>
          <w:rStyle w:val="Naslov-VplivUkrepa-SektorjiChar"/>
          <w:rFonts w:ascii="Arial" w:hAnsi="Arial" w:cs="Arial"/>
          <w:b/>
          <w:szCs w:val="22"/>
        </w:rPr>
        <w:t>izvajanje ukrepa</w:t>
      </w:r>
      <w:r w:rsidRPr="00AF3FEE">
        <w:rPr>
          <w:rStyle w:val="Naslov-VplivUkrepa-SektorjiChar"/>
          <w:rFonts w:ascii="Arial" w:hAnsi="Arial" w:cs="Arial"/>
          <w:szCs w:val="22"/>
        </w:rPr>
        <w:t>:</w:t>
      </w:r>
      <w:r w:rsidRPr="00AF3FEE">
        <w:rPr>
          <w:rStyle w:val="Tekst-VplivUkrepa-SektorjiCharChar"/>
          <w:rFonts w:ascii="Arial" w:hAnsi="Arial" w:cs="Arial"/>
          <w:szCs w:val="22"/>
        </w:rPr>
        <w:t xml:space="preserve"> </w:t>
      </w:r>
      <w:r w:rsidRPr="0038553C">
        <w:rPr>
          <w:rStyle w:val="Tekst-VplivUkrepa-SektorjiCharChar"/>
          <w:rFonts w:ascii="Arial" w:hAnsi="Arial" w:cs="Arial"/>
          <w:b w:val="0"/>
          <w:i w:val="0"/>
          <w:iCs/>
          <w:szCs w:val="22"/>
        </w:rPr>
        <w:t>ravnanje z odpadki</w:t>
      </w:r>
      <w:r w:rsidR="00176476">
        <w:rPr>
          <w:rStyle w:val="Tekst-VplivUkrepa-SektorjiCharChar"/>
          <w:rFonts w:ascii="Arial" w:hAnsi="Arial" w:cs="Arial"/>
          <w:b w:val="0"/>
          <w:i w:val="0"/>
          <w:iCs/>
          <w:szCs w:val="22"/>
        </w:rPr>
        <w:t>.</w:t>
      </w:r>
    </w:p>
    <w:p w14:paraId="70A82CBB" w14:textId="77777777"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Leta 2022 sprejet Program preprečevanja odpadkov republike Slovenije vsebuje naslednje ukrepe: </w:t>
      </w:r>
    </w:p>
    <w:p w14:paraId="7EC8F89E" w14:textId="462B6A8B"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 xml:space="preserve">reprečevanje komunalnih odpadkov v gospodinjstvih </w:t>
      </w:r>
      <w:r>
        <w:rPr>
          <w:rFonts w:ascii="Arial" w:hAnsi="Arial" w:cs="Arial"/>
          <w:noProof/>
          <w:szCs w:val="22"/>
        </w:rPr>
        <w:t>z</w:t>
      </w:r>
      <w:r w:rsidRPr="00AF3FEE">
        <w:rPr>
          <w:rFonts w:ascii="Arial" w:hAnsi="Arial" w:cs="Arial"/>
          <w:noProof/>
          <w:szCs w:val="22"/>
        </w:rPr>
        <w:t xml:space="preserve"> informiranj</w:t>
      </w:r>
      <w:r>
        <w:rPr>
          <w:rFonts w:ascii="Arial" w:hAnsi="Arial" w:cs="Arial"/>
          <w:noProof/>
          <w:szCs w:val="22"/>
        </w:rPr>
        <w:t>em</w:t>
      </w:r>
      <w:r w:rsidRPr="00AF3FEE">
        <w:rPr>
          <w:rFonts w:ascii="Arial" w:hAnsi="Arial" w:cs="Arial"/>
          <w:noProof/>
          <w:szCs w:val="22"/>
        </w:rPr>
        <w:t xml:space="preserve"> </w:t>
      </w:r>
      <w:r w:rsidR="00AF3FEE" w:rsidRPr="00AF3FEE">
        <w:rPr>
          <w:rFonts w:ascii="Arial" w:hAnsi="Arial" w:cs="Arial"/>
          <w:noProof/>
          <w:szCs w:val="22"/>
        </w:rPr>
        <w:t xml:space="preserve">in </w:t>
      </w:r>
      <w:r w:rsidRPr="00AF3FEE">
        <w:rPr>
          <w:rFonts w:ascii="Arial" w:hAnsi="Arial" w:cs="Arial"/>
          <w:noProof/>
          <w:szCs w:val="22"/>
        </w:rPr>
        <w:t>ozaveščanj</w:t>
      </w:r>
      <w:r>
        <w:rPr>
          <w:rFonts w:ascii="Arial" w:hAnsi="Arial" w:cs="Arial"/>
          <w:noProof/>
          <w:szCs w:val="22"/>
        </w:rPr>
        <w:t>em</w:t>
      </w:r>
      <w:r w:rsidR="00AF3FEE" w:rsidRPr="00AF3FEE">
        <w:rPr>
          <w:rFonts w:ascii="Arial" w:hAnsi="Arial" w:cs="Arial"/>
          <w:noProof/>
          <w:szCs w:val="22"/>
        </w:rPr>
        <w:t>;</w:t>
      </w:r>
    </w:p>
    <w:p w14:paraId="7EF6BACF" w14:textId="431AB324" w:rsidR="00AF3FEE" w:rsidRPr="00AF3FEE" w:rsidRDefault="000A119F" w:rsidP="000A119F">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 xml:space="preserve">reprečevanje odpadkov v gospodinjstvih </w:t>
      </w:r>
      <w:r>
        <w:rPr>
          <w:rFonts w:ascii="Arial" w:hAnsi="Arial" w:cs="Arial"/>
          <w:noProof/>
          <w:szCs w:val="22"/>
        </w:rPr>
        <w:t>s</w:t>
      </w:r>
      <w:r w:rsidRPr="00AF3FEE">
        <w:rPr>
          <w:rFonts w:ascii="Arial" w:hAnsi="Arial" w:cs="Arial"/>
          <w:noProof/>
          <w:szCs w:val="22"/>
        </w:rPr>
        <w:t xml:space="preserve"> sistem</w:t>
      </w:r>
      <w:r>
        <w:rPr>
          <w:rFonts w:ascii="Arial" w:hAnsi="Arial" w:cs="Arial"/>
          <w:noProof/>
          <w:szCs w:val="22"/>
        </w:rPr>
        <w:t xml:space="preserve">om </w:t>
      </w:r>
      <w:r w:rsidR="00AF3FEE" w:rsidRPr="00AF3FEE">
        <w:rPr>
          <w:rFonts w:ascii="Arial" w:hAnsi="Arial" w:cs="Arial"/>
          <w:noProof/>
          <w:szCs w:val="22"/>
        </w:rPr>
        <w:t>spremljanja potrošnje lahkih plastičnih vrečk;</w:t>
      </w:r>
    </w:p>
    <w:p w14:paraId="5A698950" w14:textId="3DC40EE6"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 xml:space="preserve">reprečevanje odpadne hrane </w:t>
      </w:r>
      <w:r>
        <w:rPr>
          <w:rFonts w:ascii="Arial" w:hAnsi="Arial" w:cs="Arial"/>
          <w:noProof/>
          <w:szCs w:val="22"/>
        </w:rPr>
        <w:t xml:space="preserve">z </w:t>
      </w:r>
      <w:r w:rsidRPr="00AF3FEE">
        <w:rPr>
          <w:rFonts w:ascii="Arial" w:hAnsi="Arial" w:cs="Arial"/>
          <w:noProof/>
          <w:szCs w:val="22"/>
        </w:rPr>
        <w:t>informiranj</w:t>
      </w:r>
      <w:r>
        <w:rPr>
          <w:rFonts w:ascii="Arial" w:hAnsi="Arial" w:cs="Arial"/>
          <w:noProof/>
          <w:szCs w:val="22"/>
        </w:rPr>
        <w:t>em</w:t>
      </w:r>
      <w:r w:rsidR="00AF3FEE" w:rsidRPr="00AF3FEE">
        <w:rPr>
          <w:rFonts w:ascii="Arial" w:hAnsi="Arial" w:cs="Arial"/>
          <w:noProof/>
          <w:szCs w:val="22"/>
        </w:rPr>
        <w:t xml:space="preserve">, </w:t>
      </w:r>
      <w:r w:rsidRPr="00AF3FEE">
        <w:rPr>
          <w:rFonts w:ascii="Arial" w:hAnsi="Arial" w:cs="Arial"/>
          <w:noProof/>
          <w:szCs w:val="22"/>
        </w:rPr>
        <w:t>ozaveščan</w:t>
      </w:r>
      <w:r>
        <w:rPr>
          <w:rFonts w:ascii="Arial" w:hAnsi="Arial" w:cs="Arial"/>
          <w:noProof/>
          <w:szCs w:val="22"/>
        </w:rPr>
        <w:t>jem</w:t>
      </w:r>
      <w:r w:rsidRPr="00AF3FEE">
        <w:rPr>
          <w:rFonts w:ascii="Arial" w:hAnsi="Arial" w:cs="Arial"/>
          <w:noProof/>
          <w:szCs w:val="22"/>
        </w:rPr>
        <w:t xml:space="preserve"> </w:t>
      </w:r>
      <w:r w:rsidR="00AF3FEE" w:rsidRPr="00AF3FEE">
        <w:rPr>
          <w:rFonts w:ascii="Arial" w:hAnsi="Arial" w:cs="Arial"/>
          <w:noProof/>
          <w:szCs w:val="22"/>
        </w:rPr>
        <w:t xml:space="preserve">različnih členov v procesu proizvodnje in priprave hrane, </w:t>
      </w:r>
      <w:r w:rsidRPr="00AF3FEE">
        <w:rPr>
          <w:rFonts w:ascii="Arial" w:hAnsi="Arial" w:cs="Arial"/>
          <w:noProof/>
          <w:szCs w:val="22"/>
        </w:rPr>
        <w:t>spreminjanj</w:t>
      </w:r>
      <w:r>
        <w:rPr>
          <w:rFonts w:ascii="Arial" w:hAnsi="Arial" w:cs="Arial"/>
          <w:noProof/>
          <w:szCs w:val="22"/>
        </w:rPr>
        <w:t xml:space="preserve">em </w:t>
      </w:r>
      <w:r w:rsidR="00AF3FEE" w:rsidRPr="00AF3FEE">
        <w:rPr>
          <w:rFonts w:ascii="Arial" w:hAnsi="Arial" w:cs="Arial"/>
          <w:noProof/>
          <w:szCs w:val="22"/>
        </w:rPr>
        <w:t xml:space="preserve">navad prehranjevanja, </w:t>
      </w:r>
      <w:r w:rsidRPr="00AF3FEE">
        <w:rPr>
          <w:rFonts w:ascii="Arial" w:hAnsi="Arial" w:cs="Arial"/>
          <w:noProof/>
          <w:szCs w:val="22"/>
        </w:rPr>
        <w:t>iskanj</w:t>
      </w:r>
      <w:r>
        <w:rPr>
          <w:rFonts w:ascii="Arial" w:hAnsi="Arial" w:cs="Arial"/>
          <w:noProof/>
          <w:szCs w:val="22"/>
        </w:rPr>
        <w:t>em</w:t>
      </w:r>
      <w:r w:rsidRPr="00AF3FEE">
        <w:rPr>
          <w:rFonts w:ascii="Arial" w:hAnsi="Arial" w:cs="Arial"/>
          <w:noProof/>
          <w:szCs w:val="22"/>
        </w:rPr>
        <w:t xml:space="preserve"> </w:t>
      </w:r>
      <w:r w:rsidR="00AF3FEE" w:rsidRPr="00AF3FEE">
        <w:rPr>
          <w:rFonts w:ascii="Arial" w:hAnsi="Arial" w:cs="Arial"/>
          <w:noProof/>
          <w:szCs w:val="22"/>
        </w:rPr>
        <w:t>možnosti za zmanjšanje ostankov hrane v gostinstvu;</w:t>
      </w:r>
    </w:p>
    <w:p w14:paraId="1DC5B47B" w14:textId="12141D57"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reprečevanj</w:t>
      </w:r>
      <w:r w:rsidR="00E97171">
        <w:rPr>
          <w:rFonts w:ascii="Arial" w:hAnsi="Arial" w:cs="Arial"/>
          <w:noProof/>
          <w:szCs w:val="22"/>
        </w:rPr>
        <w:t>e</w:t>
      </w:r>
      <w:r w:rsidR="00AF3FEE" w:rsidRPr="00AF3FEE">
        <w:rPr>
          <w:rFonts w:ascii="Arial" w:hAnsi="Arial" w:cs="Arial"/>
          <w:noProof/>
          <w:szCs w:val="22"/>
        </w:rPr>
        <w:t xml:space="preserve"> odpadne elektronske opreme </w:t>
      </w:r>
      <w:r>
        <w:rPr>
          <w:rFonts w:ascii="Arial" w:hAnsi="Arial" w:cs="Arial"/>
          <w:noProof/>
          <w:szCs w:val="22"/>
        </w:rPr>
        <w:t>z</w:t>
      </w:r>
      <w:r w:rsidRPr="00AF3FEE">
        <w:rPr>
          <w:rFonts w:ascii="Arial" w:hAnsi="Arial" w:cs="Arial"/>
          <w:noProof/>
          <w:szCs w:val="22"/>
        </w:rPr>
        <w:t xml:space="preserve"> informiranj</w:t>
      </w:r>
      <w:r>
        <w:rPr>
          <w:rFonts w:ascii="Arial" w:hAnsi="Arial" w:cs="Arial"/>
          <w:noProof/>
          <w:szCs w:val="22"/>
        </w:rPr>
        <w:t>em</w:t>
      </w:r>
      <w:r w:rsidRPr="00AF3FEE">
        <w:rPr>
          <w:rFonts w:ascii="Arial" w:hAnsi="Arial" w:cs="Arial"/>
          <w:noProof/>
          <w:szCs w:val="22"/>
        </w:rPr>
        <w:t xml:space="preserve"> </w:t>
      </w:r>
      <w:r w:rsidR="00AF3FEE" w:rsidRPr="00AF3FEE">
        <w:rPr>
          <w:rFonts w:ascii="Arial" w:hAnsi="Arial" w:cs="Arial"/>
          <w:noProof/>
          <w:szCs w:val="22"/>
        </w:rPr>
        <w:t xml:space="preserve">in </w:t>
      </w:r>
      <w:r w:rsidRPr="00AF3FEE">
        <w:rPr>
          <w:rFonts w:ascii="Arial" w:hAnsi="Arial" w:cs="Arial"/>
          <w:noProof/>
          <w:szCs w:val="22"/>
        </w:rPr>
        <w:t>ozaveščan</w:t>
      </w:r>
      <w:r>
        <w:rPr>
          <w:rFonts w:ascii="Arial" w:hAnsi="Arial" w:cs="Arial"/>
          <w:noProof/>
          <w:szCs w:val="22"/>
        </w:rPr>
        <w:t>jem</w:t>
      </w:r>
      <w:r w:rsidRPr="00AF3FEE">
        <w:rPr>
          <w:rFonts w:ascii="Arial" w:hAnsi="Arial" w:cs="Arial"/>
          <w:noProof/>
          <w:szCs w:val="22"/>
        </w:rPr>
        <w:t xml:space="preserve"> </w:t>
      </w:r>
      <w:r w:rsidR="00AF3FEE" w:rsidRPr="00AF3FEE">
        <w:rPr>
          <w:rFonts w:ascii="Arial" w:hAnsi="Arial" w:cs="Arial"/>
          <w:noProof/>
          <w:szCs w:val="22"/>
        </w:rPr>
        <w:t xml:space="preserve">ter </w:t>
      </w:r>
      <w:r w:rsidRPr="00AF3FEE">
        <w:rPr>
          <w:rFonts w:ascii="Arial" w:hAnsi="Arial" w:cs="Arial"/>
          <w:noProof/>
          <w:szCs w:val="22"/>
        </w:rPr>
        <w:t>vzpostavitv</w:t>
      </w:r>
      <w:r>
        <w:rPr>
          <w:rFonts w:ascii="Arial" w:hAnsi="Arial" w:cs="Arial"/>
          <w:noProof/>
          <w:szCs w:val="22"/>
        </w:rPr>
        <w:t xml:space="preserve">ijo </w:t>
      </w:r>
      <w:r w:rsidR="00AF3FEE" w:rsidRPr="00AF3FEE">
        <w:rPr>
          <w:rFonts w:ascii="Arial" w:hAnsi="Arial" w:cs="Arial"/>
          <w:noProof/>
          <w:szCs w:val="22"/>
        </w:rPr>
        <w:t xml:space="preserve">infrastrukturne mreže zbiranja </w:t>
      </w:r>
      <w:r w:rsidR="00E97171">
        <w:rPr>
          <w:rFonts w:ascii="Arial" w:hAnsi="Arial" w:cs="Arial"/>
          <w:noProof/>
          <w:szCs w:val="22"/>
        </w:rPr>
        <w:t>in</w:t>
      </w:r>
      <w:r w:rsidR="00E97171" w:rsidRPr="00AF3FEE">
        <w:rPr>
          <w:rFonts w:ascii="Arial" w:hAnsi="Arial" w:cs="Arial"/>
          <w:noProof/>
          <w:szCs w:val="22"/>
        </w:rPr>
        <w:t xml:space="preserve"> </w:t>
      </w:r>
      <w:r w:rsidR="00AF3FEE" w:rsidRPr="00AF3FEE">
        <w:rPr>
          <w:rFonts w:ascii="Arial" w:hAnsi="Arial" w:cs="Arial"/>
          <w:noProof/>
          <w:szCs w:val="22"/>
        </w:rPr>
        <w:t>priprave za ponovno uporabo;</w:t>
      </w:r>
    </w:p>
    <w:p w14:paraId="44A9942C" w14:textId="28B65D89"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reprečevanje nekaterih odpadkov iz plastike in proizvodov za enkratno uporabo s prepovedjo dajanja na trg, ureditvijo določb glede izdelave plastenk, določanjem ciljev zmanjšane potrošnje;</w:t>
      </w:r>
    </w:p>
    <w:p w14:paraId="38A62C62" w14:textId="65718C23"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reprečevanj</w:t>
      </w:r>
      <w:r w:rsidR="00E97171">
        <w:rPr>
          <w:rFonts w:ascii="Arial" w:hAnsi="Arial" w:cs="Arial"/>
          <w:noProof/>
          <w:szCs w:val="22"/>
        </w:rPr>
        <w:t>e</w:t>
      </w:r>
      <w:r w:rsidR="00AF3FEE" w:rsidRPr="00AF3FEE">
        <w:rPr>
          <w:rFonts w:ascii="Arial" w:hAnsi="Arial" w:cs="Arial"/>
          <w:noProof/>
          <w:szCs w:val="22"/>
        </w:rPr>
        <w:t xml:space="preserve"> kosovnih odpadkov s spodbudami za ponovno uporabo in omogočanjem priprave za ponovno uporabo, ozaveščanjem;</w:t>
      </w:r>
    </w:p>
    <w:p w14:paraId="5A01819E" w14:textId="13230B15"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reprečevanj</w:t>
      </w:r>
      <w:r w:rsidR="00E97171">
        <w:rPr>
          <w:rFonts w:ascii="Arial" w:hAnsi="Arial" w:cs="Arial"/>
          <w:noProof/>
          <w:szCs w:val="22"/>
        </w:rPr>
        <w:t>e</w:t>
      </w:r>
      <w:r w:rsidR="00AF3FEE" w:rsidRPr="00AF3FEE">
        <w:rPr>
          <w:rFonts w:ascii="Arial" w:hAnsi="Arial" w:cs="Arial"/>
          <w:noProof/>
          <w:szCs w:val="22"/>
        </w:rPr>
        <w:t xml:space="preserve"> tekstilnih odpadkov in odpadnih oblačil s promocijo ponovne rabe oblačil, spodbujanjem sodelovanja med akterji v verigi oblačil;</w:t>
      </w:r>
    </w:p>
    <w:p w14:paraId="06D67852" w14:textId="426CE3F2" w:rsidR="00AF3FEE" w:rsidRPr="00AF3FEE" w:rsidRDefault="000A119F" w:rsidP="00AF3FEE">
      <w:pPr>
        <w:pStyle w:val="TEKSTseznamKoncentriran"/>
        <w:ind w:left="714" w:hanging="357"/>
        <w:jc w:val="both"/>
        <w:rPr>
          <w:rFonts w:ascii="Arial" w:hAnsi="Arial" w:cs="Arial"/>
          <w:noProof/>
          <w:szCs w:val="22"/>
        </w:rPr>
      </w:pPr>
      <w:r>
        <w:rPr>
          <w:rFonts w:ascii="Arial" w:hAnsi="Arial" w:cs="Arial"/>
          <w:noProof/>
          <w:szCs w:val="22"/>
        </w:rPr>
        <w:t>p</w:t>
      </w:r>
      <w:r w:rsidR="00AF3FEE" w:rsidRPr="00AF3FEE">
        <w:rPr>
          <w:rFonts w:ascii="Arial" w:hAnsi="Arial" w:cs="Arial"/>
          <w:noProof/>
          <w:szCs w:val="22"/>
        </w:rPr>
        <w:t>reprečevanje odpadkov v javnem sektorju z evidentiranjem, podaljševanjem rabe izdelkov, ozaveščanjem, zelenim javnim naročanjem.</w:t>
      </w:r>
    </w:p>
    <w:p w14:paraId="6CD2A72C" w14:textId="77777777" w:rsidR="00AF3FEE" w:rsidRPr="00AF3FEE" w:rsidRDefault="00AF3FEE" w:rsidP="00AF3FEE">
      <w:pPr>
        <w:pStyle w:val="Heading41"/>
        <w:spacing w:after="0"/>
        <w:ind w:left="0" w:firstLine="0"/>
        <w:jc w:val="both"/>
        <w:rPr>
          <w:rFonts w:cs="Arial"/>
          <w:noProof/>
          <w:szCs w:val="22"/>
          <w:lang w:val="sl-SI"/>
        </w:rPr>
      </w:pPr>
      <w:bookmarkStart w:id="110" w:name="_Ref505329731"/>
      <w:r w:rsidRPr="00AF3FEE">
        <w:rPr>
          <w:rFonts w:cs="Arial"/>
          <w:noProof/>
          <w:szCs w:val="22"/>
          <w:lang w:val="sl-SI"/>
        </w:rPr>
        <w:lastRenderedPageBreak/>
        <w:t>Zajem odlagališčnega plina</w:t>
      </w:r>
      <w:bookmarkEnd w:id="110"/>
    </w:p>
    <w:p w14:paraId="68642477" w14:textId="6671810C" w:rsidR="00AF3FEE" w:rsidRPr="00AF3FEE" w:rsidRDefault="00AF3FEE" w:rsidP="00AF3FEE">
      <w:pPr>
        <w:pStyle w:val="Naslov-VplivUkrepa-Sektorji"/>
        <w:jc w:val="both"/>
        <w:rPr>
          <w:rStyle w:val="Tekst-VplivUkrepa-SektorjiCharChar"/>
          <w:rFonts w:ascii="Arial" w:hAnsi="Arial" w:cs="Arial"/>
          <w:b w:val="0"/>
          <w:noProof/>
          <w:szCs w:val="22"/>
        </w:rPr>
      </w:pPr>
      <w:r w:rsidRPr="001D43EB">
        <w:rPr>
          <w:rStyle w:val="Naslov-VplivUkrepa-SektorjiChar"/>
          <w:rFonts w:ascii="Arial" w:hAnsi="Arial" w:cs="Arial"/>
          <w:b/>
          <w:szCs w:val="22"/>
        </w:rPr>
        <w:t xml:space="preserve">Sektorji, na katere </w:t>
      </w:r>
      <w:r w:rsidR="001D43EB" w:rsidRPr="001D43EB">
        <w:rPr>
          <w:rStyle w:val="Naslov-VplivUkrepa-SektorjiChar"/>
          <w:rFonts w:ascii="Arial" w:hAnsi="Arial" w:cs="Arial"/>
          <w:b/>
          <w:szCs w:val="22"/>
        </w:rPr>
        <w:t xml:space="preserve">vpliva </w:t>
      </w:r>
      <w:r w:rsidRPr="001D43EB">
        <w:rPr>
          <w:rStyle w:val="Naslov-VplivUkrepa-SektorjiChar"/>
          <w:rFonts w:ascii="Arial" w:hAnsi="Arial" w:cs="Arial"/>
          <w:b/>
          <w:szCs w:val="22"/>
        </w:rPr>
        <w:t>izvajanje ukrepa</w:t>
      </w:r>
      <w:r w:rsidRPr="00AF3FEE">
        <w:rPr>
          <w:rStyle w:val="Naslov-VplivUkrepa-SektorjiChar"/>
          <w:rFonts w:ascii="Arial" w:hAnsi="Arial" w:cs="Arial"/>
          <w:szCs w:val="22"/>
        </w:rPr>
        <w:t>:</w:t>
      </w:r>
      <w:r w:rsidRPr="00AF3FEE">
        <w:rPr>
          <w:rStyle w:val="Tekst-VplivUkrepa-SektorjiCharChar"/>
          <w:rFonts w:ascii="Arial" w:hAnsi="Arial" w:cs="Arial"/>
          <w:szCs w:val="22"/>
        </w:rPr>
        <w:t xml:space="preserve"> </w:t>
      </w:r>
      <w:r w:rsidRPr="0038553C">
        <w:rPr>
          <w:rStyle w:val="Tekst-VplivUkrepa-SektorjiCharChar"/>
          <w:rFonts w:ascii="Arial" w:hAnsi="Arial" w:cs="Arial"/>
          <w:b w:val="0"/>
          <w:i w:val="0"/>
          <w:iCs/>
          <w:szCs w:val="22"/>
        </w:rPr>
        <w:t>ravnanje z odpadki</w:t>
      </w:r>
      <w:r w:rsidR="00E97171">
        <w:rPr>
          <w:rStyle w:val="Tekst-VplivUkrepa-SektorjiCharChar"/>
          <w:rFonts w:ascii="Arial" w:hAnsi="Arial" w:cs="Arial"/>
          <w:b w:val="0"/>
          <w:i w:val="0"/>
          <w:iCs/>
          <w:szCs w:val="22"/>
        </w:rPr>
        <w:t>.</w:t>
      </w:r>
    </w:p>
    <w:p w14:paraId="64D7CF35" w14:textId="2B7083CD" w:rsidR="00AF3FEE" w:rsidRPr="00AF3FEE" w:rsidRDefault="00AF3FEE" w:rsidP="00AF3FEE">
      <w:pPr>
        <w:pStyle w:val="BodyText"/>
        <w:rPr>
          <w:rFonts w:ascii="Arial" w:hAnsi="Arial" w:cs="Arial"/>
          <w:noProof/>
          <w:szCs w:val="22"/>
        </w:rPr>
      </w:pPr>
      <w:r w:rsidRPr="00AF3FEE">
        <w:rPr>
          <w:rFonts w:ascii="Arial" w:hAnsi="Arial" w:cs="Arial"/>
          <w:noProof/>
          <w:szCs w:val="22"/>
        </w:rPr>
        <w:t xml:space="preserve">Zajem odlagališčnega plina so morali vsi upravljavci na odlagališčih urediti do konca leta 2005. Leta 2021 je bilo zajetih 2,7 kt metana, kar </w:t>
      </w:r>
      <w:r w:rsidR="00BB579E">
        <w:rPr>
          <w:rFonts w:ascii="Arial" w:hAnsi="Arial" w:cs="Arial"/>
          <w:noProof/>
          <w:szCs w:val="22"/>
        </w:rPr>
        <w:t>je</w:t>
      </w:r>
      <w:r w:rsidR="00BB579E" w:rsidRPr="00AF3FEE">
        <w:rPr>
          <w:rFonts w:ascii="Arial" w:hAnsi="Arial" w:cs="Arial"/>
          <w:noProof/>
          <w:szCs w:val="22"/>
        </w:rPr>
        <w:t xml:space="preserve"> </w:t>
      </w:r>
      <w:r w:rsidRPr="00AF3FEE">
        <w:rPr>
          <w:rFonts w:ascii="Arial" w:hAnsi="Arial" w:cs="Arial"/>
          <w:noProof/>
          <w:szCs w:val="22"/>
        </w:rPr>
        <w:t xml:space="preserve">25 % nastalega metana na odlagališčih. Večina odlagališčnega plina se porabi za proizvodnjo električne energije. </w:t>
      </w:r>
    </w:p>
    <w:p w14:paraId="46350643" w14:textId="167D0C2B" w:rsidR="00AF3FEE" w:rsidRPr="00AF3FEE" w:rsidRDefault="00AF3FEE" w:rsidP="00AF3FEE">
      <w:pPr>
        <w:pStyle w:val="Heading41"/>
        <w:spacing w:after="0"/>
        <w:ind w:left="0" w:firstLine="0"/>
        <w:jc w:val="both"/>
        <w:rPr>
          <w:rFonts w:cs="Arial"/>
          <w:szCs w:val="22"/>
        </w:rPr>
      </w:pPr>
      <w:bookmarkStart w:id="111" w:name="OLE_LINK4"/>
      <w:r w:rsidRPr="00AF3FEE">
        <w:rPr>
          <w:rFonts w:cs="Arial"/>
          <w:szCs w:val="22"/>
        </w:rPr>
        <w:t>Zmanjšanje koli</w:t>
      </w:r>
      <w:r w:rsidR="00E97171">
        <w:rPr>
          <w:rFonts w:cs="Arial"/>
          <w:szCs w:val="22"/>
        </w:rPr>
        <w:t>č</w:t>
      </w:r>
      <w:r w:rsidRPr="00AF3FEE">
        <w:rPr>
          <w:rFonts w:cs="Arial"/>
          <w:szCs w:val="22"/>
        </w:rPr>
        <w:t>ine odloženih biorazgradljivih odpadkov</w:t>
      </w:r>
    </w:p>
    <w:bookmarkEnd w:id="111"/>
    <w:p w14:paraId="7B3E024A" w14:textId="3F0D36E4" w:rsidR="00AF3FEE" w:rsidRPr="00AF3FEE" w:rsidRDefault="00AF3FEE" w:rsidP="00AF3FEE">
      <w:pPr>
        <w:pStyle w:val="Naslov-VplivUkrepa-Sektorji"/>
        <w:jc w:val="both"/>
        <w:rPr>
          <w:rStyle w:val="Tekst-VplivUkrepa-SektorjiCharChar"/>
          <w:rFonts w:ascii="Arial" w:hAnsi="Arial" w:cs="Arial"/>
          <w:b w:val="0"/>
          <w:noProof/>
          <w:szCs w:val="22"/>
        </w:rPr>
      </w:pPr>
      <w:r w:rsidRPr="001D43EB">
        <w:rPr>
          <w:rStyle w:val="Naslov-VplivUkrepa-SektorjiChar"/>
          <w:rFonts w:ascii="Arial" w:hAnsi="Arial" w:cs="Arial"/>
          <w:b/>
          <w:szCs w:val="22"/>
        </w:rPr>
        <w:t xml:space="preserve">Sektorji, na katere </w:t>
      </w:r>
      <w:r w:rsidR="001D43EB" w:rsidRPr="001D43EB">
        <w:rPr>
          <w:rStyle w:val="Naslov-VplivUkrepa-SektorjiChar"/>
          <w:rFonts w:ascii="Arial" w:hAnsi="Arial" w:cs="Arial"/>
          <w:b/>
          <w:szCs w:val="22"/>
        </w:rPr>
        <w:t xml:space="preserve">vpliva </w:t>
      </w:r>
      <w:r w:rsidRPr="001D43EB">
        <w:rPr>
          <w:rStyle w:val="Naslov-VplivUkrepa-SektorjiChar"/>
          <w:rFonts w:ascii="Arial" w:hAnsi="Arial" w:cs="Arial"/>
          <w:b/>
          <w:szCs w:val="22"/>
        </w:rPr>
        <w:t>izvajanje ukrepa</w:t>
      </w:r>
      <w:r w:rsidRPr="00AF3FEE">
        <w:rPr>
          <w:rStyle w:val="Naslov-VplivUkrepa-SektorjiChar"/>
          <w:rFonts w:ascii="Arial" w:hAnsi="Arial" w:cs="Arial"/>
          <w:szCs w:val="22"/>
        </w:rPr>
        <w:t>:</w:t>
      </w:r>
      <w:r w:rsidRPr="00AF3FEE">
        <w:rPr>
          <w:rStyle w:val="Tekst-VplivUkrepa-SektorjiCharChar"/>
          <w:rFonts w:ascii="Arial" w:hAnsi="Arial" w:cs="Arial"/>
          <w:szCs w:val="22"/>
        </w:rPr>
        <w:t xml:space="preserve"> </w:t>
      </w:r>
      <w:r w:rsidRPr="0038553C">
        <w:rPr>
          <w:rStyle w:val="Tekst-VplivUkrepa-SektorjiCharChar"/>
          <w:rFonts w:ascii="Arial" w:hAnsi="Arial" w:cs="Arial"/>
          <w:b w:val="0"/>
          <w:i w:val="0"/>
          <w:iCs/>
          <w:szCs w:val="22"/>
        </w:rPr>
        <w:t>ravnanje z odpadki</w:t>
      </w:r>
      <w:r w:rsidR="00E97171">
        <w:rPr>
          <w:rStyle w:val="Tekst-VplivUkrepa-SektorjiCharChar"/>
          <w:rFonts w:ascii="Arial" w:hAnsi="Arial" w:cs="Arial"/>
          <w:b w:val="0"/>
          <w:i w:val="0"/>
          <w:iCs/>
          <w:szCs w:val="22"/>
        </w:rPr>
        <w:t>.</w:t>
      </w:r>
    </w:p>
    <w:p w14:paraId="14EADBCE" w14:textId="78FFA510" w:rsidR="00AF3FEE" w:rsidRPr="00AF3FEE" w:rsidRDefault="00AF3FEE" w:rsidP="00AF3FEE">
      <w:pPr>
        <w:pStyle w:val="BodyText"/>
        <w:rPr>
          <w:rFonts w:ascii="Arial" w:hAnsi="Arial" w:cs="Arial"/>
          <w:szCs w:val="22"/>
        </w:rPr>
      </w:pPr>
      <w:bookmarkStart w:id="112" w:name="OLE_LINK5"/>
      <w:r w:rsidRPr="00AF3FEE">
        <w:rPr>
          <w:rFonts w:ascii="Arial" w:hAnsi="Arial" w:cs="Arial"/>
          <w:szCs w:val="22"/>
        </w:rPr>
        <w:t xml:space="preserve">Do leta 2016 so morala vsa odlagališča </w:t>
      </w:r>
      <w:r w:rsidR="00BB579E">
        <w:rPr>
          <w:rFonts w:ascii="Arial" w:hAnsi="Arial" w:cs="Arial"/>
          <w:szCs w:val="22"/>
        </w:rPr>
        <w:t>v skladu</w:t>
      </w:r>
      <w:r w:rsidR="00BB579E" w:rsidRPr="00AF3FEE">
        <w:rPr>
          <w:rFonts w:ascii="Arial" w:hAnsi="Arial" w:cs="Arial"/>
          <w:szCs w:val="22"/>
        </w:rPr>
        <w:t xml:space="preserve"> </w:t>
      </w:r>
      <w:r w:rsidRPr="00AF3FEE">
        <w:rPr>
          <w:rFonts w:ascii="Arial" w:hAnsi="Arial" w:cs="Arial"/>
          <w:szCs w:val="22"/>
        </w:rPr>
        <w:t>z Uredbo o odlagališčih odpadkov uvesti tehnologije za izboljšano obdelavo komunalnih odpadkov</w:t>
      </w:r>
      <w:bookmarkEnd w:id="112"/>
      <w:r w:rsidRPr="00AF3FEE">
        <w:rPr>
          <w:rFonts w:ascii="Arial" w:hAnsi="Arial" w:cs="Arial"/>
          <w:szCs w:val="22"/>
        </w:rPr>
        <w:t xml:space="preserve">, vključno s stabilizacijo biorazgradljivih odpadkov. Z izvedbo tega ukrepa so se bistveno znižale količine biorazgradljivih odpadkov na odlagališčih in s tem emisije metana. </w:t>
      </w:r>
    </w:p>
    <w:p w14:paraId="10FF1853" w14:textId="77777777" w:rsidR="00AF3FEE" w:rsidRPr="00AF3FEE" w:rsidRDefault="00AF3FEE" w:rsidP="00AF3FEE">
      <w:pPr>
        <w:pStyle w:val="Heading41"/>
        <w:spacing w:after="0"/>
        <w:ind w:left="0" w:firstLine="0"/>
        <w:jc w:val="both"/>
        <w:rPr>
          <w:rFonts w:cs="Arial"/>
          <w:noProof/>
          <w:szCs w:val="22"/>
          <w:lang w:val="sl-SI"/>
        </w:rPr>
      </w:pPr>
      <w:bookmarkStart w:id="113" w:name="_Ref121409161"/>
      <w:r w:rsidRPr="00AF3FEE">
        <w:rPr>
          <w:rFonts w:cs="Arial"/>
          <w:noProof/>
          <w:szCs w:val="22"/>
          <w:lang w:val="sl-SI"/>
        </w:rPr>
        <w:t>Ureditev ravnanja s komunalnimi vodami</w:t>
      </w:r>
      <w:bookmarkEnd w:id="113"/>
    </w:p>
    <w:p w14:paraId="2554DB41" w14:textId="22EB8464" w:rsidR="00AF3FEE" w:rsidRPr="00AF3FEE" w:rsidRDefault="00AF3FEE" w:rsidP="00AF3FEE">
      <w:pPr>
        <w:pStyle w:val="Naslov-VplivUkrepa-Sektorji"/>
        <w:jc w:val="both"/>
        <w:rPr>
          <w:rStyle w:val="Tekst-VplivUkrepa-SektorjiCharChar"/>
          <w:rFonts w:ascii="Arial" w:hAnsi="Arial" w:cs="Arial"/>
          <w:b w:val="0"/>
          <w:noProof/>
          <w:szCs w:val="22"/>
        </w:rPr>
      </w:pPr>
      <w:r w:rsidRPr="001D43EB">
        <w:rPr>
          <w:rStyle w:val="Naslov-VplivUkrepa-SektorjiChar"/>
          <w:rFonts w:ascii="Arial" w:hAnsi="Arial" w:cs="Arial"/>
          <w:b/>
          <w:szCs w:val="22"/>
        </w:rPr>
        <w:t xml:space="preserve">Sektorji, na katere </w:t>
      </w:r>
      <w:r w:rsidR="001D43EB" w:rsidRPr="001D43EB">
        <w:rPr>
          <w:rStyle w:val="Naslov-VplivUkrepa-SektorjiChar"/>
          <w:rFonts w:ascii="Arial" w:hAnsi="Arial" w:cs="Arial"/>
          <w:b/>
          <w:szCs w:val="22"/>
        </w:rPr>
        <w:t>vpliva</w:t>
      </w:r>
      <w:r w:rsidR="001D43EB" w:rsidRPr="003072DB">
        <w:rPr>
          <w:rStyle w:val="Naslov-VplivUkrepa-SektorjiChar"/>
          <w:rFonts w:ascii="Arial" w:hAnsi="Arial" w:cs="Arial"/>
          <w:b/>
          <w:szCs w:val="22"/>
        </w:rPr>
        <w:t xml:space="preserve"> </w:t>
      </w:r>
      <w:r w:rsidRPr="003072DB">
        <w:rPr>
          <w:rStyle w:val="Naslov-VplivUkrepa-SektorjiChar"/>
          <w:rFonts w:ascii="Arial" w:hAnsi="Arial" w:cs="Arial"/>
          <w:b/>
          <w:szCs w:val="22"/>
        </w:rPr>
        <w:t>izvajanje ukrepa</w:t>
      </w:r>
      <w:r w:rsidRPr="00AF3FEE">
        <w:rPr>
          <w:rStyle w:val="Naslov-VplivUkrepa-SektorjiChar"/>
          <w:rFonts w:ascii="Arial" w:hAnsi="Arial" w:cs="Arial"/>
          <w:szCs w:val="22"/>
        </w:rPr>
        <w:t>:</w:t>
      </w:r>
      <w:r w:rsidRPr="00AF3FEE">
        <w:rPr>
          <w:rStyle w:val="Tekst-VplivUkrepa-SektorjiCharChar"/>
          <w:rFonts w:ascii="Arial" w:hAnsi="Arial" w:cs="Arial"/>
          <w:szCs w:val="22"/>
        </w:rPr>
        <w:t xml:space="preserve"> </w:t>
      </w:r>
      <w:r w:rsidRPr="0038553C">
        <w:rPr>
          <w:rStyle w:val="Tekst-VplivUkrepa-SektorjiCharChar"/>
          <w:rFonts w:ascii="Arial" w:hAnsi="Arial" w:cs="Arial"/>
          <w:b w:val="0"/>
          <w:i w:val="0"/>
          <w:iCs/>
          <w:szCs w:val="22"/>
        </w:rPr>
        <w:t>ravnanje z odpadki</w:t>
      </w:r>
      <w:r w:rsidR="00E97171">
        <w:rPr>
          <w:rStyle w:val="Tekst-VplivUkrepa-SektorjiCharChar"/>
          <w:rFonts w:ascii="Arial" w:hAnsi="Arial" w:cs="Arial"/>
          <w:b w:val="0"/>
          <w:i w:val="0"/>
          <w:iCs/>
          <w:szCs w:val="22"/>
        </w:rPr>
        <w:t>.</w:t>
      </w:r>
    </w:p>
    <w:p w14:paraId="436C21CF" w14:textId="3081A88B" w:rsidR="00AF3FEE" w:rsidRPr="00AF3FEE" w:rsidRDefault="00AF3FEE" w:rsidP="00AF3FEE">
      <w:pPr>
        <w:pStyle w:val="BodyText"/>
        <w:rPr>
          <w:rFonts w:ascii="Arial" w:hAnsi="Arial" w:cs="Arial"/>
          <w:szCs w:val="22"/>
        </w:rPr>
      </w:pPr>
      <w:r w:rsidRPr="00AF3FEE">
        <w:rPr>
          <w:rFonts w:ascii="Arial" w:hAnsi="Arial" w:cs="Arial"/>
          <w:noProof/>
          <w:szCs w:val="22"/>
        </w:rPr>
        <w:t xml:space="preserve">K ureditvi ravnanja s komunalnimi odpadnimi vodami Slovenijo zavezuje Direktiva 91/271/EGS o čiščenju komunalnih odpadnih voda. Republika Slovenija je v ta namen leta 2020 sprejela Operativni program odvajanja in čiščenja komunalne odpadne vode (v </w:t>
      </w:r>
      <w:r w:rsidR="00791C35" w:rsidRPr="00AF3FEE">
        <w:rPr>
          <w:rFonts w:ascii="Arial" w:hAnsi="Arial" w:cs="Arial"/>
          <w:noProof/>
          <w:szCs w:val="22"/>
        </w:rPr>
        <w:t>nadalj</w:t>
      </w:r>
      <w:r w:rsidR="00791C35">
        <w:rPr>
          <w:rFonts w:ascii="Arial" w:hAnsi="Arial" w:cs="Arial"/>
          <w:noProof/>
          <w:szCs w:val="22"/>
        </w:rPr>
        <w:t>njem besedil</w:t>
      </w:r>
      <w:r w:rsidR="00791C35" w:rsidRPr="00AF3FEE">
        <w:rPr>
          <w:rFonts w:ascii="Arial" w:hAnsi="Arial" w:cs="Arial"/>
          <w:noProof/>
          <w:szCs w:val="22"/>
        </w:rPr>
        <w:t>u</w:t>
      </w:r>
      <w:r w:rsidRPr="00AF3FEE">
        <w:rPr>
          <w:rFonts w:ascii="Arial" w:hAnsi="Arial" w:cs="Arial"/>
          <w:noProof/>
          <w:szCs w:val="22"/>
        </w:rPr>
        <w:t xml:space="preserve">: </w:t>
      </w:r>
      <w:r w:rsidR="00791C35">
        <w:rPr>
          <w:rFonts w:ascii="Arial" w:hAnsi="Arial" w:cs="Arial"/>
          <w:noProof/>
          <w:szCs w:val="22"/>
        </w:rPr>
        <w:t>o</w:t>
      </w:r>
      <w:r w:rsidRPr="00AF3FEE">
        <w:rPr>
          <w:rFonts w:ascii="Arial" w:hAnsi="Arial" w:cs="Arial"/>
          <w:noProof/>
          <w:szCs w:val="22"/>
        </w:rPr>
        <w:t>perativni program). Operativni program je eden od ključnih izvedbenih aktov za doseganje ciljev na področju varstva voda pred onesnaženjem z odvajanjem komunalne odpadne vode. Operativni program določa ukrepe za izpolnjevanje zahtev glede opremljenosti oziroma izboljšanje stopnje opremljenosti z infrastrukturo za odvajanje in čiščenje komunalne odpadne vode. To pomeni</w:t>
      </w:r>
      <w:r w:rsidR="00791C35">
        <w:rPr>
          <w:rFonts w:ascii="Arial" w:hAnsi="Arial" w:cs="Arial"/>
          <w:noProof/>
          <w:szCs w:val="22"/>
        </w:rPr>
        <w:t>,</w:t>
      </w:r>
      <w:r w:rsidRPr="00AF3FEE">
        <w:rPr>
          <w:rFonts w:ascii="Arial" w:hAnsi="Arial" w:cs="Arial"/>
          <w:noProof/>
          <w:szCs w:val="22"/>
        </w:rPr>
        <w:t xml:space="preserve"> da bo izvajanje programa pripomoglo k postopnemu povečevanju priključenosti prebivalstva na dobro upravljane javne kanalizacijske sisteme</w:t>
      </w:r>
      <w:r w:rsidR="00791C35">
        <w:rPr>
          <w:rFonts w:ascii="Arial" w:hAnsi="Arial" w:cs="Arial"/>
          <w:noProof/>
          <w:szCs w:val="22"/>
        </w:rPr>
        <w:t>,</w:t>
      </w:r>
      <w:r w:rsidRPr="00AF3FEE">
        <w:rPr>
          <w:rFonts w:ascii="Arial" w:hAnsi="Arial" w:cs="Arial"/>
          <w:noProof/>
          <w:szCs w:val="22"/>
        </w:rPr>
        <w:t xml:space="preserve"> s čimer se bo zmanjšalo število greznic</w:t>
      </w:r>
      <w:r w:rsidR="00791C35">
        <w:rPr>
          <w:rFonts w:ascii="Arial" w:hAnsi="Arial" w:cs="Arial"/>
          <w:noProof/>
          <w:szCs w:val="22"/>
        </w:rPr>
        <w:t>,</w:t>
      </w:r>
      <w:r w:rsidRPr="00AF3FEE">
        <w:rPr>
          <w:rFonts w:ascii="Arial" w:hAnsi="Arial" w:cs="Arial"/>
          <w:noProof/>
          <w:szCs w:val="22"/>
        </w:rPr>
        <w:t xml:space="preserve"> ter</w:t>
      </w:r>
      <w:r w:rsidR="00791C35">
        <w:rPr>
          <w:rFonts w:ascii="Arial" w:hAnsi="Arial" w:cs="Arial"/>
          <w:noProof/>
          <w:szCs w:val="22"/>
        </w:rPr>
        <w:t xml:space="preserve"> k</w:t>
      </w:r>
      <w:r w:rsidRPr="00AF3FEE">
        <w:rPr>
          <w:rFonts w:ascii="Arial" w:hAnsi="Arial" w:cs="Arial"/>
          <w:noProof/>
          <w:szCs w:val="22"/>
        </w:rPr>
        <w:t xml:space="preserve"> izboljšanju in nadgradnji čistilnih naprav. Končni cilj ukrepov je, da se večina odpadnih komunalnih vod</w:t>
      </w:r>
      <w:r w:rsidR="00791C35">
        <w:rPr>
          <w:rFonts w:ascii="Arial" w:hAnsi="Arial" w:cs="Arial"/>
          <w:noProof/>
          <w:szCs w:val="22"/>
        </w:rPr>
        <w:t>a</w:t>
      </w:r>
      <w:r w:rsidRPr="00AF3FEE">
        <w:rPr>
          <w:rFonts w:ascii="Arial" w:hAnsi="Arial" w:cs="Arial"/>
          <w:noProof/>
          <w:szCs w:val="22"/>
        </w:rPr>
        <w:t xml:space="preserve"> zbere in pravilno obdela v komunalnih čistilnih napravah</w:t>
      </w:r>
      <w:r w:rsidR="00E97171">
        <w:rPr>
          <w:rFonts w:ascii="Arial" w:hAnsi="Arial" w:cs="Arial"/>
          <w:noProof/>
          <w:szCs w:val="22"/>
        </w:rPr>
        <w:t>;</w:t>
      </w:r>
      <w:r w:rsidRPr="00AF3FEE">
        <w:rPr>
          <w:rFonts w:ascii="Arial" w:hAnsi="Arial" w:cs="Arial"/>
          <w:noProof/>
          <w:szCs w:val="22"/>
        </w:rPr>
        <w:t xml:space="preserve"> </w:t>
      </w:r>
      <w:r w:rsidR="00E97171">
        <w:rPr>
          <w:rFonts w:ascii="Arial" w:hAnsi="Arial" w:cs="Arial"/>
          <w:noProof/>
          <w:szCs w:val="22"/>
        </w:rPr>
        <w:t xml:space="preserve">tu </w:t>
      </w:r>
      <w:r w:rsidRPr="00AF3FEE">
        <w:rPr>
          <w:rFonts w:ascii="Arial" w:hAnsi="Arial" w:cs="Arial"/>
          <w:noProof/>
          <w:szCs w:val="22"/>
        </w:rPr>
        <w:t xml:space="preserve">se zajame ves metan, ki nastaja pri obdelavi odpadne komunalne vode, </w:t>
      </w:r>
      <w:r w:rsidR="00E97171">
        <w:rPr>
          <w:rFonts w:ascii="Arial" w:hAnsi="Arial" w:cs="Arial"/>
          <w:noProof/>
          <w:szCs w:val="22"/>
        </w:rPr>
        <w:t>in</w:t>
      </w:r>
      <w:r w:rsidR="00E97171" w:rsidRPr="00AF3FEE">
        <w:rPr>
          <w:rFonts w:ascii="Arial" w:hAnsi="Arial" w:cs="Arial"/>
          <w:noProof/>
          <w:szCs w:val="22"/>
        </w:rPr>
        <w:t xml:space="preserve"> </w:t>
      </w:r>
      <w:r w:rsidRPr="00AF3FEE">
        <w:rPr>
          <w:rFonts w:ascii="Arial" w:hAnsi="Arial" w:cs="Arial"/>
          <w:noProof/>
          <w:szCs w:val="22"/>
        </w:rPr>
        <w:t>se nato uporabi v soproizvodnih napravah za proizvodnjo elektrike in toplote ali se sežge na bakli ali uporabi v druge namene.</w:t>
      </w:r>
    </w:p>
    <w:p w14:paraId="2659C9D5" w14:textId="77777777" w:rsidR="00AF3FEE" w:rsidRPr="00AF3FEE" w:rsidRDefault="00AF3FEE" w:rsidP="00AF3FEE">
      <w:pPr>
        <w:pStyle w:val="BodyText"/>
        <w:rPr>
          <w:rFonts w:ascii="Arial" w:hAnsi="Arial" w:cs="Arial"/>
          <w:szCs w:val="22"/>
        </w:rPr>
      </w:pPr>
    </w:p>
    <w:p w14:paraId="5DA0BCBB" w14:textId="77777777" w:rsidR="00AF3FEE" w:rsidRPr="00AF3FEE" w:rsidRDefault="00AF3FEE" w:rsidP="00AF3FEE">
      <w:pPr>
        <w:pStyle w:val="BodyText"/>
        <w:rPr>
          <w:rFonts w:ascii="Arial" w:hAnsi="Arial" w:cs="Arial"/>
          <w:szCs w:val="22"/>
        </w:rPr>
        <w:sectPr w:rsidR="00AF3FEE" w:rsidRPr="00AF3FEE" w:rsidSect="00AF3FEE">
          <w:headerReference w:type="even" r:id="rId33"/>
          <w:headerReference w:type="default" r:id="rId34"/>
          <w:footerReference w:type="even" r:id="rId35"/>
          <w:footerReference w:type="default" r:id="rId36"/>
          <w:headerReference w:type="first" r:id="rId37"/>
          <w:footerReference w:type="first" r:id="rId38"/>
          <w:pgSz w:w="11907" w:h="16840" w:code="9"/>
          <w:pgMar w:top="1417" w:right="1417" w:bottom="1417" w:left="1417" w:header="709" w:footer="709" w:gutter="0"/>
          <w:cols w:space="708"/>
          <w:docGrid w:linePitch="360"/>
        </w:sectPr>
      </w:pPr>
    </w:p>
    <w:p w14:paraId="7A752F4A" w14:textId="25365A79" w:rsidR="00AF3FEE" w:rsidRPr="00AF3FEE" w:rsidRDefault="00AF3FEE" w:rsidP="00AF3FEE">
      <w:pPr>
        <w:pStyle w:val="Caption"/>
        <w:jc w:val="both"/>
        <w:rPr>
          <w:rFonts w:ascii="Arial" w:hAnsi="Arial" w:cs="Arial"/>
          <w:szCs w:val="22"/>
        </w:rPr>
      </w:pPr>
    </w:p>
    <w:tbl>
      <w:tblPr>
        <w:tblW w:w="14838" w:type="dxa"/>
        <w:tblInd w:w="-436" w:type="dxa"/>
        <w:tblLayout w:type="fixed"/>
        <w:tblLook w:val="01E0" w:firstRow="1" w:lastRow="1" w:firstColumn="1" w:lastColumn="1" w:noHBand="0" w:noVBand="0"/>
      </w:tblPr>
      <w:tblGrid>
        <w:gridCol w:w="708"/>
        <w:gridCol w:w="1702"/>
        <w:gridCol w:w="2048"/>
        <w:gridCol w:w="1873"/>
        <w:gridCol w:w="928"/>
        <w:gridCol w:w="1231"/>
        <w:gridCol w:w="1008"/>
        <w:gridCol w:w="958"/>
        <w:gridCol w:w="813"/>
        <w:gridCol w:w="919"/>
        <w:gridCol w:w="992"/>
        <w:gridCol w:w="857"/>
        <w:gridCol w:w="775"/>
        <w:gridCol w:w="26"/>
      </w:tblGrid>
      <w:tr w:rsidR="00AF3FEE" w:rsidRPr="00AF3FEE" w14:paraId="7A020C3D" w14:textId="77777777" w:rsidTr="00465193">
        <w:trPr>
          <w:gridAfter w:val="1"/>
          <w:wAfter w:w="26" w:type="dxa"/>
          <w:tblHeader/>
        </w:trPr>
        <w:tc>
          <w:tcPr>
            <w:tcW w:w="708"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7CA4368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ID</w:t>
            </w:r>
          </w:p>
        </w:tc>
        <w:tc>
          <w:tcPr>
            <w:tcW w:w="1702"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42CC8A45"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Ime ukrepa</w:t>
            </w:r>
          </w:p>
        </w:tc>
        <w:tc>
          <w:tcPr>
            <w:tcW w:w="2048"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3BE15FF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Kratek opis</w:t>
            </w:r>
          </w:p>
        </w:tc>
        <w:tc>
          <w:tcPr>
            <w:tcW w:w="1873"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502A8973" w14:textId="7D78298E"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Cilj(i)</w:t>
            </w:r>
          </w:p>
        </w:tc>
        <w:tc>
          <w:tcPr>
            <w:tcW w:w="928"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0AE7E602"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Plin, na katerega vpliva</w:t>
            </w:r>
          </w:p>
        </w:tc>
        <w:tc>
          <w:tcPr>
            <w:tcW w:w="1231"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7D6F9D69"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 xml:space="preserve">Tip ukrepa </w:t>
            </w:r>
            <w:r w:rsidRPr="00654A0B">
              <w:rPr>
                <w:rFonts w:ascii="Arial" w:eastAsia="Tahoma" w:hAnsi="Arial" w:cs="Arial"/>
                <w:noProof/>
                <w:sz w:val="18"/>
                <w:szCs w:val="18"/>
              </w:rPr>
              <w:br/>
            </w:r>
          </w:p>
        </w:tc>
        <w:tc>
          <w:tcPr>
            <w:tcW w:w="1008"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3DF6B84F"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Stanje izvajanja</w:t>
            </w:r>
            <w:r w:rsidRPr="00654A0B">
              <w:rPr>
                <w:rFonts w:ascii="Arial" w:eastAsia="Tahoma" w:hAnsi="Arial" w:cs="Arial"/>
                <w:noProof/>
                <w:sz w:val="18"/>
                <w:szCs w:val="18"/>
              </w:rPr>
              <w:br/>
            </w:r>
          </w:p>
        </w:tc>
        <w:tc>
          <w:tcPr>
            <w:tcW w:w="958"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3D098F9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Začetno leto izvajanja ukrepa</w:t>
            </w:r>
          </w:p>
        </w:tc>
        <w:tc>
          <w:tcPr>
            <w:tcW w:w="813"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32D61BA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Sektor (CRF)</w:t>
            </w:r>
          </w:p>
        </w:tc>
        <w:tc>
          <w:tcPr>
            <w:tcW w:w="919"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5AEF84F2"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Izvajalec</w:t>
            </w:r>
          </w:p>
        </w:tc>
        <w:tc>
          <w:tcPr>
            <w:tcW w:w="992" w:type="dxa"/>
            <w:tcBorders>
              <w:top w:val="single" w:sz="8" w:space="0" w:color="auto"/>
              <w:left w:val="single" w:sz="8" w:space="0" w:color="auto"/>
              <w:bottom w:val="single" w:sz="8" w:space="0" w:color="auto"/>
              <w:right w:val="single" w:sz="8" w:space="0" w:color="auto"/>
            </w:tcBorders>
            <w:shd w:val="clear" w:color="auto" w:fill="C1E4F5" w:themeFill="accent1" w:themeFillTint="33"/>
          </w:tcPr>
          <w:p w14:paraId="31CC295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Projekcija</w:t>
            </w:r>
          </w:p>
        </w:tc>
        <w:tc>
          <w:tcPr>
            <w:tcW w:w="857" w:type="dxa"/>
            <w:tcBorders>
              <w:top w:val="single" w:sz="8" w:space="0" w:color="auto"/>
              <w:left w:val="single" w:sz="8" w:space="0" w:color="auto"/>
              <w:bottom w:val="single" w:sz="8" w:space="0" w:color="auto"/>
              <w:right w:val="single" w:sz="8" w:space="0" w:color="auto"/>
            </w:tcBorders>
            <w:shd w:val="clear" w:color="auto" w:fill="C1E4F5" w:themeFill="accent1" w:themeFillTint="33"/>
            <w:vAlign w:val="center"/>
          </w:tcPr>
          <w:p w14:paraId="005B620D" w14:textId="792B9D88" w:rsidR="00AF3FEE" w:rsidRPr="00654A0B" w:rsidRDefault="00AF3FEE" w:rsidP="00180B45">
            <w:pPr>
              <w:spacing w:line="245" w:lineRule="auto"/>
              <w:jc w:val="both"/>
              <w:rPr>
                <w:rFonts w:ascii="Arial" w:hAnsi="Arial" w:cs="Arial"/>
                <w:noProof/>
                <w:sz w:val="18"/>
                <w:szCs w:val="18"/>
              </w:rPr>
            </w:pPr>
            <w:r w:rsidRPr="00654A0B">
              <w:rPr>
                <w:rFonts w:ascii="Arial" w:eastAsia="Tahoma" w:hAnsi="Arial" w:cs="Arial"/>
                <w:noProof/>
                <w:sz w:val="18"/>
                <w:szCs w:val="18"/>
              </w:rPr>
              <w:t xml:space="preserve">Učinek ukrepa [kt </w:t>
            </w:r>
            <w:r w:rsidR="00180B45" w:rsidRPr="00654A0B">
              <w:rPr>
                <w:rFonts w:ascii="Arial" w:eastAsia="Tahoma" w:hAnsi="Arial" w:cs="Arial"/>
                <w:noProof/>
                <w:sz w:val="18"/>
                <w:szCs w:val="18"/>
              </w:rPr>
              <w:t>ekv</w:t>
            </w:r>
            <w:r w:rsidR="00180B45">
              <w:rPr>
                <w:rFonts w:ascii="Arial" w:eastAsia="Tahoma" w:hAnsi="Arial" w:cs="Arial"/>
                <w:noProof/>
                <w:sz w:val="18"/>
                <w:szCs w:val="18"/>
              </w:rPr>
              <w:t>.</w:t>
            </w:r>
            <w:r w:rsidR="00180B45" w:rsidRPr="00654A0B">
              <w:rPr>
                <w:rFonts w:ascii="Arial" w:eastAsia="Tahoma" w:hAnsi="Arial" w:cs="Arial"/>
                <w:noProof/>
                <w:sz w:val="18"/>
                <w:szCs w:val="18"/>
              </w:rPr>
              <w:t xml:space="preserve"> </w:t>
            </w:r>
            <w:r w:rsidRPr="00654A0B">
              <w:rPr>
                <w:rFonts w:ascii="Arial" w:eastAsia="Tahoma" w:hAnsi="Arial" w:cs="Arial"/>
                <w:noProof/>
                <w:sz w:val="18"/>
                <w:szCs w:val="18"/>
              </w:rPr>
              <w:t>CO</w:t>
            </w:r>
            <w:r w:rsidRPr="00654A0B">
              <w:rPr>
                <w:rFonts w:ascii="Arial" w:eastAsia="Tahoma" w:hAnsi="Arial" w:cs="Arial"/>
                <w:noProof/>
                <w:sz w:val="18"/>
                <w:szCs w:val="18"/>
                <w:vertAlign w:val="subscript"/>
              </w:rPr>
              <w:t>2</w:t>
            </w:r>
            <w:r w:rsidRPr="00654A0B">
              <w:rPr>
                <w:rFonts w:ascii="Arial" w:eastAsia="Tahoma" w:hAnsi="Arial" w:cs="Arial"/>
                <w:noProof/>
                <w:sz w:val="18"/>
                <w:szCs w:val="18"/>
              </w:rPr>
              <w:t>]</w:t>
            </w:r>
          </w:p>
        </w:tc>
        <w:tc>
          <w:tcPr>
            <w:tcW w:w="775" w:type="dxa"/>
            <w:tcBorders>
              <w:top w:val="single" w:sz="8" w:space="0" w:color="auto"/>
              <w:left w:val="nil"/>
              <w:bottom w:val="single" w:sz="8" w:space="0" w:color="auto"/>
              <w:right w:val="single" w:sz="8" w:space="0" w:color="auto"/>
            </w:tcBorders>
            <w:shd w:val="clear" w:color="auto" w:fill="C1E4F5" w:themeFill="accent1" w:themeFillTint="33"/>
          </w:tcPr>
          <w:p w14:paraId="4CCD45F8"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Oznaka ukrepa v 8.NC</w:t>
            </w:r>
          </w:p>
        </w:tc>
      </w:tr>
      <w:tr w:rsidR="00AF3FEE" w:rsidRPr="00AF3FEE" w14:paraId="7E7C5B86" w14:textId="77777777" w:rsidTr="006D46D8">
        <w:tc>
          <w:tcPr>
            <w:tcW w:w="14838" w:type="dxa"/>
            <w:gridSpan w:val="14"/>
            <w:tcBorders>
              <w:top w:val="single" w:sz="8" w:space="0" w:color="auto"/>
              <w:left w:val="single" w:sz="8" w:space="0" w:color="auto"/>
              <w:bottom w:val="single" w:sz="8" w:space="0" w:color="auto"/>
              <w:right w:val="single" w:sz="8" w:space="0" w:color="auto"/>
            </w:tcBorders>
            <w:vAlign w:val="center"/>
          </w:tcPr>
          <w:p w14:paraId="3B9C83E2" w14:textId="77777777" w:rsidR="00AF3FEE" w:rsidRPr="00654A0B" w:rsidRDefault="00AF3FEE" w:rsidP="00AF3FEE">
            <w:pPr>
              <w:spacing w:line="245" w:lineRule="auto"/>
              <w:jc w:val="both"/>
              <w:rPr>
                <w:rFonts w:ascii="Arial" w:eastAsia="Tahoma" w:hAnsi="Arial" w:cs="Arial"/>
                <w:b/>
                <w:bCs/>
                <w:noProof/>
                <w:sz w:val="18"/>
                <w:szCs w:val="18"/>
              </w:rPr>
            </w:pPr>
            <w:r w:rsidRPr="00654A0B">
              <w:rPr>
                <w:rFonts w:ascii="Arial" w:eastAsia="Tahoma" w:hAnsi="Arial" w:cs="Arial"/>
                <w:b/>
                <w:bCs/>
                <w:noProof/>
                <w:sz w:val="18"/>
                <w:szCs w:val="18"/>
              </w:rPr>
              <w:t>VEČSEKTORSKI UKREPI</w:t>
            </w:r>
          </w:p>
        </w:tc>
      </w:tr>
      <w:tr w:rsidR="00AF3FEE" w:rsidRPr="00AF3FEE" w14:paraId="3B8C360B"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3D02F8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w:t>
            </w:r>
          </w:p>
        </w:tc>
        <w:tc>
          <w:tcPr>
            <w:tcW w:w="1702" w:type="dxa"/>
            <w:tcBorders>
              <w:top w:val="single" w:sz="8" w:space="0" w:color="auto"/>
              <w:left w:val="single" w:sz="8" w:space="0" w:color="auto"/>
              <w:bottom w:val="single" w:sz="8" w:space="0" w:color="auto"/>
              <w:right w:val="single" w:sz="8" w:space="0" w:color="auto"/>
            </w:tcBorders>
            <w:vAlign w:val="center"/>
          </w:tcPr>
          <w:p w14:paraId="64BAF2E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TRGOVANJE S PRAVICAMI DO EMISIJE TGP (EU ETS)</w:t>
            </w:r>
          </w:p>
        </w:tc>
        <w:tc>
          <w:tcPr>
            <w:tcW w:w="2048" w:type="dxa"/>
            <w:tcBorders>
              <w:top w:val="single" w:sz="8" w:space="0" w:color="auto"/>
              <w:left w:val="single" w:sz="8" w:space="0" w:color="auto"/>
              <w:bottom w:val="single" w:sz="8" w:space="0" w:color="auto"/>
              <w:right w:val="single" w:sz="8" w:space="0" w:color="auto"/>
            </w:tcBorders>
            <w:vAlign w:val="center"/>
          </w:tcPr>
          <w:p w14:paraId="7304701C" w14:textId="61E34AA9" w:rsidR="00AF3FEE" w:rsidRPr="00654A0B" w:rsidRDefault="00AF3FEE" w:rsidP="00C37086">
            <w:pPr>
              <w:spacing w:line="245" w:lineRule="auto"/>
              <w:jc w:val="both"/>
              <w:rPr>
                <w:rFonts w:ascii="Arial" w:hAnsi="Arial" w:cs="Arial"/>
                <w:sz w:val="18"/>
                <w:szCs w:val="18"/>
              </w:rPr>
            </w:pPr>
            <w:r w:rsidRPr="00654A0B">
              <w:rPr>
                <w:rFonts w:ascii="Arial" w:hAnsi="Arial" w:cs="Arial"/>
                <w:color w:val="000000"/>
                <w:sz w:val="18"/>
                <w:szCs w:val="18"/>
              </w:rPr>
              <w:t xml:space="preserve">Sistem trgovanja s pravicami do emisij TGP. Kvota emisij na </w:t>
            </w:r>
            <w:r w:rsidR="00C37086">
              <w:rPr>
                <w:rFonts w:ascii="Arial" w:hAnsi="Arial" w:cs="Arial"/>
                <w:color w:val="000000"/>
                <w:sz w:val="18"/>
                <w:szCs w:val="18"/>
              </w:rPr>
              <w:t xml:space="preserve">ravni </w:t>
            </w:r>
            <w:r w:rsidRPr="00654A0B">
              <w:rPr>
                <w:rFonts w:ascii="Arial" w:hAnsi="Arial" w:cs="Arial"/>
                <w:color w:val="000000"/>
                <w:sz w:val="18"/>
                <w:szCs w:val="18"/>
              </w:rPr>
              <w:t xml:space="preserve">EU se znižuje </w:t>
            </w:r>
            <w:r w:rsidR="00C37086">
              <w:rPr>
                <w:rFonts w:ascii="Arial" w:hAnsi="Arial" w:cs="Arial"/>
                <w:color w:val="000000"/>
                <w:sz w:val="18"/>
                <w:szCs w:val="18"/>
              </w:rPr>
              <w:t xml:space="preserve">v </w:t>
            </w:r>
            <w:r w:rsidR="00C37086" w:rsidRPr="00654A0B">
              <w:rPr>
                <w:rFonts w:ascii="Arial" w:hAnsi="Arial" w:cs="Arial"/>
                <w:color w:val="000000"/>
                <w:sz w:val="18"/>
                <w:szCs w:val="18"/>
              </w:rPr>
              <w:t>sklad</w:t>
            </w:r>
            <w:r w:rsidR="00C37086">
              <w:rPr>
                <w:rFonts w:ascii="Arial" w:hAnsi="Arial" w:cs="Arial"/>
                <w:color w:val="000000"/>
                <w:sz w:val="18"/>
                <w:szCs w:val="18"/>
              </w:rPr>
              <w:t>u</w:t>
            </w:r>
            <w:r w:rsidR="00C37086" w:rsidRPr="00654A0B">
              <w:rPr>
                <w:rFonts w:ascii="Arial" w:hAnsi="Arial" w:cs="Arial"/>
                <w:color w:val="000000"/>
                <w:sz w:val="18"/>
                <w:szCs w:val="18"/>
              </w:rPr>
              <w:t xml:space="preserve"> </w:t>
            </w:r>
            <w:r w:rsidRPr="00654A0B">
              <w:rPr>
                <w:rFonts w:ascii="Arial" w:hAnsi="Arial" w:cs="Arial"/>
                <w:color w:val="000000"/>
                <w:sz w:val="18"/>
                <w:szCs w:val="18"/>
              </w:rPr>
              <w:t>s trajektorijo EU</w:t>
            </w:r>
            <w:r w:rsidR="00E97171">
              <w:rPr>
                <w:rFonts w:ascii="Arial" w:hAnsi="Arial" w:cs="Arial"/>
                <w:color w:val="000000"/>
                <w:sz w:val="18"/>
                <w:szCs w:val="18"/>
              </w:rPr>
              <w:t>.</w:t>
            </w:r>
          </w:p>
        </w:tc>
        <w:tc>
          <w:tcPr>
            <w:tcW w:w="1873" w:type="dxa"/>
            <w:tcBorders>
              <w:top w:val="single" w:sz="8" w:space="0" w:color="auto"/>
              <w:left w:val="single" w:sz="8" w:space="0" w:color="auto"/>
              <w:bottom w:val="single" w:sz="8" w:space="0" w:color="auto"/>
              <w:right w:val="single" w:sz="8" w:space="0" w:color="auto"/>
            </w:tcBorders>
            <w:vAlign w:val="center"/>
          </w:tcPr>
          <w:p w14:paraId="0C4DE23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Znižanje emisij TGP v sektorjih, ki povzročajo visoke emisije TGP</w:t>
            </w:r>
          </w:p>
        </w:tc>
        <w:tc>
          <w:tcPr>
            <w:tcW w:w="928" w:type="dxa"/>
            <w:tcBorders>
              <w:top w:val="single" w:sz="8" w:space="0" w:color="auto"/>
              <w:left w:val="single" w:sz="8" w:space="0" w:color="auto"/>
              <w:bottom w:val="single" w:sz="8" w:space="0" w:color="auto"/>
              <w:right w:val="single" w:sz="8" w:space="0" w:color="auto"/>
            </w:tcBorders>
            <w:vAlign w:val="center"/>
          </w:tcPr>
          <w:p w14:paraId="22EC8EE2" w14:textId="77777777" w:rsidR="00AF3FEE" w:rsidRPr="00654A0B" w:rsidRDefault="00AF3FEE" w:rsidP="00AF3FEE">
            <w:pPr>
              <w:spacing w:line="245" w:lineRule="auto"/>
              <w:jc w:val="both"/>
              <w:rPr>
                <w:rFonts w:ascii="Arial" w:hAnsi="Arial" w:cs="Arial"/>
                <w:sz w:val="18"/>
                <w:szCs w:val="18"/>
                <w:vertAlign w:val="subscript"/>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68323656" w14:textId="67B42808"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Ekonomski, </w:t>
            </w:r>
            <w:r w:rsidR="004A7C53">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695B70F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7409608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2005</w:t>
            </w:r>
          </w:p>
        </w:tc>
        <w:tc>
          <w:tcPr>
            <w:tcW w:w="813" w:type="dxa"/>
            <w:tcBorders>
              <w:top w:val="single" w:sz="8" w:space="0" w:color="auto"/>
              <w:left w:val="single" w:sz="8" w:space="0" w:color="auto"/>
              <w:bottom w:val="single" w:sz="8" w:space="0" w:color="auto"/>
              <w:right w:val="single" w:sz="8" w:space="0" w:color="auto"/>
            </w:tcBorders>
            <w:vAlign w:val="center"/>
          </w:tcPr>
          <w:p w14:paraId="26C9597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1.A.1, 1.A.2, 2</w:t>
            </w:r>
          </w:p>
        </w:tc>
        <w:tc>
          <w:tcPr>
            <w:tcW w:w="919" w:type="dxa"/>
            <w:tcBorders>
              <w:top w:val="single" w:sz="8" w:space="0" w:color="auto"/>
              <w:left w:val="single" w:sz="8" w:space="0" w:color="auto"/>
              <w:bottom w:val="single" w:sz="8" w:space="0" w:color="auto"/>
              <w:right w:val="single" w:sz="8" w:space="0" w:color="auto"/>
            </w:tcBorders>
            <w:vAlign w:val="center"/>
          </w:tcPr>
          <w:p w14:paraId="1578E64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5A27A57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3E036E05" w14:textId="77777777" w:rsidR="00AF3FEE" w:rsidRPr="00654A0B" w:rsidRDefault="00AF3FEE" w:rsidP="00AF3FEE">
            <w:pPr>
              <w:spacing w:line="245" w:lineRule="auto"/>
              <w:jc w:val="both"/>
              <w:rPr>
                <w:rFonts w:ascii="Arial" w:eastAsia="Tahoma" w:hAnsi="Arial" w:cs="Arial"/>
                <w:noProof/>
                <w:sz w:val="18"/>
                <w:szCs w:val="18"/>
              </w:rPr>
            </w:pPr>
            <w:bookmarkStart w:id="114" w:name="RANGE!M4"/>
            <w:r w:rsidRPr="00654A0B">
              <w:rPr>
                <w:rFonts w:ascii="Arial" w:hAnsi="Arial" w:cs="Arial"/>
                <w:color w:val="000000"/>
                <w:sz w:val="18"/>
                <w:szCs w:val="18"/>
              </w:rPr>
              <w:t>NE</w:t>
            </w:r>
            <w:bookmarkEnd w:id="114"/>
          </w:p>
        </w:tc>
        <w:tc>
          <w:tcPr>
            <w:tcW w:w="775" w:type="dxa"/>
            <w:tcBorders>
              <w:top w:val="single" w:sz="8" w:space="0" w:color="auto"/>
              <w:left w:val="single" w:sz="8" w:space="0" w:color="auto"/>
              <w:bottom w:val="single" w:sz="8" w:space="0" w:color="auto"/>
              <w:right w:val="single" w:sz="8" w:space="0" w:color="auto"/>
            </w:tcBorders>
            <w:vAlign w:val="center"/>
          </w:tcPr>
          <w:p w14:paraId="24A07A9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w:t>
            </w:r>
          </w:p>
        </w:tc>
      </w:tr>
      <w:tr w:rsidR="00AF3FEE" w:rsidRPr="00AF3FEE" w14:paraId="2F04FB85"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D02248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p>
        </w:tc>
        <w:tc>
          <w:tcPr>
            <w:tcW w:w="1702" w:type="dxa"/>
            <w:tcBorders>
              <w:top w:val="single" w:sz="8" w:space="0" w:color="auto"/>
              <w:left w:val="single" w:sz="8" w:space="0" w:color="auto"/>
              <w:bottom w:val="single" w:sz="8" w:space="0" w:color="auto"/>
              <w:right w:val="single" w:sz="8" w:space="0" w:color="auto"/>
            </w:tcBorders>
            <w:vAlign w:val="center"/>
          </w:tcPr>
          <w:p w14:paraId="263F40E8" w14:textId="0570B7AA"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RAZŠIRITEV SISTEMA EU ETS (ETS2 OZ</w:t>
            </w:r>
            <w:r w:rsidR="004F2B0D">
              <w:rPr>
                <w:rFonts w:ascii="Arial" w:hAnsi="Arial" w:cs="Arial"/>
                <w:color w:val="000000"/>
                <w:sz w:val="18"/>
                <w:szCs w:val="18"/>
              </w:rPr>
              <w:t>IROMA</w:t>
            </w:r>
            <w:r w:rsidRPr="00654A0B">
              <w:rPr>
                <w:rFonts w:ascii="Arial" w:hAnsi="Arial" w:cs="Arial"/>
                <w:color w:val="000000"/>
                <w:sz w:val="18"/>
                <w:szCs w:val="18"/>
              </w:rPr>
              <w:t xml:space="preserve"> BRT)</w:t>
            </w:r>
          </w:p>
        </w:tc>
        <w:tc>
          <w:tcPr>
            <w:tcW w:w="2048" w:type="dxa"/>
            <w:tcBorders>
              <w:top w:val="single" w:sz="8" w:space="0" w:color="auto"/>
              <w:left w:val="single" w:sz="8" w:space="0" w:color="auto"/>
              <w:bottom w:val="single" w:sz="8" w:space="0" w:color="auto"/>
              <w:right w:val="single" w:sz="8" w:space="0" w:color="auto"/>
            </w:tcBorders>
            <w:vAlign w:val="center"/>
          </w:tcPr>
          <w:p w14:paraId="63A9C82A" w14:textId="3A9231D8"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Razširitev sistema trgovanja s pravicami do emisije TGP na sektorje zgorevanje goriv v stavbah (gospodinjstva in storitve), cestni promet ter rabo energije v industriji, ki ni vključena v ETS1</w:t>
            </w:r>
          </w:p>
        </w:tc>
        <w:tc>
          <w:tcPr>
            <w:tcW w:w="1873" w:type="dxa"/>
            <w:tcBorders>
              <w:top w:val="single" w:sz="8" w:space="0" w:color="auto"/>
              <w:left w:val="single" w:sz="8" w:space="0" w:color="auto"/>
              <w:bottom w:val="single" w:sz="8" w:space="0" w:color="auto"/>
              <w:right w:val="single" w:sz="8" w:space="0" w:color="auto"/>
            </w:tcBorders>
            <w:vAlign w:val="center"/>
          </w:tcPr>
          <w:p w14:paraId="0370E2D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Znižanje emisij TGP v sektorjih, ki povzročajo visoke emisije TGP</w:t>
            </w:r>
          </w:p>
        </w:tc>
        <w:tc>
          <w:tcPr>
            <w:tcW w:w="928" w:type="dxa"/>
            <w:tcBorders>
              <w:top w:val="single" w:sz="8" w:space="0" w:color="auto"/>
              <w:left w:val="single" w:sz="8" w:space="0" w:color="auto"/>
              <w:bottom w:val="single" w:sz="8" w:space="0" w:color="auto"/>
              <w:right w:val="single" w:sz="8" w:space="0" w:color="auto"/>
            </w:tcBorders>
            <w:vAlign w:val="center"/>
          </w:tcPr>
          <w:p w14:paraId="1CBAA440" w14:textId="77777777" w:rsidR="00AF3FEE" w:rsidRPr="00654A0B" w:rsidRDefault="00AF3FEE" w:rsidP="00AF3FEE">
            <w:pPr>
              <w:spacing w:line="245" w:lineRule="auto"/>
              <w:jc w:val="both"/>
              <w:rPr>
                <w:rFonts w:ascii="Arial" w:hAnsi="Arial" w:cs="Arial"/>
                <w:sz w:val="18"/>
                <w:szCs w:val="18"/>
                <w:vertAlign w:val="subscript"/>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3F3BFECC" w14:textId="5042B8CB"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Ekonomski, </w:t>
            </w:r>
            <w:r w:rsidR="004A7C53">
              <w:rPr>
                <w:rFonts w:ascii="Arial" w:hAnsi="Arial" w:cs="Arial"/>
                <w:color w:val="000000"/>
                <w:sz w:val="18"/>
                <w:szCs w:val="18"/>
              </w:rPr>
              <w:t>zakonodaj</w:t>
            </w:r>
            <w:r w:rsidR="004A7C53" w:rsidRPr="00654A0B">
              <w:rPr>
                <w:rFonts w:ascii="Arial" w:hAnsi="Arial" w:cs="Arial"/>
                <w:color w:val="000000"/>
                <w:sz w:val="18"/>
                <w:szCs w:val="18"/>
              </w:rPr>
              <w:t>ni</w:t>
            </w:r>
          </w:p>
        </w:tc>
        <w:tc>
          <w:tcPr>
            <w:tcW w:w="1008" w:type="dxa"/>
            <w:tcBorders>
              <w:top w:val="single" w:sz="8" w:space="0" w:color="auto"/>
              <w:left w:val="single" w:sz="8" w:space="0" w:color="auto"/>
              <w:bottom w:val="single" w:sz="8" w:space="0" w:color="auto"/>
              <w:right w:val="single" w:sz="8" w:space="0" w:color="auto"/>
            </w:tcBorders>
            <w:vAlign w:val="center"/>
          </w:tcPr>
          <w:p w14:paraId="7BAA9FE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5BC4C81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2027</w:t>
            </w:r>
          </w:p>
        </w:tc>
        <w:tc>
          <w:tcPr>
            <w:tcW w:w="813" w:type="dxa"/>
            <w:tcBorders>
              <w:top w:val="single" w:sz="8" w:space="0" w:color="auto"/>
              <w:left w:val="single" w:sz="8" w:space="0" w:color="auto"/>
              <w:bottom w:val="single" w:sz="8" w:space="0" w:color="auto"/>
              <w:right w:val="single" w:sz="8" w:space="0" w:color="auto"/>
            </w:tcBorders>
            <w:vAlign w:val="center"/>
          </w:tcPr>
          <w:p w14:paraId="273DFC1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1.A.2, 1.A.3, 1.A.4 (a, b)</w:t>
            </w:r>
          </w:p>
        </w:tc>
        <w:tc>
          <w:tcPr>
            <w:tcW w:w="919" w:type="dxa"/>
            <w:tcBorders>
              <w:top w:val="single" w:sz="8" w:space="0" w:color="auto"/>
              <w:left w:val="single" w:sz="8" w:space="0" w:color="auto"/>
              <w:bottom w:val="single" w:sz="8" w:space="0" w:color="auto"/>
              <w:right w:val="single" w:sz="8" w:space="0" w:color="auto"/>
            </w:tcBorders>
            <w:vAlign w:val="center"/>
          </w:tcPr>
          <w:p w14:paraId="0FFCEC5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7504050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36427AB9" w14:textId="77777777" w:rsidR="00AF3FEE" w:rsidRPr="00654A0B" w:rsidRDefault="00AF3FEE" w:rsidP="00AF3FEE">
            <w:pPr>
              <w:spacing w:line="245" w:lineRule="auto"/>
              <w:jc w:val="both"/>
              <w:rPr>
                <w:rFonts w:ascii="Arial" w:eastAsia="Tahoma" w:hAnsi="Arial" w:cs="Arial"/>
                <w:noProof/>
                <w:sz w:val="18"/>
                <w:szCs w:val="18"/>
              </w:rPr>
            </w:pPr>
            <w:bookmarkStart w:id="115" w:name="RANGE!M5"/>
            <w:r w:rsidRPr="00654A0B">
              <w:rPr>
                <w:rFonts w:ascii="Arial" w:hAnsi="Arial" w:cs="Arial"/>
                <w:color w:val="000000"/>
                <w:sz w:val="18"/>
                <w:szCs w:val="18"/>
              </w:rPr>
              <w:t>NE</w:t>
            </w:r>
            <w:bookmarkEnd w:id="115"/>
          </w:p>
        </w:tc>
        <w:tc>
          <w:tcPr>
            <w:tcW w:w="775" w:type="dxa"/>
            <w:tcBorders>
              <w:top w:val="single" w:sz="8" w:space="0" w:color="auto"/>
              <w:left w:val="single" w:sz="8" w:space="0" w:color="auto"/>
              <w:bottom w:val="single" w:sz="8" w:space="0" w:color="auto"/>
              <w:right w:val="single" w:sz="8" w:space="0" w:color="auto"/>
            </w:tcBorders>
            <w:vAlign w:val="center"/>
          </w:tcPr>
          <w:p w14:paraId="2F6ACB4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t>
            </w:r>
          </w:p>
        </w:tc>
      </w:tr>
      <w:tr w:rsidR="00AF3FEE" w:rsidRPr="00AF3FEE" w14:paraId="101054F6"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6D31F4E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p>
        </w:tc>
        <w:tc>
          <w:tcPr>
            <w:tcW w:w="1702" w:type="dxa"/>
            <w:tcBorders>
              <w:top w:val="single" w:sz="8" w:space="0" w:color="auto"/>
              <w:left w:val="single" w:sz="8" w:space="0" w:color="auto"/>
              <w:bottom w:val="single" w:sz="8" w:space="0" w:color="auto"/>
              <w:right w:val="single" w:sz="8" w:space="0" w:color="auto"/>
            </w:tcBorders>
            <w:vAlign w:val="center"/>
          </w:tcPr>
          <w:p w14:paraId="308D4F1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OKOLJSKA DAJATEV ZA ONESNAŽEVANJE ZRAKA Z EMISIJAMI CO</w:t>
            </w:r>
            <w:r w:rsidRPr="00A57F7D">
              <w:rPr>
                <w:rFonts w:ascii="Arial" w:hAnsi="Arial" w:cs="Arial"/>
                <w:color w:val="000000"/>
                <w:sz w:val="18"/>
                <w:szCs w:val="18"/>
                <w:vertAlign w:val="subscript"/>
              </w:rPr>
              <w:t>2</w:t>
            </w:r>
          </w:p>
        </w:tc>
        <w:tc>
          <w:tcPr>
            <w:tcW w:w="2048" w:type="dxa"/>
            <w:tcBorders>
              <w:top w:val="single" w:sz="8" w:space="0" w:color="auto"/>
              <w:left w:val="single" w:sz="8" w:space="0" w:color="auto"/>
              <w:bottom w:val="single" w:sz="8" w:space="0" w:color="auto"/>
              <w:right w:val="single" w:sz="8" w:space="0" w:color="auto"/>
            </w:tcBorders>
            <w:vAlign w:val="center"/>
          </w:tcPr>
          <w:p w14:paraId="381FBA9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Preoblikovanje okoljske dajatve v namensko dajatev</w:t>
            </w:r>
          </w:p>
        </w:tc>
        <w:tc>
          <w:tcPr>
            <w:tcW w:w="1873" w:type="dxa"/>
            <w:tcBorders>
              <w:top w:val="single" w:sz="8" w:space="0" w:color="auto"/>
              <w:left w:val="single" w:sz="8" w:space="0" w:color="auto"/>
              <w:bottom w:val="single" w:sz="8" w:space="0" w:color="auto"/>
              <w:right w:val="single" w:sz="8" w:space="0" w:color="auto"/>
            </w:tcBorders>
            <w:vAlign w:val="center"/>
          </w:tcPr>
          <w:p w14:paraId="3444E94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Zmanjšanje nastanka emisij in internalizacija eksternih stroškov zaradi emisij CO</w:t>
            </w:r>
            <w:r w:rsidRPr="00654A0B">
              <w:rPr>
                <w:rFonts w:ascii="Arial" w:hAnsi="Arial" w:cs="Arial"/>
                <w:color w:val="000000"/>
                <w:sz w:val="18"/>
                <w:szCs w:val="18"/>
                <w:vertAlign w:val="subscript"/>
              </w:rPr>
              <w:t>2</w:t>
            </w:r>
          </w:p>
        </w:tc>
        <w:tc>
          <w:tcPr>
            <w:tcW w:w="928" w:type="dxa"/>
            <w:tcBorders>
              <w:top w:val="single" w:sz="8" w:space="0" w:color="auto"/>
              <w:left w:val="single" w:sz="8" w:space="0" w:color="auto"/>
              <w:bottom w:val="single" w:sz="8" w:space="0" w:color="auto"/>
              <w:right w:val="single" w:sz="8" w:space="0" w:color="auto"/>
            </w:tcBorders>
            <w:vAlign w:val="center"/>
          </w:tcPr>
          <w:p w14:paraId="52B6F14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F534DD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Fiskalni</w:t>
            </w:r>
          </w:p>
        </w:tc>
        <w:tc>
          <w:tcPr>
            <w:tcW w:w="1008" w:type="dxa"/>
            <w:tcBorders>
              <w:top w:val="single" w:sz="8" w:space="0" w:color="auto"/>
              <w:left w:val="single" w:sz="8" w:space="0" w:color="auto"/>
              <w:bottom w:val="single" w:sz="8" w:space="0" w:color="auto"/>
              <w:right w:val="single" w:sz="8" w:space="0" w:color="auto"/>
            </w:tcBorders>
            <w:vAlign w:val="center"/>
          </w:tcPr>
          <w:p w14:paraId="49DE268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6A7887F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1997</w:t>
            </w:r>
          </w:p>
        </w:tc>
        <w:tc>
          <w:tcPr>
            <w:tcW w:w="813" w:type="dxa"/>
            <w:tcBorders>
              <w:top w:val="single" w:sz="8" w:space="0" w:color="auto"/>
              <w:left w:val="single" w:sz="8" w:space="0" w:color="auto"/>
              <w:bottom w:val="single" w:sz="8" w:space="0" w:color="auto"/>
              <w:right w:val="single" w:sz="8" w:space="0" w:color="auto"/>
            </w:tcBorders>
            <w:vAlign w:val="center"/>
          </w:tcPr>
          <w:p w14:paraId="2D0606A6" w14:textId="2AB81AE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w:t>
            </w:r>
          </w:p>
        </w:tc>
        <w:tc>
          <w:tcPr>
            <w:tcW w:w="919" w:type="dxa"/>
            <w:tcBorders>
              <w:top w:val="single" w:sz="8" w:space="0" w:color="auto"/>
              <w:left w:val="single" w:sz="8" w:space="0" w:color="auto"/>
              <w:bottom w:val="single" w:sz="8" w:space="0" w:color="auto"/>
              <w:right w:val="single" w:sz="8" w:space="0" w:color="auto"/>
            </w:tcBorders>
            <w:vAlign w:val="center"/>
          </w:tcPr>
          <w:p w14:paraId="5B39CCF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5378340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4571FC9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40F4F2B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p>
        </w:tc>
      </w:tr>
      <w:tr w:rsidR="00AF3FEE" w:rsidRPr="00AF3FEE" w14:paraId="10770F4F"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D982C38" w14:textId="77777777" w:rsidR="00AF3FEE" w:rsidRPr="00654A0B" w:rsidRDefault="00AF3FEE" w:rsidP="00AF3FEE">
            <w:pPr>
              <w:spacing w:line="245" w:lineRule="auto"/>
              <w:jc w:val="both"/>
              <w:rPr>
                <w:rFonts w:ascii="Arial" w:eastAsia="Tahoma" w:hAnsi="Arial" w:cs="Arial"/>
                <w:noProof/>
                <w:color w:val="FF0000"/>
                <w:sz w:val="18"/>
                <w:szCs w:val="18"/>
              </w:rPr>
            </w:pPr>
            <w:r w:rsidRPr="00654A0B">
              <w:rPr>
                <w:rFonts w:ascii="Arial" w:hAnsi="Arial" w:cs="Arial"/>
                <w:color w:val="000000"/>
                <w:sz w:val="18"/>
                <w:szCs w:val="18"/>
              </w:rPr>
              <w:t>M-4</w:t>
            </w:r>
          </w:p>
        </w:tc>
        <w:tc>
          <w:tcPr>
            <w:tcW w:w="1702" w:type="dxa"/>
            <w:tcBorders>
              <w:top w:val="single" w:sz="8" w:space="0" w:color="auto"/>
              <w:left w:val="single" w:sz="8" w:space="0" w:color="auto"/>
              <w:bottom w:val="single" w:sz="8" w:space="0" w:color="auto"/>
              <w:right w:val="single" w:sz="8" w:space="0" w:color="auto"/>
            </w:tcBorders>
            <w:vAlign w:val="center"/>
          </w:tcPr>
          <w:p w14:paraId="31E54BC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DAVKI TER DAJATVE NA ENERGIJO, KI ZMANJŠUJEJO EMISIJE</w:t>
            </w:r>
          </w:p>
        </w:tc>
        <w:tc>
          <w:tcPr>
            <w:tcW w:w="2048" w:type="dxa"/>
            <w:tcBorders>
              <w:top w:val="single" w:sz="8" w:space="0" w:color="auto"/>
              <w:left w:val="single" w:sz="8" w:space="0" w:color="auto"/>
              <w:bottom w:val="single" w:sz="8" w:space="0" w:color="auto"/>
              <w:right w:val="single" w:sz="8" w:space="0" w:color="auto"/>
            </w:tcBorders>
            <w:vAlign w:val="center"/>
          </w:tcPr>
          <w:p w14:paraId="4499705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Obdavčevanje energentov in električne energije s trošarinami, okoljskimi dajatvami in prispevki</w:t>
            </w:r>
          </w:p>
        </w:tc>
        <w:tc>
          <w:tcPr>
            <w:tcW w:w="1873" w:type="dxa"/>
            <w:tcBorders>
              <w:top w:val="single" w:sz="8" w:space="0" w:color="auto"/>
              <w:left w:val="single" w:sz="8" w:space="0" w:color="auto"/>
              <w:bottom w:val="single" w:sz="8" w:space="0" w:color="auto"/>
              <w:right w:val="single" w:sz="8" w:space="0" w:color="auto"/>
            </w:tcBorders>
            <w:vAlign w:val="center"/>
          </w:tcPr>
          <w:p w14:paraId="4D78231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konkurenčnosti okolju prijaznejših goriv</w:t>
            </w:r>
          </w:p>
        </w:tc>
        <w:tc>
          <w:tcPr>
            <w:tcW w:w="928" w:type="dxa"/>
            <w:tcBorders>
              <w:top w:val="single" w:sz="8" w:space="0" w:color="auto"/>
              <w:left w:val="single" w:sz="8" w:space="0" w:color="auto"/>
              <w:bottom w:val="single" w:sz="8" w:space="0" w:color="auto"/>
              <w:right w:val="single" w:sz="8" w:space="0" w:color="auto"/>
            </w:tcBorders>
            <w:vAlign w:val="center"/>
          </w:tcPr>
          <w:p w14:paraId="14E6B62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1E76BC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Fiskalni</w:t>
            </w:r>
          </w:p>
        </w:tc>
        <w:tc>
          <w:tcPr>
            <w:tcW w:w="1008" w:type="dxa"/>
            <w:tcBorders>
              <w:top w:val="single" w:sz="8" w:space="0" w:color="auto"/>
              <w:left w:val="single" w:sz="8" w:space="0" w:color="auto"/>
              <w:bottom w:val="single" w:sz="8" w:space="0" w:color="auto"/>
              <w:right w:val="single" w:sz="8" w:space="0" w:color="auto"/>
            </w:tcBorders>
            <w:vAlign w:val="center"/>
          </w:tcPr>
          <w:p w14:paraId="561EC18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74F34B3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1998</w:t>
            </w:r>
          </w:p>
        </w:tc>
        <w:tc>
          <w:tcPr>
            <w:tcW w:w="813" w:type="dxa"/>
            <w:tcBorders>
              <w:top w:val="single" w:sz="8" w:space="0" w:color="auto"/>
              <w:left w:val="single" w:sz="8" w:space="0" w:color="auto"/>
              <w:bottom w:val="single" w:sz="8" w:space="0" w:color="auto"/>
              <w:right w:val="single" w:sz="8" w:space="0" w:color="auto"/>
            </w:tcBorders>
            <w:vAlign w:val="center"/>
          </w:tcPr>
          <w:p w14:paraId="34991110" w14:textId="73EC59D1"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1.A</w:t>
            </w:r>
          </w:p>
        </w:tc>
        <w:tc>
          <w:tcPr>
            <w:tcW w:w="919" w:type="dxa"/>
            <w:tcBorders>
              <w:top w:val="single" w:sz="8" w:space="0" w:color="auto"/>
              <w:left w:val="single" w:sz="8" w:space="0" w:color="auto"/>
              <w:bottom w:val="single" w:sz="8" w:space="0" w:color="auto"/>
              <w:right w:val="single" w:sz="8" w:space="0" w:color="auto"/>
            </w:tcBorders>
            <w:vAlign w:val="center"/>
          </w:tcPr>
          <w:p w14:paraId="6F30605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 MF, MGTŠ</w:t>
            </w:r>
          </w:p>
        </w:tc>
        <w:tc>
          <w:tcPr>
            <w:tcW w:w="992" w:type="dxa"/>
            <w:tcBorders>
              <w:top w:val="single" w:sz="8" w:space="0" w:color="auto"/>
              <w:left w:val="single" w:sz="8" w:space="0" w:color="auto"/>
              <w:bottom w:val="single" w:sz="8" w:space="0" w:color="auto"/>
              <w:right w:val="single" w:sz="8" w:space="0" w:color="auto"/>
            </w:tcBorders>
            <w:vAlign w:val="center"/>
          </w:tcPr>
          <w:p w14:paraId="2DEDA98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118E511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1BC9315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p>
        </w:tc>
      </w:tr>
      <w:tr w:rsidR="00AF3FEE" w:rsidRPr="00AF3FEE" w14:paraId="11ADB123"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292F35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M-5</w:t>
            </w:r>
          </w:p>
        </w:tc>
        <w:tc>
          <w:tcPr>
            <w:tcW w:w="1702" w:type="dxa"/>
            <w:tcBorders>
              <w:top w:val="single" w:sz="8" w:space="0" w:color="auto"/>
              <w:left w:val="single" w:sz="8" w:space="0" w:color="auto"/>
              <w:bottom w:val="single" w:sz="8" w:space="0" w:color="auto"/>
              <w:right w:val="single" w:sz="8" w:space="0" w:color="auto"/>
            </w:tcBorders>
            <w:vAlign w:val="center"/>
          </w:tcPr>
          <w:p w14:paraId="1A8EE9F7" w14:textId="76C9B84D" w:rsidR="00AF3FEE" w:rsidRPr="00654A0B" w:rsidRDefault="00AF3FEE" w:rsidP="004A7C53">
            <w:pPr>
              <w:spacing w:line="245" w:lineRule="auto"/>
              <w:jc w:val="both"/>
              <w:rPr>
                <w:rFonts w:ascii="Arial" w:hAnsi="Arial" w:cs="Arial"/>
                <w:sz w:val="18"/>
                <w:szCs w:val="18"/>
              </w:rPr>
            </w:pPr>
            <w:r w:rsidRPr="00654A0B">
              <w:rPr>
                <w:rFonts w:ascii="Arial" w:hAnsi="Arial" w:cs="Arial"/>
                <w:color w:val="000000"/>
                <w:sz w:val="18"/>
                <w:szCs w:val="18"/>
              </w:rPr>
              <w:t xml:space="preserve">SPREMEMBE OKOLJSKE DAJATVE </w:t>
            </w:r>
            <w:r w:rsidR="004A7C53" w:rsidRPr="00654A0B">
              <w:rPr>
                <w:rFonts w:ascii="Arial" w:hAnsi="Arial" w:cs="Arial"/>
                <w:color w:val="000000"/>
                <w:sz w:val="18"/>
                <w:szCs w:val="18"/>
              </w:rPr>
              <w:t xml:space="preserve">TER </w:t>
            </w:r>
            <w:r w:rsidRPr="00654A0B">
              <w:rPr>
                <w:rFonts w:ascii="Arial" w:hAnsi="Arial" w:cs="Arial"/>
                <w:color w:val="000000"/>
                <w:sz w:val="18"/>
                <w:szCs w:val="18"/>
              </w:rPr>
              <w:t xml:space="preserve">DAVKOV </w:t>
            </w:r>
            <w:r w:rsidR="004A7C53" w:rsidRPr="00654A0B">
              <w:rPr>
                <w:rFonts w:ascii="Arial" w:hAnsi="Arial" w:cs="Arial"/>
                <w:color w:val="000000"/>
                <w:sz w:val="18"/>
                <w:szCs w:val="18"/>
              </w:rPr>
              <w:t xml:space="preserve">IN </w:t>
            </w:r>
            <w:r w:rsidRPr="00654A0B">
              <w:rPr>
                <w:rFonts w:ascii="Arial" w:hAnsi="Arial" w:cs="Arial"/>
                <w:color w:val="000000"/>
                <w:sz w:val="18"/>
                <w:szCs w:val="18"/>
              </w:rPr>
              <w:t>DAJATEV</w:t>
            </w:r>
          </w:p>
        </w:tc>
        <w:tc>
          <w:tcPr>
            <w:tcW w:w="2048" w:type="dxa"/>
            <w:tcBorders>
              <w:top w:val="single" w:sz="8" w:space="0" w:color="auto"/>
              <w:left w:val="single" w:sz="8" w:space="0" w:color="auto"/>
              <w:bottom w:val="single" w:sz="8" w:space="0" w:color="auto"/>
              <w:right w:val="single" w:sz="8" w:space="0" w:color="auto"/>
            </w:tcBorders>
            <w:vAlign w:val="center"/>
          </w:tcPr>
          <w:p w14:paraId="77B25E87" w14:textId="158EF055"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prehoda na trajnostne energijske vire in večjo energetsko učinkovitost s spreminjan</w:t>
            </w:r>
            <w:r w:rsidR="004B7672">
              <w:rPr>
                <w:rFonts w:ascii="Arial" w:hAnsi="Arial" w:cs="Arial"/>
                <w:color w:val="000000"/>
                <w:sz w:val="18"/>
                <w:szCs w:val="18"/>
              </w:rPr>
              <w:t>j</w:t>
            </w:r>
            <w:r w:rsidRPr="00654A0B">
              <w:rPr>
                <w:rFonts w:ascii="Arial" w:hAnsi="Arial" w:cs="Arial"/>
                <w:color w:val="000000"/>
                <w:sz w:val="18"/>
                <w:szCs w:val="18"/>
              </w:rPr>
              <w:t>em okoljskih dajatev in davkov ter dajatev</w:t>
            </w:r>
          </w:p>
        </w:tc>
        <w:tc>
          <w:tcPr>
            <w:tcW w:w="1873" w:type="dxa"/>
            <w:tcBorders>
              <w:top w:val="single" w:sz="8" w:space="0" w:color="auto"/>
              <w:left w:val="single" w:sz="8" w:space="0" w:color="auto"/>
              <w:bottom w:val="single" w:sz="8" w:space="0" w:color="auto"/>
              <w:right w:val="single" w:sz="8" w:space="0" w:color="auto"/>
            </w:tcBorders>
            <w:vAlign w:val="center"/>
          </w:tcPr>
          <w:p w14:paraId="10E14AE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Internalizacija eksternih stroškov zaradi emisij CO</w:t>
            </w:r>
            <w:r w:rsidRPr="00654A0B">
              <w:rPr>
                <w:rFonts w:ascii="Arial" w:hAnsi="Arial" w:cs="Arial"/>
                <w:color w:val="000000"/>
                <w:sz w:val="18"/>
                <w:szCs w:val="18"/>
                <w:vertAlign w:val="subscript"/>
              </w:rPr>
              <w:t>2</w:t>
            </w:r>
            <w:r w:rsidRPr="00654A0B">
              <w:rPr>
                <w:rFonts w:ascii="Arial" w:hAnsi="Arial" w:cs="Arial"/>
                <w:color w:val="000000"/>
                <w:sz w:val="18"/>
                <w:szCs w:val="18"/>
              </w:rPr>
              <w:t xml:space="preserve"> in spodbujanje konkurenčnosti okolju prijaznejših goriv</w:t>
            </w:r>
          </w:p>
        </w:tc>
        <w:tc>
          <w:tcPr>
            <w:tcW w:w="928" w:type="dxa"/>
            <w:tcBorders>
              <w:top w:val="single" w:sz="8" w:space="0" w:color="auto"/>
              <w:left w:val="single" w:sz="8" w:space="0" w:color="auto"/>
              <w:bottom w:val="single" w:sz="8" w:space="0" w:color="auto"/>
              <w:right w:val="single" w:sz="8" w:space="0" w:color="auto"/>
            </w:tcBorders>
            <w:vAlign w:val="center"/>
          </w:tcPr>
          <w:p w14:paraId="2E03E62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66A206C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Fiskalni</w:t>
            </w:r>
          </w:p>
        </w:tc>
        <w:tc>
          <w:tcPr>
            <w:tcW w:w="1008" w:type="dxa"/>
            <w:tcBorders>
              <w:top w:val="single" w:sz="8" w:space="0" w:color="auto"/>
              <w:left w:val="single" w:sz="8" w:space="0" w:color="auto"/>
              <w:bottom w:val="single" w:sz="8" w:space="0" w:color="auto"/>
              <w:right w:val="single" w:sz="8" w:space="0" w:color="auto"/>
            </w:tcBorders>
            <w:vAlign w:val="center"/>
          </w:tcPr>
          <w:p w14:paraId="70EB674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11E6A86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58D635BA" w14:textId="33B066BF"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1.A</w:t>
            </w:r>
          </w:p>
        </w:tc>
        <w:tc>
          <w:tcPr>
            <w:tcW w:w="919" w:type="dxa"/>
            <w:tcBorders>
              <w:top w:val="single" w:sz="8" w:space="0" w:color="auto"/>
              <w:left w:val="single" w:sz="8" w:space="0" w:color="auto"/>
              <w:bottom w:val="single" w:sz="8" w:space="0" w:color="auto"/>
              <w:right w:val="single" w:sz="8" w:space="0" w:color="auto"/>
            </w:tcBorders>
            <w:vAlign w:val="center"/>
          </w:tcPr>
          <w:p w14:paraId="2CD80C05" w14:textId="77777777" w:rsidR="00AF3FEE" w:rsidRPr="00654A0B" w:rsidRDefault="00AF3FEE" w:rsidP="00AF3FEE">
            <w:pPr>
              <w:spacing w:line="245" w:lineRule="auto"/>
              <w:jc w:val="both"/>
              <w:rPr>
                <w:rFonts w:ascii="Arial" w:eastAsia="Tahoma" w:hAnsi="Arial" w:cs="Arial"/>
                <w:noProof/>
                <w:color w:val="FF0000"/>
                <w:sz w:val="18"/>
                <w:szCs w:val="18"/>
              </w:rPr>
            </w:pPr>
            <w:r w:rsidRPr="00654A0B">
              <w:rPr>
                <w:rFonts w:ascii="Arial" w:hAnsi="Arial" w:cs="Arial"/>
                <w:color w:val="000000"/>
                <w:sz w:val="18"/>
                <w:szCs w:val="18"/>
              </w:rPr>
              <w:t>MOPE, MF, MGTŠ</w:t>
            </w:r>
          </w:p>
        </w:tc>
        <w:tc>
          <w:tcPr>
            <w:tcW w:w="992" w:type="dxa"/>
            <w:tcBorders>
              <w:top w:val="single" w:sz="8" w:space="0" w:color="auto"/>
              <w:left w:val="single" w:sz="8" w:space="0" w:color="auto"/>
              <w:bottom w:val="single" w:sz="8" w:space="0" w:color="auto"/>
              <w:right w:val="single" w:sz="8" w:space="0" w:color="auto"/>
            </w:tcBorders>
            <w:vAlign w:val="center"/>
          </w:tcPr>
          <w:p w14:paraId="7751E16C"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1B41E2A0" w14:textId="77777777" w:rsidR="00AF3FEE" w:rsidRPr="00654A0B" w:rsidRDefault="00AF3FEE" w:rsidP="00AF3FEE">
            <w:pPr>
              <w:spacing w:line="245" w:lineRule="auto"/>
              <w:jc w:val="both"/>
              <w:rPr>
                <w:rFonts w:ascii="Arial" w:eastAsia="Tahoma" w:hAnsi="Arial" w:cs="Arial"/>
                <w:noProof/>
                <w:sz w:val="18"/>
                <w:szCs w:val="18"/>
              </w:rPr>
            </w:pPr>
            <w:bookmarkStart w:id="116" w:name="RANGE!M8"/>
            <w:r w:rsidRPr="00654A0B">
              <w:rPr>
                <w:rFonts w:ascii="Arial" w:hAnsi="Arial" w:cs="Arial"/>
                <w:color w:val="000000"/>
                <w:sz w:val="18"/>
                <w:szCs w:val="18"/>
              </w:rPr>
              <w:t>NE</w:t>
            </w:r>
            <w:bookmarkEnd w:id="116"/>
          </w:p>
        </w:tc>
        <w:tc>
          <w:tcPr>
            <w:tcW w:w="775" w:type="dxa"/>
            <w:tcBorders>
              <w:top w:val="single" w:sz="8" w:space="0" w:color="auto"/>
              <w:left w:val="single" w:sz="8" w:space="0" w:color="auto"/>
              <w:bottom w:val="single" w:sz="8" w:space="0" w:color="auto"/>
              <w:right w:val="single" w:sz="8" w:space="0" w:color="auto"/>
            </w:tcBorders>
            <w:vAlign w:val="center"/>
          </w:tcPr>
          <w:p w14:paraId="499FC74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p>
        </w:tc>
      </w:tr>
      <w:tr w:rsidR="00AF3FEE" w:rsidRPr="00AF3FEE" w14:paraId="3BF80B02"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F714F3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M-6</w:t>
            </w:r>
          </w:p>
        </w:tc>
        <w:tc>
          <w:tcPr>
            <w:tcW w:w="1702" w:type="dxa"/>
            <w:tcBorders>
              <w:top w:val="single" w:sz="8" w:space="0" w:color="auto"/>
              <w:left w:val="single" w:sz="8" w:space="0" w:color="auto"/>
              <w:bottom w:val="single" w:sz="8" w:space="0" w:color="auto"/>
              <w:right w:val="single" w:sz="8" w:space="0" w:color="auto"/>
            </w:tcBorders>
            <w:vAlign w:val="center"/>
          </w:tcPr>
          <w:p w14:paraId="48F930C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RABA NAJBOLJŠIH RAZPOLOŽLJIVIH TEHNIK – OKOLJEVARSTVENA DOVOLJENJA</w:t>
            </w:r>
          </w:p>
        </w:tc>
        <w:tc>
          <w:tcPr>
            <w:tcW w:w="2048" w:type="dxa"/>
            <w:tcBorders>
              <w:top w:val="single" w:sz="8" w:space="0" w:color="auto"/>
              <w:left w:val="single" w:sz="8" w:space="0" w:color="auto"/>
              <w:bottom w:val="single" w:sz="8" w:space="0" w:color="auto"/>
              <w:right w:val="single" w:sz="8" w:space="0" w:color="auto"/>
            </w:tcBorders>
            <w:vAlign w:val="center"/>
          </w:tcPr>
          <w:p w14:paraId="1AD1DBF3" w14:textId="75986AD8" w:rsidR="00AF3FEE" w:rsidRPr="00654A0B" w:rsidRDefault="00AF3FEE" w:rsidP="004A7C53">
            <w:pPr>
              <w:spacing w:line="245" w:lineRule="auto"/>
              <w:jc w:val="both"/>
              <w:rPr>
                <w:rFonts w:ascii="Arial" w:hAnsi="Arial" w:cs="Arial"/>
                <w:sz w:val="18"/>
                <w:szCs w:val="18"/>
              </w:rPr>
            </w:pPr>
            <w:r w:rsidRPr="00654A0B">
              <w:rPr>
                <w:rFonts w:ascii="Arial" w:hAnsi="Arial" w:cs="Arial"/>
                <w:color w:val="000000"/>
                <w:sz w:val="18"/>
                <w:szCs w:val="18"/>
              </w:rPr>
              <w:t xml:space="preserve">Regulacija emisij škodljivih snovi </w:t>
            </w:r>
            <w:r w:rsidR="004A7C53">
              <w:rPr>
                <w:rFonts w:ascii="Arial" w:hAnsi="Arial" w:cs="Arial"/>
                <w:color w:val="000000"/>
                <w:sz w:val="18"/>
                <w:szCs w:val="18"/>
              </w:rPr>
              <w:t>z</w:t>
            </w:r>
            <w:r w:rsidR="004A7C53" w:rsidRPr="00654A0B">
              <w:rPr>
                <w:rFonts w:ascii="Arial" w:hAnsi="Arial" w:cs="Arial"/>
                <w:color w:val="000000"/>
                <w:sz w:val="18"/>
                <w:szCs w:val="18"/>
              </w:rPr>
              <w:t xml:space="preserve"> določitv</w:t>
            </w:r>
            <w:r w:rsidR="004A7C53">
              <w:rPr>
                <w:rFonts w:ascii="Arial" w:hAnsi="Arial" w:cs="Arial"/>
                <w:color w:val="000000"/>
                <w:sz w:val="18"/>
                <w:szCs w:val="18"/>
              </w:rPr>
              <w:t>ijo</w:t>
            </w:r>
            <w:r w:rsidR="004A7C53" w:rsidRPr="00654A0B">
              <w:rPr>
                <w:rFonts w:ascii="Arial" w:hAnsi="Arial" w:cs="Arial"/>
                <w:color w:val="000000"/>
                <w:sz w:val="18"/>
                <w:szCs w:val="18"/>
              </w:rPr>
              <w:t xml:space="preserve"> </w:t>
            </w:r>
            <w:r w:rsidRPr="00654A0B">
              <w:rPr>
                <w:rFonts w:ascii="Arial" w:hAnsi="Arial" w:cs="Arial"/>
                <w:color w:val="000000"/>
                <w:sz w:val="18"/>
                <w:szCs w:val="18"/>
              </w:rPr>
              <w:t>mejnih vrednosti v okoljevarstvenih dovoljenjih in spodbujanj</w:t>
            </w:r>
            <w:r w:rsidR="004B7672">
              <w:rPr>
                <w:rFonts w:ascii="Arial" w:hAnsi="Arial" w:cs="Arial"/>
                <w:color w:val="000000"/>
                <w:sz w:val="18"/>
                <w:szCs w:val="18"/>
              </w:rPr>
              <w:t>em</w:t>
            </w:r>
            <w:r w:rsidRPr="00654A0B">
              <w:rPr>
                <w:rFonts w:ascii="Arial" w:hAnsi="Arial" w:cs="Arial"/>
                <w:color w:val="000000"/>
                <w:sz w:val="18"/>
                <w:szCs w:val="18"/>
              </w:rPr>
              <w:t xml:space="preserve"> uporabe najboljših razpoložljivih tehnik</w:t>
            </w:r>
          </w:p>
        </w:tc>
        <w:tc>
          <w:tcPr>
            <w:tcW w:w="1873" w:type="dxa"/>
            <w:tcBorders>
              <w:top w:val="single" w:sz="8" w:space="0" w:color="auto"/>
              <w:left w:val="single" w:sz="8" w:space="0" w:color="auto"/>
              <w:bottom w:val="single" w:sz="8" w:space="0" w:color="auto"/>
              <w:right w:val="single" w:sz="8" w:space="0" w:color="auto"/>
            </w:tcBorders>
            <w:vAlign w:val="center"/>
          </w:tcPr>
          <w:p w14:paraId="7FEFCAF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Znižanje rabe energije in emisij z uporabo najboljših razpoložljivih tehnik</w:t>
            </w:r>
          </w:p>
        </w:tc>
        <w:tc>
          <w:tcPr>
            <w:tcW w:w="928" w:type="dxa"/>
            <w:tcBorders>
              <w:top w:val="single" w:sz="8" w:space="0" w:color="auto"/>
              <w:left w:val="single" w:sz="8" w:space="0" w:color="auto"/>
              <w:bottom w:val="single" w:sz="8" w:space="0" w:color="auto"/>
              <w:right w:val="single" w:sz="8" w:space="0" w:color="auto"/>
            </w:tcBorders>
            <w:vAlign w:val="center"/>
          </w:tcPr>
          <w:p w14:paraId="2D49A5AB" w14:textId="00AD5B14" w:rsidR="00AF3FEE" w:rsidRPr="00654A0B" w:rsidRDefault="00842011" w:rsidP="00AF3FEE">
            <w:pPr>
              <w:spacing w:line="245" w:lineRule="auto"/>
              <w:jc w:val="both"/>
              <w:rPr>
                <w:rFonts w:ascii="Arial" w:hAnsi="Arial" w:cs="Arial"/>
                <w:sz w:val="18"/>
                <w:szCs w:val="18"/>
              </w:rPr>
            </w:pPr>
            <w:r w:rsidRPr="006A74D9">
              <w:rPr>
                <w:rFonts w:ascii="Arial" w:hAnsi="Arial" w:cs="Arial"/>
                <w:color w:val="000000"/>
                <w:sz w:val="18"/>
                <w:szCs w:val="18"/>
              </w:rPr>
              <w:t>CO</w:t>
            </w:r>
            <w:r w:rsidRPr="006A74D9">
              <w:rPr>
                <w:rFonts w:ascii="Arial" w:hAnsi="Arial" w:cs="Arial"/>
                <w:color w:val="000000"/>
                <w:sz w:val="18"/>
                <w:szCs w:val="18"/>
                <w:vertAlign w:val="subscript"/>
              </w:rPr>
              <w:t>2</w:t>
            </w:r>
            <w:r w:rsidR="00AF3FEE" w:rsidRPr="00654A0B">
              <w:rPr>
                <w:rFonts w:ascii="Arial" w:hAnsi="Arial" w:cs="Arial"/>
                <w:color w:val="000000"/>
                <w:sz w:val="18"/>
                <w:szCs w:val="18"/>
              </w:rPr>
              <w:t>, PFC</w:t>
            </w:r>
          </w:p>
        </w:tc>
        <w:tc>
          <w:tcPr>
            <w:tcW w:w="1231" w:type="dxa"/>
            <w:tcBorders>
              <w:top w:val="single" w:sz="8" w:space="0" w:color="auto"/>
              <w:left w:val="single" w:sz="8" w:space="0" w:color="auto"/>
              <w:bottom w:val="single" w:sz="8" w:space="0" w:color="auto"/>
              <w:right w:val="single" w:sz="8" w:space="0" w:color="auto"/>
            </w:tcBorders>
            <w:vAlign w:val="center"/>
          </w:tcPr>
          <w:p w14:paraId="7D655F6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350A84F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6F9B72D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2010</w:t>
            </w:r>
          </w:p>
        </w:tc>
        <w:tc>
          <w:tcPr>
            <w:tcW w:w="813" w:type="dxa"/>
            <w:tcBorders>
              <w:top w:val="single" w:sz="8" w:space="0" w:color="auto"/>
              <w:left w:val="single" w:sz="8" w:space="0" w:color="auto"/>
              <w:bottom w:val="single" w:sz="8" w:space="0" w:color="auto"/>
              <w:right w:val="single" w:sz="8" w:space="0" w:color="auto"/>
            </w:tcBorders>
            <w:vAlign w:val="center"/>
          </w:tcPr>
          <w:p w14:paraId="3992432E" w14:textId="7347E1F1"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1.A.2, 2., 3</w:t>
            </w:r>
          </w:p>
        </w:tc>
        <w:tc>
          <w:tcPr>
            <w:tcW w:w="919" w:type="dxa"/>
            <w:tcBorders>
              <w:top w:val="single" w:sz="8" w:space="0" w:color="auto"/>
              <w:left w:val="single" w:sz="8" w:space="0" w:color="auto"/>
              <w:bottom w:val="single" w:sz="8" w:space="0" w:color="auto"/>
              <w:right w:val="single" w:sz="8" w:space="0" w:color="auto"/>
            </w:tcBorders>
            <w:vAlign w:val="center"/>
          </w:tcPr>
          <w:p w14:paraId="3B280CD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0A8222E6"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3D819644" w14:textId="77777777" w:rsidR="00AF3FEE" w:rsidRPr="00654A0B" w:rsidRDefault="00AF3FEE" w:rsidP="00AF3FEE">
            <w:pPr>
              <w:spacing w:line="245" w:lineRule="auto"/>
              <w:jc w:val="both"/>
              <w:rPr>
                <w:rFonts w:ascii="Arial" w:eastAsia="Tahoma" w:hAnsi="Arial" w:cs="Arial"/>
                <w:sz w:val="18"/>
                <w:szCs w:val="18"/>
              </w:rPr>
            </w:pPr>
            <w:bookmarkStart w:id="117" w:name="RANGE!M9"/>
            <w:r w:rsidRPr="00654A0B">
              <w:rPr>
                <w:rFonts w:ascii="Arial" w:hAnsi="Arial" w:cs="Arial"/>
                <w:color w:val="000000"/>
                <w:sz w:val="18"/>
                <w:szCs w:val="18"/>
              </w:rPr>
              <w:t>NE</w:t>
            </w:r>
            <w:bookmarkEnd w:id="117"/>
          </w:p>
        </w:tc>
        <w:tc>
          <w:tcPr>
            <w:tcW w:w="775" w:type="dxa"/>
            <w:tcBorders>
              <w:top w:val="single" w:sz="8" w:space="0" w:color="auto"/>
              <w:left w:val="single" w:sz="8" w:space="0" w:color="auto"/>
              <w:bottom w:val="single" w:sz="8" w:space="0" w:color="auto"/>
              <w:right w:val="single" w:sz="8" w:space="0" w:color="auto"/>
            </w:tcBorders>
            <w:vAlign w:val="center"/>
          </w:tcPr>
          <w:p w14:paraId="2F6E77D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M-5</w:t>
            </w:r>
          </w:p>
        </w:tc>
      </w:tr>
      <w:tr w:rsidR="00AF3FEE" w:rsidRPr="00AF3FEE" w14:paraId="05370ADD"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5CB236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M-7</w:t>
            </w:r>
          </w:p>
        </w:tc>
        <w:tc>
          <w:tcPr>
            <w:tcW w:w="1702" w:type="dxa"/>
            <w:tcBorders>
              <w:top w:val="single" w:sz="8" w:space="0" w:color="auto"/>
              <w:left w:val="single" w:sz="8" w:space="0" w:color="auto"/>
              <w:bottom w:val="single" w:sz="8" w:space="0" w:color="auto"/>
              <w:right w:val="single" w:sz="8" w:space="0" w:color="auto"/>
            </w:tcBorders>
            <w:vAlign w:val="center"/>
          </w:tcPr>
          <w:p w14:paraId="4D19A11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IZOBRAŽEVANJE, USPOSABLJANJE, OZAVEŠČANJE, OBVEŠČANJE IN PROMOCIJA</w:t>
            </w:r>
          </w:p>
        </w:tc>
        <w:tc>
          <w:tcPr>
            <w:tcW w:w="2048" w:type="dxa"/>
            <w:tcBorders>
              <w:top w:val="single" w:sz="8" w:space="0" w:color="auto"/>
              <w:left w:val="single" w:sz="8" w:space="0" w:color="auto"/>
              <w:bottom w:val="single" w:sz="8" w:space="0" w:color="auto"/>
              <w:right w:val="single" w:sz="8" w:space="0" w:color="auto"/>
            </w:tcBorders>
            <w:vAlign w:val="center"/>
          </w:tcPr>
          <w:p w14:paraId="6B4619E4" w14:textId="3923F823" w:rsidR="00AF3FEE" w:rsidRPr="00654A0B" w:rsidRDefault="004B7672" w:rsidP="004F2B0D">
            <w:pPr>
              <w:spacing w:line="245" w:lineRule="auto"/>
              <w:jc w:val="both"/>
              <w:rPr>
                <w:rFonts w:ascii="Arial" w:hAnsi="Arial" w:cs="Arial"/>
                <w:sz w:val="18"/>
                <w:szCs w:val="18"/>
              </w:rPr>
            </w:pPr>
            <w:r>
              <w:rPr>
                <w:rFonts w:ascii="Arial" w:hAnsi="Arial" w:cs="Arial"/>
                <w:color w:val="000000"/>
                <w:sz w:val="18"/>
                <w:szCs w:val="18"/>
              </w:rPr>
              <w:t>R</w:t>
            </w:r>
            <w:r w:rsidR="00AF3FEE" w:rsidRPr="00654A0B">
              <w:rPr>
                <w:rFonts w:ascii="Arial" w:hAnsi="Arial" w:cs="Arial"/>
                <w:color w:val="000000"/>
                <w:sz w:val="18"/>
                <w:szCs w:val="18"/>
              </w:rPr>
              <w:t xml:space="preserve">azlični nosilci (vladni in nevladni sektor, mediji, gospodarstvo, strokovne institucije </w:t>
            </w:r>
            <w:r w:rsidR="004F2B0D">
              <w:rPr>
                <w:rFonts w:ascii="Arial" w:hAnsi="Arial" w:cs="Arial"/>
                <w:color w:val="000000"/>
                <w:sz w:val="18"/>
                <w:szCs w:val="18"/>
              </w:rPr>
              <w:t>in tako dalje</w:t>
            </w:r>
            <w:r w:rsidR="00AF3FEE" w:rsidRPr="00654A0B">
              <w:rPr>
                <w:rFonts w:ascii="Arial" w:hAnsi="Arial" w:cs="Arial"/>
                <w:color w:val="000000"/>
                <w:sz w:val="18"/>
                <w:szCs w:val="18"/>
              </w:rPr>
              <w:t>) izvajajo aktivnosti izobraževanja, usposabljanja, informiranja in ozaveščanja na področju blaženja podnebnih sprememb</w:t>
            </w:r>
          </w:p>
        </w:tc>
        <w:tc>
          <w:tcPr>
            <w:tcW w:w="1873" w:type="dxa"/>
            <w:tcBorders>
              <w:top w:val="single" w:sz="8" w:space="0" w:color="auto"/>
              <w:left w:val="single" w:sz="8" w:space="0" w:color="auto"/>
              <w:bottom w:val="single" w:sz="8" w:space="0" w:color="auto"/>
              <w:right w:val="single" w:sz="8" w:space="0" w:color="auto"/>
            </w:tcBorders>
            <w:vAlign w:val="center"/>
          </w:tcPr>
          <w:p w14:paraId="7B5C298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Podpora ukrepom blaženja podnebnih sprememb</w:t>
            </w:r>
          </w:p>
        </w:tc>
        <w:tc>
          <w:tcPr>
            <w:tcW w:w="928" w:type="dxa"/>
            <w:tcBorders>
              <w:top w:val="single" w:sz="8" w:space="0" w:color="auto"/>
              <w:left w:val="single" w:sz="8" w:space="0" w:color="auto"/>
              <w:bottom w:val="single" w:sz="8" w:space="0" w:color="auto"/>
              <w:right w:val="single" w:sz="8" w:space="0" w:color="auto"/>
            </w:tcBorders>
            <w:vAlign w:val="center"/>
          </w:tcPr>
          <w:p w14:paraId="19B2EB74" w14:textId="3ED3ED35" w:rsidR="00AF3FEE" w:rsidRPr="00654A0B" w:rsidRDefault="00842011" w:rsidP="00AF3FEE">
            <w:pPr>
              <w:spacing w:line="245" w:lineRule="auto"/>
              <w:jc w:val="both"/>
              <w:rPr>
                <w:rFonts w:ascii="Arial" w:hAnsi="Arial" w:cs="Arial"/>
                <w:sz w:val="18"/>
                <w:szCs w:val="18"/>
              </w:rPr>
            </w:pPr>
            <w:r w:rsidRPr="006A74D9">
              <w:rPr>
                <w:rFonts w:ascii="Arial" w:hAnsi="Arial" w:cs="Arial"/>
                <w:color w:val="000000"/>
                <w:sz w:val="18"/>
                <w:szCs w:val="18"/>
              </w:rPr>
              <w:t>CO</w:t>
            </w:r>
            <w:r w:rsidRPr="006A74D9">
              <w:rPr>
                <w:rFonts w:ascii="Arial" w:hAnsi="Arial" w:cs="Arial"/>
                <w:color w:val="000000"/>
                <w:sz w:val="18"/>
                <w:szCs w:val="18"/>
                <w:vertAlign w:val="subscript"/>
              </w:rPr>
              <w:t>2</w:t>
            </w:r>
            <w:r w:rsidR="00AF3FEE" w:rsidRPr="00654A0B">
              <w:rPr>
                <w:rFonts w:ascii="Arial" w:hAnsi="Arial" w:cs="Arial"/>
                <w:color w:val="000000"/>
                <w:sz w:val="18"/>
                <w:szCs w:val="18"/>
              </w:rPr>
              <w:t xml:space="preserve">, </w:t>
            </w:r>
            <w:r w:rsidR="009B3FC7" w:rsidRPr="00654A0B">
              <w:rPr>
                <w:rFonts w:ascii="Arial" w:hAnsi="Arial" w:cs="Arial"/>
                <w:sz w:val="18"/>
                <w:szCs w:val="18"/>
              </w:rPr>
              <w:t>CH</w:t>
            </w:r>
            <w:r w:rsidR="009B3FC7" w:rsidRPr="00654A0B">
              <w:rPr>
                <w:rFonts w:ascii="Arial" w:hAnsi="Arial" w:cs="Arial"/>
                <w:sz w:val="18"/>
                <w:szCs w:val="18"/>
                <w:vertAlign w:val="subscript"/>
              </w:rPr>
              <w:t>4</w:t>
            </w:r>
            <w:r w:rsidR="00AF3FEE" w:rsidRPr="009B3FC7">
              <w:rPr>
                <w:rFonts w:ascii="Arial" w:hAnsi="Arial" w:cs="Arial"/>
                <w:color w:val="000000"/>
                <w:sz w:val="18"/>
                <w:szCs w:val="18"/>
              </w:rPr>
              <w:t xml:space="preserve">, </w:t>
            </w:r>
            <w:r w:rsidR="009B3FC7" w:rsidRPr="009B3FC7">
              <w:rPr>
                <w:rFonts w:ascii="Arial" w:hAnsi="Arial" w:cs="Arial"/>
                <w:sz w:val="18"/>
                <w:szCs w:val="18"/>
              </w:rPr>
              <w:t>N</w:t>
            </w:r>
            <w:r w:rsidR="009B3FC7" w:rsidRPr="009B3FC7">
              <w:rPr>
                <w:rFonts w:ascii="Arial" w:hAnsi="Arial" w:cs="Arial"/>
                <w:sz w:val="18"/>
                <w:szCs w:val="18"/>
                <w:vertAlign w:val="subscript"/>
              </w:rPr>
              <w:t>2</w:t>
            </w:r>
            <w:r w:rsidR="009B3FC7" w:rsidRPr="009B3FC7">
              <w:rPr>
                <w:rFonts w:ascii="Arial" w:hAnsi="Arial" w:cs="Arial"/>
                <w:sz w:val="18"/>
                <w:szCs w:val="18"/>
              </w:rPr>
              <w:t>O</w:t>
            </w:r>
          </w:p>
        </w:tc>
        <w:tc>
          <w:tcPr>
            <w:tcW w:w="1231" w:type="dxa"/>
            <w:tcBorders>
              <w:top w:val="single" w:sz="8" w:space="0" w:color="auto"/>
              <w:left w:val="single" w:sz="8" w:space="0" w:color="auto"/>
              <w:bottom w:val="single" w:sz="8" w:space="0" w:color="auto"/>
              <w:right w:val="single" w:sz="8" w:space="0" w:color="auto"/>
            </w:tcBorders>
            <w:vAlign w:val="center"/>
          </w:tcPr>
          <w:p w14:paraId="7FFF83E6" w14:textId="13DCA649"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Izobraževanje, </w:t>
            </w:r>
            <w:r w:rsidR="004A7C53">
              <w:rPr>
                <w:rFonts w:ascii="Arial" w:hAnsi="Arial" w:cs="Arial"/>
                <w:color w:val="000000"/>
                <w:sz w:val="18"/>
                <w:szCs w:val="18"/>
              </w:rPr>
              <w:t>o</w:t>
            </w:r>
            <w:r w:rsidRPr="00654A0B">
              <w:rPr>
                <w:rFonts w:ascii="Arial" w:hAnsi="Arial" w:cs="Arial"/>
                <w:color w:val="000000"/>
                <w:sz w:val="18"/>
                <w:szCs w:val="18"/>
              </w:rPr>
              <w:t>zave</w:t>
            </w:r>
            <w:r w:rsidR="004B7672">
              <w:rPr>
                <w:rFonts w:ascii="Arial" w:hAnsi="Arial" w:cs="Arial"/>
                <w:color w:val="000000"/>
                <w:sz w:val="18"/>
                <w:szCs w:val="18"/>
              </w:rPr>
              <w:t>š</w:t>
            </w:r>
            <w:r w:rsidRPr="00654A0B">
              <w:rPr>
                <w:rFonts w:ascii="Arial" w:hAnsi="Arial" w:cs="Arial"/>
                <w:color w:val="000000"/>
                <w:sz w:val="18"/>
                <w:szCs w:val="18"/>
              </w:rPr>
              <w:t xml:space="preserve">čanje, </w:t>
            </w:r>
            <w:r w:rsidR="004A7C53">
              <w:rPr>
                <w:rFonts w:ascii="Arial" w:hAnsi="Arial" w:cs="Arial"/>
                <w:color w:val="000000"/>
                <w:sz w:val="18"/>
                <w:szCs w:val="18"/>
              </w:rPr>
              <w:t>i</w:t>
            </w:r>
            <w:r w:rsidR="004A7C53" w:rsidRPr="00654A0B">
              <w:rPr>
                <w:rFonts w:ascii="Arial" w:hAnsi="Arial" w:cs="Arial"/>
                <w:color w:val="000000"/>
                <w:sz w:val="18"/>
                <w:szCs w:val="18"/>
              </w:rPr>
              <w:t>nform</w:t>
            </w:r>
            <w:r w:rsidR="004A7C53">
              <w:rPr>
                <w:rFonts w:ascii="Arial" w:hAnsi="Arial" w:cs="Arial"/>
                <w:color w:val="000000"/>
                <w:sz w:val="18"/>
                <w:szCs w:val="18"/>
              </w:rPr>
              <w:t>iranj</w:t>
            </w:r>
            <w:r w:rsidR="004A7C53" w:rsidRPr="00654A0B">
              <w:rPr>
                <w:rFonts w:ascii="Arial" w:hAnsi="Arial" w:cs="Arial"/>
                <w:color w:val="000000"/>
                <w:sz w:val="18"/>
                <w:szCs w:val="18"/>
              </w:rPr>
              <w:t>e</w:t>
            </w:r>
          </w:p>
        </w:tc>
        <w:tc>
          <w:tcPr>
            <w:tcW w:w="1008" w:type="dxa"/>
            <w:tcBorders>
              <w:top w:val="single" w:sz="8" w:space="0" w:color="auto"/>
              <w:left w:val="single" w:sz="8" w:space="0" w:color="auto"/>
              <w:bottom w:val="single" w:sz="8" w:space="0" w:color="auto"/>
              <w:right w:val="single" w:sz="8" w:space="0" w:color="auto"/>
            </w:tcBorders>
            <w:vAlign w:val="center"/>
          </w:tcPr>
          <w:p w14:paraId="087408B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667E24C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2002</w:t>
            </w:r>
          </w:p>
        </w:tc>
        <w:tc>
          <w:tcPr>
            <w:tcW w:w="813" w:type="dxa"/>
            <w:tcBorders>
              <w:top w:val="single" w:sz="8" w:space="0" w:color="auto"/>
              <w:left w:val="single" w:sz="8" w:space="0" w:color="auto"/>
              <w:bottom w:val="single" w:sz="8" w:space="0" w:color="auto"/>
              <w:right w:val="single" w:sz="8" w:space="0" w:color="auto"/>
            </w:tcBorders>
            <w:vAlign w:val="center"/>
          </w:tcPr>
          <w:p w14:paraId="10559BCC" w14:textId="46A969AA"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1, 2, 3, 4.</w:t>
            </w:r>
            <w:r w:rsidR="004A7C53">
              <w:rPr>
                <w:rFonts w:ascii="Arial" w:hAnsi="Arial" w:cs="Arial"/>
                <w:color w:val="000000"/>
                <w:sz w:val="18"/>
                <w:szCs w:val="18"/>
              </w:rPr>
              <w:t xml:space="preserve"> </w:t>
            </w:r>
            <w:r w:rsidRPr="00654A0B">
              <w:rPr>
                <w:rFonts w:ascii="Arial" w:hAnsi="Arial" w:cs="Arial"/>
                <w:color w:val="000000"/>
                <w:sz w:val="18"/>
                <w:szCs w:val="18"/>
              </w:rPr>
              <w:t>5</w:t>
            </w:r>
          </w:p>
        </w:tc>
        <w:tc>
          <w:tcPr>
            <w:tcW w:w="919" w:type="dxa"/>
            <w:tcBorders>
              <w:top w:val="single" w:sz="8" w:space="0" w:color="auto"/>
              <w:left w:val="single" w:sz="8" w:space="0" w:color="auto"/>
              <w:bottom w:val="single" w:sz="8" w:space="0" w:color="auto"/>
              <w:right w:val="single" w:sz="8" w:space="0" w:color="auto"/>
            </w:tcBorders>
            <w:vAlign w:val="center"/>
          </w:tcPr>
          <w:p w14:paraId="3F4688B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0FF8E49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5A6699EC"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2D2BD27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M-6</w:t>
            </w:r>
          </w:p>
        </w:tc>
      </w:tr>
      <w:tr w:rsidR="00AF3FEE" w:rsidRPr="00CE5F74" w14:paraId="09483A7C"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2BA860A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M-8</w:t>
            </w:r>
          </w:p>
        </w:tc>
        <w:tc>
          <w:tcPr>
            <w:tcW w:w="1702" w:type="dxa"/>
            <w:tcBorders>
              <w:top w:val="single" w:sz="8" w:space="0" w:color="auto"/>
              <w:left w:val="single" w:sz="8" w:space="0" w:color="auto"/>
              <w:bottom w:val="single" w:sz="8" w:space="0" w:color="auto"/>
              <w:right w:val="single" w:sz="8" w:space="0" w:color="auto"/>
            </w:tcBorders>
            <w:vAlign w:val="center"/>
          </w:tcPr>
          <w:p w14:paraId="7590D27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ZELENO JAVNO NAROČANJE</w:t>
            </w:r>
          </w:p>
        </w:tc>
        <w:tc>
          <w:tcPr>
            <w:tcW w:w="2048" w:type="dxa"/>
            <w:tcBorders>
              <w:top w:val="single" w:sz="8" w:space="0" w:color="auto"/>
              <w:left w:val="single" w:sz="8" w:space="0" w:color="auto"/>
              <w:bottom w:val="single" w:sz="8" w:space="0" w:color="auto"/>
              <w:right w:val="single" w:sz="8" w:space="0" w:color="auto"/>
            </w:tcBorders>
            <w:vAlign w:val="center"/>
          </w:tcPr>
          <w:p w14:paraId="4FE7EDD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Zeleno javno naročanje spodbuja naročanje okolju prijaznega blaga, storitev in gradenj, s </w:t>
            </w:r>
            <w:r w:rsidRPr="00654A0B">
              <w:rPr>
                <w:rFonts w:ascii="Arial" w:hAnsi="Arial" w:cs="Arial"/>
                <w:color w:val="000000"/>
                <w:sz w:val="18"/>
                <w:szCs w:val="18"/>
              </w:rPr>
              <w:lastRenderedPageBreak/>
              <w:t>čimer javni sektor zmanjšuje svoj okoljski odtis.</w:t>
            </w:r>
          </w:p>
        </w:tc>
        <w:tc>
          <w:tcPr>
            <w:tcW w:w="1873" w:type="dxa"/>
            <w:tcBorders>
              <w:top w:val="single" w:sz="8" w:space="0" w:color="auto"/>
              <w:left w:val="single" w:sz="8" w:space="0" w:color="auto"/>
              <w:bottom w:val="single" w:sz="8" w:space="0" w:color="auto"/>
              <w:right w:val="single" w:sz="8" w:space="0" w:color="auto"/>
            </w:tcBorders>
            <w:vAlign w:val="center"/>
          </w:tcPr>
          <w:p w14:paraId="0F9CF2D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Rast deleža zelenih javnih naročil, rast deleža energetsko učinkovitih koncesij</w:t>
            </w:r>
          </w:p>
        </w:tc>
        <w:tc>
          <w:tcPr>
            <w:tcW w:w="928" w:type="dxa"/>
            <w:tcBorders>
              <w:top w:val="single" w:sz="8" w:space="0" w:color="auto"/>
              <w:left w:val="single" w:sz="8" w:space="0" w:color="auto"/>
              <w:bottom w:val="single" w:sz="8" w:space="0" w:color="auto"/>
              <w:right w:val="single" w:sz="8" w:space="0" w:color="auto"/>
            </w:tcBorders>
            <w:vAlign w:val="center"/>
          </w:tcPr>
          <w:p w14:paraId="131D7E8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6D8C832B" w14:textId="6C478449" w:rsidR="00AF3FEE" w:rsidRPr="00654A0B" w:rsidRDefault="00AF3FEE" w:rsidP="004B7672">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Zakonodajni, </w:t>
            </w:r>
            <w:r w:rsidR="004B7672">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4290FF4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4F9F48B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2018</w:t>
            </w:r>
          </w:p>
        </w:tc>
        <w:tc>
          <w:tcPr>
            <w:tcW w:w="813" w:type="dxa"/>
            <w:tcBorders>
              <w:top w:val="single" w:sz="8" w:space="0" w:color="auto"/>
              <w:left w:val="single" w:sz="8" w:space="0" w:color="auto"/>
              <w:bottom w:val="single" w:sz="8" w:space="0" w:color="auto"/>
              <w:right w:val="single" w:sz="8" w:space="0" w:color="auto"/>
            </w:tcBorders>
            <w:vAlign w:val="center"/>
          </w:tcPr>
          <w:p w14:paraId="2CB6B96E" w14:textId="0EAAC315"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w:t>
            </w:r>
            <w:r w:rsidR="004A7C53">
              <w:rPr>
                <w:rFonts w:ascii="Arial" w:hAnsi="Arial" w:cs="Arial"/>
                <w:color w:val="000000"/>
                <w:sz w:val="18"/>
                <w:szCs w:val="18"/>
              </w:rPr>
              <w:t xml:space="preserve">, </w:t>
            </w:r>
            <w:r w:rsidRPr="00654A0B">
              <w:rPr>
                <w:rFonts w:ascii="Arial" w:hAnsi="Arial" w:cs="Arial"/>
                <w:color w:val="000000"/>
                <w:sz w:val="18"/>
                <w:szCs w:val="18"/>
              </w:rPr>
              <w:t>4.a</w:t>
            </w:r>
          </w:p>
        </w:tc>
        <w:tc>
          <w:tcPr>
            <w:tcW w:w="919" w:type="dxa"/>
            <w:tcBorders>
              <w:top w:val="single" w:sz="8" w:space="0" w:color="auto"/>
              <w:left w:val="single" w:sz="8" w:space="0" w:color="auto"/>
              <w:bottom w:val="single" w:sz="8" w:space="0" w:color="auto"/>
              <w:right w:val="single" w:sz="8" w:space="0" w:color="auto"/>
            </w:tcBorders>
            <w:vAlign w:val="center"/>
          </w:tcPr>
          <w:p w14:paraId="78F475F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MJU, MOPE</w:t>
            </w:r>
          </w:p>
        </w:tc>
        <w:tc>
          <w:tcPr>
            <w:tcW w:w="992" w:type="dxa"/>
            <w:tcBorders>
              <w:top w:val="single" w:sz="8" w:space="0" w:color="auto"/>
              <w:left w:val="single" w:sz="8" w:space="0" w:color="auto"/>
              <w:bottom w:val="single" w:sz="8" w:space="0" w:color="auto"/>
              <w:right w:val="single" w:sz="8" w:space="0" w:color="auto"/>
            </w:tcBorders>
            <w:vAlign w:val="center"/>
          </w:tcPr>
          <w:p w14:paraId="555E901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27CAE33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2D7C013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M-8</w:t>
            </w:r>
          </w:p>
        </w:tc>
      </w:tr>
      <w:tr w:rsidR="00AF3FEE" w:rsidRPr="00CE5F74" w14:paraId="7F6F93E7"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2F858C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M-9</w:t>
            </w:r>
          </w:p>
        </w:tc>
        <w:tc>
          <w:tcPr>
            <w:tcW w:w="1702" w:type="dxa"/>
            <w:tcBorders>
              <w:top w:val="single" w:sz="8" w:space="0" w:color="auto"/>
              <w:left w:val="single" w:sz="8" w:space="0" w:color="auto"/>
              <w:bottom w:val="single" w:sz="8" w:space="0" w:color="auto"/>
              <w:right w:val="single" w:sz="8" w:space="0" w:color="auto"/>
            </w:tcBorders>
            <w:vAlign w:val="center"/>
          </w:tcPr>
          <w:p w14:paraId="7C737B53" w14:textId="13EF1024"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ENERGIJSKO OZNAČEVANJE IN MINIMALNI STANDARDI</w:t>
            </w:r>
          </w:p>
        </w:tc>
        <w:tc>
          <w:tcPr>
            <w:tcW w:w="2048" w:type="dxa"/>
            <w:tcBorders>
              <w:top w:val="single" w:sz="8" w:space="0" w:color="auto"/>
              <w:left w:val="single" w:sz="8" w:space="0" w:color="auto"/>
              <w:bottom w:val="single" w:sz="8" w:space="0" w:color="auto"/>
              <w:right w:val="single" w:sz="8" w:space="0" w:color="auto"/>
            </w:tcBorders>
            <w:vAlign w:val="center"/>
          </w:tcPr>
          <w:p w14:paraId="754F0A99" w14:textId="480AB919"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Določanje zahtev za okoljsko zasnovo izdelkov in informiranje potrošnikov prek energijskih nalepk</w:t>
            </w:r>
          </w:p>
        </w:tc>
        <w:tc>
          <w:tcPr>
            <w:tcW w:w="1873" w:type="dxa"/>
            <w:tcBorders>
              <w:top w:val="single" w:sz="8" w:space="0" w:color="auto"/>
              <w:left w:val="single" w:sz="8" w:space="0" w:color="auto"/>
              <w:bottom w:val="single" w:sz="8" w:space="0" w:color="auto"/>
              <w:right w:val="single" w:sz="8" w:space="0" w:color="auto"/>
            </w:tcBorders>
            <w:vAlign w:val="center"/>
          </w:tcPr>
          <w:p w14:paraId="74567BB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Izboljšanje energetske učinkovitosti naprav</w:t>
            </w:r>
          </w:p>
        </w:tc>
        <w:tc>
          <w:tcPr>
            <w:tcW w:w="928" w:type="dxa"/>
            <w:tcBorders>
              <w:top w:val="single" w:sz="8" w:space="0" w:color="auto"/>
              <w:left w:val="single" w:sz="8" w:space="0" w:color="auto"/>
              <w:bottom w:val="single" w:sz="8" w:space="0" w:color="auto"/>
              <w:right w:val="single" w:sz="8" w:space="0" w:color="auto"/>
            </w:tcBorders>
            <w:vAlign w:val="center"/>
          </w:tcPr>
          <w:p w14:paraId="34D4866D" w14:textId="404D2E0C" w:rsidR="00AF3FEE" w:rsidRPr="00654A0B" w:rsidRDefault="009B3FC7" w:rsidP="00AF3FEE">
            <w:pPr>
              <w:spacing w:line="245" w:lineRule="auto"/>
              <w:jc w:val="both"/>
              <w:rPr>
                <w:rFonts w:ascii="Arial" w:hAnsi="Arial" w:cs="Arial"/>
                <w:sz w:val="18"/>
                <w:szCs w:val="18"/>
              </w:rPr>
            </w:pPr>
            <w:r w:rsidRPr="006A74D9">
              <w:rPr>
                <w:rFonts w:ascii="Arial" w:hAnsi="Arial" w:cs="Arial"/>
                <w:color w:val="000000"/>
                <w:sz w:val="18"/>
                <w:szCs w:val="18"/>
              </w:rPr>
              <w:t>CO</w:t>
            </w:r>
            <w:r w:rsidRPr="006A74D9">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835DBF0" w14:textId="5E6BBDF6"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Zakonodajni, </w:t>
            </w:r>
            <w:r w:rsidR="004A7C53">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254365F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25AAD40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2002</w:t>
            </w:r>
          </w:p>
        </w:tc>
        <w:tc>
          <w:tcPr>
            <w:tcW w:w="813" w:type="dxa"/>
            <w:tcBorders>
              <w:top w:val="single" w:sz="8" w:space="0" w:color="auto"/>
              <w:left w:val="single" w:sz="8" w:space="0" w:color="auto"/>
              <w:bottom w:val="single" w:sz="8" w:space="0" w:color="auto"/>
              <w:right w:val="single" w:sz="8" w:space="0" w:color="auto"/>
            </w:tcBorders>
            <w:vAlign w:val="center"/>
          </w:tcPr>
          <w:p w14:paraId="2593CAB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1.A.4, 1.A.3</w:t>
            </w:r>
          </w:p>
        </w:tc>
        <w:tc>
          <w:tcPr>
            <w:tcW w:w="919" w:type="dxa"/>
            <w:tcBorders>
              <w:top w:val="single" w:sz="8" w:space="0" w:color="auto"/>
              <w:left w:val="single" w:sz="8" w:space="0" w:color="auto"/>
              <w:bottom w:val="single" w:sz="8" w:space="0" w:color="auto"/>
              <w:right w:val="single" w:sz="8" w:space="0" w:color="auto"/>
            </w:tcBorders>
            <w:vAlign w:val="center"/>
          </w:tcPr>
          <w:p w14:paraId="31D553C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5FFAFB9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3A91A51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0077652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M-9</w:t>
            </w:r>
          </w:p>
        </w:tc>
      </w:tr>
      <w:tr w:rsidR="00AF3FEE" w:rsidRPr="00CE5F74" w14:paraId="799C0ED5"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7689FAD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M-10</w:t>
            </w:r>
          </w:p>
        </w:tc>
        <w:tc>
          <w:tcPr>
            <w:tcW w:w="1702" w:type="dxa"/>
            <w:tcBorders>
              <w:top w:val="single" w:sz="8" w:space="0" w:color="auto"/>
              <w:left w:val="single" w:sz="8" w:space="0" w:color="auto"/>
              <w:bottom w:val="single" w:sz="8" w:space="0" w:color="auto"/>
              <w:right w:val="single" w:sz="8" w:space="0" w:color="auto"/>
            </w:tcBorders>
            <w:vAlign w:val="center"/>
          </w:tcPr>
          <w:p w14:paraId="2669853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OBVEZNOSTI DOBAVITELJEV ENERGIJE ZA DOSEGANJE PRIHRANKOV ENERGIJE PRI KONČNIH ODJEMALCIH</w:t>
            </w:r>
          </w:p>
        </w:tc>
        <w:tc>
          <w:tcPr>
            <w:tcW w:w="2048" w:type="dxa"/>
            <w:tcBorders>
              <w:top w:val="single" w:sz="8" w:space="0" w:color="auto"/>
              <w:left w:val="single" w:sz="8" w:space="0" w:color="auto"/>
              <w:bottom w:val="single" w:sz="8" w:space="0" w:color="auto"/>
              <w:right w:val="single" w:sz="8" w:space="0" w:color="auto"/>
            </w:tcBorders>
            <w:vAlign w:val="center"/>
          </w:tcPr>
          <w:p w14:paraId="3927765A" w14:textId="76FA344A"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Obveznost dobaviteljev energije za izvajanje ukrepov URE in rabe OVE pri končnih odjemalcih v skladu z EED</w:t>
            </w:r>
          </w:p>
        </w:tc>
        <w:tc>
          <w:tcPr>
            <w:tcW w:w="1873" w:type="dxa"/>
            <w:tcBorders>
              <w:top w:val="single" w:sz="8" w:space="0" w:color="auto"/>
              <w:left w:val="single" w:sz="8" w:space="0" w:color="auto"/>
              <w:bottom w:val="single" w:sz="8" w:space="0" w:color="auto"/>
              <w:right w:val="single" w:sz="8" w:space="0" w:color="auto"/>
            </w:tcBorders>
            <w:vAlign w:val="center"/>
          </w:tcPr>
          <w:p w14:paraId="39F4347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Povečanje učinkovitosti rabe energije pri končnih odjemalcih energije</w:t>
            </w:r>
          </w:p>
        </w:tc>
        <w:tc>
          <w:tcPr>
            <w:tcW w:w="928" w:type="dxa"/>
            <w:tcBorders>
              <w:top w:val="single" w:sz="8" w:space="0" w:color="auto"/>
              <w:left w:val="single" w:sz="8" w:space="0" w:color="auto"/>
              <w:bottom w:val="single" w:sz="8" w:space="0" w:color="auto"/>
              <w:right w:val="single" w:sz="8" w:space="0" w:color="auto"/>
            </w:tcBorders>
            <w:vAlign w:val="center"/>
          </w:tcPr>
          <w:p w14:paraId="688D5D9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24B878D" w14:textId="666363F3"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Zakonodajni, </w:t>
            </w:r>
            <w:r w:rsidR="004A7C53">
              <w:rPr>
                <w:rFonts w:ascii="Arial" w:hAnsi="Arial" w:cs="Arial"/>
                <w:color w:val="000000"/>
                <w:sz w:val="18"/>
                <w:szCs w:val="18"/>
              </w:rPr>
              <w:t>e</w:t>
            </w:r>
            <w:r w:rsidRPr="00654A0B">
              <w:rPr>
                <w:rFonts w:ascii="Arial" w:hAnsi="Arial" w:cs="Arial"/>
                <w:color w:val="000000"/>
                <w:sz w:val="18"/>
                <w:szCs w:val="18"/>
              </w:rPr>
              <w:t>konomski</w:t>
            </w:r>
          </w:p>
        </w:tc>
        <w:tc>
          <w:tcPr>
            <w:tcW w:w="1008" w:type="dxa"/>
            <w:tcBorders>
              <w:top w:val="single" w:sz="8" w:space="0" w:color="auto"/>
              <w:left w:val="single" w:sz="8" w:space="0" w:color="auto"/>
              <w:bottom w:val="single" w:sz="8" w:space="0" w:color="auto"/>
              <w:right w:val="single" w:sz="8" w:space="0" w:color="auto"/>
            </w:tcBorders>
            <w:vAlign w:val="center"/>
          </w:tcPr>
          <w:p w14:paraId="769BFA1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58D57A2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2011</w:t>
            </w:r>
          </w:p>
        </w:tc>
        <w:tc>
          <w:tcPr>
            <w:tcW w:w="813" w:type="dxa"/>
            <w:tcBorders>
              <w:top w:val="single" w:sz="8" w:space="0" w:color="auto"/>
              <w:left w:val="single" w:sz="8" w:space="0" w:color="auto"/>
              <w:bottom w:val="single" w:sz="8" w:space="0" w:color="auto"/>
              <w:right w:val="single" w:sz="8" w:space="0" w:color="auto"/>
            </w:tcBorders>
            <w:vAlign w:val="center"/>
          </w:tcPr>
          <w:p w14:paraId="10BCF11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1.A.2, 1.A.3, 1.A.4 (a, b)</w:t>
            </w:r>
          </w:p>
        </w:tc>
        <w:tc>
          <w:tcPr>
            <w:tcW w:w="919" w:type="dxa"/>
            <w:tcBorders>
              <w:top w:val="single" w:sz="8" w:space="0" w:color="auto"/>
              <w:left w:val="single" w:sz="8" w:space="0" w:color="auto"/>
              <w:bottom w:val="single" w:sz="8" w:space="0" w:color="auto"/>
              <w:right w:val="single" w:sz="8" w:space="0" w:color="auto"/>
            </w:tcBorders>
            <w:vAlign w:val="center"/>
          </w:tcPr>
          <w:p w14:paraId="3B797936" w14:textId="0DFE5C76" w:rsidR="00AF3FEE" w:rsidRPr="00654A0B" w:rsidRDefault="00AF3FEE" w:rsidP="004A7C5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MOPE, Agencija za energijo, </w:t>
            </w:r>
            <w:r w:rsidR="004A7C53">
              <w:rPr>
                <w:rFonts w:ascii="Arial" w:hAnsi="Arial" w:cs="Arial"/>
                <w:color w:val="000000"/>
                <w:sz w:val="18"/>
                <w:szCs w:val="18"/>
              </w:rPr>
              <w:t>d</w:t>
            </w:r>
            <w:r w:rsidRPr="00654A0B">
              <w:rPr>
                <w:rFonts w:ascii="Arial" w:hAnsi="Arial" w:cs="Arial"/>
                <w:color w:val="000000"/>
                <w:sz w:val="18"/>
                <w:szCs w:val="18"/>
              </w:rPr>
              <w:t>obavitelji energije</w:t>
            </w:r>
          </w:p>
        </w:tc>
        <w:tc>
          <w:tcPr>
            <w:tcW w:w="992" w:type="dxa"/>
            <w:tcBorders>
              <w:top w:val="single" w:sz="8" w:space="0" w:color="auto"/>
              <w:left w:val="single" w:sz="8" w:space="0" w:color="auto"/>
              <w:bottom w:val="single" w:sz="8" w:space="0" w:color="auto"/>
              <w:right w:val="single" w:sz="8" w:space="0" w:color="auto"/>
            </w:tcBorders>
            <w:vAlign w:val="center"/>
          </w:tcPr>
          <w:p w14:paraId="3E2BEA8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35D02131" w14:textId="77777777" w:rsidR="00AF3FEE" w:rsidRPr="00654A0B" w:rsidRDefault="00AF3FEE" w:rsidP="00AF3FEE">
            <w:pPr>
              <w:spacing w:line="245" w:lineRule="auto"/>
              <w:jc w:val="both"/>
              <w:rPr>
                <w:rFonts w:ascii="Arial" w:eastAsia="Tahoma" w:hAnsi="Arial" w:cs="Arial"/>
                <w:noProof/>
                <w:sz w:val="18"/>
                <w:szCs w:val="18"/>
              </w:rPr>
            </w:pPr>
            <w:bookmarkStart w:id="118" w:name="RANGE!M13"/>
            <w:r w:rsidRPr="00654A0B">
              <w:rPr>
                <w:rFonts w:ascii="Arial" w:hAnsi="Arial" w:cs="Arial"/>
                <w:color w:val="000000"/>
                <w:sz w:val="18"/>
                <w:szCs w:val="18"/>
              </w:rPr>
              <w:t>NE</w:t>
            </w:r>
            <w:bookmarkEnd w:id="118"/>
          </w:p>
        </w:tc>
        <w:tc>
          <w:tcPr>
            <w:tcW w:w="775" w:type="dxa"/>
            <w:tcBorders>
              <w:top w:val="single" w:sz="8" w:space="0" w:color="auto"/>
              <w:left w:val="single" w:sz="8" w:space="0" w:color="auto"/>
              <w:bottom w:val="single" w:sz="8" w:space="0" w:color="auto"/>
              <w:right w:val="single" w:sz="8" w:space="0" w:color="auto"/>
            </w:tcBorders>
            <w:vAlign w:val="center"/>
          </w:tcPr>
          <w:p w14:paraId="0C9635D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M-10 </w:t>
            </w:r>
          </w:p>
        </w:tc>
      </w:tr>
      <w:tr w:rsidR="00AF3FEE" w:rsidRPr="00CE5F74" w14:paraId="6FF48BE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631089F" w14:textId="04FE2E1C"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w:t>
            </w:r>
            <w:r w:rsidR="00192C09">
              <w:rPr>
                <w:rFonts w:ascii="Arial" w:hAnsi="Arial" w:cs="Arial"/>
                <w:color w:val="000000"/>
                <w:sz w:val="18"/>
                <w:szCs w:val="18"/>
              </w:rPr>
              <w:t>1</w:t>
            </w:r>
          </w:p>
        </w:tc>
        <w:tc>
          <w:tcPr>
            <w:tcW w:w="1702" w:type="dxa"/>
            <w:tcBorders>
              <w:top w:val="single" w:sz="8" w:space="0" w:color="auto"/>
              <w:left w:val="single" w:sz="8" w:space="0" w:color="auto"/>
              <w:bottom w:val="single" w:sz="8" w:space="0" w:color="auto"/>
              <w:right w:val="single" w:sz="8" w:space="0" w:color="auto"/>
            </w:tcBorders>
            <w:vAlign w:val="center"/>
          </w:tcPr>
          <w:p w14:paraId="7224851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UPRAVLJANJE SPODBUD FOSILNIM GORIVOM</w:t>
            </w:r>
          </w:p>
        </w:tc>
        <w:tc>
          <w:tcPr>
            <w:tcW w:w="2048" w:type="dxa"/>
            <w:tcBorders>
              <w:top w:val="single" w:sz="8" w:space="0" w:color="auto"/>
              <w:left w:val="single" w:sz="8" w:space="0" w:color="auto"/>
              <w:bottom w:val="single" w:sz="8" w:space="0" w:color="auto"/>
              <w:right w:val="single" w:sz="8" w:space="0" w:color="auto"/>
            </w:tcBorders>
            <w:vAlign w:val="center"/>
          </w:tcPr>
          <w:p w14:paraId="7E13A31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Postopno zmanjševanje neposrednih in posrednih spodbud za rabo fosilnih goriv</w:t>
            </w:r>
          </w:p>
        </w:tc>
        <w:tc>
          <w:tcPr>
            <w:tcW w:w="1873" w:type="dxa"/>
            <w:tcBorders>
              <w:top w:val="single" w:sz="8" w:space="0" w:color="auto"/>
              <w:left w:val="single" w:sz="8" w:space="0" w:color="auto"/>
              <w:bottom w:val="single" w:sz="8" w:space="0" w:color="auto"/>
              <w:right w:val="single" w:sz="8" w:space="0" w:color="auto"/>
            </w:tcBorders>
            <w:vAlign w:val="center"/>
          </w:tcPr>
          <w:p w14:paraId="5263B4F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Zmanjšanje finančnih spodbud fosilnim gorivom</w:t>
            </w:r>
          </w:p>
        </w:tc>
        <w:tc>
          <w:tcPr>
            <w:tcW w:w="928" w:type="dxa"/>
            <w:tcBorders>
              <w:top w:val="single" w:sz="8" w:space="0" w:color="auto"/>
              <w:left w:val="single" w:sz="8" w:space="0" w:color="auto"/>
              <w:bottom w:val="single" w:sz="8" w:space="0" w:color="auto"/>
              <w:right w:val="single" w:sz="8" w:space="0" w:color="auto"/>
            </w:tcBorders>
            <w:vAlign w:val="center"/>
          </w:tcPr>
          <w:p w14:paraId="56234AD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22FA05E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Ekonomski, 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6CC1177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46ADA13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2027</w:t>
            </w:r>
          </w:p>
        </w:tc>
        <w:tc>
          <w:tcPr>
            <w:tcW w:w="813" w:type="dxa"/>
            <w:tcBorders>
              <w:top w:val="single" w:sz="8" w:space="0" w:color="auto"/>
              <w:left w:val="single" w:sz="8" w:space="0" w:color="auto"/>
              <w:bottom w:val="single" w:sz="8" w:space="0" w:color="auto"/>
              <w:right w:val="single" w:sz="8" w:space="0" w:color="auto"/>
            </w:tcBorders>
            <w:vAlign w:val="center"/>
          </w:tcPr>
          <w:p w14:paraId="0E0FBB24" w14:textId="29C6AC5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 1.A.2, 1.A.4.c</w:t>
            </w:r>
          </w:p>
        </w:tc>
        <w:tc>
          <w:tcPr>
            <w:tcW w:w="919" w:type="dxa"/>
            <w:tcBorders>
              <w:top w:val="single" w:sz="8" w:space="0" w:color="auto"/>
              <w:left w:val="single" w:sz="8" w:space="0" w:color="auto"/>
              <w:bottom w:val="single" w:sz="8" w:space="0" w:color="auto"/>
              <w:right w:val="single" w:sz="8" w:space="0" w:color="auto"/>
            </w:tcBorders>
            <w:vAlign w:val="center"/>
          </w:tcPr>
          <w:p w14:paraId="0C8B11F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 MF, MzI, MKGP, MGTŠ</w:t>
            </w:r>
          </w:p>
        </w:tc>
        <w:tc>
          <w:tcPr>
            <w:tcW w:w="992" w:type="dxa"/>
            <w:tcBorders>
              <w:top w:val="single" w:sz="8" w:space="0" w:color="auto"/>
              <w:left w:val="single" w:sz="8" w:space="0" w:color="auto"/>
              <w:bottom w:val="single" w:sz="8" w:space="0" w:color="auto"/>
              <w:right w:val="single" w:sz="8" w:space="0" w:color="auto"/>
            </w:tcBorders>
            <w:vAlign w:val="center"/>
          </w:tcPr>
          <w:p w14:paraId="4E3D324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1CBED02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300</w:t>
            </w:r>
          </w:p>
        </w:tc>
        <w:tc>
          <w:tcPr>
            <w:tcW w:w="775" w:type="dxa"/>
            <w:tcBorders>
              <w:top w:val="single" w:sz="8" w:space="0" w:color="auto"/>
              <w:left w:val="single" w:sz="8" w:space="0" w:color="auto"/>
              <w:bottom w:val="single" w:sz="8" w:space="0" w:color="auto"/>
              <w:right w:val="single" w:sz="8" w:space="0" w:color="auto"/>
            </w:tcBorders>
            <w:vAlign w:val="center"/>
          </w:tcPr>
          <w:p w14:paraId="5F44DD8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t>
            </w:r>
          </w:p>
        </w:tc>
      </w:tr>
      <w:tr w:rsidR="00AF3FEE" w:rsidRPr="00CE5F74" w14:paraId="05F8F476"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3A88F77" w14:textId="263B9E6C"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w:t>
            </w:r>
            <w:r w:rsidR="00192C09">
              <w:rPr>
                <w:rFonts w:ascii="Arial" w:hAnsi="Arial" w:cs="Arial"/>
                <w:color w:val="000000"/>
                <w:sz w:val="18"/>
                <w:szCs w:val="18"/>
              </w:rPr>
              <w:t>2</w:t>
            </w:r>
          </w:p>
        </w:tc>
        <w:tc>
          <w:tcPr>
            <w:tcW w:w="1702" w:type="dxa"/>
            <w:tcBorders>
              <w:top w:val="single" w:sz="8" w:space="0" w:color="auto"/>
              <w:left w:val="single" w:sz="8" w:space="0" w:color="auto"/>
              <w:bottom w:val="single" w:sz="8" w:space="0" w:color="auto"/>
              <w:right w:val="single" w:sz="8" w:space="0" w:color="auto"/>
            </w:tcBorders>
            <w:vAlign w:val="center"/>
          </w:tcPr>
          <w:p w14:paraId="44947AA8" w14:textId="77777777" w:rsidR="00AF3FEE" w:rsidRPr="00654A0B" w:rsidRDefault="00AF3FEE" w:rsidP="00AF3FEE">
            <w:pPr>
              <w:spacing w:line="245" w:lineRule="auto"/>
              <w:jc w:val="both"/>
              <w:rPr>
                <w:rFonts w:ascii="Arial" w:hAnsi="Arial" w:cs="Arial"/>
                <w:sz w:val="18"/>
                <w:szCs w:val="18"/>
              </w:rPr>
            </w:pPr>
            <w:r w:rsidRPr="004A7C53">
              <w:rPr>
                <w:rFonts w:ascii="Arial" w:hAnsi="Arial" w:cs="Arial"/>
                <w:color w:val="000000"/>
                <w:sz w:val="18"/>
                <w:szCs w:val="18"/>
              </w:rPr>
              <w:t>NOVI FINANČNI</w:t>
            </w:r>
            <w:r w:rsidRPr="00654A0B">
              <w:rPr>
                <w:rFonts w:ascii="Arial" w:hAnsi="Arial" w:cs="Arial"/>
                <w:color w:val="000000"/>
                <w:sz w:val="18"/>
                <w:szCs w:val="18"/>
              </w:rPr>
              <w:t xml:space="preserve"> INŠTRUMENTI ZA PREHOD V NOD</w:t>
            </w:r>
          </w:p>
        </w:tc>
        <w:tc>
          <w:tcPr>
            <w:tcW w:w="2048" w:type="dxa"/>
            <w:tcBorders>
              <w:top w:val="single" w:sz="8" w:space="0" w:color="auto"/>
              <w:left w:val="single" w:sz="8" w:space="0" w:color="auto"/>
              <w:bottom w:val="single" w:sz="8" w:space="0" w:color="auto"/>
              <w:right w:val="single" w:sz="8" w:space="0" w:color="auto"/>
            </w:tcBorders>
            <w:vAlign w:val="center"/>
          </w:tcPr>
          <w:p w14:paraId="0F32623D" w14:textId="17B53D92"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Novi oz</w:t>
            </w:r>
            <w:r w:rsidR="004F2B0D">
              <w:rPr>
                <w:rFonts w:ascii="Arial" w:hAnsi="Arial" w:cs="Arial"/>
                <w:color w:val="000000"/>
                <w:sz w:val="18"/>
                <w:szCs w:val="18"/>
              </w:rPr>
              <w:t>iroma</w:t>
            </w:r>
            <w:r w:rsidRPr="00654A0B">
              <w:rPr>
                <w:rFonts w:ascii="Arial" w:hAnsi="Arial" w:cs="Arial"/>
                <w:color w:val="000000"/>
                <w:sz w:val="18"/>
                <w:szCs w:val="18"/>
              </w:rPr>
              <w:t xml:space="preserve"> nadgrajeni ukrepi finančne narave in pomoči izvajalcem/investitorjem za spodbujanje prehoda v nizkoogljično družbo </w:t>
            </w:r>
          </w:p>
        </w:tc>
        <w:tc>
          <w:tcPr>
            <w:tcW w:w="1873" w:type="dxa"/>
            <w:tcBorders>
              <w:top w:val="single" w:sz="8" w:space="0" w:color="auto"/>
              <w:left w:val="single" w:sz="8" w:space="0" w:color="auto"/>
              <w:bottom w:val="single" w:sz="8" w:space="0" w:color="auto"/>
              <w:right w:val="single" w:sz="8" w:space="0" w:color="auto"/>
            </w:tcBorders>
            <w:vAlign w:val="center"/>
          </w:tcPr>
          <w:p w14:paraId="1AEF8485" w14:textId="1F07C323" w:rsidR="00AF3FEE" w:rsidRPr="00654A0B" w:rsidRDefault="00AF3FEE" w:rsidP="004A7C53">
            <w:pPr>
              <w:spacing w:line="245" w:lineRule="auto"/>
              <w:jc w:val="both"/>
              <w:rPr>
                <w:rFonts w:ascii="Arial" w:hAnsi="Arial" w:cs="Arial"/>
                <w:sz w:val="18"/>
                <w:szCs w:val="18"/>
              </w:rPr>
            </w:pPr>
            <w:r w:rsidRPr="00654A0B">
              <w:rPr>
                <w:rFonts w:ascii="Arial" w:hAnsi="Arial" w:cs="Arial"/>
                <w:color w:val="000000"/>
                <w:sz w:val="18"/>
                <w:szCs w:val="18"/>
              </w:rPr>
              <w:t xml:space="preserve">Pospešiti razvoj investicij URE in OVE, </w:t>
            </w:r>
            <w:r w:rsidR="004A7C53">
              <w:rPr>
                <w:rFonts w:ascii="Arial" w:hAnsi="Arial" w:cs="Arial"/>
                <w:color w:val="000000"/>
                <w:sz w:val="18"/>
                <w:szCs w:val="18"/>
              </w:rPr>
              <w:t>i</w:t>
            </w:r>
            <w:r w:rsidRPr="00654A0B">
              <w:rPr>
                <w:rFonts w:ascii="Arial" w:hAnsi="Arial" w:cs="Arial"/>
                <w:color w:val="000000"/>
                <w:sz w:val="18"/>
                <w:szCs w:val="18"/>
              </w:rPr>
              <w:t>zboljšati usposobljenost pripravljavcev in izvajalcev ukrepov</w:t>
            </w:r>
          </w:p>
        </w:tc>
        <w:tc>
          <w:tcPr>
            <w:tcW w:w="928" w:type="dxa"/>
            <w:tcBorders>
              <w:top w:val="single" w:sz="8" w:space="0" w:color="auto"/>
              <w:left w:val="single" w:sz="8" w:space="0" w:color="auto"/>
              <w:bottom w:val="single" w:sz="8" w:space="0" w:color="auto"/>
              <w:right w:val="single" w:sz="8" w:space="0" w:color="auto"/>
            </w:tcBorders>
            <w:vAlign w:val="center"/>
          </w:tcPr>
          <w:p w14:paraId="71BBAB4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7A7594D" w14:textId="31EFD351" w:rsidR="00AF3FEE" w:rsidRPr="00654A0B" w:rsidRDefault="00AF3FEE" w:rsidP="007474CA">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Ekonomski, </w:t>
            </w:r>
            <w:r w:rsidR="004A7C53">
              <w:rPr>
                <w:rFonts w:ascii="Arial" w:hAnsi="Arial" w:cs="Arial"/>
                <w:color w:val="000000"/>
                <w:sz w:val="18"/>
                <w:szCs w:val="18"/>
              </w:rPr>
              <w:t>informativ</w:t>
            </w:r>
            <w:r w:rsidR="007474CA">
              <w:rPr>
                <w:rFonts w:ascii="Arial" w:hAnsi="Arial" w:cs="Arial"/>
                <w:color w:val="000000"/>
                <w:sz w:val="18"/>
                <w:szCs w:val="18"/>
              </w:rPr>
              <w:t>ni</w:t>
            </w:r>
            <w:r w:rsidRPr="00654A0B">
              <w:rPr>
                <w:rFonts w:ascii="Arial" w:hAnsi="Arial" w:cs="Arial"/>
                <w:color w:val="000000"/>
                <w:sz w:val="18"/>
                <w:szCs w:val="18"/>
              </w:rPr>
              <w:t xml:space="preserve">, </w:t>
            </w:r>
            <w:r w:rsidR="007474CA">
              <w:rPr>
                <w:rFonts w:ascii="Arial" w:hAnsi="Arial" w:cs="Arial"/>
                <w:color w:val="000000"/>
                <w:sz w:val="18"/>
                <w:szCs w:val="18"/>
              </w:rPr>
              <w:t>i</w:t>
            </w:r>
            <w:r w:rsidR="004A7C53" w:rsidRPr="00654A0B">
              <w:rPr>
                <w:rFonts w:ascii="Arial" w:hAnsi="Arial" w:cs="Arial"/>
                <w:color w:val="000000"/>
                <w:sz w:val="18"/>
                <w:szCs w:val="18"/>
              </w:rPr>
              <w:t>zobraževa</w:t>
            </w:r>
            <w:r w:rsidR="004A7C53">
              <w:rPr>
                <w:rFonts w:ascii="Arial" w:hAnsi="Arial" w:cs="Arial"/>
                <w:color w:val="000000"/>
                <w:sz w:val="18"/>
                <w:szCs w:val="18"/>
              </w:rPr>
              <w:t>l</w:t>
            </w:r>
            <w:r w:rsidR="007474CA">
              <w:rPr>
                <w:rFonts w:ascii="Arial" w:hAnsi="Arial" w:cs="Arial"/>
                <w:color w:val="000000"/>
                <w:sz w:val="18"/>
                <w:szCs w:val="18"/>
              </w:rPr>
              <w:t>ni</w:t>
            </w:r>
          </w:p>
        </w:tc>
        <w:tc>
          <w:tcPr>
            <w:tcW w:w="1008" w:type="dxa"/>
            <w:tcBorders>
              <w:top w:val="single" w:sz="8" w:space="0" w:color="auto"/>
              <w:left w:val="single" w:sz="8" w:space="0" w:color="auto"/>
              <w:bottom w:val="single" w:sz="8" w:space="0" w:color="auto"/>
              <w:right w:val="single" w:sz="8" w:space="0" w:color="auto"/>
            </w:tcBorders>
            <w:vAlign w:val="center"/>
          </w:tcPr>
          <w:p w14:paraId="7A19BEF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Sprejet</w:t>
            </w:r>
          </w:p>
        </w:tc>
        <w:tc>
          <w:tcPr>
            <w:tcW w:w="958" w:type="dxa"/>
            <w:tcBorders>
              <w:top w:val="single" w:sz="8" w:space="0" w:color="auto"/>
              <w:left w:val="single" w:sz="8" w:space="0" w:color="auto"/>
              <w:bottom w:val="single" w:sz="8" w:space="0" w:color="auto"/>
              <w:right w:val="single" w:sz="8" w:space="0" w:color="auto"/>
            </w:tcBorders>
            <w:vAlign w:val="center"/>
          </w:tcPr>
          <w:p w14:paraId="48BF8AA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2024</w:t>
            </w:r>
          </w:p>
        </w:tc>
        <w:tc>
          <w:tcPr>
            <w:tcW w:w="813" w:type="dxa"/>
            <w:tcBorders>
              <w:top w:val="single" w:sz="8" w:space="0" w:color="auto"/>
              <w:left w:val="single" w:sz="8" w:space="0" w:color="auto"/>
              <w:bottom w:val="single" w:sz="8" w:space="0" w:color="auto"/>
              <w:right w:val="single" w:sz="8" w:space="0" w:color="auto"/>
            </w:tcBorders>
            <w:vAlign w:val="center"/>
          </w:tcPr>
          <w:p w14:paraId="7736233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1.A.4.a, 1.A.4.b, 1.A.3, 1.A.1</w:t>
            </w:r>
          </w:p>
        </w:tc>
        <w:tc>
          <w:tcPr>
            <w:tcW w:w="919" w:type="dxa"/>
            <w:tcBorders>
              <w:top w:val="single" w:sz="8" w:space="0" w:color="auto"/>
              <w:left w:val="single" w:sz="8" w:space="0" w:color="auto"/>
              <w:bottom w:val="single" w:sz="8" w:space="0" w:color="auto"/>
              <w:right w:val="single" w:sz="8" w:space="0" w:color="auto"/>
            </w:tcBorders>
            <w:vAlign w:val="center"/>
          </w:tcPr>
          <w:p w14:paraId="72F2084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4A34DCE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690BFBB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0BC454E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t>
            </w:r>
          </w:p>
        </w:tc>
      </w:tr>
      <w:tr w:rsidR="00AF3FEE" w:rsidRPr="00CE5F74" w14:paraId="3AD58E99"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AC7199A" w14:textId="58395C31"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M-1</w:t>
            </w:r>
            <w:r w:rsidR="00192C09">
              <w:rPr>
                <w:rFonts w:ascii="Arial" w:hAnsi="Arial" w:cs="Arial"/>
                <w:color w:val="000000"/>
                <w:sz w:val="18"/>
                <w:szCs w:val="18"/>
              </w:rPr>
              <w:t>3</w:t>
            </w:r>
          </w:p>
        </w:tc>
        <w:tc>
          <w:tcPr>
            <w:tcW w:w="1702" w:type="dxa"/>
            <w:tcBorders>
              <w:top w:val="single" w:sz="8" w:space="0" w:color="auto"/>
              <w:left w:val="single" w:sz="8" w:space="0" w:color="auto"/>
              <w:bottom w:val="single" w:sz="8" w:space="0" w:color="auto"/>
              <w:right w:val="single" w:sz="8" w:space="0" w:color="auto"/>
            </w:tcBorders>
            <w:vAlign w:val="center"/>
          </w:tcPr>
          <w:p w14:paraId="032DEE68"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UKREPI NA PODROČJU RAZISKAV, INOVACIJ IN KONKURENČNOSTI ZA ZELENO RAST GOSPODARSTVA</w:t>
            </w:r>
          </w:p>
        </w:tc>
        <w:tc>
          <w:tcPr>
            <w:tcW w:w="2048" w:type="dxa"/>
            <w:tcBorders>
              <w:top w:val="single" w:sz="8" w:space="0" w:color="auto"/>
              <w:left w:val="single" w:sz="8" w:space="0" w:color="auto"/>
              <w:bottom w:val="single" w:sz="8" w:space="0" w:color="auto"/>
              <w:right w:val="single" w:sz="8" w:space="0" w:color="auto"/>
            </w:tcBorders>
            <w:vAlign w:val="center"/>
          </w:tcPr>
          <w:p w14:paraId="141FCDD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Ukrepi na področju raziskav, inovacij in konkurenčnosti za zeleno rast gospodarstva</w:t>
            </w:r>
          </w:p>
        </w:tc>
        <w:tc>
          <w:tcPr>
            <w:tcW w:w="1873" w:type="dxa"/>
            <w:tcBorders>
              <w:top w:val="single" w:sz="8" w:space="0" w:color="auto"/>
              <w:left w:val="single" w:sz="8" w:space="0" w:color="auto"/>
              <w:bottom w:val="single" w:sz="8" w:space="0" w:color="auto"/>
              <w:right w:val="single" w:sz="8" w:space="0" w:color="auto"/>
            </w:tcBorders>
            <w:vAlign w:val="center"/>
          </w:tcPr>
          <w:p w14:paraId="23299F6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Omogočiti prehod v nizkoogljično družbo</w:t>
            </w:r>
          </w:p>
        </w:tc>
        <w:tc>
          <w:tcPr>
            <w:tcW w:w="928" w:type="dxa"/>
            <w:tcBorders>
              <w:top w:val="single" w:sz="8" w:space="0" w:color="auto"/>
              <w:left w:val="single" w:sz="8" w:space="0" w:color="auto"/>
              <w:bottom w:val="single" w:sz="8" w:space="0" w:color="auto"/>
              <w:right w:val="single" w:sz="8" w:space="0" w:color="auto"/>
            </w:tcBorders>
            <w:vAlign w:val="center"/>
          </w:tcPr>
          <w:p w14:paraId="0ED6316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A3117BA" w14:textId="588A8E62" w:rsidR="00AF3FEE" w:rsidRPr="00654A0B" w:rsidRDefault="00AF3FEE" w:rsidP="00724923">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Ekonomski, </w:t>
            </w:r>
            <w:r w:rsidR="00724923">
              <w:rPr>
                <w:rFonts w:ascii="Arial" w:hAnsi="Arial" w:cs="Arial"/>
                <w:color w:val="000000"/>
                <w:sz w:val="18"/>
                <w:szCs w:val="18"/>
              </w:rPr>
              <w:t>i</w:t>
            </w:r>
            <w:r w:rsidR="00724923" w:rsidRPr="00654A0B">
              <w:rPr>
                <w:rFonts w:ascii="Arial" w:hAnsi="Arial" w:cs="Arial"/>
                <w:color w:val="000000"/>
                <w:sz w:val="18"/>
                <w:szCs w:val="18"/>
              </w:rPr>
              <w:t>zobraževa</w:t>
            </w:r>
            <w:r w:rsidR="007474CA">
              <w:rPr>
                <w:rFonts w:ascii="Arial" w:hAnsi="Arial" w:cs="Arial"/>
                <w:color w:val="000000"/>
                <w:sz w:val="18"/>
                <w:szCs w:val="18"/>
              </w:rPr>
              <w:t>lni</w:t>
            </w:r>
          </w:p>
        </w:tc>
        <w:tc>
          <w:tcPr>
            <w:tcW w:w="1008" w:type="dxa"/>
            <w:tcBorders>
              <w:top w:val="single" w:sz="8" w:space="0" w:color="auto"/>
              <w:left w:val="single" w:sz="8" w:space="0" w:color="auto"/>
              <w:bottom w:val="single" w:sz="8" w:space="0" w:color="auto"/>
              <w:right w:val="single" w:sz="8" w:space="0" w:color="auto"/>
            </w:tcBorders>
            <w:vAlign w:val="center"/>
          </w:tcPr>
          <w:p w14:paraId="58680AF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2A79A21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174CFA1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1.A.2, 1.A.4, 1.A.3</w:t>
            </w:r>
          </w:p>
        </w:tc>
        <w:tc>
          <w:tcPr>
            <w:tcW w:w="919" w:type="dxa"/>
            <w:tcBorders>
              <w:top w:val="single" w:sz="8" w:space="0" w:color="auto"/>
              <w:left w:val="single" w:sz="8" w:space="0" w:color="auto"/>
              <w:bottom w:val="single" w:sz="8" w:space="0" w:color="auto"/>
              <w:right w:val="single" w:sz="8" w:space="0" w:color="auto"/>
            </w:tcBorders>
            <w:vAlign w:val="center"/>
          </w:tcPr>
          <w:p w14:paraId="7F23301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MVZI, MGTŠ, MF, MOPE, MVI</w:t>
            </w:r>
          </w:p>
        </w:tc>
        <w:tc>
          <w:tcPr>
            <w:tcW w:w="992" w:type="dxa"/>
            <w:tcBorders>
              <w:top w:val="single" w:sz="8" w:space="0" w:color="auto"/>
              <w:left w:val="single" w:sz="8" w:space="0" w:color="auto"/>
              <w:bottom w:val="single" w:sz="8" w:space="0" w:color="auto"/>
              <w:right w:val="single" w:sz="8" w:space="0" w:color="auto"/>
            </w:tcBorders>
            <w:vAlign w:val="center"/>
          </w:tcPr>
          <w:p w14:paraId="03F936E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0ABD081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10EBA2E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t>
            </w:r>
          </w:p>
        </w:tc>
      </w:tr>
      <w:tr w:rsidR="00AF3FEE" w:rsidRPr="00CE5F74" w14:paraId="45F93F8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2DCC6823" w14:textId="2B929E2A"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w:t>
            </w:r>
            <w:r w:rsidR="00192C09">
              <w:rPr>
                <w:rFonts w:ascii="Arial" w:hAnsi="Arial" w:cs="Arial"/>
                <w:color w:val="000000"/>
                <w:sz w:val="18"/>
                <w:szCs w:val="18"/>
              </w:rPr>
              <w:t>4</w:t>
            </w:r>
          </w:p>
        </w:tc>
        <w:tc>
          <w:tcPr>
            <w:tcW w:w="1702" w:type="dxa"/>
            <w:tcBorders>
              <w:top w:val="single" w:sz="8" w:space="0" w:color="auto"/>
              <w:left w:val="single" w:sz="8" w:space="0" w:color="auto"/>
              <w:bottom w:val="single" w:sz="8" w:space="0" w:color="auto"/>
              <w:right w:val="single" w:sz="8" w:space="0" w:color="auto"/>
            </w:tcBorders>
            <w:vAlign w:val="center"/>
          </w:tcPr>
          <w:p w14:paraId="15C3D76A" w14:textId="56853C23" w:rsidR="00AF3FEE" w:rsidRPr="00654A0B" w:rsidRDefault="00AF3FEE" w:rsidP="007474CA">
            <w:pPr>
              <w:spacing w:line="245" w:lineRule="auto"/>
              <w:jc w:val="both"/>
              <w:rPr>
                <w:rFonts w:ascii="Arial" w:hAnsi="Arial" w:cs="Arial"/>
                <w:sz w:val="18"/>
                <w:szCs w:val="18"/>
              </w:rPr>
            </w:pPr>
            <w:r w:rsidRPr="00654A0B">
              <w:rPr>
                <w:rFonts w:ascii="Arial" w:hAnsi="Arial" w:cs="Arial"/>
                <w:color w:val="000000"/>
                <w:sz w:val="18"/>
                <w:szCs w:val="18"/>
              </w:rPr>
              <w:t xml:space="preserve">IZBOLJŠANJE PROSTORSKEGA NAČRTOVANJA ZA PODPORO IZVAJANJU UKREPOV URE </w:t>
            </w:r>
            <w:r w:rsidR="007474CA">
              <w:rPr>
                <w:rFonts w:ascii="Arial" w:hAnsi="Arial" w:cs="Arial"/>
                <w:color w:val="000000"/>
                <w:sz w:val="18"/>
                <w:szCs w:val="18"/>
              </w:rPr>
              <w:t xml:space="preserve">IN </w:t>
            </w:r>
            <w:r w:rsidRPr="00654A0B">
              <w:rPr>
                <w:rFonts w:ascii="Arial" w:hAnsi="Arial" w:cs="Arial"/>
                <w:color w:val="000000"/>
                <w:sz w:val="18"/>
                <w:szCs w:val="18"/>
              </w:rPr>
              <w:t>OVE</w:t>
            </w:r>
          </w:p>
        </w:tc>
        <w:tc>
          <w:tcPr>
            <w:tcW w:w="2048" w:type="dxa"/>
            <w:tcBorders>
              <w:top w:val="single" w:sz="8" w:space="0" w:color="auto"/>
              <w:left w:val="single" w:sz="8" w:space="0" w:color="auto"/>
              <w:bottom w:val="single" w:sz="8" w:space="0" w:color="auto"/>
              <w:right w:val="single" w:sz="8" w:space="0" w:color="auto"/>
            </w:tcBorders>
            <w:vAlign w:val="center"/>
          </w:tcPr>
          <w:p w14:paraId="152BC90A" w14:textId="323815B9" w:rsidR="00AF3FEE" w:rsidRPr="00654A0B" w:rsidRDefault="00AF3FEE" w:rsidP="007474CA">
            <w:pPr>
              <w:spacing w:line="245" w:lineRule="auto"/>
              <w:jc w:val="both"/>
              <w:rPr>
                <w:rFonts w:ascii="Arial" w:hAnsi="Arial" w:cs="Arial"/>
                <w:sz w:val="18"/>
                <w:szCs w:val="18"/>
              </w:rPr>
            </w:pPr>
            <w:r w:rsidRPr="00654A0B">
              <w:rPr>
                <w:rFonts w:ascii="Arial" w:hAnsi="Arial" w:cs="Arial"/>
                <w:color w:val="000000"/>
                <w:sz w:val="18"/>
                <w:szCs w:val="18"/>
              </w:rPr>
              <w:t xml:space="preserve">Aktivnosti za boljšo vključitev ukrepov URE </w:t>
            </w:r>
            <w:r w:rsidR="007474CA">
              <w:rPr>
                <w:rFonts w:ascii="Arial" w:hAnsi="Arial" w:cs="Arial"/>
                <w:color w:val="000000"/>
                <w:sz w:val="18"/>
                <w:szCs w:val="18"/>
              </w:rPr>
              <w:t>ter</w:t>
            </w:r>
            <w:r w:rsidRPr="00654A0B">
              <w:rPr>
                <w:rFonts w:ascii="Arial" w:hAnsi="Arial" w:cs="Arial"/>
                <w:color w:val="000000"/>
                <w:sz w:val="18"/>
                <w:szCs w:val="18"/>
              </w:rPr>
              <w:t xml:space="preserve"> umeščanja virov OVE </w:t>
            </w:r>
            <w:r w:rsidR="007474CA">
              <w:rPr>
                <w:rFonts w:ascii="Arial" w:hAnsi="Arial" w:cs="Arial"/>
                <w:color w:val="000000"/>
                <w:sz w:val="18"/>
                <w:szCs w:val="18"/>
              </w:rPr>
              <w:t>in</w:t>
            </w:r>
            <w:r w:rsidRPr="00654A0B">
              <w:rPr>
                <w:rFonts w:ascii="Arial" w:hAnsi="Arial" w:cs="Arial"/>
                <w:color w:val="000000"/>
                <w:sz w:val="18"/>
                <w:szCs w:val="18"/>
              </w:rPr>
              <w:t xml:space="preserve"> NO v prostorsko načrtovanje na vseh ravneh</w:t>
            </w:r>
          </w:p>
        </w:tc>
        <w:tc>
          <w:tcPr>
            <w:tcW w:w="1873" w:type="dxa"/>
            <w:tcBorders>
              <w:top w:val="single" w:sz="8" w:space="0" w:color="auto"/>
              <w:left w:val="single" w:sz="8" w:space="0" w:color="auto"/>
              <w:bottom w:val="single" w:sz="8" w:space="0" w:color="auto"/>
              <w:right w:val="single" w:sz="8" w:space="0" w:color="auto"/>
            </w:tcBorders>
            <w:vAlign w:val="center"/>
          </w:tcPr>
          <w:p w14:paraId="4BCC3BB4" w14:textId="7BEBA746" w:rsidR="00AF3FEE" w:rsidRPr="00654A0B" w:rsidRDefault="00AF3FEE" w:rsidP="00724923">
            <w:pPr>
              <w:spacing w:line="245" w:lineRule="auto"/>
              <w:jc w:val="both"/>
              <w:rPr>
                <w:rFonts w:ascii="Arial" w:hAnsi="Arial" w:cs="Arial"/>
                <w:sz w:val="18"/>
                <w:szCs w:val="18"/>
              </w:rPr>
            </w:pPr>
            <w:r w:rsidRPr="00654A0B">
              <w:rPr>
                <w:rFonts w:ascii="Arial" w:hAnsi="Arial" w:cs="Arial"/>
                <w:color w:val="000000"/>
                <w:sz w:val="18"/>
                <w:szCs w:val="18"/>
              </w:rPr>
              <w:t xml:space="preserve">Izboljšanje izvajanja ukrepov URE ter izrabe OVE in NO virov </w:t>
            </w:r>
            <w:r w:rsidR="00724923">
              <w:rPr>
                <w:rFonts w:ascii="Arial" w:hAnsi="Arial" w:cs="Arial"/>
                <w:color w:val="000000"/>
                <w:sz w:val="18"/>
                <w:szCs w:val="18"/>
              </w:rPr>
              <w:t>z</w:t>
            </w:r>
            <w:r w:rsidR="00724923" w:rsidRPr="00654A0B">
              <w:rPr>
                <w:rFonts w:ascii="Arial" w:hAnsi="Arial" w:cs="Arial"/>
                <w:color w:val="000000"/>
                <w:sz w:val="18"/>
                <w:szCs w:val="18"/>
              </w:rPr>
              <w:t xml:space="preserve"> izboljšanj</w:t>
            </w:r>
            <w:r w:rsidR="00724923">
              <w:rPr>
                <w:rFonts w:ascii="Arial" w:hAnsi="Arial" w:cs="Arial"/>
                <w:color w:val="000000"/>
                <w:sz w:val="18"/>
                <w:szCs w:val="18"/>
              </w:rPr>
              <w:t>em</w:t>
            </w:r>
            <w:r w:rsidR="00724923" w:rsidRPr="00654A0B">
              <w:rPr>
                <w:rFonts w:ascii="Arial" w:hAnsi="Arial" w:cs="Arial"/>
                <w:color w:val="000000"/>
                <w:sz w:val="18"/>
                <w:szCs w:val="18"/>
              </w:rPr>
              <w:t xml:space="preserve"> </w:t>
            </w:r>
            <w:r w:rsidRPr="00654A0B">
              <w:rPr>
                <w:rFonts w:ascii="Arial" w:hAnsi="Arial" w:cs="Arial"/>
                <w:color w:val="000000"/>
                <w:sz w:val="18"/>
                <w:szCs w:val="18"/>
              </w:rPr>
              <w:t>umeščanja v prostor</w:t>
            </w:r>
          </w:p>
        </w:tc>
        <w:tc>
          <w:tcPr>
            <w:tcW w:w="928" w:type="dxa"/>
            <w:tcBorders>
              <w:top w:val="single" w:sz="8" w:space="0" w:color="auto"/>
              <w:left w:val="single" w:sz="8" w:space="0" w:color="auto"/>
              <w:bottom w:val="single" w:sz="8" w:space="0" w:color="auto"/>
              <w:right w:val="single" w:sz="8" w:space="0" w:color="auto"/>
            </w:tcBorders>
            <w:vAlign w:val="center"/>
          </w:tcPr>
          <w:p w14:paraId="751B55A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34B1219C" w14:textId="1A7D25CA" w:rsidR="00AF3FEE" w:rsidRPr="00654A0B" w:rsidRDefault="00AF3FEE" w:rsidP="007A6BA4">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Načrtovanje, </w:t>
            </w:r>
            <w:r w:rsidR="007A6BA4">
              <w:rPr>
                <w:rFonts w:ascii="Arial" w:hAnsi="Arial" w:cs="Arial"/>
                <w:color w:val="000000"/>
                <w:sz w:val="18"/>
                <w:szCs w:val="18"/>
              </w:rPr>
              <w:t>z</w:t>
            </w:r>
            <w:r w:rsidRPr="00654A0B">
              <w:rPr>
                <w:rFonts w:ascii="Arial" w:hAnsi="Arial" w:cs="Arial"/>
                <w:color w:val="000000"/>
                <w:sz w:val="18"/>
                <w:szCs w:val="18"/>
              </w:rPr>
              <w:t>akonodajni</w:t>
            </w:r>
          </w:p>
        </w:tc>
        <w:tc>
          <w:tcPr>
            <w:tcW w:w="1008" w:type="dxa"/>
            <w:tcBorders>
              <w:top w:val="single" w:sz="8" w:space="0" w:color="auto"/>
              <w:left w:val="single" w:sz="8" w:space="0" w:color="auto"/>
              <w:bottom w:val="single" w:sz="8" w:space="0" w:color="auto"/>
              <w:right w:val="single" w:sz="8" w:space="0" w:color="auto"/>
            </w:tcBorders>
            <w:vAlign w:val="center"/>
          </w:tcPr>
          <w:p w14:paraId="0A633DF5" w14:textId="75567F09" w:rsidR="00AF3FEE" w:rsidRPr="00654A0B" w:rsidRDefault="009B3FC7" w:rsidP="00AF3FEE">
            <w:pPr>
              <w:spacing w:line="245" w:lineRule="auto"/>
              <w:jc w:val="both"/>
              <w:rPr>
                <w:rFonts w:ascii="Arial" w:eastAsia="Tahoma" w:hAnsi="Arial" w:cs="Arial"/>
                <w:noProof/>
                <w:sz w:val="18"/>
                <w:szCs w:val="18"/>
              </w:rPr>
            </w:pPr>
            <w:r w:rsidRPr="009B3FC7">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1C4CA32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431B6C5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1.A.1, 1.A.3, 1.A.2, 1.A.4</w:t>
            </w:r>
          </w:p>
        </w:tc>
        <w:tc>
          <w:tcPr>
            <w:tcW w:w="919" w:type="dxa"/>
            <w:tcBorders>
              <w:top w:val="single" w:sz="8" w:space="0" w:color="auto"/>
              <w:left w:val="single" w:sz="8" w:space="0" w:color="auto"/>
              <w:bottom w:val="single" w:sz="8" w:space="0" w:color="auto"/>
              <w:right w:val="single" w:sz="8" w:space="0" w:color="auto"/>
            </w:tcBorders>
            <w:vAlign w:val="center"/>
          </w:tcPr>
          <w:p w14:paraId="0E179A9A" w14:textId="4E1F6583" w:rsidR="00AF3FEE" w:rsidRPr="00654A0B" w:rsidRDefault="00AF3FEE" w:rsidP="007474CA">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MOPE, MNVP, </w:t>
            </w:r>
            <w:r w:rsidR="007474CA">
              <w:rPr>
                <w:rFonts w:ascii="Arial" w:hAnsi="Arial" w:cs="Arial"/>
                <w:color w:val="000000"/>
                <w:sz w:val="18"/>
                <w:szCs w:val="18"/>
              </w:rPr>
              <w:t>o</w:t>
            </w:r>
            <w:r w:rsidRPr="00654A0B">
              <w:rPr>
                <w:rFonts w:ascii="Arial" w:hAnsi="Arial" w:cs="Arial"/>
                <w:color w:val="000000"/>
                <w:sz w:val="18"/>
                <w:szCs w:val="18"/>
              </w:rPr>
              <w:t>bčine</w:t>
            </w:r>
          </w:p>
        </w:tc>
        <w:tc>
          <w:tcPr>
            <w:tcW w:w="992" w:type="dxa"/>
            <w:tcBorders>
              <w:top w:val="single" w:sz="8" w:space="0" w:color="auto"/>
              <w:left w:val="single" w:sz="8" w:space="0" w:color="auto"/>
              <w:bottom w:val="single" w:sz="8" w:space="0" w:color="auto"/>
              <w:right w:val="single" w:sz="8" w:space="0" w:color="auto"/>
            </w:tcBorders>
            <w:vAlign w:val="center"/>
          </w:tcPr>
          <w:p w14:paraId="3A92AF6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285F073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60A5715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t>
            </w:r>
          </w:p>
        </w:tc>
      </w:tr>
      <w:tr w:rsidR="00AF3FEE" w:rsidRPr="00CE5F74" w14:paraId="653DE886" w14:textId="77777777" w:rsidTr="006D46D8">
        <w:tc>
          <w:tcPr>
            <w:tcW w:w="14838" w:type="dxa"/>
            <w:gridSpan w:val="14"/>
            <w:tcBorders>
              <w:top w:val="single" w:sz="8" w:space="0" w:color="auto"/>
              <w:left w:val="single" w:sz="8" w:space="0" w:color="auto"/>
              <w:bottom w:val="single" w:sz="8" w:space="0" w:color="auto"/>
              <w:right w:val="single" w:sz="8" w:space="0" w:color="auto"/>
            </w:tcBorders>
            <w:vAlign w:val="center"/>
          </w:tcPr>
          <w:p w14:paraId="0607686E" w14:textId="77777777" w:rsidR="00AF3FEE" w:rsidRPr="00654A0B" w:rsidRDefault="00AF3FEE" w:rsidP="00AF3FEE">
            <w:pPr>
              <w:spacing w:line="245" w:lineRule="auto"/>
              <w:jc w:val="both"/>
              <w:rPr>
                <w:rFonts w:ascii="Arial" w:eastAsia="Tahoma" w:hAnsi="Arial" w:cs="Arial"/>
                <w:b/>
                <w:bCs/>
                <w:noProof/>
                <w:sz w:val="18"/>
                <w:szCs w:val="18"/>
              </w:rPr>
            </w:pPr>
            <w:r w:rsidRPr="00654A0B">
              <w:rPr>
                <w:rFonts w:ascii="Arial" w:eastAsia="Tahoma" w:hAnsi="Arial" w:cs="Arial"/>
                <w:b/>
                <w:bCs/>
                <w:noProof/>
                <w:sz w:val="18"/>
                <w:szCs w:val="18"/>
              </w:rPr>
              <w:t>OSKRBA Z ENERGIJO</w:t>
            </w:r>
          </w:p>
        </w:tc>
      </w:tr>
      <w:tr w:rsidR="00AF3FEE" w:rsidRPr="00CE5F74" w14:paraId="013DCFBF"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30E4F19" w14:textId="32CA8D59"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 M-1</w:t>
            </w:r>
            <w:r w:rsidR="00192C09">
              <w:rPr>
                <w:rFonts w:ascii="Arial" w:hAnsi="Arial" w:cs="Arial"/>
                <w:color w:val="000000"/>
                <w:sz w:val="18"/>
                <w:szCs w:val="18"/>
              </w:rPr>
              <w:t>5</w:t>
            </w:r>
          </w:p>
        </w:tc>
        <w:tc>
          <w:tcPr>
            <w:tcW w:w="1702" w:type="dxa"/>
            <w:tcBorders>
              <w:top w:val="single" w:sz="8" w:space="0" w:color="auto"/>
              <w:left w:val="single" w:sz="8" w:space="0" w:color="auto"/>
              <w:bottom w:val="single" w:sz="8" w:space="0" w:color="auto"/>
              <w:right w:val="single" w:sz="8" w:space="0" w:color="auto"/>
            </w:tcBorders>
            <w:vAlign w:val="center"/>
          </w:tcPr>
          <w:p w14:paraId="26FD3392"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PRENEHANJE UPORABE PREMOGA ZA PROIZVODNJO ELEKTRIČNE ENERGIJE</w:t>
            </w:r>
          </w:p>
        </w:tc>
        <w:tc>
          <w:tcPr>
            <w:tcW w:w="2048" w:type="dxa"/>
            <w:tcBorders>
              <w:top w:val="single" w:sz="8" w:space="0" w:color="auto"/>
              <w:left w:val="single" w:sz="8" w:space="0" w:color="auto"/>
              <w:bottom w:val="single" w:sz="8" w:space="0" w:color="auto"/>
              <w:right w:val="single" w:sz="8" w:space="0" w:color="auto"/>
            </w:tcBorders>
            <w:vAlign w:val="center"/>
          </w:tcPr>
          <w:p w14:paraId="5AB03870"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Prenehanje uporabe premoga za proizvodnjo električne energije</w:t>
            </w:r>
          </w:p>
        </w:tc>
        <w:tc>
          <w:tcPr>
            <w:tcW w:w="1873" w:type="dxa"/>
            <w:tcBorders>
              <w:top w:val="single" w:sz="8" w:space="0" w:color="auto"/>
              <w:left w:val="single" w:sz="8" w:space="0" w:color="auto"/>
              <w:bottom w:val="single" w:sz="8" w:space="0" w:color="auto"/>
              <w:right w:val="single" w:sz="8" w:space="0" w:color="auto"/>
            </w:tcBorders>
            <w:vAlign w:val="center"/>
          </w:tcPr>
          <w:p w14:paraId="3571F6B5" w14:textId="25863619" w:rsidR="00AF3FEE" w:rsidRPr="00654A0B" w:rsidRDefault="00AF3FEE" w:rsidP="007474CA">
            <w:pPr>
              <w:spacing w:line="245" w:lineRule="auto"/>
              <w:jc w:val="both"/>
              <w:rPr>
                <w:rFonts w:ascii="Arial" w:eastAsia="Tahoma" w:hAnsi="Arial" w:cs="Arial"/>
                <w:sz w:val="18"/>
                <w:szCs w:val="18"/>
              </w:rPr>
            </w:pPr>
            <w:r w:rsidRPr="00654A0B">
              <w:rPr>
                <w:rFonts w:ascii="Arial" w:hAnsi="Arial" w:cs="Arial"/>
                <w:color w:val="000000"/>
                <w:sz w:val="18"/>
                <w:szCs w:val="18"/>
              </w:rPr>
              <w:t>Znižanje emisij CO</w:t>
            </w:r>
            <w:r w:rsidRPr="00654A0B">
              <w:rPr>
                <w:rFonts w:ascii="Arial" w:hAnsi="Arial" w:cs="Arial"/>
                <w:color w:val="000000"/>
                <w:sz w:val="18"/>
                <w:szCs w:val="18"/>
                <w:vertAlign w:val="subscript"/>
              </w:rPr>
              <w:t>2</w:t>
            </w:r>
            <w:r w:rsidRPr="00654A0B">
              <w:rPr>
                <w:rFonts w:ascii="Arial" w:hAnsi="Arial" w:cs="Arial"/>
                <w:color w:val="000000"/>
                <w:sz w:val="18"/>
                <w:szCs w:val="18"/>
              </w:rPr>
              <w:t xml:space="preserve"> in </w:t>
            </w:r>
            <w:r w:rsidR="007474CA">
              <w:rPr>
                <w:rFonts w:ascii="Arial" w:hAnsi="Arial" w:cs="Arial"/>
                <w:color w:val="000000"/>
                <w:sz w:val="18"/>
                <w:szCs w:val="18"/>
              </w:rPr>
              <w:t xml:space="preserve">drugih </w:t>
            </w:r>
            <w:r w:rsidRPr="00654A0B">
              <w:rPr>
                <w:rFonts w:ascii="Arial" w:hAnsi="Arial" w:cs="Arial"/>
                <w:color w:val="000000"/>
                <w:sz w:val="18"/>
                <w:szCs w:val="18"/>
              </w:rPr>
              <w:t xml:space="preserve">emisij </w:t>
            </w:r>
          </w:p>
        </w:tc>
        <w:tc>
          <w:tcPr>
            <w:tcW w:w="928" w:type="dxa"/>
            <w:tcBorders>
              <w:top w:val="single" w:sz="8" w:space="0" w:color="auto"/>
              <w:left w:val="single" w:sz="8" w:space="0" w:color="auto"/>
              <w:bottom w:val="single" w:sz="8" w:space="0" w:color="auto"/>
              <w:right w:val="single" w:sz="8" w:space="0" w:color="auto"/>
            </w:tcBorders>
            <w:vAlign w:val="center"/>
          </w:tcPr>
          <w:p w14:paraId="7012454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07F9D373" w14:textId="38880123"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Ekonomski,</w:t>
            </w:r>
            <w:r w:rsidR="00E0563E">
              <w:rPr>
                <w:rFonts w:ascii="Arial" w:hAnsi="Arial" w:cs="Arial"/>
                <w:color w:val="000000"/>
                <w:sz w:val="18"/>
                <w:szCs w:val="18"/>
              </w:rPr>
              <w:t>z</w:t>
            </w:r>
            <w:r w:rsidRPr="00654A0B">
              <w:rPr>
                <w:rFonts w:ascii="Arial" w:hAnsi="Arial" w:cs="Arial"/>
                <w:color w:val="000000"/>
                <w:sz w:val="18"/>
                <w:szCs w:val="18"/>
              </w:rPr>
              <w:t>akonodajni</w:t>
            </w:r>
          </w:p>
        </w:tc>
        <w:tc>
          <w:tcPr>
            <w:tcW w:w="1008" w:type="dxa"/>
            <w:tcBorders>
              <w:top w:val="single" w:sz="8" w:space="0" w:color="auto"/>
              <w:left w:val="single" w:sz="8" w:space="0" w:color="auto"/>
              <w:bottom w:val="single" w:sz="8" w:space="0" w:color="auto"/>
              <w:right w:val="single" w:sz="8" w:space="0" w:color="auto"/>
            </w:tcBorders>
            <w:vAlign w:val="center"/>
          </w:tcPr>
          <w:p w14:paraId="16319E0C"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0888FFD7"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2020</w:t>
            </w:r>
          </w:p>
        </w:tc>
        <w:tc>
          <w:tcPr>
            <w:tcW w:w="813" w:type="dxa"/>
            <w:tcBorders>
              <w:top w:val="single" w:sz="8" w:space="0" w:color="auto"/>
              <w:left w:val="single" w:sz="8" w:space="0" w:color="auto"/>
              <w:bottom w:val="single" w:sz="8" w:space="0" w:color="auto"/>
              <w:right w:val="single" w:sz="8" w:space="0" w:color="auto"/>
            </w:tcBorders>
            <w:vAlign w:val="center"/>
          </w:tcPr>
          <w:p w14:paraId="0ACB878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3D1B87F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 MOPE</w:t>
            </w:r>
          </w:p>
        </w:tc>
        <w:tc>
          <w:tcPr>
            <w:tcW w:w="992" w:type="dxa"/>
            <w:tcBorders>
              <w:top w:val="single" w:sz="8" w:space="0" w:color="auto"/>
              <w:left w:val="single" w:sz="8" w:space="0" w:color="auto"/>
              <w:bottom w:val="single" w:sz="8" w:space="0" w:color="auto"/>
              <w:right w:val="single" w:sz="8" w:space="0" w:color="auto"/>
            </w:tcBorders>
            <w:vAlign w:val="center"/>
          </w:tcPr>
          <w:p w14:paraId="643B9F23"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5E54F973"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7CF294A7"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M-11, M12</w:t>
            </w:r>
          </w:p>
        </w:tc>
      </w:tr>
      <w:tr w:rsidR="00AF3FEE" w:rsidRPr="00CE5F74" w14:paraId="24232F71"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B577647" w14:textId="1F9D4BE0"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w:t>
            </w:r>
            <w:r w:rsidR="00192C09">
              <w:rPr>
                <w:rFonts w:ascii="Arial" w:hAnsi="Arial" w:cs="Arial"/>
                <w:color w:val="000000"/>
                <w:sz w:val="18"/>
                <w:szCs w:val="18"/>
              </w:rPr>
              <w:t>6</w:t>
            </w:r>
          </w:p>
        </w:tc>
        <w:tc>
          <w:tcPr>
            <w:tcW w:w="1702" w:type="dxa"/>
            <w:tcBorders>
              <w:top w:val="single" w:sz="8" w:space="0" w:color="auto"/>
              <w:left w:val="single" w:sz="8" w:space="0" w:color="auto"/>
              <w:bottom w:val="single" w:sz="8" w:space="0" w:color="auto"/>
              <w:right w:val="single" w:sz="8" w:space="0" w:color="auto"/>
            </w:tcBorders>
            <w:vAlign w:val="center"/>
          </w:tcPr>
          <w:p w14:paraId="25615BDC" w14:textId="54A073E8"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SPODBUJANJE PROIZVODNJE ELEKTRIČNE ENERGIJE IZ OVE </w:t>
            </w:r>
            <w:r w:rsidR="00E0563E">
              <w:rPr>
                <w:rFonts w:ascii="Arial" w:hAnsi="Arial" w:cs="Arial"/>
                <w:color w:val="000000"/>
                <w:sz w:val="18"/>
                <w:szCs w:val="18"/>
              </w:rPr>
              <w:t>TER</w:t>
            </w:r>
            <w:r w:rsidR="00E0563E" w:rsidRPr="00654A0B">
              <w:rPr>
                <w:rFonts w:ascii="Arial" w:hAnsi="Arial" w:cs="Arial"/>
                <w:color w:val="000000"/>
                <w:sz w:val="18"/>
                <w:szCs w:val="18"/>
              </w:rPr>
              <w:t xml:space="preserve"> </w:t>
            </w:r>
            <w:r w:rsidRPr="00654A0B">
              <w:rPr>
                <w:rFonts w:ascii="Arial" w:hAnsi="Arial" w:cs="Arial"/>
                <w:color w:val="000000"/>
                <w:sz w:val="18"/>
                <w:szCs w:val="18"/>
              </w:rPr>
              <w:t xml:space="preserve">SOPROIZVODNJE ELEKTRIKE IN TOPLOTE Z </w:t>
            </w:r>
            <w:r w:rsidRPr="00654A0B">
              <w:rPr>
                <w:rFonts w:ascii="Arial" w:hAnsi="Arial" w:cs="Arial"/>
                <w:color w:val="000000"/>
                <w:sz w:val="18"/>
                <w:szCs w:val="18"/>
              </w:rPr>
              <w:lastRenderedPageBreak/>
              <w:t>VISOKIM IZKORISTKOM</w:t>
            </w:r>
          </w:p>
        </w:tc>
        <w:tc>
          <w:tcPr>
            <w:tcW w:w="2048" w:type="dxa"/>
            <w:tcBorders>
              <w:top w:val="single" w:sz="8" w:space="0" w:color="auto"/>
              <w:left w:val="single" w:sz="8" w:space="0" w:color="auto"/>
              <w:bottom w:val="single" w:sz="8" w:space="0" w:color="auto"/>
              <w:right w:val="single" w:sz="8" w:space="0" w:color="auto"/>
            </w:tcBorders>
            <w:vAlign w:val="center"/>
          </w:tcPr>
          <w:p w14:paraId="230DD29A" w14:textId="6107C7BF"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lastRenderedPageBreak/>
              <w:t xml:space="preserve">Spodbujanje </w:t>
            </w:r>
            <w:r w:rsidR="00E0563E">
              <w:rPr>
                <w:rFonts w:ascii="Arial" w:hAnsi="Arial" w:cs="Arial"/>
                <w:color w:val="000000"/>
                <w:sz w:val="18"/>
                <w:szCs w:val="18"/>
              </w:rPr>
              <w:t>s</w:t>
            </w:r>
            <w:r w:rsidR="00E0563E" w:rsidRPr="00654A0B">
              <w:rPr>
                <w:rFonts w:ascii="Arial" w:hAnsi="Arial" w:cs="Arial"/>
                <w:color w:val="000000"/>
                <w:sz w:val="18"/>
                <w:szCs w:val="18"/>
              </w:rPr>
              <w:t xml:space="preserve"> </w:t>
            </w:r>
            <w:r w:rsidRPr="00654A0B">
              <w:rPr>
                <w:rFonts w:ascii="Arial" w:hAnsi="Arial" w:cs="Arial"/>
                <w:color w:val="000000"/>
                <w:sz w:val="18"/>
                <w:szCs w:val="18"/>
              </w:rPr>
              <w:t>podporn</w:t>
            </w:r>
            <w:r w:rsidR="00E0563E">
              <w:rPr>
                <w:rFonts w:ascii="Arial" w:hAnsi="Arial" w:cs="Arial"/>
                <w:color w:val="000000"/>
                <w:sz w:val="18"/>
                <w:szCs w:val="18"/>
              </w:rPr>
              <w:t>o</w:t>
            </w:r>
            <w:r w:rsidRPr="00654A0B">
              <w:rPr>
                <w:rFonts w:ascii="Arial" w:hAnsi="Arial" w:cs="Arial"/>
                <w:color w:val="000000"/>
                <w:sz w:val="18"/>
                <w:szCs w:val="18"/>
              </w:rPr>
              <w:t xml:space="preserve"> shem</w:t>
            </w:r>
            <w:r w:rsidR="00E0563E">
              <w:rPr>
                <w:rFonts w:ascii="Arial" w:hAnsi="Arial" w:cs="Arial"/>
                <w:color w:val="000000"/>
                <w:sz w:val="18"/>
                <w:szCs w:val="18"/>
              </w:rPr>
              <w:t>o</w:t>
            </w:r>
            <w:r w:rsidRPr="00654A0B">
              <w:rPr>
                <w:rFonts w:ascii="Arial" w:hAnsi="Arial" w:cs="Arial"/>
                <w:color w:val="000000"/>
                <w:sz w:val="18"/>
                <w:szCs w:val="18"/>
              </w:rPr>
              <w:t>, spodbud</w:t>
            </w:r>
            <w:r w:rsidR="00E0563E">
              <w:rPr>
                <w:rFonts w:ascii="Arial" w:hAnsi="Arial" w:cs="Arial"/>
                <w:color w:val="000000"/>
                <w:sz w:val="18"/>
                <w:szCs w:val="18"/>
              </w:rPr>
              <w:t>ami</w:t>
            </w:r>
            <w:r w:rsidRPr="00654A0B">
              <w:rPr>
                <w:rFonts w:ascii="Arial" w:hAnsi="Arial" w:cs="Arial"/>
                <w:color w:val="000000"/>
                <w:sz w:val="18"/>
                <w:szCs w:val="18"/>
              </w:rPr>
              <w:t xml:space="preserve"> za samooskrbo, </w:t>
            </w:r>
            <w:r w:rsidR="00E0563E" w:rsidRPr="00654A0B">
              <w:rPr>
                <w:rFonts w:ascii="Arial" w:hAnsi="Arial" w:cs="Arial"/>
                <w:color w:val="000000"/>
                <w:sz w:val="18"/>
                <w:szCs w:val="18"/>
              </w:rPr>
              <w:t>investicijski</w:t>
            </w:r>
            <w:r w:rsidR="00E0563E">
              <w:rPr>
                <w:rFonts w:ascii="Arial" w:hAnsi="Arial" w:cs="Arial"/>
                <w:color w:val="000000"/>
                <w:sz w:val="18"/>
                <w:szCs w:val="18"/>
              </w:rPr>
              <w:t>mi</w:t>
            </w:r>
            <w:r w:rsidR="00E0563E" w:rsidRPr="00654A0B">
              <w:rPr>
                <w:rFonts w:ascii="Arial" w:hAnsi="Arial" w:cs="Arial"/>
                <w:color w:val="000000"/>
                <w:sz w:val="18"/>
                <w:szCs w:val="18"/>
              </w:rPr>
              <w:t xml:space="preserve"> </w:t>
            </w:r>
            <w:r w:rsidRPr="00654A0B">
              <w:rPr>
                <w:rFonts w:ascii="Arial" w:hAnsi="Arial" w:cs="Arial"/>
                <w:color w:val="000000"/>
                <w:sz w:val="18"/>
                <w:szCs w:val="18"/>
              </w:rPr>
              <w:t>spodbud</w:t>
            </w:r>
            <w:r w:rsidR="00E0563E">
              <w:rPr>
                <w:rFonts w:ascii="Arial" w:hAnsi="Arial" w:cs="Arial"/>
                <w:color w:val="000000"/>
                <w:sz w:val="18"/>
                <w:szCs w:val="18"/>
              </w:rPr>
              <w:t>ami</w:t>
            </w:r>
            <w:r w:rsidRPr="00654A0B">
              <w:rPr>
                <w:rFonts w:ascii="Arial" w:hAnsi="Arial" w:cs="Arial"/>
                <w:color w:val="000000"/>
                <w:sz w:val="18"/>
                <w:szCs w:val="18"/>
              </w:rPr>
              <w:t xml:space="preserve"> ter tudi </w:t>
            </w:r>
            <w:r w:rsidR="00E0563E" w:rsidRPr="00654A0B">
              <w:rPr>
                <w:rFonts w:ascii="Arial" w:hAnsi="Arial" w:cs="Arial"/>
                <w:color w:val="000000"/>
                <w:sz w:val="18"/>
                <w:szCs w:val="18"/>
              </w:rPr>
              <w:t>drugi</w:t>
            </w:r>
            <w:r w:rsidR="00E0563E">
              <w:rPr>
                <w:rFonts w:ascii="Arial" w:hAnsi="Arial" w:cs="Arial"/>
                <w:color w:val="000000"/>
                <w:sz w:val="18"/>
                <w:szCs w:val="18"/>
              </w:rPr>
              <w:t>mi</w:t>
            </w:r>
            <w:r w:rsidR="00E0563E" w:rsidRPr="00654A0B">
              <w:rPr>
                <w:rFonts w:ascii="Arial" w:hAnsi="Arial" w:cs="Arial"/>
                <w:color w:val="000000"/>
                <w:sz w:val="18"/>
                <w:szCs w:val="18"/>
              </w:rPr>
              <w:t xml:space="preserve"> </w:t>
            </w:r>
            <w:r w:rsidRPr="00654A0B">
              <w:rPr>
                <w:rFonts w:ascii="Arial" w:hAnsi="Arial" w:cs="Arial"/>
                <w:color w:val="000000"/>
                <w:sz w:val="18"/>
                <w:szCs w:val="18"/>
              </w:rPr>
              <w:t>spodbud</w:t>
            </w:r>
            <w:r w:rsidR="00E0563E">
              <w:rPr>
                <w:rFonts w:ascii="Arial" w:hAnsi="Arial" w:cs="Arial"/>
                <w:color w:val="000000"/>
                <w:sz w:val="18"/>
                <w:szCs w:val="18"/>
              </w:rPr>
              <w:t>ami</w:t>
            </w:r>
            <w:r w:rsidRPr="00654A0B">
              <w:rPr>
                <w:rFonts w:ascii="Arial" w:hAnsi="Arial" w:cs="Arial"/>
                <w:color w:val="000000"/>
                <w:sz w:val="18"/>
                <w:szCs w:val="18"/>
              </w:rPr>
              <w:t xml:space="preserve"> </w:t>
            </w:r>
            <w:r w:rsidR="00E0563E">
              <w:rPr>
                <w:rFonts w:ascii="Arial" w:hAnsi="Arial" w:cs="Arial"/>
                <w:color w:val="000000"/>
                <w:sz w:val="18"/>
                <w:szCs w:val="18"/>
              </w:rPr>
              <w:t xml:space="preserve">za </w:t>
            </w:r>
            <w:r w:rsidRPr="00654A0B">
              <w:rPr>
                <w:rFonts w:ascii="Arial" w:hAnsi="Arial" w:cs="Arial"/>
                <w:color w:val="000000"/>
                <w:sz w:val="18"/>
                <w:szCs w:val="18"/>
              </w:rPr>
              <w:t>proizvodnj</w:t>
            </w:r>
            <w:r w:rsidR="007474CA">
              <w:rPr>
                <w:rFonts w:ascii="Arial" w:hAnsi="Arial" w:cs="Arial"/>
                <w:color w:val="000000"/>
                <w:sz w:val="18"/>
                <w:szCs w:val="18"/>
              </w:rPr>
              <w:t>o</w:t>
            </w:r>
            <w:r w:rsidRPr="00654A0B">
              <w:rPr>
                <w:rFonts w:ascii="Arial" w:hAnsi="Arial" w:cs="Arial"/>
                <w:color w:val="000000"/>
                <w:sz w:val="18"/>
                <w:szCs w:val="18"/>
              </w:rPr>
              <w:t xml:space="preserve"> OVE in SPTE (</w:t>
            </w:r>
            <w:r w:rsidR="004F2B0D">
              <w:rPr>
                <w:rFonts w:ascii="Arial" w:hAnsi="Arial" w:cs="Arial"/>
                <w:color w:val="000000"/>
                <w:sz w:val="18"/>
                <w:szCs w:val="18"/>
              </w:rPr>
              <w:t>na primer</w:t>
            </w:r>
            <w:r w:rsidRPr="00654A0B">
              <w:rPr>
                <w:rFonts w:ascii="Arial" w:hAnsi="Arial" w:cs="Arial"/>
                <w:color w:val="000000"/>
                <w:sz w:val="18"/>
                <w:szCs w:val="18"/>
              </w:rPr>
              <w:t xml:space="preserve"> </w:t>
            </w:r>
            <w:r w:rsidRPr="00654A0B">
              <w:rPr>
                <w:rFonts w:ascii="Arial" w:hAnsi="Arial" w:cs="Arial"/>
                <w:color w:val="000000"/>
                <w:sz w:val="18"/>
                <w:szCs w:val="18"/>
              </w:rPr>
              <w:lastRenderedPageBreak/>
              <w:t>obvezni delež toplote iz OVE)</w:t>
            </w:r>
          </w:p>
        </w:tc>
        <w:tc>
          <w:tcPr>
            <w:tcW w:w="1873" w:type="dxa"/>
            <w:tcBorders>
              <w:top w:val="single" w:sz="8" w:space="0" w:color="auto"/>
              <w:left w:val="single" w:sz="8" w:space="0" w:color="auto"/>
              <w:bottom w:val="single" w:sz="8" w:space="0" w:color="auto"/>
              <w:right w:val="single" w:sz="8" w:space="0" w:color="auto"/>
            </w:tcBorders>
            <w:vAlign w:val="center"/>
          </w:tcPr>
          <w:p w14:paraId="645522F4"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lastRenderedPageBreak/>
              <w:t>Povečanje proizvodnje elektrike in toplote iz OVE in v enotah SPTE</w:t>
            </w:r>
          </w:p>
        </w:tc>
        <w:tc>
          <w:tcPr>
            <w:tcW w:w="928" w:type="dxa"/>
            <w:tcBorders>
              <w:top w:val="single" w:sz="8" w:space="0" w:color="auto"/>
              <w:left w:val="single" w:sz="8" w:space="0" w:color="auto"/>
              <w:bottom w:val="single" w:sz="8" w:space="0" w:color="auto"/>
              <w:right w:val="single" w:sz="8" w:space="0" w:color="auto"/>
            </w:tcBorders>
            <w:vAlign w:val="center"/>
          </w:tcPr>
          <w:p w14:paraId="312ACFA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26CC116" w14:textId="0286C355"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akonodajni</w:t>
            </w:r>
          </w:p>
        </w:tc>
        <w:tc>
          <w:tcPr>
            <w:tcW w:w="1008" w:type="dxa"/>
            <w:tcBorders>
              <w:top w:val="single" w:sz="8" w:space="0" w:color="auto"/>
              <w:left w:val="single" w:sz="8" w:space="0" w:color="auto"/>
              <w:bottom w:val="single" w:sz="8" w:space="0" w:color="auto"/>
              <w:right w:val="single" w:sz="8" w:space="0" w:color="auto"/>
            </w:tcBorders>
            <w:vAlign w:val="center"/>
          </w:tcPr>
          <w:p w14:paraId="31384228"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564ED837"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2020</w:t>
            </w:r>
          </w:p>
        </w:tc>
        <w:tc>
          <w:tcPr>
            <w:tcW w:w="813" w:type="dxa"/>
            <w:tcBorders>
              <w:top w:val="single" w:sz="8" w:space="0" w:color="auto"/>
              <w:left w:val="single" w:sz="8" w:space="0" w:color="auto"/>
              <w:bottom w:val="single" w:sz="8" w:space="0" w:color="auto"/>
              <w:right w:val="single" w:sz="8" w:space="0" w:color="auto"/>
            </w:tcBorders>
            <w:vAlign w:val="center"/>
          </w:tcPr>
          <w:p w14:paraId="29C98E19"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345D1FF0" w14:textId="2E036473" w:rsidR="00AF3FEE" w:rsidRPr="00654A0B" w:rsidRDefault="00AF3FEE" w:rsidP="007474CA">
            <w:pPr>
              <w:spacing w:line="245" w:lineRule="auto"/>
              <w:jc w:val="both"/>
              <w:rPr>
                <w:rFonts w:ascii="Arial" w:eastAsia="Tahoma" w:hAnsi="Arial" w:cs="Arial"/>
                <w:sz w:val="18"/>
                <w:szCs w:val="18"/>
              </w:rPr>
            </w:pPr>
            <w:r w:rsidRPr="00654A0B">
              <w:rPr>
                <w:rFonts w:ascii="Arial" w:hAnsi="Arial" w:cs="Arial"/>
                <w:color w:val="000000"/>
                <w:sz w:val="18"/>
                <w:szCs w:val="18"/>
              </w:rPr>
              <w:t xml:space="preserve">MOPE, Borzen, AGEN-RS, ELES </w:t>
            </w:r>
          </w:p>
        </w:tc>
        <w:tc>
          <w:tcPr>
            <w:tcW w:w="992" w:type="dxa"/>
            <w:tcBorders>
              <w:top w:val="single" w:sz="8" w:space="0" w:color="auto"/>
              <w:left w:val="single" w:sz="8" w:space="0" w:color="auto"/>
              <w:bottom w:val="single" w:sz="8" w:space="0" w:color="auto"/>
              <w:right w:val="single" w:sz="8" w:space="0" w:color="auto"/>
            </w:tcBorders>
            <w:vAlign w:val="center"/>
          </w:tcPr>
          <w:p w14:paraId="739EFF4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35B3E60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18CDDB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M-13</w:t>
            </w:r>
          </w:p>
        </w:tc>
      </w:tr>
      <w:tr w:rsidR="00AF3FEE" w:rsidRPr="00CE5F74" w14:paraId="4404FB40"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74DFDA17" w14:textId="7074A138"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w:t>
            </w:r>
            <w:r w:rsidR="00192C09">
              <w:rPr>
                <w:rFonts w:ascii="Arial" w:hAnsi="Arial" w:cs="Arial"/>
                <w:color w:val="000000"/>
                <w:sz w:val="18"/>
                <w:szCs w:val="18"/>
              </w:rPr>
              <w:t>7</w:t>
            </w:r>
          </w:p>
        </w:tc>
        <w:tc>
          <w:tcPr>
            <w:tcW w:w="1702" w:type="dxa"/>
            <w:tcBorders>
              <w:top w:val="single" w:sz="8" w:space="0" w:color="auto"/>
              <w:left w:val="single" w:sz="8" w:space="0" w:color="auto"/>
              <w:bottom w:val="single" w:sz="8" w:space="0" w:color="auto"/>
              <w:right w:val="single" w:sz="8" w:space="0" w:color="auto"/>
            </w:tcBorders>
            <w:vAlign w:val="center"/>
          </w:tcPr>
          <w:p w14:paraId="4ABE8E9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DODATNI UKREPI ZA SPODBUJANJE PROIZVODNJE ELEKTRIČNE ENERGIJE IZ OVE IN SOPROIZVODNJE ELEKTRIKE IN TOPLOTE Z VISOKIM IZKORISTKOM </w:t>
            </w:r>
          </w:p>
        </w:tc>
        <w:tc>
          <w:tcPr>
            <w:tcW w:w="2048" w:type="dxa"/>
            <w:tcBorders>
              <w:top w:val="single" w:sz="8" w:space="0" w:color="auto"/>
              <w:left w:val="single" w:sz="8" w:space="0" w:color="auto"/>
              <w:bottom w:val="single" w:sz="8" w:space="0" w:color="auto"/>
              <w:right w:val="single" w:sz="8" w:space="0" w:color="auto"/>
            </w:tcBorders>
            <w:vAlign w:val="center"/>
          </w:tcPr>
          <w:p w14:paraId="0B7199A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proizvodnje elektrike in toplote iz OVE in v enotah SPTE</w:t>
            </w:r>
          </w:p>
        </w:tc>
        <w:tc>
          <w:tcPr>
            <w:tcW w:w="1873" w:type="dxa"/>
            <w:tcBorders>
              <w:top w:val="single" w:sz="8" w:space="0" w:color="auto"/>
              <w:left w:val="single" w:sz="8" w:space="0" w:color="auto"/>
              <w:bottom w:val="single" w:sz="8" w:space="0" w:color="auto"/>
              <w:right w:val="single" w:sz="8" w:space="0" w:color="auto"/>
            </w:tcBorders>
            <w:vAlign w:val="center"/>
          </w:tcPr>
          <w:p w14:paraId="2020E1E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proizvodnje elektrike in toplote iz OVE in v enotah SPTE</w:t>
            </w:r>
          </w:p>
        </w:tc>
        <w:tc>
          <w:tcPr>
            <w:tcW w:w="928" w:type="dxa"/>
            <w:tcBorders>
              <w:top w:val="single" w:sz="8" w:space="0" w:color="auto"/>
              <w:left w:val="single" w:sz="8" w:space="0" w:color="auto"/>
              <w:bottom w:val="single" w:sz="8" w:space="0" w:color="auto"/>
              <w:right w:val="single" w:sz="8" w:space="0" w:color="auto"/>
            </w:tcBorders>
            <w:vAlign w:val="center"/>
          </w:tcPr>
          <w:p w14:paraId="288832C4"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0C1051BD" w14:textId="0700384C"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p>
        </w:tc>
        <w:tc>
          <w:tcPr>
            <w:tcW w:w="1008" w:type="dxa"/>
            <w:tcBorders>
              <w:top w:val="single" w:sz="8" w:space="0" w:color="auto"/>
              <w:left w:val="single" w:sz="8" w:space="0" w:color="auto"/>
              <w:bottom w:val="single" w:sz="8" w:space="0" w:color="auto"/>
              <w:right w:val="single" w:sz="8" w:space="0" w:color="auto"/>
            </w:tcBorders>
            <w:vAlign w:val="center"/>
          </w:tcPr>
          <w:p w14:paraId="691C6C8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027CE2C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2021</w:t>
            </w:r>
          </w:p>
        </w:tc>
        <w:tc>
          <w:tcPr>
            <w:tcW w:w="813" w:type="dxa"/>
            <w:tcBorders>
              <w:top w:val="single" w:sz="8" w:space="0" w:color="auto"/>
              <w:left w:val="single" w:sz="8" w:space="0" w:color="auto"/>
              <w:bottom w:val="single" w:sz="8" w:space="0" w:color="auto"/>
              <w:right w:val="single" w:sz="8" w:space="0" w:color="auto"/>
            </w:tcBorders>
            <w:vAlign w:val="center"/>
          </w:tcPr>
          <w:p w14:paraId="0C1463F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054C4172" w14:textId="5A617124"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MOPE, Borzen, AGEN-RS, ELES</w:t>
            </w:r>
          </w:p>
        </w:tc>
        <w:tc>
          <w:tcPr>
            <w:tcW w:w="992" w:type="dxa"/>
            <w:tcBorders>
              <w:top w:val="single" w:sz="8" w:space="0" w:color="auto"/>
              <w:left w:val="single" w:sz="8" w:space="0" w:color="auto"/>
              <w:bottom w:val="single" w:sz="8" w:space="0" w:color="auto"/>
              <w:right w:val="single" w:sz="8" w:space="0" w:color="auto"/>
            </w:tcBorders>
            <w:vAlign w:val="center"/>
          </w:tcPr>
          <w:p w14:paraId="597771C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56555CF4"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454</w:t>
            </w:r>
          </w:p>
        </w:tc>
        <w:tc>
          <w:tcPr>
            <w:tcW w:w="775" w:type="dxa"/>
            <w:tcBorders>
              <w:top w:val="single" w:sz="8" w:space="0" w:color="auto"/>
              <w:left w:val="single" w:sz="8" w:space="0" w:color="auto"/>
              <w:bottom w:val="single" w:sz="8" w:space="0" w:color="auto"/>
              <w:right w:val="single" w:sz="8" w:space="0" w:color="auto"/>
            </w:tcBorders>
            <w:vAlign w:val="center"/>
          </w:tcPr>
          <w:p w14:paraId="23DBD848"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M-14</w:t>
            </w:r>
          </w:p>
        </w:tc>
      </w:tr>
      <w:tr w:rsidR="00AF3FEE" w:rsidRPr="00CE5F74" w14:paraId="50EDDBF5"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E27AFD4" w14:textId="4559E12C"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w:t>
            </w:r>
            <w:r w:rsidR="00192C09">
              <w:rPr>
                <w:rFonts w:ascii="Arial" w:hAnsi="Arial" w:cs="Arial"/>
                <w:color w:val="000000"/>
                <w:sz w:val="18"/>
                <w:szCs w:val="18"/>
              </w:rPr>
              <w:t>8</w:t>
            </w:r>
          </w:p>
        </w:tc>
        <w:tc>
          <w:tcPr>
            <w:tcW w:w="1702" w:type="dxa"/>
            <w:tcBorders>
              <w:top w:val="single" w:sz="8" w:space="0" w:color="auto"/>
              <w:left w:val="single" w:sz="8" w:space="0" w:color="auto"/>
              <w:bottom w:val="single" w:sz="8" w:space="0" w:color="auto"/>
              <w:right w:val="single" w:sz="8" w:space="0" w:color="auto"/>
            </w:tcBorders>
            <w:vAlign w:val="center"/>
          </w:tcPr>
          <w:p w14:paraId="239108D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PODPORA RAZVOJU LOKALNIH ENERGETSKIH SKUPNOSTI IN SKUPNOSTI OVE</w:t>
            </w:r>
          </w:p>
        </w:tc>
        <w:tc>
          <w:tcPr>
            <w:tcW w:w="2048" w:type="dxa"/>
            <w:tcBorders>
              <w:top w:val="single" w:sz="8" w:space="0" w:color="auto"/>
              <w:left w:val="single" w:sz="8" w:space="0" w:color="auto"/>
              <w:bottom w:val="single" w:sz="8" w:space="0" w:color="auto"/>
              <w:right w:val="single" w:sz="8" w:space="0" w:color="auto"/>
            </w:tcBorders>
            <w:vAlign w:val="center"/>
          </w:tcPr>
          <w:p w14:paraId="0E0E16FA" w14:textId="2E7C79BB"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oskrbe z električno energij</w:t>
            </w:r>
            <w:r w:rsidR="00E0563E">
              <w:rPr>
                <w:rFonts w:ascii="Arial" w:hAnsi="Arial" w:cs="Arial"/>
                <w:color w:val="000000"/>
                <w:sz w:val="18"/>
                <w:szCs w:val="18"/>
              </w:rPr>
              <w:t>o</w:t>
            </w:r>
            <w:r w:rsidRPr="00654A0B">
              <w:rPr>
                <w:rFonts w:ascii="Arial" w:hAnsi="Arial" w:cs="Arial"/>
                <w:color w:val="000000"/>
                <w:sz w:val="18"/>
                <w:szCs w:val="18"/>
              </w:rPr>
              <w:t xml:space="preserve"> in toplot</w:t>
            </w:r>
            <w:r w:rsidR="00E0563E">
              <w:rPr>
                <w:rFonts w:ascii="Arial" w:hAnsi="Arial" w:cs="Arial"/>
                <w:color w:val="000000"/>
                <w:sz w:val="18"/>
                <w:szCs w:val="18"/>
              </w:rPr>
              <w:t>n</w:t>
            </w:r>
            <w:r w:rsidRPr="00654A0B">
              <w:rPr>
                <w:rFonts w:ascii="Arial" w:hAnsi="Arial" w:cs="Arial"/>
                <w:color w:val="000000"/>
                <w:sz w:val="18"/>
                <w:szCs w:val="18"/>
              </w:rPr>
              <w:t>o energijo iz OVE</w:t>
            </w:r>
          </w:p>
        </w:tc>
        <w:tc>
          <w:tcPr>
            <w:tcW w:w="1873" w:type="dxa"/>
            <w:tcBorders>
              <w:top w:val="single" w:sz="8" w:space="0" w:color="auto"/>
              <w:left w:val="single" w:sz="8" w:space="0" w:color="auto"/>
              <w:bottom w:val="single" w:sz="8" w:space="0" w:color="auto"/>
              <w:right w:val="single" w:sz="8" w:space="0" w:color="auto"/>
            </w:tcBorders>
            <w:vAlign w:val="center"/>
          </w:tcPr>
          <w:p w14:paraId="4D941EA1" w14:textId="7856B54A"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oskrbe z električno energij</w:t>
            </w:r>
            <w:r w:rsidR="00E0563E">
              <w:rPr>
                <w:rFonts w:ascii="Arial" w:hAnsi="Arial" w:cs="Arial"/>
                <w:color w:val="000000"/>
                <w:sz w:val="18"/>
                <w:szCs w:val="18"/>
              </w:rPr>
              <w:t>o</w:t>
            </w:r>
            <w:r w:rsidRPr="00654A0B">
              <w:rPr>
                <w:rFonts w:ascii="Arial" w:hAnsi="Arial" w:cs="Arial"/>
                <w:color w:val="000000"/>
                <w:sz w:val="18"/>
                <w:szCs w:val="18"/>
              </w:rPr>
              <w:t xml:space="preserve"> in toplot</w:t>
            </w:r>
            <w:r w:rsidR="00E0563E">
              <w:rPr>
                <w:rFonts w:ascii="Arial" w:hAnsi="Arial" w:cs="Arial"/>
                <w:color w:val="000000"/>
                <w:sz w:val="18"/>
                <w:szCs w:val="18"/>
              </w:rPr>
              <w:t>n</w:t>
            </w:r>
            <w:r w:rsidRPr="00654A0B">
              <w:rPr>
                <w:rFonts w:ascii="Arial" w:hAnsi="Arial" w:cs="Arial"/>
                <w:color w:val="000000"/>
                <w:sz w:val="18"/>
                <w:szCs w:val="18"/>
              </w:rPr>
              <w:t>o energijo iz OVE</w:t>
            </w:r>
          </w:p>
        </w:tc>
        <w:tc>
          <w:tcPr>
            <w:tcW w:w="928" w:type="dxa"/>
            <w:tcBorders>
              <w:top w:val="single" w:sz="8" w:space="0" w:color="auto"/>
              <w:left w:val="single" w:sz="8" w:space="0" w:color="auto"/>
              <w:bottom w:val="single" w:sz="8" w:space="0" w:color="auto"/>
              <w:right w:val="single" w:sz="8" w:space="0" w:color="auto"/>
            </w:tcBorders>
            <w:vAlign w:val="center"/>
          </w:tcPr>
          <w:p w14:paraId="4667EDF7"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C20F0A7" w14:textId="3175DBF2"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p>
        </w:tc>
        <w:tc>
          <w:tcPr>
            <w:tcW w:w="1008" w:type="dxa"/>
            <w:tcBorders>
              <w:top w:val="single" w:sz="8" w:space="0" w:color="auto"/>
              <w:left w:val="single" w:sz="8" w:space="0" w:color="auto"/>
              <w:bottom w:val="single" w:sz="8" w:space="0" w:color="auto"/>
              <w:right w:val="single" w:sz="8" w:space="0" w:color="auto"/>
            </w:tcBorders>
            <w:vAlign w:val="center"/>
          </w:tcPr>
          <w:p w14:paraId="36BCFAE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0AF34226"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2023</w:t>
            </w:r>
          </w:p>
        </w:tc>
        <w:tc>
          <w:tcPr>
            <w:tcW w:w="813" w:type="dxa"/>
            <w:tcBorders>
              <w:top w:val="single" w:sz="8" w:space="0" w:color="auto"/>
              <w:left w:val="single" w:sz="8" w:space="0" w:color="auto"/>
              <w:bottom w:val="single" w:sz="8" w:space="0" w:color="auto"/>
              <w:right w:val="single" w:sz="8" w:space="0" w:color="auto"/>
            </w:tcBorders>
            <w:vAlign w:val="center"/>
          </w:tcPr>
          <w:p w14:paraId="313D5C6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1A0FE3B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6EA0CC8F"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29D4704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5E5189B"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M-15</w:t>
            </w:r>
          </w:p>
        </w:tc>
      </w:tr>
      <w:tr w:rsidR="00AF3FEE" w:rsidRPr="00CE5F74" w14:paraId="0881A83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01C2430" w14:textId="24202A54"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w:t>
            </w:r>
            <w:r w:rsidR="00192C09">
              <w:rPr>
                <w:rFonts w:ascii="Arial" w:hAnsi="Arial" w:cs="Arial"/>
                <w:color w:val="000000"/>
                <w:sz w:val="18"/>
                <w:szCs w:val="18"/>
              </w:rPr>
              <w:t>19</w:t>
            </w:r>
          </w:p>
        </w:tc>
        <w:tc>
          <w:tcPr>
            <w:tcW w:w="1702" w:type="dxa"/>
            <w:tcBorders>
              <w:top w:val="single" w:sz="8" w:space="0" w:color="auto"/>
              <w:left w:val="single" w:sz="8" w:space="0" w:color="auto"/>
              <w:bottom w:val="single" w:sz="8" w:space="0" w:color="auto"/>
              <w:right w:val="single" w:sz="8" w:space="0" w:color="auto"/>
            </w:tcBorders>
            <w:vAlign w:val="center"/>
          </w:tcPr>
          <w:p w14:paraId="62A52BA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PROMOCIJA PROIZVODNJE DALJINSKE TOPLOTE IZ OBNOVLJIVIH VIROV ENERGIJE IN V SPTE Z VISOKIM IZKORISTKOM</w:t>
            </w:r>
          </w:p>
        </w:tc>
        <w:tc>
          <w:tcPr>
            <w:tcW w:w="2048" w:type="dxa"/>
            <w:tcBorders>
              <w:top w:val="single" w:sz="8" w:space="0" w:color="auto"/>
              <w:left w:val="single" w:sz="8" w:space="0" w:color="auto"/>
              <w:bottom w:val="single" w:sz="8" w:space="0" w:color="auto"/>
              <w:right w:val="single" w:sz="8" w:space="0" w:color="auto"/>
            </w:tcBorders>
            <w:vAlign w:val="center"/>
          </w:tcPr>
          <w:p w14:paraId="75880320" w14:textId="11839F1F"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Obveznost sistemov DO doseganja deleža toplote iz OVE, SPTE ali </w:t>
            </w:r>
            <w:r w:rsidR="00654157">
              <w:rPr>
                <w:rFonts w:ascii="Arial" w:hAnsi="Arial" w:cs="Arial"/>
                <w:color w:val="000000"/>
                <w:sz w:val="18"/>
                <w:szCs w:val="18"/>
              </w:rPr>
              <w:t>od</w:t>
            </w:r>
            <w:r w:rsidR="00654157" w:rsidRPr="00654A0B">
              <w:rPr>
                <w:rFonts w:ascii="Arial" w:hAnsi="Arial" w:cs="Arial"/>
                <w:color w:val="000000"/>
                <w:sz w:val="18"/>
                <w:szCs w:val="18"/>
              </w:rPr>
              <w:t xml:space="preserve">večne </w:t>
            </w:r>
            <w:r w:rsidRPr="00654A0B">
              <w:rPr>
                <w:rFonts w:ascii="Arial" w:hAnsi="Arial" w:cs="Arial"/>
                <w:color w:val="000000"/>
                <w:sz w:val="18"/>
                <w:szCs w:val="18"/>
              </w:rPr>
              <w:t>toplote ter spodbude za proizvodnjo toplote iz teh sistemov</w:t>
            </w:r>
          </w:p>
        </w:tc>
        <w:tc>
          <w:tcPr>
            <w:tcW w:w="1873" w:type="dxa"/>
            <w:tcBorders>
              <w:top w:val="single" w:sz="8" w:space="0" w:color="auto"/>
              <w:left w:val="single" w:sz="8" w:space="0" w:color="auto"/>
              <w:bottom w:val="single" w:sz="8" w:space="0" w:color="auto"/>
              <w:right w:val="single" w:sz="8" w:space="0" w:color="auto"/>
            </w:tcBorders>
            <w:vAlign w:val="center"/>
          </w:tcPr>
          <w:p w14:paraId="7DECC693"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rabe OVE, SPTE in odvečne toplote v sistemih daljinskega ogrevanja in hlajenja</w:t>
            </w:r>
          </w:p>
        </w:tc>
        <w:tc>
          <w:tcPr>
            <w:tcW w:w="928" w:type="dxa"/>
            <w:tcBorders>
              <w:top w:val="single" w:sz="8" w:space="0" w:color="auto"/>
              <w:left w:val="single" w:sz="8" w:space="0" w:color="auto"/>
              <w:bottom w:val="single" w:sz="8" w:space="0" w:color="auto"/>
              <w:right w:val="single" w:sz="8" w:space="0" w:color="auto"/>
            </w:tcBorders>
            <w:vAlign w:val="center"/>
          </w:tcPr>
          <w:p w14:paraId="7F8B019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2C8F85E" w14:textId="017C1154" w:rsidR="00AF3FEE" w:rsidRPr="00654A0B" w:rsidRDefault="00AF3FEE" w:rsidP="00E0563E">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p>
        </w:tc>
        <w:tc>
          <w:tcPr>
            <w:tcW w:w="1008" w:type="dxa"/>
            <w:tcBorders>
              <w:top w:val="single" w:sz="8" w:space="0" w:color="auto"/>
              <w:left w:val="single" w:sz="8" w:space="0" w:color="auto"/>
              <w:bottom w:val="single" w:sz="8" w:space="0" w:color="auto"/>
              <w:right w:val="single" w:sz="8" w:space="0" w:color="auto"/>
            </w:tcBorders>
            <w:vAlign w:val="center"/>
          </w:tcPr>
          <w:p w14:paraId="42ECE10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148189D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2014</w:t>
            </w:r>
          </w:p>
        </w:tc>
        <w:tc>
          <w:tcPr>
            <w:tcW w:w="813" w:type="dxa"/>
            <w:tcBorders>
              <w:top w:val="single" w:sz="8" w:space="0" w:color="auto"/>
              <w:left w:val="single" w:sz="8" w:space="0" w:color="auto"/>
              <w:bottom w:val="single" w:sz="8" w:space="0" w:color="auto"/>
              <w:right w:val="single" w:sz="8" w:space="0" w:color="auto"/>
            </w:tcBorders>
            <w:vAlign w:val="center"/>
          </w:tcPr>
          <w:p w14:paraId="48918460"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1190221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6179275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7FE83EE0"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0BC10FA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M-16</w:t>
            </w:r>
          </w:p>
        </w:tc>
      </w:tr>
      <w:tr w:rsidR="00AF3FEE" w:rsidRPr="00CE5F74" w14:paraId="60C65048"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711F5B89" w14:textId="0104AE1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M-2</w:t>
            </w:r>
            <w:r w:rsidR="00192C09">
              <w:rPr>
                <w:rFonts w:ascii="Arial" w:hAnsi="Arial" w:cs="Arial"/>
                <w:color w:val="000000"/>
                <w:sz w:val="18"/>
                <w:szCs w:val="18"/>
              </w:rPr>
              <w:t>0</w:t>
            </w:r>
          </w:p>
        </w:tc>
        <w:tc>
          <w:tcPr>
            <w:tcW w:w="1702" w:type="dxa"/>
            <w:tcBorders>
              <w:top w:val="single" w:sz="8" w:space="0" w:color="auto"/>
              <w:left w:val="single" w:sz="8" w:space="0" w:color="auto"/>
              <w:bottom w:val="single" w:sz="8" w:space="0" w:color="auto"/>
              <w:right w:val="single" w:sz="8" w:space="0" w:color="auto"/>
            </w:tcBorders>
            <w:vAlign w:val="center"/>
          </w:tcPr>
          <w:p w14:paraId="5B0785E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DODATNI UKREPI ZA PROMOCIJO PROIZVODNJE </w:t>
            </w:r>
            <w:r w:rsidRPr="00654A0B">
              <w:rPr>
                <w:rFonts w:ascii="Arial" w:hAnsi="Arial" w:cs="Arial"/>
                <w:color w:val="000000"/>
                <w:sz w:val="18"/>
                <w:szCs w:val="18"/>
              </w:rPr>
              <w:lastRenderedPageBreak/>
              <w:t>DALJINSKE TOPLOTE IZ OBNOVLJIVIH VIROV ENERGIJE IN V SPTE Z VISOKIM IZKORISTKOM</w:t>
            </w:r>
          </w:p>
        </w:tc>
        <w:tc>
          <w:tcPr>
            <w:tcW w:w="2048" w:type="dxa"/>
            <w:tcBorders>
              <w:top w:val="single" w:sz="8" w:space="0" w:color="auto"/>
              <w:left w:val="single" w:sz="8" w:space="0" w:color="auto"/>
              <w:bottom w:val="single" w:sz="8" w:space="0" w:color="auto"/>
              <w:right w:val="single" w:sz="8" w:space="0" w:color="auto"/>
            </w:tcBorders>
            <w:vAlign w:val="center"/>
          </w:tcPr>
          <w:p w14:paraId="4AA83DB1" w14:textId="0FB16550" w:rsidR="00AF3FEE" w:rsidRPr="00654A0B" w:rsidRDefault="00654157" w:rsidP="00654157">
            <w:pPr>
              <w:spacing w:line="245" w:lineRule="auto"/>
              <w:jc w:val="both"/>
              <w:rPr>
                <w:rFonts w:ascii="Arial" w:hAnsi="Arial" w:cs="Arial"/>
                <w:sz w:val="18"/>
                <w:szCs w:val="18"/>
              </w:rPr>
            </w:pPr>
            <w:r>
              <w:rPr>
                <w:rFonts w:ascii="Arial" w:hAnsi="Arial" w:cs="Arial"/>
                <w:color w:val="000000"/>
                <w:sz w:val="18"/>
                <w:szCs w:val="18"/>
              </w:rPr>
              <w:lastRenderedPageBreak/>
              <w:t xml:space="preserve">Vključitev </w:t>
            </w:r>
            <w:r w:rsidR="00AF3FEE" w:rsidRPr="00654A0B">
              <w:rPr>
                <w:rFonts w:ascii="Arial" w:hAnsi="Arial" w:cs="Arial"/>
                <w:color w:val="000000"/>
                <w:sz w:val="18"/>
                <w:szCs w:val="18"/>
              </w:rPr>
              <w:t xml:space="preserve">načrtov za sisteme SDOH v občinske prostorske načrte, sprememba </w:t>
            </w:r>
            <w:r w:rsidR="00AF3FEE" w:rsidRPr="00654A0B">
              <w:rPr>
                <w:rFonts w:ascii="Arial" w:hAnsi="Arial" w:cs="Arial"/>
                <w:color w:val="000000"/>
                <w:sz w:val="18"/>
                <w:szCs w:val="18"/>
              </w:rPr>
              <w:lastRenderedPageBreak/>
              <w:t>modela oblikovanja cen toplote, boljše izkoriščanje geotermalne toplote v SDOH ter dodatne aktivnosti za krepitev podpornega okolja SDOH</w:t>
            </w:r>
          </w:p>
        </w:tc>
        <w:tc>
          <w:tcPr>
            <w:tcW w:w="1873" w:type="dxa"/>
            <w:tcBorders>
              <w:top w:val="single" w:sz="8" w:space="0" w:color="auto"/>
              <w:left w:val="single" w:sz="8" w:space="0" w:color="auto"/>
              <w:bottom w:val="single" w:sz="8" w:space="0" w:color="auto"/>
              <w:right w:val="single" w:sz="8" w:space="0" w:color="auto"/>
            </w:tcBorders>
            <w:vAlign w:val="center"/>
          </w:tcPr>
          <w:p w14:paraId="33537C2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lastRenderedPageBreak/>
              <w:t xml:space="preserve">Dodatno povečanje rabe OVE, SPTE in odvečne toplote v </w:t>
            </w:r>
            <w:r w:rsidRPr="00654A0B">
              <w:rPr>
                <w:rFonts w:ascii="Arial" w:hAnsi="Arial" w:cs="Arial"/>
                <w:color w:val="000000"/>
                <w:sz w:val="18"/>
                <w:szCs w:val="18"/>
              </w:rPr>
              <w:lastRenderedPageBreak/>
              <w:t>sistemih daljinskega ogrevanja in hlajenja</w:t>
            </w:r>
          </w:p>
        </w:tc>
        <w:tc>
          <w:tcPr>
            <w:tcW w:w="928" w:type="dxa"/>
            <w:tcBorders>
              <w:top w:val="single" w:sz="8" w:space="0" w:color="auto"/>
              <w:left w:val="single" w:sz="8" w:space="0" w:color="auto"/>
              <w:bottom w:val="single" w:sz="8" w:space="0" w:color="auto"/>
              <w:right w:val="single" w:sz="8" w:space="0" w:color="auto"/>
            </w:tcBorders>
            <w:vAlign w:val="center"/>
          </w:tcPr>
          <w:p w14:paraId="24CFB22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EF13F0E" w14:textId="3C544ADB" w:rsidR="00AF3FEE" w:rsidRPr="00654A0B" w:rsidRDefault="00AF3FEE" w:rsidP="00943C13">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r w:rsidR="00E0563E">
              <w:rPr>
                <w:rFonts w:ascii="Arial" w:hAnsi="Arial" w:cs="Arial"/>
                <w:color w:val="000000"/>
                <w:sz w:val="18"/>
                <w:szCs w:val="18"/>
              </w:rPr>
              <w:t>n</w:t>
            </w:r>
            <w:r w:rsidRPr="00654A0B">
              <w:rPr>
                <w:rFonts w:ascii="Arial" w:hAnsi="Arial" w:cs="Arial"/>
                <w:color w:val="000000"/>
                <w:sz w:val="18"/>
                <w:szCs w:val="18"/>
              </w:rPr>
              <w:t xml:space="preserve">ačrtovanje, </w:t>
            </w:r>
            <w:r w:rsidR="00E0563E">
              <w:rPr>
                <w:rFonts w:ascii="Arial" w:hAnsi="Arial" w:cs="Arial"/>
                <w:color w:val="000000"/>
                <w:sz w:val="18"/>
                <w:szCs w:val="18"/>
              </w:rPr>
              <w:lastRenderedPageBreak/>
              <w:t>i</w:t>
            </w:r>
            <w:r w:rsidRPr="00654A0B">
              <w:rPr>
                <w:rFonts w:ascii="Arial" w:hAnsi="Arial" w:cs="Arial"/>
                <w:color w:val="000000"/>
                <w:sz w:val="18"/>
                <w:szCs w:val="18"/>
              </w:rPr>
              <w:t>zobraževanje</w:t>
            </w:r>
          </w:p>
        </w:tc>
        <w:tc>
          <w:tcPr>
            <w:tcW w:w="1008" w:type="dxa"/>
            <w:tcBorders>
              <w:top w:val="single" w:sz="8" w:space="0" w:color="auto"/>
              <w:left w:val="single" w:sz="8" w:space="0" w:color="auto"/>
              <w:bottom w:val="single" w:sz="8" w:space="0" w:color="auto"/>
              <w:right w:val="single" w:sz="8" w:space="0" w:color="auto"/>
            </w:tcBorders>
            <w:vAlign w:val="center"/>
          </w:tcPr>
          <w:p w14:paraId="180CD63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Načrovan</w:t>
            </w:r>
          </w:p>
        </w:tc>
        <w:tc>
          <w:tcPr>
            <w:tcW w:w="958" w:type="dxa"/>
            <w:tcBorders>
              <w:top w:val="single" w:sz="8" w:space="0" w:color="auto"/>
              <w:left w:val="single" w:sz="8" w:space="0" w:color="auto"/>
              <w:bottom w:val="single" w:sz="8" w:space="0" w:color="auto"/>
              <w:right w:val="single" w:sz="8" w:space="0" w:color="auto"/>
            </w:tcBorders>
            <w:vAlign w:val="center"/>
          </w:tcPr>
          <w:p w14:paraId="3F83364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27C5248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1.A.1</w:t>
            </w:r>
          </w:p>
        </w:tc>
        <w:tc>
          <w:tcPr>
            <w:tcW w:w="919" w:type="dxa"/>
            <w:tcBorders>
              <w:top w:val="single" w:sz="8" w:space="0" w:color="auto"/>
              <w:left w:val="single" w:sz="8" w:space="0" w:color="auto"/>
              <w:bottom w:val="single" w:sz="8" w:space="0" w:color="auto"/>
              <w:right w:val="single" w:sz="8" w:space="0" w:color="auto"/>
            </w:tcBorders>
            <w:vAlign w:val="center"/>
          </w:tcPr>
          <w:p w14:paraId="5116D20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vAlign w:val="center"/>
          </w:tcPr>
          <w:p w14:paraId="7384ADA9"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4407190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IE (M-18)</w:t>
            </w:r>
          </w:p>
        </w:tc>
        <w:tc>
          <w:tcPr>
            <w:tcW w:w="775" w:type="dxa"/>
            <w:tcBorders>
              <w:top w:val="single" w:sz="8" w:space="0" w:color="auto"/>
              <w:left w:val="single" w:sz="8" w:space="0" w:color="auto"/>
              <w:bottom w:val="single" w:sz="8" w:space="0" w:color="auto"/>
              <w:right w:val="single" w:sz="8" w:space="0" w:color="auto"/>
            </w:tcBorders>
            <w:vAlign w:val="center"/>
          </w:tcPr>
          <w:p w14:paraId="5F587D2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M-17</w:t>
            </w:r>
          </w:p>
        </w:tc>
      </w:tr>
      <w:tr w:rsidR="00AF3FEE" w:rsidRPr="00CE5F74" w14:paraId="095E53B6"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tcPr>
          <w:p w14:paraId="3302B173" w14:textId="77777777" w:rsidR="00AF3FEE" w:rsidRPr="00654A0B" w:rsidRDefault="00AF3FEE" w:rsidP="00AF3FEE">
            <w:pPr>
              <w:spacing w:line="245" w:lineRule="auto"/>
              <w:jc w:val="both"/>
              <w:rPr>
                <w:rFonts w:ascii="Arial" w:eastAsia="Tahoma" w:hAnsi="Arial" w:cs="Arial"/>
                <w:b/>
                <w:bCs/>
                <w:sz w:val="18"/>
                <w:szCs w:val="18"/>
              </w:rPr>
            </w:pPr>
            <w:r w:rsidRPr="00654A0B">
              <w:rPr>
                <w:rFonts w:ascii="Arial" w:eastAsia="Tahoma" w:hAnsi="Arial" w:cs="Arial"/>
                <w:b/>
                <w:bCs/>
                <w:noProof/>
                <w:sz w:val="18"/>
                <w:szCs w:val="18"/>
              </w:rPr>
              <w:t>RABA ENERGIJE V INDUSTRIJI</w:t>
            </w:r>
          </w:p>
        </w:tc>
      </w:tr>
      <w:tr w:rsidR="00AF3FEE" w:rsidRPr="00CE5F74" w14:paraId="2BCBB5D2"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2BE12CF" w14:textId="2B97461B"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1</w:t>
            </w:r>
          </w:p>
        </w:tc>
        <w:tc>
          <w:tcPr>
            <w:tcW w:w="1702" w:type="dxa"/>
            <w:tcBorders>
              <w:top w:val="single" w:sz="8" w:space="0" w:color="auto"/>
              <w:left w:val="single" w:sz="8" w:space="0" w:color="auto"/>
              <w:bottom w:val="single" w:sz="8" w:space="0" w:color="auto"/>
              <w:right w:val="single" w:sz="8" w:space="0" w:color="auto"/>
            </w:tcBorders>
            <w:vAlign w:val="center"/>
          </w:tcPr>
          <w:p w14:paraId="50E450B0"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SPODBUJANJE UČINKOVITE RABE ENERGIJE IN RABE OVE V INDUSTRIJI</w:t>
            </w:r>
          </w:p>
        </w:tc>
        <w:tc>
          <w:tcPr>
            <w:tcW w:w="2048" w:type="dxa"/>
            <w:tcBorders>
              <w:top w:val="single" w:sz="8" w:space="0" w:color="auto"/>
              <w:left w:val="single" w:sz="8" w:space="0" w:color="auto"/>
              <w:bottom w:val="single" w:sz="8" w:space="0" w:color="auto"/>
              <w:right w:val="single" w:sz="8" w:space="0" w:color="auto"/>
            </w:tcBorders>
            <w:vAlign w:val="center"/>
          </w:tcPr>
          <w:p w14:paraId="61F84056"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Spodbujanje zelenega tehnološkega prehoda z usmerjanjem sredstev v URE, OVE, nizkoogljičnost, krožnost</w:t>
            </w:r>
          </w:p>
        </w:tc>
        <w:tc>
          <w:tcPr>
            <w:tcW w:w="1873" w:type="dxa"/>
            <w:tcBorders>
              <w:top w:val="single" w:sz="8" w:space="0" w:color="auto"/>
              <w:left w:val="single" w:sz="8" w:space="0" w:color="auto"/>
              <w:bottom w:val="single" w:sz="8" w:space="0" w:color="auto"/>
              <w:right w:val="single" w:sz="8" w:space="0" w:color="auto"/>
            </w:tcBorders>
            <w:vAlign w:val="center"/>
          </w:tcPr>
          <w:p w14:paraId="0BC91044"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Povečanje URE in OVE v industriji</w:t>
            </w:r>
          </w:p>
        </w:tc>
        <w:tc>
          <w:tcPr>
            <w:tcW w:w="928" w:type="dxa"/>
            <w:tcBorders>
              <w:top w:val="single" w:sz="8" w:space="0" w:color="auto"/>
              <w:left w:val="single" w:sz="8" w:space="0" w:color="auto"/>
              <w:bottom w:val="single" w:sz="8" w:space="0" w:color="auto"/>
              <w:right w:val="single" w:sz="8" w:space="0" w:color="auto"/>
            </w:tcBorders>
            <w:vAlign w:val="center"/>
          </w:tcPr>
          <w:p w14:paraId="3B81BF32"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B90A75E" w14:textId="08C8992A"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p>
        </w:tc>
        <w:tc>
          <w:tcPr>
            <w:tcW w:w="1008" w:type="dxa"/>
            <w:tcBorders>
              <w:top w:val="single" w:sz="8" w:space="0" w:color="auto"/>
              <w:left w:val="single" w:sz="8" w:space="0" w:color="auto"/>
              <w:bottom w:val="single" w:sz="8" w:space="0" w:color="auto"/>
              <w:right w:val="single" w:sz="8" w:space="0" w:color="auto"/>
            </w:tcBorders>
            <w:vAlign w:val="center"/>
          </w:tcPr>
          <w:p w14:paraId="7771C8EA"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6335BE4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2007</w:t>
            </w:r>
          </w:p>
        </w:tc>
        <w:tc>
          <w:tcPr>
            <w:tcW w:w="813" w:type="dxa"/>
            <w:tcBorders>
              <w:top w:val="single" w:sz="8" w:space="0" w:color="auto"/>
              <w:left w:val="single" w:sz="8" w:space="0" w:color="auto"/>
              <w:bottom w:val="single" w:sz="8" w:space="0" w:color="auto"/>
              <w:right w:val="single" w:sz="8" w:space="0" w:color="auto"/>
            </w:tcBorders>
            <w:vAlign w:val="center"/>
          </w:tcPr>
          <w:p w14:paraId="1FD29592"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1.A.2</w:t>
            </w:r>
          </w:p>
        </w:tc>
        <w:tc>
          <w:tcPr>
            <w:tcW w:w="919" w:type="dxa"/>
            <w:tcBorders>
              <w:top w:val="single" w:sz="8" w:space="0" w:color="auto"/>
              <w:left w:val="single" w:sz="8" w:space="0" w:color="auto"/>
              <w:bottom w:val="single" w:sz="8" w:space="0" w:color="auto"/>
              <w:right w:val="single" w:sz="8" w:space="0" w:color="auto"/>
            </w:tcBorders>
            <w:vAlign w:val="center"/>
          </w:tcPr>
          <w:p w14:paraId="6CC0D6B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MGTŠ, MOPE, Eko sklad, SID banka</w:t>
            </w:r>
          </w:p>
        </w:tc>
        <w:tc>
          <w:tcPr>
            <w:tcW w:w="992" w:type="dxa"/>
            <w:tcBorders>
              <w:top w:val="single" w:sz="8" w:space="0" w:color="auto"/>
              <w:left w:val="single" w:sz="8" w:space="0" w:color="auto"/>
              <w:bottom w:val="single" w:sz="8" w:space="0" w:color="auto"/>
              <w:right w:val="single" w:sz="8" w:space="0" w:color="auto"/>
            </w:tcBorders>
            <w:vAlign w:val="center"/>
          </w:tcPr>
          <w:p w14:paraId="3CF9C156"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vAlign w:val="center"/>
          </w:tcPr>
          <w:p w14:paraId="547AC327"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049D90E1"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M-18</w:t>
            </w:r>
          </w:p>
        </w:tc>
      </w:tr>
      <w:tr w:rsidR="00AF3FEE" w:rsidRPr="00CE5F74" w14:paraId="4CEC32AD"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10B07F7" w14:textId="6569318E"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2</w:t>
            </w:r>
          </w:p>
        </w:tc>
        <w:tc>
          <w:tcPr>
            <w:tcW w:w="1702" w:type="dxa"/>
            <w:tcBorders>
              <w:top w:val="single" w:sz="8" w:space="0" w:color="auto"/>
              <w:left w:val="single" w:sz="8" w:space="0" w:color="auto"/>
              <w:bottom w:val="single" w:sz="8" w:space="0" w:color="auto"/>
              <w:right w:val="single" w:sz="8" w:space="0" w:color="auto"/>
            </w:tcBorders>
            <w:vAlign w:val="center"/>
          </w:tcPr>
          <w:p w14:paraId="5F3D5DE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DODATNE AKTIVNOSTI ZA SPODBUJANJE UČINKOVITE RABE ENERGIJE IN RABE OVE V INDUSTRIJI</w:t>
            </w:r>
          </w:p>
        </w:tc>
        <w:tc>
          <w:tcPr>
            <w:tcW w:w="2048" w:type="dxa"/>
            <w:tcBorders>
              <w:top w:val="single" w:sz="8" w:space="0" w:color="auto"/>
              <w:left w:val="single" w:sz="8" w:space="0" w:color="auto"/>
              <w:bottom w:val="single" w:sz="8" w:space="0" w:color="auto"/>
              <w:right w:val="single" w:sz="8" w:space="0" w:color="auto"/>
            </w:tcBorders>
            <w:vAlign w:val="center"/>
          </w:tcPr>
          <w:p w14:paraId="50494D13" w14:textId="12A89F6D"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Dodatn</w:t>
            </w:r>
            <w:r w:rsidR="00E0563E">
              <w:rPr>
                <w:rFonts w:ascii="Arial" w:hAnsi="Arial" w:cs="Arial"/>
                <w:color w:val="000000"/>
                <w:sz w:val="18"/>
                <w:szCs w:val="18"/>
              </w:rPr>
              <w:t>e</w:t>
            </w:r>
            <w:r w:rsidRPr="00654A0B">
              <w:rPr>
                <w:rFonts w:ascii="Arial" w:hAnsi="Arial" w:cs="Arial"/>
                <w:color w:val="000000"/>
                <w:sz w:val="18"/>
                <w:szCs w:val="18"/>
              </w:rPr>
              <w:t xml:space="preserve"> finančne spodbude za URE, OVE, nizkoogljičnost, krožnost, tehnična pomoč, shema spodbud z različnimi finančnimi inštrumenti</w:t>
            </w:r>
          </w:p>
        </w:tc>
        <w:tc>
          <w:tcPr>
            <w:tcW w:w="1873" w:type="dxa"/>
            <w:tcBorders>
              <w:top w:val="single" w:sz="8" w:space="0" w:color="auto"/>
              <w:left w:val="single" w:sz="8" w:space="0" w:color="auto"/>
              <w:bottom w:val="single" w:sz="8" w:space="0" w:color="auto"/>
              <w:right w:val="single" w:sz="8" w:space="0" w:color="auto"/>
            </w:tcBorders>
            <w:vAlign w:val="center"/>
          </w:tcPr>
          <w:p w14:paraId="271EB509"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Dodatno povečanje URE in OVE v industriji</w:t>
            </w:r>
          </w:p>
        </w:tc>
        <w:tc>
          <w:tcPr>
            <w:tcW w:w="928" w:type="dxa"/>
            <w:tcBorders>
              <w:top w:val="single" w:sz="8" w:space="0" w:color="auto"/>
              <w:left w:val="single" w:sz="8" w:space="0" w:color="auto"/>
              <w:bottom w:val="single" w:sz="8" w:space="0" w:color="auto"/>
              <w:right w:val="single" w:sz="8" w:space="0" w:color="auto"/>
            </w:tcBorders>
            <w:vAlign w:val="center"/>
          </w:tcPr>
          <w:p w14:paraId="6013D9A8"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491F57E" w14:textId="69F8D0CB" w:rsidR="00AF3FEE" w:rsidRPr="00654A0B" w:rsidRDefault="00AF3FEE" w:rsidP="00E0563E">
            <w:pPr>
              <w:spacing w:line="245" w:lineRule="auto"/>
              <w:jc w:val="both"/>
              <w:rPr>
                <w:rFonts w:ascii="Arial" w:eastAsia="Tahoma" w:hAnsi="Arial" w:cs="Arial"/>
                <w:sz w:val="18"/>
                <w:szCs w:val="18"/>
              </w:rPr>
            </w:pPr>
            <w:r w:rsidRPr="00654A0B">
              <w:rPr>
                <w:rFonts w:ascii="Arial" w:hAnsi="Arial" w:cs="Arial"/>
                <w:color w:val="000000"/>
                <w:sz w:val="18"/>
                <w:szCs w:val="18"/>
              </w:rPr>
              <w:t xml:space="preserve">Ekonomski, </w:t>
            </w:r>
            <w:r w:rsidR="00E0563E">
              <w:rPr>
                <w:rFonts w:ascii="Arial" w:hAnsi="Arial" w:cs="Arial"/>
                <w:color w:val="000000"/>
                <w:sz w:val="18"/>
                <w:szCs w:val="18"/>
              </w:rPr>
              <w:t>z</w:t>
            </w:r>
            <w:r w:rsidRPr="00654A0B">
              <w:rPr>
                <w:rFonts w:ascii="Arial" w:hAnsi="Arial" w:cs="Arial"/>
                <w:color w:val="000000"/>
                <w:sz w:val="18"/>
                <w:szCs w:val="18"/>
              </w:rPr>
              <w:t xml:space="preserve">akonodajni </w:t>
            </w:r>
          </w:p>
        </w:tc>
        <w:tc>
          <w:tcPr>
            <w:tcW w:w="1008" w:type="dxa"/>
            <w:tcBorders>
              <w:top w:val="single" w:sz="8" w:space="0" w:color="auto"/>
              <w:left w:val="single" w:sz="8" w:space="0" w:color="auto"/>
              <w:bottom w:val="single" w:sz="8" w:space="0" w:color="auto"/>
              <w:right w:val="single" w:sz="8" w:space="0" w:color="auto"/>
            </w:tcBorders>
            <w:vAlign w:val="center"/>
          </w:tcPr>
          <w:p w14:paraId="1E83DF7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44204892"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258CE44E"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1.A.2</w:t>
            </w:r>
          </w:p>
        </w:tc>
        <w:tc>
          <w:tcPr>
            <w:tcW w:w="919" w:type="dxa"/>
            <w:tcBorders>
              <w:top w:val="single" w:sz="8" w:space="0" w:color="auto"/>
              <w:left w:val="single" w:sz="8" w:space="0" w:color="auto"/>
              <w:bottom w:val="single" w:sz="8" w:space="0" w:color="auto"/>
              <w:right w:val="single" w:sz="8" w:space="0" w:color="auto"/>
            </w:tcBorders>
            <w:vAlign w:val="center"/>
          </w:tcPr>
          <w:p w14:paraId="291F40F4"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MGTŠ, MOPE, Eko sklad</w:t>
            </w:r>
          </w:p>
        </w:tc>
        <w:tc>
          <w:tcPr>
            <w:tcW w:w="992" w:type="dxa"/>
            <w:tcBorders>
              <w:top w:val="single" w:sz="8" w:space="0" w:color="auto"/>
              <w:left w:val="single" w:sz="8" w:space="0" w:color="auto"/>
              <w:bottom w:val="single" w:sz="8" w:space="0" w:color="auto"/>
              <w:right w:val="single" w:sz="8" w:space="0" w:color="auto"/>
            </w:tcBorders>
            <w:vAlign w:val="center"/>
          </w:tcPr>
          <w:p w14:paraId="2F0BA875"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vAlign w:val="center"/>
          </w:tcPr>
          <w:p w14:paraId="6D4A65D8"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488</w:t>
            </w:r>
          </w:p>
        </w:tc>
        <w:tc>
          <w:tcPr>
            <w:tcW w:w="775" w:type="dxa"/>
            <w:tcBorders>
              <w:top w:val="single" w:sz="8" w:space="0" w:color="auto"/>
              <w:left w:val="single" w:sz="8" w:space="0" w:color="auto"/>
              <w:bottom w:val="single" w:sz="8" w:space="0" w:color="auto"/>
              <w:right w:val="single" w:sz="8" w:space="0" w:color="auto"/>
            </w:tcBorders>
            <w:vAlign w:val="center"/>
          </w:tcPr>
          <w:p w14:paraId="5A320B66" w14:textId="77777777" w:rsidR="00AF3FEE" w:rsidRPr="00654A0B" w:rsidRDefault="00AF3FEE" w:rsidP="00AF3FEE">
            <w:pPr>
              <w:spacing w:line="245" w:lineRule="auto"/>
              <w:jc w:val="both"/>
              <w:rPr>
                <w:rFonts w:ascii="Arial" w:eastAsia="Tahoma" w:hAnsi="Arial" w:cs="Arial"/>
                <w:sz w:val="18"/>
                <w:szCs w:val="18"/>
              </w:rPr>
            </w:pPr>
            <w:r w:rsidRPr="00654A0B">
              <w:rPr>
                <w:rFonts w:ascii="Arial" w:hAnsi="Arial" w:cs="Arial"/>
                <w:color w:val="000000"/>
                <w:sz w:val="18"/>
                <w:szCs w:val="18"/>
              </w:rPr>
              <w:t>M-19</w:t>
            </w:r>
          </w:p>
        </w:tc>
      </w:tr>
      <w:tr w:rsidR="00AF3FEE" w:rsidRPr="00CE5F74" w14:paraId="50B8E22F" w14:textId="77777777" w:rsidTr="006D46D8">
        <w:tc>
          <w:tcPr>
            <w:tcW w:w="14838" w:type="dxa"/>
            <w:gridSpan w:val="14"/>
            <w:tcBorders>
              <w:top w:val="single" w:sz="8" w:space="0" w:color="auto"/>
              <w:left w:val="single" w:sz="8" w:space="0" w:color="auto"/>
              <w:bottom w:val="single" w:sz="8" w:space="0" w:color="auto"/>
              <w:right w:val="single" w:sz="8" w:space="0" w:color="auto"/>
            </w:tcBorders>
          </w:tcPr>
          <w:p w14:paraId="1C6102E6" w14:textId="77777777" w:rsidR="00AF3FEE" w:rsidRPr="00654A0B" w:rsidRDefault="00AF3FEE" w:rsidP="00AF3FEE">
            <w:pPr>
              <w:spacing w:line="245" w:lineRule="auto"/>
              <w:jc w:val="both"/>
              <w:rPr>
                <w:rFonts w:ascii="Arial" w:eastAsia="Tahoma" w:hAnsi="Arial" w:cs="Arial"/>
                <w:b/>
                <w:bCs/>
                <w:noProof/>
                <w:sz w:val="18"/>
                <w:szCs w:val="18"/>
              </w:rPr>
            </w:pPr>
            <w:r w:rsidRPr="00654A0B">
              <w:rPr>
                <w:rFonts w:ascii="Arial" w:eastAsia="Tahoma" w:hAnsi="Arial" w:cs="Arial"/>
                <w:b/>
                <w:bCs/>
                <w:noProof/>
                <w:sz w:val="18"/>
                <w:szCs w:val="18"/>
              </w:rPr>
              <w:t>RABA ENERGIJE V STAVBAH</w:t>
            </w:r>
          </w:p>
        </w:tc>
      </w:tr>
      <w:tr w:rsidR="00AF3FEE" w:rsidRPr="00CE5F74" w14:paraId="1FB8613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FC9FA7E" w14:textId="0F9EFF53"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3</w:t>
            </w:r>
          </w:p>
        </w:tc>
        <w:tc>
          <w:tcPr>
            <w:tcW w:w="1702" w:type="dxa"/>
            <w:tcBorders>
              <w:top w:val="single" w:sz="8" w:space="0" w:color="auto"/>
              <w:left w:val="single" w:sz="8" w:space="0" w:color="auto"/>
              <w:bottom w:val="single" w:sz="8" w:space="0" w:color="auto"/>
              <w:right w:val="single" w:sz="8" w:space="0" w:color="auto"/>
            </w:tcBorders>
            <w:vAlign w:val="center"/>
          </w:tcPr>
          <w:p w14:paraId="629B904F"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SPODBUJANJE URE IN RABE OVE V STAVBAH NA SPLOŠNO</w:t>
            </w:r>
          </w:p>
        </w:tc>
        <w:tc>
          <w:tcPr>
            <w:tcW w:w="2048" w:type="dxa"/>
            <w:tcBorders>
              <w:top w:val="single" w:sz="8" w:space="0" w:color="auto"/>
              <w:left w:val="single" w:sz="8" w:space="0" w:color="auto"/>
              <w:bottom w:val="single" w:sz="8" w:space="0" w:color="auto"/>
              <w:right w:val="single" w:sz="8" w:space="0" w:color="auto"/>
            </w:tcBorders>
            <w:vAlign w:val="center"/>
          </w:tcPr>
          <w:p w14:paraId="04FC0D0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prenove stavb kulturne dediščine in energetskega pogodbeništva, zagotavljanje kakovosti projektov energetske prenove</w:t>
            </w:r>
          </w:p>
        </w:tc>
        <w:tc>
          <w:tcPr>
            <w:tcW w:w="1873" w:type="dxa"/>
            <w:tcBorders>
              <w:top w:val="single" w:sz="8" w:space="0" w:color="auto"/>
              <w:left w:val="single" w:sz="8" w:space="0" w:color="auto"/>
              <w:bottom w:val="single" w:sz="8" w:space="0" w:color="auto"/>
              <w:right w:val="single" w:sz="8" w:space="0" w:color="auto"/>
            </w:tcBorders>
            <w:vAlign w:val="center"/>
          </w:tcPr>
          <w:p w14:paraId="548D8A35"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 xml:space="preserve">Povečanje učinkovitosti stavb in rabe OVE kot vira toplote </w:t>
            </w:r>
          </w:p>
        </w:tc>
        <w:tc>
          <w:tcPr>
            <w:tcW w:w="928" w:type="dxa"/>
            <w:tcBorders>
              <w:top w:val="single" w:sz="8" w:space="0" w:color="auto"/>
              <w:left w:val="single" w:sz="8" w:space="0" w:color="auto"/>
              <w:bottom w:val="single" w:sz="8" w:space="0" w:color="auto"/>
              <w:right w:val="single" w:sz="8" w:space="0" w:color="auto"/>
            </w:tcBorders>
            <w:vAlign w:val="center"/>
          </w:tcPr>
          <w:p w14:paraId="54FBEEF7"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600B6028" w14:textId="2EE8CCBF"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943C13">
              <w:rPr>
                <w:rFonts w:ascii="Arial" w:hAnsi="Arial" w:cs="Arial"/>
                <w:color w:val="000000"/>
                <w:sz w:val="18"/>
                <w:szCs w:val="18"/>
              </w:rPr>
              <w:t>z</w:t>
            </w:r>
            <w:r w:rsidRPr="00654A0B">
              <w:rPr>
                <w:rFonts w:ascii="Arial" w:hAnsi="Arial" w:cs="Arial"/>
                <w:color w:val="000000"/>
                <w:sz w:val="18"/>
                <w:szCs w:val="18"/>
              </w:rPr>
              <w:t xml:space="preserve">akonodajni, </w:t>
            </w:r>
            <w:r w:rsidR="00654157">
              <w:rPr>
                <w:rFonts w:ascii="Arial" w:hAnsi="Arial" w:cs="Arial"/>
                <w:color w:val="000000"/>
                <w:sz w:val="18"/>
                <w:szCs w:val="18"/>
              </w:rPr>
              <w:t>i</w:t>
            </w:r>
            <w:r w:rsidRPr="00654A0B">
              <w:rPr>
                <w:rFonts w:ascii="Arial" w:hAnsi="Arial" w:cs="Arial"/>
                <w:color w:val="000000"/>
                <w:sz w:val="18"/>
                <w:szCs w:val="18"/>
              </w:rPr>
              <w:t xml:space="preserve">zobraževalni, </w:t>
            </w:r>
            <w:r w:rsidR="00654157">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2F74C3FC" w14:textId="34038F88"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Izveden, </w:t>
            </w:r>
            <w:r w:rsidR="00654157">
              <w:rPr>
                <w:rFonts w:ascii="Arial" w:hAnsi="Arial" w:cs="Arial"/>
                <w:color w:val="000000"/>
                <w:sz w:val="18"/>
                <w:szCs w:val="18"/>
              </w:rPr>
              <w:t>s</w:t>
            </w:r>
            <w:r w:rsidRPr="00654A0B">
              <w:rPr>
                <w:rFonts w:ascii="Arial" w:hAnsi="Arial" w:cs="Arial"/>
                <w:color w:val="000000"/>
                <w:sz w:val="18"/>
                <w:szCs w:val="18"/>
              </w:rPr>
              <w:t>prejet</w:t>
            </w:r>
          </w:p>
        </w:tc>
        <w:tc>
          <w:tcPr>
            <w:tcW w:w="958" w:type="dxa"/>
            <w:tcBorders>
              <w:top w:val="single" w:sz="8" w:space="0" w:color="auto"/>
              <w:left w:val="single" w:sz="8" w:space="0" w:color="auto"/>
              <w:bottom w:val="single" w:sz="8" w:space="0" w:color="auto"/>
              <w:right w:val="single" w:sz="8" w:space="0" w:color="auto"/>
            </w:tcBorders>
            <w:vAlign w:val="center"/>
          </w:tcPr>
          <w:p w14:paraId="2D8F722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2002</w:t>
            </w:r>
          </w:p>
        </w:tc>
        <w:tc>
          <w:tcPr>
            <w:tcW w:w="813" w:type="dxa"/>
            <w:tcBorders>
              <w:top w:val="single" w:sz="8" w:space="0" w:color="auto"/>
              <w:left w:val="single" w:sz="8" w:space="0" w:color="auto"/>
              <w:bottom w:val="single" w:sz="8" w:space="0" w:color="auto"/>
              <w:right w:val="single" w:sz="8" w:space="0" w:color="auto"/>
            </w:tcBorders>
            <w:vAlign w:val="center"/>
          </w:tcPr>
          <w:p w14:paraId="731A8F83"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5D009CE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MOPE, MNVP, MK, MKRR</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B8F7386"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94FCB53"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1537FB8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M-20</w:t>
            </w:r>
          </w:p>
        </w:tc>
      </w:tr>
      <w:tr w:rsidR="00AF3FEE" w:rsidRPr="00CE5F74" w14:paraId="491198DE"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7F76ADFB" w14:textId="61B5D02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M-2</w:t>
            </w:r>
            <w:r w:rsidR="00192C09">
              <w:rPr>
                <w:rFonts w:ascii="Arial" w:hAnsi="Arial" w:cs="Arial"/>
                <w:color w:val="000000"/>
                <w:sz w:val="18"/>
                <w:szCs w:val="18"/>
              </w:rPr>
              <w:t>4</w:t>
            </w:r>
          </w:p>
        </w:tc>
        <w:tc>
          <w:tcPr>
            <w:tcW w:w="1702" w:type="dxa"/>
            <w:tcBorders>
              <w:top w:val="single" w:sz="8" w:space="0" w:color="auto"/>
              <w:left w:val="single" w:sz="8" w:space="0" w:color="auto"/>
              <w:bottom w:val="single" w:sz="8" w:space="0" w:color="auto"/>
              <w:right w:val="single" w:sz="8" w:space="0" w:color="auto"/>
            </w:tcBorders>
            <w:vAlign w:val="center"/>
          </w:tcPr>
          <w:p w14:paraId="06FD741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DODATNI UKREPI ZA SPODBUJANJE URE IN RABE OVE V STAVBAH NA SPLOŠNO</w:t>
            </w:r>
          </w:p>
        </w:tc>
        <w:tc>
          <w:tcPr>
            <w:tcW w:w="2048" w:type="dxa"/>
            <w:tcBorders>
              <w:top w:val="single" w:sz="8" w:space="0" w:color="auto"/>
              <w:left w:val="single" w:sz="8" w:space="0" w:color="auto"/>
              <w:bottom w:val="single" w:sz="8" w:space="0" w:color="auto"/>
              <w:right w:val="single" w:sz="8" w:space="0" w:color="auto"/>
            </w:tcBorders>
            <w:vAlign w:val="center"/>
          </w:tcPr>
          <w:p w14:paraId="445A69A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celovite prenove stavb, opuščanje rabe fosilnih goriv za ogrevanje v stavbah, razvoj aktivnih stavb</w:t>
            </w:r>
          </w:p>
        </w:tc>
        <w:tc>
          <w:tcPr>
            <w:tcW w:w="1873" w:type="dxa"/>
            <w:tcBorders>
              <w:top w:val="single" w:sz="8" w:space="0" w:color="auto"/>
              <w:left w:val="single" w:sz="8" w:space="0" w:color="auto"/>
              <w:bottom w:val="single" w:sz="8" w:space="0" w:color="auto"/>
              <w:right w:val="single" w:sz="8" w:space="0" w:color="auto"/>
            </w:tcBorders>
            <w:vAlign w:val="center"/>
          </w:tcPr>
          <w:p w14:paraId="5B93C4FE"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Povečanje učinkovitosti stavb in rabe OVE kot vira toplote</w:t>
            </w:r>
          </w:p>
        </w:tc>
        <w:tc>
          <w:tcPr>
            <w:tcW w:w="928" w:type="dxa"/>
            <w:tcBorders>
              <w:top w:val="single" w:sz="8" w:space="0" w:color="auto"/>
              <w:left w:val="single" w:sz="8" w:space="0" w:color="auto"/>
              <w:bottom w:val="single" w:sz="8" w:space="0" w:color="auto"/>
              <w:right w:val="single" w:sz="8" w:space="0" w:color="auto"/>
            </w:tcBorders>
            <w:vAlign w:val="center"/>
          </w:tcPr>
          <w:p w14:paraId="4EF92D3F"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849B615" w14:textId="62FAA652"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943C13">
              <w:rPr>
                <w:rFonts w:ascii="Arial" w:hAnsi="Arial" w:cs="Arial"/>
                <w:color w:val="000000"/>
                <w:sz w:val="18"/>
                <w:szCs w:val="18"/>
              </w:rPr>
              <w:t>z</w:t>
            </w:r>
            <w:r w:rsidRPr="00654A0B">
              <w:rPr>
                <w:rFonts w:ascii="Arial" w:hAnsi="Arial" w:cs="Arial"/>
                <w:color w:val="000000"/>
                <w:sz w:val="18"/>
                <w:szCs w:val="18"/>
              </w:rPr>
              <w:t xml:space="preserve">akonodajni, </w:t>
            </w:r>
            <w:r w:rsidR="00654157">
              <w:rPr>
                <w:rFonts w:ascii="Arial" w:hAnsi="Arial" w:cs="Arial"/>
                <w:color w:val="000000"/>
                <w:sz w:val="18"/>
                <w:szCs w:val="18"/>
              </w:rPr>
              <w:t>i</w:t>
            </w:r>
            <w:r w:rsidRPr="00943C13">
              <w:rPr>
                <w:rFonts w:ascii="Arial" w:hAnsi="Arial" w:cs="Arial"/>
                <w:color w:val="000000"/>
                <w:sz w:val="18"/>
                <w:szCs w:val="18"/>
              </w:rPr>
              <w:t>zobraže</w:t>
            </w:r>
            <w:r w:rsidRPr="00654A0B">
              <w:rPr>
                <w:rFonts w:ascii="Arial" w:hAnsi="Arial" w:cs="Arial"/>
                <w:color w:val="000000"/>
                <w:sz w:val="18"/>
                <w:szCs w:val="18"/>
              </w:rPr>
              <w:t xml:space="preserve">valni, </w:t>
            </w:r>
            <w:r w:rsidR="00654157">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4EDB288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48AFC320"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2026</w:t>
            </w:r>
          </w:p>
        </w:tc>
        <w:tc>
          <w:tcPr>
            <w:tcW w:w="813" w:type="dxa"/>
            <w:tcBorders>
              <w:top w:val="single" w:sz="8" w:space="0" w:color="auto"/>
              <w:left w:val="single" w:sz="8" w:space="0" w:color="auto"/>
              <w:bottom w:val="single" w:sz="8" w:space="0" w:color="auto"/>
              <w:right w:val="single" w:sz="8" w:space="0" w:color="auto"/>
            </w:tcBorders>
            <w:vAlign w:val="center"/>
          </w:tcPr>
          <w:p w14:paraId="19DD7FE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6180ECF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 xml:space="preserve">MOPE, MF, MNVP, MSP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2A0F284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22890B41"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95</w:t>
            </w:r>
          </w:p>
        </w:tc>
        <w:tc>
          <w:tcPr>
            <w:tcW w:w="775" w:type="dxa"/>
            <w:tcBorders>
              <w:top w:val="single" w:sz="8" w:space="0" w:color="auto"/>
              <w:left w:val="single" w:sz="8" w:space="0" w:color="auto"/>
              <w:bottom w:val="single" w:sz="8" w:space="0" w:color="auto"/>
              <w:right w:val="single" w:sz="8" w:space="0" w:color="auto"/>
            </w:tcBorders>
            <w:vAlign w:val="center"/>
          </w:tcPr>
          <w:p w14:paraId="7E817FD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M-21</w:t>
            </w:r>
          </w:p>
        </w:tc>
      </w:tr>
      <w:tr w:rsidR="00AF3FEE" w:rsidRPr="00CE5F74" w14:paraId="1617AE24"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32266F9" w14:textId="16FEEFBD"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5</w:t>
            </w:r>
          </w:p>
        </w:tc>
        <w:tc>
          <w:tcPr>
            <w:tcW w:w="1702" w:type="dxa"/>
            <w:tcBorders>
              <w:top w:val="single" w:sz="8" w:space="0" w:color="auto"/>
              <w:left w:val="single" w:sz="8" w:space="0" w:color="auto"/>
              <w:bottom w:val="single" w:sz="8" w:space="0" w:color="auto"/>
              <w:right w:val="single" w:sz="8" w:space="0" w:color="auto"/>
            </w:tcBorders>
            <w:vAlign w:val="center"/>
          </w:tcPr>
          <w:p w14:paraId="19D52EA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URE IN RABE OVE V GOSPODINJSTVIH</w:t>
            </w:r>
          </w:p>
        </w:tc>
        <w:tc>
          <w:tcPr>
            <w:tcW w:w="2048" w:type="dxa"/>
            <w:tcBorders>
              <w:top w:val="single" w:sz="8" w:space="0" w:color="auto"/>
              <w:left w:val="single" w:sz="8" w:space="0" w:color="auto"/>
              <w:bottom w:val="single" w:sz="8" w:space="0" w:color="auto"/>
              <w:right w:val="single" w:sz="8" w:space="0" w:color="auto"/>
            </w:tcBorders>
            <w:vAlign w:val="center"/>
          </w:tcPr>
          <w:p w14:paraId="226ABDF7" w14:textId="44CB8901"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Nadaljevanje spodbujanja izvajanja ukrepov URE in rabe OVE v gospodinjstvih s povratnimi in nepovratnimi spodbudami, delovanja energetsk</w:t>
            </w:r>
            <w:r w:rsidR="00943C13">
              <w:rPr>
                <w:rFonts w:ascii="Arial" w:hAnsi="Arial" w:cs="Arial"/>
                <w:color w:val="000000"/>
                <w:sz w:val="18"/>
                <w:szCs w:val="18"/>
              </w:rPr>
              <w:t>e</w:t>
            </w:r>
            <w:r w:rsidRPr="00654A0B">
              <w:rPr>
                <w:rFonts w:ascii="Arial" w:hAnsi="Arial" w:cs="Arial"/>
                <w:color w:val="000000"/>
                <w:sz w:val="18"/>
                <w:szCs w:val="18"/>
              </w:rPr>
              <w:t xml:space="preserve"> svetovalne mreže ENSVET ter izvajanja ukrepov za zmanjševanje energetske revščine</w:t>
            </w:r>
          </w:p>
        </w:tc>
        <w:tc>
          <w:tcPr>
            <w:tcW w:w="1873" w:type="dxa"/>
            <w:tcBorders>
              <w:top w:val="single" w:sz="8" w:space="0" w:color="auto"/>
              <w:left w:val="single" w:sz="8" w:space="0" w:color="auto"/>
              <w:bottom w:val="single" w:sz="8" w:space="0" w:color="auto"/>
              <w:right w:val="single" w:sz="8" w:space="0" w:color="auto"/>
            </w:tcBorders>
            <w:vAlign w:val="center"/>
          </w:tcPr>
          <w:p w14:paraId="740680A6"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Povečanje energetske učinkovitosti in rabe OVE v gospodinjstvih</w:t>
            </w:r>
          </w:p>
        </w:tc>
        <w:tc>
          <w:tcPr>
            <w:tcW w:w="928" w:type="dxa"/>
            <w:tcBorders>
              <w:top w:val="single" w:sz="8" w:space="0" w:color="auto"/>
              <w:left w:val="single" w:sz="8" w:space="0" w:color="auto"/>
              <w:bottom w:val="single" w:sz="8" w:space="0" w:color="auto"/>
              <w:right w:val="single" w:sz="8" w:space="0" w:color="auto"/>
            </w:tcBorders>
            <w:vAlign w:val="center"/>
          </w:tcPr>
          <w:p w14:paraId="38824AEE"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9815237" w14:textId="5E64AF2B"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943C13">
              <w:rPr>
                <w:rFonts w:ascii="Arial" w:hAnsi="Arial" w:cs="Arial"/>
                <w:color w:val="000000"/>
                <w:sz w:val="18"/>
                <w:szCs w:val="18"/>
              </w:rPr>
              <w:t>z</w:t>
            </w:r>
            <w:r w:rsidRPr="00654A0B">
              <w:rPr>
                <w:rFonts w:ascii="Arial" w:hAnsi="Arial" w:cs="Arial"/>
                <w:color w:val="000000"/>
                <w:sz w:val="18"/>
                <w:szCs w:val="18"/>
              </w:rPr>
              <w:t xml:space="preserve">akonodajni, </w:t>
            </w:r>
            <w:r w:rsidR="00654157">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713C0C4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27B0DDC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1993</w:t>
            </w:r>
          </w:p>
        </w:tc>
        <w:tc>
          <w:tcPr>
            <w:tcW w:w="813" w:type="dxa"/>
            <w:tcBorders>
              <w:top w:val="single" w:sz="8" w:space="0" w:color="auto"/>
              <w:left w:val="single" w:sz="8" w:space="0" w:color="auto"/>
              <w:bottom w:val="single" w:sz="8" w:space="0" w:color="auto"/>
              <w:right w:val="single" w:sz="8" w:space="0" w:color="auto"/>
            </w:tcBorders>
            <w:vAlign w:val="center"/>
          </w:tcPr>
          <w:p w14:paraId="47392C9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77700B5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MOPE, Eko sklad, MSP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206F35A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656A6B6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3EA68A6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M-22</w:t>
            </w:r>
          </w:p>
        </w:tc>
      </w:tr>
      <w:tr w:rsidR="00AF3FEE" w:rsidRPr="00CE5F74" w14:paraId="0F864319"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25805B12" w14:textId="4D3FE666"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6</w:t>
            </w:r>
          </w:p>
        </w:tc>
        <w:tc>
          <w:tcPr>
            <w:tcW w:w="1702" w:type="dxa"/>
            <w:tcBorders>
              <w:top w:val="single" w:sz="8" w:space="0" w:color="auto"/>
              <w:left w:val="single" w:sz="8" w:space="0" w:color="auto"/>
              <w:bottom w:val="single" w:sz="8" w:space="0" w:color="auto"/>
              <w:right w:val="single" w:sz="8" w:space="0" w:color="auto"/>
            </w:tcBorders>
            <w:vAlign w:val="center"/>
          </w:tcPr>
          <w:p w14:paraId="483279A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DODATNI UKREPI ZA SPODBUJANJE URE IN RABE OVE V GOSPODINJSTVIH</w:t>
            </w:r>
          </w:p>
        </w:tc>
        <w:tc>
          <w:tcPr>
            <w:tcW w:w="2048" w:type="dxa"/>
            <w:tcBorders>
              <w:top w:val="single" w:sz="8" w:space="0" w:color="auto"/>
              <w:left w:val="single" w:sz="8" w:space="0" w:color="auto"/>
              <w:bottom w:val="single" w:sz="8" w:space="0" w:color="auto"/>
              <w:right w:val="single" w:sz="8" w:space="0" w:color="auto"/>
            </w:tcBorders>
            <w:vAlign w:val="center"/>
          </w:tcPr>
          <w:p w14:paraId="5372241B" w14:textId="57A0FB02" w:rsidR="00AF3FEE" w:rsidRPr="00654A0B" w:rsidRDefault="00AF3FEE" w:rsidP="00654157">
            <w:pPr>
              <w:spacing w:line="245" w:lineRule="auto"/>
              <w:jc w:val="both"/>
              <w:rPr>
                <w:rFonts w:ascii="Arial" w:hAnsi="Arial" w:cs="Arial"/>
                <w:sz w:val="18"/>
                <w:szCs w:val="18"/>
                <w:highlight w:val="green"/>
              </w:rPr>
            </w:pPr>
            <w:r w:rsidRPr="00654A0B">
              <w:rPr>
                <w:rFonts w:ascii="Arial" w:hAnsi="Arial" w:cs="Arial"/>
                <w:color w:val="000000"/>
                <w:sz w:val="18"/>
                <w:szCs w:val="18"/>
              </w:rPr>
              <w:t xml:space="preserve">Vzpostavitev projektne pisarne za celovito prenovo stanovanjskih stavb, izvedba ukrepov za zmanjševanje ovir pri prenovi večstanovanjskih stavb in </w:t>
            </w:r>
            <w:r w:rsidR="00654157">
              <w:rPr>
                <w:rFonts w:ascii="Arial" w:hAnsi="Arial" w:cs="Arial"/>
                <w:color w:val="000000"/>
                <w:sz w:val="18"/>
                <w:szCs w:val="18"/>
              </w:rPr>
              <w:t xml:space="preserve">poskusnih </w:t>
            </w:r>
            <w:r w:rsidRPr="00654A0B">
              <w:rPr>
                <w:rFonts w:ascii="Arial" w:hAnsi="Arial" w:cs="Arial"/>
                <w:color w:val="000000"/>
                <w:sz w:val="18"/>
                <w:szCs w:val="18"/>
              </w:rPr>
              <w:t>projektov, prenova stanovanj v javni lasti</w:t>
            </w:r>
          </w:p>
        </w:tc>
        <w:tc>
          <w:tcPr>
            <w:tcW w:w="1873" w:type="dxa"/>
            <w:tcBorders>
              <w:top w:val="single" w:sz="8" w:space="0" w:color="auto"/>
              <w:left w:val="single" w:sz="8" w:space="0" w:color="auto"/>
              <w:bottom w:val="single" w:sz="8" w:space="0" w:color="auto"/>
              <w:right w:val="single" w:sz="8" w:space="0" w:color="auto"/>
            </w:tcBorders>
            <w:vAlign w:val="center"/>
          </w:tcPr>
          <w:p w14:paraId="5CE0063C"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Povečanje energetske učinkovitosti in rabe OVE v gospodinjstvih</w:t>
            </w:r>
          </w:p>
        </w:tc>
        <w:tc>
          <w:tcPr>
            <w:tcW w:w="928" w:type="dxa"/>
            <w:tcBorders>
              <w:top w:val="single" w:sz="8" w:space="0" w:color="auto"/>
              <w:left w:val="single" w:sz="8" w:space="0" w:color="auto"/>
              <w:bottom w:val="single" w:sz="8" w:space="0" w:color="auto"/>
              <w:right w:val="single" w:sz="8" w:space="0" w:color="auto"/>
            </w:tcBorders>
            <w:vAlign w:val="center"/>
          </w:tcPr>
          <w:p w14:paraId="195C1141"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C0E9BD6" w14:textId="05F3212A" w:rsidR="00AF3FEE" w:rsidRPr="00654A0B" w:rsidRDefault="00AF3FEE" w:rsidP="0065415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002287">
              <w:rPr>
                <w:rFonts w:ascii="Arial" w:hAnsi="Arial" w:cs="Arial"/>
                <w:color w:val="000000"/>
                <w:sz w:val="18"/>
                <w:szCs w:val="18"/>
              </w:rPr>
              <w:t>z</w:t>
            </w:r>
            <w:r w:rsidRPr="00654A0B">
              <w:rPr>
                <w:rFonts w:ascii="Arial" w:hAnsi="Arial" w:cs="Arial"/>
                <w:color w:val="000000"/>
                <w:sz w:val="18"/>
                <w:szCs w:val="18"/>
              </w:rPr>
              <w:t xml:space="preserve">akonodajni, </w:t>
            </w:r>
            <w:r w:rsidR="00002287">
              <w:rPr>
                <w:rFonts w:ascii="Arial" w:hAnsi="Arial" w:cs="Arial"/>
                <w:color w:val="000000"/>
                <w:sz w:val="18"/>
                <w:szCs w:val="18"/>
              </w:rPr>
              <w:t>o</w:t>
            </w:r>
            <w:r w:rsidRPr="00654A0B">
              <w:rPr>
                <w:rFonts w:ascii="Arial" w:hAnsi="Arial" w:cs="Arial"/>
                <w:color w:val="000000"/>
                <w:sz w:val="18"/>
                <w:szCs w:val="18"/>
              </w:rPr>
              <w:t xml:space="preserve">rganizacijski, </w:t>
            </w:r>
            <w:r w:rsidR="00654157">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577D6DE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01EE3F37"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2026</w:t>
            </w:r>
          </w:p>
        </w:tc>
        <w:tc>
          <w:tcPr>
            <w:tcW w:w="813" w:type="dxa"/>
            <w:tcBorders>
              <w:top w:val="single" w:sz="8" w:space="0" w:color="auto"/>
              <w:left w:val="single" w:sz="8" w:space="0" w:color="auto"/>
              <w:bottom w:val="single" w:sz="8" w:space="0" w:color="auto"/>
              <w:right w:val="single" w:sz="8" w:space="0" w:color="auto"/>
            </w:tcBorders>
            <w:vAlign w:val="center"/>
          </w:tcPr>
          <w:p w14:paraId="2BFBE3F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7965636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MOPE, Eko sklad, MNVP, MSP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1A3741C"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36AA1C3B"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IE (M-24)</w:t>
            </w:r>
          </w:p>
        </w:tc>
        <w:tc>
          <w:tcPr>
            <w:tcW w:w="775" w:type="dxa"/>
            <w:tcBorders>
              <w:top w:val="single" w:sz="8" w:space="0" w:color="auto"/>
              <w:left w:val="single" w:sz="8" w:space="0" w:color="auto"/>
              <w:bottom w:val="single" w:sz="8" w:space="0" w:color="auto"/>
              <w:right w:val="single" w:sz="8" w:space="0" w:color="auto"/>
            </w:tcBorders>
            <w:vAlign w:val="center"/>
          </w:tcPr>
          <w:p w14:paraId="3709D6E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M-23</w:t>
            </w:r>
          </w:p>
        </w:tc>
      </w:tr>
      <w:tr w:rsidR="00AF3FEE" w:rsidRPr="00CE5F74" w14:paraId="5D1B0588"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2CC8CE21" w14:textId="2776AE7F"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7</w:t>
            </w:r>
          </w:p>
        </w:tc>
        <w:tc>
          <w:tcPr>
            <w:tcW w:w="1702" w:type="dxa"/>
            <w:tcBorders>
              <w:top w:val="single" w:sz="8" w:space="0" w:color="auto"/>
              <w:left w:val="single" w:sz="8" w:space="0" w:color="auto"/>
              <w:bottom w:val="single" w:sz="8" w:space="0" w:color="auto"/>
              <w:right w:val="single" w:sz="8" w:space="0" w:color="auto"/>
            </w:tcBorders>
            <w:vAlign w:val="center"/>
          </w:tcPr>
          <w:p w14:paraId="2E989CB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URE IN RABE OVE V JAVNEM SEKTORJU</w:t>
            </w:r>
          </w:p>
        </w:tc>
        <w:tc>
          <w:tcPr>
            <w:tcW w:w="2048" w:type="dxa"/>
            <w:tcBorders>
              <w:top w:val="single" w:sz="8" w:space="0" w:color="auto"/>
              <w:left w:val="single" w:sz="8" w:space="0" w:color="auto"/>
              <w:bottom w:val="single" w:sz="8" w:space="0" w:color="auto"/>
              <w:right w:val="single" w:sz="8" w:space="0" w:color="auto"/>
            </w:tcBorders>
            <w:vAlign w:val="center"/>
          </w:tcPr>
          <w:p w14:paraId="2FC19C7C" w14:textId="0B0E239B" w:rsidR="00AF3FEE" w:rsidRPr="00654A0B" w:rsidRDefault="00AF3FEE" w:rsidP="00002287">
            <w:pPr>
              <w:spacing w:line="245" w:lineRule="auto"/>
              <w:jc w:val="both"/>
              <w:rPr>
                <w:rFonts w:ascii="Arial" w:hAnsi="Arial" w:cs="Arial"/>
                <w:sz w:val="18"/>
                <w:szCs w:val="18"/>
                <w:highlight w:val="green"/>
              </w:rPr>
            </w:pPr>
            <w:r w:rsidRPr="00654A0B">
              <w:rPr>
                <w:rFonts w:ascii="Arial" w:hAnsi="Arial" w:cs="Arial"/>
                <w:color w:val="000000"/>
                <w:sz w:val="18"/>
                <w:szCs w:val="18"/>
              </w:rPr>
              <w:t>Nadaljevanje upravljanja energij</w:t>
            </w:r>
            <w:r w:rsidR="00002287">
              <w:rPr>
                <w:rFonts w:ascii="Arial" w:hAnsi="Arial" w:cs="Arial"/>
                <w:color w:val="000000"/>
                <w:sz w:val="18"/>
                <w:szCs w:val="18"/>
              </w:rPr>
              <w:t>e</w:t>
            </w:r>
            <w:r w:rsidRPr="00654A0B">
              <w:rPr>
                <w:rFonts w:ascii="Arial" w:hAnsi="Arial" w:cs="Arial"/>
                <w:color w:val="000000"/>
                <w:sz w:val="18"/>
                <w:szCs w:val="18"/>
              </w:rPr>
              <w:t xml:space="preserve">, delovanja projektne pisarne ter spodbujanja izvajanja </w:t>
            </w:r>
            <w:r w:rsidRPr="00654A0B">
              <w:rPr>
                <w:rFonts w:ascii="Arial" w:hAnsi="Arial" w:cs="Arial"/>
                <w:color w:val="000000"/>
                <w:sz w:val="18"/>
                <w:szCs w:val="18"/>
              </w:rPr>
              <w:lastRenderedPageBreak/>
              <w:t>ukrepov URE in rabe OVE v javnem sektorju s povratnimi in nepovratnimi spodbudami</w:t>
            </w:r>
          </w:p>
        </w:tc>
        <w:tc>
          <w:tcPr>
            <w:tcW w:w="1873" w:type="dxa"/>
            <w:tcBorders>
              <w:top w:val="single" w:sz="8" w:space="0" w:color="auto"/>
              <w:left w:val="single" w:sz="8" w:space="0" w:color="auto"/>
              <w:bottom w:val="single" w:sz="8" w:space="0" w:color="auto"/>
              <w:right w:val="single" w:sz="8" w:space="0" w:color="auto"/>
            </w:tcBorders>
            <w:vAlign w:val="center"/>
          </w:tcPr>
          <w:p w14:paraId="319CFFC3"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lastRenderedPageBreak/>
              <w:t xml:space="preserve">Povečanje energetske učinkovitosti in rabe </w:t>
            </w:r>
            <w:r w:rsidRPr="00654A0B">
              <w:rPr>
                <w:rFonts w:ascii="Arial" w:hAnsi="Arial" w:cs="Arial"/>
                <w:color w:val="000000"/>
                <w:sz w:val="18"/>
                <w:szCs w:val="18"/>
              </w:rPr>
              <w:lastRenderedPageBreak/>
              <w:t>OVE v javnem sektorju</w:t>
            </w:r>
          </w:p>
        </w:tc>
        <w:tc>
          <w:tcPr>
            <w:tcW w:w="928" w:type="dxa"/>
            <w:tcBorders>
              <w:top w:val="single" w:sz="8" w:space="0" w:color="auto"/>
              <w:left w:val="single" w:sz="8" w:space="0" w:color="auto"/>
              <w:bottom w:val="single" w:sz="8" w:space="0" w:color="auto"/>
              <w:right w:val="single" w:sz="8" w:space="0" w:color="auto"/>
            </w:tcBorders>
            <w:vAlign w:val="center"/>
          </w:tcPr>
          <w:p w14:paraId="6F0CB6F3"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lastRenderedPageBreak/>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5D383AF" w14:textId="061D32CB" w:rsidR="00AF3FEE" w:rsidRPr="00654A0B" w:rsidRDefault="00AF3FEE" w:rsidP="0000228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002287">
              <w:rPr>
                <w:rFonts w:ascii="Arial" w:hAnsi="Arial" w:cs="Arial"/>
                <w:color w:val="000000"/>
                <w:sz w:val="18"/>
                <w:szCs w:val="18"/>
              </w:rPr>
              <w:t>o</w:t>
            </w:r>
            <w:r w:rsidRPr="00654A0B">
              <w:rPr>
                <w:rFonts w:ascii="Arial" w:hAnsi="Arial" w:cs="Arial"/>
                <w:color w:val="000000"/>
                <w:sz w:val="18"/>
                <w:szCs w:val="18"/>
              </w:rPr>
              <w:t xml:space="preserve">rganizacijski </w:t>
            </w:r>
            <w:r w:rsidR="00002287">
              <w:rPr>
                <w:rFonts w:ascii="Arial" w:hAnsi="Arial" w:cs="Arial"/>
                <w:color w:val="000000"/>
                <w:sz w:val="18"/>
                <w:szCs w:val="18"/>
              </w:rPr>
              <w:lastRenderedPageBreak/>
              <w:t>i</w:t>
            </w:r>
            <w:r w:rsidRPr="00654A0B">
              <w:rPr>
                <w:rFonts w:ascii="Arial" w:hAnsi="Arial" w:cs="Arial"/>
                <w:color w:val="000000"/>
                <w:sz w:val="18"/>
                <w:szCs w:val="18"/>
              </w:rPr>
              <w:t>zobraževalni</w:t>
            </w:r>
          </w:p>
        </w:tc>
        <w:tc>
          <w:tcPr>
            <w:tcW w:w="1008" w:type="dxa"/>
            <w:tcBorders>
              <w:top w:val="single" w:sz="8" w:space="0" w:color="auto"/>
              <w:left w:val="single" w:sz="8" w:space="0" w:color="auto"/>
              <w:bottom w:val="single" w:sz="8" w:space="0" w:color="auto"/>
              <w:right w:val="single" w:sz="8" w:space="0" w:color="auto"/>
            </w:tcBorders>
            <w:vAlign w:val="center"/>
          </w:tcPr>
          <w:p w14:paraId="2E6FB0B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Izveden</w:t>
            </w:r>
          </w:p>
        </w:tc>
        <w:tc>
          <w:tcPr>
            <w:tcW w:w="958" w:type="dxa"/>
            <w:tcBorders>
              <w:top w:val="single" w:sz="8" w:space="0" w:color="auto"/>
              <w:left w:val="single" w:sz="8" w:space="0" w:color="auto"/>
              <w:bottom w:val="single" w:sz="8" w:space="0" w:color="auto"/>
              <w:right w:val="single" w:sz="8" w:space="0" w:color="auto"/>
            </w:tcBorders>
            <w:vAlign w:val="center"/>
          </w:tcPr>
          <w:p w14:paraId="0DDAEB5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2007</w:t>
            </w:r>
          </w:p>
        </w:tc>
        <w:tc>
          <w:tcPr>
            <w:tcW w:w="813" w:type="dxa"/>
            <w:tcBorders>
              <w:top w:val="single" w:sz="8" w:space="0" w:color="auto"/>
              <w:left w:val="single" w:sz="8" w:space="0" w:color="auto"/>
              <w:bottom w:val="single" w:sz="8" w:space="0" w:color="auto"/>
              <w:right w:val="single" w:sz="8" w:space="0" w:color="auto"/>
            </w:tcBorders>
            <w:vAlign w:val="center"/>
          </w:tcPr>
          <w:p w14:paraId="22825AE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7DE6B0B3"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MOPE, MJU</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615C03C"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5B7C855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314B971"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M-24</w:t>
            </w:r>
          </w:p>
        </w:tc>
      </w:tr>
      <w:tr w:rsidR="00AF3FEE" w:rsidRPr="00CE5F74" w14:paraId="4896839D"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70B0184E" w14:textId="0F111701"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M-2</w:t>
            </w:r>
            <w:r w:rsidR="00192C09">
              <w:rPr>
                <w:rFonts w:ascii="Arial" w:hAnsi="Arial" w:cs="Arial"/>
                <w:color w:val="000000"/>
                <w:sz w:val="18"/>
                <w:szCs w:val="18"/>
              </w:rPr>
              <w:t>8</w:t>
            </w:r>
          </w:p>
        </w:tc>
        <w:tc>
          <w:tcPr>
            <w:tcW w:w="1702" w:type="dxa"/>
            <w:tcBorders>
              <w:top w:val="single" w:sz="8" w:space="0" w:color="auto"/>
              <w:left w:val="single" w:sz="8" w:space="0" w:color="auto"/>
              <w:bottom w:val="single" w:sz="8" w:space="0" w:color="auto"/>
              <w:right w:val="single" w:sz="8" w:space="0" w:color="auto"/>
            </w:tcBorders>
            <w:vAlign w:val="center"/>
          </w:tcPr>
          <w:p w14:paraId="2EA169B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DODATNI UKREPI ZA SPODBUJANJE URE IN RABE OVE V JAVNEM SEKTORJU</w:t>
            </w:r>
          </w:p>
        </w:tc>
        <w:tc>
          <w:tcPr>
            <w:tcW w:w="2048" w:type="dxa"/>
            <w:tcBorders>
              <w:top w:val="single" w:sz="8" w:space="0" w:color="auto"/>
              <w:left w:val="single" w:sz="8" w:space="0" w:color="auto"/>
              <w:bottom w:val="single" w:sz="8" w:space="0" w:color="auto"/>
              <w:right w:val="single" w:sz="8" w:space="0" w:color="auto"/>
            </w:tcBorders>
            <w:vAlign w:val="center"/>
          </w:tcPr>
          <w:p w14:paraId="016245D1" w14:textId="0772556E" w:rsidR="00AF3FEE" w:rsidRPr="00654A0B" w:rsidRDefault="00AF3FEE" w:rsidP="00002287">
            <w:pPr>
              <w:spacing w:line="245" w:lineRule="auto"/>
              <w:jc w:val="both"/>
              <w:rPr>
                <w:rFonts w:ascii="Arial" w:hAnsi="Arial" w:cs="Arial"/>
                <w:sz w:val="18"/>
                <w:szCs w:val="18"/>
                <w:highlight w:val="green"/>
              </w:rPr>
            </w:pPr>
            <w:r w:rsidRPr="00654A0B">
              <w:rPr>
                <w:rFonts w:ascii="Arial" w:hAnsi="Arial" w:cs="Arial"/>
                <w:color w:val="000000"/>
                <w:sz w:val="18"/>
                <w:szCs w:val="18"/>
              </w:rPr>
              <w:t>Povečanje obsega nalog projektne pisarne, nadgradnja sistema upravljanja energij</w:t>
            </w:r>
            <w:r w:rsidR="00002287">
              <w:rPr>
                <w:rFonts w:ascii="Arial" w:hAnsi="Arial" w:cs="Arial"/>
                <w:color w:val="000000"/>
                <w:sz w:val="18"/>
                <w:szCs w:val="18"/>
              </w:rPr>
              <w:t>e</w:t>
            </w:r>
            <w:r w:rsidRPr="00654A0B">
              <w:rPr>
                <w:rFonts w:ascii="Arial" w:hAnsi="Arial" w:cs="Arial"/>
                <w:color w:val="000000"/>
                <w:sz w:val="18"/>
                <w:szCs w:val="18"/>
              </w:rPr>
              <w:t xml:space="preserve"> ter priprava in izvajanje akcijskega načrta za prenovo javnih stavb</w:t>
            </w:r>
          </w:p>
        </w:tc>
        <w:tc>
          <w:tcPr>
            <w:tcW w:w="1873" w:type="dxa"/>
            <w:tcBorders>
              <w:top w:val="single" w:sz="8" w:space="0" w:color="auto"/>
              <w:left w:val="single" w:sz="8" w:space="0" w:color="auto"/>
              <w:bottom w:val="single" w:sz="8" w:space="0" w:color="auto"/>
              <w:right w:val="single" w:sz="8" w:space="0" w:color="auto"/>
            </w:tcBorders>
            <w:vAlign w:val="center"/>
          </w:tcPr>
          <w:p w14:paraId="321D0159"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Povečanje energetske učinkovitosti in rabe OVE v javnem sektorju</w:t>
            </w:r>
          </w:p>
        </w:tc>
        <w:tc>
          <w:tcPr>
            <w:tcW w:w="928" w:type="dxa"/>
            <w:tcBorders>
              <w:top w:val="single" w:sz="8" w:space="0" w:color="auto"/>
              <w:left w:val="single" w:sz="8" w:space="0" w:color="auto"/>
              <w:bottom w:val="single" w:sz="8" w:space="0" w:color="auto"/>
              <w:right w:val="single" w:sz="8" w:space="0" w:color="auto"/>
            </w:tcBorders>
            <w:vAlign w:val="center"/>
          </w:tcPr>
          <w:p w14:paraId="1DC9836F" w14:textId="77777777" w:rsidR="00AF3FEE" w:rsidRPr="00654A0B" w:rsidRDefault="00AF3FEE" w:rsidP="00AF3FEE">
            <w:pPr>
              <w:spacing w:line="245" w:lineRule="auto"/>
              <w:jc w:val="both"/>
              <w:rPr>
                <w:rFonts w:ascii="Arial" w:hAnsi="Arial" w:cs="Arial"/>
                <w:sz w:val="18"/>
                <w:szCs w:val="18"/>
                <w:highlight w:val="green"/>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6C3FEF8" w14:textId="16159F0B" w:rsidR="00AF3FEE" w:rsidRPr="00654A0B" w:rsidRDefault="00AF3FEE" w:rsidP="00002287">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002287">
              <w:rPr>
                <w:rFonts w:ascii="Arial" w:hAnsi="Arial" w:cs="Arial"/>
                <w:color w:val="000000"/>
                <w:sz w:val="18"/>
                <w:szCs w:val="18"/>
              </w:rPr>
              <w:t>o</w:t>
            </w:r>
            <w:r w:rsidRPr="00654A0B">
              <w:rPr>
                <w:rFonts w:ascii="Arial" w:hAnsi="Arial" w:cs="Arial"/>
                <w:color w:val="000000"/>
                <w:sz w:val="18"/>
                <w:szCs w:val="18"/>
              </w:rPr>
              <w:t xml:space="preserve">rganizacijski </w:t>
            </w:r>
            <w:r w:rsidR="00002287">
              <w:rPr>
                <w:rFonts w:ascii="Arial" w:hAnsi="Arial" w:cs="Arial"/>
                <w:color w:val="000000"/>
                <w:sz w:val="18"/>
                <w:szCs w:val="18"/>
              </w:rPr>
              <w:t>i</w:t>
            </w:r>
            <w:r w:rsidRPr="00654A0B">
              <w:rPr>
                <w:rFonts w:ascii="Arial" w:hAnsi="Arial" w:cs="Arial"/>
                <w:color w:val="000000"/>
                <w:sz w:val="18"/>
                <w:szCs w:val="18"/>
              </w:rPr>
              <w:t xml:space="preserve">zobraževalni, </w:t>
            </w:r>
            <w:r w:rsidR="00002287">
              <w:rPr>
                <w:rFonts w:ascii="Arial" w:hAnsi="Arial" w:cs="Arial"/>
                <w:color w:val="000000"/>
                <w:sz w:val="18"/>
                <w:szCs w:val="18"/>
              </w:rPr>
              <w:t>r</w:t>
            </w:r>
            <w:r w:rsidRPr="00654A0B">
              <w:rPr>
                <w:rFonts w:ascii="Arial" w:hAnsi="Arial" w:cs="Arial"/>
                <w:color w:val="000000"/>
                <w:sz w:val="18"/>
                <w:szCs w:val="18"/>
              </w:rPr>
              <w:t>aziskovalni</w:t>
            </w:r>
          </w:p>
        </w:tc>
        <w:tc>
          <w:tcPr>
            <w:tcW w:w="1008" w:type="dxa"/>
            <w:tcBorders>
              <w:top w:val="single" w:sz="8" w:space="0" w:color="auto"/>
              <w:left w:val="single" w:sz="8" w:space="0" w:color="auto"/>
              <w:bottom w:val="single" w:sz="8" w:space="0" w:color="auto"/>
              <w:right w:val="single" w:sz="8" w:space="0" w:color="auto"/>
            </w:tcBorders>
            <w:vAlign w:val="center"/>
          </w:tcPr>
          <w:p w14:paraId="381956C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3F23215B"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2026</w:t>
            </w:r>
          </w:p>
        </w:tc>
        <w:tc>
          <w:tcPr>
            <w:tcW w:w="813" w:type="dxa"/>
            <w:tcBorders>
              <w:top w:val="single" w:sz="8" w:space="0" w:color="auto"/>
              <w:left w:val="single" w:sz="8" w:space="0" w:color="auto"/>
              <w:bottom w:val="single" w:sz="8" w:space="0" w:color="auto"/>
              <w:right w:val="single" w:sz="8" w:space="0" w:color="auto"/>
            </w:tcBorders>
            <w:vAlign w:val="center"/>
          </w:tcPr>
          <w:p w14:paraId="41C36CB6"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1.A.4</w:t>
            </w:r>
          </w:p>
        </w:tc>
        <w:tc>
          <w:tcPr>
            <w:tcW w:w="919" w:type="dxa"/>
            <w:tcBorders>
              <w:top w:val="single" w:sz="8" w:space="0" w:color="auto"/>
              <w:left w:val="single" w:sz="8" w:space="0" w:color="auto"/>
              <w:bottom w:val="single" w:sz="8" w:space="0" w:color="auto"/>
              <w:right w:val="single" w:sz="8" w:space="0" w:color="auto"/>
            </w:tcBorders>
            <w:vAlign w:val="center"/>
          </w:tcPr>
          <w:p w14:paraId="012E54FE"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MOPE, MJU, MF</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97F43B3"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5255296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IE (M-24)</w:t>
            </w:r>
          </w:p>
        </w:tc>
        <w:tc>
          <w:tcPr>
            <w:tcW w:w="775" w:type="dxa"/>
            <w:tcBorders>
              <w:top w:val="single" w:sz="8" w:space="0" w:color="auto"/>
              <w:left w:val="single" w:sz="8" w:space="0" w:color="auto"/>
              <w:bottom w:val="single" w:sz="8" w:space="0" w:color="auto"/>
              <w:right w:val="single" w:sz="8" w:space="0" w:color="auto"/>
            </w:tcBorders>
            <w:vAlign w:val="center"/>
          </w:tcPr>
          <w:p w14:paraId="282257FE"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M-25</w:t>
            </w:r>
          </w:p>
        </w:tc>
      </w:tr>
      <w:tr w:rsidR="00AF3FEE" w:rsidRPr="00CE5F74" w14:paraId="386C33D5"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tcPr>
          <w:p w14:paraId="5143FDCB" w14:textId="77777777" w:rsidR="00AF3FEE" w:rsidRPr="00654A0B" w:rsidRDefault="00AF3FEE" w:rsidP="00AF3FEE">
            <w:pPr>
              <w:spacing w:line="245" w:lineRule="auto"/>
              <w:jc w:val="both"/>
              <w:rPr>
                <w:rFonts w:ascii="Arial" w:hAnsi="Arial" w:cs="Arial"/>
                <w:b/>
                <w:bCs/>
                <w:sz w:val="18"/>
                <w:szCs w:val="18"/>
              </w:rPr>
            </w:pPr>
            <w:r w:rsidRPr="00654A0B">
              <w:rPr>
                <w:rFonts w:ascii="Arial" w:hAnsi="Arial" w:cs="Arial"/>
                <w:b/>
                <w:bCs/>
                <w:sz w:val="18"/>
                <w:szCs w:val="18"/>
              </w:rPr>
              <w:t>RABA ENERGIJE V PROMETU</w:t>
            </w:r>
          </w:p>
        </w:tc>
      </w:tr>
      <w:tr w:rsidR="00AF3FEE" w:rsidRPr="00CE5F74" w14:paraId="1E05C397"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2A0D391D" w14:textId="1DAC452D"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w:t>
            </w:r>
            <w:r w:rsidR="00192C09">
              <w:rPr>
                <w:rFonts w:ascii="Arial" w:hAnsi="Arial" w:cs="Arial"/>
                <w:color w:val="000000"/>
                <w:sz w:val="18"/>
                <w:szCs w:val="18"/>
              </w:rPr>
              <w:t>29</w:t>
            </w:r>
          </w:p>
        </w:tc>
        <w:tc>
          <w:tcPr>
            <w:tcW w:w="1702" w:type="dxa"/>
            <w:tcBorders>
              <w:top w:val="single" w:sz="8" w:space="0" w:color="auto"/>
              <w:left w:val="single" w:sz="8" w:space="0" w:color="auto"/>
              <w:bottom w:val="single" w:sz="8" w:space="0" w:color="auto"/>
              <w:right w:val="single" w:sz="8" w:space="0" w:color="auto"/>
            </w:tcBorders>
            <w:vAlign w:val="center"/>
          </w:tcPr>
          <w:p w14:paraId="5854D2FE"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Spodbujanje trajnostnega prometa na splošno</w:t>
            </w:r>
          </w:p>
        </w:tc>
        <w:tc>
          <w:tcPr>
            <w:tcW w:w="2048" w:type="dxa"/>
            <w:tcBorders>
              <w:top w:val="single" w:sz="8" w:space="0" w:color="auto"/>
              <w:left w:val="single" w:sz="8" w:space="0" w:color="auto"/>
              <w:bottom w:val="single" w:sz="8" w:space="0" w:color="auto"/>
              <w:right w:val="single" w:sz="8" w:space="0" w:color="auto"/>
            </w:tcBorders>
            <w:vAlign w:val="center"/>
          </w:tcPr>
          <w:p w14:paraId="492F42B9" w14:textId="3A5C66DC"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Ukrep je namenjen nadaljevanju izvajanja horizontalnih, mehkih ukrepov, ki obsegajo vse prometne podsisteme in ravni načrtovanja oziroma upravljanja prometa.</w:t>
            </w:r>
          </w:p>
        </w:tc>
        <w:tc>
          <w:tcPr>
            <w:tcW w:w="1873" w:type="dxa"/>
            <w:tcBorders>
              <w:top w:val="single" w:sz="8" w:space="0" w:color="auto"/>
              <w:left w:val="single" w:sz="8" w:space="0" w:color="auto"/>
              <w:bottom w:val="single" w:sz="8" w:space="0" w:color="auto"/>
              <w:right w:val="single" w:sz="8" w:space="0" w:color="auto"/>
            </w:tcBorders>
            <w:vAlign w:val="center"/>
          </w:tcPr>
          <w:p w14:paraId="351F94FD" w14:textId="56831846"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Trajnostno načrtovanje prometa na občinski ravni, koordinacija razvoja trajnostne mobilnosti, ozaveščanje za spreminjanje potovalnih navad</w:t>
            </w:r>
          </w:p>
        </w:tc>
        <w:tc>
          <w:tcPr>
            <w:tcW w:w="928" w:type="dxa"/>
            <w:tcBorders>
              <w:top w:val="single" w:sz="8" w:space="0" w:color="auto"/>
              <w:left w:val="single" w:sz="8" w:space="0" w:color="auto"/>
              <w:bottom w:val="single" w:sz="8" w:space="0" w:color="auto"/>
              <w:right w:val="single" w:sz="8" w:space="0" w:color="auto"/>
            </w:tcBorders>
            <w:vAlign w:val="center"/>
          </w:tcPr>
          <w:p w14:paraId="17A3895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7D7FFB4" w14:textId="0AAB1301" w:rsidR="00AF3FEE" w:rsidRPr="00654A0B" w:rsidRDefault="00AF3FEE" w:rsidP="00CA668C">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CA668C">
              <w:rPr>
                <w:rFonts w:ascii="Arial" w:hAnsi="Arial" w:cs="Arial"/>
                <w:color w:val="000000"/>
                <w:sz w:val="18"/>
                <w:szCs w:val="18"/>
              </w:rPr>
              <w:t>n</w:t>
            </w:r>
            <w:r w:rsidRPr="00654A0B">
              <w:rPr>
                <w:rFonts w:ascii="Arial" w:hAnsi="Arial" w:cs="Arial"/>
                <w:color w:val="000000"/>
                <w:sz w:val="18"/>
                <w:szCs w:val="18"/>
              </w:rPr>
              <w:t xml:space="preserve">ačrtovanje, </w:t>
            </w:r>
            <w:r w:rsidR="00CA668C">
              <w:rPr>
                <w:rFonts w:ascii="Arial" w:hAnsi="Arial" w:cs="Arial"/>
                <w:color w:val="000000"/>
                <w:sz w:val="18"/>
                <w:szCs w:val="18"/>
              </w:rPr>
              <w:t>z</w:t>
            </w:r>
            <w:r w:rsidRPr="00654A0B">
              <w:rPr>
                <w:rFonts w:ascii="Arial" w:hAnsi="Arial" w:cs="Arial"/>
                <w:color w:val="000000"/>
                <w:sz w:val="18"/>
                <w:szCs w:val="18"/>
              </w:rPr>
              <w:t>akonodajni</w:t>
            </w:r>
          </w:p>
        </w:tc>
        <w:tc>
          <w:tcPr>
            <w:tcW w:w="1008" w:type="dxa"/>
            <w:tcBorders>
              <w:top w:val="single" w:sz="8" w:space="0" w:color="auto"/>
              <w:left w:val="single" w:sz="8" w:space="0" w:color="auto"/>
              <w:bottom w:val="single" w:sz="8" w:space="0" w:color="auto"/>
              <w:right w:val="single" w:sz="8" w:space="0" w:color="auto"/>
            </w:tcBorders>
            <w:vAlign w:val="center"/>
          </w:tcPr>
          <w:p w14:paraId="3479925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36EF76C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2015</w:t>
            </w:r>
          </w:p>
        </w:tc>
        <w:tc>
          <w:tcPr>
            <w:tcW w:w="813" w:type="dxa"/>
            <w:tcBorders>
              <w:top w:val="single" w:sz="8" w:space="0" w:color="auto"/>
              <w:left w:val="single" w:sz="8" w:space="0" w:color="auto"/>
              <w:bottom w:val="single" w:sz="8" w:space="0" w:color="auto"/>
              <w:right w:val="single" w:sz="8" w:space="0" w:color="auto"/>
            </w:tcBorders>
            <w:vAlign w:val="center"/>
          </w:tcPr>
          <w:p w14:paraId="1BABCCF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28E1F293"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MNVP,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F23ADA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16C96E4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489883D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M-26</w:t>
            </w:r>
          </w:p>
        </w:tc>
      </w:tr>
      <w:tr w:rsidR="00AF3FEE" w:rsidRPr="00CE5F74" w14:paraId="78B251C9"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E2D4973" w14:textId="74E69195"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0</w:t>
            </w:r>
          </w:p>
        </w:tc>
        <w:tc>
          <w:tcPr>
            <w:tcW w:w="1702" w:type="dxa"/>
            <w:tcBorders>
              <w:top w:val="single" w:sz="8" w:space="0" w:color="auto"/>
              <w:left w:val="single" w:sz="8" w:space="0" w:color="auto"/>
              <w:bottom w:val="single" w:sz="8" w:space="0" w:color="auto"/>
              <w:right w:val="single" w:sz="8" w:space="0" w:color="auto"/>
            </w:tcBorders>
            <w:vAlign w:val="center"/>
          </w:tcPr>
          <w:p w14:paraId="0A67B991"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Dodatni ukrepi za spodbujanje trajnostnega prometa na splošno</w:t>
            </w:r>
          </w:p>
        </w:tc>
        <w:tc>
          <w:tcPr>
            <w:tcW w:w="2048" w:type="dxa"/>
            <w:tcBorders>
              <w:top w:val="single" w:sz="8" w:space="0" w:color="auto"/>
              <w:left w:val="single" w:sz="8" w:space="0" w:color="auto"/>
              <w:bottom w:val="single" w:sz="8" w:space="0" w:color="auto"/>
              <w:right w:val="single" w:sz="8" w:space="0" w:color="auto"/>
            </w:tcBorders>
            <w:vAlign w:val="center"/>
          </w:tcPr>
          <w:p w14:paraId="48469BA9" w14:textId="6004C6AF"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Ukrep je namenjen </w:t>
            </w:r>
            <w:r w:rsidR="002512A3">
              <w:rPr>
                <w:rFonts w:ascii="Arial" w:hAnsi="Arial" w:cs="Arial"/>
                <w:color w:val="000000"/>
                <w:sz w:val="18"/>
                <w:szCs w:val="18"/>
              </w:rPr>
              <w:t xml:space="preserve">krepitvi </w:t>
            </w:r>
            <w:r w:rsidRPr="00654A0B">
              <w:rPr>
                <w:rFonts w:ascii="Arial" w:hAnsi="Arial" w:cs="Arial"/>
                <w:color w:val="000000"/>
                <w:sz w:val="18"/>
                <w:szCs w:val="18"/>
              </w:rPr>
              <w:t>izvajanja horizontalnih, mehkih ukrepov, ki obsegajo vse prometne podsisteme in ravni načrtovanja oziroma upravljanja prometa.</w:t>
            </w:r>
          </w:p>
        </w:tc>
        <w:tc>
          <w:tcPr>
            <w:tcW w:w="1873" w:type="dxa"/>
            <w:tcBorders>
              <w:top w:val="single" w:sz="8" w:space="0" w:color="auto"/>
              <w:left w:val="single" w:sz="8" w:space="0" w:color="auto"/>
              <w:bottom w:val="single" w:sz="8" w:space="0" w:color="auto"/>
              <w:right w:val="single" w:sz="8" w:space="0" w:color="auto"/>
            </w:tcBorders>
            <w:vAlign w:val="center"/>
          </w:tcPr>
          <w:p w14:paraId="57CE6DC5" w14:textId="0E49424F" w:rsidR="00AF3FEE" w:rsidRPr="00654A0B" w:rsidRDefault="00AF3FEE" w:rsidP="00581773">
            <w:pPr>
              <w:spacing w:line="245" w:lineRule="auto"/>
              <w:rPr>
                <w:rFonts w:ascii="Arial" w:hAnsi="Arial" w:cs="Arial"/>
                <w:sz w:val="18"/>
                <w:szCs w:val="18"/>
              </w:rPr>
            </w:pPr>
            <w:r w:rsidRPr="00654A0B">
              <w:rPr>
                <w:rFonts w:ascii="Arial" w:hAnsi="Arial" w:cs="Arial"/>
                <w:color w:val="000000"/>
                <w:sz w:val="18"/>
                <w:szCs w:val="18"/>
              </w:rPr>
              <w:t>Trajnostno načrtovanje prometa na regionalni in državni</w:t>
            </w:r>
            <w:r w:rsidR="00AD19BD">
              <w:rPr>
                <w:rFonts w:ascii="Arial" w:hAnsi="Arial" w:cs="Arial"/>
                <w:color w:val="000000"/>
                <w:sz w:val="18"/>
                <w:szCs w:val="18"/>
              </w:rPr>
              <w:t xml:space="preserve"> </w:t>
            </w:r>
            <w:r w:rsidRPr="00654A0B">
              <w:rPr>
                <w:rFonts w:ascii="Arial" w:hAnsi="Arial" w:cs="Arial"/>
                <w:color w:val="000000"/>
                <w:sz w:val="18"/>
                <w:szCs w:val="18"/>
              </w:rPr>
              <w:t xml:space="preserve">ravni, </w:t>
            </w:r>
            <w:r w:rsidR="00CA668C">
              <w:rPr>
                <w:rFonts w:ascii="Arial" w:hAnsi="Arial" w:cs="Arial"/>
                <w:color w:val="000000"/>
                <w:sz w:val="18"/>
                <w:szCs w:val="18"/>
              </w:rPr>
              <w:t>d</w:t>
            </w:r>
            <w:r w:rsidRPr="00654A0B">
              <w:rPr>
                <w:rFonts w:ascii="Arial" w:hAnsi="Arial" w:cs="Arial"/>
                <w:color w:val="000000"/>
                <w:sz w:val="18"/>
                <w:szCs w:val="18"/>
              </w:rPr>
              <w:t>rugačno vrednotenje investicijskih projektov</w:t>
            </w:r>
          </w:p>
        </w:tc>
        <w:tc>
          <w:tcPr>
            <w:tcW w:w="928" w:type="dxa"/>
            <w:tcBorders>
              <w:top w:val="single" w:sz="8" w:space="0" w:color="auto"/>
              <w:left w:val="single" w:sz="8" w:space="0" w:color="auto"/>
              <w:bottom w:val="single" w:sz="8" w:space="0" w:color="auto"/>
              <w:right w:val="single" w:sz="8" w:space="0" w:color="auto"/>
            </w:tcBorders>
            <w:vAlign w:val="center"/>
          </w:tcPr>
          <w:p w14:paraId="2556146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725A8F15" w14:textId="6D00F928"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Ozaveščanje, </w:t>
            </w:r>
            <w:r w:rsidR="00CA668C">
              <w:rPr>
                <w:rFonts w:ascii="Arial" w:hAnsi="Arial" w:cs="Arial"/>
                <w:color w:val="000000"/>
                <w:sz w:val="18"/>
                <w:szCs w:val="18"/>
              </w:rPr>
              <w:t>i</w:t>
            </w:r>
            <w:r w:rsidRPr="00654A0B">
              <w:rPr>
                <w:rFonts w:ascii="Arial" w:hAnsi="Arial" w:cs="Arial"/>
                <w:color w:val="000000"/>
                <w:sz w:val="18"/>
                <w:szCs w:val="18"/>
              </w:rPr>
              <w:t xml:space="preserve">zobraževalni, </w:t>
            </w:r>
            <w:r w:rsidR="00CA668C">
              <w:rPr>
                <w:rFonts w:ascii="Arial" w:hAnsi="Arial" w:cs="Arial"/>
                <w:color w:val="000000"/>
                <w:sz w:val="18"/>
                <w:szCs w:val="18"/>
              </w:rPr>
              <w:t>z</w:t>
            </w:r>
            <w:r w:rsidRPr="00654A0B">
              <w:rPr>
                <w:rFonts w:ascii="Arial" w:hAnsi="Arial" w:cs="Arial"/>
                <w:color w:val="000000"/>
                <w:sz w:val="18"/>
                <w:szCs w:val="18"/>
              </w:rPr>
              <w:t>akonoda</w:t>
            </w:r>
            <w:r w:rsidR="00CA668C">
              <w:rPr>
                <w:rFonts w:ascii="Arial" w:hAnsi="Arial" w:cs="Arial"/>
                <w:color w:val="000000"/>
                <w:sz w:val="18"/>
                <w:szCs w:val="18"/>
              </w:rPr>
              <w:t>j</w:t>
            </w:r>
            <w:r w:rsidRPr="00654A0B">
              <w:rPr>
                <w:rFonts w:ascii="Arial" w:hAnsi="Arial" w:cs="Arial"/>
                <w:color w:val="000000"/>
                <w:sz w:val="18"/>
                <w:szCs w:val="18"/>
              </w:rPr>
              <w:t xml:space="preserve">ni, </w:t>
            </w:r>
            <w:r w:rsidR="002512A3">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173011A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2A21818B"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6273777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02BB7630"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MNVP, MF,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CB1D45E"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D2D1E8C"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407</w:t>
            </w:r>
          </w:p>
        </w:tc>
        <w:tc>
          <w:tcPr>
            <w:tcW w:w="775" w:type="dxa"/>
            <w:tcBorders>
              <w:top w:val="single" w:sz="8" w:space="0" w:color="auto"/>
              <w:left w:val="single" w:sz="8" w:space="0" w:color="auto"/>
              <w:bottom w:val="single" w:sz="8" w:space="0" w:color="auto"/>
              <w:right w:val="single" w:sz="8" w:space="0" w:color="auto"/>
            </w:tcBorders>
            <w:vAlign w:val="center"/>
          </w:tcPr>
          <w:p w14:paraId="46F9D02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M-27</w:t>
            </w:r>
          </w:p>
        </w:tc>
      </w:tr>
      <w:tr w:rsidR="00AF3FEE" w:rsidRPr="00CE5F74" w14:paraId="424B6A8D"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6BF87704" w14:textId="4C6BF0D9"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M-3</w:t>
            </w:r>
            <w:r w:rsidR="00192C09">
              <w:rPr>
                <w:rFonts w:ascii="Arial" w:hAnsi="Arial" w:cs="Arial"/>
                <w:color w:val="000000"/>
                <w:sz w:val="18"/>
                <w:szCs w:val="18"/>
              </w:rPr>
              <w:t>1</w:t>
            </w:r>
          </w:p>
        </w:tc>
        <w:tc>
          <w:tcPr>
            <w:tcW w:w="1702" w:type="dxa"/>
            <w:tcBorders>
              <w:top w:val="single" w:sz="8" w:space="0" w:color="auto"/>
              <w:left w:val="single" w:sz="8" w:space="0" w:color="auto"/>
              <w:bottom w:val="single" w:sz="8" w:space="0" w:color="auto"/>
              <w:right w:val="single" w:sz="8" w:space="0" w:color="auto"/>
            </w:tcBorders>
            <w:vAlign w:val="center"/>
          </w:tcPr>
          <w:p w14:paraId="35FABCFB" w14:textId="5716C825" w:rsidR="00AF3FEE" w:rsidRPr="00654A0B" w:rsidRDefault="00AF3FEE" w:rsidP="00CA668C">
            <w:pPr>
              <w:spacing w:line="245" w:lineRule="auto"/>
              <w:jc w:val="both"/>
              <w:rPr>
                <w:rFonts w:ascii="Arial" w:hAnsi="Arial" w:cs="Arial"/>
                <w:caps/>
                <w:sz w:val="18"/>
                <w:szCs w:val="18"/>
              </w:rPr>
            </w:pPr>
            <w:r w:rsidRPr="00654A0B">
              <w:rPr>
                <w:rFonts w:ascii="Arial" w:hAnsi="Arial" w:cs="Arial"/>
                <w:caps/>
                <w:color w:val="000000"/>
                <w:sz w:val="18"/>
                <w:szCs w:val="18"/>
              </w:rPr>
              <w:t xml:space="preserve">Ukrepi za zmanjšanje števila </w:t>
            </w:r>
            <w:r w:rsidR="002512A3">
              <w:rPr>
                <w:rFonts w:ascii="Arial" w:hAnsi="Arial" w:cs="Arial"/>
                <w:caps/>
                <w:color w:val="000000"/>
                <w:sz w:val="18"/>
                <w:szCs w:val="18"/>
              </w:rPr>
              <w:t xml:space="preserve">POTOVANJ </w:t>
            </w:r>
            <w:r w:rsidRPr="00654A0B">
              <w:rPr>
                <w:rFonts w:ascii="Arial" w:hAnsi="Arial" w:cs="Arial"/>
                <w:caps/>
                <w:color w:val="000000"/>
                <w:sz w:val="18"/>
                <w:szCs w:val="18"/>
              </w:rPr>
              <w:t>oz</w:t>
            </w:r>
            <w:r w:rsidR="004F2B0D">
              <w:rPr>
                <w:rFonts w:ascii="Arial" w:hAnsi="Arial" w:cs="Arial"/>
                <w:caps/>
                <w:color w:val="000000"/>
                <w:sz w:val="18"/>
                <w:szCs w:val="18"/>
              </w:rPr>
              <w:t>IROMA</w:t>
            </w:r>
            <w:r w:rsidRPr="00654A0B">
              <w:rPr>
                <w:rFonts w:ascii="Arial" w:hAnsi="Arial" w:cs="Arial"/>
                <w:caps/>
                <w:color w:val="000000"/>
                <w:sz w:val="18"/>
                <w:szCs w:val="18"/>
              </w:rPr>
              <w:t xml:space="preserve"> skrajšanje </w:t>
            </w:r>
            <w:r w:rsidR="00CA668C">
              <w:rPr>
                <w:rFonts w:ascii="Arial" w:hAnsi="Arial" w:cs="Arial"/>
                <w:caps/>
                <w:color w:val="000000"/>
                <w:sz w:val="18"/>
                <w:szCs w:val="18"/>
              </w:rPr>
              <w:t>RAZDALJE</w:t>
            </w:r>
            <w:r w:rsidR="00CA668C" w:rsidRPr="00654A0B">
              <w:rPr>
                <w:rFonts w:ascii="Arial" w:hAnsi="Arial" w:cs="Arial"/>
                <w:caps/>
                <w:color w:val="000000"/>
                <w:sz w:val="18"/>
                <w:szCs w:val="18"/>
              </w:rPr>
              <w:t xml:space="preserve"> </w:t>
            </w:r>
            <w:r w:rsidRPr="00654A0B">
              <w:rPr>
                <w:rFonts w:ascii="Arial" w:hAnsi="Arial" w:cs="Arial"/>
                <w:caps/>
                <w:color w:val="000000"/>
                <w:sz w:val="18"/>
                <w:szCs w:val="18"/>
              </w:rPr>
              <w:t>potovanj</w:t>
            </w:r>
          </w:p>
        </w:tc>
        <w:tc>
          <w:tcPr>
            <w:tcW w:w="2048" w:type="dxa"/>
            <w:tcBorders>
              <w:top w:val="single" w:sz="8" w:space="0" w:color="auto"/>
              <w:left w:val="single" w:sz="8" w:space="0" w:color="auto"/>
              <w:bottom w:val="single" w:sz="8" w:space="0" w:color="auto"/>
              <w:right w:val="single" w:sz="8" w:space="0" w:color="auto"/>
            </w:tcBorders>
            <w:vAlign w:val="center"/>
          </w:tcPr>
          <w:p w14:paraId="6F30ABA4" w14:textId="5D319A54"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Ta skupina ukrepov je ključna za zmanjševanje potrebe po potovanjih ali vsaj skrajševanje razdalj</w:t>
            </w:r>
            <w:r w:rsidR="00CA668C">
              <w:rPr>
                <w:rFonts w:ascii="Arial" w:hAnsi="Arial" w:cs="Arial"/>
                <w:color w:val="000000"/>
                <w:sz w:val="18"/>
                <w:szCs w:val="18"/>
              </w:rPr>
              <w:t>e</w:t>
            </w:r>
            <w:r w:rsidRPr="00654A0B">
              <w:rPr>
                <w:rFonts w:ascii="Arial" w:hAnsi="Arial" w:cs="Arial"/>
                <w:color w:val="000000"/>
                <w:sz w:val="18"/>
                <w:szCs w:val="18"/>
              </w:rPr>
              <w:t xml:space="preserve"> potovanj. Zato so pomembni tako delo od doma in način izplačila potnih stroškov ter prostorsko načrtovanje.</w:t>
            </w:r>
          </w:p>
        </w:tc>
        <w:tc>
          <w:tcPr>
            <w:tcW w:w="1873" w:type="dxa"/>
            <w:tcBorders>
              <w:top w:val="single" w:sz="8" w:space="0" w:color="auto"/>
              <w:left w:val="single" w:sz="8" w:space="0" w:color="auto"/>
              <w:bottom w:val="single" w:sz="8" w:space="0" w:color="auto"/>
              <w:right w:val="single" w:sz="8" w:space="0" w:color="auto"/>
            </w:tcBorders>
            <w:vAlign w:val="center"/>
          </w:tcPr>
          <w:p w14:paraId="3935B734" w14:textId="200929FB"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dela od doma ter plačilo stroškov prevoza na delo, prostorsko načrtovanje</w:t>
            </w:r>
          </w:p>
        </w:tc>
        <w:tc>
          <w:tcPr>
            <w:tcW w:w="928" w:type="dxa"/>
            <w:tcBorders>
              <w:top w:val="single" w:sz="8" w:space="0" w:color="auto"/>
              <w:left w:val="single" w:sz="8" w:space="0" w:color="auto"/>
              <w:bottom w:val="single" w:sz="8" w:space="0" w:color="auto"/>
              <w:right w:val="single" w:sz="8" w:space="0" w:color="auto"/>
            </w:tcBorders>
            <w:vAlign w:val="center"/>
          </w:tcPr>
          <w:p w14:paraId="5CC20CD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B73BB33" w14:textId="77CE8E87"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Zakonodajni, </w:t>
            </w:r>
            <w:r w:rsidR="00CA668C">
              <w:rPr>
                <w:rFonts w:ascii="Arial" w:hAnsi="Arial" w:cs="Arial"/>
                <w:color w:val="000000"/>
                <w:sz w:val="18"/>
                <w:szCs w:val="18"/>
              </w:rPr>
              <w:t>e</w:t>
            </w:r>
            <w:r w:rsidRPr="00654A0B">
              <w:rPr>
                <w:rFonts w:ascii="Arial" w:hAnsi="Arial" w:cs="Arial"/>
                <w:color w:val="000000"/>
                <w:sz w:val="18"/>
                <w:szCs w:val="18"/>
              </w:rPr>
              <w:t xml:space="preserve">konomski, </w:t>
            </w:r>
            <w:r w:rsidR="002512A3">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41E1494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 sprejet</w:t>
            </w:r>
          </w:p>
        </w:tc>
        <w:tc>
          <w:tcPr>
            <w:tcW w:w="958" w:type="dxa"/>
            <w:tcBorders>
              <w:top w:val="single" w:sz="8" w:space="0" w:color="auto"/>
              <w:left w:val="single" w:sz="8" w:space="0" w:color="auto"/>
              <w:bottom w:val="single" w:sz="8" w:space="0" w:color="auto"/>
              <w:right w:val="single" w:sz="8" w:space="0" w:color="auto"/>
            </w:tcBorders>
            <w:vAlign w:val="center"/>
          </w:tcPr>
          <w:p w14:paraId="7AC3FF2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2020</w:t>
            </w:r>
          </w:p>
        </w:tc>
        <w:tc>
          <w:tcPr>
            <w:tcW w:w="813" w:type="dxa"/>
            <w:tcBorders>
              <w:top w:val="single" w:sz="8" w:space="0" w:color="auto"/>
              <w:left w:val="single" w:sz="8" w:space="0" w:color="auto"/>
              <w:bottom w:val="single" w:sz="8" w:space="0" w:color="auto"/>
              <w:right w:val="single" w:sz="8" w:space="0" w:color="auto"/>
            </w:tcBorders>
            <w:vAlign w:val="center"/>
          </w:tcPr>
          <w:p w14:paraId="4C20726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13D0CCC8"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 xml:space="preserve">MDDSZ, MJU, MF, MOPE, MNVP, občine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C4CCA7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38FFAE0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43C39C2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w:t>
            </w:r>
          </w:p>
        </w:tc>
      </w:tr>
      <w:tr w:rsidR="00AF3FEE" w:rsidRPr="00CE5F74" w14:paraId="076C0863"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624374E5" w14:textId="64038813"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2</w:t>
            </w:r>
          </w:p>
        </w:tc>
        <w:tc>
          <w:tcPr>
            <w:tcW w:w="1702" w:type="dxa"/>
            <w:tcBorders>
              <w:top w:val="single" w:sz="8" w:space="0" w:color="auto"/>
              <w:left w:val="single" w:sz="8" w:space="0" w:color="auto"/>
              <w:bottom w:val="single" w:sz="8" w:space="0" w:color="auto"/>
              <w:right w:val="single" w:sz="8" w:space="0" w:color="auto"/>
            </w:tcBorders>
            <w:vAlign w:val="center"/>
          </w:tcPr>
          <w:p w14:paraId="50E84E95" w14:textId="63B254E1" w:rsidR="00AF3FEE" w:rsidRPr="00654A0B" w:rsidRDefault="00AF3FEE" w:rsidP="000C5301">
            <w:pPr>
              <w:spacing w:line="245" w:lineRule="auto"/>
              <w:jc w:val="both"/>
              <w:rPr>
                <w:rFonts w:ascii="Arial" w:hAnsi="Arial" w:cs="Arial"/>
                <w:caps/>
                <w:sz w:val="18"/>
                <w:szCs w:val="18"/>
              </w:rPr>
            </w:pPr>
            <w:r w:rsidRPr="00654A0B">
              <w:rPr>
                <w:rFonts w:ascii="Arial" w:hAnsi="Arial" w:cs="Arial"/>
                <w:caps/>
                <w:color w:val="000000"/>
                <w:sz w:val="18"/>
                <w:szCs w:val="18"/>
              </w:rPr>
              <w:t xml:space="preserve">Dodatni ukrepi za zmanjšanje števila </w:t>
            </w:r>
            <w:r w:rsidR="002512A3">
              <w:rPr>
                <w:rFonts w:ascii="Arial" w:hAnsi="Arial" w:cs="Arial"/>
                <w:caps/>
                <w:color w:val="000000"/>
                <w:sz w:val="18"/>
                <w:szCs w:val="18"/>
              </w:rPr>
              <w:t xml:space="preserve">POTOVANJ </w:t>
            </w:r>
            <w:r w:rsidRPr="00654A0B">
              <w:rPr>
                <w:rFonts w:ascii="Arial" w:hAnsi="Arial" w:cs="Arial"/>
                <w:caps/>
                <w:color w:val="000000"/>
                <w:sz w:val="18"/>
                <w:szCs w:val="18"/>
              </w:rPr>
              <w:t>oz</w:t>
            </w:r>
            <w:r w:rsidR="004F2B0D">
              <w:rPr>
                <w:rFonts w:ascii="Arial" w:hAnsi="Arial" w:cs="Arial"/>
                <w:caps/>
                <w:color w:val="000000"/>
                <w:sz w:val="18"/>
                <w:szCs w:val="18"/>
              </w:rPr>
              <w:t>IROMA</w:t>
            </w:r>
            <w:r w:rsidRPr="00654A0B">
              <w:rPr>
                <w:rFonts w:ascii="Arial" w:hAnsi="Arial" w:cs="Arial"/>
                <w:caps/>
                <w:color w:val="000000"/>
                <w:sz w:val="18"/>
                <w:szCs w:val="18"/>
              </w:rPr>
              <w:t xml:space="preserve"> skrajšanje </w:t>
            </w:r>
            <w:r w:rsidR="000C5301">
              <w:rPr>
                <w:rFonts w:ascii="Arial" w:hAnsi="Arial" w:cs="Arial"/>
                <w:caps/>
                <w:color w:val="000000"/>
                <w:sz w:val="18"/>
                <w:szCs w:val="18"/>
              </w:rPr>
              <w:t>RAZDALJ</w:t>
            </w:r>
            <w:r w:rsidR="000C5301" w:rsidRPr="00654A0B">
              <w:rPr>
                <w:rFonts w:ascii="Arial" w:hAnsi="Arial" w:cs="Arial"/>
                <w:caps/>
                <w:color w:val="000000"/>
                <w:sz w:val="18"/>
                <w:szCs w:val="18"/>
              </w:rPr>
              <w:t xml:space="preserve">e </w:t>
            </w:r>
            <w:r w:rsidRPr="00654A0B">
              <w:rPr>
                <w:rFonts w:ascii="Arial" w:hAnsi="Arial" w:cs="Arial"/>
                <w:caps/>
                <w:color w:val="000000"/>
                <w:sz w:val="18"/>
                <w:szCs w:val="18"/>
              </w:rPr>
              <w:t>potovanj</w:t>
            </w:r>
          </w:p>
        </w:tc>
        <w:tc>
          <w:tcPr>
            <w:tcW w:w="2048" w:type="dxa"/>
            <w:tcBorders>
              <w:top w:val="single" w:sz="8" w:space="0" w:color="auto"/>
              <w:left w:val="single" w:sz="8" w:space="0" w:color="auto"/>
              <w:bottom w:val="single" w:sz="8" w:space="0" w:color="auto"/>
              <w:right w:val="single" w:sz="8" w:space="0" w:color="auto"/>
            </w:tcBorders>
            <w:vAlign w:val="center"/>
          </w:tcPr>
          <w:p w14:paraId="7B1B785A" w14:textId="77313BE4"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Ta skupina ukrepov je ključna za zmanjševanje potrebe po potovanjih ali vsaj skrajševanje razdalj</w:t>
            </w:r>
            <w:r w:rsidR="000C5301">
              <w:rPr>
                <w:rFonts w:ascii="Arial" w:hAnsi="Arial" w:cs="Arial"/>
                <w:color w:val="000000"/>
                <w:sz w:val="18"/>
                <w:szCs w:val="18"/>
              </w:rPr>
              <w:t>e</w:t>
            </w:r>
            <w:r w:rsidRPr="00654A0B">
              <w:rPr>
                <w:rFonts w:ascii="Arial" w:hAnsi="Arial" w:cs="Arial"/>
                <w:color w:val="000000"/>
                <w:sz w:val="18"/>
                <w:szCs w:val="18"/>
              </w:rPr>
              <w:t xml:space="preserve"> potovanj. Predvideni so dodatni ukrepi za spodbujanje dela od doma.</w:t>
            </w:r>
          </w:p>
        </w:tc>
        <w:tc>
          <w:tcPr>
            <w:tcW w:w="1873" w:type="dxa"/>
            <w:tcBorders>
              <w:top w:val="single" w:sz="8" w:space="0" w:color="auto"/>
              <w:left w:val="single" w:sz="8" w:space="0" w:color="auto"/>
              <w:bottom w:val="single" w:sz="8" w:space="0" w:color="auto"/>
              <w:right w:val="single" w:sz="8" w:space="0" w:color="auto"/>
            </w:tcBorders>
            <w:vAlign w:val="center"/>
          </w:tcPr>
          <w:p w14:paraId="67E506CF" w14:textId="4B6F19B3" w:rsidR="00AF3FEE" w:rsidRPr="00654A0B" w:rsidRDefault="00AF3FEE" w:rsidP="000C5301">
            <w:pPr>
              <w:spacing w:line="245" w:lineRule="auto"/>
              <w:jc w:val="both"/>
              <w:rPr>
                <w:rFonts w:ascii="Arial" w:hAnsi="Arial" w:cs="Arial"/>
                <w:sz w:val="18"/>
                <w:szCs w:val="18"/>
              </w:rPr>
            </w:pPr>
            <w:r w:rsidRPr="00654A0B">
              <w:rPr>
                <w:rFonts w:ascii="Arial" w:hAnsi="Arial" w:cs="Arial"/>
                <w:color w:val="000000"/>
                <w:sz w:val="18"/>
                <w:szCs w:val="18"/>
              </w:rPr>
              <w:t>Infrastruktura za spodbujanje dela od doma (digitalna infrastruktura, pisarne za sodelo).</w:t>
            </w:r>
          </w:p>
        </w:tc>
        <w:tc>
          <w:tcPr>
            <w:tcW w:w="928" w:type="dxa"/>
            <w:tcBorders>
              <w:top w:val="single" w:sz="8" w:space="0" w:color="auto"/>
              <w:left w:val="single" w:sz="8" w:space="0" w:color="auto"/>
              <w:bottom w:val="single" w:sz="8" w:space="0" w:color="auto"/>
              <w:right w:val="single" w:sz="8" w:space="0" w:color="auto"/>
            </w:tcBorders>
            <w:vAlign w:val="center"/>
          </w:tcPr>
          <w:p w14:paraId="5843259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2306DFE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Ekonomski</w:t>
            </w:r>
          </w:p>
        </w:tc>
        <w:tc>
          <w:tcPr>
            <w:tcW w:w="1008" w:type="dxa"/>
            <w:tcBorders>
              <w:top w:val="single" w:sz="8" w:space="0" w:color="auto"/>
              <w:left w:val="single" w:sz="8" w:space="0" w:color="auto"/>
              <w:bottom w:val="single" w:sz="8" w:space="0" w:color="auto"/>
              <w:right w:val="single" w:sz="8" w:space="0" w:color="auto"/>
            </w:tcBorders>
            <w:vAlign w:val="center"/>
          </w:tcPr>
          <w:p w14:paraId="59C7D7D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62B10F4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3DA4EAE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7AD41892" w14:textId="76883989"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 xml:space="preserve">MDDSZ, MOPE, MZI, MJU, MGTŠ,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5BFA0E3"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138BE415"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IE (M-31)</w:t>
            </w:r>
          </w:p>
        </w:tc>
        <w:tc>
          <w:tcPr>
            <w:tcW w:w="775" w:type="dxa"/>
            <w:tcBorders>
              <w:top w:val="single" w:sz="8" w:space="0" w:color="auto"/>
              <w:left w:val="single" w:sz="8" w:space="0" w:color="auto"/>
              <w:bottom w:val="single" w:sz="8" w:space="0" w:color="auto"/>
              <w:right w:val="single" w:sz="8" w:space="0" w:color="auto"/>
            </w:tcBorders>
            <w:vAlign w:val="center"/>
          </w:tcPr>
          <w:p w14:paraId="78B9B54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w:t>
            </w:r>
          </w:p>
        </w:tc>
      </w:tr>
      <w:tr w:rsidR="00AF3FEE" w:rsidRPr="00CE5F74" w14:paraId="31932506"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68A7C3B" w14:textId="6314278A"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3</w:t>
            </w:r>
          </w:p>
        </w:tc>
        <w:tc>
          <w:tcPr>
            <w:tcW w:w="1702" w:type="dxa"/>
            <w:tcBorders>
              <w:top w:val="single" w:sz="8" w:space="0" w:color="auto"/>
              <w:left w:val="single" w:sz="8" w:space="0" w:color="auto"/>
              <w:bottom w:val="single" w:sz="8" w:space="0" w:color="auto"/>
              <w:right w:val="single" w:sz="8" w:space="0" w:color="auto"/>
            </w:tcBorders>
            <w:vAlign w:val="center"/>
          </w:tcPr>
          <w:p w14:paraId="19CCBB1A"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Spodbujanje javnega potniškega prometa</w:t>
            </w:r>
          </w:p>
        </w:tc>
        <w:tc>
          <w:tcPr>
            <w:tcW w:w="2048" w:type="dxa"/>
            <w:tcBorders>
              <w:top w:val="single" w:sz="8" w:space="0" w:color="auto"/>
              <w:left w:val="single" w:sz="8" w:space="0" w:color="auto"/>
              <w:bottom w:val="single" w:sz="8" w:space="0" w:color="auto"/>
              <w:right w:val="single" w:sz="8" w:space="0" w:color="auto"/>
            </w:tcBorders>
            <w:vAlign w:val="center"/>
          </w:tcPr>
          <w:p w14:paraId="5E329BD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Ukrepi so namenjeni izboljšanju storitev in privlačnosti javnega potniškega prometa, s poudarkom na zagotavljanju ustrezne (zlasti železniške) infrastrukture, izboljšanju pogojev za kombiniranje različnih oblik prevozov, izboljšanje uporabniške izkušnje </w:t>
            </w:r>
            <w:r w:rsidRPr="00654A0B">
              <w:rPr>
                <w:rFonts w:ascii="Arial" w:hAnsi="Arial" w:cs="Arial"/>
                <w:color w:val="000000"/>
                <w:sz w:val="18"/>
                <w:szCs w:val="18"/>
              </w:rPr>
              <w:lastRenderedPageBreak/>
              <w:t>in konkurenčnosti v primerjavi z avtom.</w:t>
            </w:r>
          </w:p>
        </w:tc>
        <w:tc>
          <w:tcPr>
            <w:tcW w:w="1873" w:type="dxa"/>
            <w:tcBorders>
              <w:top w:val="single" w:sz="8" w:space="0" w:color="auto"/>
              <w:left w:val="single" w:sz="8" w:space="0" w:color="auto"/>
              <w:bottom w:val="single" w:sz="8" w:space="0" w:color="auto"/>
              <w:right w:val="single" w:sz="8" w:space="0" w:color="auto"/>
            </w:tcBorders>
            <w:vAlign w:val="center"/>
          </w:tcPr>
          <w:p w14:paraId="5691D80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Povečanje uporabe javnega potniškega prometa</w:t>
            </w:r>
          </w:p>
        </w:tc>
        <w:tc>
          <w:tcPr>
            <w:tcW w:w="928" w:type="dxa"/>
            <w:tcBorders>
              <w:top w:val="single" w:sz="8" w:space="0" w:color="auto"/>
              <w:left w:val="single" w:sz="8" w:space="0" w:color="auto"/>
              <w:bottom w:val="single" w:sz="8" w:space="0" w:color="auto"/>
              <w:right w:val="single" w:sz="8" w:space="0" w:color="auto"/>
            </w:tcBorders>
            <w:vAlign w:val="center"/>
          </w:tcPr>
          <w:p w14:paraId="3418881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2C299926" w14:textId="41878210"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891DDA">
              <w:rPr>
                <w:rFonts w:ascii="Arial" w:hAnsi="Arial" w:cs="Arial"/>
                <w:color w:val="000000"/>
                <w:sz w:val="18"/>
                <w:szCs w:val="18"/>
              </w:rPr>
              <w:t>z</w:t>
            </w:r>
            <w:r w:rsidRPr="00654A0B">
              <w:rPr>
                <w:rFonts w:ascii="Arial" w:hAnsi="Arial" w:cs="Arial"/>
                <w:color w:val="000000"/>
                <w:sz w:val="18"/>
                <w:szCs w:val="18"/>
              </w:rPr>
              <w:t xml:space="preserve">akonodajni, </w:t>
            </w:r>
            <w:r w:rsidR="002512A3">
              <w:rPr>
                <w:rFonts w:ascii="Arial" w:hAnsi="Arial" w:cs="Arial"/>
                <w:color w:val="000000"/>
                <w:sz w:val="18"/>
                <w:szCs w:val="18"/>
              </w:rPr>
              <w:t>i</w:t>
            </w:r>
            <w:r w:rsidRPr="00654A0B">
              <w:rPr>
                <w:rFonts w:ascii="Arial" w:hAnsi="Arial" w:cs="Arial"/>
                <w:color w:val="000000"/>
                <w:sz w:val="18"/>
                <w:szCs w:val="18"/>
              </w:rPr>
              <w:t>nformacije</w:t>
            </w:r>
          </w:p>
        </w:tc>
        <w:tc>
          <w:tcPr>
            <w:tcW w:w="1008" w:type="dxa"/>
            <w:tcBorders>
              <w:top w:val="single" w:sz="8" w:space="0" w:color="auto"/>
              <w:left w:val="single" w:sz="8" w:space="0" w:color="auto"/>
              <w:bottom w:val="single" w:sz="8" w:space="0" w:color="auto"/>
              <w:right w:val="single" w:sz="8" w:space="0" w:color="auto"/>
            </w:tcBorders>
            <w:vAlign w:val="center"/>
          </w:tcPr>
          <w:p w14:paraId="52E5028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 načrtovan</w:t>
            </w:r>
          </w:p>
        </w:tc>
        <w:tc>
          <w:tcPr>
            <w:tcW w:w="958" w:type="dxa"/>
            <w:tcBorders>
              <w:top w:val="single" w:sz="8" w:space="0" w:color="auto"/>
              <w:left w:val="single" w:sz="8" w:space="0" w:color="auto"/>
              <w:bottom w:val="single" w:sz="8" w:space="0" w:color="auto"/>
              <w:right w:val="single" w:sz="8" w:space="0" w:color="auto"/>
            </w:tcBorders>
            <w:vAlign w:val="center"/>
          </w:tcPr>
          <w:p w14:paraId="369E9F9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1991</w:t>
            </w:r>
          </w:p>
        </w:tc>
        <w:tc>
          <w:tcPr>
            <w:tcW w:w="813" w:type="dxa"/>
            <w:tcBorders>
              <w:top w:val="single" w:sz="8" w:space="0" w:color="auto"/>
              <w:left w:val="single" w:sz="8" w:space="0" w:color="auto"/>
              <w:bottom w:val="single" w:sz="8" w:space="0" w:color="auto"/>
              <w:right w:val="single" w:sz="8" w:space="0" w:color="auto"/>
            </w:tcBorders>
            <w:vAlign w:val="center"/>
          </w:tcPr>
          <w:p w14:paraId="7E5DB76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6C50D54F"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 MOPE, MNVP,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4142637"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40B0930"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766C3DF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M-28</w:t>
            </w:r>
          </w:p>
        </w:tc>
      </w:tr>
      <w:tr w:rsidR="00AF3FEE" w:rsidRPr="00CE5F74" w14:paraId="71A97CAB"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75001272" w14:textId="173DD332"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4</w:t>
            </w:r>
          </w:p>
        </w:tc>
        <w:tc>
          <w:tcPr>
            <w:tcW w:w="1702" w:type="dxa"/>
            <w:tcBorders>
              <w:top w:val="single" w:sz="8" w:space="0" w:color="auto"/>
              <w:left w:val="single" w:sz="8" w:space="0" w:color="auto"/>
              <w:bottom w:val="single" w:sz="8" w:space="0" w:color="auto"/>
              <w:right w:val="single" w:sz="8" w:space="0" w:color="auto"/>
            </w:tcBorders>
            <w:vAlign w:val="center"/>
          </w:tcPr>
          <w:p w14:paraId="1ED09341"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Dodatne aktivnosti za spodbujanje javnega potniškega prometa</w:t>
            </w:r>
          </w:p>
        </w:tc>
        <w:tc>
          <w:tcPr>
            <w:tcW w:w="2048" w:type="dxa"/>
            <w:tcBorders>
              <w:top w:val="single" w:sz="8" w:space="0" w:color="auto"/>
              <w:left w:val="single" w:sz="8" w:space="0" w:color="auto"/>
              <w:bottom w:val="single" w:sz="8" w:space="0" w:color="auto"/>
              <w:right w:val="single" w:sz="8" w:space="0" w:color="auto"/>
            </w:tcBorders>
            <w:vAlign w:val="center"/>
          </w:tcPr>
          <w:p w14:paraId="42ADF78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Dodatni ukrepi so namenjeni izboljšanju storitev in privlačnosti javnega potniškega prometa z dodatnim poudarkom na strateškem načrtovanju, večmodalnosti, izboljšanju uporabniške izkušnje in konkurenčnosti v primerjavi z avtom.</w:t>
            </w:r>
          </w:p>
        </w:tc>
        <w:tc>
          <w:tcPr>
            <w:tcW w:w="1873" w:type="dxa"/>
            <w:tcBorders>
              <w:top w:val="single" w:sz="8" w:space="0" w:color="auto"/>
              <w:left w:val="single" w:sz="8" w:space="0" w:color="auto"/>
              <w:bottom w:val="single" w:sz="8" w:space="0" w:color="auto"/>
              <w:right w:val="single" w:sz="8" w:space="0" w:color="auto"/>
            </w:tcBorders>
            <w:vAlign w:val="center"/>
          </w:tcPr>
          <w:p w14:paraId="26FF05B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Dodatno povečanje uporabe javnega potniškega prometa</w:t>
            </w:r>
          </w:p>
        </w:tc>
        <w:tc>
          <w:tcPr>
            <w:tcW w:w="928" w:type="dxa"/>
            <w:tcBorders>
              <w:top w:val="single" w:sz="8" w:space="0" w:color="auto"/>
              <w:left w:val="single" w:sz="8" w:space="0" w:color="auto"/>
              <w:bottom w:val="single" w:sz="8" w:space="0" w:color="auto"/>
              <w:right w:val="single" w:sz="8" w:space="0" w:color="auto"/>
            </w:tcBorders>
            <w:vAlign w:val="center"/>
          </w:tcPr>
          <w:p w14:paraId="208AEC0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0C8D0137" w14:textId="069582A6"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2512A3">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1874517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Sprejet, načrtovan</w:t>
            </w:r>
          </w:p>
        </w:tc>
        <w:tc>
          <w:tcPr>
            <w:tcW w:w="958" w:type="dxa"/>
            <w:tcBorders>
              <w:top w:val="single" w:sz="8" w:space="0" w:color="auto"/>
              <w:left w:val="single" w:sz="8" w:space="0" w:color="auto"/>
              <w:bottom w:val="single" w:sz="8" w:space="0" w:color="auto"/>
              <w:right w:val="single" w:sz="8" w:space="0" w:color="auto"/>
            </w:tcBorders>
            <w:vAlign w:val="center"/>
          </w:tcPr>
          <w:p w14:paraId="4165AB0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745E135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5819B3FF"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 MOPE, MNVP, SŽ, DARS,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D1B15F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326F794"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37</w:t>
            </w:r>
          </w:p>
        </w:tc>
        <w:tc>
          <w:tcPr>
            <w:tcW w:w="775" w:type="dxa"/>
            <w:tcBorders>
              <w:top w:val="single" w:sz="8" w:space="0" w:color="auto"/>
              <w:left w:val="single" w:sz="8" w:space="0" w:color="auto"/>
              <w:bottom w:val="single" w:sz="8" w:space="0" w:color="auto"/>
              <w:right w:val="single" w:sz="8" w:space="0" w:color="auto"/>
            </w:tcBorders>
            <w:vAlign w:val="center"/>
          </w:tcPr>
          <w:p w14:paraId="48F4C80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M-28</w:t>
            </w:r>
          </w:p>
        </w:tc>
      </w:tr>
      <w:tr w:rsidR="00AF3FEE" w:rsidRPr="00CE5F74" w14:paraId="51206999"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E208FB4" w14:textId="39DBD485"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5</w:t>
            </w:r>
          </w:p>
        </w:tc>
        <w:tc>
          <w:tcPr>
            <w:tcW w:w="1702" w:type="dxa"/>
            <w:tcBorders>
              <w:top w:val="single" w:sz="8" w:space="0" w:color="auto"/>
              <w:left w:val="single" w:sz="8" w:space="0" w:color="auto"/>
              <w:bottom w:val="single" w:sz="8" w:space="0" w:color="auto"/>
              <w:right w:val="single" w:sz="8" w:space="0" w:color="auto"/>
            </w:tcBorders>
            <w:vAlign w:val="center"/>
          </w:tcPr>
          <w:p w14:paraId="1235AF4E"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Ukrepi za povečanje deleža poti z aktivno mobilnostjo</w:t>
            </w:r>
          </w:p>
        </w:tc>
        <w:tc>
          <w:tcPr>
            <w:tcW w:w="2048" w:type="dxa"/>
            <w:tcBorders>
              <w:top w:val="single" w:sz="8" w:space="0" w:color="auto"/>
              <w:left w:val="single" w:sz="8" w:space="0" w:color="auto"/>
              <w:bottom w:val="single" w:sz="8" w:space="0" w:color="auto"/>
              <w:right w:val="single" w:sz="8" w:space="0" w:color="auto"/>
            </w:tcBorders>
            <w:vAlign w:val="center"/>
          </w:tcPr>
          <w:p w14:paraId="3092FEA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Namen ukrepa je izboljšati pogoje za uporabo aktivne mobilnosti (hoja, kolesarjenje), po eni strani z infrastrukturnimi ureditvami, po drugi pa s spodbujevalnimi in ozaveščevalnimi ukrepi.</w:t>
            </w:r>
          </w:p>
        </w:tc>
        <w:tc>
          <w:tcPr>
            <w:tcW w:w="1873" w:type="dxa"/>
            <w:tcBorders>
              <w:top w:val="single" w:sz="8" w:space="0" w:color="auto"/>
              <w:left w:val="single" w:sz="8" w:space="0" w:color="auto"/>
              <w:bottom w:val="single" w:sz="8" w:space="0" w:color="auto"/>
              <w:right w:val="single" w:sz="8" w:space="0" w:color="auto"/>
            </w:tcBorders>
            <w:vAlign w:val="center"/>
          </w:tcPr>
          <w:p w14:paraId="12412DA9"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Povečanje uporabe aktivnih načinov mobilnosti (kolesarjenja in pešačenja)</w:t>
            </w:r>
          </w:p>
        </w:tc>
        <w:tc>
          <w:tcPr>
            <w:tcW w:w="928" w:type="dxa"/>
            <w:tcBorders>
              <w:top w:val="single" w:sz="8" w:space="0" w:color="auto"/>
              <w:left w:val="single" w:sz="8" w:space="0" w:color="auto"/>
              <w:bottom w:val="single" w:sz="8" w:space="0" w:color="auto"/>
              <w:right w:val="single" w:sz="8" w:space="0" w:color="auto"/>
            </w:tcBorders>
            <w:vAlign w:val="center"/>
          </w:tcPr>
          <w:p w14:paraId="698154B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219B72F5" w14:textId="175D1734"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891DDA">
              <w:rPr>
                <w:rFonts w:ascii="Arial" w:hAnsi="Arial" w:cs="Arial"/>
                <w:color w:val="000000"/>
                <w:sz w:val="18"/>
                <w:szCs w:val="18"/>
              </w:rPr>
              <w:t>n</w:t>
            </w:r>
            <w:r w:rsidRPr="00654A0B">
              <w:rPr>
                <w:rFonts w:ascii="Arial" w:hAnsi="Arial" w:cs="Arial"/>
                <w:color w:val="000000"/>
                <w:sz w:val="18"/>
                <w:szCs w:val="18"/>
              </w:rPr>
              <w:t xml:space="preserve">ačrtovanje, </w:t>
            </w:r>
            <w:r w:rsidR="00891DDA">
              <w:rPr>
                <w:rFonts w:ascii="Arial" w:hAnsi="Arial" w:cs="Arial"/>
                <w:color w:val="000000"/>
                <w:sz w:val="18"/>
                <w:szCs w:val="18"/>
              </w:rPr>
              <w:t>o</w:t>
            </w:r>
            <w:r w:rsidRPr="00654A0B">
              <w:rPr>
                <w:rFonts w:ascii="Arial" w:hAnsi="Arial" w:cs="Arial"/>
                <w:color w:val="000000"/>
                <w:sz w:val="18"/>
                <w:szCs w:val="18"/>
              </w:rPr>
              <w:t xml:space="preserve">zaveščanje, </w:t>
            </w:r>
            <w:r w:rsidR="002512A3">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6395D44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 načrtovan</w:t>
            </w:r>
          </w:p>
        </w:tc>
        <w:tc>
          <w:tcPr>
            <w:tcW w:w="958" w:type="dxa"/>
            <w:tcBorders>
              <w:top w:val="single" w:sz="8" w:space="0" w:color="auto"/>
              <w:left w:val="single" w:sz="8" w:space="0" w:color="auto"/>
              <w:bottom w:val="single" w:sz="8" w:space="0" w:color="auto"/>
              <w:right w:val="single" w:sz="8" w:space="0" w:color="auto"/>
            </w:tcBorders>
            <w:vAlign w:val="center"/>
          </w:tcPr>
          <w:p w14:paraId="05FCA4B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4848F2C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31968965"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 MOPE,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721BE01"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6483362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18C177D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M-33</w:t>
            </w:r>
          </w:p>
        </w:tc>
      </w:tr>
      <w:tr w:rsidR="00AF3FEE" w:rsidRPr="00CE5F74" w14:paraId="20BBD9C6"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637FE646" w14:textId="4174C45D"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6</w:t>
            </w:r>
          </w:p>
        </w:tc>
        <w:tc>
          <w:tcPr>
            <w:tcW w:w="1702" w:type="dxa"/>
            <w:tcBorders>
              <w:top w:val="single" w:sz="8" w:space="0" w:color="auto"/>
              <w:left w:val="single" w:sz="8" w:space="0" w:color="auto"/>
              <w:bottom w:val="single" w:sz="8" w:space="0" w:color="auto"/>
              <w:right w:val="single" w:sz="8" w:space="0" w:color="auto"/>
            </w:tcBorders>
            <w:vAlign w:val="center"/>
          </w:tcPr>
          <w:p w14:paraId="3CB20783"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Dodatni ukrepi za povečanje deleža poti z aktivno mobilnostjo</w:t>
            </w:r>
          </w:p>
        </w:tc>
        <w:tc>
          <w:tcPr>
            <w:tcW w:w="2048" w:type="dxa"/>
            <w:tcBorders>
              <w:top w:val="single" w:sz="8" w:space="0" w:color="auto"/>
              <w:left w:val="single" w:sz="8" w:space="0" w:color="auto"/>
              <w:bottom w:val="single" w:sz="8" w:space="0" w:color="auto"/>
              <w:right w:val="single" w:sz="8" w:space="0" w:color="auto"/>
            </w:tcBorders>
            <w:vAlign w:val="center"/>
          </w:tcPr>
          <w:p w14:paraId="14D6FEA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Namen ukrepa je izboljšati pogoje za uporabo aktivne mobilnosti, poleg infrastrukture ter ozaveščanja je namen umirjati motorni promet za večjo varnost in </w:t>
            </w:r>
            <w:r w:rsidRPr="00654A0B">
              <w:rPr>
                <w:rFonts w:ascii="Arial" w:hAnsi="Arial" w:cs="Arial"/>
                <w:color w:val="000000"/>
                <w:sz w:val="18"/>
                <w:szCs w:val="18"/>
              </w:rPr>
              <w:lastRenderedPageBreak/>
              <w:t>udobje nemotoriziranih udeležencev v prometu.</w:t>
            </w:r>
          </w:p>
        </w:tc>
        <w:tc>
          <w:tcPr>
            <w:tcW w:w="1873" w:type="dxa"/>
            <w:tcBorders>
              <w:top w:val="single" w:sz="8" w:space="0" w:color="auto"/>
              <w:left w:val="single" w:sz="8" w:space="0" w:color="auto"/>
              <w:bottom w:val="single" w:sz="8" w:space="0" w:color="auto"/>
              <w:right w:val="single" w:sz="8" w:space="0" w:color="auto"/>
            </w:tcBorders>
            <w:vAlign w:val="center"/>
          </w:tcPr>
          <w:p w14:paraId="16F3891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Dodatno povečanje uporabe aktivnih načinov mobilnosti (kolesarjenja in pešačenja)</w:t>
            </w:r>
          </w:p>
        </w:tc>
        <w:tc>
          <w:tcPr>
            <w:tcW w:w="928" w:type="dxa"/>
            <w:tcBorders>
              <w:top w:val="single" w:sz="8" w:space="0" w:color="auto"/>
              <w:left w:val="single" w:sz="8" w:space="0" w:color="auto"/>
              <w:bottom w:val="single" w:sz="8" w:space="0" w:color="auto"/>
              <w:right w:val="single" w:sz="8" w:space="0" w:color="auto"/>
            </w:tcBorders>
            <w:vAlign w:val="center"/>
          </w:tcPr>
          <w:p w14:paraId="17DECA9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90FB6A9" w14:textId="694FEC3F" w:rsidR="00AF3FEE" w:rsidRPr="00654A0B" w:rsidRDefault="00AF3FEE" w:rsidP="002512A3">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2512A3">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4ADF522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Sprejet, načrtovan</w:t>
            </w:r>
          </w:p>
        </w:tc>
        <w:tc>
          <w:tcPr>
            <w:tcW w:w="958" w:type="dxa"/>
            <w:tcBorders>
              <w:top w:val="single" w:sz="8" w:space="0" w:color="auto"/>
              <w:left w:val="single" w:sz="8" w:space="0" w:color="auto"/>
              <w:bottom w:val="single" w:sz="8" w:space="0" w:color="auto"/>
              <w:right w:val="single" w:sz="8" w:space="0" w:color="auto"/>
            </w:tcBorders>
            <w:vAlign w:val="center"/>
          </w:tcPr>
          <w:p w14:paraId="745E829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68C3F8E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41316680"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MF, MNVP,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F362481"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B2320D5"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IE (M-31)</w:t>
            </w:r>
          </w:p>
        </w:tc>
        <w:tc>
          <w:tcPr>
            <w:tcW w:w="775" w:type="dxa"/>
            <w:tcBorders>
              <w:top w:val="single" w:sz="8" w:space="0" w:color="auto"/>
              <w:left w:val="single" w:sz="8" w:space="0" w:color="auto"/>
              <w:bottom w:val="single" w:sz="8" w:space="0" w:color="auto"/>
              <w:right w:val="single" w:sz="8" w:space="0" w:color="auto"/>
            </w:tcBorders>
            <w:vAlign w:val="center"/>
          </w:tcPr>
          <w:p w14:paraId="0DAF7F8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M-33</w:t>
            </w:r>
          </w:p>
        </w:tc>
      </w:tr>
      <w:tr w:rsidR="00AF3FEE" w:rsidRPr="00CE5F74" w14:paraId="216F86D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619E4D34" w14:textId="379DF9A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7</w:t>
            </w:r>
          </w:p>
        </w:tc>
        <w:tc>
          <w:tcPr>
            <w:tcW w:w="1702" w:type="dxa"/>
            <w:tcBorders>
              <w:top w:val="single" w:sz="8" w:space="0" w:color="auto"/>
              <w:left w:val="single" w:sz="8" w:space="0" w:color="auto"/>
              <w:bottom w:val="single" w:sz="8" w:space="0" w:color="auto"/>
              <w:right w:val="single" w:sz="8" w:space="0" w:color="auto"/>
            </w:tcBorders>
            <w:vAlign w:val="center"/>
          </w:tcPr>
          <w:p w14:paraId="1104C0A6"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Ukrepi za bolj trajnostno uporabo osebnih motornih vozil</w:t>
            </w:r>
          </w:p>
        </w:tc>
        <w:tc>
          <w:tcPr>
            <w:tcW w:w="2048" w:type="dxa"/>
            <w:tcBorders>
              <w:top w:val="single" w:sz="8" w:space="0" w:color="auto"/>
              <w:left w:val="single" w:sz="8" w:space="0" w:color="auto"/>
              <w:bottom w:val="single" w:sz="8" w:space="0" w:color="auto"/>
              <w:right w:val="single" w:sz="8" w:space="0" w:color="auto"/>
            </w:tcBorders>
            <w:vAlign w:val="center"/>
          </w:tcPr>
          <w:p w14:paraId="7E5F6456" w14:textId="1626DD89"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Namen ukrepa je, ob zavedanju, da bodo avtomobili ostali pomemben del za mobilnost in dostopnost velikega dela prebivalcev, da postane uporaba avtomobila </w:t>
            </w:r>
            <w:r w:rsidR="00C00E81">
              <w:rPr>
                <w:rFonts w:ascii="Arial" w:hAnsi="Arial" w:cs="Arial"/>
                <w:color w:val="000000"/>
                <w:sz w:val="18"/>
                <w:szCs w:val="18"/>
              </w:rPr>
              <w:t xml:space="preserve">učinkovitejša </w:t>
            </w:r>
            <w:r w:rsidRPr="00654A0B">
              <w:rPr>
                <w:rFonts w:ascii="Arial" w:hAnsi="Arial" w:cs="Arial"/>
                <w:color w:val="000000"/>
                <w:sz w:val="18"/>
                <w:szCs w:val="18"/>
              </w:rPr>
              <w:t xml:space="preserve">v smislu zasedenosti in lastništva avtomobilov ter zmanjševanja uporabe avtomobilov za poti, kjer so na voljo alternative (kot so </w:t>
            </w:r>
            <w:r w:rsidR="004F2B0D">
              <w:rPr>
                <w:rFonts w:ascii="Arial" w:hAnsi="Arial" w:cs="Arial"/>
                <w:color w:val="000000"/>
                <w:sz w:val="18"/>
                <w:szCs w:val="18"/>
              </w:rPr>
              <w:t>na primer</w:t>
            </w:r>
            <w:r w:rsidRPr="00654A0B">
              <w:rPr>
                <w:rFonts w:ascii="Arial" w:hAnsi="Arial" w:cs="Arial"/>
                <w:color w:val="000000"/>
                <w:sz w:val="18"/>
                <w:szCs w:val="18"/>
              </w:rPr>
              <w:t xml:space="preserve"> kratke poti ali poti v koridorjih javnega prevoza).</w:t>
            </w:r>
          </w:p>
        </w:tc>
        <w:tc>
          <w:tcPr>
            <w:tcW w:w="1873" w:type="dxa"/>
            <w:tcBorders>
              <w:top w:val="single" w:sz="8" w:space="0" w:color="auto"/>
              <w:left w:val="single" w:sz="8" w:space="0" w:color="auto"/>
              <w:bottom w:val="single" w:sz="8" w:space="0" w:color="auto"/>
              <w:right w:val="single" w:sz="8" w:space="0" w:color="auto"/>
            </w:tcBorders>
            <w:vAlign w:val="center"/>
          </w:tcPr>
          <w:p w14:paraId="2C9934C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Parkirna politika, izvajanje načela uporabnik plača</w:t>
            </w:r>
          </w:p>
        </w:tc>
        <w:tc>
          <w:tcPr>
            <w:tcW w:w="928" w:type="dxa"/>
            <w:tcBorders>
              <w:top w:val="single" w:sz="8" w:space="0" w:color="auto"/>
              <w:left w:val="single" w:sz="8" w:space="0" w:color="auto"/>
              <w:bottom w:val="single" w:sz="8" w:space="0" w:color="auto"/>
              <w:right w:val="single" w:sz="8" w:space="0" w:color="auto"/>
            </w:tcBorders>
            <w:vAlign w:val="center"/>
          </w:tcPr>
          <w:p w14:paraId="0C8966D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0E3A3B31" w14:textId="60771573"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C00E81">
              <w:rPr>
                <w:rFonts w:ascii="Arial" w:hAnsi="Arial" w:cs="Arial"/>
                <w:color w:val="000000"/>
                <w:sz w:val="18"/>
                <w:szCs w:val="18"/>
              </w:rPr>
              <w:t>n</w:t>
            </w:r>
            <w:r w:rsidRPr="00654A0B">
              <w:rPr>
                <w:rFonts w:ascii="Arial" w:hAnsi="Arial" w:cs="Arial"/>
                <w:color w:val="000000"/>
                <w:sz w:val="18"/>
                <w:szCs w:val="18"/>
              </w:rPr>
              <w:t xml:space="preserve">ačrtovanje, </w:t>
            </w:r>
            <w:r w:rsidR="00C00E81">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6AFD836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Sprejet, načrtovan</w:t>
            </w:r>
          </w:p>
        </w:tc>
        <w:tc>
          <w:tcPr>
            <w:tcW w:w="958" w:type="dxa"/>
            <w:tcBorders>
              <w:top w:val="single" w:sz="8" w:space="0" w:color="auto"/>
              <w:left w:val="single" w:sz="8" w:space="0" w:color="auto"/>
              <w:bottom w:val="single" w:sz="8" w:space="0" w:color="auto"/>
              <w:right w:val="single" w:sz="8" w:space="0" w:color="auto"/>
            </w:tcBorders>
            <w:vAlign w:val="center"/>
          </w:tcPr>
          <w:p w14:paraId="1AA777B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25A7704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238B4FBA"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27E56AE"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33D02F5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4B43C0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w:t>
            </w:r>
          </w:p>
        </w:tc>
      </w:tr>
      <w:tr w:rsidR="00AF3FEE" w:rsidRPr="00CE5F74" w14:paraId="3AF053E0"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E951669" w14:textId="427F5BA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M-3</w:t>
            </w:r>
            <w:r w:rsidR="00192C09">
              <w:rPr>
                <w:rFonts w:ascii="Arial" w:hAnsi="Arial" w:cs="Arial"/>
                <w:color w:val="000000"/>
                <w:sz w:val="18"/>
                <w:szCs w:val="18"/>
              </w:rPr>
              <w:t>8</w:t>
            </w:r>
          </w:p>
        </w:tc>
        <w:tc>
          <w:tcPr>
            <w:tcW w:w="1702" w:type="dxa"/>
            <w:tcBorders>
              <w:top w:val="single" w:sz="8" w:space="0" w:color="auto"/>
              <w:left w:val="single" w:sz="8" w:space="0" w:color="auto"/>
              <w:bottom w:val="single" w:sz="8" w:space="0" w:color="auto"/>
              <w:right w:val="single" w:sz="8" w:space="0" w:color="auto"/>
            </w:tcBorders>
            <w:vAlign w:val="center"/>
          </w:tcPr>
          <w:p w14:paraId="4889A358"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Dodatni ukrepi za bolj trajnostno uporabo osebnih motornih vozil</w:t>
            </w:r>
          </w:p>
        </w:tc>
        <w:tc>
          <w:tcPr>
            <w:tcW w:w="2048" w:type="dxa"/>
            <w:tcBorders>
              <w:top w:val="single" w:sz="8" w:space="0" w:color="auto"/>
              <w:left w:val="single" w:sz="8" w:space="0" w:color="auto"/>
              <w:bottom w:val="single" w:sz="8" w:space="0" w:color="auto"/>
              <w:right w:val="single" w:sz="8" w:space="0" w:color="auto"/>
            </w:tcBorders>
            <w:vAlign w:val="center"/>
          </w:tcPr>
          <w:p w14:paraId="634C41B5" w14:textId="5456D160"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Namen dodatnih ukrepov je intenzivneje izvajati upravljanj</w:t>
            </w:r>
            <w:r w:rsidR="00891DDA">
              <w:rPr>
                <w:rFonts w:ascii="Arial" w:hAnsi="Arial" w:cs="Arial"/>
                <w:color w:val="000000"/>
                <w:sz w:val="18"/>
                <w:szCs w:val="18"/>
              </w:rPr>
              <w:t>e</w:t>
            </w:r>
            <w:r w:rsidRPr="00654A0B">
              <w:rPr>
                <w:rFonts w:ascii="Arial" w:hAnsi="Arial" w:cs="Arial"/>
                <w:color w:val="000000"/>
                <w:sz w:val="18"/>
                <w:szCs w:val="18"/>
              </w:rPr>
              <w:t xml:space="preserve"> prometnega povpraševanja in zmanjševanja privlačnosti osebnega motornega prometa v primerjavi z alternativnimi oblikami mobilnosti, hkrati pa povečevanja varnosti </w:t>
            </w:r>
            <w:r w:rsidRPr="00654A0B">
              <w:rPr>
                <w:rFonts w:ascii="Arial" w:hAnsi="Arial" w:cs="Arial"/>
                <w:color w:val="000000"/>
                <w:sz w:val="18"/>
                <w:szCs w:val="18"/>
              </w:rPr>
              <w:lastRenderedPageBreak/>
              <w:t>vseh udeležencev. Namen je tudi enakomern</w:t>
            </w:r>
            <w:r w:rsidR="00C00E81">
              <w:rPr>
                <w:rFonts w:ascii="Arial" w:hAnsi="Arial" w:cs="Arial"/>
                <w:color w:val="000000"/>
                <w:sz w:val="18"/>
                <w:szCs w:val="18"/>
              </w:rPr>
              <w:t>ejš</w:t>
            </w:r>
            <w:r w:rsidRPr="00654A0B">
              <w:rPr>
                <w:rFonts w:ascii="Arial" w:hAnsi="Arial" w:cs="Arial"/>
                <w:color w:val="000000"/>
                <w:sz w:val="18"/>
                <w:szCs w:val="18"/>
              </w:rPr>
              <w:t>a in pravičn</w:t>
            </w:r>
            <w:r w:rsidR="00C00E81">
              <w:rPr>
                <w:rFonts w:ascii="Arial" w:hAnsi="Arial" w:cs="Arial"/>
                <w:color w:val="000000"/>
                <w:sz w:val="18"/>
                <w:szCs w:val="18"/>
              </w:rPr>
              <w:t>ejš</w:t>
            </w:r>
            <w:r w:rsidRPr="00654A0B">
              <w:rPr>
                <w:rFonts w:ascii="Arial" w:hAnsi="Arial" w:cs="Arial"/>
                <w:color w:val="000000"/>
                <w:sz w:val="18"/>
                <w:szCs w:val="18"/>
              </w:rPr>
              <w:t>a porazdelitev bremen (zunanjih stroškov), ki jih povzročajo uporabniki avtomobilov.</w:t>
            </w:r>
          </w:p>
        </w:tc>
        <w:tc>
          <w:tcPr>
            <w:tcW w:w="1873" w:type="dxa"/>
            <w:tcBorders>
              <w:top w:val="single" w:sz="8" w:space="0" w:color="auto"/>
              <w:left w:val="single" w:sz="8" w:space="0" w:color="auto"/>
              <w:bottom w:val="single" w:sz="8" w:space="0" w:color="auto"/>
              <w:right w:val="single" w:sz="8" w:space="0" w:color="auto"/>
            </w:tcBorders>
            <w:vAlign w:val="center"/>
          </w:tcPr>
          <w:p w14:paraId="7F81955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Zmanjšanje uporabe avtomobilov in povečanje zasednosti vozil</w:t>
            </w:r>
          </w:p>
        </w:tc>
        <w:tc>
          <w:tcPr>
            <w:tcW w:w="928" w:type="dxa"/>
            <w:tcBorders>
              <w:top w:val="single" w:sz="8" w:space="0" w:color="auto"/>
              <w:left w:val="single" w:sz="8" w:space="0" w:color="auto"/>
              <w:bottom w:val="single" w:sz="8" w:space="0" w:color="auto"/>
              <w:right w:val="single" w:sz="8" w:space="0" w:color="auto"/>
            </w:tcBorders>
            <w:vAlign w:val="center"/>
          </w:tcPr>
          <w:p w14:paraId="294A391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F7CFA27" w14:textId="21AB2FC9"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C00E81">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189578F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Sprejet, načrtovan</w:t>
            </w:r>
          </w:p>
        </w:tc>
        <w:tc>
          <w:tcPr>
            <w:tcW w:w="958" w:type="dxa"/>
            <w:tcBorders>
              <w:top w:val="single" w:sz="8" w:space="0" w:color="auto"/>
              <w:left w:val="single" w:sz="8" w:space="0" w:color="auto"/>
              <w:bottom w:val="single" w:sz="8" w:space="0" w:color="auto"/>
              <w:right w:val="single" w:sz="8" w:space="0" w:color="auto"/>
            </w:tcBorders>
            <w:vAlign w:val="center"/>
          </w:tcPr>
          <w:p w14:paraId="394F856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3ABDDE8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210E51D6"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DARS,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D663717"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155C379D"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348</w:t>
            </w:r>
          </w:p>
        </w:tc>
        <w:tc>
          <w:tcPr>
            <w:tcW w:w="775" w:type="dxa"/>
            <w:tcBorders>
              <w:top w:val="single" w:sz="8" w:space="0" w:color="auto"/>
              <w:left w:val="single" w:sz="8" w:space="0" w:color="auto"/>
              <w:bottom w:val="single" w:sz="8" w:space="0" w:color="auto"/>
              <w:right w:val="single" w:sz="8" w:space="0" w:color="auto"/>
            </w:tcBorders>
            <w:vAlign w:val="center"/>
          </w:tcPr>
          <w:p w14:paraId="0DCE35B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M-27</w:t>
            </w:r>
          </w:p>
        </w:tc>
      </w:tr>
      <w:tr w:rsidR="00AF3FEE" w:rsidRPr="00CE5F74" w14:paraId="5D91739F"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0CE8567" w14:textId="2AEBE34C"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w:t>
            </w:r>
            <w:r w:rsidR="00192C09">
              <w:rPr>
                <w:rFonts w:ascii="Arial" w:hAnsi="Arial" w:cs="Arial"/>
                <w:color w:val="000000"/>
                <w:sz w:val="18"/>
                <w:szCs w:val="18"/>
              </w:rPr>
              <w:t>39</w:t>
            </w:r>
          </w:p>
        </w:tc>
        <w:tc>
          <w:tcPr>
            <w:tcW w:w="1702" w:type="dxa"/>
            <w:tcBorders>
              <w:top w:val="single" w:sz="8" w:space="0" w:color="auto"/>
              <w:left w:val="single" w:sz="8" w:space="0" w:color="auto"/>
              <w:bottom w:val="single" w:sz="8" w:space="0" w:color="auto"/>
              <w:right w:val="single" w:sz="8" w:space="0" w:color="auto"/>
            </w:tcBorders>
            <w:vAlign w:val="center"/>
          </w:tcPr>
          <w:p w14:paraId="7DE08FC3"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Spodbujanje trajnostnega tovornega prometa</w:t>
            </w:r>
          </w:p>
        </w:tc>
        <w:tc>
          <w:tcPr>
            <w:tcW w:w="2048" w:type="dxa"/>
            <w:tcBorders>
              <w:top w:val="single" w:sz="8" w:space="0" w:color="auto"/>
              <w:left w:val="single" w:sz="8" w:space="0" w:color="auto"/>
              <w:bottom w:val="single" w:sz="8" w:space="0" w:color="auto"/>
              <w:right w:val="single" w:sz="8" w:space="0" w:color="auto"/>
            </w:tcBorders>
            <w:vAlign w:val="center"/>
          </w:tcPr>
          <w:p w14:paraId="2AF839C1" w14:textId="38166499" w:rsidR="00AF3FEE" w:rsidRPr="00654A0B" w:rsidRDefault="00AF3FEE" w:rsidP="00891DDA">
            <w:pPr>
              <w:spacing w:line="245" w:lineRule="auto"/>
              <w:jc w:val="both"/>
              <w:rPr>
                <w:rFonts w:ascii="Arial" w:hAnsi="Arial" w:cs="Arial"/>
                <w:sz w:val="18"/>
                <w:szCs w:val="18"/>
              </w:rPr>
            </w:pPr>
            <w:r w:rsidRPr="00654A0B">
              <w:rPr>
                <w:rFonts w:ascii="Arial" w:hAnsi="Arial" w:cs="Arial"/>
                <w:color w:val="000000"/>
                <w:sz w:val="18"/>
                <w:szCs w:val="18"/>
              </w:rPr>
              <w:t xml:space="preserve">Namen ukrepa je zmanjšati emisije v tovornem prometu </w:t>
            </w:r>
            <w:r w:rsidR="00891DDA">
              <w:rPr>
                <w:rFonts w:ascii="Arial" w:hAnsi="Arial" w:cs="Arial"/>
                <w:color w:val="000000"/>
                <w:sz w:val="18"/>
                <w:szCs w:val="18"/>
              </w:rPr>
              <w:t>s</w:t>
            </w:r>
            <w:r w:rsidRPr="00654A0B">
              <w:rPr>
                <w:rFonts w:ascii="Arial" w:hAnsi="Arial" w:cs="Arial"/>
                <w:color w:val="000000"/>
                <w:sz w:val="18"/>
                <w:szCs w:val="18"/>
              </w:rPr>
              <w:t xml:space="preserve"> spodbujanje</w:t>
            </w:r>
            <w:r w:rsidR="00891DDA">
              <w:rPr>
                <w:rFonts w:ascii="Arial" w:hAnsi="Arial" w:cs="Arial"/>
                <w:color w:val="000000"/>
                <w:sz w:val="18"/>
                <w:szCs w:val="18"/>
              </w:rPr>
              <w:t>m</w:t>
            </w:r>
            <w:r w:rsidRPr="00654A0B">
              <w:rPr>
                <w:rFonts w:ascii="Arial" w:hAnsi="Arial" w:cs="Arial"/>
                <w:color w:val="000000"/>
                <w:sz w:val="18"/>
                <w:szCs w:val="18"/>
              </w:rPr>
              <w:t xml:space="preserve"> železniškega tovornega prometa (</w:t>
            </w:r>
            <w:r w:rsidR="00891DDA">
              <w:rPr>
                <w:rFonts w:ascii="Arial" w:hAnsi="Arial" w:cs="Arial"/>
                <w:color w:val="000000"/>
                <w:sz w:val="18"/>
                <w:szCs w:val="18"/>
              </w:rPr>
              <w:t>z</w:t>
            </w:r>
            <w:r w:rsidR="00891DDA" w:rsidRPr="00654A0B">
              <w:rPr>
                <w:rFonts w:ascii="Arial" w:hAnsi="Arial" w:cs="Arial"/>
                <w:color w:val="000000"/>
                <w:sz w:val="18"/>
                <w:szCs w:val="18"/>
              </w:rPr>
              <w:t xml:space="preserve"> </w:t>
            </w:r>
            <w:r w:rsidRPr="00654A0B">
              <w:rPr>
                <w:rFonts w:ascii="Arial" w:hAnsi="Arial" w:cs="Arial"/>
                <w:color w:val="000000"/>
                <w:sz w:val="18"/>
                <w:szCs w:val="18"/>
              </w:rPr>
              <w:t>investicij</w:t>
            </w:r>
            <w:r w:rsidR="00891DDA">
              <w:rPr>
                <w:rFonts w:ascii="Arial" w:hAnsi="Arial" w:cs="Arial"/>
                <w:color w:val="000000"/>
                <w:sz w:val="18"/>
                <w:szCs w:val="18"/>
              </w:rPr>
              <w:t>ami</w:t>
            </w:r>
            <w:r w:rsidRPr="00654A0B">
              <w:rPr>
                <w:rFonts w:ascii="Arial" w:hAnsi="Arial" w:cs="Arial"/>
                <w:color w:val="000000"/>
                <w:sz w:val="18"/>
                <w:szCs w:val="18"/>
              </w:rPr>
              <w:t xml:space="preserve"> v železniško infrastrukturo) za povečanje deleža prepeljanega tovora z žele</w:t>
            </w:r>
            <w:r w:rsidR="00891DDA">
              <w:rPr>
                <w:rFonts w:ascii="Arial" w:hAnsi="Arial" w:cs="Arial"/>
                <w:color w:val="000000"/>
                <w:sz w:val="18"/>
                <w:szCs w:val="18"/>
              </w:rPr>
              <w:t>z</w:t>
            </w:r>
            <w:r w:rsidRPr="00654A0B">
              <w:rPr>
                <w:rFonts w:ascii="Arial" w:hAnsi="Arial" w:cs="Arial"/>
                <w:color w:val="000000"/>
                <w:sz w:val="18"/>
                <w:szCs w:val="18"/>
              </w:rPr>
              <w:t>nico ter izboljšanje učinkovitosti cestnega tovornega prometa za povečanje zasednosti tovornih vozil. Velik poudarek je na somodalnosti.</w:t>
            </w:r>
          </w:p>
        </w:tc>
        <w:tc>
          <w:tcPr>
            <w:tcW w:w="1873" w:type="dxa"/>
            <w:tcBorders>
              <w:top w:val="single" w:sz="8" w:space="0" w:color="auto"/>
              <w:left w:val="single" w:sz="8" w:space="0" w:color="auto"/>
              <w:bottom w:val="single" w:sz="8" w:space="0" w:color="auto"/>
              <w:right w:val="single" w:sz="8" w:space="0" w:color="auto"/>
            </w:tcBorders>
            <w:vAlign w:val="center"/>
          </w:tcPr>
          <w:p w14:paraId="0FCC7C28" w14:textId="4E1E22FD" w:rsidR="00AF3FEE" w:rsidRPr="00654A0B" w:rsidRDefault="00AF3FEE" w:rsidP="00065628">
            <w:pPr>
              <w:spacing w:line="245" w:lineRule="auto"/>
              <w:jc w:val="both"/>
              <w:rPr>
                <w:rFonts w:ascii="Arial" w:hAnsi="Arial" w:cs="Arial"/>
                <w:sz w:val="18"/>
                <w:szCs w:val="18"/>
              </w:rPr>
            </w:pPr>
            <w:r w:rsidRPr="00654A0B">
              <w:rPr>
                <w:rFonts w:ascii="Arial" w:hAnsi="Arial" w:cs="Arial"/>
                <w:color w:val="000000"/>
                <w:sz w:val="18"/>
                <w:szCs w:val="18"/>
              </w:rPr>
              <w:t xml:space="preserve">Izboljšanje infrastrukture za tovorni promet </w:t>
            </w:r>
            <w:r w:rsidR="00065628">
              <w:rPr>
                <w:rFonts w:ascii="Arial" w:hAnsi="Arial" w:cs="Arial"/>
                <w:color w:val="000000"/>
                <w:sz w:val="18"/>
                <w:szCs w:val="18"/>
              </w:rPr>
              <w:t xml:space="preserve">z namenom </w:t>
            </w:r>
            <w:r w:rsidRPr="00654A0B">
              <w:rPr>
                <w:rFonts w:ascii="Arial" w:hAnsi="Arial" w:cs="Arial"/>
                <w:color w:val="000000"/>
                <w:sz w:val="18"/>
                <w:szCs w:val="18"/>
              </w:rPr>
              <w:t xml:space="preserve">povečanja prevozov po tirih </w:t>
            </w:r>
          </w:p>
        </w:tc>
        <w:tc>
          <w:tcPr>
            <w:tcW w:w="928" w:type="dxa"/>
            <w:tcBorders>
              <w:top w:val="single" w:sz="8" w:space="0" w:color="auto"/>
              <w:left w:val="single" w:sz="8" w:space="0" w:color="auto"/>
              <w:bottom w:val="single" w:sz="8" w:space="0" w:color="auto"/>
              <w:right w:val="single" w:sz="8" w:space="0" w:color="auto"/>
            </w:tcBorders>
            <w:vAlign w:val="center"/>
          </w:tcPr>
          <w:p w14:paraId="32C3B23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899D8B5" w14:textId="753122D7"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C00E81">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611B459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Sprejet, načrtovan</w:t>
            </w:r>
          </w:p>
        </w:tc>
        <w:tc>
          <w:tcPr>
            <w:tcW w:w="958" w:type="dxa"/>
            <w:tcBorders>
              <w:top w:val="single" w:sz="8" w:space="0" w:color="auto"/>
              <w:left w:val="single" w:sz="8" w:space="0" w:color="auto"/>
              <w:bottom w:val="single" w:sz="8" w:space="0" w:color="auto"/>
              <w:right w:val="single" w:sz="8" w:space="0" w:color="auto"/>
            </w:tcBorders>
            <w:vAlign w:val="center"/>
          </w:tcPr>
          <w:p w14:paraId="6E4A51C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3431276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5CC14CB2"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 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EA81DEE"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1291286D"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65C8A5E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M-30</w:t>
            </w:r>
          </w:p>
        </w:tc>
      </w:tr>
      <w:tr w:rsidR="00AF3FEE" w:rsidRPr="00CE5F74" w14:paraId="68604C06"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00D7966" w14:textId="367B94FB"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0</w:t>
            </w:r>
          </w:p>
        </w:tc>
        <w:tc>
          <w:tcPr>
            <w:tcW w:w="1702" w:type="dxa"/>
            <w:tcBorders>
              <w:top w:val="single" w:sz="8" w:space="0" w:color="auto"/>
              <w:left w:val="single" w:sz="8" w:space="0" w:color="auto"/>
              <w:bottom w:val="single" w:sz="8" w:space="0" w:color="auto"/>
              <w:right w:val="single" w:sz="8" w:space="0" w:color="auto"/>
            </w:tcBorders>
            <w:vAlign w:val="center"/>
          </w:tcPr>
          <w:p w14:paraId="0FF70158"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color w:val="000000"/>
                <w:sz w:val="18"/>
                <w:szCs w:val="18"/>
              </w:rPr>
              <w:t>Dodatni ukrepi za spodbujanje trajnostnega tovornega prometa</w:t>
            </w:r>
          </w:p>
        </w:tc>
        <w:tc>
          <w:tcPr>
            <w:tcW w:w="2048" w:type="dxa"/>
            <w:tcBorders>
              <w:top w:val="single" w:sz="8" w:space="0" w:color="auto"/>
              <w:left w:val="single" w:sz="8" w:space="0" w:color="auto"/>
              <w:bottom w:val="single" w:sz="8" w:space="0" w:color="auto"/>
              <w:right w:val="single" w:sz="8" w:space="0" w:color="auto"/>
            </w:tcBorders>
            <w:vAlign w:val="center"/>
          </w:tcPr>
          <w:p w14:paraId="11FB44CB" w14:textId="16364FB1" w:rsidR="00AF3FEE" w:rsidRPr="00654A0B" w:rsidRDefault="00AF3FEE" w:rsidP="00891DDA">
            <w:pPr>
              <w:spacing w:line="245" w:lineRule="auto"/>
              <w:jc w:val="both"/>
              <w:rPr>
                <w:rFonts w:ascii="Arial" w:hAnsi="Arial" w:cs="Arial"/>
                <w:sz w:val="18"/>
                <w:szCs w:val="18"/>
              </w:rPr>
            </w:pPr>
            <w:r w:rsidRPr="00654A0B">
              <w:rPr>
                <w:rFonts w:ascii="Arial" w:hAnsi="Arial" w:cs="Arial"/>
                <w:color w:val="000000"/>
                <w:sz w:val="18"/>
                <w:szCs w:val="18"/>
              </w:rPr>
              <w:t>Namen dodatnih ukrepov je spodbujanj</w:t>
            </w:r>
            <w:r w:rsidR="00891DDA">
              <w:rPr>
                <w:rFonts w:ascii="Arial" w:hAnsi="Arial" w:cs="Arial"/>
                <w:color w:val="000000"/>
                <w:sz w:val="18"/>
                <w:szCs w:val="18"/>
              </w:rPr>
              <w:t>e</w:t>
            </w:r>
            <w:r w:rsidRPr="00654A0B">
              <w:rPr>
                <w:rFonts w:ascii="Arial" w:hAnsi="Arial" w:cs="Arial"/>
                <w:color w:val="000000"/>
                <w:sz w:val="18"/>
                <w:szCs w:val="18"/>
              </w:rPr>
              <w:t xml:space="preserve"> trajnostnega tovornega prometa ter </w:t>
            </w:r>
            <w:r w:rsidR="00891DDA" w:rsidRPr="00654A0B">
              <w:rPr>
                <w:rFonts w:ascii="Arial" w:hAnsi="Arial" w:cs="Arial"/>
                <w:color w:val="000000"/>
                <w:sz w:val="18"/>
                <w:szCs w:val="18"/>
              </w:rPr>
              <w:t>izvaja</w:t>
            </w:r>
            <w:r w:rsidR="00891DDA">
              <w:rPr>
                <w:rFonts w:ascii="Arial" w:hAnsi="Arial" w:cs="Arial"/>
                <w:color w:val="000000"/>
                <w:sz w:val="18"/>
                <w:szCs w:val="18"/>
              </w:rPr>
              <w:t>nje</w:t>
            </w:r>
            <w:r w:rsidR="00C00E81">
              <w:rPr>
                <w:rFonts w:ascii="Arial" w:hAnsi="Arial" w:cs="Arial"/>
                <w:color w:val="000000"/>
                <w:sz w:val="18"/>
                <w:szCs w:val="18"/>
              </w:rPr>
              <w:t xml:space="preserve"> </w:t>
            </w:r>
            <w:r w:rsidRPr="00654A0B">
              <w:rPr>
                <w:rFonts w:ascii="Arial" w:hAnsi="Arial" w:cs="Arial"/>
                <w:color w:val="000000"/>
                <w:sz w:val="18"/>
                <w:szCs w:val="18"/>
              </w:rPr>
              <w:t xml:space="preserve">dodatne infrastrukturne in </w:t>
            </w:r>
            <w:r w:rsidRPr="00654A0B">
              <w:rPr>
                <w:rFonts w:ascii="Arial" w:hAnsi="Arial" w:cs="Arial"/>
                <w:color w:val="000000"/>
                <w:sz w:val="18"/>
                <w:szCs w:val="18"/>
              </w:rPr>
              <w:lastRenderedPageBreak/>
              <w:t>fiskaln</w:t>
            </w:r>
            <w:r w:rsidR="00C00E81">
              <w:rPr>
                <w:rFonts w:ascii="Arial" w:hAnsi="Arial" w:cs="Arial"/>
                <w:color w:val="000000"/>
                <w:sz w:val="18"/>
                <w:szCs w:val="18"/>
              </w:rPr>
              <w:t>ih</w:t>
            </w:r>
            <w:r w:rsidRPr="00654A0B">
              <w:rPr>
                <w:rFonts w:ascii="Arial" w:hAnsi="Arial" w:cs="Arial"/>
                <w:color w:val="000000"/>
                <w:sz w:val="18"/>
                <w:szCs w:val="18"/>
              </w:rPr>
              <w:t xml:space="preserve"> ukrep</w:t>
            </w:r>
            <w:r w:rsidR="00C00E81">
              <w:rPr>
                <w:rFonts w:ascii="Arial" w:hAnsi="Arial" w:cs="Arial"/>
                <w:color w:val="000000"/>
                <w:sz w:val="18"/>
                <w:szCs w:val="18"/>
              </w:rPr>
              <w:t>ov</w:t>
            </w:r>
            <w:r w:rsidRPr="00654A0B">
              <w:rPr>
                <w:rFonts w:ascii="Arial" w:hAnsi="Arial" w:cs="Arial"/>
                <w:color w:val="000000"/>
                <w:sz w:val="18"/>
                <w:szCs w:val="18"/>
              </w:rPr>
              <w:t xml:space="preserve"> za razvoj železniškega tovornega prometa.</w:t>
            </w:r>
          </w:p>
        </w:tc>
        <w:tc>
          <w:tcPr>
            <w:tcW w:w="1873" w:type="dxa"/>
            <w:tcBorders>
              <w:top w:val="single" w:sz="8" w:space="0" w:color="auto"/>
              <w:left w:val="single" w:sz="8" w:space="0" w:color="auto"/>
              <w:bottom w:val="single" w:sz="8" w:space="0" w:color="auto"/>
              <w:right w:val="single" w:sz="8" w:space="0" w:color="auto"/>
            </w:tcBorders>
            <w:vAlign w:val="center"/>
          </w:tcPr>
          <w:p w14:paraId="6F8ADF95" w14:textId="3C9BF971" w:rsidR="00AF3FEE" w:rsidRPr="00654A0B" w:rsidRDefault="00AF3FEE" w:rsidP="00065628">
            <w:pPr>
              <w:spacing w:line="245" w:lineRule="auto"/>
              <w:jc w:val="both"/>
              <w:rPr>
                <w:rFonts w:ascii="Arial" w:hAnsi="Arial" w:cs="Arial"/>
                <w:sz w:val="18"/>
                <w:szCs w:val="18"/>
              </w:rPr>
            </w:pPr>
            <w:r w:rsidRPr="00654A0B">
              <w:rPr>
                <w:rFonts w:ascii="Arial" w:hAnsi="Arial" w:cs="Arial"/>
                <w:color w:val="000000"/>
                <w:sz w:val="18"/>
                <w:szCs w:val="18"/>
              </w:rPr>
              <w:lastRenderedPageBreak/>
              <w:t xml:space="preserve">Bistveno izboljšanje infrastrukture za tovorni promet </w:t>
            </w:r>
            <w:r w:rsidR="00065628">
              <w:rPr>
                <w:rFonts w:ascii="Arial" w:hAnsi="Arial" w:cs="Arial"/>
                <w:color w:val="000000"/>
                <w:sz w:val="18"/>
                <w:szCs w:val="18"/>
              </w:rPr>
              <w:t xml:space="preserve">z namenom </w:t>
            </w:r>
            <w:r w:rsidRPr="00654A0B">
              <w:rPr>
                <w:rFonts w:ascii="Arial" w:hAnsi="Arial" w:cs="Arial"/>
                <w:color w:val="000000"/>
                <w:sz w:val="18"/>
                <w:szCs w:val="18"/>
              </w:rPr>
              <w:t xml:space="preserve">povečanja prevozov po tirih </w:t>
            </w:r>
          </w:p>
        </w:tc>
        <w:tc>
          <w:tcPr>
            <w:tcW w:w="928" w:type="dxa"/>
            <w:tcBorders>
              <w:top w:val="single" w:sz="8" w:space="0" w:color="auto"/>
              <w:left w:val="single" w:sz="8" w:space="0" w:color="auto"/>
              <w:bottom w:val="single" w:sz="8" w:space="0" w:color="auto"/>
              <w:right w:val="single" w:sz="8" w:space="0" w:color="auto"/>
            </w:tcBorders>
            <w:vAlign w:val="center"/>
          </w:tcPr>
          <w:p w14:paraId="3DB04E0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2FAEB9AA" w14:textId="46BD2A1C"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C00E81">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5D15750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1B37E90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4AF2CC8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5F9DA9AA"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 MOPE, SŽ, občine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E82CF4D"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3B579012"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98</w:t>
            </w:r>
          </w:p>
        </w:tc>
        <w:tc>
          <w:tcPr>
            <w:tcW w:w="775" w:type="dxa"/>
            <w:tcBorders>
              <w:top w:val="single" w:sz="8" w:space="0" w:color="auto"/>
              <w:left w:val="single" w:sz="8" w:space="0" w:color="auto"/>
              <w:bottom w:val="single" w:sz="8" w:space="0" w:color="auto"/>
              <w:right w:val="single" w:sz="8" w:space="0" w:color="auto"/>
            </w:tcBorders>
            <w:vAlign w:val="center"/>
          </w:tcPr>
          <w:p w14:paraId="293EC6E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M-30</w:t>
            </w:r>
          </w:p>
        </w:tc>
      </w:tr>
      <w:tr w:rsidR="00AF3FEE" w:rsidRPr="00CE5F74" w14:paraId="72539B32"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1517B6A" w14:textId="3E0F27C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1</w:t>
            </w:r>
          </w:p>
        </w:tc>
        <w:tc>
          <w:tcPr>
            <w:tcW w:w="1702" w:type="dxa"/>
            <w:tcBorders>
              <w:top w:val="single" w:sz="8" w:space="0" w:color="auto"/>
              <w:left w:val="single" w:sz="8" w:space="0" w:color="auto"/>
              <w:bottom w:val="single" w:sz="8" w:space="0" w:color="auto"/>
              <w:right w:val="single" w:sz="8" w:space="0" w:color="auto"/>
            </w:tcBorders>
            <w:vAlign w:val="center"/>
          </w:tcPr>
          <w:p w14:paraId="3DF8674D" w14:textId="620547A4" w:rsidR="00AF3FEE" w:rsidRPr="00654A0B" w:rsidRDefault="00AF3FEE" w:rsidP="00891DDA">
            <w:pPr>
              <w:spacing w:line="245" w:lineRule="auto"/>
              <w:jc w:val="both"/>
              <w:rPr>
                <w:rFonts w:ascii="Arial" w:hAnsi="Arial" w:cs="Arial"/>
                <w:caps/>
                <w:sz w:val="18"/>
                <w:szCs w:val="18"/>
              </w:rPr>
            </w:pPr>
            <w:r w:rsidRPr="00654A0B">
              <w:rPr>
                <w:rFonts w:ascii="Arial" w:hAnsi="Arial" w:cs="Arial"/>
                <w:caps/>
                <w:color w:val="000000"/>
                <w:sz w:val="18"/>
                <w:szCs w:val="18"/>
              </w:rPr>
              <w:t xml:space="preserve">Povečanje učinkovitosti vozil </w:t>
            </w:r>
            <w:r w:rsidR="00891DDA">
              <w:rPr>
                <w:rFonts w:ascii="Arial" w:hAnsi="Arial" w:cs="Arial"/>
                <w:caps/>
                <w:color w:val="000000"/>
                <w:sz w:val="18"/>
                <w:szCs w:val="18"/>
              </w:rPr>
              <w:t>IN</w:t>
            </w:r>
            <w:r w:rsidR="00891DDA" w:rsidRPr="00654A0B">
              <w:rPr>
                <w:rFonts w:ascii="Arial" w:hAnsi="Arial" w:cs="Arial"/>
                <w:caps/>
                <w:color w:val="000000"/>
                <w:sz w:val="18"/>
                <w:szCs w:val="18"/>
              </w:rPr>
              <w:t xml:space="preserve"> </w:t>
            </w:r>
            <w:r w:rsidRPr="00654A0B">
              <w:rPr>
                <w:rFonts w:ascii="Arial" w:hAnsi="Arial" w:cs="Arial"/>
                <w:caps/>
                <w:color w:val="000000"/>
                <w:sz w:val="18"/>
                <w:szCs w:val="18"/>
              </w:rPr>
              <w:t>spodbujanje uporabe goriv z nizkimi emisijami CO</w:t>
            </w:r>
            <w:r w:rsidRPr="00654A0B">
              <w:rPr>
                <w:rFonts w:ascii="Arial" w:hAnsi="Arial" w:cs="Arial"/>
                <w:caps/>
                <w:color w:val="000000"/>
                <w:sz w:val="18"/>
                <w:szCs w:val="18"/>
                <w:vertAlign w:val="subscript"/>
              </w:rPr>
              <w:t>2</w:t>
            </w:r>
          </w:p>
        </w:tc>
        <w:tc>
          <w:tcPr>
            <w:tcW w:w="2048" w:type="dxa"/>
            <w:tcBorders>
              <w:top w:val="single" w:sz="8" w:space="0" w:color="auto"/>
              <w:left w:val="single" w:sz="8" w:space="0" w:color="auto"/>
              <w:bottom w:val="single" w:sz="8" w:space="0" w:color="auto"/>
              <w:right w:val="single" w:sz="8" w:space="0" w:color="auto"/>
            </w:tcBorders>
            <w:vAlign w:val="center"/>
          </w:tcPr>
          <w:p w14:paraId="7D9FCDFC"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Zahteve glede emisij CO</w:t>
            </w:r>
            <w:r w:rsidRPr="00A57F7D">
              <w:rPr>
                <w:rFonts w:ascii="Arial" w:hAnsi="Arial" w:cs="Arial"/>
                <w:color w:val="000000"/>
                <w:sz w:val="18"/>
                <w:szCs w:val="18"/>
                <w:vertAlign w:val="subscript"/>
              </w:rPr>
              <w:t>2</w:t>
            </w:r>
            <w:r w:rsidRPr="00654A0B">
              <w:rPr>
                <w:rFonts w:ascii="Arial" w:hAnsi="Arial" w:cs="Arial"/>
                <w:color w:val="000000"/>
                <w:sz w:val="18"/>
                <w:szCs w:val="18"/>
              </w:rPr>
              <w:t xml:space="preserve"> novih vozil, spodbude za električna vozila, šolanje za varčnejšo vožnjo ter podpora biogorivom in postavitvi polnilne infrastrukture.</w:t>
            </w:r>
          </w:p>
        </w:tc>
        <w:tc>
          <w:tcPr>
            <w:tcW w:w="1873" w:type="dxa"/>
            <w:tcBorders>
              <w:top w:val="single" w:sz="8" w:space="0" w:color="auto"/>
              <w:left w:val="single" w:sz="8" w:space="0" w:color="auto"/>
              <w:bottom w:val="single" w:sz="8" w:space="0" w:color="auto"/>
              <w:right w:val="single" w:sz="8" w:space="0" w:color="auto"/>
            </w:tcBorders>
            <w:vAlign w:val="center"/>
          </w:tcPr>
          <w:p w14:paraId="76AE34A7" w14:textId="7F9A45C0" w:rsidR="00AF3FEE" w:rsidRPr="00654A0B" w:rsidRDefault="00C00E81" w:rsidP="00C00E81">
            <w:pPr>
              <w:spacing w:line="245" w:lineRule="auto"/>
              <w:jc w:val="both"/>
              <w:rPr>
                <w:rFonts w:ascii="Arial" w:hAnsi="Arial" w:cs="Arial"/>
                <w:sz w:val="18"/>
                <w:szCs w:val="18"/>
              </w:rPr>
            </w:pPr>
            <w:r>
              <w:rPr>
                <w:rFonts w:ascii="Arial" w:hAnsi="Arial" w:cs="Arial"/>
                <w:color w:val="000000"/>
                <w:sz w:val="18"/>
                <w:szCs w:val="18"/>
              </w:rPr>
              <w:t xml:space="preserve">Učinkovitejša </w:t>
            </w:r>
            <w:r w:rsidR="00AF3FEE" w:rsidRPr="00654A0B">
              <w:rPr>
                <w:rFonts w:ascii="Arial" w:hAnsi="Arial" w:cs="Arial"/>
                <w:color w:val="000000"/>
                <w:sz w:val="18"/>
                <w:szCs w:val="18"/>
              </w:rPr>
              <w:t>raba obstoječih vozil ter nakup učinkovitejših vozil in vozil, ki uporabljajo goriva z nižjimi emisijami</w:t>
            </w:r>
          </w:p>
        </w:tc>
        <w:tc>
          <w:tcPr>
            <w:tcW w:w="928" w:type="dxa"/>
            <w:tcBorders>
              <w:top w:val="single" w:sz="8" w:space="0" w:color="auto"/>
              <w:left w:val="single" w:sz="8" w:space="0" w:color="auto"/>
              <w:bottom w:val="single" w:sz="8" w:space="0" w:color="auto"/>
              <w:right w:val="single" w:sz="8" w:space="0" w:color="auto"/>
            </w:tcBorders>
            <w:vAlign w:val="center"/>
          </w:tcPr>
          <w:p w14:paraId="1426F178"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350A3361" w14:textId="5C72DB86" w:rsidR="00AF3FEE" w:rsidRPr="00654A0B" w:rsidRDefault="00AF3FEE" w:rsidP="00C00E81">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C00E81">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6361DF3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3CBD05B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2004</w:t>
            </w:r>
          </w:p>
        </w:tc>
        <w:tc>
          <w:tcPr>
            <w:tcW w:w="813" w:type="dxa"/>
            <w:tcBorders>
              <w:top w:val="single" w:sz="8" w:space="0" w:color="auto"/>
              <w:left w:val="single" w:sz="8" w:space="0" w:color="auto"/>
              <w:bottom w:val="single" w:sz="8" w:space="0" w:color="auto"/>
              <w:right w:val="single" w:sz="8" w:space="0" w:color="auto"/>
            </w:tcBorders>
            <w:vAlign w:val="center"/>
          </w:tcPr>
          <w:p w14:paraId="3A90206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46390097"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MF</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3D87886"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2947415"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44364DC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M-31</w:t>
            </w:r>
          </w:p>
        </w:tc>
      </w:tr>
      <w:tr w:rsidR="00AF3FEE" w:rsidRPr="00CE5F74" w14:paraId="5F0D95B5"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C75B252" w14:textId="66756816"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2</w:t>
            </w:r>
          </w:p>
        </w:tc>
        <w:tc>
          <w:tcPr>
            <w:tcW w:w="1702" w:type="dxa"/>
            <w:tcBorders>
              <w:top w:val="single" w:sz="8" w:space="0" w:color="auto"/>
              <w:left w:val="single" w:sz="8" w:space="0" w:color="auto"/>
              <w:bottom w:val="single" w:sz="8" w:space="0" w:color="auto"/>
              <w:right w:val="single" w:sz="8" w:space="0" w:color="auto"/>
            </w:tcBorders>
            <w:vAlign w:val="center"/>
          </w:tcPr>
          <w:p w14:paraId="1A46AFA9" w14:textId="3D5C786D" w:rsidR="00AF3FEE" w:rsidRPr="00654A0B" w:rsidRDefault="00AF3FEE" w:rsidP="001F48BE">
            <w:pPr>
              <w:spacing w:line="245" w:lineRule="auto"/>
              <w:jc w:val="both"/>
              <w:rPr>
                <w:rFonts w:ascii="Arial" w:hAnsi="Arial" w:cs="Arial"/>
                <w:caps/>
                <w:sz w:val="18"/>
                <w:szCs w:val="18"/>
              </w:rPr>
            </w:pPr>
            <w:r w:rsidRPr="00654A0B">
              <w:rPr>
                <w:rFonts w:ascii="Arial" w:hAnsi="Arial" w:cs="Arial"/>
                <w:caps/>
                <w:color w:val="000000"/>
                <w:sz w:val="18"/>
                <w:szCs w:val="18"/>
              </w:rPr>
              <w:t xml:space="preserve">Dodatne aktivnosti za povečanje učinkovitosti vozil </w:t>
            </w:r>
            <w:r w:rsidR="001F48BE">
              <w:rPr>
                <w:rFonts w:ascii="Arial" w:hAnsi="Arial" w:cs="Arial"/>
                <w:caps/>
                <w:color w:val="000000"/>
                <w:sz w:val="18"/>
                <w:szCs w:val="18"/>
              </w:rPr>
              <w:t>IN</w:t>
            </w:r>
            <w:r w:rsidR="001F48BE" w:rsidRPr="00654A0B">
              <w:rPr>
                <w:rFonts w:ascii="Arial" w:hAnsi="Arial" w:cs="Arial"/>
                <w:caps/>
                <w:color w:val="000000"/>
                <w:sz w:val="18"/>
                <w:szCs w:val="18"/>
              </w:rPr>
              <w:t xml:space="preserve"> </w:t>
            </w:r>
            <w:r w:rsidRPr="00654A0B">
              <w:rPr>
                <w:rFonts w:ascii="Arial" w:hAnsi="Arial" w:cs="Arial"/>
                <w:caps/>
                <w:color w:val="000000"/>
                <w:sz w:val="18"/>
                <w:szCs w:val="18"/>
              </w:rPr>
              <w:t>spodbujanje uporabe goriv z nizkimi emisijami CO</w:t>
            </w:r>
            <w:r w:rsidRPr="00654A0B">
              <w:rPr>
                <w:rFonts w:ascii="Arial" w:hAnsi="Arial" w:cs="Arial"/>
                <w:caps/>
                <w:color w:val="000000"/>
                <w:sz w:val="18"/>
                <w:szCs w:val="18"/>
                <w:vertAlign w:val="subscript"/>
              </w:rPr>
              <w:t>2</w:t>
            </w:r>
          </w:p>
        </w:tc>
        <w:tc>
          <w:tcPr>
            <w:tcW w:w="2048" w:type="dxa"/>
            <w:tcBorders>
              <w:top w:val="single" w:sz="8" w:space="0" w:color="auto"/>
              <w:left w:val="single" w:sz="8" w:space="0" w:color="auto"/>
              <w:bottom w:val="single" w:sz="8" w:space="0" w:color="auto"/>
              <w:right w:val="single" w:sz="8" w:space="0" w:color="auto"/>
            </w:tcBorders>
            <w:vAlign w:val="center"/>
          </w:tcPr>
          <w:p w14:paraId="24CD9EE4" w14:textId="7320D269"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 xml:space="preserve">NEPN 2024 vključuje dodatne ukrepe za spodbude za prehod na vozila z nizkimi </w:t>
            </w:r>
            <w:r w:rsidR="001F48BE">
              <w:rPr>
                <w:rFonts w:ascii="Arial" w:hAnsi="Arial" w:cs="Arial"/>
                <w:color w:val="000000"/>
                <w:sz w:val="18"/>
                <w:szCs w:val="18"/>
              </w:rPr>
              <w:t xml:space="preserve">emisijami </w:t>
            </w:r>
            <w:r w:rsidRPr="00654A0B">
              <w:rPr>
                <w:rFonts w:ascii="Arial" w:hAnsi="Arial" w:cs="Arial"/>
                <w:color w:val="000000"/>
                <w:sz w:val="18"/>
                <w:szCs w:val="18"/>
              </w:rPr>
              <w:t>ali brez emisij, razvoj polnilne infrastrukture za alternativna goriva, povečanje deleža obnovljivih virov energije v prometu ter ukrepe za zmanjšanje emisij, kot so območja z nizkimi emisijami in meritve delcev pri tehničnih pregledih.</w:t>
            </w:r>
          </w:p>
        </w:tc>
        <w:tc>
          <w:tcPr>
            <w:tcW w:w="1873" w:type="dxa"/>
            <w:tcBorders>
              <w:top w:val="single" w:sz="8" w:space="0" w:color="auto"/>
              <w:left w:val="single" w:sz="8" w:space="0" w:color="auto"/>
              <w:bottom w:val="single" w:sz="8" w:space="0" w:color="auto"/>
              <w:right w:val="single" w:sz="8" w:space="0" w:color="auto"/>
            </w:tcBorders>
            <w:vAlign w:val="center"/>
          </w:tcPr>
          <w:p w14:paraId="7F556904" w14:textId="40A52ABC"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 xml:space="preserve">Dodatne aktivnosti za </w:t>
            </w:r>
            <w:r w:rsidR="00AA647A">
              <w:rPr>
                <w:rFonts w:ascii="Arial" w:hAnsi="Arial" w:cs="Arial"/>
                <w:color w:val="000000"/>
                <w:sz w:val="18"/>
                <w:szCs w:val="18"/>
              </w:rPr>
              <w:t xml:space="preserve">učinkovitejšo </w:t>
            </w:r>
            <w:r w:rsidRPr="00654A0B">
              <w:rPr>
                <w:rFonts w:ascii="Arial" w:hAnsi="Arial" w:cs="Arial"/>
                <w:color w:val="000000"/>
                <w:sz w:val="18"/>
                <w:szCs w:val="18"/>
              </w:rPr>
              <w:t>rabo obstoječih vozil ter nakup učinkovitejših vozil in vozil, ki uporabljajo goriva z nižjimi emisijami</w:t>
            </w:r>
          </w:p>
        </w:tc>
        <w:tc>
          <w:tcPr>
            <w:tcW w:w="928" w:type="dxa"/>
            <w:tcBorders>
              <w:top w:val="single" w:sz="8" w:space="0" w:color="auto"/>
              <w:left w:val="single" w:sz="8" w:space="0" w:color="auto"/>
              <w:bottom w:val="single" w:sz="8" w:space="0" w:color="auto"/>
              <w:right w:val="single" w:sz="8" w:space="0" w:color="auto"/>
            </w:tcBorders>
            <w:vAlign w:val="center"/>
          </w:tcPr>
          <w:p w14:paraId="0AAAB6A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CO</w:t>
            </w:r>
            <w:r w:rsidRPr="00654A0B">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522D728A" w14:textId="17BE1631"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 xml:space="preserve">Ekonomski, zakonodajni, </w:t>
            </w:r>
            <w:r w:rsidR="001F48BE">
              <w:rPr>
                <w:rFonts w:ascii="Arial" w:hAnsi="Arial" w:cs="Arial"/>
                <w:color w:val="000000"/>
                <w:sz w:val="18"/>
                <w:szCs w:val="18"/>
              </w:rPr>
              <w:t>n</w:t>
            </w:r>
            <w:r w:rsidRPr="00654A0B">
              <w:rPr>
                <w:rFonts w:ascii="Arial" w:hAnsi="Arial" w:cs="Arial"/>
                <w:color w:val="000000"/>
                <w:sz w:val="18"/>
                <w:szCs w:val="18"/>
              </w:rPr>
              <w:t xml:space="preserve">ačrtovanje, </w:t>
            </w:r>
            <w:r w:rsidR="00AA647A">
              <w:rPr>
                <w:rFonts w:ascii="Arial" w:hAnsi="Arial" w:cs="Arial"/>
                <w:color w:val="000000"/>
                <w:sz w:val="18"/>
                <w:szCs w:val="18"/>
              </w:rPr>
              <w:t>drugo</w:t>
            </w:r>
          </w:p>
        </w:tc>
        <w:tc>
          <w:tcPr>
            <w:tcW w:w="1008" w:type="dxa"/>
            <w:tcBorders>
              <w:top w:val="single" w:sz="8" w:space="0" w:color="auto"/>
              <w:left w:val="single" w:sz="8" w:space="0" w:color="auto"/>
              <w:bottom w:val="single" w:sz="8" w:space="0" w:color="auto"/>
              <w:right w:val="single" w:sz="8" w:space="0" w:color="auto"/>
            </w:tcBorders>
            <w:vAlign w:val="center"/>
          </w:tcPr>
          <w:p w14:paraId="3490047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1408AF3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2C35896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1.A.3</w:t>
            </w:r>
          </w:p>
        </w:tc>
        <w:tc>
          <w:tcPr>
            <w:tcW w:w="919" w:type="dxa"/>
            <w:tcBorders>
              <w:top w:val="single" w:sz="8" w:space="0" w:color="auto"/>
              <w:left w:val="single" w:sz="8" w:space="0" w:color="auto"/>
              <w:bottom w:val="single" w:sz="8" w:space="0" w:color="auto"/>
              <w:right w:val="single" w:sz="8" w:space="0" w:color="auto"/>
            </w:tcBorders>
            <w:vAlign w:val="center"/>
          </w:tcPr>
          <w:p w14:paraId="1CE3DF8D"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 MZI, MF</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D03D61F"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73A626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653</w:t>
            </w:r>
          </w:p>
        </w:tc>
        <w:tc>
          <w:tcPr>
            <w:tcW w:w="775" w:type="dxa"/>
            <w:tcBorders>
              <w:top w:val="single" w:sz="8" w:space="0" w:color="auto"/>
              <w:left w:val="single" w:sz="8" w:space="0" w:color="auto"/>
              <w:bottom w:val="single" w:sz="8" w:space="0" w:color="auto"/>
              <w:right w:val="single" w:sz="8" w:space="0" w:color="auto"/>
            </w:tcBorders>
            <w:vAlign w:val="center"/>
          </w:tcPr>
          <w:p w14:paraId="25DE5FC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M-32</w:t>
            </w:r>
          </w:p>
        </w:tc>
      </w:tr>
      <w:tr w:rsidR="00AF3FEE" w:rsidRPr="00CE5F74" w14:paraId="3DE4ECE3"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tcPr>
          <w:p w14:paraId="27352BFA" w14:textId="77777777" w:rsidR="00AF3FEE" w:rsidRPr="00654A0B" w:rsidRDefault="00AF3FEE" w:rsidP="00AF3FEE">
            <w:pPr>
              <w:spacing w:line="245" w:lineRule="auto"/>
              <w:jc w:val="both"/>
              <w:rPr>
                <w:rFonts w:ascii="Arial" w:hAnsi="Arial" w:cs="Arial"/>
                <w:b/>
                <w:bCs/>
                <w:sz w:val="18"/>
                <w:szCs w:val="18"/>
              </w:rPr>
            </w:pPr>
            <w:r w:rsidRPr="00654A0B">
              <w:rPr>
                <w:rFonts w:ascii="Arial" w:hAnsi="Arial" w:cs="Arial"/>
                <w:b/>
                <w:bCs/>
                <w:sz w:val="18"/>
                <w:szCs w:val="18"/>
              </w:rPr>
              <w:t>INDUSTRIJSKI PROCESI</w:t>
            </w:r>
          </w:p>
        </w:tc>
      </w:tr>
      <w:tr w:rsidR="00AF3FEE" w:rsidRPr="00CE5F74" w14:paraId="0E1AF89A" w14:textId="77777777" w:rsidTr="009B3FC7">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2609CDB" w14:textId="412704AF"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3</w:t>
            </w:r>
          </w:p>
        </w:tc>
        <w:tc>
          <w:tcPr>
            <w:tcW w:w="1702" w:type="dxa"/>
            <w:tcBorders>
              <w:top w:val="single" w:sz="8" w:space="0" w:color="auto"/>
              <w:left w:val="single" w:sz="8" w:space="0" w:color="auto"/>
              <w:bottom w:val="single" w:sz="8" w:space="0" w:color="auto"/>
              <w:right w:val="single" w:sz="8" w:space="0" w:color="auto"/>
            </w:tcBorders>
            <w:vAlign w:val="center"/>
          </w:tcPr>
          <w:p w14:paraId="1F6E2F9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ZMANJŠANJE EMISIJ F-PLINOV IZ </w:t>
            </w:r>
            <w:r w:rsidRPr="00654A0B">
              <w:rPr>
                <w:rFonts w:ascii="Arial" w:hAnsi="Arial" w:cs="Arial"/>
                <w:color w:val="000000"/>
                <w:sz w:val="18"/>
                <w:szCs w:val="18"/>
              </w:rPr>
              <w:lastRenderedPageBreak/>
              <w:t>STACIONARNIH NAPRAV</w:t>
            </w:r>
          </w:p>
        </w:tc>
        <w:tc>
          <w:tcPr>
            <w:tcW w:w="2048" w:type="dxa"/>
            <w:tcBorders>
              <w:top w:val="single" w:sz="8" w:space="0" w:color="auto"/>
              <w:left w:val="single" w:sz="8" w:space="0" w:color="auto"/>
              <w:bottom w:val="single" w:sz="8" w:space="0" w:color="auto"/>
              <w:right w:val="single" w:sz="8" w:space="0" w:color="auto"/>
            </w:tcBorders>
            <w:vAlign w:val="center"/>
          </w:tcPr>
          <w:p w14:paraId="61255A66" w14:textId="54B0C2B0"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lastRenderedPageBreak/>
              <w:t xml:space="preserve">Izvajanje evropske zakonodaje na področju F-plinov v </w:t>
            </w:r>
            <w:r w:rsidR="00AA647A" w:rsidRPr="00654A0B">
              <w:rPr>
                <w:rFonts w:ascii="Arial" w:hAnsi="Arial" w:cs="Arial"/>
                <w:color w:val="000000"/>
                <w:sz w:val="18"/>
                <w:szCs w:val="18"/>
              </w:rPr>
              <w:t>stacion</w:t>
            </w:r>
            <w:r w:rsidR="00AA647A">
              <w:rPr>
                <w:rFonts w:ascii="Arial" w:hAnsi="Arial" w:cs="Arial"/>
                <w:color w:val="000000"/>
                <w:sz w:val="18"/>
                <w:szCs w:val="18"/>
              </w:rPr>
              <w:t>ar</w:t>
            </w:r>
            <w:r w:rsidR="00AA647A" w:rsidRPr="00654A0B">
              <w:rPr>
                <w:rFonts w:ascii="Arial" w:hAnsi="Arial" w:cs="Arial"/>
                <w:color w:val="000000"/>
                <w:sz w:val="18"/>
                <w:szCs w:val="18"/>
              </w:rPr>
              <w:t xml:space="preserve">nih </w:t>
            </w:r>
            <w:r w:rsidRPr="00654A0B">
              <w:rPr>
                <w:rFonts w:ascii="Arial" w:hAnsi="Arial" w:cs="Arial"/>
                <w:color w:val="000000"/>
                <w:sz w:val="18"/>
                <w:szCs w:val="18"/>
              </w:rPr>
              <w:t xml:space="preserve">napravah bo </w:t>
            </w:r>
            <w:r w:rsidR="001F48BE">
              <w:rPr>
                <w:rFonts w:ascii="Arial" w:hAnsi="Arial" w:cs="Arial"/>
                <w:color w:val="000000"/>
                <w:sz w:val="18"/>
                <w:szCs w:val="18"/>
              </w:rPr>
              <w:t>s</w:t>
            </w:r>
            <w:r w:rsidR="001F48BE" w:rsidRPr="00654A0B">
              <w:rPr>
                <w:rFonts w:ascii="Arial" w:hAnsi="Arial" w:cs="Arial"/>
                <w:color w:val="000000"/>
                <w:sz w:val="18"/>
                <w:szCs w:val="18"/>
              </w:rPr>
              <w:t xml:space="preserve"> sistem</w:t>
            </w:r>
            <w:r w:rsidR="001F48BE">
              <w:rPr>
                <w:rFonts w:ascii="Arial" w:hAnsi="Arial" w:cs="Arial"/>
                <w:color w:val="000000"/>
                <w:sz w:val="18"/>
                <w:szCs w:val="18"/>
              </w:rPr>
              <w:t>om</w:t>
            </w:r>
            <w:r w:rsidR="001F48BE" w:rsidRPr="00654A0B">
              <w:rPr>
                <w:rFonts w:ascii="Arial" w:hAnsi="Arial" w:cs="Arial"/>
                <w:color w:val="000000"/>
                <w:sz w:val="18"/>
                <w:szCs w:val="18"/>
              </w:rPr>
              <w:t xml:space="preserve"> </w:t>
            </w:r>
            <w:r w:rsidRPr="00654A0B">
              <w:rPr>
                <w:rFonts w:ascii="Arial" w:hAnsi="Arial" w:cs="Arial"/>
                <w:color w:val="000000"/>
                <w:sz w:val="18"/>
                <w:szCs w:val="18"/>
              </w:rPr>
              <w:t xml:space="preserve">kvot </w:t>
            </w:r>
            <w:r w:rsidRPr="00654A0B">
              <w:rPr>
                <w:rFonts w:ascii="Arial" w:hAnsi="Arial" w:cs="Arial"/>
                <w:color w:val="000000"/>
                <w:sz w:val="18"/>
                <w:szCs w:val="18"/>
              </w:rPr>
              <w:lastRenderedPageBreak/>
              <w:t>vplivalo na zamenjavo F-plinov s plini z nižjim GWP</w:t>
            </w:r>
            <w:r w:rsidR="00AA647A">
              <w:rPr>
                <w:rFonts w:ascii="Arial" w:hAnsi="Arial" w:cs="Arial"/>
                <w:color w:val="000000"/>
                <w:sz w:val="18"/>
                <w:szCs w:val="18"/>
              </w:rPr>
              <w:t>-</w:t>
            </w:r>
            <w:r w:rsidRPr="00654A0B">
              <w:rPr>
                <w:rFonts w:ascii="Arial" w:hAnsi="Arial" w:cs="Arial"/>
                <w:color w:val="000000"/>
                <w:sz w:val="18"/>
                <w:szCs w:val="18"/>
              </w:rPr>
              <w:t>faktorjem, poleg tega zmanjšuje puščanje plinov in prepoveduje uporabo plinov v nekaterih aplikacijah.</w:t>
            </w:r>
          </w:p>
        </w:tc>
        <w:tc>
          <w:tcPr>
            <w:tcW w:w="1873" w:type="dxa"/>
            <w:tcBorders>
              <w:top w:val="single" w:sz="8" w:space="0" w:color="auto"/>
              <w:left w:val="single" w:sz="8" w:space="0" w:color="auto"/>
              <w:bottom w:val="single" w:sz="8" w:space="0" w:color="auto"/>
              <w:right w:val="single" w:sz="8" w:space="0" w:color="auto"/>
            </w:tcBorders>
            <w:vAlign w:val="center"/>
          </w:tcPr>
          <w:p w14:paraId="7109D604" w14:textId="1C29B02F"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lastRenderedPageBreak/>
              <w:t>Zmanjšanje uporabe F-plinov z visokim GWP</w:t>
            </w:r>
            <w:r w:rsidR="00AA647A">
              <w:rPr>
                <w:rFonts w:ascii="Arial" w:hAnsi="Arial" w:cs="Arial"/>
                <w:color w:val="000000"/>
                <w:sz w:val="18"/>
                <w:szCs w:val="18"/>
              </w:rPr>
              <w:t>-</w:t>
            </w:r>
            <w:r w:rsidRPr="00654A0B">
              <w:rPr>
                <w:rFonts w:ascii="Arial" w:hAnsi="Arial" w:cs="Arial"/>
                <w:color w:val="000000"/>
                <w:sz w:val="18"/>
                <w:szCs w:val="18"/>
              </w:rPr>
              <w:t xml:space="preserve">faktorjem v </w:t>
            </w:r>
            <w:r w:rsidRPr="00654A0B">
              <w:rPr>
                <w:rFonts w:ascii="Arial" w:hAnsi="Arial" w:cs="Arial"/>
                <w:color w:val="000000"/>
                <w:sz w:val="18"/>
                <w:szCs w:val="18"/>
              </w:rPr>
              <w:lastRenderedPageBreak/>
              <w:t>stacionarnih napravah</w:t>
            </w:r>
          </w:p>
        </w:tc>
        <w:tc>
          <w:tcPr>
            <w:tcW w:w="928" w:type="dxa"/>
            <w:tcBorders>
              <w:top w:val="single" w:sz="8" w:space="0" w:color="auto"/>
              <w:left w:val="single" w:sz="8" w:space="0" w:color="auto"/>
              <w:bottom w:val="single" w:sz="8" w:space="0" w:color="auto"/>
              <w:right w:val="single" w:sz="8" w:space="0" w:color="auto"/>
            </w:tcBorders>
            <w:vAlign w:val="center"/>
          </w:tcPr>
          <w:p w14:paraId="216444ED" w14:textId="3CD813BF" w:rsidR="00AF3FEE" w:rsidRPr="00654A0B" w:rsidRDefault="00AF3FEE" w:rsidP="00AF3FEE">
            <w:pPr>
              <w:spacing w:line="245" w:lineRule="auto"/>
              <w:jc w:val="both"/>
              <w:rPr>
                <w:rFonts w:ascii="Arial" w:hAnsi="Arial" w:cs="Arial"/>
                <w:sz w:val="18"/>
                <w:szCs w:val="18"/>
              </w:rPr>
            </w:pPr>
            <w:r w:rsidRPr="009B3FC7">
              <w:rPr>
                <w:rFonts w:ascii="Arial" w:hAnsi="Arial" w:cs="Arial"/>
                <w:color w:val="000000"/>
                <w:sz w:val="18"/>
                <w:szCs w:val="18"/>
              </w:rPr>
              <w:lastRenderedPageBreak/>
              <w:t xml:space="preserve">HFC, </w:t>
            </w:r>
            <w:r w:rsidR="009B3FC7" w:rsidRPr="00654A0B">
              <w:rPr>
                <w:rFonts w:ascii="Arial" w:hAnsi="Arial" w:cs="Arial"/>
                <w:color w:val="000000" w:themeColor="text1"/>
                <w:sz w:val="18"/>
                <w:szCs w:val="18"/>
              </w:rPr>
              <w:t>SF</w:t>
            </w:r>
            <w:r w:rsidR="009B3FC7" w:rsidRPr="00654A0B">
              <w:rPr>
                <w:rFonts w:ascii="Arial" w:hAnsi="Arial" w:cs="Arial"/>
                <w:color w:val="000000" w:themeColor="text1"/>
                <w:sz w:val="18"/>
                <w:szCs w:val="18"/>
                <w:vertAlign w:val="subscript"/>
              </w:rPr>
              <w:t>6</w:t>
            </w:r>
          </w:p>
        </w:tc>
        <w:tc>
          <w:tcPr>
            <w:tcW w:w="1231" w:type="dxa"/>
            <w:tcBorders>
              <w:top w:val="single" w:sz="8" w:space="0" w:color="auto"/>
              <w:left w:val="single" w:sz="8" w:space="0" w:color="auto"/>
              <w:bottom w:val="single" w:sz="8" w:space="0" w:color="auto"/>
              <w:right w:val="single" w:sz="8" w:space="0" w:color="auto"/>
            </w:tcBorders>
            <w:vAlign w:val="center"/>
          </w:tcPr>
          <w:p w14:paraId="1EB4FA1D" w14:textId="0658B12D"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 xml:space="preserve">Zakonodajni, </w:t>
            </w:r>
            <w:r w:rsidR="00AA647A">
              <w:rPr>
                <w:rFonts w:ascii="Arial" w:hAnsi="Arial" w:cs="Arial"/>
                <w:color w:val="000000"/>
                <w:sz w:val="18"/>
                <w:szCs w:val="18"/>
              </w:rPr>
              <w:t>i</w:t>
            </w:r>
            <w:r w:rsidRPr="00654A0B">
              <w:rPr>
                <w:rFonts w:ascii="Arial" w:hAnsi="Arial" w:cs="Arial"/>
                <w:color w:val="000000"/>
                <w:sz w:val="18"/>
                <w:szCs w:val="18"/>
              </w:rPr>
              <w:t>zobraževanje</w:t>
            </w:r>
          </w:p>
        </w:tc>
        <w:tc>
          <w:tcPr>
            <w:tcW w:w="1008" w:type="dxa"/>
            <w:tcBorders>
              <w:top w:val="single" w:sz="8" w:space="0" w:color="auto"/>
              <w:left w:val="single" w:sz="8" w:space="0" w:color="auto"/>
              <w:bottom w:val="single" w:sz="8" w:space="0" w:color="auto"/>
              <w:right w:val="single" w:sz="8" w:space="0" w:color="auto"/>
            </w:tcBorders>
            <w:vAlign w:val="center"/>
          </w:tcPr>
          <w:p w14:paraId="1FEBDEF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36D6491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2003</w:t>
            </w:r>
          </w:p>
        </w:tc>
        <w:tc>
          <w:tcPr>
            <w:tcW w:w="813" w:type="dxa"/>
            <w:tcBorders>
              <w:top w:val="single" w:sz="8" w:space="0" w:color="auto"/>
              <w:left w:val="single" w:sz="8" w:space="0" w:color="auto"/>
              <w:bottom w:val="single" w:sz="8" w:space="0" w:color="auto"/>
              <w:right w:val="single" w:sz="8" w:space="0" w:color="auto"/>
            </w:tcBorders>
            <w:vAlign w:val="center"/>
          </w:tcPr>
          <w:p w14:paraId="55BE74CF" w14:textId="1391C45F"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w:t>
            </w:r>
          </w:p>
        </w:tc>
        <w:tc>
          <w:tcPr>
            <w:tcW w:w="919" w:type="dxa"/>
            <w:tcBorders>
              <w:top w:val="single" w:sz="8" w:space="0" w:color="auto"/>
              <w:left w:val="single" w:sz="8" w:space="0" w:color="auto"/>
              <w:bottom w:val="single" w:sz="8" w:space="0" w:color="auto"/>
              <w:right w:val="single" w:sz="8" w:space="0" w:color="auto"/>
            </w:tcBorders>
            <w:vAlign w:val="center"/>
          </w:tcPr>
          <w:p w14:paraId="0693FC4C"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642B3F1"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7FE1790"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69DAE89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M-34</w:t>
            </w:r>
          </w:p>
        </w:tc>
      </w:tr>
      <w:tr w:rsidR="00AF3FEE" w:rsidRPr="00CE5F74" w14:paraId="1BA96DE1" w14:textId="77777777" w:rsidTr="00465193">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3BBFE172" w14:textId="10EB8E9C"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4</w:t>
            </w:r>
          </w:p>
        </w:tc>
        <w:tc>
          <w:tcPr>
            <w:tcW w:w="1702" w:type="dxa"/>
            <w:tcBorders>
              <w:top w:val="single" w:sz="8" w:space="0" w:color="auto"/>
              <w:left w:val="single" w:sz="8" w:space="0" w:color="auto"/>
              <w:bottom w:val="single" w:sz="8" w:space="0" w:color="auto"/>
              <w:right w:val="single" w:sz="8" w:space="0" w:color="auto"/>
            </w:tcBorders>
            <w:vAlign w:val="center"/>
          </w:tcPr>
          <w:p w14:paraId="4B38A06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ZMANJŠANJE EMISIJ F-PLINOV IZ MOBILNIH KLIMATSKIH NAPRAV</w:t>
            </w:r>
          </w:p>
        </w:tc>
        <w:tc>
          <w:tcPr>
            <w:tcW w:w="2048" w:type="dxa"/>
            <w:tcBorders>
              <w:top w:val="single" w:sz="8" w:space="0" w:color="auto"/>
              <w:left w:val="single" w:sz="8" w:space="0" w:color="auto"/>
              <w:bottom w:val="single" w:sz="8" w:space="0" w:color="auto"/>
              <w:right w:val="single" w:sz="8" w:space="0" w:color="auto"/>
            </w:tcBorders>
            <w:vAlign w:val="center"/>
          </w:tcPr>
          <w:p w14:paraId="566EDFB8" w14:textId="465E3432"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Direktiva predpisuje pline, ki se lahko uporabijo v mobilnih klimatskih napravah</w:t>
            </w:r>
            <w:r w:rsidR="00AA647A">
              <w:rPr>
                <w:rFonts w:ascii="Arial" w:hAnsi="Arial" w:cs="Arial"/>
                <w:color w:val="000000"/>
                <w:sz w:val="18"/>
                <w:szCs w:val="18"/>
              </w:rPr>
              <w:t>.</w:t>
            </w:r>
          </w:p>
        </w:tc>
        <w:tc>
          <w:tcPr>
            <w:tcW w:w="1873" w:type="dxa"/>
            <w:tcBorders>
              <w:top w:val="single" w:sz="8" w:space="0" w:color="auto"/>
              <w:left w:val="single" w:sz="8" w:space="0" w:color="auto"/>
              <w:bottom w:val="single" w:sz="8" w:space="0" w:color="auto"/>
              <w:right w:val="single" w:sz="8" w:space="0" w:color="auto"/>
            </w:tcBorders>
            <w:vAlign w:val="center"/>
          </w:tcPr>
          <w:p w14:paraId="76896E2E" w14:textId="2BECC374"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Zmanjšanje uporabe F-plinov z visokim GWP</w:t>
            </w:r>
            <w:r w:rsidR="00AA647A">
              <w:rPr>
                <w:rFonts w:ascii="Arial" w:hAnsi="Arial" w:cs="Arial"/>
                <w:color w:val="000000"/>
                <w:sz w:val="18"/>
                <w:szCs w:val="18"/>
              </w:rPr>
              <w:t>-</w:t>
            </w:r>
            <w:r w:rsidRPr="00654A0B">
              <w:rPr>
                <w:rFonts w:ascii="Arial" w:hAnsi="Arial" w:cs="Arial"/>
                <w:color w:val="000000"/>
                <w:sz w:val="18"/>
                <w:szCs w:val="18"/>
              </w:rPr>
              <w:t>faktorje</w:t>
            </w:r>
            <w:r w:rsidR="00AA647A">
              <w:rPr>
                <w:rFonts w:ascii="Arial" w:hAnsi="Arial" w:cs="Arial"/>
                <w:color w:val="000000"/>
                <w:sz w:val="18"/>
                <w:szCs w:val="18"/>
              </w:rPr>
              <w:t>m</w:t>
            </w:r>
            <w:r w:rsidRPr="00654A0B">
              <w:rPr>
                <w:rFonts w:ascii="Arial" w:hAnsi="Arial" w:cs="Arial"/>
                <w:color w:val="000000"/>
                <w:sz w:val="18"/>
                <w:szCs w:val="18"/>
              </w:rPr>
              <w:t xml:space="preserve"> v mobilnih klimatskih napravah</w:t>
            </w:r>
          </w:p>
        </w:tc>
        <w:tc>
          <w:tcPr>
            <w:tcW w:w="928" w:type="dxa"/>
            <w:tcBorders>
              <w:top w:val="single" w:sz="8" w:space="0" w:color="auto"/>
              <w:left w:val="single" w:sz="8" w:space="0" w:color="auto"/>
              <w:bottom w:val="single" w:sz="8" w:space="0" w:color="auto"/>
              <w:right w:val="single" w:sz="8" w:space="0" w:color="auto"/>
            </w:tcBorders>
            <w:vAlign w:val="center"/>
          </w:tcPr>
          <w:p w14:paraId="1154E0D6"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HFC</w:t>
            </w:r>
          </w:p>
        </w:tc>
        <w:tc>
          <w:tcPr>
            <w:tcW w:w="1231" w:type="dxa"/>
            <w:tcBorders>
              <w:top w:val="single" w:sz="8" w:space="0" w:color="auto"/>
              <w:left w:val="single" w:sz="8" w:space="0" w:color="auto"/>
              <w:bottom w:val="single" w:sz="8" w:space="0" w:color="auto"/>
              <w:right w:val="single" w:sz="8" w:space="0" w:color="auto"/>
            </w:tcBorders>
            <w:vAlign w:val="center"/>
          </w:tcPr>
          <w:p w14:paraId="00422A9E"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05699DB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3FD3E5F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2006</w:t>
            </w:r>
          </w:p>
        </w:tc>
        <w:tc>
          <w:tcPr>
            <w:tcW w:w="813" w:type="dxa"/>
            <w:tcBorders>
              <w:top w:val="single" w:sz="8" w:space="0" w:color="auto"/>
              <w:left w:val="single" w:sz="8" w:space="0" w:color="auto"/>
              <w:bottom w:val="single" w:sz="8" w:space="0" w:color="auto"/>
              <w:right w:val="single" w:sz="8" w:space="0" w:color="auto"/>
            </w:tcBorders>
            <w:vAlign w:val="center"/>
          </w:tcPr>
          <w:p w14:paraId="3F2A52AA" w14:textId="3512FCBA"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w:t>
            </w:r>
          </w:p>
        </w:tc>
        <w:tc>
          <w:tcPr>
            <w:tcW w:w="919" w:type="dxa"/>
            <w:tcBorders>
              <w:top w:val="single" w:sz="8" w:space="0" w:color="auto"/>
              <w:left w:val="single" w:sz="8" w:space="0" w:color="auto"/>
              <w:bottom w:val="single" w:sz="8" w:space="0" w:color="auto"/>
              <w:right w:val="single" w:sz="8" w:space="0" w:color="auto"/>
            </w:tcBorders>
            <w:vAlign w:val="center"/>
          </w:tcPr>
          <w:p w14:paraId="55B22936"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MZI</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2EE3D436"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550DC0D"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3A16E70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M-35</w:t>
            </w:r>
          </w:p>
        </w:tc>
      </w:tr>
      <w:tr w:rsidR="00AF3FEE" w:rsidRPr="00CE5F74" w14:paraId="0297FE06"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tcPr>
          <w:p w14:paraId="4DE91A05" w14:textId="77777777" w:rsidR="00AF3FEE" w:rsidRPr="00654A0B" w:rsidRDefault="00AF3FEE" w:rsidP="00AF3FEE">
            <w:pPr>
              <w:spacing w:line="245" w:lineRule="auto"/>
              <w:jc w:val="both"/>
              <w:rPr>
                <w:rFonts w:ascii="Arial" w:hAnsi="Arial" w:cs="Arial"/>
                <w:b/>
                <w:bCs/>
                <w:sz w:val="18"/>
                <w:szCs w:val="18"/>
              </w:rPr>
            </w:pPr>
            <w:r w:rsidRPr="00654A0B">
              <w:rPr>
                <w:rFonts w:ascii="Arial" w:hAnsi="Arial" w:cs="Arial"/>
                <w:b/>
                <w:bCs/>
                <w:sz w:val="18"/>
                <w:szCs w:val="18"/>
              </w:rPr>
              <w:t>KMETIJSTVO</w:t>
            </w:r>
          </w:p>
        </w:tc>
      </w:tr>
      <w:tr w:rsidR="00AF3FEE" w:rsidRPr="00CE5F74" w14:paraId="46BF9F1A"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BF8D53E" w14:textId="37CAB2C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5</w:t>
            </w:r>
          </w:p>
        </w:tc>
        <w:tc>
          <w:tcPr>
            <w:tcW w:w="1702" w:type="dxa"/>
            <w:tcBorders>
              <w:top w:val="single" w:sz="8" w:space="0" w:color="auto"/>
              <w:left w:val="single" w:sz="8" w:space="0" w:color="auto"/>
              <w:bottom w:val="single" w:sz="8" w:space="0" w:color="auto"/>
              <w:right w:val="single" w:sz="8" w:space="0" w:color="auto"/>
            </w:tcBorders>
            <w:vAlign w:val="center"/>
          </w:tcPr>
          <w:p w14:paraId="341973A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POVEČANJE UČINKOVITOSTI REJE ŽIVALI</w:t>
            </w:r>
          </w:p>
        </w:tc>
        <w:tc>
          <w:tcPr>
            <w:tcW w:w="2048" w:type="dxa"/>
            <w:tcBorders>
              <w:top w:val="single" w:sz="8" w:space="0" w:color="auto"/>
              <w:left w:val="single" w:sz="8" w:space="0" w:color="auto"/>
              <w:bottom w:val="single" w:sz="8" w:space="0" w:color="auto"/>
              <w:right w:val="single" w:sz="8" w:space="0" w:color="auto"/>
            </w:tcBorders>
            <w:vAlign w:val="center"/>
          </w:tcPr>
          <w:p w14:paraId="4F77C7F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Izboljšanje učinkovitosti reje in zmanjšanje emisij s selekcijo rejnih živali in izboljšanim vodenjem čred, vključno z načrtnim krmljenjem</w:t>
            </w:r>
          </w:p>
        </w:tc>
        <w:tc>
          <w:tcPr>
            <w:tcW w:w="1873" w:type="dxa"/>
            <w:tcBorders>
              <w:top w:val="single" w:sz="8" w:space="0" w:color="auto"/>
              <w:left w:val="single" w:sz="8" w:space="0" w:color="auto"/>
              <w:bottom w:val="single" w:sz="8" w:space="0" w:color="auto"/>
              <w:right w:val="single" w:sz="8" w:space="0" w:color="auto"/>
            </w:tcBorders>
            <w:vAlign w:val="center"/>
          </w:tcPr>
          <w:p w14:paraId="413FC5FE" w14:textId="0DEEBBAA"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Povečanje učinkovitosti reje goved z namenom zmanjšanja emisij </w:t>
            </w:r>
            <w:r w:rsidR="0024256B" w:rsidRPr="00654A0B">
              <w:rPr>
                <w:rFonts w:ascii="Arial" w:hAnsi="Arial" w:cs="Arial"/>
                <w:color w:val="000000"/>
                <w:sz w:val="18"/>
                <w:szCs w:val="18"/>
              </w:rPr>
              <w:t>TGP</w:t>
            </w:r>
            <w:r w:rsidRPr="00654A0B">
              <w:rPr>
                <w:rFonts w:ascii="Arial" w:hAnsi="Arial" w:cs="Arial"/>
                <w:color w:val="000000"/>
                <w:sz w:val="18"/>
                <w:szCs w:val="18"/>
              </w:rPr>
              <w:t xml:space="preserve"> na enoto prirejenega mleka in mesa</w:t>
            </w:r>
          </w:p>
        </w:tc>
        <w:tc>
          <w:tcPr>
            <w:tcW w:w="928" w:type="dxa"/>
            <w:tcBorders>
              <w:top w:val="single" w:sz="8" w:space="0" w:color="auto"/>
              <w:left w:val="single" w:sz="8" w:space="0" w:color="auto"/>
              <w:bottom w:val="single" w:sz="8" w:space="0" w:color="auto"/>
              <w:right w:val="single" w:sz="8" w:space="0" w:color="auto"/>
            </w:tcBorders>
            <w:vAlign w:val="center"/>
          </w:tcPr>
          <w:p w14:paraId="469B8AFF"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CH</w:t>
            </w:r>
            <w:r w:rsidRPr="00654A0B">
              <w:rPr>
                <w:rFonts w:ascii="Arial" w:hAnsi="Arial" w:cs="Arial"/>
                <w:color w:val="000000"/>
                <w:sz w:val="18"/>
                <w:szCs w:val="18"/>
                <w:vertAlign w:val="subscript"/>
              </w:rPr>
              <w:t>4</w:t>
            </w:r>
            <w:r w:rsidRPr="00654A0B">
              <w:rPr>
                <w:rFonts w:ascii="Arial" w:hAnsi="Arial" w:cs="Arial"/>
                <w:color w:val="000000"/>
                <w:sz w:val="18"/>
                <w:szCs w:val="18"/>
              </w:rPr>
              <w:t>, N</w:t>
            </w:r>
            <w:r w:rsidRPr="00654A0B">
              <w:rPr>
                <w:rFonts w:ascii="Arial" w:hAnsi="Arial" w:cs="Arial"/>
                <w:color w:val="000000"/>
                <w:sz w:val="18"/>
                <w:szCs w:val="18"/>
                <w:vertAlign w:val="subscript"/>
              </w:rPr>
              <w:t>2</w:t>
            </w:r>
            <w:r w:rsidRPr="00654A0B">
              <w:rPr>
                <w:rFonts w:ascii="Arial" w:hAnsi="Arial" w:cs="Arial"/>
                <w:color w:val="000000"/>
                <w:sz w:val="18"/>
                <w:szCs w:val="18"/>
              </w:rPr>
              <w:t>O</w:t>
            </w:r>
          </w:p>
        </w:tc>
        <w:tc>
          <w:tcPr>
            <w:tcW w:w="1231" w:type="dxa"/>
            <w:tcBorders>
              <w:top w:val="single" w:sz="8" w:space="0" w:color="auto"/>
              <w:left w:val="single" w:sz="8" w:space="0" w:color="auto"/>
              <w:bottom w:val="single" w:sz="8" w:space="0" w:color="auto"/>
              <w:right w:val="single" w:sz="8" w:space="0" w:color="auto"/>
            </w:tcBorders>
            <w:vAlign w:val="center"/>
          </w:tcPr>
          <w:p w14:paraId="58303DCA" w14:textId="3765E96C" w:rsidR="00AF3FEE" w:rsidRPr="00654A0B" w:rsidRDefault="00AF3FEE" w:rsidP="00AA647A">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1F48BE">
              <w:rPr>
                <w:rFonts w:ascii="Arial" w:hAnsi="Arial" w:cs="Arial"/>
                <w:color w:val="000000"/>
                <w:sz w:val="18"/>
                <w:szCs w:val="18"/>
              </w:rPr>
              <w:t>i</w:t>
            </w:r>
            <w:r w:rsidRPr="00654A0B">
              <w:rPr>
                <w:rFonts w:ascii="Arial" w:hAnsi="Arial" w:cs="Arial"/>
                <w:color w:val="000000"/>
                <w:sz w:val="18"/>
                <w:szCs w:val="18"/>
              </w:rPr>
              <w:t xml:space="preserve">zobraževalni, </w:t>
            </w:r>
            <w:r w:rsidR="00AA647A">
              <w:rPr>
                <w:rFonts w:ascii="Arial" w:hAnsi="Arial" w:cs="Arial"/>
                <w:color w:val="000000"/>
                <w:sz w:val="18"/>
                <w:szCs w:val="18"/>
              </w:rPr>
              <w:t>i</w:t>
            </w:r>
            <w:r w:rsidRPr="00654A0B">
              <w:rPr>
                <w:rFonts w:ascii="Arial" w:hAnsi="Arial" w:cs="Arial"/>
                <w:color w:val="000000"/>
                <w:sz w:val="18"/>
                <w:szCs w:val="18"/>
              </w:rPr>
              <w:t xml:space="preserve">nformacijski </w:t>
            </w:r>
          </w:p>
        </w:tc>
        <w:tc>
          <w:tcPr>
            <w:tcW w:w="1008" w:type="dxa"/>
            <w:tcBorders>
              <w:top w:val="single" w:sz="8" w:space="0" w:color="auto"/>
              <w:left w:val="single" w:sz="8" w:space="0" w:color="auto"/>
              <w:bottom w:val="single" w:sz="8" w:space="0" w:color="auto"/>
              <w:right w:val="single" w:sz="8" w:space="0" w:color="auto"/>
            </w:tcBorders>
            <w:vAlign w:val="center"/>
          </w:tcPr>
          <w:p w14:paraId="4DBF507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3F7EB62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1950</w:t>
            </w:r>
          </w:p>
        </w:tc>
        <w:tc>
          <w:tcPr>
            <w:tcW w:w="813" w:type="dxa"/>
            <w:tcBorders>
              <w:top w:val="single" w:sz="8" w:space="0" w:color="auto"/>
              <w:left w:val="single" w:sz="8" w:space="0" w:color="auto"/>
              <w:bottom w:val="single" w:sz="8" w:space="0" w:color="auto"/>
              <w:right w:val="single" w:sz="8" w:space="0" w:color="auto"/>
            </w:tcBorders>
            <w:vAlign w:val="center"/>
          </w:tcPr>
          <w:p w14:paraId="7B1ED699" w14:textId="5BB8A648"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3</w:t>
            </w:r>
          </w:p>
        </w:tc>
        <w:tc>
          <w:tcPr>
            <w:tcW w:w="919" w:type="dxa"/>
            <w:tcBorders>
              <w:top w:val="single" w:sz="8" w:space="0" w:color="auto"/>
              <w:left w:val="single" w:sz="8" w:space="0" w:color="auto"/>
              <w:bottom w:val="single" w:sz="8" w:space="0" w:color="auto"/>
              <w:right w:val="single" w:sz="8" w:space="0" w:color="auto"/>
            </w:tcBorders>
            <w:vAlign w:val="center"/>
          </w:tcPr>
          <w:p w14:paraId="691BA304"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MKGP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6449BEF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C302D3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73</w:t>
            </w:r>
          </w:p>
        </w:tc>
        <w:tc>
          <w:tcPr>
            <w:tcW w:w="775" w:type="dxa"/>
            <w:tcBorders>
              <w:top w:val="single" w:sz="8" w:space="0" w:color="auto"/>
              <w:left w:val="single" w:sz="8" w:space="0" w:color="auto"/>
              <w:bottom w:val="single" w:sz="8" w:space="0" w:color="auto"/>
              <w:right w:val="single" w:sz="8" w:space="0" w:color="auto"/>
            </w:tcBorders>
            <w:vAlign w:val="center"/>
          </w:tcPr>
          <w:p w14:paraId="5F43CA9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M-36</w:t>
            </w:r>
          </w:p>
        </w:tc>
      </w:tr>
      <w:tr w:rsidR="00AF3FEE" w:rsidRPr="00CE5F74" w14:paraId="0F59F628"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04794A4" w14:textId="7638D69A"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6</w:t>
            </w:r>
          </w:p>
        </w:tc>
        <w:tc>
          <w:tcPr>
            <w:tcW w:w="1702" w:type="dxa"/>
            <w:tcBorders>
              <w:top w:val="single" w:sz="8" w:space="0" w:color="auto"/>
              <w:left w:val="single" w:sz="8" w:space="0" w:color="auto"/>
              <w:bottom w:val="single" w:sz="8" w:space="0" w:color="auto"/>
              <w:right w:val="single" w:sz="8" w:space="0" w:color="auto"/>
            </w:tcBorders>
            <w:vAlign w:val="center"/>
          </w:tcPr>
          <w:p w14:paraId="151E3C8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SPODBUJANJE NAČINOV REJE Z MAJHNIMI IZPUSTI</w:t>
            </w:r>
          </w:p>
        </w:tc>
        <w:tc>
          <w:tcPr>
            <w:tcW w:w="2048" w:type="dxa"/>
            <w:tcBorders>
              <w:top w:val="single" w:sz="8" w:space="0" w:color="auto"/>
              <w:left w:val="single" w:sz="8" w:space="0" w:color="auto"/>
              <w:bottom w:val="single" w:sz="8" w:space="0" w:color="auto"/>
              <w:right w:val="single" w:sz="8" w:space="0" w:color="auto"/>
            </w:tcBorders>
            <w:vAlign w:val="center"/>
          </w:tcPr>
          <w:p w14:paraId="44041467" w14:textId="55CFEE06" w:rsidR="00AF3FEE" w:rsidRPr="00654A0B" w:rsidRDefault="00AF3FEE" w:rsidP="004F2B0D">
            <w:pPr>
              <w:spacing w:line="245" w:lineRule="auto"/>
              <w:jc w:val="both"/>
              <w:rPr>
                <w:rFonts w:ascii="Arial" w:hAnsi="Arial" w:cs="Arial"/>
                <w:sz w:val="18"/>
                <w:szCs w:val="18"/>
              </w:rPr>
            </w:pPr>
            <w:r w:rsidRPr="00654A0B">
              <w:rPr>
                <w:rFonts w:ascii="Arial" w:hAnsi="Arial" w:cs="Arial"/>
                <w:color w:val="000000"/>
                <w:sz w:val="18"/>
                <w:szCs w:val="18"/>
              </w:rPr>
              <w:t>Spodbujanje načinov reje rejnih živali, za katere so značilni majhni izpusti (</w:t>
            </w:r>
            <w:r w:rsidR="004F2B0D">
              <w:rPr>
                <w:rFonts w:ascii="Arial" w:hAnsi="Arial" w:cs="Arial"/>
                <w:color w:val="000000"/>
                <w:sz w:val="18"/>
                <w:szCs w:val="18"/>
              </w:rPr>
              <w:t>na primer</w:t>
            </w:r>
            <w:r w:rsidRPr="00654A0B">
              <w:rPr>
                <w:rFonts w:ascii="Arial" w:hAnsi="Arial" w:cs="Arial"/>
                <w:color w:val="000000"/>
                <w:sz w:val="18"/>
                <w:szCs w:val="18"/>
              </w:rPr>
              <w:t xml:space="preserve"> pašna reja, obdelava živinskih gnojil na bioplinskih napravah)</w:t>
            </w:r>
          </w:p>
        </w:tc>
        <w:tc>
          <w:tcPr>
            <w:tcW w:w="1873" w:type="dxa"/>
            <w:tcBorders>
              <w:top w:val="single" w:sz="8" w:space="0" w:color="auto"/>
              <w:left w:val="single" w:sz="8" w:space="0" w:color="auto"/>
              <w:bottom w:val="single" w:sz="8" w:space="0" w:color="auto"/>
              <w:right w:val="single" w:sz="8" w:space="0" w:color="auto"/>
            </w:tcBorders>
            <w:vAlign w:val="center"/>
          </w:tcPr>
          <w:p w14:paraId="6B8F90B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 xml:space="preserve">Zmanjšanje emisij metana in didušikovega oksida iz gnojišč </w:t>
            </w:r>
          </w:p>
        </w:tc>
        <w:tc>
          <w:tcPr>
            <w:tcW w:w="928" w:type="dxa"/>
            <w:tcBorders>
              <w:top w:val="single" w:sz="8" w:space="0" w:color="auto"/>
              <w:left w:val="single" w:sz="8" w:space="0" w:color="auto"/>
              <w:bottom w:val="single" w:sz="8" w:space="0" w:color="auto"/>
              <w:right w:val="single" w:sz="8" w:space="0" w:color="auto"/>
            </w:tcBorders>
            <w:vAlign w:val="center"/>
          </w:tcPr>
          <w:p w14:paraId="7DAF28B2"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CH</w:t>
            </w:r>
            <w:r w:rsidRPr="00654A0B">
              <w:rPr>
                <w:rFonts w:ascii="Arial" w:hAnsi="Arial" w:cs="Arial"/>
                <w:color w:val="000000"/>
                <w:sz w:val="18"/>
                <w:szCs w:val="18"/>
                <w:vertAlign w:val="subscript"/>
              </w:rPr>
              <w:t>4</w:t>
            </w:r>
            <w:r w:rsidRPr="00654A0B">
              <w:rPr>
                <w:rFonts w:ascii="Arial" w:hAnsi="Arial" w:cs="Arial"/>
                <w:color w:val="000000"/>
                <w:sz w:val="18"/>
                <w:szCs w:val="18"/>
              </w:rPr>
              <w:t>, N</w:t>
            </w:r>
            <w:r w:rsidRPr="00654A0B">
              <w:rPr>
                <w:rFonts w:ascii="Arial" w:hAnsi="Arial" w:cs="Arial"/>
                <w:color w:val="000000"/>
                <w:sz w:val="18"/>
                <w:szCs w:val="18"/>
                <w:vertAlign w:val="subscript"/>
              </w:rPr>
              <w:t>2</w:t>
            </w:r>
            <w:r w:rsidRPr="00654A0B">
              <w:rPr>
                <w:rFonts w:ascii="Arial" w:hAnsi="Arial" w:cs="Arial"/>
                <w:color w:val="000000"/>
                <w:sz w:val="18"/>
                <w:szCs w:val="18"/>
              </w:rPr>
              <w:t>O</w:t>
            </w:r>
          </w:p>
        </w:tc>
        <w:tc>
          <w:tcPr>
            <w:tcW w:w="1231" w:type="dxa"/>
            <w:tcBorders>
              <w:top w:val="single" w:sz="8" w:space="0" w:color="auto"/>
              <w:left w:val="single" w:sz="8" w:space="0" w:color="auto"/>
              <w:bottom w:val="single" w:sz="8" w:space="0" w:color="auto"/>
              <w:right w:val="single" w:sz="8" w:space="0" w:color="auto"/>
            </w:tcBorders>
            <w:vAlign w:val="center"/>
          </w:tcPr>
          <w:p w14:paraId="43B936AA" w14:textId="6F6FE4E2" w:rsidR="00AF3FEE" w:rsidRPr="00654A0B" w:rsidRDefault="00AF3FEE" w:rsidP="00692B40">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1F48BE">
              <w:rPr>
                <w:rFonts w:ascii="Arial" w:hAnsi="Arial" w:cs="Arial"/>
                <w:color w:val="000000"/>
                <w:sz w:val="18"/>
                <w:szCs w:val="18"/>
              </w:rPr>
              <w:t>i</w:t>
            </w:r>
            <w:r w:rsidRPr="00654A0B">
              <w:rPr>
                <w:rFonts w:ascii="Arial" w:hAnsi="Arial" w:cs="Arial"/>
                <w:color w:val="000000"/>
                <w:sz w:val="18"/>
                <w:szCs w:val="18"/>
              </w:rPr>
              <w:t xml:space="preserve">zobraževalni, </w:t>
            </w:r>
            <w:r w:rsidR="00692B40">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3372F74B"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5C85C26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2004</w:t>
            </w:r>
          </w:p>
        </w:tc>
        <w:tc>
          <w:tcPr>
            <w:tcW w:w="813" w:type="dxa"/>
            <w:tcBorders>
              <w:top w:val="single" w:sz="8" w:space="0" w:color="auto"/>
              <w:left w:val="single" w:sz="8" w:space="0" w:color="auto"/>
              <w:bottom w:val="single" w:sz="8" w:space="0" w:color="auto"/>
              <w:right w:val="single" w:sz="8" w:space="0" w:color="auto"/>
            </w:tcBorders>
            <w:vAlign w:val="center"/>
          </w:tcPr>
          <w:p w14:paraId="1280A2B2" w14:textId="32AC92D6"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3</w:t>
            </w:r>
          </w:p>
        </w:tc>
        <w:tc>
          <w:tcPr>
            <w:tcW w:w="919" w:type="dxa"/>
            <w:tcBorders>
              <w:top w:val="single" w:sz="8" w:space="0" w:color="auto"/>
              <w:left w:val="single" w:sz="8" w:space="0" w:color="auto"/>
              <w:bottom w:val="single" w:sz="8" w:space="0" w:color="auto"/>
              <w:right w:val="single" w:sz="8" w:space="0" w:color="auto"/>
            </w:tcBorders>
            <w:vAlign w:val="center"/>
          </w:tcPr>
          <w:p w14:paraId="6BEE4AFF"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MKGP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2FC00BA7"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758BD89C"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18</w:t>
            </w:r>
          </w:p>
        </w:tc>
        <w:tc>
          <w:tcPr>
            <w:tcW w:w="775" w:type="dxa"/>
            <w:tcBorders>
              <w:top w:val="single" w:sz="8" w:space="0" w:color="auto"/>
              <w:left w:val="single" w:sz="8" w:space="0" w:color="auto"/>
              <w:bottom w:val="single" w:sz="8" w:space="0" w:color="auto"/>
              <w:right w:val="single" w:sz="8" w:space="0" w:color="auto"/>
            </w:tcBorders>
            <w:vAlign w:val="center"/>
          </w:tcPr>
          <w:p w14:paraId="1101DBCD"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M-37</w:t>
            </w:r>
          </w:p>
        </w:tc>
      </w:tr>
      <w:tr w:rsidR="00AF3FEE" w:rsidRPr="00CE5F74" w14:paraId="45F0D272"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945163B" w14:textId="7D8DC422"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7</w:t>
            </w:r>
          </w:p>
        </w:tc>
        <w:tc>
          <w:tcPr>
            <w:tcW w:w="1702" w:type="dxa"/>
            <w:tcBorders>
              <w:top w:val="single" w:sz="8" w:space="0" w:color="auto"/>
              <w:left w:val="single" w:sz="8" w:space="0" w:color="auto"/>
              <w:bottom w:val="single" w:sz="8" w:space="0" w:color="auto"/>
              <w:right w:val="single" w:sz="8" w:space="0" w:color="auto"/>
            </w:tcBorders>
            <w:vAlign w:val="center"/>
          </w:tcPr>
          <w:p w14:paraId="3A7283AA" w14:textId="2189E267" w:rsidR="00AF3FEE" w:rsidRPr="00654A0B" w:rsidRDefault="001F48BE" w:rsidP="001F48BE">
            <w:pPr>
              <w:spacing w:line="245" w:lineRule="auto"/>
              <w:jc w:val="both"/>
              <w:rPr>
                <w:rFonts w:ascii="Arial" w:hAnsi="Arial" w:cs="Arial"/>
                <w:sz w:val="18"/>
                <w:szCs w:val="18"/>
              </w:rPr>
            </w:pPr>
            <w:r>
              <w:rPr>
                <w:rFonts w:ascii="Arial" w:hAnsi="Arial" w:cs="Arial"/>
                <w:color w:val="000000"/>
                <w:sz w:val="18"/>
                <w:szCs w:val="18"/>
              </w:rPr>
              <w:t>GOSPODAR</w:t>
            </w:r>
            <w:r w:rsidRPr="00654A0B">
              <w:rPr>
                <w:rFonts w:ascii="Arial" w:hAnsi="Arial" w:cs="Arial"/>
                <w:color w:val="000000"/>
                <w:sz w:val="18"/>
                <w:szCs w:val="18"/>
              </w:rPr>
              <w:t xml:space="preserve">NO </w:t>
            </w:r>
            <w:r w:rsidR="00AF3FEE" w:rsidRPr="00654A0B">
              <w:rPr>
                <w:rFonts w:ascii="Arial" w:hAnsi="Arial" w:cs="Arial"/>
                <w:color w:val="000000"/>
                <w:sz w:val="18"/>
                <w:szCs w:val="18"/>
              </w:rPr>
              <w:t xml:space="preserve">GNOJENJE KMETIJSKIH </w:t>
            </w:r>
            <w:r w:rsidR="00AF3FEE" w:rsidRPr="00654A0B">
              <w:rPr>
                <w:rFonts w:ascii="Arial" w:hAnsi="Arial" w:cs="Arial"/>
                <w:color w:val="000000"/>
                <w:sz w:val="18"/>
                <w:szCs w:val="18"/>
              </w:rPr>
              <w:lastRenderedPageBreak/>
              <w:t>RASTLIN Z DUŠIKOM</w:t>
            </w:r>
          </w:p>
        </w:tc>
        <w:tc>
          <w:tcPr>
            <w:tcW w:w="2048" w:type="dxa"/>
            <w:tcBorders>
              <w:top w:val="single" w:sz="8" w:space="0" w:color="auto"/>
              <w:left w:val="single" w:sz="8" w:space="0" w:color="auto"/>
              <w:bottom w:val="single" w:sz="8" w:space="0" w:color="auto"/>
              <w:right w:val="single" w:sz="8" w:space="0" w:color="auto"/>
            </w:tcBorders>
            <w:vAlign w:val="center"/>
          </w:tcPr>
          <w:p w14:paraId="5631ED5E" w14:textId="41BF47E9" w:rsidR="00AF3FEE" w:rsidRPr="00654A0B" w:rsidRDefault="00AF3FEE" w:rsidP="00692B40">
            <w:pPr>
              <w:spacing w:line="245" w:lineRule="auto"/>
              <w:jc w:val="both"/>
              <w:rPr>
                <w:rFonts w:ascii="Arial" w:hAnsi="Arial" w:cs="Arial"/>
                <w:sz w:val="18"/>
                <w:szCs w:val="18"/>
              </w:rPr>
            </w:pPr>
            <w:r w:rsidRPr="00654A0B">
              <w:rPr>
                <w:rFonts w:ascii="Arial" w:hAnsi="Arial" w:cs="Arial"/>
                <w:color w:val="000000"/>
                <w:sz w:val="18"/>
                <w:szCs w:val="18"/>
              </w:rPr>
              <w:lastRenderedPageBreak/>
              <w:t xml:space="preserve">Sistemski in </w:t>
            </w:r>
            <w:r w:rsidR="00692B40">
              <w:rPr>
                <w:rFonts w:ascii="Arial" w:hAnsi="Arial" w:cs="Arial"/>
                <w:color w:val="000000"/>
                <w:sz w:val="18"/>
                <w:szCs w:val="18"/>
              </w:rPr>
              <w:t xml:space="preserve">posebni </w:t>
            </w:r>
            <w:r w:rsidRPr="00654A0B">
              <w:rPr>
                <w:rFonts w:ascii="Arial" w:hAnsi="Arial" w:cs="Arial"/>
                <w:color w:val="000000"/>
                <w:sz w:val="18"/>
                <w:szCs w:val="18"/>
              </w:rPr>
              <w:t xml:space="preserve">ukrepi za izboljšanje izkoristka dušika iz </w:t>
            </w:r>
            <w:r w:rsidRPr="00654A0B">
              <w:rPr>
                <w:rFonts w:ascii="Arial" w:hAnsi="Arial" w:cs="Arial"/>
                <w:color w:val="000000"/>
                <w:sz w:val="18"/>
                <w:szCs w:val="18"/>
              </w:rPr>
              <w:lastRenderedPageBreak/>
              <w:t>živinskih gnojil in zmanjšanje porabe dušika iz mineralnih gnojil</w:t>
            </w:r>
          </w:p>
        </w:tc>
        <w:tc>
          <w:tcPr>
            <w:tcW w:w="1873" w:type="dxa"/>
            <w:tcBorders>
              <w:top w:val="single" w:sz="8" w:space="0" w:color="auto"/>
              <w:left w:val="single" w:sz="8" w:space="0" w:color="auto"/>
              <w:bottom w:val="single" w:sz="8" w:space="0" w:color="auto"/>
              <w:right w:val="single" w:sz="8" w:space="0" w:color="auto"/>
            </w:tcBorders>
            <w:vAlign w:val="center"/>
          </w:tcPr>
          <w:p w14:paraId="546C1C78"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 xml:space="preserve">Izboljšanje učinkovitosti kroženja dušika na </w:t>
            </w:r>
            <w:r w:rsidRPr="00654A0B">
              <w:rPr>
                <w:rFonts w:ascii="Arial" w:hAnsi="Arial" w:cs="Arial"/>
                <w:color w:val="000000"/>
                <w:sz w:val="18"/>
                <w:szCs w:val="18"/>
              </w:rPr>
              <w:lastRenderedPageBreak/>
              <w:t>kmetiji in s tem zmanjšanje emisij didušikovega oksida</w:t>
            </w:r>
          </w:p>
        </w:tc>
        <w:tc>
          <w:tcPr>
            <w:tcW w:w="928" w:type="dxa"/>
            <w:tcBorders>
              <w:top w:val="single" w:sz="8" w:space="0" w:color="auto"/>
              <w:left w:val="single" w:sz="8" w:space="0" w:color="auto"/>
              <w:bottom w:val="single" w:sz="8" w:space="0" w:color="auto"/>
              <w:right w:val="single" w:sz="8" w:space="0" w:color="auto"/>
            </w:tcBorders>
            <w:vAlign w:val="center"/>
          </w:tcPr>
          <w:p w14:paraId="528D01F5"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N</w:t>
            </w:r>
            <w:r w:rsidRPr="00654A0B">
              <w:rPr>
                <w:rFonts w:ascii="Arial" w:hAnsi="Arial" w:cs="Arial"/>
                <w:color w:val="000000"/>
                <w:sz w:val="18"/>
                <w:szCs w:val="18"/>
                <w:vertAlign w:val="subscript"/>
              </w:rPr>
              <w:t>2</w:t>
            </w:r>
            <w:r w:rsidRPr="00654A0B">
              <w:rPr>
                <w:rFonts w:ascii="Arial" w:hAnsi="Arial" w:cs="Arial"/>
                <w:color w:val="000000"/>
                <w:sz w:val="18"/>
                <w:szCs w:val="18"/>
              </w:rPr>
              <w:t>O</w:t>
            </w:r>
          </w:p>
        </w:tc>
        <w:tc>
          <w:tcPr>
            <w:tcW w:w="1231" w:type="dxa"/>
            <w:tcBorders>
              <w:top w:val="single" w:sz="8" w:space="0" w:color="auto"/>
              <w:left w:val="single" w:sz="8" w:space="0" w:color="auto"/>
              <w:bottom w:val="single" w:sz="8" w:space="0" w:color="auto"/>
              <w:right w:val="single" w:sz="8" w:space="0" w:color="auto"/>
            </w:tcBorders>
            <w:vAlign w:val="center"/>
          </w:tcPr>
          <w:p w14:paraId="0690F018" w14:textId="580D61E1" w:rsidR="00AF3FEE" w:rsidRPr="00654A0B" w:rsidRDefault="00AF3FEE" w:rsidP="00692B40">
            <w:pPr>
              <w:spacing w:line="245" w:lineRule="auto"/>
              <w:jc w:val="both"/>
              <w:rPr>
                <w:rFonts w:ascii="Arial" w:hAnsi="Arial" w:cs="Arial"/>
                <w:sz w:val="18"/>
                <w:szCs w:val="18"/>
              </w:rPr>
            </w:pPr>
            <w:r w:rsidRPr="00654A0B">
              <w:rPr>
                <w:rFonts w:ascii="Arial" w:hAnsi="Arial" w:cs="Arial"/>
                <w:color w:val="000000"/>
                <w:sz w:val="18"/>
                <w:szCs w:val="18"/>
              </w:rPr>
              <w:t xml:space="preserve">Ekonomski, </w:t>
            </w:r>
            <w:r w:rsidR="001F48BE">
              <w:rPr>
                <w:rFonts w:ascii="Arial" w:hAnsi="Arial" w:cs="Arial"/>
                <w:color w:val="000000"/>
                <w:sz w:val="18"/>
                <w:szCs w:val="18"/>
              </w:rPr>
              <w:t>i</w:t>
            </w:r>
            <w:r w:rsidRPr="00654A0B">
              <w:rPr>
                <w:rFonts w:ascii="Arial" w:hAnsi="Arial" w:cs="Arial"/>
                <w:color w:val="000000"/>
                <w:sz w:val="18"/>
                <w:szCs w:val="18"/>
              </w:rPr>
              <w:t xml:space="preserve">zobraževalni, </w:t>
            </w:r>
            <w:r w:rsidR="00692B40">
              <w:rPr>
                <w:rFonts w:ascii="Arial" w:hAnsi="Arial" w:cs="Arial"/>
                <w:color w:val="000000"/>
                <w:sz w:val="18"/>
                <w:szCs w:val="18"/>
              </w:rPr>
              <w:lastRenderedPageBreak/>
              <w:t>i</w:t>
            </w:r>
            <w:r w:rsidRPr="00654A0B">
              <w:rPr>
                <w:rFonts w:ascii="Arial" w:hAnsi="Arial" w:cs="Arial"/>
                <w:color w:val="000000"/>
                <w:sz w:val="18"/>
                <w:szCs w:val="18"/>
              </w:rPr>
              <w:t xml:space="preserve">nformacijski, </w:t>
            </w:r>
            <w:r w:rsidR="00692B40">
              <w:rPr>
                <w:rFonts w:ascii="Arial" w:hAnsi="Arial" w:cs="Arial"/>
                <w:color w:val="000000"/>
                <w:sz w:val="18"/>
                <w:szCs w:val="18"/>
              </w:rPr>
              <w:t>r</w:t>
            </w:r>
            <w:r w:rsidRPr="00654A0B">
              <w:rPr>
                <w:rFonts w:ascii="Arial" w:hAnsi="Arial" w:cs="Arial"/>
                <w:color w:val="000000"/>
                <w:sz w:val="18"/>
                <w:szCs w:val="18"/>
              </w:rPr>
              <w:t>aziskovalni</w:t>
            </w:r>
          </w:p>
        </w:tc>
        <w:tc>
          <w:tcPr>
            <w:tcW w:w="1008" w:type="dxa"/>
            <w:tcBorders>
              <w:top w:val="single" w:sz="8" w:space="0" w:color="auto"/>
              <w:left w:val="single" w:sz="8" w:space="0" w:color="auto"/>
              <w:bottom w:val="single" w:sz="8" w:space="0" w:color="auto"/>
              <w:right w:val="single" w:sz="8" w:space="0" w:color="auto"/>
            </w:tcBorders>
            <w:vAlign w:val="center"/>
          </w:tcPr>
          <w:p w14:paraId="01578544"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lastRenderedPageBreak/>
              <w:t>Izveden</w:t>
            </w:r>
          </w:p>
        </w:tc>
        <w:tc>
          <w:tcPr>
            <w:tcW w:w="958" w:type="dxa"/>
            <w:tcBorders>
              <w:top w:val="single" w:sz="8" w:space="0" w:color="auto"/>
              <w:left w:val="single" w:sz="8" w:space="0" w:color="auto"/>
              <w:bottom w:val="single" w:sz="8" w:space="0" w:color="auto"/>
              <w:right w:val="single" w:sz="8" w:space="0" w:color="auto"/>
            </w:tcBorders>
            <w:vAlign w:val="center"/>
          </w:tcPr>
          <w:p w14:paraId="15A02C3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2004</w:t>
            </w:r>
          </w:p>
        </w:tc>
        <w:tc>
          <w:tcPr>
            <w:tcW w:w="813" w:type="dxa"/>
            <w:tcBorders>
              <w:top w:val="single" w:sz="8" w:space="0" w:color="auto"/>
              <w:left w:val="single" w:sz="8" w:space="0" w:color="auto"/>
              <w:bottom w:val="single" w:sz="8" w:space="0" w:color="auto"/>
              <w:right w:val="single" w:sz="8" w:space="0" w:color="auto"/>
            </w:tcBorders>
            <w:vAlign w:val="center"/>
          </w:tcPr>
          <w:p w14:paraId="3CCC06E7" w14:textId="1470D3E6"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3</w:t>
            </w:r>
          </w:p>
        </w:tc>
        <w:tc>
          <w:tcPr>
            <w:tcW w:w="919" w:type="dxa"/>
            <w:tcBorders>
              <w:top w:val="single" w:sz="8" w:space="0" w:color="auto"/>
              <w:left w:val="single" w:sz="8" w:space="0" w:color="auto"/>
              <w:bottom w:val="single" w:sz="8" w:space="0" w:color="auto"/>
              <w:right w:val="single" w:sz="8" w:space="0" w:color="auto"/>
            </w:tcBorders>
            <w:vAlign w:val="center"/>
          </w:tcPr>
          <w:p w14:paraId="7A31AC9C"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MKGP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5EB7D95A"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E1A3520"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8</w:t>
            </w:r>
          </w:p>
        </w:tc>
        <w:tc>
          <w:tcPr>
            <w:tcW w:w="775" w:type="dxa"/>
            <w:tcBorders>
              <w:top w:val="single" w:sz="8" w:space="0" w:color="auto"/>
              <w:left w:val="single" w:sz="8" w:space="0" w:color="auto"/>
              <w:bottom w:val="single" w:sz="8" w:space="0" w:color="auto"/>
              <w:right w:val="single" w:sz="8" w:space="0" w:color="auto"/>
            </w:tcBorders>
            <w:vAlign w:val="center"/>
          </w:tcPr>
          <w:p w14:paraId="5E74E7E3"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M-38</w:t>
            </w:r>
          </w:p>
        </w:tc>
      </w:tr>
      <w:tr w:rsidR="00AF3FEE" w:rsidRPr="00CE5F74" w14:paraId="2E7D42A8"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42C6373B" w14:textId="42AA45A9"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w:t>
            </w:r>
            <w:r w:rsidR="00192C09">
              <w:rPr>
                <w:rFonts w:ascii="Arial" w:hAnsi="Arial" w:cs="Arial"/>
                <w:color w:val="000000"/>
                <w:sz w:val="18"/>
                <w:szCs w:val="18"/>
              </w:rPr>
              <w:t>8</w:t>
            </w:r>
          </w:p>
        </w:tc>
        <w:tc>
          <w:tcPr>
            <w:tcW w:w="1702" w:type="dxa"/>
            <w:tcBorders>
              <w:top w:val="single" w:sz="8" w:space="0" w:color="auto"/>
              <w:left w:val="single" w:sz="8" w:space="0" w:color="auto"/>
              <w:bottom w:val="single" w:sz="8" w:space="0" w:color="auto"/>
              <w:right w:val="single" w:sz="8" w:space="0" w:color="auto"/>
            </w:tcBorders>
            <w:vAlign w:val="center"/>
          </w:tcPr>
          <w:p w14:paraId="4941A7C7"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PREHOD V ODPOREN IN TRAJNOSTNI PREHRANSKI SISTEM</w:t>
            </w:r>
          </w:p>
        </w:tc>
        <w:tc>
          <w:tcPr>
            <w:tcW w:w="2048" w:type="dxa"/>
            <w:tcBorders>
              <w:top w:val="single" w:sz="8" w:space="0" w:color="auto"/>
              <w:left w:val="single" w:sz="8" w:space="0" w:color="auto"/>
              <w:bottom w:val="single" w:sz="8" w:space="0" w:color="auto"/>
              <w:right w:val="single" w:sz="8" w:space="0" w:color="auto"/>
            </w:tcBorders>
            <w:vAlign w:val="center"/>
          </w:tcPr>
          <w:p w14:paraId="76CE52DC" w14:textId="44DD6150" w:rsidR="00AF3FEE" w:rsidRPr="00654A0B" w:rsidRDefault="00AF3FEE" w:rsidP="00692B40">
            <w:pPr>
              <w:spacing w:line="245" w:lineRule="auto"/>
              <w:jc w:val="both"/>
              <w:rPr>
                <w:rFonts w:ascii="Arial" w:hAnsi="Arial" w:cs="Arial"/>
                <w:sz w:val="18"/>
                <w:szCs w:val="18"/>
              </w:rPr>
            </w:pPr>
            <w:r w:rsidRPr="00654A0B">
              <w:rPr>
                <w:rFonts w:ascii="Arial" w:hAnsi="Arial" w:cs="Arial"/>
                <w:color w:val="000000"/>
                <w:sz w:val="18"/>
                <w:szCs w:val="18"/>
              </w:rPr>
              <w:t xml:space="preserve">Sistemski in </w:t>
            </w:r>
            <w:r w:rsidR="00692B40">
              <w:rPr>
                <w:rFonts w:ascii="Arial" w:hAnsi="Arial" w:cs="Arial"/>
                <w:color w:val="000000"/>
                <w:sz w:val="18"/>
                <w:szCs w:val="18"/>
              </w:rPr>
              <w:t xml:space="preserve">posebni </w:t>
            </w:r>
            <w:r w:rsidRPr="00654A0B">
              <w:rPr>
                <w:rFonts w:ascii="Arial" w:hAnsi="Arial" w:cs="Arial"/>
                <w:color w:val="000000"/>
                <w:sz w:val="18"/>
                <w:szCs w:val="18"/>
              </w:rPr>
              <w:t xml:space="preserve">ukrepi za prehod v </w:t>
            </w:r>
            <w:r w:rsidR="00692B40">
              <w:rPr>
                <w:rFonts w:ascii="Arial" w:hAnsi="Arial" w:cs="Arial"/>
                <w:color w:val="000000"/>
                <w:sz w:val="18"/>
                <w:szCs w:val="18"/>
              </w:rPr>
              <w:t xml:space="preserve">bolj </w:t>
            </w:r>
            <w:r w:rsidR="00692B40" w:rsidRPr="00654A0B">
              <w:rPr>
                <w:rFonts w:ascii="Arial" w:hAnsi="Arial" w:cs="Arial"/>
                <w:color w:val="000000"/>
                <w:sz w:val="18"/>
                <w:szCs w:val="18"/>
              </w:rPr>
              <w:t>trajnostn</w:t>
            </w:r>
            <w:r w:rsidR="00692B40">
              <w:rPr>
                <w:rFonts w:ascii="Arial" w:hAnsi="Arial" w:cs="Arial"/>
                <w:color w:val="000000"/>
                <w:sz w:val="18"/>
                <w:szCs w:val="18"/>
              </w:rPr>
              <w:t>i</w:t>
            </w:r>
            <w:r w:rsidR="00692B40" w:rsidRPr="00654A0B">
              <w:rPr>
                <w:rFonts w:ascii="Arial" w:hAnsi="Arial" w:cs="Arial"/>
                <w:color w:val="000000"/>
                <w:sz w:val="18"/>
                <w:szCs w:val="18"/>
              </w:rPr>
              <w:t xml:space="preserve"> </w:t>
            </w:r>
            <w:r w:rsidRPr="00654A0B">
              <w:rPr>
                <w:rFonts w:ascii="Arial" w:hAnsi="Arial" w:cs="Arial"/>
                <w:color w:val="000000"/>
                <w:sz w:val="18"/>
                <w:szCs w:val="18"/>
              </w:rPr>
              <w:t>prehranski sistem</w:t>
            </w:r>
          </w:p>
        </w:tc>
        <w:tc>
          <w:tcPr>
            <w:tcW w:w="1873" w:type="dxa"/>
            <w:tcBorders>
              <w:top w:val="single" w:sz="8" w:space="0" w:color="auto"/>
              <w:left w:val="single" w:sz="8" w:space="0" w:color="auto"/>
              <w:bottom w:val="single" w:sz="8" w:space="0" w:color="auto"/>
              <w:right w:val="single" w:sz="8" w:space="0" w:color="auto"/>
            </w:tcBorders>
            <w:vAlign w:val="center"/>
          </w:tcPr>
          <w:p w14:paraId="644DAC65" w14:textId="7BEB22E2"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Potrošnja hrane z manjši</w:t>
            </w:r>
            <w:r w:rsidR="001F48BE">
              <w:rPr>
                <w:rFonts w:ascii="Arial" w:hAnsi="Arial" w:cs="Arial"/>
                <w:color w:val="000000"/>
                <w:sz w:val="18"/>
                <w:szCs w:val="18"/>
              </w:rPr>
              <w:t>m</w:t>
            </w:r>
            <w:r w:rsidRPr="00654A0B">
              <w:rPr>
                <w:rFonts w:ascii="Arial" w:hAnsi="Arial" w:cs="Arial"/>
                <w:color w:val="000000"/>
                <w:sz w:val="18"/>
                <w:szCs w:val="18"/>
              </w:rPr>
              <w:t xml:space="preserve"> ogljičnim odtisom in zmanjšanje odpadne hrane</w:t>
            </w:r>
          </w:p>
        </w:tc>
        <w:tc>
          <w:tcPr>
            <w:tcW w:w="928" w:type="dxa"/>
            <w:tcBorders>
              <w:top w:val="single" w:sz="8" w:space="0" w:color="auto"/>
              <w:left w:val="single" w:sz="8" w:space="0" w:color="auto"/>
              <w:bottom w:val="single" w:sz="8" w:space="0" w:color="auto"/>
              <w:right w:val="single" w:sz="8" w:space="0" w:color="auto"/>
            </w:tcBorders>
            <w:vAlign w:val="center"/>
          </w:tcPr>
          <w:p w14:paraId="12DB7CE1"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CH</w:t>
            </w:r>
            <w:r w:rsidRPr="00654A0B">
              <w:rPr>
                <w:rFonts w:ascii="Arial" w:hAnsi="Arial" w:cs="Arial"/>
                <w:color w:val="000000"/>
                <w:sz w:val="18"/>
                <w:szCs w:val="18"/>
                <w:vertAlign w:val="subscript"/>
              </w:rPr>
              <w:t>4</w:t>
            </w:r>
            <w:r w:rsidRPr="00654A0B">
              <w:rPr>
                <w:rFonts w:ascii="Arial" w:hAnsi="Arial" w:cs="Arial"/>
                <w:color w:val="000000"/>
                <w:sz w:val="18"/>
                <w:szCs w:val="18"/>
              </w:rPr>
              <w:t>, N</w:t>
            </w:r>
            <w:r w:rsidRPr="00654A0B">
              <w:rPr>
                <w:rFonts w:ascii="Arial" w:hAnsi="Arial" w:cs="Arial"/>
                <w:color w:val="000000"/>
                <w:sz w:val="18"/>
                <w:szCs w:val="18"/>
                <w:vertAlign w:val="subscript"/>
              </w:rPr>
              <w:t>2</w:t>
            </w:r>
            <w:r w:rsidRPr="00654A0B">
              <w:rPr>
                <w:rFonts w:ascii="Arial" w:hAnsi="Arial" w:cs="Arial"/>
                <w:color w:val="000000"/>
                <w:sz w:val="18"/>
                <w:szCs w:val="18"/>
              </w:rPr>
              <w:t>O</w:t>
            </w:r>
          </w:p>
        </w:tc>
        <w:tc>
          <w:tcPr>
            <w:tcW w:w="1231" w:type="dxa"/>
            <w:tcBorders>
              <w:top w:val="single" w:sz="8" w:space="0" w:color="auto"/>
              <w:left w:val="single" w:sz="8" w:space="0" w:color="auto"/>
              <w:bottom w:val="single" w:sz="8" w:space="0" w:color="auto"/>
              <w:right w:val="single" w:sz="8" w:space="0" w:color="auto"/>
            </w:tcBorders>
            <w:vAlign w:val="center"/>
          </w:tcPr>
          <w:p w14:paraId="09528395" w14:textId="32747287" w:rsidR="00AF3FEE" w:rsidRPr="00654A0B" w:rsidRDefault="00AF3FEE" w:rsidP="00692B40">
            <w:pPr>
              <w:spacing w:line="245" w:lineRule="auto"/>
              <w:jc w:val="both"/>
              <w:rPr>
                <w:rFonts w:ascii="Arial" w:hAnsi="Arial" w:cs="Arial"/>
                <w:sz w:val="18"/>
                <w:szCs w:val="18"/>
              </w:rPr>
            </w:pPr>
            <w:r w:rsidRPr="00654A0B">
              <w:rPr>
                <w:rFonts w:ascii="Arial" w:hAnsi="Arial" w:cs="Arial"/>
                <w:color w:val="000000"/>
                <w:sz w:val="18"/>
                <w:szCs w:val="18"/>
              </w:rPr>
              <w:t xml:space="preserve">Načrtovalni, </w:t>
            </w:r>
            <w:r w:rsidR="001F48BE">
              <w:rPr>
                <w:rFonts w:ascii="Arial" w:hAnsi="Arial" w:cs="Arial"/>
                <w:color w:val="000000"/>
                <w:sz w:val="18"/>
                <w:szCs w:val="18"/>
              </w:rPr>
              <w:t>e</w:t>
            </w:r>
            <w:r w:rsidRPr="00654A0B">
              <w:rPr>
                <w:rFonts w:ascii="Arial" w:hAnsi="Arial" w:cs="Arial"/>
                <w:color w:val="000000"/>
                <w:sz w:val="18"/>
                <w:szCs w:val="18"/>
              </w:rPr>
              <w:t xml:space="preserve">konomski, </w:t>
            </w:r>
            <w:r w:rsidR="00692B40">
              <w:rPr>
                <w:rFonts w:ascii="Arial" w:hAnsi="Arial" w:cs="Arial"/>
                <w:color w:val="000000"/>
                <w:sz w:val="18"/>
                <w:szCs w:val="18"/>
              </w:rPr>
              <w:t>i</w:t>
            </w:r>
            <w:r w:rsidRPr="00654A0B">
              <w:rPr>
                <w:rFonts w:ascii="Arial" w:hAnsi="Arial" w:cs="Arial"/>
                <w:color w:val="000000"/>
                <w:sz w:val="18"/>
                <w:szCs w:val="18"/>
              </w:rPr>
              <w:t>nformacijski</w:t>
            </w:r>
          </w:p>
        </w:tc>
        <w:tc>
          <w:tcPr>
            <w:tcW w:w="1008" w:type="dxa"/>
            <w:tcBorders>
              <w:top w:val="single" w:sz="8" w:space="0" w:color="auto"/>
              <w:left w:val="single" w:sz="8" w:space="0" w:color="auto"/>
              <w:bottom w:val="single" w:sz="8" w:space="0" w:color="auto"/>
              <w:right w:val="single" w:sz="8" w:space="0" w:color="auto"/>
            </w:tcBorders>
            <w:vAlign w:val="center"/>
          </w:tcPr>
          <w:p w14:paraId="3D8E9550"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2203020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2004</w:t>
            </w:r>
          </w:p>
        </w:tc>
        <w:tc>
          <w:tcPr>
            <w:tcW w:w="813" w:type="dxa"/>
            <w:tcBorders>
              <w:top w:val="single" w:sz="8" w:space="0" w:color="auto"/>
              <w:left w:val="single" w:sz="8" w:space="0" w:color="auto"/>
              <w:bottom w:val="single" w:sz="8" w:space="0" w:color="auto"/>
              <w:right w:val="single" w:sz="8" w:space="0" w:color="auto"/>
            </w:tcBorders>
            <w:vAlign w:val="center"/>
          </w:tcPr>
          <w:p w14:paraId="68713921" w14:textId="385A7F68"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3</w:t>
            </w:r>
          </w:p>
        </w:tc>
        <w:tc>
          <w:tcPr>
            <w:tcW w:w="919" w:type="dxa"/>
            <w:tcBorders>
              <w:top w:val="single" w:sz="8" w:space="0" w:color="auto"/>
              <w:left w:val="single" w:sz="8" w:space="0" w:color="auto"/>
              <w:bottom w:val="single" w:sz="8" w:space="0" w:color="auto"/>
              <w:right w:val="single" w:sz="8" w:space="0" w:color="auto"/>
            </w:tcBorders>
            <w:vAlign w:val="center"/>
          </w:tcPr>
          <w:p w14:paraId="5AA9937C" w14:textId="77777777" w:rsidR="00AF3FEE" w:rsidRPr="00654A0B" w:rsidRDefault="00AF3FEE" w:rsidP="00AF3FEE">
            <w:pPr>
              <w:spacing w:line="245" w:lineRule="auto"/>
              <w:jc w:val="both"/>
              <w:rPr>
                <w:rFonts w:ascii="Arial" w:hAnsi="Arial" w:cs="Arial"/>
                <w:noProof/>
                <w:sz w:val="18"/>
                <w:szCs w:val="18"/>
              </w:rPr>
            </w:pPr>
            <w:r w:rsidRPr="00654A0B">
              <w:rPr>
                <w:rFonts w:ascii="Arial" w:hAnsi="Arial" w:cs="Arial"/>
                <w:color w:val="000000"/>
                <w:sz w:val="18"/>
                <w:szCs w:val="18"/>
              </w:rPr>
              <w:t>MKGP, MOPE, MZ, MVZI, MJU</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68BD67C"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2DB0361B"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C18623A" w14:textId="77777777" w:rsidR="00AF3FEE" w:rsidRPr="00654A0B" w:rsidRDefault="00AF3FEE" w:rsidP="00AF3FEE">
            <w:pPr>
              <w:spacing w:line="245" w:lineRule="auto"/>
              <w:jc w:val="both"/>
              <w:rPr>
                <w:rFonts w:ascii="Arial" w:hAnsi="Arial" w:cs="Arial"/>
                <w:sz w:val="18"/>
                <w:szCs w:val="18"/>
              </w:rPr>
            </w:pPr>
            <w:r w:rsidRPr="00654A0B">
              <w:rPr>
                <w:rFonts w:ascii="Arial" w:hAnsi="Arial" w:cs="Arial"/>
                <w:color w:val="000000"/>
                <w:sz w:val="18"/>
                <w:szCs w:val="18"/>
              </w:rPr>
              <w:t>/</w:t>
            </w:r>
          </w:p>
        </w:tc>
      </w:tr>
      <w:tr w:rsidR="00AF3FEE" w:rsidRPr="00CE5F74" w14:paraId="545FC368"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vAlign w:val="center"/>
          </w:tcPr>
          <w:p w14:paraId="1672FCFA" w14:textId="77777777" w:rsidR="00AF3FEE" w:rsidRPr="00654A0B" w:rsidRDefault="00AF3FEE" w:rsidP="00AF3FEE">
            <w:pPr>
              <w:spacing w:line="245" w:lineRule="auto"/>
              <w:jc w:val="both"/>
              <w:rPr>
                <w:rFonts w:ascii="Arial" w:hAnsi="Arial" w:cs="Arial"/>
                <w:b/>
                <w:bCs/>
                <w:color w:val="000000"/>
                <w:sz w:val="18"/>
                <w:szCs w:val="18"/>
              </w:rPr>
            </w:pPr>
            <w:r w:rsidRPr="00654A0B">
              <w:rPr>
                <w:rFonts w:ascii="Arial" w:hAnsi="Arial" w:cs="Arial"/>
                <w:b/>
                <w:bCs/>
                <w:color w:val="000000"/>
                <w:sz w:val="18"/>
                <w:szCs w:val="18"/>
              </w:rPr>
              <w:t>LULUCF</w:t>
            </w:r>
          </w:p>
        </w:tc>
      </w:tr>
      <w:tr w:rsidR="00AF3FEE" w:rsidRPr="00CE5F74" w14:paraId="1E0EC0F3" w14:textId="77777777" w:rsidTr="009B3FC7">
        <w:trPr>
          <w:gridAfter w:val="1"/>
          <w:wAfter w:w="26" w:type="dxa"/>
        </w:trPr>
        <w:tc>
          <w:tcPr>
            <w:tcW w:w="708" w:type="dxa"/>
            <w:tcBorders>
              <w:top w:val="single" w:sz="8" w:space="0" w:color="auto"/>
              <w:left w:val="single" w:sz="8" w:space="0" w:color="auto"/>
              <w:bottom w:val="single" w:sz="8" w:space="0" w:color="auto"/>
              <w:right w:val="single" w:sz="8" w:space="0" w:color="auto"/>
            </w:tcBorders>
          </w:tcPr>
          <w:p w14:paraId="78D85CA5" w14:textId="193F413C" w:rsidR="00AF3FEE" w:rsidRPr="00654A0B" w:rsidRDefault="00F43975" w:rsidP="00AF3FEE">
            <w:pPr>
              <w:spacing w:line="245" w:lineRule="auto"/>
              <w:jc w:val="both"/>
              <w:rPr>
                <w:rFonts w:ascii="Arial" w:eastAsia="Tahoma" w:hAnsi="Arial" w:cs="Arial"/>
                <w:noProof/>
                <w:sz w:val="18"/>
                <w:szCs w:val="18"/>
              </w:rPr>
            </w:pPr>
            <w:r>
              <w:rPr>
                <w:rFonts w:ascii="Arial" w:eastAsia="Tahoma" w:hAnsi="Arial" w:cs="Arial"/>
                <w:noProof/>
                <w:sz w:val="18"/>
                <w:szCs w:val="18"/>
              </w:rPr>
              <w:t>M-49</w:t>
            </w:r>
          </w:p>
        </w:tc>
        <w:tc>
          <w:tcPr>
            <w:tcW w:w="1702" w:type="dxa"/>
            <w:tcBorders>
              <w:top w:val="single" w:sz="8" w:space="0" w:color="auto"/>
              <w:left w:val="single" w:sz="8" w:space="0" w:color="auto"/>
              <w:bottom w:val="single" w:sz="8" w:space="0" w:color="auto"/>
              <w:right w:val="single" w:sz="8" w:space="0" w:color="auto"/>
            </w:tcBorders>
            <w:vAlign w:val="center"/>
          </w:tcPr>
          <w:p w14:paraId="1F672D6A"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sz w:val="18"/>
                <w:szCs w:val="18"/>
              </w:rPr>
              <w:fldChar w:fldCharType="begin"/>
            </w:r>
            <w:r w:rsidRPr="00654A0B">
              <w:rPr>
                <w:rFonts w:ascii="Arial" w:hAnsi="Arial" w:cs="Arial"/>
                <w:caps/>
                <w:sz w:val="18"/>
                <w:szCs w:val="18"/>
              </w:rPr>
              <w:instrText xml:space="preserve"> REF _Ref192846586 \h  \* MERGEFORMAT </w:instrText>
            </w:r>
            <w:r w:rsidRPr="00654A0B">
              <w:rPr>
                <w:rFonts w:ascii="Arial" w:hAnsi="Arial" w:cs="Arial"/>
                <w:caps/>
                <w:sz w:val="18"/>
                <w:szCs w:val="18"/>
              </w:rPr>
            </w:r>
            <w:r w:rsidRPr="00654A0B">
              <w:rPr>
                <w:rFonts w:ascii="Arial" w:hAnsi="Arial" w:cs="Arial"/>
                <w:caps/>
                <w:sz w:val="18"/>
                <w:szCs w:val="18"/>
              </w:rPr>
              <w:fldChar w:fldCharType="separate"/>
            </w:r>
            <w:r w:rsidRPr="00654A0B">
              <w:rPr>
                <w:rFonts w:ascii="Arial" w:hAnsi="Arial" w:cs="Arial"/>
                <w:caps/>
                <w:sz w:val="18"/>
                <w:szCs w:val="18"/>
              </w:rPr>
              <w:t>Trajnostno gospodarjenje z gozdovi</w:t>
            </w:r>
            <w:r w:rsidRPr="00654A0B">
              <w:rPr>
                <w:rFonts w:ascii="Arial" w:hAnsi="Arial" w:cs="Arial"/>
                <w:caps/>
                <w:sz w:val="18"/>
                <w:szCs w:val="18"/>
              </w:rPr>
              <w:fldChar w:fldCharType="end"/>
            </w:r>
          </w:p>
        </w:tc>
        <w:tc>
          <w:tcPr>
            <w:tcW w:w="2048" w:type="dxa"/>
            <w:tcBorders>
              <w:top w:val="single" w:sz="8" w:space="0" w:color="auto"/>
              <w:left w:val="single" w:sz="8" w:space="0" w:color="auto"/>
              <w:bottom w:val="single" w:sz="8" w:space="0" w:color="auto"/>
              <w:right w:val="single" w:sz="8" w:space="0" w:color="auto"/>
            </w:tcBorders>
          </w:tcPr>
          <w:p w14:paraId="5445FE91" w14:textId="02D694DF" w:rsidR="00AF3FEE" w:rsidRPr="00654A0B" w:rsidRDefault="00AF3FEE" w:rsidP="001F48BE">
            <w:pPr>
              <w:spacing w:line="245" w:lineRule="auto"/>
              <w:jc w:val="both"/>
              <w:rPr>
                <w:rFonts w:ascii="Arial" w:hAnsi="Arial" w:cs="Arial"/>
                <w:sz w:val="18"/>
                <w:szCs w:val="18"/>
              </w:rPr>
            </w:pPr>
            <w:r w:rsidRPr="00654A0B">
              <w:rPr>
                <w:rFonts w:ascii="Arial" w:eastAsia="Tahoma" w:hAnsi="Arial" w:cs="Arial"/>
                <w:noProof/>
                <w:sz w:val="18"/>
                <w:szCs w:val="18"/>
              </w:rPr>
              <w:t xml:space="preserve">Trajnostno gospodarjenje z gozdovi v skladu z Zakonom o gozdovih </w:t>
            </w:r>
            <w:r w:rsidR="001F48BE">
              <w:rPr>
                <w:rFonts w:ascii="Arial" w:eastAsia="Tahoma" w:hAnsi="Arial" w:cs="Arial"/>
                <w:noProof/>
                <w:sz w:val="18"/>
                <w:szCs w:val="18"/>
              </w:rPr>
              <w:t>in</w:t>
            </w:r>
            <w:r w:rsidR="001F48BE" w:rsidRPr="00654A0B">
              <w:rPr>
                <w:rFonts w:ascii="Arial" w:eastAsia="Tahoma" w:hAnsi="Arial" w:cs="Arial"/>
                <w:noProof/>
                <w:sz w:val="18"/>
                <w:szCs w:val="18"/>
              </w:rPr>
              <w:t xml:space="preserve"> </w:t>
            </w:r>
            <w:r w:rsidRPr="00654A0B">
              <w:rPr>
                <w:rFonts w:ascii="Arial" w:eastAsia="Tahoma" w:hAnsi="Arial" w:cs="Arial"/>
                <w:noProof/>
                <w:sz w:val="18"/>
                <w:szCs w:val="18"/>
              </w:rPr>
              <w:t>Nacionalnim gozdnim programom</w:t>
            </w:r>
          </w:p>
        </w:tc>
        <w:tc>
          <w:tcPr>
            <w:tcW w:w="1873" w:type="dxa"/>
            <w:tcBorders>
              <w:top w:val="single" w:sz="8" w:space="0" w:color="auto"/>
              <w:left w:val="single" w:sz="8" w:space="0" w:color="auto"/>
              <w:bottom w:val="single" w:sz="8" w:space="0" w:color="auto"/>
              <w:right w:val="single" w:sz="8" w:space="0" w:color="auto"/>
            </w:tcBorders>
          </w:tcPr>
          <w:p w14:paraId="1C43F052" w14:textId="77777777" w:rsidR="00AF3FEE" w:rsidRPr="00654A0B" w:rsidRDefault="00AF3FEE" w:rsidP="00AF3FEE">
            <w:pPr>
              <w:spacing w:line="245" w:lineRule="auto"/>
              <w:jc w:val="both"/>
              <w:rPr>
                <w:rFonts w:ascii="Arial" w:hAnsi="Arial" w:cs="Arial"/>
                <w:sz w:val="18"/>
                <w:szCs w:val="18"/>
              </w:rPr>
            </w:pPr>
            <w:r w:rsidRPr="00654A0B">
              <w:rPr>
                <w:rFonts w:ascii="Arial" w:eastAsia="Tahoma" w:hAnsi="Arial" w:cs="Arial"/>
                <w:noProof/>
                <w:sz w:val="18"/>
                <w:szCs w:val="18"/>
              </w:rPr>
              <w:t>Shranjevanje ogljika v gozdovih, ohranjanje/povečanje ponora</w:t>
            </w:r>
          </w:p>
        </w:tc>
        <w:tc>
          <w:tcPr>
            <w:tcW w:w="928" w:type="dxa"/>
            <w:tcBorders>
              <w:top w:val="single" w:sz="8" w:space="0" w:color="auto"/>
              <w:left w:val="single" w:sz="8" w:space="0" w:color="auto"/>
              <w:bottom w:val="single" w:sz="8" w:space="0" w:color="auto"/>
              <w:right w:val="single" w:sz="8" w:space="0" w:color="auto"/>
            </w:tcBorders>
            <w:vAlign w:val="center"/>
          </w:tcPr>
          <w:p w14:paraId="756745FD" w14:textId="54B85DA7" w:rsidR="00AF3FEE" w:rsidRPr="00654A0B" w:rsidRDefault="009B3FC7" w:rsidP="00AF3FEE">
            <w:pPr>
              <w:spacing w:line="245" w:lineRule="auto"/>
              <w:jc w:val="both"/>
              <w:rPr>
                <w:rFonts w:ascii="Arial" w:hAnsi="Arial" w:cs="Arial"/>
                <w:sz w:val="18"/>
                <w:szCs w:val="18"/>
              </w:rPr>
            </w:pPr>
            <w:r w:rsidRPr="006A74D9">
              <w:rPr>
                <w:rFonts w:ascii="Arial" w:hAnsi="Arial" w:cs="Arial"/>
                <w:color w:val="000000"/>
                <w:sz w:val="18"/>
                <w:szCs w:val="18"/>
              </w:rPr>
              <w:t>CO</w:t>
            </w:r>
            <w:r w:rsidRPr="006A74D9">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15F4F0B3" w14:textId="77777777" w:rsidR="00AF3FEE" w:rsidRPr="00654A0B" w:rsidRDefault="00AF3FEE" w:rsidP="00AF3FEE">
            <w:pPr>
              <w:spacing w:line="245" w:lineRule="auto"/>
              <w:jc w:val="both"/>
              <w:rPr>
                <w:rFonts w:ascii="Arial" w:hAnsi="Arial" w:cs="Arial"/>
                <w:sz w:val="18"/>
                <w:szCs w:val="18"/>
              </w:rPr>
            </w:pPr>
            <w:r w:rsidRPr="00654A0B">
              <w:rPr>
                <w:rFonts w:ascii="Arial" w:eastAsia="Tahoma" w:hAnsi="Arial" w:cs="Arial"/>
                <w:noProof/>
                <w:sz w:val="18"/>
                <w:szCs w:val="18"/>
              </w:rPr>
              <w:t>Zakonodajni, načrtovalski, izobraževalni, ekonomski</w:t>
            </w:r>
          </w:p>
        </w:tc>
        <w:tc>
          <w:tcPr>
            <w:tcW w:w="1008" w:type="dxa"/>
            <w:tcBorders>
              <w:top w:val="single" w:sz="8" w:space="0" w:color="auto"/>
              <w:left w:val="single" w:sz="8" w:space="0" w:color="auto"/>
              <w:bottom w:val="single" w:sz="8" w:space="0" w:color="auto"/>
              <w:right w:val="single" w:sz="8" w:space="0" w:color="auto"/>
            </w:tcBorders>
            <w:vAlign w:val="center"/>
          </w:tcPr>
          <w:p w14:paraId="70C2CB2E" w14:textId="77777777" w:rsidR="00AF3FEE" w:rsidRPr="00654A0B" w:rsidRDefault="00AF3FEE" w:rsidP="00AF3FEE">
            <w:pPr>
              <w:spacing w:line="245" w:lineRule="auto"/>
              <w:jc w:val="both"/>
              <w:rPr>
                <w:rFonts w:ascii="Arial" w:hAnsi="Arial" w:cs="Arial"/>
                <w:sz w:val="18"/>
                <w:szCs w:val="18"/>
              </w:rPr>
            </w:pPr>
            <w:r w:rsidRPr="00654A0B">
              <w:rPr>
                <w:rFonts w:ascii="Arial" w:eastAsia="Tahoma" w:hAnsi="Arial" w:cs="Arial"/>
                <w:noProof/>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7BF9A0D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1971</w:t>
            </w:r>
          </w:p>
        </w:tc>
        <w:tc>
          <w:tcPr>
            <w:tcW w:w="813" w:type="dxa"/>
            <w:tcBorders>
              <w:top w:val="single" w:sz="8" w:space="0" w:color="auto"/>
              <w:left w:val="single" w:sz="8" w:space="0" w:color="auto"/>
              <w:bottom w:val="single" w:sz="8" w:space="0" w:color="auto"/>
              <w:right w:val="single" w:sz="8" w:space="0" w:color="auto"/>
            </w:tcBorders>
            <w:vAlign w:val="center"/>
          </w:tcPr>
          <w:p w14:paraId="329C3F22" w14:textId="7D19EB8D"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4</w:t>
            </w:r>
          </w:p>
        </w:tc>
        <w:tc>
          <w:tcPr>
            <w:tcW w:w="919" w:type="dxa"/>
            <w:tcBorders>
              <w:top w:val="single" w:sz="8" w:space="0" w:color="auto"/>
              <w:left w:val="single" w:sz="8" w:space="0" w:color="auto"/>
              <w:bottom w:val="single" w:sz="8" w:space="0" w:color="auto"/>
              <w:right w:val="single" w:sz="8" w:space="0" w:color="auto"/>
            </w:tcBorders>
            <w:vAlign w:val="center"/>
          </w:tcPr>
          <w:p w14:paraId="2F2ECBE7" w14:textId="77777777" w:rsidR="00AF3FEE" w:rsidRPr="00654A0B" w:rsidRDefault="00AF3FEE" w:rsidP="00AF3FEE">
            <w:pPr>
              <w:spacing w:line="245" w:lineRule="auto"/>
              <w:jc w:val="both"/>
              <w:rPr>
                <w:rFonts w:ascii="Arial" w:hAnsi="Arial" w:cs="Arial"/>
                <w:noProof/>
                <w:sz w:val="18"/>
                <w:szCs w:val="18"/>
              </w:rPr>
            </w:pPr>
            <w:r w:rsidRPr="00654A0B">
              <w:rPr>
                <w:rFonts w:ascii="Arial" w:eastAsia="Tahoma" w:hAnsi="Arial" w:cs="Arial"/>
                <w:noProof/>
                <w:sz w:val="18"/>
                <w:szCs w:val="18"/>
              </w:rPr>
              <w:t>MKGP, ZGS</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1511A8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0F72D2E8" w14:textId="77777777" w:rsidR="00AF3FEE" w:rsidRPr="00654A0B" w:rsidRDefault="00AF3FEE" w:rsidP="00AF3FEE">
            <w:pPr>
              <w:spacing w:line="245" w:lineRule="auto"/>
              <w:jc w:val="both"/>
              <w:rPr>
                <w:rFonts w:ascii="Arial" w:eastAsia="Tahoma" w:hAnsi="Arial" w:cs="Arial"/>
                <w:noProof/>
                <w:sz w:val="18"/>
                <w:szCs w:val="18"/>
                <w:highlight w:val="green"/>
              </w:rPr>
            </w:pPr>
            <w:r w:rsidRPr="00654A0B">
              <w:rPr>
                <w:rFonts w:ascii="Arial" w:eastAsia="Tahoma" w:hAnsi="Arial" w:cs="Arial"/>
                <w:noProof/>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4311D46A" w14:textId="77777777" w:rsidR="00AF3FEE" w:rsidRPr="00654A0B" w:rsidRDefault="00AF3FEE" w:rsidP="00AF3FEE">
            <w:pPr>
              <w:spacing w:line="245" w:lineRule="auto"/>
              <w:jc w:val="both"/>
              <w:rPr>
                <w:rFonts w:ascii="Arial" w:hAnsi="Arial" w:cs="Arial"/>
                <w:sz w:val="18"/>
                <w:szCs w:val="18"/>
              </w:rPr>
            </w:pPr>
            <w:r w:rsidRPr="00654A0B">
              <w:rPr>
                <w:rFonts w:ascii="Arial" w:eastAsia="Tahoma" w:hAnsi="Arial" w:cs="Arial"/>
                <w:noProof/>
                <w:sz w:val="18"/>
                <w:szCs w:val="18"/>
              </w:rPr>
              <w:t>M-44</w:t>
            </w:r>
          </w:p>
        </w:tc>
      </w:tr>
      <w:tr w:rsidR="00AF3FEE" w:rsidRPr="00CE5F74" w14:paraId="1EAD8842" w14:textId="77777777" w:rsidTr="009B3FC7">
        <w:trPr>
          <w:gridAfter w:val="1"/>
          <w:wAfter w:w="26" w:type="dxa"/>
        </w:trPr>
        <w:tc>
          <w:tcPr>
            <w:tcW w:w="708" w:type="dxa"/>
            <w:tcBorders>
              <w:top w:val="single" w:sz="8" w:space="0" w:color="auto"/>
              <w:left w:val="single" w:sz="8" w:space="0" w:color="auto"/>
              <w:bottom w:val="single" w:sz="8" w:space="0" w:color="auto"/>
              <w:right w:val="single" w:sz="8" w:space="0" w:color="auto"/>
            </w:tcBorders>
          </w:tcPr>
          <w:p w14:paraId="370CE6F8" w14:textId="2AB6504C" w:rsidR="00AF3FEE" w:rsidRPr="00654A0B" w:rsidRDefault="00F43975" w:rsidP="00AF3FEE">
            <w:pPr>
              <w:spacing w:line="245" w:lineRule="auto"/>
              <w:jc w:val="both"/>
              <w:rPr>
                <w:rFonts w:ascii="Arial" w:eastAsia="Tahoma" w:hAnsi="Arial" w:cs="Arial"/>
                <w:noProof/>
                <w:sz w:val="18"/>
                <w:szCs w:val="18"/>
              </w:rPr>
            </w:pPr>
            <w:r>
              <w:rPr>
                <w:rFonts w:ascii="Arial" w:eastAsia="Tahoma" w:hAnsi="Arial" w:cs="Arial"/>
                <w:noProof/>
                <w:sz w:val="18"/>
                <w:szCs w:val="18"/>
              </w:rPr>
              <w:t>M-50</w:t>
            </w:r>
          </w:p>
        </w:tc>
        <w:tc>
          <w:tcPr>
            <w:tcW w:w="1702" w:type="dxa"/>
            <w:tcBorders>
              <w:top w:val="single" w:sz="8" w:space="0" w:color="auto"/>
              <w:left w:val="single" w:sz="8" w:space="0" w:color="auto"/>
              <w:bottom w:val="single" w:sz="8" w:space="0" w:color="auto"/>
              <w:right w:val="single" w:sz="8" w:space="0" w:color="auto"/>
            </w:tcBorders>
            <w:vAlign w:val="center"/>
          </w:tcPr>
          <w:p w14:paraId="050596E2"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aps/>
                <w:sz w:val="18"/>
                <w:szCs w:val="18"/>
              </w:rPr>
              <w:fldChar w:fldCharType="begin"/>
            </w:r>
            <w:r w:rsidRPr="00654A0B">
              <w:rPr>
                <w:rFonts w:ascii="Arial" w:hAnsi="Arial" w:cs="Arial"/>
                <w:caps/>
                <w:sz w:val="18"/>
                <w:szCs w:val="18"/>
              </w:rPr>
              <w:instrText xml:space="preserve"> REF _Ref192846800 \h  \* MERGEFORMAT </w:instrText>
            </w:r>
            <w:r w:rsidRPr="00654A0B">
              <w:rPr>
                <w:rFonts w:ascii="Arial" w:hAnsi="Arial" w:cs="Arial"/>
                <w:caps/>
                <w:sz w:val="18"/>
                <w:szCs w:val="18"/>
              </w:rPr>
            </w:r>
            <w:r w:rsidRPr="00654A0B">
              <w:rPr>
                <w:rFonts w:ascii="Arial" w:hAnsi="Arial" w:cs="Arial"/>
                <w:caps/>
                <w:sz w:val="18"/>
                <w:szCs w:val="18"/>
              </w:rPr>
              <w:fldChar w:fldCharType="separate"/>
            </w:r>
            <w:r w:rsidRPr="00654A0B">
              <w:rPr>
                <w:rFonts w:ascii="Arial" w:hAnsi="Arial" w:cs="Arial"/>
                <w:caps/>
                <w:sz w:val="18"/>
                <w:szCs w:val="18"/>
              </w:rPr>
              <w:t>Druge aktivnosti za zmanjšanje emisij in povečanje ponorov v sektorju LULUCF</w:t>
            </w:r>
            <w:r w:rsidRPr="00654A0B">
              <w:rPr>
                <w:rFonts w:ascii="Arial" w:hAnsi="Arial" w:cs="Arial"/>
                <w:caps/>
                <w:sz w:val="18"/>
                <w:szCs w:val="18"/>
              </w:rPr>
              <w:fldChar w:fldCharType="end"/>
            </w:r>
          </w:p>
        </w:tc>
        <w:tc>
          <w:tcPr>
            <w:tcW w:w="2048" w:type="dxa"/>
            <w:tcBorders>
              <w:top w:val="single" w:sz="8" w:space="0" w:color="auto"/>
              <w:left w:val="single" w:sz="8" w:space="0" w:color="auto"/>
              <w:bottom w:val="single" w:sz="8" w:space="0" w:color="auto"/>
              <w:right w:val="single" w:sz="8" w:space="0" w:color="auto"/>
            </w:tcBorders>
          </w:tcPr>
          <w:p w14:paraId="427A06F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Spodbujanje primarne predelave lesa in uporabe lesa pri gradnji in prenovi objektov, trajnostne rabe zemljišč, obnove ekosistemov ter prenova predpisov na področju varstva kmetijskih zemljišč ter varstva in izboljšanja kakovosti tal</w:t>
            </w:r>
          </w:p>
        </w:tc>
        <w:tc>
          <w:tcPr>
            <w:tcW w:w="1873" w:type="dxa"/>
            <w:tcBorders>
              <w:top w:val="single" w:sz="8" w:space="0" w:color="auto"/>
              <w:left w:val="single" w:sz="8" w:space="0" w:color="auto"/>
              <w:bottom w:val="single" w:sz="8" w:space="0" w:color="auto"/>
              <w:right w:val="single" w:sz="8" w:space="0" w:color="auto"/>
            </w:tcBorders>
          </w:tcPr>
          <w:p w14:paraId="5E69E14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Shranjevanje ogljika v lesnih izdelkih, preprečevanje krčenja gozdov, skrb za razvoj prostora, trajnostno rabo zemljišč ter obnovo ekosistemov</w:t>
            </w:r>
          </w:p>
        </w:tc>
        <w:tc>
          <w:tcPr>
            <w:tcW w:w="928" w:type="dxa"/>
            <w:tcBorders>
              <w:top w:val="single" w:sz="8" w:space="0" w:color="auto"/>
              <w:left w:val="single" w:sz="8" w:space="0" w:color="auto"/>
              <w:bottom w:val="single" w:sz="8" w:space="0" w:color="auto"/>
              <w:right w:val="single" w:sz="8" w:space="0" w:color="auto"/>
            </w:tcBorders>
            <w:vAlign w:val="center"/>
          </w:tcPr>
          <w:p w14:paraId="1EF57AA7" w14:textId="26B1658F" w:rsidR="00AF3FEE" w:rsidRPr="00654A0B" w:rsidRDefault="009B3FC7" w:rsidP="00AF3FEE">
            <w:pPr>
              <w:spacing w:line="245" w:lineRule="auto"/>
              <w:jc w:val="both"/>
              <w:rPr>
                <w:rFonts w:ascii="Arial" w:eastAsia="Tahoma" w:hAnsi="Arial" w:cs="Arial"/>
                <w:noProof/>
                <w:sz w:val="18"/>
                <w:szCs w:val="18"/>
              </w:rPr>
            </w:pPr>
            <w:r w:rsidRPr="006A74D9">
              <w:rPr>
                <w:rFonts w:ascii="Arial" w:hAnsi="Arial" w:cs="Arial"/>
                <w:color w:val="000000"/>
                <w:sz w:val="18"/>
                <w:szCs w:val="18"/>
              </w:rPr>
              <w:t>CO</w:t>
            </w:r>
            <w:r w:rsidRPr="006A74D9">
              <w:rPr>
                <w:rFonts w:ascii="Arial" w:hAnsi="Arial" w:cs="Arial"/>
                <w:color w:val="000000"/>
                <w:sz w:val="18"/>
                <w:szCs w:val="18"/>
                <w:vertAlign w:val="subscript"/>
              </w:rPr>
              <w:t>2</w:t>
            </w:r>
          </w:p>
        </w:tc>
        <w:tc>
          <w:tcPr>
            <w:tcW w:w="1231" w:type="dxa"/>
            <w:tcBorders>
              <w:top w:val="single" w:sz="8" w:space="0" w:color="auto"/>
              <w:left w:val="single" w:sz="8" w:space="0" w:color="auto"/>
              <w:bottom w:val="single" w:sz="8" w:space="0" w:color="auto"/>
              <w:right w:val="single" w:sz="8" w:space="0" w:color="auto"/>
            </w:tcBorders>
            <w:vAlign w:val="center"/>
          </w:tcPr>
          <w:p w14:paraId="4A6F222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Informativni, ekonomski, načrtovalski</w:t>
            </w:r>
          </w:p>
        </w:tc>
        <w:tc>
          <w:tcPr>
            <w:tcW w:w="1008" w:type="dxa"/>
            <w:tcBorders>
              <w:top w:val="single" w:sz="8" w:space="0" w:color="auto"/>
              <w:left w:val="single" w:sz="8" w:space="0" w:color="auto"/>
              <w:bottom w:val="single" w:sz="8" w:space="0" w:color="auto"/>
              <w:right w:val="single" w:sz="8" w:space="0" w:color="auto"/>
            </w:tcBorders>
            <w:vAlign w:val="center"/>
          </w:tcPr>
          <w:p w14:paraId="247ED31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Načrtovan</w:t>
            </w:r>
          </w:p>
        </w:tc>
        <w:tc>
          <w:tcPr>
            <w:tcW w:w="958" w:type="dxa"/>
            <w:tcBorders>
              <w:top w:val="single" w:sz="8" w:space="0" w:color="auto"/>
              <w:left w:val="single" w:sz="8" w:space="0" w:color="auto"/>
              <w:bottom w:val="single" w:sz="8" w:space="0" w:color="auto"/>
              <w:right w:val="single" w:sz="8" w:space="0" w:color="auto"/>
            </w:tcBorders>
            <w:vAlign w:val="center"/>
          </w:tcPr>
          <w:p w14:paraId="307502C8"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2025</w:t>
            </w:r>
          </w:p>
        </w:tc>
        <w:tc>
          <w:tcPr>
            <w:tcW w:w="813" w:type="dxa"/>
            <w:tcBorders>
              <w:top w:val="single" w:sz="8" w:space="0" w:color="auto"/>
              <w:left w:val="single" w:sz="8" w:space="0" w:color="auto"/>
              <w:bottom w:val="single" w:sz="8" w:space="0" w:color="auto"/>
              <w:right w:val="single" w:sz="8" w:space="0" w:color="auto"/>
            </w:tcBorders>
            <w:vAlign w:val="center"/>
          </w:tcPr>
          <w:p w14:paraId="13F87BF0" w14:textId="666E776F"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4</w:t>
            </w:r>
          </w:p>
        </w:tc>
        <w:tc>
          <w:tcPr>
            <w:tcW w:w="919" w:type="dxa"/>
            <w:tcBorders>
              <w:top w:val="single" w:sz="8" w:space="0" w:color="auto"/>
              <w:left w:val="single" w:sz="8" w:space="0" w:color="auto"/>
              <w:bottom w:val="single" w:sz="8" w:space="0" w:color="auto"/>
              <w:right w:val="single" w:sz="8" w:space="0" w:color="auto"/>
            </w:tcBorders>
            <w:vAlign w:val="center"/>
          </w:tcPr>
          <w:p w14:paraId="3EB7726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MGTŠ, MOPE, MNVP, MKGP</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EAC35C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WAM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F96F54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6D4C2ED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eastAsia="Tahoma" w:hAnsi="Arial" w:cs="Arial"/>
                <w:noProof/>
                <w:sz w:val="18"/>
                <w:szCs w:val="18"/>
              </w:rPr>
              <w:t>M-45</w:t>
            </w:r>
          </w:p>
        </w:tc>
      </w:tr>
      <w:tr w:rsidR="00AF3FEE" w:rsidRPr="00CE5F74" w14:paraId="7AA97CAF" w14:textId="77777777" w:rsidTr="006D46D8">
        <w:trPr>
          <w:gridAfter w:val="1"/>
          <w:wAfter w:w="26" w:type="dxa"/>
        </w:trPr>
        <w:tc>
          <w:tcPr>
            <w:tcW w:w="14812" w:type="dxa"/>
            <w:gridSpan w:val="13"/>
            <w:tcBorders>
              <w:top w:val="single" w:sz="8" w:space="0" w:color="auto"/>
              <w:left w:val="single" w:sz="8" w:space="0" w:color="auto"/>
              <w:bottom w:val="single" w:sz="8" w:space="0" w:color="auto"/>
              <w:right w:val="single" w:sz="8" w:space="0" w:color="auto"/>
            </w:tcBorders>
          </w:tcPr>
          <w:p w14:paraId="02510E98" w14:textId="77777777" w:rsidR="00AF3FEE" w:rsidRPr="00654A0B" w:rsidRDefault="00AF3FEE" w:rsidP="00AF3FEE">
            <w:pPr>
              <w:spacing w:line="245" w:lineRule="auto"/>
              <w:jc w:val="both"/>
              <w:rPr>
                <w:rFonts w:ascii="Arial" w:eastAsia="Tahoma" w:hAnsi="Arial" w:cs="Arial"/>
                <w:b/>
                <w:bCs/>
                <w:noProof/>
                <w:sz w:val="18"/>
                <w:szCs w:val="18"/>
              </w:rPr>
            </w:pPr>
            <w:r w:rsidRPr="00654A0B">
              <w:rPr>
                <w:rFonts w:ascii="Arial" w:eastAsia="Tahoma" w:hAnsi="Arial" w:cs="Arial"/>
                <w:b/>
                <w:bCs/>
                <w:noProof/>
                <w:sz w:val="18"/>
                <w:szCs w:val="18"/>
              </w:rPr>
              <w:t>ODPADKI</w:t>
            </w:r>
          </w:p>
        </w:tc>
      </w:tr>
      <w:tr w:rsidR="00AF3FEE" w:rsidRPr="00CE5F74" w14:paraId="2526B778"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32150DE" w14:textId="2F33419C"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M-5</w:t>
            </w:r>
            <w:r w:rsidR="00F43975">
              <w:rPr>
                <w:rFonts w:ascii="Arial" w:hAnsi="Arial" w:cs="Arial"/>
                <w:color w:val="000000"/>
                <w:sz w:val="18"/>
                <w:szCs w:val="18"/>
              </w:rPr>
              <w:t>1</w:t>
            </w:r>
          </w:p>
        </w:tc>
        <w:tc>
          <w:tcPr>
            <w:tcW w:w="1702" w:type="dxa"/>
            <w:tcBorders>
              <w:top w:val="single" w:sz="8" w:space="0" w:color="auto"/>
              <w:left w:val="single" w:sz="8" w:space="0" w:color="auto"/>
              <w:bottom w:val="single" w:sz="8" w:space="0" w:color="auto"/>
              <w:right w:val="single" w:sz="8" w:space="0" w:color="auto"/>
            </w:tcBorders>
            <w:vAlign w:val="center"/>
          </w:tcPr>
          <w:p w14:paraId="402838D4" w14:textId="0B763CA9" w:rsidR="00AF3FEE" w:rsidRPr="00654A0B" w:rsidRDefault="00AF3FEE" w:rsidP="001F48BE">
            <w:pPr>
              <w:spacing w:line="245" w:lineRule="auto"/>
              <w:jc w:val="both"/>
              <w:rPr>
                <w:rFonts w:ascii="Arial" w:hAnsi="Arial" w:cs="Arial"/>
                <w:caps/>
                <w:sz w:val="18"/>
                <w:szCs w:val="18"/>
              </w:rPr>
            </w:pPr>
            <w:r w:rsidRPr="00654A0B">
              <w:rPr>
                <w:rFonts w:ascii="Arial" w:hAnsi="Arial" w:cs="Arial"/>
                <w:color w:val="000000"/>
                <w:sz w:val="18"/>
                <w:szCs w:val="18"/>
              </w:rPr>
              <w:t>ZMANJŠANJE KOLI</w:t>
            </w:r>
            <w:r w:rsidR="001F48BE">
              <w:rPr>
                <w:rFonts w:ascii="Arial" w:hAnsi="Arial" w:cs="Arial"/>
                <w:color w:val="000000"/>
                <w:sz w:val="18"/>
                <w:szCs w:val="18"/>
              </w:rPr>
              <w:t>Č</w:t>
            </w:r>
            <w:r w:rsidRPr="00654A0B">
              <w:rPr>
                <w:rFonts w:ascii="Arial" w:hAnsi="Arial" w:cs="Arial"/>
                <w:color w:val="000000"/>
                <w:sz w:val="18"/>
                <w:szCs w:val="18"/>
              </w:rPr>
              <w:t xml:space="preserve">INE NASTALIH ODPADKOV </w:t>
            </w:r>
            <w:r w:rsidR="001F48BE">
              <w:rPr>
                <w:rFonts w:ascii="Arial" w:hAnsi="Arial" w:cs="Arial"/>
                <w:color w:val="000000"/>
                <w:sz w:val="18"/>
                <w:szCs w:val="18"/>
              </w:rPr>
              <w:t>TER</w:t>
            </w:r>
            <w:r w:rsidR="001F48BE" w:rsidRPr="00654A0B">
              <w:rPr>
                <w:rFonts w:ascii="Arial" w:hAnsi="Arial" w:cs="Arial"/>
                <w:color w:val="000000"/>
                <w:sz w:val="18"/>
                <w:szCs w:val="18"/>
              </w:rPr>
              <w:t xml:space="preserve"> P</w:t>
            </w:r>
            <w:r w:rsidR="001F48BE">
              <w:rPr>
                <w:rFonts w:ascii="Arial" w:hAnsi="Arial" w:cs="Arial"/>
                <w:color w:val="000000"/>
                <w:sz w:val="18"/>
                <w:szCs w:val="18"/>
              </w:rPr>
              <w:t>RO</w:t>
            </w:r>
            <w:r w:rsidR="001F48BE" w:rsidRPr="00654A0B">
              <w:rPr>
                <w:rFonts w:ascii="Arial" w:hAnsi="Arial" w:cs="Arial"/>
                <w:color w:val="000000"/>
                <w:sz w:val="18"/>
                <w:szCs w:val="18"/>
              </w:rPr>
              <w:t xml:space="preserve">MOCIJA </w:t>
            </w:r>
            <w:r w:rsidRPr="00654A0B">
              <w:rPr>
                <w:rFonts w:ascii="Arial" w:hAnsi="Arial" w:cs="Arial"/>
                <w:color w:val="000000"/>
                <w:sz w:val="18"/>
                <w:szCs w:val="18"/>
              </w:rPr>
              <w:t xml:space="preserve">PONOVNE UPORABE </w:t>
            </w:r>
            <w:r w:rsidR="001F48BE">
              <w:rPr>
                <w:rFonts w:ascii="Arial" w:hAnsi="Arial" w:cs="Arial"/>
                <w:color w:val="000000"/>
                <w:sz w:val="18"/>
                <w:szCs w:val="18"/>
              </w:rPr>
              <w:t>IN</w:t>
            </w:r>
            <w:r w:rsidR="001F48BE" w:rsidRPr="00654A0B">
              <w:rPr>
                <w:rFonts w:ascii="Arial" w:hAnsi="Arial" w:cs="Arial"/>
                <w:color w:val="000000"/>
                <w:sz w:val="18"/>
                <w:szCs w:val="18"/>
              </w:rPr>
              <w:t xml:space="preserve"> </w:t>
            </w:r>
            <w:r w:rsidRPr="00654A0B">
              <w:rPr>
                <w:rFonts w:ascii="Arial" w:hAnsi="Arial" w:cs="Arial"/>
                <w:color w:val="000000"/>
                <w:sz w:val="18"/>
                <w:szCs w:val="18"/>
              </w:rPr>
              <w:t>RECIKLIRANJA</w:t>
            </w:r>
          </w:p>
        </w:tc>
        <w:tc>
          <w:tcPr>
            <w:tcW w:w="2048" w:type="dxa"/>
            <w:tcBorders>
              <w:top w:val="single" w:sz="8" w:space="0" w:color="auto"/>
              <w:left w:val="single" w:sz="8" w:space="0" w:color="auto"/>
              <w:bottom w:val="single" w:sz="8" w:space="0" w:color="auto"/>
              <w:right w:val="single" w:sz="8" w:space="0" w:color="auto"/>
            </w:tcBorders>
            <w:vAlign w:val="center"/>
          </w:tcPr>
          <w:p w14:paraId="6218F13C" w14:textId="6E23B7E4" w:rsidR="00AF3FEE" w:rsidRPr="00654A0B" w:rsidRDefault="00AF3FEE" w:rsidP="00692B40">
            <w:pPr>
              <w:spacing w:line="245" w:lineRule="auto"/>
              <w:jc w:val="both"/>
              <w:rPr>
                <w:rFonts w:ascii="Arial" w:eastAsia="Tahoma" w:hAnsi="Arial" w:cs="Arial"/>
                <w:noProof/>
                <w:sz w:val="18"/>
                <w:szCs w:val="18"/>
              </w:rPr>
            </w:pPr>
            <w:r w:rsidRPr="00654A0B">
              <w:rPr>
                <w:rFonts w:ascii="Arial" w:hAnsi="Arial" w:cs="Arial"/>
                <w:color w:val="000000"/>
                <w:sz w:val="18"/>
                <w:szCs w:val="18"/>
              </w:rPr>
              <w:t>Ukrep zajema izvedbo Programa preprečevanja odpadkov, ki med drugim vsebuje ukrepe ozaveščanja, informacijske kampanje, spodbujanja ponovne uporabe, podaljšanja življenjske dobe izdelkov</w:t>
            </w:r>
            <w:r w:rsidR="00692B40">
              <w:rPr>
                <w:rFonts w:ascii="Arial" w:hAnsi="Arial" w:cs="Arial"/>
                <w:color w:val="000000"/>
                <w:sz w:val="18"/>
                <w:szCs w:val="18"/>
              </w:rPr>
              <w:t>.</w:t>
            </w:r>
          </w:p>
        </w:tc>
        <w:tc>
          <w:tcPr>
            <w:tcW w:w="1873" w:type="dxa"/>
            <w:tcBorders>
              <w:top w:val="single" w:sz="8" w:space="0" w:color="auto"/>
              <w:left w:val="single" w:sz="8" w:space="0" w:color="auto"/>
              <w:bottom w:val="single" w:sz="8" w:space="0" w:color="auto"/>
              <w:right w:val="single" w:sz="8" w:space="0" w:color="auto"/>
            </w:tcBorders>
            <w:vAlign w:val="center"/>
          </w:tcPr>
          <w:p w14:paraId="71EB6AED"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Zmanjšanje količine nastalih odpadkov</w:t>
            </w:r>
          </w:p>
        </w:tc>
        <w:tc>
          <w:tcPr>
            <w:tcW w:w="928" w:type="dxa"/>
            <w:tcBorders>
              <w:top w:val="single" w:sz="8" w:space="0" w:color="auto"/>
              <w:left w:val="single" w:sz="8" w:space="0" w:color="auto"/>
              <w:bottom w:val="single" w:sz="8" w:space="0" w:color="auto"/>
              <w:right w:val="single" w:sz="8" w:space="0" w:color="auto"/>
            </w:tcBorders>
            <w:vAlign w:val="center"/>
          </w:tcPr>
          <w:p w14:paraId="6F720805" w14:textId="260DDB5B" w:rsidR="00AF3FEE" w:rsidRPr="00654A0B" w:rsidRDefault="009B3FC7" w:rsidP="00AF3FEE">
            <w:pPr>
              <w:spacing w:line="245" w:lineRule="auto"/>
              <w:jc w:val="both"/>
              <w:rPr>
                <w:rFonts w:ascii="Arial" w:eastAsia="Tahoma" w:hAnsi="Arial" w:cs="Arial"/>
                <w:noProof/>
                <w:sz w:val="18"/>
                <w:szCs w:val="18"/>
              </w:rPr>
            </w:pPr>
            <w:r w:rsidRPr="006A74D9">
              <w:rPr>
                <w:rFonts w:ascii="Arial" w:hAnsi="Arial" w:cs="Arial"/>
                <w:color w:val="000000"/>
                <w:sz w:val="18"/>
                <w:szCs w:val="18"/>
              </w:rPr>
              <w:t>CH</w:t>
            </w:r>
            <w:r w:rsidRPr="006A74D9">
              <w:rPr>
                <w:rFonts w:ascii="Arial" w:hAnsi="Arial" w:cs="Arial"/>
                <w:color w:val="000000"/>
                <w:sz w:val="18"/>
                <w:szCs w:val="18"/>
                <w:vertAlign w:val="subscript"/>
              </w:rPr>
              <w:t>4</w:t>
            </w:r>
          </w:p>
        </w:tc>
        <w:tc>
          <w:tcPr>
            <w:tcW w:w="1231" w:type="dxa"/>
            <w:tcBorders>
              <w:top w:val="single" w:sz="8" w:space="0" w:color="auto"/>
              <w:left w:val="single" w:sz="8" w:space="0" w:color="auto"/>
              <w:bottom w:val="single" w:sz="8" w:space="0" w:color="auto"/>
              <w:right w:val="single" w:sz="8" w:space="0" w:color="auto"/>
            </w:tcBorders>
            <w:vAlign w:val="center"/>
          </w:tcPr>
          <w:p w14:paraId="04AAA6D3" w14:textId="5201CF6C" w:rsidR="00AF3FEE" w:rsidRPr="00654A0B" w:rsidRDefault="00AF3FEE" w:rsidP="00692B40">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Informativni, </w:t>
            </w:r>
            <w:r w:rsidR="00692B40">
              <w:rPr>
                <w:rFonts w:ascii="Arial" w:hAnsi="Arial" w:cs="Arial"/>
                <w:color w:val="000000"/>
                <w:sz w:val="18"/>
                <w:szCs w:val="18"/>
              </w:rPr>
              <w:t>z</w:t>
            </w:r>
            <w:r w:rsidRPr="00654A0B">
              <w:rPr>
                <w:rFonts w:ascii="Arial" w:hAnsi="Arial" w:cs="Arial"/>
                <w:color w:val="000000"/>
                <w:sz w:val="18"/>
                <w:szCs w:val="18"/>
              </w:rPr>
              <w:t>akonodajni</w:t>
            </w:r>
          </w:p>
        </w:tc>
        <w:tc>
          <w:tcPr>
            <w:tcW w:w="1008" w:type="dxa"/>
            <w:tcBorders>
              <w:top w:val="single" w:sz="8" w:space="0" w:color="auto"/>
              <w:left w:val="single" w:sz="8" w:space="0" w:color="auto"/>
              <w:bottom w:val="single" w:sz="8" w:space="0" w:color="auto"/>
              <w:right w:val="single" w:sz="8" w:space="0" w:color="auto"/>
            </w:tcBorders>
            <w:vAlign w:val="center"/>
          </w:tcPr>
          <w:p w14:paraId="21CE9BA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0E356B6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2016</w:t>
            </w:r>
          </w:p>
        </w:tc>
        <w:tc>
          <w:tcPr>
            <w:tcW w:w="813" w:type="dxa"/>
            <w:tcBorders>
              <w:top w:val="single" w:sz="8" w:space="0" w:color="auto"/>
              <w:left w:val="single" w:sz="8" w:space="0" w:color="auto"/>
              <w:bottom w:val="single" w:sz="8" w:space="0" w:color="auto"/>
              <w:right w:val="single" w:sz="8" w:space="0" w:color="auto"/>
            </w:tcBorders>
            <w:vAlign w:val="center"/>
          </w:tcPr>
          <w:p w14:paraId="3266D258" w14:textId="2A7F4CA2"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5</w:t>
            </w:r>
          </w:p>
        </w:tc>
        <w:tc>
          <w:tcPr>
            <w:tcW w:w="919" w:type="dxa"/>
            <w:tcBorders>
              <w:top w:val="single" w:sz="8" w:space="0" w:color="auto"/>
              <w:left w:val="single" w:sz="8" w:space="0" w:color="auto"/>
              <w:bottom w:val="single" w:sz="8" w:space="0" w:color="auto"/>
              <w:right w:val="single" w:sz="8" w:space="0" w:color="auto"/>
            </w:tcBorders>
            <w:vAlign w:val="center"/>
          </w:tcPr>
          <w:p w14:paraId="2DA0581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7B5FD67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26B4C12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7F637259"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M-41</w:t>
            </w:r>
          </w:p>
        </w:tc>
      </w:tr>
      <w:tr w:rsidR="00AF3FEE" w:rsidRPr="00CE5F74" w14:paraId="496A6FA2"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5959493D" w14:textId="5C68DAE2"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M-5</w:t>
            </w:r>
            <w:r w:rsidR="00F43975">
              <w:rPr>
                <w:rFonts w:ascii="Arial" w:hAnsi="Arial" w:cs="Arial"/>
                <w:color w:val="000000"/>
                <w:sz w:val="18"/>
                <w:szCs w:val="18"/>
              </w:rPr>
              <w:t>2</w:t>
            </w:r>
          </w:p>
        </w:tc>
        <w:tc>
          <w:tcPr>
            <w:tcW w:w="1702" w:type="dxa"/>
            <w:tcBorders>
              <w:top w:val="single" w:sz="8" w:space="0" w:color="auto"/>
              <w:left w:val="single" w:sz="8" w:space="0" w:color="auto"/>
              <w:bottom w:val="single" w:sz="8" w:space="0" w:color="auto"/>
              <w:right w:val="single" w:sz="8" w:space="0" w:color="auto"/>
            </w:tcBorders>
            <w:vAlign w:val="center"/>
          </w:tcPr>
          <w:p w14:paraId="515B9069"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olor w:val="000000"/>
                <w:sz w:val="18"/>
                <w:szCs w:val="18"/>
              </w:rPr>
              <w:t>ZAJEM ODLAGALIŠČNEGA PLINA</w:t>
            </w:r>
          </w:p>
        </w:tc>
        <w:tc>
          <w:tcPr>
            <w:tcW w:w="2048" w:type="dxa"/>
            <w:tcBorders>
              <w:top w:val="single" w:sz="8" w:space="0" w:color="auto"/>
              <w:left w:val="single" w:sz="8" w:space="0" w:color="auto"/>
              <w:bottom w:val="single" w:sz="8" w:space="0" w:color="auto"/>
              <w:right w:val="single" w:sz="8" w:space="0" w:color="auto"/>
            </w:tcBorders>
            <w:vAlign w:val="center"/>
          </w:tcPr>
          <w:p w14:paraId="40BFF186" w14:textId="065337FB"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Zajem odlagališčnega plina so morala odlagališča urediti do konca leta 2005</w:t>
            </w:r>
            <w:r w:rsidR="002303B6">
              <w:rPr>
                <w:rFonts w:ascii="Arial" w:hAnsi="Arial" w:cs="Arial"/>
                <w:color w:val="000000"/>
                <w:sz w:val="18"/>
                <w:szCs w:val="18"/>
              </w:rPr>
              <w:t>.</w:t>
            </w:r>
          </w:p>
        </w:tc>
        <w:tc>
          <w:tcPr>
            <w:tcW w:w="1873" w:type="dxa"/>
            <w:tcBorders>
              <w:top w:val="single" w:sz="8" w:space="0" w:color="auto"/>
              <w:left w:val="single" w:sz="8" w:space="0" w:color="auto"/>
              <w:bottom w:val="single" w:sz="8" w:space="0" w:color="auto"/>
              <w:right w:val="single" w:sz="8" w:space="0" w:color="auto"/>
            </w:tcBorders>
            <w:vAlign w:val="center"/>
          </w:tcPr>
          <w:p w14:paraId="1EA1724E"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Zmanjšanje količine metana, ki gre v ozračje iz odlagališč</w:t>
            </w:r>
          </w:p>
        </w:tc>
        <w:tc>
          <w:tcPr>
            <w:tcW w:w="928" w:type="dxa"/>
            <w:tcBorders>
              <w:top w:val="single" w:sz="8" w:space="0" w:color="auto"/>
              <w:left w:val="single" w:sz="8" w:space="0" w:color="auto"/>
              <w:bottom w:val="single" w:sz="8" w:space="0" w:color="auto"/>
              <w:right w:val="single" w:sz="8" w:space="0" w:color="auto"/>
            </w:tcBorders>
            <w:vAlign w:val="center"/>
          </w:tcPr>
          <w:p w14:paraId="32AADEE5" w14:textId="55087CDB" w:rsidR="00AF3FEE" w:rsidRPr="00654A0B" w:rsidRDefault="009B3FC7" w:rsidP="00AF3FEE">
            <w:pPr>
              <w:spacing w:line="245" w:lineRule="auto"/>
              <w:jc w:val="both"/>
              <w:rPr>
                <w:rFonts w:ascii="Arial" w:eastAsia="Tahoma" w:hAnsi="Arial" w:cs="Arial"/>
                <w:noProof/>
                <w:sz w:val="18"/>
                <w:szCs w:val="18"/>
              </w:rPr>
            </w:pPr>
            <w:r w:rsidRPr="006A74D9">
              <w:rPr>
                <w:rFonts w:ascii="Arial" w:hAnsi="Arial" w:cs="Arial"/>
                <w:color w:val="000000"/>
                <w:sz w:val="18"/>
                <w:szCs w:val="18"/>
              </w:rPr>
              <w:t>CH</w:t>
            </w:r>
            <w:r w:rsidRPr="006A74D9">
              <w:rPr>
                <w:rFonts w:ascii="Arial" w:hAnsi="Arial" w:cs="Arial"/>
                <w:color w:val="000000"/>
                <w:sz w:val="18"/>
                <w:szCs w:val="18"/>
                <w:vertAlign w:val="subscript"/>
              </w:rPr>
              <w:t>4</w:t>
            </w:r>
          </w:p>
        </w:tc>
        <w:tc>
          <w:tcPr>
            <w:tcW w:w="1231" w:type="dxa"/>
            <w:tcBorders>
              <w:top w:val="single" w:sz="8" w:space="0" w:color="auto"/>
              <w:left w:val="single" w:sz="8" w:space="0" w:color="auto"/>
              <w:bottom w:val="single" w:sz="8" w:space="0" w:color="auto"/>
              <w:right w:val="single" w:sz="8" w:space="0" w:color="auto"/>
            </w:tcBorders>
            <w:vAlign w:val="center"/>
          </w:tcPr>
          <w:p w14:paraId="6035D8B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0CC9044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16B52EE5"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2005</w:t>
            </w:r>
          </w:p>
        </w:tc>
        <w:tc>
          <w:tcPr>
            <w:tcW w:w="813" w:type="dxa"/>
            <w:tcBorders>
              <w:top w:val="single" w:sz="8" w:space="0" w:color="auto"/>
              <w:left w:val="single" w:sz="8" w:space="0" w:color="auto"/>
              <w:bottom w:val="single" w:sz="8" w:space="0" w:color="auto"/>
              <w:right w:val="single" w:sz="8" w:space="0" w:color="auto"/>
            </w:tcBorders>
            <w:vAlign w:val="center"/>
          </w:tcPr>
          <w:p w14:paraId="3FD4D5A4" w14:textId="70ABB9FE"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5</w:t>
            </w:r>
          </w:p>
        </w:tc>
        <w:tc>
          <w:tcPr>
            <w:tcW w:w="919" w:type="dxa"/>
            <w:tcBorders>
              <w:top w:val="single" w:sz="8" w:space="0" w:color="auto"/>
              <w:left w:val="single" w:sz="8" w:space="0" w:color="auto"/>
              <w:bottom w:val="single" w:sz="8" w:space="0" w:color="auto"/>
              <w:right w:val="single" w:sz="8" w:space="0" w:color="auto"/>
            </w:tcBorders>
            <w:vAlign w:val="center"/>
          </w:tcPr>
          <w:p w14:paraId="6314D53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314544C7"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496C41F0"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92A5E2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M-42</w:t>
            </w:r>
          </w:p>
        </w:tc>
      </w:tr>
      <w:tr w:rsidR="00AF3FEE" w:rsidRPr="00CE5F74" w14:paraId="513F5033"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13496A8D" w14:textId="3DA1E871"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M-5</w:t>
            </w:r>
            <w:r w:rsidR="00F43975">
              <w:rPr>
                <w:rFonts w:ascii="Arial" w:hAnsi="Arial" w:cs="Arial"/>
                <w:color w:val="000000"/>
                <w:sz w:val="18"/>
                <w:szCs w:val="18"/>
              </w:rPr>
              <w:t>3</w:t>
            </w:r>
          </w:p>
        </w:tc>
        <w:tc>
          <w:tcPr>
            <w:tcW w:w="1702" w:type="dxa"/>
            <w:tcBorders>
              <w:top w:val="single" w:sz="8" w:space="0" w:color="auto"/>
              <w:left w:val="single" w:sz="8" w:space="0" w:color="auto"/>
              <w:bottom w:val="single" w:sz="8" w:space="0" w:color="auto"/>
              <w:right w:val="single" w:sz="8" w:space="0" w:color="auto"/>
            </w:tcBorders>
            <w:vAlign w:val="center"/>
          </w:tcPr>
          <w:p w14:paraId="02896EC1"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olor w:val="000000"/>
                <w:sz w:val="18"/>
                <w:szCs w:val="18"/>
              </w:rPr>
              <w:t>ZMANJŠANJE KOLICINE ODLOŽENIH BIORAZGRADLJIVIH ODPADKOV</w:t>
            </w:r>
          </w:p>
        </w:tc>
        <w:tc>
          <w:tcPr>
            <w:tcW w:w="2048" w:type="dxa"/>
            <w:tcBorders>
              <w:top w:val="single" w:sz="8" w:space="0" w:color="auto"/>
              <w:left w:val="single" w:sz="8" w:space="0" w:color="auto"/>
              <w:bottom w:val="single" w:sz="8" w:space="0" w:color="auto"/>
              <w:right w:val="single" w:sz="8" w:space="0" w:color="auto"/>
            </w:tcBorders>
            <w:vAlign w:val="center"/>
          </w:tcPr>
          <w:p w14:paraId="6D6A992F" w14:textId="070B28A2" w:rsidR="00AF3FEE" w:rsidRPr="00654A0B" w:rsidRDefault="00AF3FEE" w:rsidP="001F48BE">
            <w:pPr>
              <w:spacing w:line="245" w:lineRule="auto"/>
              <w:jc w:val="both"/>
              <w:rPr>
                <w:rFonts w:ascii="Arial" w:eastAsia="Tahoma" w:hAnsi="Arial" w:cs="Arial"/>
                <w:noProof/>
                <w:sz w:val="18"/>
                <w:szCs w:val="18"/>
              </w:rPr>
            </w:pPr>
            <w:r w:rsidRPr="00654A0B">
              <w:rPr>
                <w:rFonts w:ascii="Arial" w:hAnsi="Arial" w:cs="Arial"/>
                <w:color w:val="000000"/>
                <w:sz w:val="18"/>
                <w:szCs w:val="18"/>
              </w:rPr>
              <w:t xml:space="preserve">Do leta 2016 so morala vsa odlagališča </w:t>
            </w:r>
            <w:r w:rsidR="001F48BE">
              <w:rPr>
                <w:rFonts w:ascii="Arial" w:hAnsi="Arial" w:cs="Arial"/>
                <w:color w:val="000000"/>
                <w:sz w:val="18"/>
                <w:szCs w:val="18"/>
              </w:rPr>
              <w:t>v skladu</w:t>
            </w:r>
            <w:r w:rsidR="001F48BE" w:rsidRPr="00654A0B">
              <w:rPr>
                <w:rFonts w:ascii="Arial" w:hAnsi="Arial" w:cs="Arial"/>
                <w:color w:val="000000"/>
                <w:sz w:val="18"/>
                <w:szCs w:val="18"/>
              </w:rPr>
              <w:t xml:space="preserve"> </w:t>
            </w:r>
            <w:r w:rsidRPr="00654A0B">
              <w:rPr>
                <w:rFonts w:ascii="Arial" w:hAnsi="Arial" w:cs="Arial"/>
                <w:color w:val="000000"/>
                <w:sz w:val="18"/>
                <w:szCs w:val="18"/>
              </w:rPr>
              <w:t>z Uredbo o odlagališčih odpadkov uvesti tehnologije za izboljšano obdelavo komunalnih odpadkov</w:t>
            </w:r>
            <w:r w:rsidR="00377BA6">
              <w:rPr>
                <w:rFonts w:ascii="Arial" w:hAnsi="Arial" w:cs="Arial"/>
                <w:color w:val="000000"/>
                <w:sz w:val="18"/>
                <w:szCs w:val="18"/>
              </w:rPr>
              <w:t>.</w:t>
            </w:r>
          </w:p>
        </w:tc>
        <w:tc>
          <w:tcPr>
            <w:tcW w:w="1873" w:type="dxa"/>
            <w:tcBorders>
              <w:top w:val="single" w:sz="8" w:space="0" w:color="auto"/>
              <w:left w:val="single" w:sz="8" w:space="0" w:color="auto"/>
              <w:bottom w:val="single" w:sz="8" w:space="0" w:color="auto"/>
              <w:right w:val="single" w:sz="8" w:space="0" w:color="auto"/>
            </w:tcBorders>
            <w:vAlign w:val="center"/>
          </w:tcPr>
          <w:p w14:paraId="2D838D5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Zmanjšanje količine odloženih biorazgradljivih odpadkov</w:t>
            </w:r>
          </w:p>
        </w:tc>
        <w:tc>
          <w:tcPr>
            <w:tcW w:w="928" w:type="dxa"/>
            <w:tcBorders>
              <w:top w:val="single" w:sz="8" w:space="0" w:color="auto"/>
              <w:left w:val="single" w:sz="8" w:space="0" w:color="auto"/>
              <w:bottom w:val="single" w:sz="8" w:space="0" w:color="auto"/>
              <w:right w:val="single" w:sz="8" w:space="0" w:color="auto"/>
            </w:tcBorders>
            <w:vAlign w:val="center"/>
          </w:tcPr>
          <w:p w14:paraId="2AD16D44" w14:textId="08D2D147" w:rsidR="00AF3FEE" w:rsidRPr="00654A0B" w:rsidRDefault="009B3FC7" w:rsidP="00AF3FEE">
            <w:pPr>
              <w:spacing w:line="245" w:lineRule="auto"/>
              <w:jc w:val="both"/>
              <w:rPr>
                <w:rFonts w:ascii="Arial" w:eastAsia="Tahoma" w:hAnsi="Arial" w:cs="Arial"/>
                <w:noProof/>
                <w:sz w:val="18"/>
                <w:szCs w:val="18"/>
              </w:rPr>
            </w:pPr>
            <w:r w:rsidRPr="006A74D9">
              <w:rPr>
                <w:rFonts w:ascii="Arial" w:hAnsi="Arial" w:cs="Arial"/>
                <w:color w:val="000000"/>
                <w:sz w:val="18"/>
                <w:szCs w:val="18"/>
              </w:rPr>
              <w:t>CH</w:t>
            </w:r>
            <w:r w:rsidRPr="006A74D9">
              <w:rPr>
                <w:rFonts w:ascii="Arial" w:hAnsi="Arial" w:cs="Arial"/>
                <w:color w:val="000000"/>
                <w:sz w:val="18"/>
                <w:szCs w:val="18"/>
                <w:vertAlign w:val="subscript"/>
              </w:rPr>
              <w:t>4</w:t>
            </w:r>
          </w:p>
        </w:tc>
        <w:tc>
          <w:tcPr>
            <w:tcW w:w="1231" w:type="dxa"/>
            <w:tcBorders>
              <w:top w:val="single" w:sz="8" w:space="0" w:color="auto"/>
              <w:left w:val="single" w:sz="8" w:space="0" w:color="auto"/>
              <w:bottom w:val="single" w:sz="8" w:space="0" w:color="auto"/>
              <w:right w:val="single" w:sz="8" w:space="0" w:color="auto"/>
            </w:tcBorders>
            <w:vAlign w:val="center"/>
          </w:tcPr>
          <w:p w14:paraId="3F59817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67C7F802"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7D825FC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2016</w:t>
            </w:r>
          </w:p>
        </w:tc>
        <w:tc>
          <w:tcPr>
            <w:tcW w:w="813" w:type="dxa"/>
            <w:tcBorders>
              <w:top w:val="single" w:sz="8" w:space="0" w:color="auto"/>
              <w:left w:val="single" w:sz="8" w:space="0" w:color="auto"/>
              <w:bottom w:val="single" w:sz="8" w:space="0" w:color="auto"/>
              <w:right w:val="single" w:sz="8" w:space="0" w:color="auto"/>
            </w:tcBorders>
            <w:vAlign w:val="center"/>
          </w:tcPr>
          <w:p w14:paraId="0DA0790F" w14:textId="52227CEF"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5</w:t>
            </w:r>
          </w:p>
        </w:tc>
        <w:tc>
          <w:tcPr>
            <w:tcW w:w="919" w:type="dxa"/>
            <w:tcBorders>
              <w:top w:val="single" w:sz="8" w:space="0" w:color="auto"/>
              <w:left w:val="single" w:sz="8" w:space="0" w:color="auto"/>
              <w:bottom w:val="single" w:sz="8" w:space="0" w:color="auto"/>
              <w:right w:val="single" w:sz="8" w:space="0" w:color="auto"/>
            </w:tcBorders>
            <w:vAlign w:val="center"/>
          </w:tcPr>
          <w:p w14:paraId="6050F75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1D2E6621"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1810D46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58B274F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M-40</w:t>
            </w:r>
          </w:p>
        </w:tc>
      </w:tr>
      <w:tr w:rsidR="00AF3FEE" w:rsidRPr="00CE5F74" w14:paraId="2602058B" w14:textId="77777777" w:rsidTr="00654A0B">
        <w:trPr>
          <w:gridAfter w:val="1"/>
          <w:wAfter w:w="26" w:type="dxa"/>
        </w:trPr>
        <w:tc>
          <w:tcPr>
            <w:tcW w:w="708" w:type="dxa"/>
            <w:tcBorders>
              <w:top w:val="single" w:sz="8" w:space="0" w:color="auto"/>
              <w:left w:val="single" w:sz="8" w:space="0" w:color="auto"/>
              <w:bottom w:val="single" w:sz="8" w:space="0" w:color="auto"/>
              <w:right w:val="single" w:sz="8" w:space="0" w:color="auto"/>
            </w:tcBorders>
            <w:vAlign w:val="center"/>
          </w:tcPr>
          <w:p w14:paraId="04F48E25" w14:textId="075F16D0"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M-5</w:t>
            </w:r>
            <w:r w:rsidR="00F43975">
              <w:rPr>
                <w:rFonts w:ascii="Arial" w:hAnsi="Arial" w:cs="Arial"/>
                <w:color w:val="000000"/>
                <w:sz w:val="18"/>
                <w:szCs w:val="18"/>
              </w:rPr>
              <w:t>4</w:t>
            </w:r>
          </w:p>
        </w:tc>
        <w:tc>
          <w:tcPr>
            <w:tcW w:w="1702" w:type="dxa"/>
            <w:tcBorders>
              <w:top w:val="single" w:sz="8" w:space="0" w:color="auto"/>
              <w:left w:val="single" w:sz="8" w:space="0" w:color="auto"/>
              <w:bottom w:val="single" w:sz="8" w:space="0" w:color="auto"/>
              <w:right w:val="single" w:sz="8" w:space="0" w:color="auto"/>
            </w:tcBorders>
            <w:vAlign w:val="center"/>
          </w:tcPr>
          <w:p w14:paraId="34FDDE36" w14:textId="77777777" w:rsidR="00AF3FEE" w:rsidRPr="00654A0B" w:rsidRDefault="00AF3FEE" w:rsidP="00AF3FEE">
            <w:pPr>
              <w:spacing w:line="245" w:lineRule="auto"/>
              <w:jc w:val="both"/>
              <w:rPr>
                <w:rFonts w:ascii="Arial" w:hAnsi="Arial" w:cs="Arial"/>
                <w:caps/>
                <w:sz w:val="18"/>
                <w:szCs w:val="18"/>
              </w:rPr>
            </w:pPr>
            <w:r w:rsidRPr="00654A0B">
              <w:rPr>
                <w:rFonts w:ascii="Arial" w:hAnsi="Arial" w:cs="Arial"/>
                <w:color w:val="000000"/>
                <w:sz w:val="18"/>
                <w:szCs w:val="18"/>
              </w:rPr>
              <w:t>UREDITEV RAVNANJA S KOMUNALNIMI VODAMI</w:t>
            </w:r>
          </w:p>
        </w:tc>
        <w:tc>
          <w:tcPr>
            <w:tcW w:w="2048" w:type="dxa"/>
            <w:tcBorders>
              <w:top w:val="single" w:sz="8" w:space="0" w:color="auto"/>
              <w:left w:val="single" w:sz="8" w:space="0" w:color="auto"/>
              <w:bottom w:val="single" w:sz="8" w:space="0" w:color="auto"/>
              <w:right w:val="single" w:sz="8" w:space="0" w:color="auto"/>
            </w:tcBorders>
            <w:vAlign w:val="center"/>
          </w:tcPr>
          <w:p w14:paraId="0A427D03" w14:textId="2A031CB3"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Operativni program ravnanja s komunalnimi odpadnimi vodami iz leta 2020 vsebuje ukrepe</w:t>
            </w:r>
            <w:r w:rsidR="001F48BE">
              <w:rPr>
                <w:rFonts w:ascii="Arial" w:hAnsi="Arial" w:cs="Arial"/>
                <w:color w:val="000000"/>
                <w:sz w:val="18"/>
                <w:szCs w:val="18"/>
              </w:rPr>
              <w:t>,</w:t>
            </w:r>
            <w:r w:rsidRPr="00654A0B">
              <w:rPr>
                <w:rFonts w:ascii="Arial" w:hAnsi="Arial" w:cs="Arial"/>
                <w:color w:val="000000"/>
                <w:sz w:val="18"/>
                <w:szCs w:val="18"/>
              </w:rPr>
              <w:t xml:space="preserve"> s katerimi se bo povečal delež priključitev na kanalizacijsko omrežje</w:t>
            </w:r>
            <w:r w:rsidR="00377BA6">
              <w:rPr>
                <w:rFonts w:ascii="Arial" w:hAnsi="Arial" w:cs="Arial"/>
                <w:color w:val="000000"/>
                <w:sz w:val="18"/>
                <w:szCs w:val="18"/>
              </w:rPr>
              <w:t>,</w:t>
            </w:r>
            <w:r w:rsidRPr="00654A0B">
              <w:rPr>
                <w:rFonts w:ascii="Arial" w:hAnsi="Arial" w:cs="Arial"/>
                <w:color w:val="000000"/>
                <w:sz w:val="18"/>
                <w:szCs w:val="18"/>
              </w:rPr>
              <w:t xml:space="preserve"> kjer se bo </w:t>
            </w:r>
            <w:r w:rsidRPr="00654A0B">
              <w:rPr>
                <w:rFonts w:ascii="Arial" w:hAnsi="Arial" w:cs="Arial"/>
                <w:color w:val="000000"/>
                <w:sz w:val="18"/>
                <w:szCs w:val="18"/>
              </w:rPr>
              <w:lastRenderedPageBreak/>
              <w:t>vod</w:t>
            </w:r>
            <w:r w:rsidR="001F48BE">
              <w:rPr>
                <w:rFonts w:ascii="Arial" w:hAnsi="Arial" w:cs="Arial"/>
                <w:color w:val="000000"/>
                <w:sz w:val="18"/>
                <w:szCs w:val="18"/>
              </w:rPr>
              <w:t>a</w:t>
            </w:r>
            <w:r w:rsidRPr="00654A0B">
              <w:rPr>
                <w:rFonts w:ascii="Arial" w:hAnsi="Arial" w:cs="Arial"/>
                <w:color w:val="000000"/>
                <w:sz w:val="18"/>
                <w:szCs w:val="18"/>
              </w:rPr>
              <w:t xml:space="preserve"> obdelal</w:t>
            </w:r>
            <w:r w:rsidR="001F48BE">
              <w:rPr>
                <w:rFonts w:ascii="Arial" w:hAnsi="Arial" w:cs="Arial"/>
                <w:color w:val="000000"/>
                <w:sz w:val="18"/>
                <w:szCs w:val="18"/>
              </w:rPr>
              <w:t>a</w:t>
            </w:r>
            <w:r w:rsidRPr="00654A0B">
              <w:rPr>
                <w:rFonts w:ascii="Arial" w:hAnsi="Arial" w:cs="Arial"/>
                <w:color w:val="000000"/>
                <w:sz w:val="18"/>
                <w:szCs w:val="18"/>
              </w:rPr>
              <w:t xml:space="preserve"> v čistilnih napravah. </w:t>
            </w:r>
          </w:p>
        </w:tc>
        <w:tc>
          <w:tcPr>
            <w:tcW w:w="1873" w:type="dxa"/>
            <w:tcBorders>
              <w:top w:val="single" w:sz="8" w:space="0" w:color="auto"/>
              <w:left w:val="single" w:sz="8" w:space="0" w:color="auto"/>
              <w:bottom w:val="single" w:sz="8" w:space="0" w:color="auto"/>
              <w:right w:val="single" w:sz="8" w:space="0" w:color="auto"/>
            </w:tcBorders>
            <w:vAlign w:val="center"/>
          </w:tcPr>
          <w:p w14:paraId="33C282D4"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lastRenderedPageBreak/>
              <w:t>Zmanjšanje emsij iz ravnanja z odpadnimi vodami</w:t>
            </w:r>
          </w:p>
        </w:tc>
        <w:tc>
          <w:tcPr>
            <w:tcW w:w="928" w:type="dxa"/>
            <w:tcBorders>
              <w:top w:val="single" w:sz="8" w:space="0" w:color="auto"/>
              <w:left w:val="single" w:sz="8" w:space="0" w:color="auto"/>
              <w:bottom w:val="single" w:sz="8" w:space="0" w:color="auto"/>
              <w:right w:val="single" w:sz="8" w:space="0" w:color="auto"/>
            </w:tcBorders>
            <w:vAlign w:val="center"/>
          </w:tcPr>
          <w:p w14:paraId="4821D555" w14:textId="515E575F" w:rsidR="00AF3FEE" w:rsidRPr="00654A0B" w:rsidRDefault="009B3FC7" w:rsidP="00AF3FEE">
            <w:pPr>
              <w:spacing w:line="245" w:lineRule="auto"/>
              <w:jc w:val="both"/>
              <w:rPr>
                <w:rFonts w:ascii="Arial" w:eastAsia="Tahoma" w:hAnsi="Arial" w:cs="Arial"/>
                <w:noProof/>
                <w:sz w:val="18"/>
                <w:szCs w:val="18"/>
              </w:rPr>
            </w:pPr>
            <w:r w:rsidRPr="006A74D9">
              <w:rPr>
                <w:rFonts w:ascii="Arial" w:hAnsi="Arial" w:cs="Arial"/>
                <w:color w:val="000000"/>
                <w:sz w:val="18"/>
                <w:szCs w:val="18"/>
              </w:rPr>
              <w:t>CH</w:t>
            </w:r>
            <w:r w:rsidRPr="006A74D9">
              <w:rPr>
                <w:rFonts w:ascii="Arial" w:hAnsi="Arial" w:cs="Arial"/>
                <w:color w:val="000000"/>
                <w:sz w:val="18"/>
                <w:szCs w:val="18"/>
                <w:vertAlign w:val="subscript"/>
              </w:rPr>
              <w:t>4</w:t>
            </w:r>
          </w:p>
        </w:tc>
        <w:tc>
          <w:tcPr>
            <w:tcW w:w="1231" w:type="dxa"/>
            <w:tcBorders>
              <w:top w:val="single" w:sz="8" w:space="0" w:color="auto"/>
              <w:left w:val="single" w:sz="8" w:space="0" w:color="auto"/>
              <w:bottom w:val="single" w:sz="8" w:space="0" w:color="auto"/>
              <w:right w:val="single" w:sz="8" w:space="0" w:color="auto"/>
            </w:tcBorders>
            <w:vAlign w:val="center"/>
          </w:tcPr>
          <w:p w14:paraId="5502014F"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Zakonodajni</w:t>
            </w:r>
          </w:p>
        </w:tc>
        <w:tc>
          <w:tcPr>
            <w:tcW w:w="1008" w:type="dxa"/>
            <w:tcBorders>
              <w:top w:val="single" w:sz="8" w:space="0" w:color="auto"/>
              <w:left w:val="single" w:sz="8" w:space="0" w:color="auto"/>
              <w:bottom w:val="single" w:sz="8" w:space="0" w:color="auto"/>
              <w:right w:val="single" w:sz="8" w:space="0" w:color="auto"/>
            </w:tcBorders>
            <w:vAlign w:val="center"/>
          </w:tcPr>
          <w:p w14:paraId="48F90EF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Izveden</w:t>
            </w:r>
          </w:p>
        </w:tc>
        <w:tc>
          <w:tcPr>
            <w:tcW w:w="958" w:type="dxa"/>
            <w:tcBorders>
              <w:top w:val="single" w:sz="8" w:space="0" w:color="auto"/>
              <w:left w:val="single" w:sz="8" w:space="0" w:color="auto"/>
              <w:bottom w:val="single" w:sz="8" w:space="0" w:color="auto"/>
              <w:right w:val="single" w:sz="8" w:space="0" w:color="auto"/>
            </w:tcBorders>
            <w:vAlign w:val="center"/>
          </w:tcPr>
          <w:p w14:paraId="15BFD65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2020</w:t>
            </w:r>
          </w:p>
        </w:tc>
        <w:tc>
          <w:tcPr>
            <w:tcW w:w="813" w:type="dxa"/>
            <w:tcBorders>
              <w:top w:val="single" w:sz="8" w:space="0" w:color="auto"/>
              <w:left w:val="single" w:sz="8" w:space="0" w:color="auto"/>
              <w:bottom w:val="single" w:sz="8" w:space="0" w:color="auto"/>
              <w:right w:val="single" w:sz="8" w:space="0" w:color="auto"/>
            </w:tcBorders>
            <w:vAlign w:val="center"/>
          </w:tcPr>
          <w:p w14:paraId="7B8EEC25" w14:textId="5470D8A4"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5</w:t>
            </w:r>
          </w:p>
        </w:tc>
        <w:tc>
          <w:tcPr>
            <w:tcW w:w="919" w:type="dxa"/>
            <w:tcBorders>
              <w:top w:val="single" w:sz="8" w:space="0" w:color="auto"/>
              <w:left w:val="single" w:sz="8" w:space="0" w:color="auto"/>
              <w:bottom w:val="single" w:sz="8" w:space="0" w:color="auto"/>
              <w:right w:val="single" w:sz="8" w:space="0" w:color="auto"/>
            </w:tcBorders>
            <w:vAlign w:val="center"/>
          </w:tcPr>
          <w:p w14:paraId="35064326"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MOPE</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14:paraId="4C4ADE73"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WM</w:t>
            </w:r>
          </w:p>
        </w:tc>
        <w:tc>
          <w:tcPr>
            <w:tcW w:w="857" w:type="dxa"/>
            <w:tcBorders>
              <w:top w:val="single" w:sz="8" w:space="0" w:color="auto"/>
              <w:left w:val="single" w:sz="8" w:space="0" w:color="auto"/>
              <w:bottom w:val="single" w:sz="8" w:space="0" w:color="auto"/>
              <w:right w:val="single" w:sz="8" w:space="0" w:color="auto"/>
            </w:tcBorders>
            <w:shd w:val="clear" w:color="auto" w:fill="auto"/>
            <w:vAlign w:val="center"/>
          </w:tcPr>
          <w:p w14:paraId="6F44ACDA"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NE</w:t>
            </w:r>
          </w:p>
        </w:tc>
        <w:tc>
          <w:tcPr>
            <w:tcW w:w="775" w:type="dxa"/>
            <w:tcBorders>
              <w:top w:val="single" w:sz="8" w:space="0" w:color="auto"/>
              <w:left w:val="single" w:sz="8" w:space="0" w:color="auto"/>
              <w:bottom w:val="single" w:sz="8" w:space="0" w:color="auto"/>
              <w:right w:val="single" w:sz="8" w:space="0" w:color="auto"/>
            </w:tcBorders>
            <w:vAlign w:val="center"/>
          </w:tcPr>
          <w:p w14:paraId="38A8278C" w14:textId="77777777" w:rsidR="00AF3FEE" w:rsidRPr="00654A0B" w:rsidRDefault="00AF3FEE" w:rsidP="00AF3FEE">
            <w:pPr>
              <w:spacing w:line="245" w:lineRule="auto"/>
              <w:jc w:val="both"/>
              <w:rPr>
                <w:rFonts w:ascii="Arial" w:eastAsia="Tahoma" w:hAnsi="Arial" w:cs="Arial"/>
                <w:noProof/>
                <w:sz w:val="18"/>
                <w:szCs w:val="18"/>
              </w:rPr>
            </w:pPr>
            <w:r w:rsidRPr="00654A0B">
              <w:rPr>
                <w:rFonts w:ascii="Arial" w:hAnsi="Arial" w:cs="Arial"/>
                <w:color w:val="000000"/>
                <w:sz w:val="18"/>
                <w:szCs w:val="18"/>
              </w:rPr>
              <w:t>M-43</w:t>
            </w:r>
          </w:p>
        </w:tc>
      </w:tr>
    </w:tbl>
    <w:p w14:paraId="369B7D9D" w14:textId="77777777" w:rsidR="00AF3FEE" w:rsidRPr="00654A0B" w:rsidRDefault="00AF3FEE" w:rsidP="00AF3FEE">
      <w:pPr>
        <w:jc w:val="both"/>
        <w:rPr>
          <w:rFonts w:ascii="Arial" w:hAnsi="Arial" w:cs="Arial"/>
          <w:b/>
          <w:bCs/>
          <w:sz w:val="18"/>
          <w:szCs w:val="18"/>
        </w:rPr>
      </w:pPr>
    </w:p>
    <w:p w14:paraId="062EBAE4" w14:textId="0833EEB6" w:rsidR="00AF3FEE" w:rsidRPr="00407339" w:rsidRDefault="00407339" w:rsidP="002F38E7">
      <w:pPr>
        <w:pStyle w:val="nikatabelee"/>
      </w:pPr>
      <w:bookmarkStart w:id="119" w:name="_Toc193195391"/>
      <w:r w:rsidRPr="00407339">
        <w:t xml:space="preserve">Preglednica 6: </w:t>
      </w:r>
      <w:r w:rsidR="00377BA6">
        <w:t xml:space="preserve">Seznam </w:t>
      </w:r>
      <w:r w:rsidRPr="00407339">
        <w:t>ukrepov</w:t>
      </w:r>
      <w:bookmarkEnd w:id="119"/>
    </w:p>
    <w:p w14:paraId="49C481E9" w14:textId="77777777" w:rsidR="00AF3FEE" w:rsidRPr="00AF3FEE" w:rsidRDefault="00AF3FEE" w:rsidP="00AF3FEE">
      <w:pPr>
        <w:jc w:val="both"/>
        <w:rPr>
          <w:rFonts w:ascii="Arial" w:hAnsi="Arial" w:cs="Arial"/>
          <w:b/>
          <w:bCs/>
        </w:rPr>
      </w:pPr>
    </w:p>
    <w:p w14:paraId="12B8B39F" w14:textId="77777777" w:rsidR="00AF3FEE" w:rsidRPr="00AF3FEE" w:rsidRDefault="00AF3FEE" w:rsidP="00AF3FEE">
      <w:pPr>
        <w:jc w:val="both"/>
        <w:rPr>
          <w:rFonts w:ascii="Arial" w:hAnsi="Arial" w:cs="Arial"/>
          <w:b/>
          <w:bCs/>
        </w:rPr>
        <w:sectPr w:rsidR="00AF3FEE" w:rsidRPr="00AF3FEE" w:rsidSect="00AF3FEE">
          <w:pgSz w:w="16840" w:h="11907" w:orient="landscape" w:code="9"/>
          <w:pgMar w:top="1418" w:right="1418" w:bottom="1418" w:left="1418" w:header="709" w:footer="709" w:gutter="0"/>
          <w:cols w:space="708"/>
          <w:docGrid w:linePitch="360"/>
        </w:sectPr>
      </w:pPr>
    </w:p>
    <w:p w14:paraId="71EE195B" w14:textId="7189EBF3" w:rsidR="00407339" w:rsidRPr="004D7C9F" w:rsidRDefault="00407339" w:rsidP="00407339">
      <w:pPr>
        <w:pStyle w:val="Heading3"/>
      </w:pPr>
      <w:bookmarkStart w:id="120" w:name="_Toc196300822"/>
      <w:r w:rsidRPr="004D7C9F">
        <w:lastRenderedPageBreak/>
        <w:t>II.D.10 Druge informacije o politikah in ukrepih</w:t>
      </w:r>
      <w:bookmarkEnd w:id="120"/>
    </w:p>
    <w:p w14:paraId="0394A062" w14:textId="7873ABFD" w:rsidR="00AF3FEE" w:rsidRPr="004D7C9F" w:rsidRDefault="00EA22E6" w:rsidP="00AF3FEE">
      <w:pPr>
        <w:pStyle w:val="BodyText"/>
        <w:rPr>
          <w:rFonts w:ascii="Arial" w:hAnsi="Arial" w:cs="Arial"/>
          <w:szCs w:val="22"/>
        </w:rPr>
      </w:pPr>
      <w:r>
        <w:rPr>
          <w:rFonts w:ascii="Arial" w:hAnsi="Arial" w:cs="Arial"/>
          <w:szCs w:val="22"/>
        </w:rPr>
        <w:t>O</w:t>
      </w:r>
      <w:r w:rsidR="00AF3FEE" w:rsidRPr="004D7C9F">
        <w:rPr>
          <w:rFonts w:ascii="Arial" w:hAnsi="Arial" w:cs="Arial"/>
          <w:szCs w:val="22"/>
        </w:rPr>
        <w:t xml:space="preserve">cene pričakovanega zmanjšanja emisij </w:t>
      </w:r>
      <w:r w:rsidR="0024256B">
        <w:rPr>
          <w:rFonts w:ascii="Arial" w:hAnsi="Arial" w:cs="Arial"/>
          <w:szCs w:val="22"/>
        </w:rPr>
        <w:t>TGP</w:t>
      </w:r>
      <w:r w:rsidR="00AF3FEE" w:rsidRPr="004D7C9F">
        <w:rPr>
          <w:rFonts w:ascii="Arial" w:hAnsi="Arial" w:cs="Arial"/>
          <w:szCs w:val="22"/>
        </w:rPr>
        <w:t xml:space="preserve">, prikazane v </w:t>
      </w:r>
      <w:r w:rsidR="008C5703">
        <w:rPr>
          <w:rFonts w:ascii="Arial" w:hAnsi="Arial" w:cs="Arial"/>
          <w:szCs w:val="22"/>
        </w:rPr>
        <w:t>preglednici 6,</w:t>
      </w:r>
      <w:r w:rsidR="00AF3FEE" w:rsidRPr="004D7C9F">
        <w:rPr>
          <w:rFonts w:ascii="Arial" w:hAnsi="Arial" w:cs="Arial"/>
          <w:szCs w:val="22"/>
        </w:rPr>
        <w:t xml:space="preserve"> temeljijo na sektorskih modelih, uporabljenih za izračun scenarijev. Ocena učinkov je bila izvedena s primerjavami rezultatov projekcij različnih scenarijev</w:t>
      </w:r>
      <w:r>
        <w:rPr>
          <w:rFonts w:ascii="Arial" w:hAnsi="Arial" w:cs="Arial"/>
          <w:szCs w:val="22"/>
        </w:rPr>
        <w:t>,</w:t>
      </w:r>
      <w:r w:rsidR="00AF3FEE" w:rsidRPr="004D7C9F">
        <w:rPr>
          <w:rFonts w:ascii="Arial" w:hAnsi="Arial" w:cs="Arial"/>
          <w:szCs w:val="22"/>
        </w:rPr>
        <w:t xml:space="preserve"> v </w:t>
      </w:r>
      <w:r w:rsidRPr="004D7C9F">
        <w:rPr>
          <w:rFonts w:ascii="Arial" w:hAnsi="Arial" w:cs="Arial"/>
          <w:szCs w:val="22"/>
        </w:rPr>
        <w:t>kater</w:t>
      </w:r>
      <w:r>
        <w:rPr>
          <w:rFonts w:ascii="Arial" w:hAnsi="Arial" w:cs="Arial"/>
          <w:szCs w:val="22"/>
        </w:rPr>
        <w:t>e</w:t>
      </w:r>
      <w:r w:rsidRPr="004D7C9F">
        <w:rPr>
          <w:rFonts w:ascii="Arial" w:hAnsi="Arial" w:cs="Arial"/>
          <w:szCs w:val="22"/>
        </w:rPr>
        <w:t xml:space="preserve"> </w:t>
      </w:r>
      <w:r w:rsidR="00AF3FEE" w:rsidRPr="004D7C9F">
        <w:rPr>
          <w:rFonts w:ascii="Arial" w:hAnsi="Arial" w:cs="Arial"/>
          <w:szCs w:val="22"/>
        </w:rPr>
        <w:t>so bili dodajani ukrepi. Nekateri učinki ukrepov so b</w:t>
      </w:r>
      <w:r w:rsidR="004D7C9F">
        <w:rPr>
          <w:rFonts w:ascii="Arial" w:hAnsi="Arial" w:cs="Arial"/>
          <w:szCs w:val="22"/>
        </w:rPr>
        <w:t>i</w:t>
      </w:r>
      <w:r w:rsidR="00AF3FEE" w:rsidRPr="004D7C9F">
        <w:rPr>
          <w:rFonts w:ascii="Arial" w:hAnsi="Arial" w:cs="Arial"/>
          <w:szCs w:val="22"/>
        </w:rPr>
        <w:t xml:space="preserve">li </w:t>
      </w:r>
      <w:r w:rsidR="004D7C9F" w:rsidRPr="004D7C9F">
        <w:rPr>
          <w:rFonts w:ascii="Arial" w:hAnsi="Arial" w:cs="Arial"/>
          <w:szCs w:val="22"/>
        </w:rPr>
        <w:t>izračunani</w:t>
      </w:r>
      <w:r w:rsidR="00AF3FEE" w:rsidRPr="004D7C9F">
        <w:rPr>
          <w:rFonts w:ascii="Arial" w:hAnsi="Arial" w:cs="Arial"/>
          <w:szCs w:val="22"/>
        </w:rPr>
        <w:t xml:space="preserve"> s </w:t>
      </w:r>
      <w:r w:rsidR="004D7C9F" w:rsidRPr="004D7C9F">
        <w:rPr>
          <w:rFonts w:ascii="Arial" w:hAnsi="Arial" w:cs="Arial"/>
          <w:szCs w:val="22"/>
        </w:rPr>
        <w:t>primerjavo</w:t>
      </w:r>
      <w:r w:rsidR="00AF3FEE" w:rsidRPr="004D7C9F">
        <w:rPr>
          <w:rFonts w:ascii="Arial" w:hAnsi="Arial" w:cs="Arial"/>
          <w:szCs w:val="22"/>
        </w:rPr>
        <w:t xml:space="preserve"> scenarijev z ukrepi in dodatnimi ukrepi. Na ta način je bilo doseženo, da ni prišlo do </w:t>
      </w:r>
      <w:r w:rsidR="004D7C9F" w:rsidRPr="004D7C9F">
        <w:rPr>
          <w:rFonts w:ascii="Arial" w:hAnsi="Arial" w:cs="Arial"/>
          <w:szCs w:val="22"/>
        </w:rPr>
        <w:t>dvojnega</w:t>
      </w:r>
      <w:r w:rsidR="00AF3FEE" w:rsidRPr="004D7C9F">
        <w:rPr>
          <w:rFonts w:ascii="Arial" w:hAnsi="Arial" w:cs="Arial"/>
          <w:szCs w:val="22"/>
        </w:rPr>
        <w:t xml:space="preserve"> štetja </w:t>
      </w:r>
      <w:r w:rsidR="004D7C9F" w:rsidRPr="004D7C9F">
        <w:rPr>
          <w:rFonts w:ascii="Arial" w:hAnsi="Arial" w:cs="Arial"/>
          <w:szCs w:val="22"/>
        </w:rPr>
        <w:t>učinkov</w:t>
      </w:r>
      <w:r w:rsidR="00AF3FEE" w:rsidRPr="004D7C9F">
        <w:rPr>
          <w:rFonts w:ascii="Arial" w:hAnsi="Arial" w:cs="Arial"/>
          <w:szCs w:val="22"/>
        </w:rPr>
        <w:t xml:space="preserve"> ukrepov. Učinek obstoječih ukrepov ni bil ocenjen, ker zaradi težavnosti </w:t>
      </w:r>
      <w:r>
        <w:rPr>
          <w:rFonts w:ascii="Arial" w:hAnsi="Arial" w:cs="Arial"/>
          <w:szCs w:val="22"/>
        </w:rPr>
        <w:t>opredelitve</w:t>
      </w:r>
      <w:r w:rsidRPr="004D7C9F">
        <w:rPr>
          <w:rFonts w:ascii="Arial" w:hAnsi="Arial" w:cs="Arial"/>
          <w:szCs w:val="22"/>
        </w:rPr>
        <w:t xml:space="preserve"> </w:t>
      </w:r>
      <w:r w:rsidR="00AF3FEE" w:rsidRPr="004D7C9F">
        <w:rPr>
          <w:rFonts w:ascii="Arial" w:hAnsi="Arial" w:cs="Arial"/>
          <w:szCs w:val="22"/>
        </w:rPr>
        <w:t>scenarija brez ukrepov</w:t>
      </w:r>
      <w:r w:rsidRPr="00EA22E6">
        <w:rPr>
          <w:rFonts w:ascii="Arial" w:hAnsi="Arial" w:cs="Arial"/>
          <w:szCs w:val="22"/>
        </w:rPr>
        <w:t xml:space="preserve"> </w:t>
      </w:r>
      <w:r w:rsidRPr="004D7C9F">
        <w:rPr>
          <w:rFonts w:ascii="Arial" w:hAnsi="Arial" w:cs="Arial"/>
          <w:szCs w:val="22"/>
        </w:rPr>
        <w:t>projekcija brez ukrepov</w:t>
      </w:r>
      <w:r w:rsidRPr="00EA22E6">
        <w:rPr>
          <w:rFonts w:ascii="Arial" w:hAnsi="Arial" w:cs="Arial"/>
          <w:szCs w:val="22"/>
        </w:rPr>
        <w:t xml:space="preserve"> </w:t>
      </w:r>
      <w:r w:rsidRPr="004D7C9F">
        <w:rPr>
          <w:rFonts w:ascii="Arial" w:hAnsi="Arial" w:cs="Arial"/>
          <w:szCs w:val="22"/>
        </w:rPr>
        <w:t>ni bila pripravljena</w:t>
      </w:r>
      <w:r w:rsidR="00AF3FEE" w:rsidRPr="004D7C9F">
        <w:rPr>
          <w:rFonts w:ascii="Arial" w:hAnsi="Arial" w:cs="Arial"/>
          <w:szCs w:val="22"/>
        </w:rPr>
        <w:t>. Uporabljeni modeli so opisani v poglavju II.F.</w:t>
      </w:r>
    </w:p>
    <w:p w14:paraId="77D983F9" w14:textId="0899F7BC" w:rsidR="00AF3FEE" w:rsidRPr="004D7C9F" w:rsidRDefault="00AF3FEE" w:rsidP="00AF3FEE">
      <w:pPr>
        <w:pStyle w:val="BodyText"/>
        <w:rPr>
          <w:rFonts w:ascii="Arial" w:hAnsi="Arial" w:cs="Arial"/>
          <w:szCs w:val="22"/>
        </w:rPr>
      </w:pPr>
      <w:r w:rsidRPr="004D7C9F">
        <w:rPr>
          <w:rFonts w:ascii="Arial" w:hAnsi="Arial" w:cs="Arial"/>
          <w:szCs w:val="22"/>
        </w:rPr>
        <w:t>Doseženi učinki ukrepov so analizirani v sklopu analize izvajanja podnebne politike, ki je opisan</w:t>
      </w:r>
      <w:r w:rsidR="00EA22E6">
        <w:rPr>
          <w:rFonts w:ascii="Arial" w:hAnsi="Arial" w:cs="Arial"/>
          <w:szCs w:val="22"/>
        </w:rPr>
        <w:t>a</w:t>
      </w:r>
      <w:r w:rsidRPr="004D7C9F">
        <w:rPr>
          <w:rFonts w:ascii="Arial" w:hAnsi="Arial" w:cs="Arial"/>
          <w:szCs w:val="22"/>
        </w:rPr>
        <w:t xml:space="preserve"> v poglavju II.A.13, vendar niso analizirani učinki posameznih ukrepov, temveč skupin ukrepov na podlagi analize gibanja številnih kazalnikov in dodatnih analiz.</w:t>
      </w:r>
    </w:p>
    <w:p w14:paraId="552E8AB7" w14:textId="0E63749C" w:rsidR="00407339" w:rsidRDefault="00407339" w:rsidP="00407339">
      <w:pPr>
        <w:rPr>
          <w:rFonts w:ascii="Arial" w:eastAsiaTheme="majorEastAsia" w:hAnsi="Arial" w:cs="Arial"/>
          <w:b/>
          <w:bCs/>
        </w:rPr>
      </w:pPr>
      <w:r w:rsidRPr="00407339">
        <w:rPr>
          <w:rFonts w:ascii="Arial" w:eastAsiaTheme="majorEastAsia" w:hAnsi="Arial" w:cs="Arial"/>
          <w:b/>
          <w:bCs/>
        </w:rPr>
        <w:t>Ukrepi in politike, ki niso več v veljavi</w:t>
      </w:r>
    </w:p>
    <w:p w14:paraId="7E5E63EC" w14:textId="6D0113F8" w:rsidR="00407339" w:rsidRPr="00407339" w:rsidRDefault="00407339" w:rsidP="00407339">
      <w:pPr>
        <w:pStyle w:val="BodyText"/>
        <w:rPr>
          <w:rFonts w:ascii="Arial" w:hAnsi="Arial" w:cs="Arial"/>
          <w:shd w:val="clear" w:color="auto" w:fill="FFFF00"/>
        </w:rPr>
      </w:pPr>
      <w:r w:rsidRPr="00407339">
        <w:rPr>
          <w:rFonts w:ascii="Arial" w:hAnsi="Arial" w:cs="Arial"/>
        </w:rPr>
        <w:t>Od zadnjega poročanja ni bilo sprememb.</w:t>
      </w:r>
    </w:p>
    <w:p w14:paraId="436F4119" w14:textId="6C465F38" w:rsidR="00407339" w:rsidRDefault="00407339" w:rsidP="00407339">
      <w:pPr>
        <w:rPr>
          <w:rFonts w:ascii="Arial" w:eastAsiaTheme="majorEastAsia" w:hAnsi="Arial" w:cs="Arial"/>
          <w:b/>
          <w:bCs/>
        </w:rPr>
      </w:pPr>
      <w:r w:rsidRPr="00407339">
        <w:rPr>
          <w:rFonts w:ascii="Arial" w:eastAsiaTheme="majorEastAsia" w:hAnsi="Arial" w:cs="Arial"/>
          <w:b/>
          <w:bCs/>
        </w:rPr>
        <w:t>Aktivnosti za zmanjšanje emisij iz mednarodnega prometa</w:t>
      </w:r>
    </w:p>
    <w:p w14:paraId="39404639" w14:textId="350270BC" w:rsidR="00407339" w:rsidRPr="00407339" w:rsidRDefault="00407339" w:rsidP="00407339">
      <w:pPr>
        <w:pStyle w:val="BodyText"/>
        <w:rPr>
          <w:rFonts w:ascii="Arial" w:hAnsi="Arial" w:cs="Arial"/>
          <w:szCs w:val="22"/>
        </w:rPr>
      </w:pPr>
      <w:r w:rsidRPr="00407339">
        <w:rPr>
          <w:rFonts w:ascii="Arial" w:hAnsi="Arial" w:cs="Arial"/>
          <w:szCs w:val="22"/>
        </w:rPr>
        <w:t xml:space="preserve">Slovenija se zaveda potrebe po zmanjšanju emisij TGP na </w:t>
      </w:r>
      <w:r w:rsidR="00EA22E6" w:rsidRPr="00407339">
        <w:rPr>
          <w:rFonts w:ascii="Arial" w:hAnsi="Arial" w:cs="Arial"/>
          <w:szCs w:val="22"/>
        </w:rPr>
        <w:t>področj</w:t>
      </w:r>
      <w:r w:rsidR="00EA22E6">
        <w:rPr>
          <w:rFonts w:ascii="Arial" w:hAnsi="Arial" w:cs="Arial"/>
          <w:szCs w:val="22"/>
        </w:rPr>
        <w:t>u</w:t>
      </w:r>
      <w:r w:rsidR="00EA22E6" w:rsidRPr="00407339">
        <w:rPr>
          <w:rFonts w:ascii="Arial" w:hAnsi="Arial" w:cs="Arial"/>
          <w:szCs w:val="22"/>
        </w:rPr>
        <w:t xml:space="preserve"> </w:t>
      </w:r>
      <w:r w:rsidRPr="00407339">
        <w:rPr>
          <w:rFonts w:ascii="Arial" w:hAnsi="Arial" w:cs="Arial"/>
          <w:szCs w:val="22"/>
        </w:rPr>
        <w:t xml:space="preserve">pomorskega in zračnega </w:t>
      </w:r>
      <w:r w:rsidR="00EA22E6">
        <w:rPr>
          <w:rFonts w:ascii="Arial" w:hAnsi="Arial" w:cs="Arial"/>
          <w:szCs w:val="22"/>
        </w:rPr>
        <w:t>promet</w:t>
      </w:r>
      <w:r w:rsidR="00EA22E6" w:rsidRPr="00407339">
        <w:rPr>
          <w:rFonts w:ascii="Arial" w:hAnsi="Arial" w:cs="Arial"/>
          <w:szCs w:val="22"/>
        </w:rPr>
        <w:t xml:space="preserve">a </w:t>
      </w:r>
      <w:r w:rsidR="008C5703">
        <w:rPr>
          <w:rFonts w:ascii="Arial" w:hAnsi="Arial" w:cs="Arial"/>
          <w:szCs w:val="22"/>
        </w:rPr>
        <w:t>ter</w:t>
      </w:r>
      <w:r w:rsidR="008C5703" w:rsidRPr="00407339">
        <w:rPr>
          <w:rFonts w:ascii="Arial" w:hAnsi="Arial" w:cs="Arial"/>
          <w:szCs w:val="22"/>
        </w:rPr>
        <w:t xml:space="preserve"> </w:t>
      </w:r>
      <w:r w:rsidRPr="00407339">
        <w:rPr>
          <w:rFonts w:ascii="Arial" w:hAnsi="Arial" w:cs="Arial"/>
          <w:szCs w:val="22"/>
        </w:rPr>
        <w:t>podpira EU pri aktivnostih v zvezi z zmanjšanjem emisij TGP iz mednarodnega prometa v IMO in ICAO. EU je, tudi s podporo Slovenije, vključila letalski promet v EU ETS od leta 2012, kar vodi v zmanjšanje emisij pod zgodovinsko raven iz let 2004</w:t>
      </w:r>
      <w:r w:rsidR="00EA22E6">
        <w:rPr>
          <w:rFonts w:ascii="Arial" w:hAnsi="Arial" w:cs="Arial"/>
          <w:szCs w:val="22"/>
        </w:rPr>
        <w:t>–</w:t>
      </w:r>
      <w:r w:rsidRPr="00407339">
        <w:rPr>
          <w:rFonts w:ascii="Arial" w:hAnsi="Arial" w:cs="Arial"/>
          <w:szCs w:val="22"/>
        </w:rPr>
        <w:t xml:space="preserve">2006. EU je tudi ključni akter pri dogovoru ICAO o globalnem tržnem ukrepu za zmanjševanje emisij iz letalskega prometa (CORSIA </w:t>
      </w:r>
      <w:r w:rsidR="00EA22E6">
        <w:rPr>
          <w:rFonts w:ascii="Arial" w:hAnsi="Arial" w:cs="Arial"/>
          <w:szCs w:val="22"/>
        </w:rPr>
        <w:t>–</w:t>
      </w:r>
      <w:r w:rsidRPr="00407339">
        <w:rPr>
          <w:rFonts w:ascii="Arial" w:hAnsi="Arial" w:cs="Arial"/>
          <w:szCs w:val="22"/>
        </w:rPr>
        <w:t xml:space="preserve"> Carbon Offsetting Scheme for International Aviation), ki je v veljavi od leta 2021. Slovenija skupaj z drugimi državami članicami EU </w:t>
      </w:r>
      <w:r w:rsidR="00EA22E6" w:rsidRPr="00407339">
        <w:rPr>
          <w:rFonts w:ascii="Arial" w:hAnsi="Arial" w:cs="Arial"/>
          <w:szCs w:val="22"/>
        </w:rPr>
        <w:t>sodeluj</w:t>
      </w:r>
      <w:r w:rsidR="00EA22E6">
        <w:rPr>
          <w:rFonts w:ascii="Arial" w:hAnsi="Arial" w:cs="Arial"/>
          <w:szCs w:val="22"/>
        </w:rPr>
        <w:t>e</w:t>
      </w:r>
      <w:r w:rsidR="00EA22E6" w:rsidRPr="00407339">
        <w:rPr>
          <w:rFonts w:ascii="Arial" w:hAnsi="Arial" w:cs="Arial"/>
          <w:szCs w:val="22"/>
        </w:rPr>
        <w:t xml:space="preserve"> </w:t>
      </w:r>
      <w:r w:rsidRPr="00407339">
        <w:rPr>
          <w:rFonts w:ascii="Arial" w:hAnsi="Arial" w:cs="Arial"/>
          <w:szCs w:val="22"/>
        </w:rPr>
        <w:t xml:space="preserve">v tem mednarodnem dogovoru že od začetka prve, </w:t>
      </w:r>
      <w:r w:rsidR="008C5703">
        <w:rPr>
          <w:rFonts w:ascii="Arial" w:hAnsi="Arial" w:cs="Arial"/>
          <w:szCs w:val="22"/>
        </w:rPr>
        <w:t>poskusne</w:t>
      </w:r>
      <w:r w:rsidR="008C5703" w:rsidRPr="00407339">
        <w:rPr>
          <w:rFonts w:ascii="Arial" w:hAnsi="Arial" w:cs="Arial"/>
          <w:szCs w:val="22"/>
        </w:rPr>
        <w:t xml:space="preserve"> </w:t>
      </w:r>
      <w:r w:rsidRPr="00407339">
        <w:rPr>
          <w:rFonts w:ascii="Arial" w:hAnsi="Arial" w:cs="Arial"/>
          <w:szCs w:val="22"/>
        </w:rPr>
        <w:t xml:space="preserve">faze. Prenovljena </w:t>
      </w:r>
      <w:r w:rsidR="00A17C1E" w:rsidRPr="00407339">
        <w:rPr>
          <w:rFonts w:ascii="Arial" w:hAnsi="Arial" w:cs="Arial"/>
          <w:szCs w:val="22"/>
        </w:rPr>
        <w:t xml:space="preserve">direktiva </w:t>
      </w:r>
      <w:r w:rsidRPr="00407339">
        <w:rPr>
          <w:rFonts w:ascii="Arial" w:hAnsi="Arial" w:cs="Arial"/>
          <w:szCs w:val="22"/>
        </w:rPr>
        <w:t xml:space="preserve">EU ETS s </w:t>
      </w:r>
      <w:r w:rsidR="00EA22E6">
        <w:rPr>
          <w:rFonts w:ascii="Arial" w:hAnsi="Arial" w:cs="Arial"/>
          <w:szCs w:val="22"/>
        </w:rPr>
        <w:t>1.</w:t>
      </w:r>
      <w:r w:rsidRPr="00407339">
        <w:rPr>
          <w:rFonts w:ascii="Arial" w:hAnsi="Arial" w:cs="Arial"/>
          <w:szCs w:val="22"/>
        </w:rPr>
        <w:t xml:space="preserve"> januarjem 2027 širi obseg letov, ki jih zajema, na lete iz držav, ki niso vključene v </w:t>
      </w:r>
      <w:r w:rsidR="008C5703">
        <w:rPr>
          <w:rFonts w:ascii="Arial" w:hAnsi="Arial" w:cs="Arial"/>
          <w:szCs w:val="22"/>
        </w:rPr>
        <w:t xml:space="preserve">shemo </w:t>
      </w:r>
      <w:r w:rsidRPr="00407339">
        <w:rPr>
          <w:rFonts w:ascii="Arial" w:hAnsi="Arial" w:cs="Arial"/>
          <w:szCs w:val="22"/>
        </w:rPr>
        <w:t xml:space="preserve">CORISIA, </w:t>
      </w:r>
      <w:r w:rsidR="008C5703">
        <w:rPr>
          <w:rFonts w:ascii="Arial" w:hAnsi="Arial" w:cs="Arial"/>
          <w:szCs w:val="22"/>
        </w:rPr>
        <w:t xml:space="preserve">razen </w:t>
      </w:r>
      <w:r w:rsidRPr="00407339">
        <w:rPr>
          <w:rFonts w:ascii="Arial" w:hAnsi="Arial" w:cs="Arial"/>
          <w:szCs w:val="22"/>
        </w:rPr>
        <w:t>majhnih otoških držav in najmanj razvitih držav.</w:t>
      </w:r>
    </w:p>
    <w:p w14:paraId="3F4BB602" w14:textId="209BB291" w:rsidR="00407339" w:rsidRDefault="00407339" w:rsidP="00407339">
      <w:pPr>
        <w:pStyle w:val="BodyText"/>
        <w:rPr>
          <w:rFonts w:ascii="Arial" w:hAnsi="Arial" w:cs="Arial"/>
          <w:b/>
          <w:bCs/>
          <w:szCs w:val="22"/>
        </w:rPr>
      </w:pPr>
      <w:r w:rsidRPr="00407339">
        <w:rPr>
          <w:rFonts w:ascii="Arial" w:hAnsi="Arial" w:cs="Arial"/>
          <w:szCs w:val="22"/>
        </w:rPr>
        <w:t xml:space="preserve">Ustrezne aktivnosti za pomorski promet </w:t>
      </w:r>
      <w:r w:rsidR="00EA22E6" w:rsidRPr="00407339">
        <w:rPr>
          <w:rFonts w:ascii="Arial" w:hAnsi="Arial" w:cs="Arial"/>
          <w:szCs w:val="22"/>
        </w:rPr>
        <w:t xml:space="preserve">se </w:t>
      </w:r>
      <w:r w:rsidRPr="00407339">
        <w:rPr>
          <w:rFonts w:ascii="Arial" w:hAnsi="Arial" w:cs="Arial"/>
          <w:szCs w:val="22"/>
        </w:rPr>
        <w:t xml:space="preserve">izvajajo tudi na ravni EU, to </w:t>
      </w:r>
      <w:r w:rsidR="00EA22E6">
        <w:rPr>
          <w:rFonts w:ascii="Arial" w:hAnsi="Arial" w:cs="Arial"/>
          <w:szCs w:val="22"/>
        </w:rPr>
        <w:t>sta</w:t>
      </w:r>
      <w:r w:rsidR="00EA22E6" w:rsidRPr="00407339">
        <w:rPr>
          <w:rFonts w:ascii="Arial" w:hAnsi="Arial" w:cs="Arial"/>
          <w:szCs w:val="22"/>
        </w:rPr>
        <w:t xml:space="preserve"> </w:t>
      </w:r>
      <w:r w:rsidRPr="00407339">
        <w:rPr>
          <w:rFonts w:ascii="Arial" w:hAnsi="Arial" w:cs="Arial"/>
          <w:szCs w:val="22"/>
        </w:rPr>
        <w:t xml:space="preserve">spremljanje </w:t>
      </w:r>
      <w:r w:rsidR="00EA22E6">
        <w:rPr>
          <w:rFonts w:ascii="Arial" w:hAnsi="Arial" w:cs="Arial"/>
          <w:szCs w:val="22"/>
        </w:rPr>
        <w:t>emisij</w:t>
      </w:r>
      <w:r w:rsidR="00EA22E6" w:rsidRPr="00407339">
        <w:rPr>
          <w:rFonts w:ascii="Arial" w:hAnsi="Arial" w:cs="Arial"/>
          <w:szCs w:val="22"/>
        </w:rPr>
        <w:t xml:space="preserve"> iz ladij </w:t>
      </w:r>
      <w:r w:rsidRPr="00407339">
        <w:rPr>
          <w:rFonts w:ascii="Arial" w:hAnsi="Arial" w:cs="Arial"/>
          <w:szCs w:val="22"/>
        </w:rPr>
        <w:t>in poročanje o</w:t>
      </w:r>
      <w:r w:rsidR="00EA22E6">
        <w:rPr>
          <w:rFonts w:ascii="Arial" w:hAnsi="Arial" w:cs="Arial"/>
          <w:szCs w:val="22"/>
        </w:rPr>
        <w:t xml:space="preserve"> njih</w:t>
      </w:r>
      <w:r w:rsidRPr="00407339">
        <w:rPr>
          <w:rFonts w:ascii="Arial" w:hAnsi="Arial" w:cs="Arial"/>
          <w:szCs w:val="22"/>
        </w:rPr>
        <w:t>.</w:t>
      </w:r>
      <w:r w:rsidR="00B671ED">
        <w:rPr>
          <w:rFonts w:ascii="Arial" w:hAnsi="Arial" w:cs="Arial"/>
          <w:szCs w:val="22"/>
        </w:rPr>
        <w:t xml:space="preserve"> </w:t>
      </w:r>
      <w:r w:rsidR="00B671ED" w:rsidRPr="1476A3A5">
        <w:rPr>
          <w:rFonts w:ascii="Arial" w:hAnsi="Arial" w:cs="Arial"/>
        </w:rPr>
        <w:t xml:space="preserve">Države članice EU so </w:t>
      </w:r>
      <w:r w:rsidR="00EA22E6">
        <w:rPr>
          <w:rFonts w:ascii="Arial" w:hAnsi="Arial" w:cs="Arial"/>
        </w:rPr>
        <w:t>ime</w:t>
      </w:r>
      <w:r w:rsidR="00EA22E6" w:rsidRPr="1476A3A5">
        <w:rPr>
          <w:rFonts w:ascii="Arial" w:hAnsi="Arial" w:cs="Arial"/>
        </w:rPr>
        <w:t xml:space="preserve">le </w:t>
      </w:r>
      <w:r w:rsidR="00B671ED" w:rsidRPr="1476A3A5">
        <w:rPr>
          <w:rFonts w:ascii="Arial" w:hAnsi="Arial" w:cs="Arial"/>
        </w:rPr>
        <w:t xml:space="preserve">pomembno vlogo pri reviziji Začetne </w:t>
      </w:r>
      <w:r w:rsidR="008C5703">
        <w:rPr>
          <w:rFonts w:ascii="Arial" w:hAnsi="Arial" w:cs="Arial"/>
        </w:rPr>
        <w:t>s</w:t>
      </w:r>
      <w:r w:rsidR="00B671ED" w:rsidRPr="1476A3A5">
        <w:rPr>
          <w:rFonts w:ascii="Arial" w:hAnsi="Arial" w:cs="Arial"/>
        </w:rPr>
        <w:t xml:space="preserve">trategije </w:t>
      </w:r>
      <w:r w:rsidR="008C5703">
        <w:rPr>
          <w:rFonts w:ascii="Arial" w:hAnsi="Arial" w:cs="Arial"/>
        </w:rPr>
        <w:t xml:space="preserve">IMO </w:t>
      </w:r>
      <w:r w:rsidR="00B671ED" w:rsidRPr="1476A3A5">
        <w:rPr>
          <w:rFonts w:ascii="Arial" w:hAnsi="Arial" w:cs="Arial"/>
        </w:rPr>
        <w:t xml:space="preserve">o zmanjševanju izpustov emisij toplogrednih plinov iz ladij iz leta 2018. Revidirana Začetna </w:t>
      </w:r>
      <w:r w:rsidR="008C5703">
        <w:rPr>
          <w:rFonts w:ascii="Arial" w:hAnsi="Arial" w:cs="Arial"/>
        </w:rPr>
        <w:t>s</w:t>
      </w:r>
      <w:r w:rsidR="00B671ED" w:rsidRPr="1476A3A5">
        <w:rPr>
          <w:rFonts w:ascii="Arial" w:hAnsi="Arial" w:cs="Arial"/>
        </w:rPr>
        <w:t>trategija</w:t>
      </w:r>
      <w:r w:rsidR="008C5703">
        <w:rPr>
          <w:rFonts w:ascii="Arial" w:hAnsi="Arial" w:cs="Arial"/>
        </w:rPr>
        <w:t xml:space="preserve"> IMO</w:t>
      </w:r>
      <w:r w:rsidR="00B671ED" w:rsidRPr="1476A3A5">
        <w:rPr>
          <w:rFonts w:ascii="Arial" w:hAnsi="Arial" w:cs="Arial"/>
        </w:rPr>
        <w:t xml:space="preserve"> (Strategija</w:t>
      </w:r>
      <w:r w:rsidR="008C5703">
        <w:rPr>
          <w:rFonts w:ascii="Arial" w:hAnsi="Arial" w:cs="Arial"/>
        </w:rPr>
        <w:t xml:space="preserve"> IMO</w:t>
      </w:r>
      <w:r w:rsidR="00B671ED" w:rsidRPr="1476A3A5">
        <w:rPr>
          <w:rFonts w:ascii="Arial" w:hAnsi="Arial" w:cs="Arial"/>
        </w:rPr>
        <w:t xml:space="preserve"> 2023), ki je bila sprejeta leta 2023</w:t>
      </w:r>
      <w:r w:rsidR="00EA22E6">
        <w:rPr>
          <w:rFonts w:ascii="Arial" w:hAnsi="Arial" w:cs="Arial"/>
        </w:rPr>
        <w:t>,</w:t>
      </w:r>
      <w:r w:rsidR="00B671ED" w:rsidRPr="1476A3A5">
        <w:rPr>
          <w:rFonts w:ascii="Arial" w:hAnsi="Arial" w:cs="Arial"/>
        </w:rPr>
        <w:t xml:space="preserve"> </w:t>
      </w:r>
      <w:r w:rsidR="00EA22E6">
        <w:rPr>
          <w:rFonts w:ascii="Arial" w:hAnsi="Arial" w:cs="Arial"/>
        </w:rPr>
        <w:t>napoveduje</w:t>
      </w:r>
      <w:r w:rsidR="00B671ED" w:rsidRPr="1476A3A5">
        <w:rPr>
          <w:rFonts w:ascii="Arial" w:hAnsi="Arial" w:cs="Arial"/>
        </w:rPr>
        <w:t xml:space="preserve">, da se </w:t>
      </w:r>
      <w:r w:rsidR="00393ADF">
        <w:rPr>
          <w:rFonts w:ascii="Arial" w:hAnsi="Arial" w:cs="Arial"/>
        </w:rPr>
        <w:t xml:space="preserve">bodo </w:t>
      </w:r>
      <w:r w:rsidR="00B671ED" w:rsidRPr="1476A3A5">
        <w:rPr>
          <w:rFonts w:ascii="Arial" w:hAnsi="Arial" w:cs="Arial"/>
        </w:rPr>
        <w:t xml:space="preserve">okoli leta 2050 </w:t>
      </w:r>
      <w:r w:rsidR="00393ADF" w:rsidRPr="1476A3A5">
        <w:rPr>
          <w:rFonts w:ascii="Arial" w:hAnsi="Arial" w:cs="Arial"/>
        </w:rPr>
        <w:t>dose</w:t>
      </w:r>
      <w:r w:rsidR="00393ADF">
        <w:rPr>
          <w:rFonts w:ascii="Arial" w:hAnsi="Arial" w:cs="Arial"/>
        </w:rPr>
        <w:t>gle</w:t>
      </w:r>
      <w:r w:rsidR="00393ADF" w:rsidRPr="1476A3A5">
        <w:rPr>
          <w:rFonts w:ascii="Arial" w:hAnsi="Arial" w:cs="Arial"/>
        </w:rPr>
        <w:t xml:space="preserve"> </w:t>
      </w:r>
      <w:r w:rsidR="00B671ED" w:rsidRPr="1476A3A5">
        <w:rPr>
          <w:rFonts w:ascii="Arial" w:hAnsi="Arial" w:cs="Arial"/>
        </w:rPr>
        <w:t>ničelne neto emisije toplogrednih plinov iz mednarodnega pomorskega prometa. Dogovorjeno je bilo še zmanjšanje emisij CO</w:t>
      </w:r>
      <w:r w:rsidR="00B671ED" w:rsidRPr="00637310">
        <w:rPr>
          <w:rFonts w:ascii="Arial" w:hAnsi="Arial" w:cs="Arial"/>
          <w:vertAlign w:val="subscript"/>
        </w:rPr>
        <w:t>2</w:t>
      </w:r>
      <w:r w:rsidR="00B671ED" w:rsidRPr="1476A3A5">
        <w:rPr>
          <w:rFonts w:ascii="Arial" w:hAnsi="Arial" w:cs="Arial"/>
        </w:rPr>
        <w:t xml:space="preserve"> na prevozno delo v povprečju v mednarodnem ladijskem prometu za vsaj 40 % do leta 2030 v primerjavi z letom 2008. Prav tako so bile uvedene kontrolne točke za leti 2030 in 2040, v okviru katerih si bodo države članice IMO prizadevale za 30</w:t>
      </w:r>
      <w:r w:rsidR="00EA22E6">
        <w:rPr>
          <w:rFonts w:ascii="Arial" w:hAnsi="Arial" w:cs="Arial"/>
        </w:rPr>
        <w:t>-odstotno</w:t>
      </w:r>
      <w:r w:rsidR="00B671ED" w:rsidRPr="1476A3A5">
        <w:rPr>
          <w:rFonts w:ascii="Arial" w:hAnsi="Arial" w:cs="Arial"/>
        </w:rPr>
        <w:t xml:space="preserve"> zmanjšanje skupnih letnih emisij toplogrednih plinov iz mednarodnega ladijskega prometa do leta 2030 in za 80</w:t>
      </w:r>
      <w:r w:rsidR="00EA22E6">
        <w:rPr>
          <w:rFonts w:ascii="Arial" w:hAnsi="Arial" w:cs="Arial"/>
        </w:rPr>
        <w:t>-odstotno</w:t>
      </w:r>
      <w:r w:rsidR="00B671ED" w:rsidRPr="1476A3A5">
        <w:rPr>
          <w:rFonts w:ascii="Arial" w:hAnsi="Arial" w:cs="Arial"/>
        </w:rPr>
        <w:t xml:space="preserve"> zmanjšanje do leta 2040 v primerjavi z letom 2008. V okviru Strategije </w:t>
      </w:r>
      <w:r w:rsidR="00393ADF">
        <w:rPr>
          <w:rFonts w:ascii="Arial" w:hAnsi="Arial" w:cs="Arial"/>
        </w:rPr>
        <w:t xml:space="preserve">IMO </w:t>
      </w:r>
      <w:r w:rsidR="00B671ED" w:rsidRPr="1476A3A5">
        <w:rPr>
          <w:rFonts w:ascii="Arial" w:hAnsi="Arial" w:cs="Arial"/>
        </w:rPr>
        <w:t xml:space="preserve">2023 je predvidena uporaba tehnologij, goriv in virov energije z ničelnimi ali skoraj ničelnimi emisijami toplogrednih plinov, ki bodo </w:t>
      </w:r>
      <w:r w:rsidR="00EA22E6">
        <w:rPr>
          <w:rFonts w:ascii="Arial" w:hAnsi="Arial" w:cs="Arial"/>
        </w:rPr>
        <w:t>proizved</w:t>
      </w:r>
      <w:r w:rsidR="00EA22E6" w:rsidRPr="1476A3A5">
        <w:rPr>
          <w:rFonts w:ascii="Arial" w:hAnsi="Arial" w:cs="Arial"/>
        </w:rPr>
        <w:t xml:space="preserve">li </w:t>
      </w:r>
      <w:r w:rsidR="00B671ED" w:rsidRPr="1476A3A5">
        <w:rPr>
          <w:rFonts w:ascii="Arial" w:hAnsi="Arial" w:cs="Arial"/>
        </w:rPr>
        <w:t xml:space="preserve">vsaj 5 % s prizadevanjem za 10 % energije, ki se porabi v mednarodnem pomorskem prometu do leta 2030. Sprejeta je bila tudi košarica srednjeročnih ukrepov, ki vsebuje kombinacijo tehničnega elementa v obliki svetovnega standarda za goriva z emisijami toplogrednih plinov in ekonomskega elementa, ki bo temeljil na mehanizmu za določanje cen emisij toplogrednih plinov v ladijskem prometu. Potrditev košarice srednjeročnih ukrepov se pričakuje spomladi leta 2026, glede ekonomskega elementa  </w:t>
      </w:r>
      <w:r w:rsidR="00EA22E6">
        <w:rPr>
          <w:rFonts w:ascii="Arial" w:hAnsi="Arial" w:cs="Arial"/>
        </w:rPr>
        <w:t xml:space="preserve">pa </w:t>
      </w:r>
      <w:r w:rsidR="00B671ED" w:rsidRPr="1476A3A5">
        <w:rPr>
          <w:rFonts w:ascii="Arial" w:hAnsi="Arial" w:cs="Arial"/>
        </w:rPr>
        <w:t>na IMO še vedno potekajo pogajanja.</w:t>
      </w:r>
      <w:r w:rsidRPr="00407339">
        <w:rPr>
          <w:rFonts w:ascii="Arial" w:hAnsi="Arial" w:cs="Arial"/>
          <w:szCs w:val="22"/>
        </w:rPr>
        <w:t xml:space="preserve"> Sistem EU za trgovanje z emisijami (EU ETS) je bil od januarja 2024 razširjen na emisije TGP vseh velikih ladij (z bruto tonažo 5000 in več), ki vplujejo v pristanišča EU, ne glede na zastavo, pod katero plujejo. Sistem zajema emisije CO</w:t>
      </w:r>
      <w:r w:rsidRPr="00407339">
        <w:rPr>
          <w:rFonts w:ascii="Arial" w:hAnsi="Arial" w:cs="Arial"/>
          <w:szCs w:val="22"/>
          <w:vertAlign w:val="subscript"/>
        </w:rPr>
        <w:t>2</w:t>
      </w:r>
      <w:r w:rsidRPr="00407339">
        <w:rPr>
          <w:rFonts w:ascii="Arial" w:hAnsi="Arial" w:cs="Arial"/>
          <w:szCs w:val="22"/>
        </w:rPr>
        <w:t>, CH</w:t>
      </w:r>
      <w:r w:rsidRPr="00407339">
        <w:rPr>
          <w:rFonts w:ascii="Arial" w:hAnsi="Arial" w:cs="Arial"/>
          <w:szCs w:val="22"/>
          <w:vertAlign w:val="subscript"/>
        </w:rPr>
        <w:t>4</w:t>
      </w:r>
      <w:r w:rsidRPr="00407339">
        <w:rPr>
          <w:rFonts w:ascii="Arial" w:hAnsi="Arial" w:cs="Arial"/>
          <w:szCs w:val="22"/>
        </w:rPr>
        <w:t xml:space="preserve"> in N</w:t>
      </w:r>
      <w:r w:rsidRPr="00407339">
        <w:rPr>
          <w:rFonts w:ascii="Arial" w:hAnsi="Arial" w:cs="Arial"/>
          <w:szCs w:val="22"/>
          <w:vertAlign w:val="subscript"/>
        </w:rPr>
        <w:t>2</w:t>
      </w:r>
      <w:r w:rsidRPr="00407339">
        <w:rPr>
          <w:rFonts w:ascii="Arial" w:hAnsi="Arial" w:cs="Arial"/>
          <w:szCs w:val="22"/>
        </w:rPr>
        <w:t>O, slednja dva od leta 2026. Emisije iz pomorskega prometa so vključene v skupno kvoto emisij ETS, ki se sčasoma zmanjšuje. To bo spodbudilo povečanje energetske učinkovitosti, nizkoogljične rešitve in zmanjšanje razlike v ceni med alternativnimi gorivi in tradicionalnimi gorivi za pomorski promet.</w:t>
      </w:r>
    </w:p>
    <w:p w14:paraId="46236BEA" w14:textId="77777777" w:rsidR="00407339" w:rsidRPr="00407339" w:rsidRDefault="00407339" w:rsidP="00407339">
      <w:pPr>
        <w:pStyle w:val="BodyText"/>
        <w:rPr>
          <w:rFonts w:ascii="Arial" w:hAnsi="Arial" w:cs="Arial"/>
          <w:szCs w:val="22"/>
        </w:rPr>
      </w:pPr>
    </w:p>
    <w:p w14:paraId="4DB66D2E" w14:textId="5C084568" w:rsidR="00407339" w:rsidRPr="00407339" w:rsidRDefault="00407339" w:rsidP="00AF3FEE">
      <w:pPr>
        <w:pStyle w:val="BodyText"/>
        <w:rPr>
          <w:rFonts w:ascii="Arial" w:eastAsiaTheme="majorEastAsia" w:hAnsi="Arial" w:cs="Arial"/>
          <w:b/>
          <w:bCs/>
          <w:szCs w:val="22"/>
          <w:lang w:eastAsia="en-US"/>
        </w:rPr>
      </w:pPr>
      <w:r w:rsidRPr="00407339">
        <w:rPr>
          <w:rFonts w:ascii="Arial" w:eastAsiaTheme="majorEastAsia" w:hAnsi="Arial" w:cs="Arial"/>
          <w:b/>
          <w:bCs/>
          <w:szCs w:val="22"/>
          <w:lang w:eastAsia="en-US"/>
        </w:rPr>
        <w:t xml:space="preserve">Kako ukrepi in usmeritve vplivajo na dolgoročne trende emisij </w:t>
      </w:r>
      <w:r w:rsidR="0024256B">
        <w:rPr>
          <w:rFonts w:ascii="Arial" w:eastAsiaTheme="majorEastAsia" w:hAnsi="Arial" w:cs="Arial"/>
          <w:b/>
          <w:bCs/>
          <w:szCs w:val="22"/>
          <w:lang w:eastAsia="en-US"/>
        </w:rPr>
        <w:t>TGP</w:t>
      </w:r>
    </w:p>
    <w:p w14:paraId="3B9C5BD9" w14:textId="6DDC1E7A" w:rsidR="00AF3FEE" w:rsidRPr="00AF3FEE" w:rsidRDefault="00AF3FEE" w:rsidP="00AF3FEE">
      <w:pPr>
        <w:pStyle w:val="BodyText"/>
        <w:rPr>
          <w:rFonts w:ascii="Arial" w:hAnsi="Arial" w:cs="Arial"/>
          <w:szCs w:val="22"/>
        </w:rPr>
      </w:pPr>
      <w:r w:rsidRPr="00AF3FEE">
        <w:rPr>
          <w:rFonts w:ascii="Arial" w:hAnsi="Arial" w:cs="Arial"/>
          <w:szCs w:val="22"/>
        </w:rPr>
        <w:t>Slovenija sledi svojemu krovnemu cilju</w:t>
      </w:r>
      <w:r w:rsidRPr="00AF3FEE">
        <w:rPr>
          <w:rStyle w:val="FootnoteReference"/>
          <w:rFonts w:ascii="Arial" w:hAnsi="Arial" w:cs="Arial"/>
          <w:szCs w:val="22"/>
        </w:rPr>
        <w:footnoteReference w:id="89"/>
      </w:r>
      <w:r w:rsidRPr="00AF3FEE">
        <w:rPr>
          <w:rFonts w:ascii="Arial" w:hAnsi="Arial" w:cs="Arial"/>
          <w:szCs w:val="22"/>
        </w:rPr>
        <w:t xml:space="preserve"> in ciljem EU doseganja podnebne nevtralnosti, zato ukrepe oblikuje tako, da so učinki doseženi čim prej in </w:t>
      </w:r>
      <w:r w:rsidR="00393ADF">
        <w:rPr>
          <w:rFonts w:ascii="Arial" w:hAnsi="Arial" w:cs="Arial"/>
          <w:szCs w:val="22"/>
        </w:rPr>
        <w:t xml:space="preserve">da </w:t>
      </w:r>
      <w:r w:rsidRPr="00AF3FEE">
        <w:rPr>
          <w:rFonts w:ascii="Arial" w:hAnsi="Arial" w:cs="Arial"/>
          <w:szCs w:val="22"/>
        </w:rPr>
        <w:t xml:space="preserve">hkrati čim </w:t>
      </w:r>
      <w:r w:rsidR="00393ADF">
        <w:rPr>
          <w:rFonts w:ascii="Arial" w:hAnsi="Arial" w:cs="Arial"/>
          <w:szCs w:val="22"/>
        </w:rPr>
        <w:t>trajneje</w:t>
      </w:r>
      <w:r w:rsidRPr="00AF3FEE">
        <w:rPr>
          <w:rFonts w:ascii="Arial" w:hAnsi="Arial" w:cs="Arial"/>
          <w:szCs w:val="22"/>
        </w:rPr>
        <w:t xml:space="preserve"> vplivajo na dolgoročno zmanjšanje emisij TGP.</w:t>
      </w:r>
    </w:p>
    <w:p w14:paraId="787C5F95" w14:textId="085CAEA9" w:rsidR="00AF3FEE" w:rsidRPr="00AF3FEE" w:rsidRDefault="00AF3FEE" w:rsidP="00AF3FEE">
      <w:pPr>
        <w:pStyle w:val="BodyText"/>
        <w:rPr>
          <w:rFonts w:ascii="Arial" w:hAnsi="Arial" w:cs="Arial"/>
          <w:szCs w:val="22"/>
        </w:rPr>
      </w:pPr>
      <w:r w:rsidRPr="00AF3FEE">
        <w:rPr>
          <w:rFonts w:ascii="Arial" w:hAnsi="Arial" w:cs="Arial"/>
          <w:szCs w:val="22"/>
        </w:rPr>
        <w:t>Kot je Slovenija pojasnila v predhodnem poročilu</w:t>
      </w:r>
      <w:r w:rsidR="00393ADF">
        <w:rPr>
          <w:rFonts w:ascii="Arial" w:hAnsi="Arial" w:cs="Arial"/>
          <w:szCs w:val="22"/>
        </w:rPr>
        <w:t>,</w:t>
      </w:r>
      <w:r w:rsidRPr="00AF3FEE">
        <w:rPr>
          <w:rFonts w:ascii="Arial" w:hAnsi="Arial" w:cs="Arial"/>
          <w:szCs w:val="22"/>
        </w:rPr>
        <w:t xml:space="preserve"> je večina njenih ukrepov zasnovana dolgoročno, kar pomeni, </w:t>
      </w:r>
      <w:r w:rsidR="00EA22E6">
        <w:rPr>
          <w:rFonts w:ascii="Arial" w:hAnsi="Arial" w:cs="Arial"/>
          <w:szCs w:val="22"/>
        </w:rPr>
        <w:t xml:space="preserve">da </w:t>
      </w:r>
      <w:r w:rsidRPr="00AF3FEE">
        <w:rPr>
          <w:rFonts w:ascii="Arial" w:hAnsi="Arial" w:cs="Arial"/>
          <w:szCs w:val="22"/>
        </w:rPr>
        <w:t xml:space="preserve">se izvajanje ne konča z letom 2030, temveč je predvideno nadaljevanje spodbujana tehnologij za zmanjšanje emisij TGP, </w:t>
      </w:r>
      <w:r w:rsidR="00EA22E6">
        <w:rPr>
          <w:rFonts w:ascii="Arial" w:hAnsi="Arial" w:cs="Arial"/>
          <w:szCs w:val="22"/>
        </w:rPr>
        <w:t>v skladu</w:t>
      </w:r>
      <w:r w:rsidR="00EA22E6" w:rsidRPr="00AF3FEE">
        <w:rPr>
          <w:rFonts w:ascii="Arial" w:hAnsi="Arial" w:cs="Arial"/>
          <w:szCs w:val="22"/>
        </w:rPr>
        <w:t xml:space="preserve"> </w:t>
      </w:r>
      <w:r w:rsidRPr="00AF3FEE">
        <w:rPr>
          <w:rFonts w:ascii="Arial" w:hAnsi="Arial" w:cs="Arial"/>
          <w:szCs w:val="22"/>
        </w:rPr>
        <w:t xml:space="preserve">z nacionalnimi cilji in cilji EU. Velik del ukrepov v Sloveniji je usmerjenih v spodbujanje naložb, njihovi učinki na zmanjšanje emisij bodo vidni že kratkoročno, zaradi dolge življenjske dobe tehnologij pa bodo imeli pomemben dolgoročen vpliv na trende emisij TGP. Med drugimi so to gradnja hidroelektrarn, energetska sanacija stavb, razvoj sistemov daljinskega ogrevanja, ki izkoriščajo obnovljive vire energije, sistemi za ravnanje z odpadki. Dolgoročno bo učinkovala tudi vrsta </w:t>
      </w:r>
      <w:r w:rsidR="00EA22E6" w:rsidRPr="00AF3FEE">
        <w:rPr>
          <w:rFonts w:ascii="Arial" w:hAnsi="Arial" w:cs="Arial"/>
          <w:szCs w:val="22"/>
        </w:rPr>
        <w:t>ukrep</w:t>
      </w:r>
      <w:r w:rsidR="00EA22E6">
        <w:rPr>
          <w:rFonts w:ascii="Arial" w:hAnsi="Arial" w:cs="Arial"/>
          <w:szCs w:val="22"/>
        </w:rPr>
        <w:t>ov</w:t>
      </w:r>
      <w:r w:rsidRPr="00AF3FEE">
        <w:rPr>
          <w:rFonts w:ascii="Arial" w:hAnsi="Arial" w:cs="Arial"/>
          <w:szCs w:val="22"/>
        </w:rPr>
        <w:t xml:space="preserve">, sprejetih na ravni EU, kot </w:t>
      </w:r>
      <w:r w:rsidR="00EA22E6">
        <w:rPr>
          <w:rFonts w:ascii="Arial" w:hAnsi="Arial" w:cs="Arial"/>
          <w:szCs w:val="22"/>
        </w:rPr>
        <w:t>so</w:t>
      </w:r>
      <w:r w:rsidR="00EA22E6" w:rsidRPr="00AF3FEE">
        <w:rPr>
          <w:rFonts w:ascii="Arial" w:hAnsi="Arial" w:cs="Arial"/>
          <w:szCs w:val="22"/>
        </w:rPr>
        <w:t xml:space="preserve"> </w:t>
      </w:r>
      <w:r w:rsidRPr="00AF3FEE">
        <w:rPr>
          <w:rFonts w:ascii="Arial" w:hAnsi="Arial" w:cs="Arial"/>
          <w:szCs w:val="22"/>
        </w:rPr>
        <w:t>sistem EU ETS in emisijski standardi za voz</w:t>
      </w:r>
      <w:r w:rsidR="00393ADF">
        <w:rPr>
          <w:rFonts w:ascii="Arial" w:hAnsi="Arial" w:cs="Arial"/>
          <w:szCs w:val="22"/>
        </w:rPr>
        <w:t>i</w:t>
      </w:r>
      <w:r w:rsidRPr="00AF3FEE">
        <w:rPr>
          <w:rFonts w:ascii="Arial" w:hAnsi="Arial" w:cs="Arial"/>
          <w:szCs w:val="22"/>
        </w:rPr>
        <w:t>la (glej EU-BRT1). Ukrepi s področij raziskav, tehnološkega razvoja, inovacij, izobraževanj</w:t>
      </w:r>
      <w:r w:rsidR="00EA22E6">
        <w:rPr>
          <w:rFonts w:ascii="Arial" w:hAnsi="Arial" w:cs="Arial"/>
          <w:szCs w:val="22"/>
        </w:rPr>
        <w:t>a</w:t>
      </w:r>
      <w:r w:rsidRPr="00AF3FEE">
        <w:rPr>
          <w:rFonts w:ascii="Arial" w:hAnsi="Arial" w:cs="Arial"/>
          <w:szCs w:val="22"/>
        </w:rPr>
        <w:t xml:space="preserve">, usposabljanja in ozaveščanja pa bodo imeli celo bistveno večje dolgoročne kot kratkoročne učinke na zmanjšanje emisij TGP. </w:t>
      </w:r>
    </w:p>
    <w:p w14:paraId="6082DB88" w14:textId="2DBCDAAC" w:rsidR="00407339" w:rsidRPr="00407339" w:rsidRDefault="00407339" w:rsidP="00AF3FEE">
      <w:pPr>
        <w:pStyle w:val="BodyText"/>
        <w:rPr>
          <w:rFonts w:ascii="Arial" w:hAnsi="Arial" w:cs="Arial"/>
          <w:b/>
          <w:bCs/>
          <w:szCs w:val="22"/>
        </w:rPr>
      </w:pPr>
      <w:r w:rsidRPr="00407339">
        <w:rPr>
          <w:rFonts w:ascii="Arial" w:eastAsiaTheme="majorEastAsia" w:hAnsi="Arial" w:cs="Arial"/>
          <w:b/>
          <w:bCs/>
          <w:szCs w:val="22"/>
          <w:lang w:eastAsia="en-US"/>
        </w:rPr>
        <w:t>Ocenjevanje ekonomskih in družbenih učinkov</w:t>
      </w:r>
    </w:p>
    <w:p w14:paraId="37F8B688" w14:textId="686F5169" w:rsidR="00AF3FEE" w:rsidRPr="00AF3FEE" w:rsidRDefault="00AF3FEE" w:rsidP="00AF3FEE">
      <w:pPr>
        <w:pStyle w:val="BodyText"/>
        <w:rPr>
          <w:rFonts w:ascii="Arial" w:hAnsi="Arial" w:cs="Arial"/>
          <w:szCs w:val="22"/>
        </w:rPr>
      </w:pPr>
      <w:r w:rsidRPr="00AF3FEE">
        <w:rPr>
          <w:rFonts w:ascii="Arial" w:hAnsi="Arial" w:cs="Arial"/>
          <w:szCs w:val="22"/>
        </w:rPr>
        <w:t xml:space="preserve">Ocenjevanje ekonomskih in družbenih učinkov odzivnih ukrepov </w:t>
      </w:r>
      <w:r w:rsidR="00393ADF">
        <w:rPr>
          <w:rFonts w:ascii="Arial" w:hAnsi="Arial" w:cs="Arial"/>
          <w:szCs w:val="22"/>
        </w:rPr>
        <w:t>je</w:t>
      </w:r>
      <w:r w:rsidR="00393ADF" w:rsidRPr="00AF3FEE">
        <w:rPr>
          <w:rFonts w:ascii="Arial" w:hAnsi="Arial" w:cs="Arial"/>
          <w:szCs w:val="22"/>
        </w:rPr>
        <w:t xml:space="preserve"> </w:t>
      </w:r>
      <w:r w:rsidRPr="00AF3FEE">
        <w:rPr>
          <w:rFonts w:ascii="Arial" w:hAnsi="Arial" w:cs="Arial"/>
          <w:szCs w:val="22"/>
        </w:rPr>
        <w:t xml:space="preserve">stalnica priprave podnebnih politik in ukrepov. Podnebna politika Slovenije je v veliki meri vpeta v podnebno politiko EU, zlasti pri oblikovanju nacionalnih ciljev in ukrepov, izhajajočih iz pravnega reda EU. V EU je vzpostavljen sistem ocenjevanja učinkov vseh novih političnih iniciativ kot obvezen element postopkov odločanja o novi zakonodaji in tudi o vseh političnih pobudah z daljnosežnimi vplivi. Glej tudi EU BTR1. Slovenija ima vzpostavljen tudi lasten sistem in redno vrednoti okoljske, družbene in ekonomske učinke pri oblikovanju politik in ukrepov, katerega sestavni del je tudi javnost. Podrobno je sistem opisan v SI BR5/NC8. </w:t>
      </w:r>
    </w:p>
    <w:p w14:paraId="5B7F59B2" w14:textId="0E85ED19" w:rsidR="00AF3FEE" w:rsidRPr="00AF3FEE" w:rsidRDefault="00AF3FEE" w:rsidP="00AF3FEE">
      <w:pPr>
        <w:pStyle w:val="BodyText"/>
        <w:rPr>
          <w:rFonts w:ascii="Arial" w:hAnsi="Arial" w:cs="Arial"/>
          <w:szCs w:val="22"/>
        </w:rPr>
      </w:pPr>
      <w:r w:rsidRPr="00AF3FEE">
        <w:rPr>
          <w:rFonts w:ascii="Arial" w:hAnsi="Arial" w:cs="Arial"/>
          <w:szCs w:val="22"/>
        </w:rPr>
        <w:t>Zadnja ocena ekonomskih in družbenih učinkov je bila pripravljena pri prenovi NEPN</w:t>
      </w:r>
      <w:r w:rsidR="000F42E3">
        <w:rPr>
          <w:rFonts w:ascii="Arial" w:hAnsi="Arial" w:cs="Arial"/>
          <w:szCs w:val="22"/>
        </w:rPr>
        <w:t>, ko</w:t>
      </w:r>
      <w:r w:rsidR="00393ADF">
        <w:rPr>
          <w:rFonts w:ascii="Arial" w:hAnsi="Arial" w:cs="Arial"/>
          <w:szCs w:val="22"/>
        </w:rPr>
        <w:t xml:space="preserve"> je</w:t>
      </w:r>
      <w:r w:rsidRPr="00AF3FEE">
        <w:rPr>
          <w:rFonts w:ascii="Arial" w:hAnsi="Arial" w:cs="Arial"/>
          <w:szCs w:val="22"/>
        </w:rPr>
        <w:t xml:space="preserve"> bil izveden formalni postopek celovite presoja vplivov na okolje. Ocenjeni so bili vplivi na BDP, blaginjo potrošnikov, zaposlovanje, varčevanje, javne finance in drugi. V postopek se je vključevala zainteresirana javnost. Projekcije kažejo na izboljšanje blaginje potrošnikov za vse kvintilne razrede, a bodo več koristi deležna bogatejša gospodinjstva, kar nakazuje na povečanje neenakosti. Pozitivni so tudi pričakovani učinki na zaposlovanje, in sicer </w:t>
      </w:r>
      <w:r w:rsidR="00BF6F53">
        <w:rPr>
          <w:rFonts w:ascii="Arial" w:hAnsi="Arial" w:cs="Arial"/>
          <w:szCs w:val="22"/>
        </w:rPr>
        <w:t xml:space="preserve">bo </w:t>
      </w:r>
      <w:r w:rsidRPr="00AF3FEE">
        <w:rPr>
          <w:rFonts w:ascii="Arial" w:hAnsi="Arial" w:cs="Arial"/>
          <w:szCs w:val="22"/>
        </w:rPr>
        <w:t xml:space="preserve">za 4,6 % nižja stopnja brezposelnosti z izvajanjem ukrepov NEPN v primerjavi s scenarijem z obstoječimi ukrepi. V okviru celovite presoje vplivov na okolje so bili ukrepi NEPN vrednoteni še glede drugih družbenoekonomskih učinkov, zlasti pa glede učinkov na okolje in zdravje.  </w:t>
      </w:r>
    </w:p>
    <w:p w14:paraId="3FA0D6C8" w14:textId="680FA8AB" w:rsidR="00AF3FEE" w:rsidRPr="00AF3FEE" w:rsidRDefault="00AF3FEE" w:rsidP="00AF3FEE">
      <w:pPr>
        <w:pStyle w:val="BodyText"/>
        <w:rPr>
          <w:rFonts w:ascii="Arial" w:hAnsi="Arial" w:cs="Arial"/>
          <w:szCs w:val="22"/>
        </w:rPr>
      </w:pPr>
      <w:r w:rsidRPr="00AF3FEE">
        <w:rPr>
          <w:rFonts w:ascii="Arial" w:hAnsi="Arial" w:cs="Arial"/>
          <w:szCs w:val="22"/>
        </w:rPr>
        <w:t xml:space="preserve">Ključni </w:t>
      </w:r>
      <w:r w:rsidR="00BF6F53">
        <w:rPr>
          <w:rFonts w:ascii="Arial" w:hAnsi="Arial" w:cs="Arial"/>
          <w:szCs w:val="22"/>
        </w:rPr>
        <w:t xml:space="preserve">dosežek </w:t>
      </w:r>
      <w:r w:rsidRPr="00AF3FEE">
        <w:rPr>
          <w:rFonts w:ascii="Arial" w:hAnsi="Arial" w:cs="Arial"/>
          <w:szCs w:val="22"/>
        </w:rPr>
        <w:t>vrednotenja družbenih in ekonomskih učinkov podnebnih politik je vrsta novih ukrepov</w:t>
      </w:r>
      <w:r w:rsidR="000F42E3">
        <w:rPr>
          <w:rFonts w:ascii="Arial" w:hAnsi="Arial" w:cs="Arial"/>
          <w:szCs w:val="22"/>
        </w:rPr>
        <w:t>,</w:t>
      </w:r>
      <w:r w:rsidRPr="00AF3FEE">
        <w:rPr>
          <w:rFonts w:ascii="Arial" w:hAnsi="Arial" w:cs="Arial"/>
          <w:szCs w:val="22"/>
        </w:rPr>
        <w:t xml:space="preserve"> namenjenih pravičnemu prehodu, zlasti ukrepov zmanjševanja energetske revščine, </w:t>
      </w:r>
      <w:r w:rsidR="000F42E3" w:rsidRPr="00AF3FEE">
        <w:rPr>
          <w:rFonts w:ascii="Arial" w:hAnsi="Arial" w:cs="Arial"/>
          <w:szCs w:val="22"/>
        </w:rPr>
        <w:t>pravičn</w:t>
      </w:r>
      <w:r w:rsidR="000F42E3">
        <w:rPr>
          <w:rFonts w:ascii="Arial" w:hAnsi="Arial" w:cs="Arial"/>
          <w:szCs w:val="22"/>
        </w:rPr>
        <w:t>emu</w:t>
      </w:r>
      <w:r w:rsidR="000F42E3" w:rsidRPr="00AF3FEE">
        <w:rPr>
          <w:rFonts w:ascii="Arial" w:hAnsi="Arial" w:cs="Arial"/>
          <w:szCs w:val="22"/>
        </w:rPr>
        <w:t xml:space="preserve"> </w:t>
      </w:r>
      <w:r w:rsidRPr="00AF3FEE">
        <w:rPr>
          <w:rFonts w:ascii="Arial" w:hAnsi="Arial" w:cs="Arial"/>
          <w:szCs w:val="22"/>
        </w:rPr>
        <w:t>prehod</w:t>
      </w:r>
      <w:r w:rsidR="000F42E3">
        <w:rPr>
          <w:rFonts w:ascii="Arial" w:hAnsi="Arial" w:cs="Arial"/>
          <w:szCs w:val="22"/>
        </w:rPr>
        <w:t>u</w:t>
      </w:r>
      <w:r w:rsidRPr="00AF3FEE">
        <w:rPr>
          <w:rFonts w:ascii="Arial" w:hAnsi="Arial" w:cs="Arial"/>
          <w:szCs w:val="22"/>
        </w:rPr>
        <w:t xml:space="preserve"> premogovnih regij (glej ukrep M-16) in drugim ukrepom pravičnega prehoda, ki so med drugim že vključeni v prenovljeni NEPN. Aktivnosti, namenjene pravičnemu prehodu, se še krepijo s pripravo </w:t>
      </w:r>
      <w:r w:rsidRPr="00AF3FEE">
        <w:rPr>
          <w:rFonts w:ascii="Arial" w:hAnsi="Arial" w:cs="Arial"/>
          <w:i/>
          <w:szCs w:val="22"/>
        </w:rPr>
        <w:t>Socialnega načrta za podnebje</w:t>
      </w:r>
      <w:r w:rsidRPr="00AF3FEE">
        <w:rPr>
          <w:rFonts w:ascii="Arial" w:hAnsi="Arial" w:cs="Arial"/>
          <w:szCs w:val="22"/>
        </w:rPr>
        <w:t xml:space="preserve">, zlasti podpora najranljivejšim gospodinjstvom za izvajanje ukrepov učinkovite rabe energije in zmanjšanje emisij TGP pri rabi energije za ogrevanje in prevoz. </w:t>
      </w:r>
    </w:p>
    <w:p w14:paraId="6707E615" w14:textId="77777777" w:rsidR="00AF3FEE" w:rsidRPr="00AF3FEE" w:rsidRDefault="00AF3FEE" w:rsidP="00AF3FEE">
      <w:pPr>
        <w:jc w:val="both"/>
        <w:rPr>
          <w:rFonts w:ascii="Arial" w:hAnsi="Arial" w:cs="Arial"/>
        </w:rPr>
      </w:pPr>
    </w:p>
    <w:p w14:paraId="302A523E" w14:textId="18FA1CF2" w:rsidR="0042650C" w:rsidRPr="007944FA" w:rsidRDefault="0042650C" w:rsidP="0042650C">
      <w:pPr>
        <w:pStyle w:val="Heading2"/>
      </w:pPr>
      <w:bookmarkStart w:id="121" w:name="_Toc196300823"/>
      <w:r w:rsidRPr="007944FA">
        <w:lastRenderedPageBreak/>
        <w:t>II.E Povzetek emisij in odvzemov toplogrednih plinov</w:t>
      </w:r>
      <w:bookmarkEnd w:id="121"/>
    </w:p>
    <w:p w14:paraId="440DC63C" w14:textId="0F2D6FAA" w:rsidR="004807F0" w:rsidRPr="007944FA" w:rsidRDefault="004807F0" w:rsidP="004807F0">
      <w:pPr>
        <w:pBdr>
          <w:top w:val="single" w:sz="4" w:space="1" w:color="auto"/>
          <w:left w:val="single" w:sz="4" w:space="4" w:color="auto"/>
          <w:bottom w:val="single" w:sz="4" w:space="0" w:color="auto"/>
          <w:right w:val="single" w:sz="4" w:space="4" w:color="auto"/>
        </w:pBdr>
        <w:shd w:val="clear" w:color="auto" w:fill="E8E8E8" w:themeFill="background2"/>
        <w:jc w:val="both"/>
        <w:rPr>
          <w:rFonts w:ascii="Arial" w:hAnsi="Arial" w:cs="Arial"/>
          <w:sz w:val="20"/>
          <w:szCs w:val="20"/>
        </w:rPr>
      </w:pPr>
      <w:r w:rsidRPr="007944FA">
        <w:rPr>
          <w:rFonts w:ascii="Arial" w:hAnsi="Arial" w:cs="Arial"/>
          <w:sz w:val="20"/>
          <w:szCs w:val="20"/>
        </w:rPr>
        <w:t xml:space="preserve">91.Vsaka pogodbenica, ki predloži samostojno nacionalno evidenco emisij, mora zagotoviti povzetek svojih emisij </w:t>
      </w:r>
      <w:r w:rsidR="0024256B" w:rsidRPr="007944FA">
        <w:rPr>
          <w:rFonts w:ascii="Arial" w:hAnsi="Arial" w:cs="Arial"/>
          <w:sz w:val="20"/>
          <w:szCs w:val="20"/>
        </w:rPr>
        <w:t>TGP</w:t>
      </w:r>
      <w:r w:rsidRPr="007944FA">
        <w:rPr>
          <w:rFonts w:ascii="Arial" w:hAnsi="Arial" w:cs="Arial"/>
          <w:sz w:val="20"/>
          <w:szCs w:val="20"/>
        </w:rPr>
        <w:t xml:space="preserve"> in ponorov. Te informacije je treba zagotoviti za tista poročevalska leta, ki ustrezajo najnovejši nacionalni evidenci emisij pogodbenice, v tabelarni obliki.</w:t>
      </w:r>
    </w:p>
    <w:p w14:paraId="20660B03" w14:textId="06B71092" w:rsidR="004807F0" w:rsidRPr="007944FA" w:rsidRDefault="004807F0" w:rsidP="004807F0">
      <w:pPr>
        <w:jc w:val="both"/>
        <w:rPr>
          <w:rFonts w:ascii="Arial" w:hAnsi="Arial" w:cs="Arial"/>
        </w:rPr>
      </w:pPr>
      <w:r w:rsidRPr="007944FA">
        <w:rPr>
          <w:rFonts w:ascii="Arial" w:hAnsi="Arial" w:cs="Arial"/>
        </w:rPr>
        <w:t xml:space="preserve">Emisije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so leta 2022 sestavljale 81,3 % vseh emisij </w:t>
      </w:r>
      <w:r w:rsidR="0024256B" w:rsidRPr="007944FA">
        <w:rPr>
          <w:rFonts w:ascii="Arial" w:hAnsi="Arial" w:cs="Arial"/>
        </w:rPr>
        <w:t>TGP</w:t>
      </w:r>
      <w:r w:rsidRPr="007944FA">
        <w:rPr>
          <w:rFonts w:ascii="Arial" w:hAnsi="Arial" w:cs="Arial"/>
        </w:rPr>
        <w:t xml:space="preserve">. Emisije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brez rabe zemljišč, spremembe rabe zemljišč in gozdarstva (LULUCF) so sledile porabi energije in zaradi svojega deleža bistveno prispevale h gibanju skupnih emisij. V primerjavi z letom 1986 so bile leta 2022 emisije nižje za 24,2 %.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nastaja predvsem pri zgorevanju goriv in iz industrijskih procesov. Emisije CH4, ki večinoma nastajajo iz odpadkov in v kmetijstvu, so leta 2022 sestavljale 12,2 % skupnih emisij in so bile za 34,8 % nižje kot leta 1986. Emisije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so sestavljale 4,5 % skupnih emisij in so za 3,2 % nižje kot emisije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leta 1986. Glavni vir teh emisij je kmetijstvo, opazne pa so tudi emisije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iz cestnega prometa. F-plini so sestavljali 2,0 % skupnih emisij, emisije nekaterih plinov (HFC in </w:t>
      </w:r>
      <w:r w:rsidR="005C4C0A" w:rsidRPr="007944FA">
        <w:rPr>
          <w:rFonts w:ascii="Arial" w:eastAsia="Times New Roman" w:hAnsi="Arial" w:cs="Arial"/>
          <w:lang w:eastAsia="sl-SI"/>
        </w:rPr>
        <w:t>SF</w:t>
      </w:r>
      <w:r w:rsidR="005C4C0A" w:rsidRPr="007944FA">
        <w:rPr>
          <w:rFonts w:ascii="Arial" w:eastAsia="Times New Roman" w:hAnsi="Arial" w:cs="Arial"/>
          <w:vertAlign w:val="subscript"/>
          <w:lang w:eastAsia="sl-SI"/>
        </w:rPr>
        <w:t>6</w:t>
      </w:r>
      <w:r w:rsidRPr="007944FA">
        <w:rPr>
          <w:rFonts w:ascii="Arial" w:hAnsi="Arial" w:cs="Arial"/>
        </w:rPr>
        <w:t>) pa so bile znatno višje kot leta 1995 (izhodiščno leto za emisije F-plinov), medtem ko so se emisije PFC izrazito zmanjšale.</w:t>
      </w:r>
    </w:p>
    <w:p w14:paraId="615A345A" w14:textId="65E6A8C7" w:rsidR="004807F0" w:rsidRPr="007944FA" w:rsidRDefault="00C215A9" w:rsidP="004807F0">
      <w:pPr>
        <w:jc w:val="center"/>
      </w:pPr>
      <w:r w:rsidRPr="007944FA">
        <w:rPr>
          <w:noProof/>
          <w:lang w:eastAsia="sl-SI"/>
        </w:rPr>
        <w:drawing>
          <wp:inline distT="0" distB="0" distL="0" distR="0" wp14:anchorId="2E52B758" wp14:editId="7CB598BC">
            <wp:extent cx="5278755" cy="5429885"/>
            <wp:effectExtent l="0" t="0" r="0" b="0"/>
            <wp:docPr id="12611135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278755" cy="5429885"/>
                    </a:xfrm>
                    <a:prstGeom prst="rect">
                      <a:avLst/>
                    </a:prstGeom>
                    <a:noFill/>
                    <a:ln>
                      <a:noFill/>
                    </a:ln>
                  </pic:spPr>
                </pic:pic>
              </a:graphicData>
            </a:graphic>
          </wp:inline>
        </w:drawing>
      </w:r>
    </w:p>
    <w:p w14:paraId="7414FA83" w14:textId="230D5F1B" w:rsidR="004807F0" w:rsidRPr="007944FA" w:rsidRDefault="004807F0" w:rsidP="0091142E">
      <w:pPr>
        <w:pStyle w:val="NIKASLIKE"/>
      </w:pPr>
      <w:bookmarkStart w:id="122" w:name="_Toc193193987"/>
      <w:r w:rsidRPr="007944FA">
        <w:t>Slika 1</w:t>
      </w:r>
      <w:r w:rsidR="003E320C" w:rsidRPr="007944FA">
        <w:t>4</w:t>
      </w:r>
      <w:r w:rsidRPr="007944FA">
        <w:t>: Emisije TGP po plinih (vir: ARSO)</w:t>
      </w:r>
      <w:bookmarkEnd w:id="122"/>
    </w:p>
    <w:p w14:paraId="7097D6DF" w14:textId="25A807BF" w:rsidR="004807F0" w:rsidRPr="007944FA" w:rsidRDefault="004807F0" w:rsidP="004807F0">
      <w:pPr>
        <w:rPr>
          <w:rFonts w:ascii="Arial" w:hAnsi="Arial" w:cs="Arial"/>
          <w:b/>
          <w:bCs/>
        </w:rPr>
      </w:pPr>
      <w:r w:rsidRPr="007944FA">
        <w:rPr>
          <w:rFonts w:ascii="Arial" w:hAnsi="Arial" w:cs="Arial"/>
          <w:b/>
          <w:bCs/>
        </w:rPr>
        <w:t xml:space="preserve">Opis in razlaga gibanja emisij po virih  </w:t>
      </w:r>
    </w:p>
    <w:p w14:paraId="7751E0F5" w14:textId="7B6F1CE1" w:rsidR="004807F0" w:rsidRPr="007944FA" w:rsidRDefault="004807F0" w:rsidP="004807F0">
      <w:pPr>
        <w:jc w:val="both"/>
        <w:rPr>
          <w:rFonts w:ascii="Arial" w:hAnsi="Arial" w:cs="Arial"/>
        </w:rPr>
      </w:pPr>
      <w:r w:rsidRPr="007944FA">
        <w:rPr>
          <w:rFonts w:ascii="Arial" w:hAnsi="Arial" w:cs="Arial"/>
        </w:rPr>
        <w:lastRenderedPageBreak/>
        <w:t>V skladu s smernicami UNFCCC za poročanje so ocene emisij razdeljene v pet kategorij IPCC: energetika, industrijski procesi in uporaba izdelkov, kmetijstvo, raba zemljišč, sprememba rabe zemljišč (LULUCF) in gozdarstvo ter odpadki.</w:t>
      </w:r>
    </w:p>
    <w:p w14:paraId="62A9D5E7" w14:textId="03AD01B2" w:rsidR="004807F0" w:rsidRPr="007944FA" w:rsidRDefault="00C73B27" w:rsidP="00E76AC9">
      <w:pPr>
        <w:jc w:val="center"/>
        <w:rPr>
          <w:rFonts w:ascii="Arial" w:hAnsi="Arial" w:cs="Arial"/>
        </w:rPr>
      </w:pPr>
      <w:r w:rsidRPr="007944FA">
        <w:rPr>
          <w:noProof/>
          <w:lang w:eastAsia="sl-SI"/>
        </w:rPr>
        <w:drawing>
          <wp:inline distT="0" distB="0" distL="0" distR="0" wp14:anchorId="431D043C" wp14:editId="450A7A9B">
            <wp:extent cx="5278755" cy="539305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755" cy="5393055"/>
                    </a:xfrm>
                    <a:prstGeom prst="rect">
                      <a:avLst/>
                    </a:prstGeom>
                    <a:noFill/>
                    <a:ln>
                      <a:noFill/>
                    </a:ln>
                  </pic:spPr>
                </pic:pic>
              </a:graphicData>
            </a:graphic>
          </wp:inline>
        </w:drawing>
      </w:r>
    </w:p>
    <w:p w14:paraId="3A02FDEB" w14:textId="333DAFC7" w:rsidR="00E76AC9" w:rsidRPr="007944FA" w:rsidRDefault="00E76AC9" w:rsidP="0091142E">
      <w:pPr>
        <w:pStyle w:val="NIKASLIKE"/>
      </w:pPr>
      <w:bookmarkStart w:id="123" w:name="_Toc193193988"/>
      <w:r w:rsidRPr="007944FA">
        <w:t>Slika 1</w:t>
      </w:r>
      <w:r w:rsidR="003E320C" w:rsidRPr="007944FA">
        <w:t>5</w:t>
      </w:r>
      <w:r w:rsidRPr="007944FA">
        <w:t>: Emisije TGP v Sloveniji po sektorjih (vir: ARSO)</w:t>
      </w:r>
      <w:bookmarkEnd w:id="123"/>
    </w:p>
    <w:p w14:paraId="1183F141" w14:textId="395E56E9" w:rsidR="00E76AC9" w:rsidRPr="007944FA" w:rsidRDefault="00E76AC9" w:rsidP="00E76AC9">
      <w:pPr>
        <w:jc w:val="both"/>
        <w:rPr>
          <w:rFonts w:ascii="Arial" w:hAnsi="Arial" w:cs="Arial"/>
        </w:rPr>
      </w:pPr>
      <w:r w:rsidRPr="007944FA">
        <w:rPr>
          <w:rFonts w:ascii="Arial" w:hAnsi="Arial" w:cs="Arial"/>
        </w:rPr>
        <w:t xml:space="preserve">Daleč najpomembnejši je sektor energetike, ki je leta 2022 prispeval kar 79,3 % skupnih emisij TGP. V primerjavi z letom 1986 so se emisije v tem sektorju zmanjšale za 24,7 %. V obdobju med letoma 1986 in 2022 so se emisije TGP iz transformacij (CRF 1.A.1), ki je največji podsektor </w:t>
      </w:r>
      <w:r w:rsidR="00187EA1" w:rsidRPr="007944FA">
        <w:rPr>
          <w:rFonts w:ascii="Arial" w:hAnsi="Arial" w:cs="Arial"/>
        </w:rPr>
        <w:t>energetike</w:t>
      </w:r>
      <w:r w:rsidRPr="007944FA">
        <w:rPr>
          <w:rFonts w:ascii="Arial" w:hAnsi="Arial" w:cs="Arial"/>
        </w:rPr>
        <w:t xml:space="preserve"> v izhodiščnem letu, zmanjšale za 50,1 %. V obdobju 1999–2007 je bila sicer v tem sektorju ugotovljena strma rast (+27 %) zaradi povečane porabe električne energije. </w:t>
      </w:r>
    </w:p>
    <w:p w14:paraId="0DCB012A" w14:textId="77777777" w:rsidR="00E76AC9" w:rsidRPr="007944FA" w:rsidRDefault="00E76AC9" w:rsidP="00E76AC9">
      <w:pPr>
        <w:jc w:val="both"/>
        <w:rPr>
          <w:rFonts w:ascii="Arial" w:hAnsi="Arial" w:cs="Arial"/>
        </w:rPr>
      </w:pPr>
      <w:r w:rsidRPr="007944FA">
        <w:rPr>
          <w:rFonts w:ascii="Arial" w:hAnsi="Arial" w:cs="Arial"/>
        </w:rPr>
        <w:t xml:space="preserve">Nedvomno so se najbolj povečale emisije TGP iz prometnega sektorja, in sicer za kar 200 % do leta 2008 zaradi povečanja cestnega prometa, medtem ko so se emisije, ki izvirajo iz drugih vrst prometa, nekoliko zmanjšale. Emisije TGP iz prometa so se leta 2009 zmanjšale za 16,3 % v primerjavi z letom 2008. Od takrat se emisije letno spreminjajo, vendar tako visoke kot leta 2008 niso bile več. Zaradi kovidnih ukrepov so se emisije iz prometa leta 2020 zmanjšale za 18,7 % v primerjavi z letom prej, vendar so že v letu 2021 skoraj dosegle raven pred </w:t>
      </w:r>
      <w:r w:rsidRPr="007944FA">
        <w:rPr>
          <w:rFonts w:ascii="Arial" w:hAnsi="Arial" w:cs="Arial"/>
        </w:rPr>
        <w:lastRenderedPageBreak/>
        <w:t xml:space="preserve">pandemijo. V letu 2022 so se emisije povečale za 11,3 % v primerjavi z emisijami v letu 2021 in so bile za 182,5 % višje kot v izhodiščnem letu. </w:t>
      </w:r>
    </w:p>
    <w:p w14:paraId="3FF864BA" w14:textId="77777777" w:rsidR="00E76AC9" w:rsidRPr="007944FA" w:rsidRDefault="00E76AC9" w:rsidP="00E76AC9">
      <w:pPr>
        <w:jc w:val="both"/>
        <w:rPr>
          <w:rFonts w:ascii="Arial" w:hAnsi="Arial" w:cs="Arial"/>
        </w:rPr>
      </w:pPr>
      <w:r w:rsidRPr="007944FA">
        <w:rPr>
          <w:rFonts w:ascii="Arial" w:hAnsi="Arial" w:cs="Arial"/>
        </w:rPr>
        <w:t>Emisije TGP iz predelovalnih dejavnosti in gradbeništva so se občutno zmanjšale v obdobju med letoma 1986 in 2001 (–50,3 %). Po letu 2001 so se emisije stabilizirale, vendar so se leta 2009 zaradi svetovne finančne krize zmanjšale za 15,6 %. V naslednjih letih so se dodatno zmanjšale, tako da so bile leta 2015 zaradi nadaljevanja ekonomske krize v primerjavi z emisijami v letu 2008 nižje za 31,3 %. Okrevanje ekonomije v zadnjih letih vpliva na to, da so se emisije iz predelovalnih dejavnosti in gradbeništva povečevale do leta 2018, potem pa so se precej ustalile. V letu 2022 so se emisije znižale za 7,3 %. V celotnem obdobju 1986–2022 so se emisije iz tega sektorja znižale za 61,1 %.</w:t>
      </w:r>
    </w:p>
    <w:p w14:paraId="373CFD73" w14:textId="77777777" w:rsidR="00E76AC9" w:rsidRPr="007944FA" w:rsidRDefault="00E76AC9" w:rsidP="00E76AC9">
      <w:pPr>
        <w:jc w:val="both"/>
        <w:rPr>
          <w:rFonts w:ascii="Arial" w:hAnsi="Arial" w:cs="Arial"/>
        </w:rPr>
      </w:pPr>
      <w:r w:rsidRPr="007944FA">
        <w:rPr>
          <w:rFonts w:ascii="Arial" w:hAnsi="Arial" w:cs="Arial"/>
        </w:rPr>
        <w:t xml:space="preserve">Emisije z drugih področij, ki so večinoma emisije iz stavb, se z leti spreminjajo zaradi razlik v temperaturi v posameznih letih in tudi zaradi sprememb rabe lesne biomase v gospodinjstvih, saj lahko slovenska gospodinjstva pri ogrevanju hitro zamenjajo lesno biomaso s kurilnim oljem. Kljub razgibanemu medletnemu trendu lahko opazimo v opazovanem obdobju močan trend zmanjševanja emisij zaradi izvajanja ukrepov za zmanjšanje emisij TGP. Leta 2022 so bile emisije glede na leto 1986 nižje za 51,7 %. </w:t>
      </w:r>
    </w:p>
    <w:p w14:paraId="39D4025D" w14:textId="77777777" w:rsidR="00E76AC9" w:rsidRPr="007944FA" w:rsidRDefault="00E76AC9" w:rsidP="00E76AC9">
      <w:pPr>
        <w:jc w:val="both"/>
        <w:rPr>
          <w:rFonts w:ascii="Arial" w:hAnsi="Arial" w:cs="Arial"/>
        </w:rPr>
      </w:pPr>
      <w:r w:rsidRPr="007944FA">
        <w:rPr>
          <w:rFonts w:ascii="Arial" w:hAnsi="Arial" w:cs="Arial"/>
        </w:rPr>
        <w:t>Ubežne emisije iz goriv so sestavljale le 2,4 % emisij v sektorju in so se zmanjšale za 52,5 % v primerjavi z letom 1986.</w:t>
      </w:r>
    </w:p>
    <w:p w14:paraId="0519570A" w14:textId="38F79454" w:rsidR="00E93218" w:rsidRPr="007944FA" w:rsidRDefault="00E76AC9" w:rsidP="00E76AC9">
      <w:pPr>
        <w:jc w:val="both"/>
        <w:rPr>
          <w:rFonts w:ascii="Arial" w:hAnsi="Arial" w:cs="Arial"/>
          <w:vertAlign w:val="subscript"/>
        </w:rPr>
      </w:pPr>
      <w:r w:rsidRPr="007944FA">
        <w:rPr>
          <w:rFonts w:ascii="Arial" w:hAnsi="Arial" w:cs="Arial"/>
        </w:rPr>
        <w:t xml:space="preserve">Od leta 1986 so se emisije TGP iz industrijskih procesov sprva krepko zmanjšale in leta 1993 dosegle najnižjo vrednost, vendar so nato znova začele naraščati in so bile leta 2007 za 6,0 % nad ravnjo iz leta 1986. Zaradi svetovne finančne krize in nižje industrijske proizvodnje so bile emisije leta 2009 za 28,2 % nižje kot leta 1986, v obdobju 2009–2019 pa so se počasi povečale za 21,3 %. Leta 2020 so se emisije zmanjšale za 4,3 % zaradi kovidnih ukrepov. V letih 2021 in 2022 ugotavljamo rast emisij. Najpomembnejši toplogredni plin v tem sektorju je bil ogljikov dioksid s 64,9 % emisij iz te kategorije, sledili pa so mu HFC s 24,7 %,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z 8,5 %, </w:t>
      </w:r>
      <w:r w:rsidR="005C4C0A" w:rsidRPr="007944FA">
        <w:rPr>
          <w:rFonts w:ascii="Arial" w:hAnsi="Arial" w:cs="Arial"/>
        </w:rPr>
        <w:t>SF</w:t>
      </w:r>
      <w:r w:rsidR="005C4C0A" w:rsidRPr="007944FA">
        <w:rPr>
          <w:rFonts w:ascii="Arial" w:hAnsi="Arial" w:cs="Arial"/>
          <w:vertAlign w:val="subscript"/>
        </w:rPr>
        <w:t>6</w:t>
      </w:r>
      <w:r w:rsidRPr="007944FA">
        <w:rPr>
          <w:rFonts w:ascii="Arial" w:hAnsi="Arial" w:cs="Arial"/>
        </w:rPr>
        <w:t xml:space="preserve"> z 1,5 % in PFC z 0,3 %. Emisij </w:t>
      </w:r>
      <w:r w:rsidR="005C4C0A" w:rsidRPr="007944FA">
        <w:rPr>
          <w:rFonts w:ascii="Arial" w:hAnsi="Arial" w:cs="Arial"/>
        </w:rPr>
        <w:t>CH</w:t>
      </w:r>
      <w:r w:rsidR="005C4C0A" w:rsidRPr="007944FA">
        <w:rPr>
          <w:rFonts w:ascii="Arial" w:hAnsi="Arial" w:cs="Arial"/>
          <w:vertAlign w:val="subscript"/>
        </w:rPr>
        <w:t>4</w:t>
      </w:r>
    </w:p>
    <w:p w14:paraId="156B7E9B" w14:textId="0D021EC7" w:rsidR="00E76AC9" w:rsidRPr="007944FA" w:rsidRDefault="00E76AC9" w:rsidP="00E76AC9">
      <w:pPr>
        <w:jc w:val="both"/>
        <w:rPr>
          <w:rFonts w:ascii="Arial" w:hAnsi="Arial" w:cs="Arial"/>
        </w:rPr>
      </w:pPr>
      <w:r w:rsidRPr="007944FA">
        <w:rPr>
          <w:rFonts w:ascii="Arial" w:hAnsi="Arial" w:cs="Arial"/>
        </w:rPr>
        <w:t xml:space="preserve"> v tem sektorju ni že od leta 2011. Glavni vir emisij je proizvodnja mineralnih izdelkov; samo pri proizvodnji cementa in apna nastane 45,5 % emisij v tem sektorju. Celoten sektor prispeva 50,4 % emisij, sledita poraba F-plinov (izdelki se uporabljajo kot nadomestki za ODS) s 24,7 % ter proizvodnja drugih izdelkov in njihova uporaba z 10,0 % in drugi sektorji. </w:t>
      </w:r>
    </w:p>
    <w:p w14:paraId="57E4CB76" w14:textId="7C78F46B" w:rsidR="00E76AC9" w:rsidRPr="007944FA" w:rsidRDefault="00E76AC9" w:rsidP="00E76AC9">
      <w:pPr>
        <w:jc w:val="both"/>
        <w:rPr>
          <w:rFonts w:ascii="Arial" w:hAnsi="Arial" w:cs="Arial"/>
        </w:rPr>
      </w:pPr>
      <w:r w:rsidRPr="007944FA">
        <w:rPr>
          <w:rFonts w:ascii="Arial" w:hAnsi="Arial" w:cs="Arial"/>
        </w:rPr>
        <w:t>V kmetijstvu, ki je drugi najpomembnejši sektor, so emisije leta 2022 znašale 1706 kt</w:t>
      </w:r>
      <w:r w:rsidR="00187EA1" w:rsidRPr="007944FA">
        <w:rPr>
          <w:rFonts w:ascii="Arial" w:hAnsi="Arial" w:cs="Arial"/>
        </w:rPr>
        <w:t xml:space="preserve"> ekv</w:t>
      </w:r>
      <w:r w:rsidRPr="007944FA">
        <w:rPr>
          <w:rFonts w:ascii="Arial" w:hAnsi="Arial" w:cs="Arial"/>
        </w:rPr>
        <w:t xml:space="preserve">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kar je 10,9 % vseh emisij. Kmetijstvo je glavni vir emisij metana in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saj prispeva 64,6 % vseh emisij metana in 62,2 % vseh emisij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K emisijam v kmetijstvu emisije </w:t>
      </w:r>
      <w:r w:rsidR="0002461A" w:rsidRPr="007944FA">
        <w:rPr>
          <w:rFonts w:ascii="Arial" w:hAnsi="Arial" w:cs="Arial"/>
        </w:rPr>
        <w:t>CH</w:t>
      </w:r>
      <w:r w:rsidR="0002461A" w:rsidRPr="007944FA">
        <w:rPr>
          <w:rFonts w:ascii="Arial" w:hAnsi="Arial" w:cs="Arial"/>
          <w:vertAlign w:val="subscript"/>
        </w:rPr>
        <w:t>4</w:t>
      </w:r>
      <w:r w:rsidRPr="007944FA">
        <w:rPr>
          <w:rFonts w:ascii="Arial" w:hAnsi="Arial" w:cs="Arial"/>
        </w:rPr>
        <w:t xml:space="preserve"> prispevajo 72,2 %, emisije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25,6 %, emisije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pa1,9 %. Emisije TGP iz kmetijstva nekoliko nihajo po posameznih letih, vendar pa se v splošnem znižujejo. Leta 2022 so bile emisije za 16,3 % nižje kot v izhodiščnem letu. Emisije se zmanjšujejo v vseh ključnih kategorijah, največji vpliv na skupne emisije pa ima zmanjšanje emisij </w:t>
      </w:r>
      <w:r w:rsidR="0002461A" w:rsidRPr="007944FA">
        <w:rPr>
          <w:rFonts w:ascii="Arial" w:hAnsi="Arial" w:cs="Arial"/>
        </w:rPr>
        <w:t>CH</w:t>
      </w:r>
      <w:r w:rsidR="0002461A" w:rsidRPr="007944FA">
        <w:rPr>
          <w:rFonts w:ascii="Arial" w:hAnsi="Arial" w:cs="Arial"/>
          <w:vertAlign w:val="subscript"/>
        </w:rPr>
        <w:t>4</w:t>
      </w:r>
      <w:r w:rsidRPr="007944FA">
        <w:rPr>
          <w:rFonts w:ascii="Arial" w:hAnsi="Arial" w:cs="Arial"/>
        </w:rPr>
        <w:t xml:space="preserve"> iz ravnanja z gnojem zaradi zmanjšanja števila prašičev in izboljšanega upravljanja gnoja na kmetijah. Emisije iz črevesne fermentacije so se zmanjšale zaradi povečanja intenzivnosti prireje krav molznic, medtem ko so se emisije iz kmetijskih zemljišč zmanjšale zaradi boljšega nadzora nad vnosom dušika v tla. Največ emisij v kmetijstvu izvira iz črevesne fermentacije, ki k skupnim emisijam iz kmetijstva prispeva 57,7 %. Sledijo jim emisije iz kmetijskih zemljišč z 21,6 %, preostali delež pa prispevajo emisije metana in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ki izvirajo iz živinskega gnoja (18,7 %), in emisije </w:t>
      </w:r>
      <w:bookmarkStart w:id="124" w:name="_Hlk193967069"/>
      <w:r w:rsidR="00F23945" w:rsidRPr="007944FA">
        <w:rPr>
          <w:rFonts w:ascii="Arial" w:hAnsi="Arial" w:cs="Arial"/>
        </w:rPr>
        <w:t>CO</w:t>
      </w:r>
      <w:r w:rsidR="00F23945" w:rsidRPr="007944FA">
        <w:rPr>
          <w:rFonts w:ascii="Arial" w:hAnsi="Arial" w:cs="Arial"/>
          <w:vertAlign w:val="subscript"/>
        </w:rPr>
        <w:t>2</w:t>
      </w:r>
      <w:bookmarkEnd w:id="124"/>
      <w:r w:rsidRPr="007944FA">
        <w:rPr>
          <w:rFonts w:ascii="Arial" w:hAnsi="Arial" w:cs="Arial"/>
        </w:rPr>
        <w:t xml:space="preserve"> zaradi apnenja in uporabe sečnine.</w:t>
      </w:r>
    </w:p>
    <w:p w14:paraId="7F5E4ED2" w14:textId="48A18983" w:rsidR="00E76AC9" w:rsidRPr="007944FA" w:rsidRDefault="00E76AC9" w:rsidP="00E76AC9">
      <w:pPr>
        <w:jc w:val="both"/>
        <w:rPr>
          <w:rFonts w:ascii="Arial" w:hAnsi="Arial" w:cs="Arial"/>
        </w:rPr>
      </w:pPr>
      <w:r w:rsidRPr="007944FA">
        <w:rPr>
          <w:rFonts w:ascii="Arial" w:hAnsi="Arial" w:cs="Arial"/>
        </w:rPr>
        <w:t xml:space="preserve">Skupni neto ponori </w:t>
      </w:r>
      <w:r w:rsidR="00F23945" w:rsidRPr="007944FA">
        <w:rPr>
          <w:rFonts w:ascii="Arial" w:eastAsia="Times New Roman" w:hAnsi="Arial" w:cs="Times New Roman"/>
          <w:szCs w:val="20"/>
          <w:lang w:eastAsia="sl-SI"/>
        </w:rPr>
        <w:t>CO</w:t>
      </w:r>
      <w:r w:rsidR="00F23945" w:rsidRPr="007944FA">
        <w:rPr>
          <w:rFonts w:ascii="Arial" w:eastAsia="Times New Roman" w:hAnsi="Arial" w:cs="Times New Roman"/>
          <w:szCs w:val="20"/>
          <w:vertAlign w:val="subscript"/>
          <w:lang w:eastAsia="sl-SI"/>
        </w:rPr>
        <w:t>2</w:t>
      </w:r>
      <w:r w:rsidRPr="007944FA">
        <w:rPr>
          <w:rFonts w:ascii="Arial" w:hAnsi="Arial" w:cs="Arial"/>
        </w:rPr>
        <w:t xml:space="preserve"> v sektorju LULUCF so leta 2022 znašali –173 kt</w:t>
      </w:r>
      <w:r w:rsidR="00187EA1" w:rsidRPr="007944FA">
        <w:rPr>
          <w:rFonts w:ascii="Arial" w:hAnsi="Arial" w:cs="Arial"/>
        </w:rPr>
        <w:t xml:space="preserve"> ekv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rPr>
        <w:t xml:space="preserve"> . in so bili bistveno manjši kot v izhodiščnem letu. Najvišji neto ponori so bili doseženi leta 2007. Od takrat </w:t>
      </w:r>
      <w:r w:rsidRPr="007944FA">
        <w:rPr>
          <w:rFonts w:ascii="Arial" w:hAnsi="Arial" w:cs="Arial"/>
        </w:rPr>
        <w:lastRenderedPageBreak/>
        <w:t>so se zmanjševali, kar je bilo najprej posledica sprememb v nacionalni gozdarski politiki (sprejetje Nacionalnega gozdarskega programa), po letu 2014 pa so slovenske gozdove prizadele naravne nesreče. Sanitarna sečnja v poškodovanih gozdovih se je v obdobju 2014–2018 povečala za približno 50 %, kar je vplivalo na to, da je sektor LULUCF postal vir emisij TGP. V zadnjih letih se stanje v gozdovih malenkostno izboljšuje, vendar so bili neto ponori leta 2022 še vedno za 96,7 % nižji kot leta 2013.</w:t>
      </w:r>
    </w:p>
    <w:p w14:paraId="1D4C563A" w14:textId="4972FEA1" w:rsidR="00E76AC9" w:rsidRPr="007944FA" w:rsidRDefault="00E76AC9" w:rsidP="00E76AC9">
      <w:pPr>
        <w:jc w:val="both"/>
        <w:rPr>
          <w:rFonts w:ascii="Arial" w:hAnsi="Arial" w:cs="Arial"/>
        </w:rPr>
      </w:pPr>
      <w:r w:rsidRPr="007944FA">
        <w:rPr>
          <w:rFonts w:ascii="Arial" w:hAnsi="Arial" w:cs="Arial"/>
        </w:rPr>
        <w:t xml:space="preserve">Emisije metana iz sektorja odpadkov so drugi največji vir metana in so leta 2022 sestavljale 18,4 % vseh emisij metana v Sloveniji. Metan v sektorju sestavlja 85,8 %, preostali del sestavljajo emisije </w:t>
      </w:r>
      <w:r w:rsidR="00F23945" w:rsidRPr="007944FA">
        <w:rPr>
          <w:rFonts w:ascii="Arial" w:eastAsia="Times New Roman" w:hAnsi="Arial" w:cs="Times New Roman"/>
          <w:szCs w:val="20"/>
          <w:lang w:eastAsia="sl-SI"/>
        </w:rPr>
        <w:t>N</w:t>
      </w:r>
      <w:r w:rsidR="00F23945" w:rsidRPr="007944FA">
        <w:rPr>
          <w:rFonts w:ascii="Arial" w:eastAsia="Times New Roman" w:hAnsi="Arial" w:cs="Times New Roman"/>
          <w:szCs w:val="20"/>
          <w:vertAlign w:val="subscript"/>
          <w:lang w:eastAsia="sl-SI"/>
        </w:rPr>
        <w:t>2</w:t>
      </w:r>
      <w:r w:rsidR="00F23945" w:rsidRPr="007944FA">
        <w:rPr>
          <w:rFonts w:ascii="Arial" w:eastAsia="Times New Roman" w:hAnsi="Arial" w:cs="Times New Roman"/>
          <w:szCs w:val="20"/>
          <w:lang w:eastAsia="sl-SI"/>
        </w:rPr>
        <w:t>O</w:t>
      </w:r>
      <w:r w:rsidRPr="007944FA">
        <w:rPr>
          <w:rFonts w:ascii="Arial" w:hAnsi="Arial" w:cs="Arial"/>
        </w:rPr>
        <w:t xml:space="preserve"> (10,5 %) in </w:t>
      </w:r>
      <w:r w:rsidR="00F23945" w:rsidRPr="007944FA">
        <w:rPr>
          <w:rFonts w:ascii="Arial" w:eastAsia="Times New Roman" w:hAnsi="Arial" w:cs="Times New Roman"/>
          <w:szCs w:val="20"/>
          <w:lang w:eastAsia="sl-SI"/>
        </w:rPr>
        <w:t>CO</w:t>
      </w:r>
      <w:r w:rsidR="00F23945" w:rsidRPr="007944FA">
        <w:rPr>
          <w:rFonts w:ascii="Arial" w:eastAsia="Times New Roman" w:hAnsi="Arial" w:cs="Times New Roman"/>
          <w:szCs w:val="20"/>
          <w:vertAlign w:val="subscript"/>
          <w:lang w:eastAsia="sl-SI"/>
        </w:rPr>
        <w:t>2</w:t>
      </w:r>
      <w:r w:rsidRPr="007944FA">
        <w:rPr>
          <w:rFonts w:ascii="Arial" w:hAnsi="Arial" w:cs="Arial"/>
        </w:rPr>
        <w:t xml:space="preserve"> (3,7 %). Ravnanje s trdnimi odpadki je prispevalo 46,4 % k skupnim emisijam iz tega sektorja, ravnanje z odpadno vodo 44,9 %, kompostiranje 5,0 % in sežiganje odpadkov 3,7 %. Leta 2022 so bile emisije za 45,5 % nižje kot leta 1986. Emisije iz odlaganja trdnih odpadkov so se začele zmanjševati leta 2005 in so se do leta 2022 zmanjšale za 67,7 % zaradi občutnega zmanjšanja količine odloženih biorazgradljivih odpadkov in povečanega zajema odlagališčnega plina. Emisije iz odpadnih voda so bile glede na izhodiščno leto nižje za 53,6 %, kar je v glavnem posledica zajema plina iz naprav za čiščenje odpadnih voda in zmanjšanja industrijske proizvodnje.</w:t>
      </w:r>
    </w:p>
    <w:p w14:paraId="79171965" w14:textId="3115A5A1" w:rsidR="0042650C" w:rsidRPr="007944FA" w:rsidRDefault="0042650C" w:rsidP="0042650C">
      <w:pPr>
        <w:pStyle w:val="Heading2"/>
      </w:pPr>
      <w:bookmarkStart w:id="125" w:name="_Toc196300824"/>
      <w:r w:rsidRPr="007944FA">
        <w:t>II.F. Projekcije emisij in ponorov toplogrednih plinov, kjer je ustrezno</w:t>
      </w:r>
      <w:bookmarkEnd w:id="125"/>
    </w:p>
    <w:p w14:paraId="4561939F"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92. Vsaka pogodbenica poroča o projekcijah v skladu s triindevetdesetim do stoprvim odstavkom; tiste pogodbenice, ki so države v razvoju in potrebujejo prožnost glede na svoje zmogljivosti, so spodbujene, da poročajo o projekcijah.</w:t>
      </w:r>
    </w:p>
    <w:p w14:paraId="4B691DD1" w14:textId="702E3338"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93. Projekcije so pokazatelj vpliva politik in ukrepov za </w:t>
      </w:r>
      <w:r w:rsidR="009B3FC7" w:rsidRPr="007944FA">
        <w:rPr>
          <w:rFonts w:ascii="Arial" w:eastAsia="Times New Roman" w:hAnsi="Arial" w:cs="Arial"/>
          <w:sz w:val="20"/>
          <w:szCs w:val="20"/>
          <w:lang w:eastAsia="sl-SI"/>
        </w:rPr>
        <w:t>blaženje</w:t>
      </w:r>
      <w:r w:rsidRPr="007944FA">
        <w:rPr>
          <w:rFonts w:ascii="Arial" w:eastAsia="Times New Roman" w:hAnsi="Arial" w:cs="Arial"/>
          <w:sz w:val="20"/>
          <w:szCs w:val="20"/>
          <w:lang w:eastAsia="sl-SI"/>
        </w:rPr>
        <w:t xml:space="preserve"> podnebnih sprememb na prihodnja gibanja emisij in odvzemov toplogrednih plinov ter se ne uporabljajo za oceno napredka pri izvajanju in doseganju NDC pogodbenic v skladu s 4. členom Pariškega sporazuma, razen če je pogodbenica poročano projekcijo opredelila kot svojo izhodiščno vrednost, določeno v poglavju II.B.</w:t>
      </w:r>
    </w:p>
    <w:p w14:paraId="1AA9B9B6"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94. Vsaka pogodbenica, ki poroča v skladu z dvaindevetdesetim odstavkom, poroča o projekciji vseh emisij in odvzemov toplogrednih plinov z ukrepi ter lahko poroča o projekciji z dodatnimi ukrepi in projekciji brez ukrepov.</w:t>
      </w:r>
    </w:p>
    <w:p w14:paraId="7C464C56"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eastAsia="Times New Roman" w:hAnsi="Arial" w:cs="Arial"/>
          <w:sz w:val="20"/>
          <w:szCs w:val="20"/>
          <w:lang w:eastAsia="sl-SI"/>
        </w:rPr>
        <w:t>95. Projekcije se začnejo z zadnjim letom iz poročila o nacionalni evidenci pogodbenice in zajemajo vsaj 15 let po naslednjem letu, ki se konča z nič ali pet; tiste pogodbenice države v razvoju, ki glede na svoje zmogljivosti potrebujejo prožnost v zvezi s to določbo, lahko namesto tega svoje projekcije podaljšajo vsaj do končne točke svojega NDC v skladu s 4. členom Pariškega sporazuma.</w:t>
      </w:r>
    </w:p>
    <w:p w14:paraId="2FEB7B8D"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96. Vsaka pogodbenica mora zagotoviti informacije o metodologiji, ki je bila uporabljena za pripravo projekcij. Te informacije morajo vključevati:</w:t>
      </w:r>
    </w:p>
    <w:p w14:paraId="77EF90E2" w14:textId="3E78BCD5"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(a) uporabljene modele in/ali </w:t>
      </w:r>
      <w:r w:rsidR="001E5173" w:rsidRPr="007944FA">
        <w:rPr>
          <w:rFonts w:ascii="Arial" w:eastAsia="Times New Roman" w:hAnsi="Arial" w:cs="Arial"/>
          <w:sz w:val="20"/>
          <w:szCs w:val="20"/>
          <w:lang w:eastAsia="sl-SI"/>
        </w:rPr>
        <w:t>načine</w:t>
      </w:r>
      <w:r w:rsidRPr="007944FA">
        <w:rPr>
          <w:rFonts w:ascii="Arial" w:eastAsia="Times New Roman" w:hAnsi="Arial" w:cs="Arial"/>
          <w:sz w:val="20"/>
          <w:szCs w:val="20"/>
          <w:lang w:eastAsia="sl-SI"/>
        </w:rPr>
        <w:t xml:space="preserve"> ter ključne temeljne pogoje in parametre, uporabljene za projekcije (na primer stopnja/raven rasti </w:t>
      </w:r>
      <w:r w:rsidR="00757B17" w:rsidRPr="007944FA">
        <w:rPr>
          <w:rFonts w:ascii="Arial" w:eastAsia="Times New Roman" w:hAnsi="Arial" w:cs="Arial"/>
          <w:sz w:val="20"/>
          <w:szCs w:val="20"/>
          <w:lang w:eastAsia="sl-SI"/>
        </w:rPr>
        <w:t>BDP</w:t>
      </w:r>
      <w:r w:rsidRPr="007944FA">
        <w:rPr>
          <w:rFonts w:ascii="Arial" w:eastAsia="Times New Roman" w:hAnsi="Arial" w:cs="Arial"/>
          <w:sz w:val="20"/>
          <w:szCs w:val="20"/>
          <w:lang w:eastAsia="sl-SI"/>
        </w:rPr>
        <w:t>, stopnja/raven rasti prebivalstva);</w:t>
      </w:r>
    </w:p>
    <w:p w14:paraId="3C9624F0"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(b) spremembe metodologije od zadnjega dvoletnega poročila pogodbenice o preglednosti;</w:t>
      </w:r>
    </w:p>
    <w:p w14:paraId="6713E852"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(c) pogoje o politikah in ukrepih, vključenih v projekcijo z ukrepi in projekcijo z dodatnimi ukrepi, če so vključeni;</w:t>
      </w:r>
    </w:p>
    <w:p w14:paraId="01C48987"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(d) analizo občutljivosti za katero koli od projekcij, skupaj s kratko razlago uporabljenih metodologij in parametrov.</w:t>
      </w:r>
    </w:p>
    <w:p w14:paraId="6BDCBD8F"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97. Vsaka pogodbenica predloži tudi projekcije ključnih kazalnikov za določitev napredka pri doseganju svojih NDC v skladu s 4. členom Pariškega sporazuma.</w:t>
      </w:r>
    </w:p>
    <w:p w14:paraId="0E60F5AA"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eastAsia="Times New Roman" w:hAnsi="Arial" w:cs="Arial"/>
          <w:sz w:val="20"/>
          <w:szCs w:val="20"/>
          <w:lang w:eastAsia="sl-SI"/>
        </w:rPr>
        <w:t>98. Vsaka pogodbenica vključi projekcije na sektorski podlagi in po plinih ter za skupno nacionalno vrednost z uporabo skupne metrike, ki je v skladu z njenim nacionalnim poročilom o evidencah.</w:t>
      </w:r>
    </w:p>
    <w:p w14:paraId="38BD35BA"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99. Projekcije se predstavijo glede na dejanske podatke iz evidenc za pretekla leta.</w:t>
      </w:r>
    </w:p>
    <w:p w14:paraId="4DC2F889"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100. Projekcije emisij se predstavijo z LULUCF in brez njega. </w:t>
      </w:r>
    </w:p>
    <w:p w14:paraId="4BC5830D" w14:textId="105638AF"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101. Projekcije se predstavijo v grafični in </w:t>
      </w:r>
      <w:r w:rsidR="002019F5" w:rsidRPr="007944FA">
        <w:rPr>
          <w:rFonts w:ascii="Arial" w:eastAsia="Times New Roman" w:hAnsi="Arial" w:cs="Arial"/>
          <w:sz w:val="20"/>
          <w:szCs w:val="20"/>
          <w:lang w:eastAsia="sl-SI"/>
        </w:rPr>
        <w:t xml:space="preserve">preglednični </w:t>
      </w:r>
      <w:r w:rsidRPr="007944FA">
        <w:rPr>
          <w:rFonts w:ascii="Arial" w:eastAsia="Times New Roman" w:hAnsi="Arial" w:cs="Arial"/>
          <w:sz w:val="20"/>
          <w:szCs w:val="20"/>
          <w:lang w:eastAsia="sl-SI"/>
        </w:rPr>
        <w:t>obliki.</w:t>
      </w:r>
    </w:p>
    <w:p w14:paraId="7341570C" w14:textId="77777777" w:rsidR="007C6E94" w:rsidRPr="007944FA" w:rsidRDefault="007C6E94" w:rsidP="007C6E94">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eastAsia="Times New Roman" w:hAnsi="Arial" w:cs="Arial"/>
          <w:sz w:val="18"/>
          <w:szCs w:val="18"/>
          <w:lang w:eastAsia="sl-SI"/>
        </w:rPr>
      </w:pPr>
      <w:r w:rsidRPr="007944FA">
        <w:rPr>
          <w:rFonts w:ascii="Arial" w:eastAsia="Times New Roman" w:hAnsi="Arial" w:cs="Arial"/>
          <w:sz w:val="20"/>
          <w:szCs w:val="20"/>
          <w:lang w:eastAsia="sl-SI"/>
        </w:rPr>
        <w:t>102. Tiste pogodbenice države v razvoju, ki potrebujejo prožnost glede na svoje zmogljivosti v zvezi s triindevetdesetim do stoprvim odstavkom, lahko namesto tega poročajo z uporabo manj podrobne metodologije ali zajetja.</w:t>
      </w:r>
    </w:p>
    <w:p w14:paraId="0BDC8A8E" w14:textId="77777777" w:rsidR="0042650C" w:rsidRPr="007944FA" w:rsidRDefault="0042650C" w:rsidP="0042650C"/>
    <w:p w14:paraId="267F2AB2" w14:textId="77777777" w:rsidR="007C6E94" w:rsidRPr="007944FA" w:rsidRDefault="007C6E94" w:rsidP="007C6E94">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lastRenderedPageBreak/>
        <w:t>Projekcije emisij, prikazane v tem poglavju, so nove in so bile pripravljene v letih 2023 in 2024 za prenovo Celovitega energetskega in podnebnega načrta Republike Slovenije (NEPN). Podrobno so dokumentirane v D</w:t>
      </w:r>
      <w:hyperlink r:id="rId41" w:tgtFrame="_blank" w:history="1">
        <w:r w:rsidRPr="007944FA">
          <w:rPr>
            <w:rFonts w:ascii="Arial" w:eastAsia="Times New Roman" w:hAnsi="Arial" w:cs="Arial"/>
            <w:szCs w:val="20"/>
            <w:lang w:eastAsia="sl-SI"/>
          </w:rPr>
          <w:t>opolnjenem Končnem poročilu o posodobljenih strokovnih podlagah NEPN</w:t>
        </w:r>
      </w:hyperlink>
      <w:r w:rsidRPr="007944FA">
        <w:rPr>
          <w:rFonts w:ascii="Arial" w:eastAsia="Times New Roman" w:hAnsi="Arial" w:cs="Arial"/>
          <w:szCs w:val="20"/>
          <w:lang w:eastAsia="sl-SI"/>
        </w:rPr>
        <w:t>.</w:t>
      </w:r>
      <w:r w:rsidRPr="007944FA">
        <w:rPr>
          <w:rFonts w:ascii="Arial" w:eastAsia="Times New Roman" w:hAnsi="Arial" w:cs="Arial"/>
          <w:szCs w:val="20"/>
          <w:vertAlign w:val="superscript"/>
          <w:lang w:eastAsia="sl-SI"/>
        </w:rPr>
        <w:footnoteReference w:id="90"/>
      </w:r>
      <w:r w:rsidRPr="007944FA">
        <w:rPr>
          <w:rFonts w:ascii="Arial" w:eastAsia="Times New Roman" w:hAnsi="Arial" w:cs="Arial"/>
          <w:szCs w:val="20"/>
          <w:lang w:eastAsia="sl-SI"/>
        </w:rPr>
        <w:t xml:space="preserve"> Projekcije so bile narejene do leta 2050 v petletnih korakih. Za namen tega poročila so predstavljene projekcije do leta 2040 v primerjavi z zadnjimi razpoložljivimi evidencami. Izhodiščno leto za projekcije in kalibracijo modelov je 2020, nekateri modeli pa so bili dodatno kalibrirani tudi za leti 2019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2021. Kalibracija za dodatni leti je bila potrebna, saj so imeli ukrepi za preprečevanje širjenja virusa SARS-CoV-2 velik vpliv na emisije v letu 2020, kar predvsem velja za sektor promet, medtem ko podatki za leto 2021 in zlasti za leto 2022 kažejo, da dolgoročni vpliv tega dogodka na emisije v Sloveniji ne bo pomemben. Drug pomemben dogodek, ki povečuje zahtevnost priprave projekcij in bi znal imeti dolgoročnejši vpliv, je vojna v Ukrajini skupaj s sankcijami proti Rusiji in njenimi povračilnimi ukrepi, kar vpliva na cene fosilnih goriv, zlasti plina, a je njegov dolgoročnejši vpliv na emisije težko oceniti, saj ni jasno, kako se bo položaj razpletel. Vsekakor politika EU omogoča večjo predvidljivost, saj so ukrepi obvladovanja draginje z znižanjem cen časovno omejeni. </w:t>
      </w:r>
    </w:p>
    <w:p w14:paraId="7795A489" w14:textId="77777777" w:rsidR="007C6E94" w:rsidRPr="007944FA" w:rsidRDefault="007C6E94" w:rsidP="007C6E94">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 xml:space="preserve">V tem obdobju je bila sprejeta tudi bolj ambiciozna podnebna in energetska politika EU in Slovenije, ki se odraža v novih ciljih po Uredbi 2023/857 za leto 2030, zaradi česar so emisije TGP v novih projekcijah nižje glede na predhodne projekcije. </w:t>
      </w:r>
    </w:p>
    <w:p w14:paraId="38BB4C51" w14:textId="3BE9F012" w:rsidR="0042650C" w:rsidRPr="007944FA" w:rsidRDefault="007C6E94" w:rsidP="006E07EE">
      <w:pPr>
        <w:pStyle w:val="Heading3"/>
      </w:pPr>
      <w:bookmarkStart w:id="126" w:name="_Toc196300825"/>
      <w:r w:rsidRPr="007944FA">
        <w:t>II.F.1 Opredelitev scenarijev</w:t>
      </w:r>
      <w:bookmarkEnd w:id="126"/>
    </w:p>
    <w:p w14:paraId="0BF9EE5C" w14:textId="52D99735" w:rsidR="007C6E94" w:rsidRPr="007944FA" w:rsidRDefault="007C6E94" w:rsidP="007C6E94">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Projekcije so bile izračunane za scenarije z ukrepi in za scenarije z dodatnimi ukrepi. Pripravljene so bile štiri podvariante scenarijev z dodatnimi ukrepi, in sicer za sektor promet dve varianti (hitro izboljšanje ponudbe – HIP, analiza vpliva ukrepov, ki se osredotočajo na izboljšanje ponudbe trajnostnih načinov prevoza ter upravljanje povpraševanja – UP, ki dodatno analizira vpliv ukrepov upravljanja prevozov z avtomobili) in za sektor oskrba z energijo dve varianti (OVE – potrebe po električni energiji, ki se večinoma zadovoljujejo z OVE,</w:t>
      </w:r>
      <w:r w:rsidR="00E73E1E" w:rsidRPr="007944FA">
        <w:rPr>
          <w:rFonts w:ascii="Arial" w:eastAsia="Times New Roman" w:hAnsi="Arial" w:cs="Arial"/>
          <w:lang w:eastAsia="sl-SI"/>
        </w:rPr>
        <w:t xml:space="preserve"> JE, kjer se </w:t>
      </w:r>
      <w:r w:rsidRPr="007944FA">
        <w:rPr>
          <w:rFonts w:ascii="Arial" w:eastAsia="Times New Roman" w:hAnsi="Arial" w:cs="Arial"/>
          <w:lang w:eastAsia="sl-SI"/>
        </w:rPr>
        <w:t xml:space="preserve">potrebe po </w:t>
      </w:r>
      <w:r w:rsidR="00E73E1E" w:rsidRPr="007944FA">
        <w:rPr>
          <w:rFonts w:ascii="Arial" w:eastAsia="Times New Roman" w:hAnsi="Arial" w:cs="Arial"/>
          <w:lang w:eastAsia="sl-SI"/>
        </w:rPr>
        <w:t xml:space="preserve">električni energiji zadovoljujejo z </w:t>
      </w:r>
      <w:r w:rsidRPr="007944FA">
        <w:rPr>
          <w:rFonts w:ascii="Arial" w:eastAsia="Times New Roman" w:hAnsi="Arial" w:cs="Arial"/>
          <w:lang w:eastAsia="sl-SI"/>
        </w:rPr>
        <w:t>jedrsk</w:t>
      </w:r>
      <w:r w:rsidR="00E73E1E" w:rsidRPr="007944FA">
        <w:rPr>
          <w:rFonts w:ascii="Arial" w:eastAsia="Times New Roman" w:hAnsi="Arial" w:cs="Arial"/>
          <w:lang w:eastAsia="sl-SI"/>
        </w:rPr>
        <w:t>o</w:t>
      </w:r>
      <w:r w:rsidRPr="007944FA">
        <w:rPr>
          <w:rFonts w:ascii="Arial" w:eastAsia="Times New Roman" w:hAnsi="Arial" w:cs="Arial"/>
          <w:lang w:eastAsia="sl-SI"/>
        </w:rPr>
        <w:t xml:space="preserve"> energij</w:t>
      </w:r>
      <w:r w:rsidR="00E73E1E" w:rsidRPr="007944FA">
        <w:rPr>
          <w:rFonts w:ascii="Arial" w:eastAsia="Times New Roman" w:hAnsi="Arial" w:cs="Arial"/>
          <w:lang w:eastAsia="sl-SI"/>
        </w:rPr>
        <w:t>o in OVE</w:t>
      </w:r>
      <w:r w:rsidRPr="007944FA">
        <w:rPr>
          <w:rFonts w:ascii="Arial" w:eastAsia="Times New Roman" w:hAnsi="Arial" w:cs="Arial"/>
          <w:lang w:eastAsia="sl-SI"/>
        </w:rPr>
        <w:t xml:space="preserve"> – izgradnja novih jedrskih enot za proizvodnjo električne energije). V tem poročilu sta predstavljena scenarij z ukrepi (OU) in scenarij z dodatnimi ukrepi, ki upošteva v prometu scenarij UP, v oskrbi z energijo pa OVE. Scenarij z ukrepi upošteva vse ukrepe, ki so bili izvedeni oz</w:t>
      </w:r>
      <w:r w:rsidRPr="007944FA">
        <w:rPr>
          <w:rFonts w:ascii="Arial" w:eastAsia="Palatino Linotype" w:hAnsi="Arial" w:cs="Arial"/>
          <w:szCs w:val="20"/>
          <w:lang w:eastAsia="sl-SI"/>
        </w:rPr>
        <w:t>iroma</w:t>
      </w:r>
      <w:r w:rsidRPr="007944FA">
        <w:rPr>
          <w:rFonts w:ascii="Arial" w:eastAsia="Times New Roman" w:hAnsi="Arial" w:cs="Arial"/>
          <w:lang w:eastAsia="sl-SI"/>
        </w:rPr>
        <w:t xml:space="preserve"> sprejeti do sredine leta 2021. Scenarij z dodatnimi ukrepi do leta 2030 lovi doseganje ciljev uredbe 2023/857, leta 2050 pa neto ničelne emisije, zato predvideva poleg veljavnih ukrepov intenzivno izvajanje dodatnih ukrepov, ki pripomorejo k občutnemu zmanjšanju emisij. </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361"/>
        <w:gridCol w:w="2906"/>
      </w:tblGrid>
      <w:tr w:rsidR="007C6E94" w:rsidRPr="0093506F" w14:paraId="7BB84877" w14:textId="77777777" w:rsidTr="00812454">
        <w:trPr>
          <w:tblHeader/>
        </w:trPr>
        <w:tc>
          <w:tcPr>
            <w:tcW w:w="2380" w:type="dxa"/>
            <w:shd w:val="clear" w:color="auto" w:fill="auto"/>
          </w:tcPr>
          <w:p w14:paraId="5F26850D"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lastRenderedPageBreak/>
              <w:t>Sektor</w:t>
            </w:r>
          </w:p>
        </w:tc>
        <w:tc>
          <w:tcPr>
            <w:tcW w:w="3361" w:type="dxa"/>
            <w:shd w:val="clear" w:color="auto" w:fill="auto"/>
          </w:tcPr>
          <w:p w14:paraId="63CB1C83"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Projekcija z ukrepi</w:t>
            </w:r>
          </w:p>
        </w:tc>
        <w:tc>
          <w:tcPr>
            <w:tcW w:w="2906" w:type="dxa"/>
            <w:shd w:val="clear" w:color="auto" w:fill="auto"/>
          </w:tcPr>
          <w:p w14:paraId="0211B0CD"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Projekcija z dodatnimi ukrepi</w:t>
            </w:r>
          </w:p>
        </w:tc>
      </w:tr>
      <w:tr w:rsidR="007C6E94" w:rsidRPr="0093506F" w14:paraId="054ACA27" w14:textId="77777777" w:rsidTr="00812454">
        <w:trPr>
          <w:trHeight w:val="5905"/>
        </w:trPr>
        <w:tc>
          <w:tcPr>
            <w:tcW w:w="2380" w:type="dxa"/>
            <w:shd w:val="clear" w:color="auto" w:fill="auto"/>
          </w:tcPr>
          <w:p w14:paraId="67C0EC93"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Oskrba z energijo – TRANSFORMACIJE</w:t>
            </w:r>
          </w:p>
        </w:tc>
        <w:tc>
          <w:tcPr>
            <w:tcW w:w="3361" w:type="dxa"/>
            <w:shd w:val="clear" w:color="auto" w:fill="auto"/>
          </w:tcPr>
          <w:p w14:paraId="62332B9C" w14:textId="77777777" w:rsidR="00E73E1E" w:rsidRPr="007944FA" w:rsidRDefault="007C6E94" w:rsidP="006D46D8">
            <w:pPr>
              <w:pStyle w:val="TEKSTTabela"/>
              <w:rPr>
                <w:rFonts w:ascii="Arial" w:hAnsi="Arial" w:cs="Arial"/>
                <w:bCs/>
                <w:sz w:val="18"/>
                <w:szCs w:val="18"/>
              </w:rPr>
            </w:pPr>
            <w:r w:rsidRPr="007944FA">
              <w:rPr>
                <w:rFonts w:ascii="Arial" w:hAnsi="Arial" w:cs="Arial"/>
                <w:b/>
                <w:sz w:val="18"/>
                <w:szCs w:val="18"/>
              </w:rPr>
              <w:t>Fosilni viri energije</w:t>
            </w:r>
            <w:r w:rsidRPr="007944FA">
              <w:rPr>
                <w:rFonts w:ascii="Arial" w:hAnsi="Arial" w:cs="Arial"/>
                <w:bCs/>
                <w:sz w:val="18"/>
                <w:szCs w:val="18"/>
              </w:rPr>
              <w:t xml:space="preserve">: </w:t>
            </w:r>
          </w:p>
          <w:p w14:paraId="6F40B12B" w14:textId="72FCAAD9"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 xml:space="preserve">Opustitev proizvodnje v termoelektrarnah na premog do leta 2033, nove plinske enote za zagotavljanje strateških rezerv.  </w:t>
            </w:r>
          </w:p>
          <w:p w14:paraId="1FD9C2CC"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Izgradnja nove enote SPTE na les, pri drugih OVE (PV, veter …) sedanja dinamika razvoja.</w:t>
            </w:r>
          </w:p>
          <w:p w14:paraId="0012CF79"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JE</w:t>
            </w:r>
            <w:r w:rsidRPr="007944FA">
              <w:rPr>
                <w:rFonts w:ascii="Arial" w:hAnsi="Arial" w:cs="Arial"/>
                <w:bCs/>
                <w:sz w:val="18"/>
                <w:szCs w:val="18"/>
              </w:rPr>
              <w:t>: Obratovanje obstoječe enote do leta 2043, ni nove enote.</w:t>
            </w:r>
          </w:p>
          <w:p w14:paraId="6CAE13BF"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Sistemi za daljinsko ogrevanje</w:t>
            </w:r>
            <w:r w:rsidRPr="007944FA">
              <w:rPr>
                <w:rFonts w:ascii="Arial" w:hAnsi="Arial" w:cs="Arial"/>
                <w:bCs/>
                <w:sz w:val="18"/>
                <w:szCs w:val="18"/>
              </w:rPr>
              <w:t xml:space="preserve">: Sedanja dinamika razvoja – struktura energentov se spremeni, da bo izpolnjena zahteva energetskega zakona glede deleža toplote iz OVE in/ali SPTE. </w:t>
            </w:r>
          </w:p>
        </w:tc>
        <w:tc>
          <w:tcPr>
            <w:tcW w:w="2906" w:type="dxa"/>
            <w:shd w:val="clear" w:color="auto" w:fill="auto"/>
          </w:tcPr>
          <w:p w14:paraId="6D386878"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Fosilni viri energije</w:t>
            </w:r>
            <w:r w:rsidRPr="007944FA">
              <w:rPr>
                <w:rFonts w:ascii="Arial" w:hAnsi="Arial" w:cs="Arial"/>
                <w:bCs/>
                <w:sz w:val="18"/>
                <w:szCs w:val="18"/>
              </w:rPr>
              <w:t xml:space="preserve">: Enako kot OU. </w:t>
            </w:r>
          </w:p>
          <w:p w14:paraId="280CA23B"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Razvoj velikih HE in ČHE, pri drugih OVE (PV, veter …) intenzivna dinamika razvoja.</w:t>
            </w:r>
          </w:p>
          <w:p w14:paraId="07B874CC"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JE</w:t>
            </w:r>
            <w:r w:rsidRPr="007944FA">
              <w:rPr>
                <w:rFonts w:ascii="Arial" w:hAnsi="Arial" w:cs="Arial"/>
                <w:bCs/>
                <w:sz w:val="18"/>
                <w:szCs w:val="18"/>
              </w:rPr>
              <w:t>: Obratovanje obstoječe enote do leta 2043, scenarij brez nove enote.</w:t>
            </w:r>
            <w:r w:rsidRPr="007944FA">
              <w:rPr>
                <w:rStyle w:val="FootnoteReference"/>
                <w:rFonts w:ascii="Arial" w:hAnsi="Arial" w:cs="Arial"/>
                <w:bCs/>
                <w:sz w:val="18"/>
                <w:szCs w:val="18"/>
              </w:rPr>
              <w:footnoteReference w:id="91"/>
            </w:r>
          </w:p>
          <w:p w14:paraId="4A6574E6"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Sistemi za daljinsko ogrevanje</w:t>
            </w:r>
            <w:r w:rsidRPr="007944FA">
              <w:rPr>
                <w:rFonts w:ascii="Arial" w:hAnsi="Arial" w:cs="Arial"/>
                <w:bCs/>
                <w:sz w:val="18"/>
                <w:szCs w:val="18"/>
              </w:rPr>
              <w:t>: Intenzivna dinamika razvoja – struktura energentov pospešeno v višji delež OVE (tudi odvečne toplote) in/ali SPTE na sintetični plin.</w:t>
            </w:r>
          </w:p>
          <w:p w14:paraId="31427DA3" w14:textId="77777777" w:rsidR="007C6E94" w:rsidRPr="007944FA" w:rsidRDefault="007C6E94" w:rsidP="006D46D8">
            <w:pPr>
              <w:pStyle w:val="TEKSTTabela"/>
              <w:rPr>
                <w:rFonts w:ascii="Arial" w:hAnsi="Arial" w:cs="Arial"/>
                <w:bCs/>
                <w:sz w:val="18"/>
                <w:szCs w:val="18"/>
              </w:rPr>
            </w:pPr>
          </w:p>
          <w:p w14:paraId="5EDAA723"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Scenarija OVE in JE se do leta 2030 ne razlikujeta, potem pa je v OVE hitrejši razvoj OVE zmogljivosti, v JE pa počasnejši razvoj OVE zaradi izgradnje novih enot proizvodnje električne energije iz JE v letih 2045 in 2050.</w:t>
            </w:r>
          </w:p>
        </w:tc>
      </w:tr>
      <w:tr w:rsidR="007C6E94" w:rsidRPr="0093506F" w14:paraId="0F9C0FCF" w14:textId="77777777" w:rsidTr="00812454">
        <w:tc>
          <w:tcPr>
            <w:tcW w:w="2380" w:type="dxa"/>
            <w:shd w:val="clear" w:color="auto" w:fill="auto"/>
          </w:tcPr>
          <w:p w14:paraId="2139E4E1"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Raba energije – INDUSTRIJA</w:t>
            </w:r>
          </w:p>
        </w:tc>
        <w:tc>
          <w:tcPr>
            <w:tcW w:w="3361" w:type="dxa"/>
            <w:shd w:val="clear" w:color="auto" w:fill="auto"/>
          </w:tcPr>
          <w:p w14:paraId="450E53BF"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URE</w:t>
            </w:r>
            <w:r w:rsidRPr="007944FA">
              <w:rPr>
                <w:rFonts w:ascii="Arial" w:hAnsi="Arial" w:cs="Arial"/>
                <w:bCs/>
                <w:sz w:val="18"/>
                <w:szCs w:val="18"/>
              </w:rPr>
              <w:t>: Izboljševanje energetske učinkovitosti procesov v skladu z dosedanjim razvojem.</w:t>
            </w:r>
          </w:p>
          <w:p w14:paraId="51AF8F37"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Fosilna goriva</w:t>
            </w:r>
            <w:r w:rsidRPr="007944FA">
              <w:rPr>
                <w:rFonts w:ascii="Arial" w:hAnsi="Arial" w:cs="Arial"/>
                <w:bCs/>
                <w:sz w:val="18"/>
                <w:szCs w:val="18"/>
              </w:rPr>
              <w:t>: Prehod na ZP, zmanjševanje rabe ELKO in UNP, opustitev premoga do leta 2035.</w:t>
            </w:r>
          </w:p>
          <w:p w14:paraId="57162019"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SPTE</w:t>
            </w:r>
            <w:r w:rsidRPr="007944FA">
              <w:rPr>
                <w:rFonts w:ascii="Arial" w:hAnsi="Arial" w:cs="Arial"/>
                <w:bCs/>
                <w:sz w:val="18"/>
                <w:szCs w:val="18"/>
              </w:rPr>
              <w:t>: Ohranjajo se obstoječe naprave.</w:t>
            </w:r>
          </w:p>
          <w:p w14:paraId="06DA473C"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Povečevanje rabe v skladu z dosedanjo dinamiko.</w:t>
            </w:r>
          </w:p>
          <w:p w14:paraId="7EEB8EB4"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Odvečna toplota: Minimalna uporaba.</w:t>
            </w:r>
          </w:p>
          <w:p w14:paraId="2DCE7B4A"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Snovna učinkovitost</w:t>
            </w:r>
            <w:r w:rsidRPr="007944FA">
              <w:rPr>
                <w:rFonts w:ascii="Arial" w:hAnsi="Arial" w:cs="Arial"/>
                <w:bCs/>
                <w:sz w:val="18"/>
                <w:szCs w:val="18"/>
              </w:rPr>
              <w:t>: Uvedejo se posamezni ukrepi, ki minimalno vplivajo na potrebe po energiji.</w:t>
            </w:r>
          </w:p>
        </w:tc>
        <w:tc>
          <w:tcPr>
            <w:tcW w:w="2906" w:type="dxa"/>
            <w:shd w:val="clear" w:color="auto" w:fill="auto"/>
          </w:tcPr>
          <w:p w14:paraId="655C8EF0"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URE</w:t>
            </w:r>
            <w:r w:rsidRPr="007944FA">
              <w:rPr>
                <w:rFonts w:ascii="Arial" w:hAnsi="Arial" w:cs="Arial"/>
                <w:bCs/>
                <w:sz w:val="18"/>
                <w:szCs w:val="18"/>
              </w:rPr>
              <w:t>: Intenzivno izboljševanje energetske učinkovitosti procesov s hitrejšo zamenjavo neučinkovitih tehnologij.</w:t>
            </w:r>
          </w:p>
          <w:p w14:paraId="2AE46AD9"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Fosilna goriva</w:t>
            </w:r>
            <w:r w:rsidRPr="007944FA">
              <w:rPr>
                <w:rFonts w:ascii="Arial" w:hAnsi="Arial" w:cs="Arial"/>
                <w:bCs/>
                <w:sz w:val="18"/>
                <w:szCs w:val="18"/>
              </w:rPr>
              <w:t>: Zamenjevanje ZP z električno energijo, kjer je mogoče, ter z OVE in tudi vodikom, do leta 2050 ZP nadomesti sintetični plin.</w:t>
            </w:r>
          </w:p>
          <w:p w14:paraId="17E3E29F"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SPTE: Povečuje se obseg.</w:t>
            </w:r>
          </w:p>
          <w:p w14:paraId="1C79B4CC"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xml:space="preserve">: Intenzivno povečevanje rabe. </w:t>
            </w:r>
          </w:p>
          <w:p w14:paraId="0419B115"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Odvečna toplota</w:t>
            </w:r>
            <w:r w:rsidRPr="007944FA">
              <w:rPr>
                <w:rFonts w:ascii="Arial" w:hAnsi="Arial" w:cs="Arial"/>
                <w:bCs/>
                <w:sz w:val="18"/>
                <w:szCs w:val="18"/>
              </w:rPr>
              <w:t xml:space="preserve">: Znatno povečanje rabe. </w:t>
            </w:r>
          </w:p>
          <w:p w14:paraId="68AB243B"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Snovna učinkovitost</w:t>
            </w:r>
            <w:r w:rsidRPr="007944FA">
              <w:rPr>
                <w:rFonts w:ascii="Arial" w:hAnsi="Arial" w:cs="Arial"/>
                <w:bCs/>
                <w:sz w:val="18"/>
                <w:szCs w:val="18"/>
              </w:rPr>
              <w:t>: Uvedejo se ukrepi, ki vplivajo na zmanjšanje potrebe po energiji za proizvodnjo novih materialov in izdelkov.</w:t>
            </w:r>
          </w:p>
          <w:p w14:paraId="0899CEB8"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CCU</w:t>
            </w:r>
            <w:r w:rsidRPr="007944FA">
              <w:rPr>
                <w:rFonts w:ascii="Arial" w:hAnsi="Arial" w:cs="Arial"/>
                <w:bCs/>
                <w:sz w:val="18"/>
                <w:szCs w:val="18"/>
              </w:rPr>
              <w:t>: Pri proizvodnji cementa.</w:t>
            </w:r>
          </w:p>
        </w:tc>
      </w:tr>
      <w:tr w:rsidR="007C6E94" w:rsidRPr="0093506F" w14:paraId="64DD084A" w14:textId="77777777" w:rsidTr="00812454">
        <w:tc>
          <w:tcPr>
            <w:tcW w:w="2380" w:type="dxa"/>
            <w:shd w:val="clear" w:color="auto" w:fill="auto"/>
          </w:tcPr>
          <w:p w14:paraId="71173D0E"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Raba energije – STAVBE</w:t>
            </w:r>
          </w:p>
        </w:tc>
        <w:tc>
          <w:tcPr>
            <w:tcW w:w="3361" w:type="dxa"/>
            <w:shd w:val="clear" w:color="auto" w:fill="auto"/>
          </w:tcPr>
          <w:p w14:paraId="238E3F85"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URE</w:t>
            </w:r>
            <w:r w:rsidRPr="007944FA">
              <w:rPr>
                <w:rFonts w:ascii="Arial" w:hAnsi="Arial" w:cs="Arial"/>
                <w:bCs/>
                <w:sz w:val="18"/>
                <w:szCs w:val="18"/>
              </w:rPr>
              <w:t>: Počasno zniževanje stopnje obnov zaradi težavnejših obnov.  Povečanje deleža celovitih obnov.</w:t>
            </w:r>
          </w:p>
          <w:p w14:paraId="2327877E"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Fosilna goriva</w:t>
            </w:r>
            <w:r w:rsidRPr="007944FA">
              <w:rPr>
                <w:rFonts w:ascii="Arial" w:hAnsi="Arial" w:cs="Arial"/>
                <w:bCs/>
                <w:sz w:val="18"/>
                <w:szCs w:val="18"/>
              </w:rPr>
              <w:t>: Prehod na ZP – širjenje omrežja, opuščanje drugih fosilnih goriv (ELKO, UNP).</w:t>
            </w:r>
          </w:p>
          <w:p w14:paraId="3E85ACC3"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DO</w:t>
            </w:r>
            <w:r w:rsidRPr="007944FA">
              <w:rPr>
                <w:rFonts w:ascii="Arial" w:hAnsi="Arial" w:cs="Arial"/>
                <w:bCs/>
                <w:sz w:val="18"/>
                <w:szCs w:val="18"/>
              </w:rPr>
              <w:t>: Širjenje obstoječega omrežja in gradnja novih, kjer je ekonomsko smotrno.</w:t>
            </w:r>
          </w:p>
          <w:p w14:paraId="29419353"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Uporaba, kjer ni alternativ (brez omrežja ZP in DO).</w:t>
            </w:r>
          </w:p>
        </w:tc>
        <w:tc>
          <w:tcPr>
            <w:tcW w:w="2906" w:type="dxa"/>
            <w:shd w:val="clear" w:color="auto" w:fill="auto"/>
          </w:tcPr>
          <w:p w14:paraId="53BDB2DD"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URE</w:t>
            </w:r>
            <w:r w:rsidRPr="007944FA">
              <w:rPr>
                <w:rFonts w:ascii="Arial" w:hAnsi="Arial" w:cs="Arial"/>
                <w:bCs/>
                <w:sz w:val="18"/>
                <w:szCs w:val="18"/>
              </w:rPr>
              <w:t>: Višja stopnja obnov kot v OU, intenzivna odprava ovir. Visok delež celovitih prenov.</w:t>
            </w:r>
          </w:p>
          <w:p w14:paraId="2F83AEB7"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Fosilna goriva</w:t>
            </w:r>
            <w:r w:rsidRPr="007944FA">
              <w:rPr>
                <w:rFonts w:ascii="Arial" w:hAnsi="Arial" w:cs="Arial"/>
                <w:bCs/>
                <w:sz w:val="18"/>
                <w:szCs w:val="18"/>
              </w:rPr>
              <w:t>: Postopno opuščanje ZP. Do leta 2050 ostanek (zlasti etažno ogrevanje in SPTE) nadomeščen s sintetičnim plinom. Prepoved nakupa naprav na ELKO. Uvedba ETS 2.</w:t>
            </w:r>
          </w:p>
          <w:p w14:paraId="69D26191"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lastRenderedPageBreak/>
              <w:t>DO</w:t>
            </w:r>
            <w:r w:rsidRPr="007944FA">
              <w:rPr>
                <w:rFonts w:ascii="Arial" w:hAnsi="Arial" w:cs="Arial"/>
                <w:bCs/>
                <w:sz w:val="18"/>
                <w:szCs w:val="18"/>
              </w:rPr>
              <w:t xml:space="preserve">: Intenzivnejše širjenje obstoječega omrežja in gradnja novih omrežij. </w:t>
            </w:r>
          </w:p>
          <w:p w14:paraId="46F5F5A1"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OVE</w:t>
            </w:r>
            <w:r w:rsidRPr="007944FA">
              <w:rPr>
                <w:rFonts w:ascii="Arial" w:hAnsi="Arial" w:cs="Arial"/>
                <w:bCs/>
                <w:sz w:val="18"/>
                <w:szCs w:val="18"/>
              </w:rPr>
              <w:t>: Intenzivno povečevanje uporabe (TČ in les).</w:t>
            </w:r>
          </w:p>
        </w:tc>
      </w:tr>
      <w:tr w:rsidR="007C6E94" w:rsidRPr="0093506F" w14:paraId="19C54618" w14:textId="77777777" w:rsidTr="00812454">
        <w:tc>
          <w:tcPr>
            <w:tcW w:w="2380" w:type="dxa"/>
            <w:shd w:val="clear" w:color="auto" w:fill="auto"/>
          </w:tcPr>
          <w:p w14:paraId="0E93E0D1"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lastRenderedPageBreak/>
              <w:t>Raba energije – PROMET</w:t>
            </w:r>
          </w:p>
        </w:tc>
        <w:tc>
          <w:tcPr>
            <w:tcW w:w="3361" w:type="dxa"/>
            <w:shd w:val="clear" w:color="auto" w:fill="auto"/>
          </w:tcPr>
          <w:p w14:paraId="5A2474E9"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Infrastruktura</w:t>
            </w:r>
            <w:r w:rsidRPr="007944FA">
              <w:rPr>
                <w:rFonts w:ascii="Arial" w:hAnsi="Arial" w:cs="Arial"/>
                <w:bCs/>
                <w:sz w:val="18"/>
                <w:szCs w:val="18"/>
              </w:rPr>
              <w:t>: Izgradnja vseh osi cestnega omrežja, posodobitev železniškega omrežja (TEN-T in nekaterih regionalnih povezav), izboljšanje obstoječe kolesarske infrastrukture.</w:t>
            </w:r>
          </w:p>
          <w:p w14:paraId="43A5F752"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Sprememba načina prevoza</w:t>
            </w:r>
            <w:r w:rsidRPr="007944FA">
              <w:rPr>
                <w:rFonts w:ascii="Arial" w:hAnsi="Arial" w:cs="Arial"/>
                <w:bCs/>
                <w:sz w:val="18"/>
                <w:szCs w:val="18"/>
              </w:rPr>
              <w:t xml:space="preserve">: Izvajanje ukrepov, ki pripeljejo do povečanega deleža JPP, vendar se avtomobilski pkm še povečujejo. Pri tovornem prometu ohranjanje deleža železniškega tovornega prometa. </w:t>
            </w:r>
          </w:p>
          <w:p w14:paraId="510DD51D"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Izvajanje strategije razvoja prometa.</w:t>
            </w:r>
          </w:p>
          <w:p w14:paraId="1AB58896"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Vozni park</w:t>
            </w:r>
            <w:r w:rsidRPr="007944FA">
              <w:rPr>
                <w:rFonts w:ascii="Arial" w:hAnsi="Arial" w:cs="Arial"/>
                <w:bCs/>
                <w:sz w:val="18"/>
                <w:szCs w:val="18"/>
              </w:rPr>
              <w:t>: Upoštevanje zakonodaje EU glede povprečnih CO</w:t>
            </w:r>
            <w:r w:rsidRPr="007944FA">
              <w:rPr>
                <w:rFonts w:ascii="Arial" w:hAnsi="Arial" w:cs="Arial"/>
                <w:bCs/>
                <w:sz w:val="18"/>
                <w:szCs w:val="18"/>
                <w:vertAlign w:val="subscript"/>
              </w:rPr>
              <w:t>2</w:t>
            </w:r>
            <w:r w:rsidRPr="007944FA">
              <w:rPr>
                <w:rFonts w:ascii="Arial" w:hAnsi="Arial" w:cs="Arial"/>
                <w:bCs/>
                <w:sz w:val="18"/>
                <w:szCs w:val="18"/>
              </w:rPr>
              <w:t xml:space="preserve"> za nova vozila, ki je veljala pred letom 2023 – počasno uvajanje alternativnih pogonov. </w:t>
            </w:r>
          </w:p>
          <w:p w14:paraId="4145AE2C"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Biogoriva</w:t>
            </w:r>
            <w:r w:rsidRPr="007944FA">
              <w:rPr>
                <w:rFonts w:ascii="Arial" w:hAnsi="Arial" w:cs="Arial"/>
                <w:bCs/>
                <w:sz w:val="18"/>
                <w:szCs w:val="18"/>
              </w:rPr>
              <w:t>: Povečanje rabe biogoriv na tehnično sprejemljiv delež (7 % dizel, 5 % bencin). Uvajanje biogoriv druge generacije v skladu z EU OVE direktivo iz leta 2018.</w:t>
            </w:r>
          </w:p>
        </w:tc>
        <w:tc>
          <w:tcPr>
            <w:tcW w:w="2906" w:type="dxa"/>
            <w:shd w:val="clear" w:color="auto" w:fill="auto"/>
          </w:tcPr>
          <w:p w14:paraId="293792FF"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Infrastruktura</w:t>
            </w:r>
            <w:r w:rsidRPr="007944FA">
              <w:rPr>
                <w:rFonts w:ascii="Arial" w:hAnsi="Arial" w:cs="Arial"/>
                <w:bCs/>
                <w:sz w:val="18"/>
                <w:szCs w:val="18"/>
              </w:rPr>
              <w:t>: Pospešene investicije v železniško infrastrukturo – izgradnja vseh načrtovanih povezav (tudi regionalnih) – in v kolesarsko infrastrukturo.</w:t>
            </w:r>
          </w:p>
          <w:p w14:paraId="540EFF47" w14:textId="5E54D08E"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Sprememba načina prevoza</w:t>
            </w:r>
            <w:r w:rsidRPr="007944FA">
              <w:rPr>
                <w:rFonts w:ascii="Arial" w:hAnsi="Arial" w:cs="Arial"/>
                <w:bCs/>
                <w:sz w:val="18"/>
                <w:szCs w:val="18"/>
              </w:rPr>
              <w:t xml:space="preserve">: Aktivno usmerjanje načina prevoza stran od osebnih vozil, intenzivno izvajanje ukrepov, ki pripeljejo do povečanega deleža JPP (ustavitev rasti prometa z avtomobili). Avto ostaja glavni način prevoza. </w:t>
            </w:r>
            <w:r w:rsidR="00234F97" w:rsidRPr="007944FA">
              <w:rPr>
                <w:rFonts w:ascii="Arial" w:hAnsi="Arial" w:cs="Arial"/>
                <w:bCs/>
                <w:sz w:val="18"/>
                <w:szCs w:val="18"/>
              </w:rPr>
              <w:t>R</w:t>
            </w:r>
            <w:r w:rsidRPr="007944FA">
              <w:rPr>
                <w:rFonts w:ascii="Arial" w:hAnsi="Arial" w:cs="Arial"/>
                <w:bCs/>
                <w:sz w:val="18"/>
                <w:szCs w:val="18"/>
              </w:rPr>
              <w:t>ast cestnega tovornega prometa nižja kot v scenariju z obstoječimi ukrepi.</w:t>
            </w:r>
          </w:p>
          <w:p w14:paraId="5E641AF0"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Vozni park</w:t>
            </w:r>
            <w:r w:rsidRPr="007944FA">
              <w:rPr>
                <w:rFonts w:ascii="Arial" w:hAnsi="Arial" w:cs="Arial"/>
                <w:bCs/>
                <w:sz w:val="18"/>
                <w:szCs w:val="18"/>
              </w:rPr>
              <w:t xml:space="preserve">: Hitrejša elektrifikacija voznega parka osebnih vozil in lahkih tovornih vozil, večji deleži alternativnih pogonov tudi v težkih tovornih vozilih in avtobusih, zamenjava fosilnih tekočih goriv s sintetičnimi. </w:t>
            </w:r>
          </w:p>
          <w:p w14:paraId="416A425A"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Biogoriva in druga CO</w:t>
            </w:r>
            <w:r w:rsidRPr="007944FA">
              <w:rPr>
                <w:rFonts w:ascii="Arial" w:hAnsi="Arial" w:cs="Arial"/>
                <w:b/>
                <w:sz w:val="18"/>
                <w:szCs w:val="18"/>
                <w:vertAlign w:val="subscript"/>
              </w:rPr>
              <w:t>2</w:t>
            </w:r>
            <w:r w:rsidRPr="007944FA">
              <w:rPr>
                <w:rFonts w:ascii="Arial" w:hAnsi="Arial" w:cs="Arial"/>
                <w:b/>
                <w:sz w:val="18"/>
                <w:szCs w:val="18"/>
              </w:rPr>
              <w:t xml:space="preserve"> nevtralna goriva</w:t>
            </w:r>
            <w:r w:rsidRPr="007944FA">
              <w:rPr>
                <w:rFonts w:ascii="Arial" w:hAnsi="Arial" w:cs="Arial"/>
                <w:bCs/>
                <w:sz w:val="18"/>
                <w:szCs w:val="18"/>
              </w:rPr>
              <w:t>: Povečanje biogoriv na 11 % do leta 2030, intenzivnost uvajanja naprednih biogoriv, uvajanje RFNBO (OVE goriv nebiološkega izvora) v skladu z direktivo OVE iz leta 2023.</w:t>
            </w:r>
          </w:p>
          <w:p w14:paraId="24805661"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Uvedba ETS 2.</w:t>
            </w:r>
          </w:p>
          <w:p w14:paraId="6A7E9F5A" w14:textId="77777777" w:rsidR="007C6E94" w:rsidRPr="007944FA" w:rsidRDefault="007C6E94" w:rsidP="006D46D8">
            <w:pPr>
              <w:pStyle w:val="TEKSTTabela"/>
              <w:rPr>
                <w:rFonts w:ascii="Arial" w:hAnsi="Arial" w:cs="Arial"/>
                <w:bCs/>
                <w:sz w:val="18"/>
                <w:szCs w:val="18"/>
              </w:rPr>
            </w:pPr>
          </w:p>
          <w:p w14:paraId="16B430EA"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Scenarija HIP in UP se razlikujeta v delu strukture načina prevoza, kjer ima HIP nižji delež JPP, UP pa višjega.</w:t>
            </w:r>
          </w:p>
        </w:tc>
      </w:tr>
      <w:tr w:rsidR="007C6E94" w:rsidRPr="0093506F" w14:paraId="0597BFBA" w14:textId="77777777" w:rsidTr="00812454">
        <w:tc>
          <w:tcPr>
            <w:tcW w:w="2380" w:type="dxa"/>
            <w:shd w:val="clear" w:color="auto" w:fill="auto"/>
          </w:tcPr>
          <w:p w14:paraId="401ECC54"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Industrijski procesi</w:t>
            </w:r>
          </w:p>
        </w:tc>
        <w:tc>
          <w:tcPr>
            <w:tcW w:w="3361" w:type="dxa"/>
            <w:shd w:val="clear" w:color="auto" w:fill="auto"/>
          </w:tcPr>
          <w:p w14:paraId="78918289"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Izvajanje uredbe o F-plinih in direktive o uporabi F-plinov v mobilnih klimatskih napravah.</w:t>
            </w:r>
          </w:p>
        </w:tc>
        <w:tc>
          <w:tcPr>
            <w:tcW w:w="2906" w:type="dxa"/>
            <w:shd w:val="clear" w:color="auto" w:fill="auto"/>
          </w:tcPr>
          <w:p w14:paraId="0149C1AD"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CCU pri proizvodnji cementa, zmanjšanje F-plinov kot v projekciji z ukrepi.</w:t>
            </w:r>
          </w:p>
        </w:tc>
      </w:tr>
      <w:tr w:rsidR="007C6E94" w:rsidRPr="0093506F" w14:paraId="46B0BDDA" w14:textId="77777777" w:rsidTr="00812454">
        <w:tc>
          <w:tcPr>
            <w:tcW w:w="2380" w:type="dxa"/>
            <w:shd w:val="clear" w:color="auto" w:fill="auto"/>
          </w:tcPr>
          <w:p w14:paraId="29A2E6B0"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Kmetijstvo</w:t>
            </w:r>
          </w:p>
        </w:tc>
        <w:tc>
          <w:tcPr>
            <w:tcW w:w="3361" w:type="dxa"/>
            <w:shd w:val="clear" w:color="auto" w:fill="auto"/>
          </w:tcPr>
          <w:p w14:paraId="6978C20A"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Izvajanje operacij Strateškega načrta Skupne kmetijske politike 2023–2027: izvajanje ukrepov za povečanje izkoristka dušika v rastlinski pridelavi, na področju živinoreje predvideno povečanje učinkovitosti reje.</w:t>
            </w:r>
          </w:p>
        </w:tc>
        <w:tc>
          <w:tcPr>
            <w:tcW w:w="2906" w:type="dxa"/>
            <w:shd w:val="clear" w:color="auto" w:fill="auto"/>
          </w:tcPr>
          <w:p w14:paraId="58B8DADA"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Intenziviranje izvajanja obsega obstoječih ukrepov po letu 2027, ko se bo začel izvajati nov Strateški načrt Skupne kmetijske politike.</w:t>
            </w:r>
          </w:p>
        </w:tc>
      </w:tr>
      <w:tr w:rsidR="007C6E94" w:rsidRPr="0093506F" w14:paraId="02D7CCD4" w14:textId="77777777" w:rsidTr="00812454">
        <w:tc>
          <w:tcPr>
            <w:tcW w:w="2380" w:type="dxa"/>
            <w:shd w:val="clear" w:color="auto" w:fill="auto"/>
          </w:tcPr>
          <w:p w14:paraId="05703A2D"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Odpadki</w:t>
            </w:r>
          </w:p>
        </w:tc>
        <w:tc>
          <w:tcPr>
            <w:tcW w:w="3361" w:type="dxa"/>
            <w:shd w:val="clear" w:color="auto" w:fill="auto"/>
          </w:tcPr>
          <w:p w14:paraId="3D748BFE" w14:textId="77777777" w:rsidR="007C6E94" w:rsidRPr="007944FA" w:rsidRDefault="007C6E94" w:rsidP="006D46D8">
            <w:pPr>
              <w:pStyle w:val="TEKSTTabela"/>
              <w:rPr>
                <w:rFonts w:ascii="Arial" w:hAnsi="Arial" w:cs="Arial"/>
                <w:bCs/>
                <w:sz w:val="18"/>
                <w:szCs w:val="18"/>
              </w:rPr>
            </w:pPr>
            <w:r w:rsidRPr="007944FA">
              <w:rPr>
                <w:rFonts w:ascii="Arial" w:hAnsi="Arial" w:cs="Arial"/>
                <w:b/>
                <w:sz w:val="18"/>
                <w:szCs w:val="18"/>
              </w:rPr>
              <w:t>Odlaganje trdnih odpadkov</w:t>
            </w:r>
            <w:r w:rsidRPr="007944FA">
              <w:rPr>
                <w:rFonts w:ascii="Arial" w:hAnsi="Arial" w:cs="Arial"/>
                <w:bCs/>
                <w:sz w:val="18"/>
                <w:szCs w:val="18"/>
              </w:rPr>
              <w:t>: Projekcije tokov odpadkov v programu ravnanja s komunalnimi odpadki in programu preprečevanja nastajanja odpadkov iz leta 2016. Brez odlaganja biorazgradljivih odpadkov.</w:t>
            </w:r>
          </w:p>
          <w:p w14:paraId="5F3C4729" w14:textId="77777777" w:rsidR="00154054" w:rsidRPr="007944FA" w:rsidRDefault="007C6E94" w:rsidP="006D46D8">
            <w:pPr>
              <w:pStyle w:val="TEKSTTabela"/>
              <w:rPr>
                <w:rFonts w:ascii="Arial" w:hAnsi="Arial" w:cs="Arial"/>
                <w:b/>
                <w:sz w:val="18"/>
                <w:szCs w:val="18"/>
              </w:rPr>
            </w:pPr>
            <w:r w:rsidRPr="007944FA">
              <w:rPr>
                <w:rFonts w:ascii="Arial" w:hAnsi="Arial" w:cs="Arial"/>
                <w:b/>
                <w:sz w:val="18"/>
                <w:szCs w:val="18"/>
              </w:rPr>
              <w:t>Odpadne vode</w:t>
            </w:r>
          </w:p>
          <w:p w14:paraId="3B2B593A" w14:textId="294F38A1"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 xml:space="preserve">: Širitev kanalizacijskega omrežja in zamenjava greznic z biološkimi čistilnimi napravami. </w:t>
            </w:r>
          </w:p>
        </w:tc>
        <w:tc>
          <w:tcPr>
            <w:tcW w:w="2906" w:type="dxa"/>
            <w:shd w:val="clear" w:color="auto" w:fill="auto"/>
          </w:tcPr>
          <w:p w14:paraId="090AEAA1"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Enako kot v projekciji z ukrepi.</w:t>
            </w:r>
          </w:p>
        </w:tc>
      </w:tr>
      <w:tr w:rsidR="007C6E94" w:rsidRPr="0093506F" w14:paraId="6895D154" w14:textId="77777777" w:rsidTr="00812454">
        <w:tc>
          <w:tcPr>
            <w:tcW w:w="2380" w:type="dxa"/>
            <w:shd w:val="clear" w:color="auto" w:fill="auto"/>
          </w:tcPr>
          <w:p w14:paraId="2BD9862E"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lastRenderedPageBreak/>
              <w:t>LULUCF</w:t>
            </w:r>
          </w:p>
        </w:tc>
        <w:tc>
          <w:tcPr>
            <w:tcW w:w="3361" w:type="dxa"/>
            <w:shd w:val="clear" w:color="auto" w:fill="auto"/>
          </w:tcPr>
          <w:p w14:paraId="52FD7026"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 xml:space="preserve">Predvideno je, da udeleženci na trgu lesa ne spreminjajo svojih navad, da se površina gozdov v času ne spreminja in da trendi spreminjanja rabe zemljišč ostajajo podobni kot v preteklih letih. </w:t>
            </w:r>
          </w:p>
          <w:p w14:paraId="5FC43FB0"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Stopnja mortalitete se od 5 % do leta 2050 zmanjša na 4 %.</w:t>
            </w:r>
          </w:p>
        </w:tc>
        <w:tc>
          <w:tcPr>
            <w:tcW w:w="2906" w:type="dxa"/>
            <w:shd w:val="clear" w:color="auto" w:fill="auto"/>
          </w:tcPr>
          <w:p w14:paraId="06CC33A2"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 xml:space="preserve">Večja realizacija varstvenih in negovalnih del v gozdovih, vključno z intenzivnejšim prilagajanjem drevesne sestave, zaradi česar je stopnja mortalitete 3 %. </w:t>
            </w:r>
          </w:p>
          <w:p w14:paraId="62E58885" w14:textId="77777777" w:rsidR="007C6E94" w:rsidRPr="007944FA" w:rsidRDefault="007C6E94" w:rsidP="006D46D8">
            <w:pPr>
              <w:pStyle w:val="TEKSTTabela"/>
              <w:rPr>
                <w:rFonts w:ascii="Arial" w:hAnsi="Arial" w:cs="Arial"/>
                <w:bCs/>
                <w:sz w:val="18"/>
                <w:szCs w:val="18"/>
              </w:rPr>
            </w:pPr>
          </w:p>
          <w:p w14:paraId="1AB338C6" w14:textId="77777777" w:rsidR="007C6E94" w:rsidRPr="007944FA" w:rsidRDefault="007C6E94" w:rsidP="006D46D8">
            <w:pPr>
              <w:pStyle w:val="TEKSTTabela"/>
              <w:rPr>
                <w:rFonts w:ascii="Arial" w:hAnsi="Arial" w:cs="Arial"/>
                <w:bCs/>
                <w:sz w:val="18"/>
                <w:szCs w:val="18"/>
              </w:rPr>
            </w:pPr>
            <w:r w:rsidRPr="007944FA">
              <w:rPr>
                <w:rFonts w:ascii="Arial" w:hAnsi="Arial" w:cs="Arial"/>
                <w:bCs/>
                <w:sz w:val="18"/>
                <w:szCs w:val="18"/>
              </w:rPr>
              <w:t>Drugo enako kot v projekciji z ukrepi.</w:t>
            </w:r>
          </w:p>
        </w:tc>
      </w:tr>
    </w:tbl>
    <w:p w14:paraId="41C4D74D" w14:textId="49C6AE3E" w:rsidR="007C6E94" w:rsidRPr="007944FA" w:rsidRDefault="002F38E7" w:rsidP="002F38E7">
      <w:pPr>
        <w:pStyle w:val="nikatabelee"/>
      </w:pPr>
      <w:bookmarkStart w:id="127" w:name="_Toc125375593"/>
      <w:bookmarkStart w:id="128" w:name="_Toc192062494"/>
      <w:bookmarkStart w:id="129" w:name="_Toc193195392"/>
      <w:r w:rsidRPr="007944FA">
        <w:t>Preglednica 7</w:t>
      </w:r>
      <w:r w:rsidR="007C6E94" w:rsidRPr="007944FA">
        <w:t>: Predstavitev glavnih pogojev v scenarijih z ukrepi in z dodatnimi ukrepi</w:t>
      </w:r>
      <w:bookmarkEnd w:id="127"/>
      <w:bookmarkEnd w:id="128"/>
      <w:bookmarkEnd w:id="129"/>
    </w:p>
    <w:p w14:paraId="47591D48" w14:textId="6AE02481" w:rsidR="007C6E94" w:rsidRPr="007944FA" w:rsidRDefault="007C6E94" w:rsidP="007C6E94">
      <w:pPr>
        <w:pStyle w:val="Heading3"/>
        <w:rPr>
          <w:rFonts w:eastAsia="Times New Roman"/>
          <w:lang w:eastAsia="sl-SI"/>
        </w:rPr>
      </w:pPr>
      <w:bookmarkStart w:id="130" w:name="_Toc192499415"/>
      <w:bookmarkStart w:id="131" w:name="_Toc196300826"/>
      <w:r w:rsidRPr="007944FA">
        <w:rPr>
          <w:rFonts w:eastAsia="Times New Roman"/>
          <w:lang w:eastAsia="sl-SI"/>
        </w:rPr>
        <w:t>II.F.2 Opredelitev sektorjev v projekcijah</w:t>
      </w:r>
      <w:bookmarkEnd w:id="130"/>
      <w:bookmarkEnd w:id="131"/>
    </w:p>
    <w:p w14:paraId="40C51E9C" w14:textId="59FFBD45" w:rsidR="007C6E94" w:rsidRPr="007944FA" w:rsidRDefault="007C6E94" w:rsidP="007C6E94">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V projekcijah je uporabljena sektorska delitev, kot se pojavlja v slovenskih strateških dokumentih za zmanjševanje emisij TGP (na primer </w:t>
      </w:r>
      <w:r w:rsidR="005F5ED8" w:rsidRPr="007944FA">
        <w:rPr>
          <w:rFonts w:ascii="Arial" w:eastAsia="Times New Roman" w:hAnsi="Arial" w:cs="Arial"/>
          <w:lang w:eastAsia="sl-SI"/>
        </w:rPr>
        <w:t>NEPN</w:t>
      </w:r>
      <w:r w:rsidRPr="007944FA">
        <w:rPr>
          <w:rFonts w:ascii="Arial" w:eastAsia="Times New Roman" w:hAnsi="Arial" w:cs="Arial"/>
          <w:lang w:eastAsia="sl-SI"/>
        </w:rPr>
        <w:t>), ki se razlikuje od CRF klasifikacije. Povezava sektorjev, uporabljenih v projekcijah s CRF klasifikacijo, je prikazana v spodnji preglednici.</w:t>
      </w:r>
    </w:p>
    <w:tbl>
      <w:tblPr>
        <w:tblStyle w:val="Tabela-SLOG1"/>
        <w:tblW w:w="0" w:type="auto"/>
        <w:tblInd w:w="562" w:type="dxa"/>
        <w:tblLook w:val="04A0" w:firstRow="1" w:lastRow="0" w:firstColumn="1" w:lastColumn="0" w:noHBand="0" w:noVBand="1"/>
      </w:tblPr>
      <w:tblGrid>
        <w:gridCol w:w="3397"/>
        <w:gridCol w:w="3833"/>
      </w:tblGrid>
      <w:tr w:rsidR="007C6E94" w:rsidRPr="0093506F" w14:paraId="017C4770" w14:textId="77777777" w:rsidTr="00654A0B">
        <w:tc>
          <w:tcPr>
            <w:tcW w:w="3397" w:type="dxa"/>
          </w:tcPr>
          <w:p w14:paraId="693B102C" w14:textId="77777777" w:rsidR="007C6E94" w:rsidRPr="007944FA" w:rsidRDefault="007C6E94" w:rsidP="007C6E94">
            <w:pPr>
              <w:spacing w:line="252" w:lineRule="auto"/>
              <w:ind w:left="454"/>
              <w:rPr>
                <w:rFonts w:ascii="Arial" w:hAnsi="Arial" w:cs="Arial"/>
                <w:b/>
                <w:sz w:val="18"/>
                <w:szCs w:val="18"/>
              </w:rPr>
            </w:pPr>
            <w:r w:rsidRPr="007944FA">
              <w:rPr>
                <w:rFonts w:ascii="Arial" w:hAnsi="Arial" w:cs="Arial"/>
                <w:b/>
                <w:sz w:val="18"/>
                <w:szCs w:val="18"/>
              </w:rPr>
              <w:t>Sektor v projekcijah</w:t>
            </w:r>
          </w:p>
        </w:tc>
        <w:tc>
          <w:tcPr>
            <w:tcW w:w="3833" w:type="dxa"/>
          </w:tcPr>
          <w:p w14:paraId="19E857C8" w14:textId="77777777" w:rsidR="007C6E94" w:rsidRPr="007944FA" w:rsidRDefault="007C6E94" w:rsidP="007C6E94">
            <w:pPr>
              <w:spacing w:line="252" w:lineRule="auto"/>
              <w:ind w:left="454"/>
              <w:rPr>
                <w:rFonts w:ascii="Arial" w:hAnsi="Arial" w:cs="Arial"/>
                <w:b/>
                <w:sz w:val="18"/>
                <w:szCs w:val="18"/>
              </w:rPr>
            </w:pPr>
            <w:r w:rsidRPr="007944FA">
              <w:rPr>
                <w:rFonts w:ascii="Arial" w:hAnsi="Arial" w:cs="Arial"/>
                <w:b/>
                <w:sz w:val="18"/>
                <w:szCs w:val="18"/>
              </w:rPr>
              <w:t>CRF sektor</w:t>
            </w:r>
          </w:p>
        </w:tc>
      </w:tr>
      <w:tr w:rsidR="007C6E94" w:rsidRPr="0093506F" w14:paraId="18E5A90C" w14:textId="77777777" w:rsidTr="00654A0B">
        <w:tc>
          <w:tcPr>
            <w:tcW w:w="3397" w:type="dxa"/>
          </w:tcPr>
          <w:p w14:paraId="17CD3482"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Transformacije in ubežne emisije (tudi samo transformacije)</w:t>
            </w:r>
          </w:p>
        </w:tc>
        <w:tc>
          <w:tcPr>
            <w:tcW w:w="3833" w:type="dxa"/>
          </w:tcPr>
          <w:p w14:paraId="36642822"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1.A.1 Transformacije</w:t>
            </w:r>
          </w:p>
          <w:p w14:paraId="3B647B94"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1.B Ubežne emisije</w:t>
            </w:r>
          </w:p>
        </w:tc>
      </w:tr>
      <w:tr w:rsidR="007C6E94" w:rsidRPr="0093506F" w14:paraId="3A1F2FED" w14:textId="77777777" w:rsidTr="00654A0B">
        <w:tc>
          <w:tcPr>
            <w:tcW w:w="3397" w:type="dxa"/>
          </w:tcPr>
          <w:p w14:paraId="3D92E164"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Industrija in gradbeništvo</w:t>
            </w:r>
          </w:p>
        </w:tc>
        <w:tc>
          <w:tcPr>
            <w:tcW w:w="3833" w:type="dxa"/>
          </w:tcPr>
          <w:p w14:paraId="46DD7D5D"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1.A.2 Industrija in gradbeništvo</w:t>
            </w:r>
          </w:p>
        </w:tc>
      </w:tr>
      <w:tr w:rsidR="007C6E94" w:rsidRPr="0093506F" w14:paraId="1B7AF16E" w14:textId="77777777" w:rsidTr="00654A0B">
        <w:tc>
          <w:tcPr>
            <w:tcW w:w="3397" w:type="dxa"/>
          </w:tcPr>
          <w:p w14:paraId="597E7A74"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Promet</w:t>
            </w:r>
          </w:p>
        </w:tc>
        <w:tc>
          <w:tcPr>
            <w:tcW w:w="3833" w:type="dxa"/>
          </w:tcPr>
          <w:p w14:paraId="642C886F"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1.A.3 Promet</w:t>
            </w:r>
          </w:p>
        </w:tc>
      </w:tr>
      <w:tr w:rsidR="007C6E94" w:rsidRPr="0093506F" w14:paraId="20EA6360" w14:textId="77777777" w:rsidTr="00654A0B">
        <w:tc>
          <w:tcPr>
            <w:tcW w:w="3397" w:type="dxa"/>
          </w:tcPr>
          <w:p w14:paraId="568CBA0A"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Široka raba</w:t>
            </w:r>
          </w:p>
        </w:tc>
        <w:tc>
          <w:tcPr>
            <w:tcW w:w="3833" w:type="dxa"/>
          </w:tcPr>
          <w:p w14:paraId="6FC9EA7F"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1.A.4 Druga področja</w:t>
            </w:r>
          </w:p>
          <w:p w14:paraId="3035F450"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1.A.5 Drugo</w:t>
            </w:r>
          </w:p>
        </w:tc>
      </w:tr>
      <w:tr w:rsidR="007C6E94" w:rsidRPr="0093506F" w14:paraId="3F90BA72" w14:textId="77777777" w:rsidTr="00654A0B">
        <w:tc>
          <w:tcPr>
            <w:tcW w:w="3397" w:type="dxa"/>
          </w:tcPr>
          <w:p w14:paraId="5AF32A32"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Industrijski procesi</w:t>
            </w:r>
          </w:p>
        </w:tc>
        <w:tc>
          <w:tcPr>
            <w:tcW w:w="3833" w:type="dxa"/>
          </w:tcPr>
          <w:p w14:paraId="3DA6B594"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2. Industrijski procesi</w:t>
            </w:r>
          </w:p>
        </w:tc>
      </w:tr>
      <w:tr w:rsidR="007C6E94" w:rsidRPr="0093506F" w14:paraId="5D24084E" w14:textId="77777777" w:rsidTr="00654A0B">
        <w:tc>
          <w:tcPr>
            <w:tcW w:w="3397" w:type="dxa"/>
          </w:tcPr>
          <w:p w14:paraId="2E4D6C6D"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Kmetijstvo</w:t>
            </w:r>
          </w:p>
        </w:tc>
        <w:tc>
          <w:tcPr>
            <w:tcW w:w="3833" w:type="dxa"/>
          </w:tcPr>
          <w:p w14:paraId="6B45503C"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3. Kmetijstvo</w:t>
            </w:r>
          </w:p>
        </w:tc>
      </w:tr>
      <w:tr w:rsidR="007C6E94" w:rsidRPr="0093506F" w14:paraId="50701C14" w14:textId="77777777" w:rsidTr="00654A0B">
        <w:tc>
          <w:tcPr>
            <w:tcW w:w="3397" w:type="dxa"/>
          </w:tcPr>
          <w:p w14:paraId="4A5F7193"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Odpadki</w:t>
            </w:r>
          </w:p>
        </w:tc>
        <w:tc>
          <w:tcPr>
            <w:tcW w:w="3833" w:type="dxa"/>
          </w:tcPr>
          <w:p w14:paraId="4A94FB0E"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5. Odpadki</w:t>
            </w:r>
          </w:p>
        </w:tc>
      </w:tr>
      <w:tr w:rsidR="007C6E94" w:rsidRPr="0093506F" w14:paraId="13F59D7E" w14:textId="77777777" w:rsidTr="00654A0B">
        <w:tc>
          <w:tcPr>
            <w:tcW w:w="3397" w:type="dxa"/>
          </w:tcPr>
          <w:p w14:paraId="77F21CDB"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Ponori</w:t>
            </w:r>
          </w:p>
        </w:tc>
        <w:tc>
          <w:tcPr>
            <w:tcW w:w="3833" w:type="dxa"/>
          </w:tcPr>
          <w:p w14:paraId="1E49E57D" w14:textId="77777777" w:rsidR="007C6E94" w:rsidRPr="007944FA" w:rsidRDefault="007C6E94" w:rsidP="007C6E94">
            <w:pPr>
              <w:spacing w:line="252" w:lineRule="auto"/>
              <w:ind w:left="454"/>
              <w:rPr>
                <w:rFonts w:ascii="Arial" w:hAnsi="Arial" w:cs="Arial"/>
                <w:sz w:val="18"/>
                <w:szCs w:val="18"/>
              </w:rPr>
            </w:pPr>
            <w:r w:rsidRPr="007944FA">
              <w:rPr>
                <w:rFonts w:ascii="Arial" w:hAnsi="Arial" w:cs="Arial"/>
                <w:sz w:val="18"/>
                <w:szCs w:val="18"/>
              </w:rPr>
              <w:t>4. LULUCF</w:t>
            </w:r>
          </w:p>
        </w:tc>
      </w:tr>
    </w:tbl>
    <w:p w14:paraId="6B48CECB" w14:textId="7C42CA3A" w:rsidR="007C6E94" w:rsidRPr="007944FA" w:rsidRDefault="002F38E7" w:rsidP="002F38E7">
      <w:pPr>
        <w:pStyle w:val="nikatabelee"/>
      </w:pPr>
      <w:bookmarkStart w:id="132" w:name="_Toc125375594"/>
      <w:bookmarkStart w:id="133" w:name="_Toc192062495"/>
      <w:bookmarkStart w:id="134" w:name="_Toc193195393"/>
      <w:r w:rsidRPr="007944FA">
        <w:t>Preglednica 8</w:t>
      </w:r>
      <w:r w:rsidR="007C6E94" w:rsidRPr="007944FA">
        <w:t>: Povezava sektorjev v projekcijah s CRF sektorji</w:t>
      </w:r>
      <w:bookmarkEnd w:id="132"/>
      <w:bookmarkEnd w:id="133"/>
      <w:bookmarkEnd w:id="134"/>
    </w:p>
    <w:p w14:paraId="0F4F9F2D" w14:textId="77777777" w:rsidR="007C6E94" w:rsidRPr="007944FA" w:rsidRDefault="007C6E94" w:rsidP="007C6E94">
      <w:pPr>
        <w:pStyle w:val="Heading3"/>
      </w:pPr>
      <w:bookmarkStart w:id="135" w:name="_Toc196300827"/>
      <w:r w:rsidRPr="007944FA">
        <w:t>II.F.3 Izsledki projekcij</w:t>
      </w:r>
      <w:bookmarkEnd w:id="135"/>
    </w:p>
    <w:p w14:paraId="7C9A3139" w14:textId="77777777" w:rsidR="007C6E94" w:rsidRPr="007944FA" w:rsidRDefault="007C6E94" w:rsidP="007C6E94">
      <w:pPr>
        <w:ind w:left="426" w:hanging="426"/>
        <w:rPr>
          <w:rFonts w:ascii="Arial" w:hAnsi="Arial" w:cs="Arial"/>
          <w:b/>
        </w:rPr>
      </w:pPr>
      <w:r w:rsidRPr="007944FA">
        <w:rPr>
          <w:rFonts w:ascii="Arial" w:hAnsi="Arial" w:cs="Arial"/>
          <w:b/>
        </w:rPr>
        <w:t>Skupne emisije toplogrednih plinov</w:t>
      </w:r>
    </w:p>
    <w:p w14:paraId="5BF0E3B4" w14:textId="06593538" w:rsidR="007C6E94" w:rsidRPr="007944FA" w:rsidRDefault="007C6E94" w:rsidP="007C6E94">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Po projekciji z ukrepi emisije leta 2025 znašajo 16.479 kt</w:t>
      </w:r>
      <w:r w:rsidR="005F5ED8"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xml:space="preserve">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kar je za 5,5 % več od izpustov v letu 2022. Leta 2030 so emisije po projekciji z ukrepi ocenjene na 16.325 kt</w:t>
      </w:r>
      <w:r w:rsidR="005F5ED8"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kar je za 0,9 % manj kot leta 2025. Do leta 2040 se emisije še dodatno znižajo, in sicer so za 31 % nižje kot leta 2030. Po projekciji z dodatnimi ukrepi so emisije leta 2025 s 15.916 kt</w:t>
      </w:r>
      <w:r w:rsidR="005F5ED8"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xml:space="preserve"> nekoliko, za 1,9 %, višje kot leta 2022. Do leta 2030 se znatno znižajo na 13.376 kt</w:t>
      </w:r>
      <w:r w:rsidR="005F5ED8"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kar je za 16 % manj kot leta 2025, leta 2040 pa so še občutno nižje, in sicer za 56 % glede na leto 2030.</w:t>
      </w:r>
    </w:p>
    <w:p w14:paraId="7A9EDE88" w14:textId="65FAE248" w:rsidR="007C6E94" w:rsidRPr="007944FA" w:rsidRDefault="005F5ED8" w:rsidP="007C6E94">
      <w:pPr>
        <w:ind w:left="426" w:hanging="426"/>
        <w:rPr>
          <w:rFonts w:ascii="Arial" w:hAnsi="Arial" w:cs="Arial"/>
          <w:bCs/>
        </w:rPr>
      </w:pPr>
      <w:r w:rsidRPr="007944FA">
        <w:rPr>
          <w:rFonts w:ascii="Arial" w:hAnsi="Arial" w:cs="Arial"/>
          <w:bCs/>
        </w:rPr>
        <w:t>Preglednice</w:t>
      </w:r>
      <w:r w:rsidR="007C6E94" w:rsidRPr="007944FA">
        <w:rPr>
          <w:rFonts w:ascii="Arial" w:hAnsi="Arial" w:cs="Arial"/>
          <w:bCs/>
        </w:rPr>
        <w:t xml:space="preserve"> s podrobnejšimi izsledki projekcij emisij so </w:t>
      </w:r>
      <w:r w:rsidR="004F489D" w:rsidRPr="007944FA">
        <w:rPr>
          <w:rFonts w:ascii="Arial" w:hAnsi="Arial" w:cs="Arial"/>
          <w:bCs/>
        </w:rPr>
        <w:t>predstavljene spodaj (Preglednica 10 in Preglednica 11)</w:t>
      </w:r>
      <w:r w:rsidR="007C6E94" w:rsidRPr="007944FA">
        <w:rPr>
          <w:rFonts w:ascii="Arial" w:hAnsi="Arial" w:cs="Arial"/>
          <w:bCs/>
        </w:rPr>
        <w:t>.</w:t>
      </w:r>
    </w:p>
    <w:p w14:paraId="75A122E6" w14:textId="770FD323" w:rsidR="007C6E94" w:rsidRPr="007944FA" w:rsidRDefault="00C73B27" w:rsidP="006257A5">
      <w:pPr>
        <w:jc w:val="center"/>
        <w:rPr>
          <w:rFonts w:ascii="Arial" w:hAnsi="Arial" w:cs="Arial"/>
          <w:bCs/>
        </w:rPr>
      </w:pPr>
      <w:r w:rsidRPr="007944FA">
        <w:rPr>
          <w:noProof/>
          <w:lang w:eastAsia="sl-SI"/>
        </w:rPr>
        <w:lastRenderedPageBreak/>
        <w:drawing>
          <wp:inline distT="0" distB="0" distL="0" distR="0" wp14:anchorId="38CE958A" wp14:editId="684B90FE">
            <wp:extent cx="4543425" cy="23622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43425" cy="2362200"/>
                    </a:xfrm>
                    <a:prstGeom prst="rect">
                      <a:avLst/>
                    </a:prstGeom>
                    <a:noFill/>
                    <a:ln>
                      <a:noFill/>
                    </a:ln>
                  </pic:spPr>
                </pic:pic>
              </a:graphicData>
            </a:graphic>
          </wp:inline>
        </w:drawing>
      </w:r>
    </w:p>
    <w:p w14:paraId="4F85EEC5" w14:textId="23DEA27E" w:rsidR="006257A5" w:rsidRPr="007944FA" w:rsidRDefault="006257A5" w:rsidP="0091142E">
      <w:pPr>
        <w:pStyle w:val="NIKASLIKE"/>
      </w:pPr>
      <w:bookmarkStart w:id="136" w:name="_Toc193193989"/>
      <w:r w:rsidRPr="007944FA">
        <w:t>Slika 1</w:t>
      </w:r>
      <w:r w:rsidR="003E320C" w:rsidRPr="007944FA">
        <w:t>6</w:t>
      </w:r>
      <w:r w:rsidRPr="007944FA">
        <w:t>: Dosedanji potek emisij brez ponorov do leta 2022 in potek emisij po projekcijah z ukrepi in z dodatnimi ukrepi od leta 2025 do leta 2040 (vir: ARSO, IJS-CEU, KIS)</w:t>
      </w:r>
      <w:bookmarkEnd w:id="136"/>
    </w:p>
    <w:p w14:paraId="5595D0EC" w14:textId="14DE64F0" w:rsidR="006257A5" w:rsidRPr="007944FA" w:rsidRDefault="00C73B27" w:rsidP="006257A5">
      <w:pPr>
        <w:jc w:val="center"/>
        <w:rPr>
          <w:rFonts w:ascii="Arial" w:hAnsi="Arial" w:cs="Arial"/>
          <w:b/>
          <w:i/>
          <w:iCs/>
          <w:sz w:val="18"/>
          <w:szCs w:val="18"/>
        </w:rPr>
      </w:pPr>
      <w:r w:rsidRPr="007944FA">
        <w:rPr>
          <w:noProof/>
          <w:lang w:eastAsia="sl-SI"/>
        </w:rPr>
        <w:drawing>
          <wp:inline distT="0" distB="0" distL="0" distR="0" wp14:anchorId="7C27606A" wp14:editId="69388375">
            <wp:extent cx="5278755" cy="255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78755" cy="2559050"/>
                    </a:xfrm>
                    <a:prstGeom prst="rect">
                      <a:avLst/>
                    </a:prstGeom>
                    <a:noFill/>
                    <a:ln>
                      <a:noFill/>
                    </a:ln>
                  </pic:spPr>
                </pic:pic>
              </a:graphicData>
            </a:graphic>
          </wp:inline>
        </w:drawing>
      </w:r>
    </w:p>
    <w:p w14:paraId="6BA7A538" w14:textId="0FCC059C" w:rsidR="006257A5" w:rsidRPr="007944FA" w:rsidRDefault="006257A5" w:rsidP="0091142E">
      <w:pPr>
        <w:pStyle w:val="NIKASLIKE"/>
      </w:pPr>
      <w:bookmarkStart w:id="137" w:name="_Toc193193990"/>
      <w:r w:rsidRPr="007944FA">
        <w:t>Slika 1</w:t>
      </w:r>
      <w:r w:rsidR="003E320C" w:rsidRPr="007944FA">
        <w:t>7</w:t>
      </w:r>
      <w:r w:rsidRPr="007944FA">
        <w:t>: Sektorska struktura emisij TGP v izbranih preteklih letih ter po projekciji z ukrepi in z dodatnimi ukrepi za leta 2025, 2030 in 2040 – levo skupne emisije, desno struktura emisij v odstotkih (vir: ARSO, IJS-CEU, KIS)</w:t>
      </w:r>
      <w:bookmarkEnd w:id="137"/>
    </w:p>
    <w:p w14:paraId="3A623820" w14:textId="2102B599" w:rsidR="006257A5" w:rsidRPr="007944FA" w:rsidRDefault="006257A5" w:rsidP="006257A5">
      <w:pPr>
        <w:rPr>
          <w:rFonts w:ascii="Arial" w:hAnsi="Arial" w:cs="Arial"/>
          <w:b/>
        </w:rPr>
      </w:pPr>
      <w:r w:rsidRPr="007944FA">
        <w:rPr>
          <w:rFonts w:ascii="Arial" w:hAnsi="Arial" w:cs="Arial"/>
          <w:b/>
        </w:rPr>
        <w:t>Ogljikov dioksid</w:t>
      </w:r>
    </w:p>
    <w:p w14:paraId="227D67C9" w14:textId="5F67931A" w:rsidR="006257A5" w:rsidRPr="007944FA" w:rsidRDefault="006257A5" w:rsidP="006257A5">
      <w:pPr>
        <w:jc w:val="both"/>
        <w:rPr>
          <w:rFonts w:ascii="Arial" w:hAnsi="Arial" w:cs="Arial"/>
          <w:bCs/>
        </w:rPr>
      </w:pPr>
      <w:r w:rsidRPr="007944FA">
        <w:rPr>
          <w:rFonts w:ascii="Arial" w:hAnsi="Arial" w:cs="Arial"/>
          <w:bCs/>
        </w:rPr>
        <w:t xml:space="preserve">Emisije </w:t>
      </w:r>
      <w:r w:rsidR="00F23945" w:rsidRPr="007944FA">
        <w:rPr>
          <w:rFonts w:ascii="Arial" w:eastAsia="Times New Roman" w:hAnsi="Arial" w:cs="Times New Roman"/>
          <w:szCs w:val="20"/>
          <w:lang w:eastAsia="sl-SI"/>
        </w:rPr>
        <w:t>CO</w:t>
      </w:r>
      <w:r w:rsidR="00F23945" w:rsidRPr="007944FA">
        <w:rPr>
          <w:rFonts w:ascii="Arial" w:eastAsia="Times New Roman" w:hAnsi="Arial" w:cs="Times New Roman"/>
          <w:szCs w:val="20"/>
          <w:vertAlign w:val="subscript"/>
          <w:lang w:eastAsia="sl-SI"/>
        </w:rPr>
        <w:t>2</w:t>
      </w:r>
      <w:r w:rsidRPr="007944FA">
        <w:rPr>
          <w:rFonts w:ascii="Arial" w:hAnsi="Arial" w:cs="Arial"/>
          <w:bCs/>
        </w:rPr>
        <w:t xml:space="preserve"> so leta 2025 po projekciji z ukrepi znašale 13.633 kt </w:t>
      </w:r>
      <w:r w:rsidR="00F23945" w:rsidRPr="007944FA">
        <w:rPr>
          <w:rFonts w:ascii="Arial" w:eastAsia="Times New Roman" w:hAnsi="Arial" w:cs="Times New Roman"/>
          <w:szCs w:val="20"/>
          <w:lang w:eastAsia="sl-SI"/>
        </w:rPr>
        <w:t>CO</w:t>
      </w:r>
      <w:r w:rsidR="00F23945" w:rsidRPr="007944FA">
        <w:rPr>
          <w:rFonts w:ascii="Arial" w:eastAsia="Times New Roman" w:hAnsi="Arial" w:cs="Times New Roman"/>
          <w:szCs w:val="20"/>
          <w:vertAlign w:val="subscript"/>
          <w:lang w:eastAsia="sl-SI"/>
        </w:rPr>
        <w:t>2</w:t>
      </w:r>
      <w:r w:rsidRPr="007944FA">
        <w:rPr>
          <w:rFonts w:ascii="Arial" w:hAnsi="Arial" w:cs="Arial"/>
          <w:bCs/>
        </w:rPr>
        <w:t xml:space="preserve">, kar je za 7 % več kot leta 2022 in za 7 % manj kot leta 2017. Do leta 2030 se povečajo za manj kot odstotek glede na leto 2025, med letoma 2030 in 2040 pa zmanjšajo za 34 %. Po projekciji z dodatnimi ukrepi so emisije v celotnem obdobju 2025‒2040 znatno nižje kot po projekciji z ukrepi. Leta 2025 so za 3 % višje, leta 2030 za 18 % nižje, leta 2040 pa za 65 % nižje kot leta 2022. </w:t>
      </w:r>
    </w:p>
    <w:p w14:paraId="40035074" w14:textId="7C65CD66" w:rsidR="006257A5" w:rsidRPr="007944FA" w:rsidRDefault="006257A5" w:rsidP="006257A5">
      <w:pPr>
        <w:jc w:val="both"/>
        <w:rPr>
          <w:rFonts w:ascii="Arial" w:hAnsi="Arial" w:cs="Arial"/>
          <w:bCs/>
        </w:rPr>
      </w:pPr>
      <w:r w:rsidRPr="007944FA">
        <w:rPr>
          <w:rFonts w:ascii="Arial" w:hAnsi="Arial" w:cs="Arial"/>
          <w:bCs/>
        </w:rPr>
        <w:t xml:space="preserve">Emisije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bCs/>
        </w:rPr>
        <w:t xml:space="preserve"> sestavljajo večji del emisij toplogrednih plinov v Sloveniji. Po projekciji z ukrepi se njihov delež v skupnih emisijah</w:t>
      </w:r>
      <w:r w:rsidR="005F5ED8" w:rsidRPr="007944FA">
        <w:rPr>
          <w:rFonts w:ascii="Arial" w:hAnsi="Arial" w:cs="Arial"/>
          <w:bCs/>
        </w:rPr>
        <w:t xml:space="preserve"> TGP</w:t>
      </w:r>
      <w:r w:rsidRPr="007944FA">
        <w:rPr>
          <w:rFonts w:ascii="Arial" w:hAnsi="Arial" w:cs="Arial"/>
          <w:bCs/>
        </w:rPr>
        <w:t xml:space="preserve"> z 81 % leta 2022 poveča na 84 % v letu 2030, do leta 2040 pa zmanjša na 80 %. V projekciji z dodatnimi ukrepi se delež počasi zmanjšuje do leta 2030 na 80 %, po letu 2030 pa se močno zmanjša na 64 % leta 2040. </w:t>
      </w:r>
    </w:p>
    <w:p w14:paraId="39E385E0" w14:textId="6F0149B8" w:rsidR="006257A5" w:rsidRPr="007944FA" w:rsidRDefault="006257A5" w:rsidP="006257A5">
      <w:pPr>
        <w:jc w:val="both"/>
        <w:rPr>
          <w:rFonts w:ascii="Arial" w:hAnsi="Arial" w:cs="Arial"/>
          <w:bCs/>
        </w:rPr>
      </w:pPr>
      <w:r w:rsidRPr="007944FA">
        <w:rPr>
          <w:rFonts w:ascii="Arial" w:hAnsi="Arial" w:cs="Arial"/>
          <w:bCs/>
        </w:rPr>
        <w:t xml:space="preserve">Glavni vir emisij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bCs/>
        </w:rPr>
        <w:t xml:space="preserve"> je promet, ki je leta 2022 sestavljal 40 % vseh emisij </w:t>
      </w:r>
      <w:r w:rsidR="00F23945" w:rsidRPr="007944FA">
        <w:rPr>
          <w:rFonts w:ascii="Arial" w:hAnsi="Arial" w:cs="Arial"/>
        </w:rPr>
        <w:t>CO</w:t>
      </w:r>
      <w:r w:rsidR="00F23945" w:rsidRPr="007944FA">
        <w:rPr>
          <w:rFonts w:ascii="Arial" w:hAnsi="Arial" w:cs="Arial"/>
          <w:vertAlign w:val="subscript"/>
        </w:rPr>
        <w:t>2</w:t>
      </w:r>
      <w:r w:rsidRPr="007944FA">
        <w:rPr>
          <w:rFonts w:ascii="Arial" w:hAnsi="Arial" w:cs="Arial"/>
          <w:bCs/>
        </w:rPr>
        <w:t xml:space="preserve">, po obeh projekcijah se njegov delež poveča. Po projekciji z ukrepi se poveča na 45 % leta 2030 in na 49 % leta 2040, po projekciji z dodatnimi ukrepi ostaja na 40 % leta 2030, potem se poveča </w:t>
      </w:r>
      <w:r w:rsidRPr="007944FA">
        <w:rPr>
          <w:rFonts w:ascii="Arial" w:hAnsi="Arial" w:cs="Arial"/>
          <w:bCs/>
        </w:rPr>
        <w:lastRenderedPageBreak/>
        <w:t>na 44 % do leta 2040. Povečanje deleža je posledica počasnejšega zmanjševanja emisij prometa glede na druge sektorje, saj je pri izvajanju ukrepov zaostanek v tem sektorju največji. Leta 2022 sledijo po deležu transformacije s 33 %, industrija z 11  %, široka raba z 9 %, industrijski procesi s 5 % in ubežne emisije z 1 %. Delež industrije se v letu 2030 v obeh projekcijah ohranja na primerljivi ravni (12–13 %), v letu 2040 pa se v projekciji z ukrepi poveča na 22 %, v projekciji z dodatnimi ukrepi pa na 19 %. Delež emisij iz industrijskih procesov je po projekciji z ukrepi leta 2030 6 %, leta 2040 pa 10 %, po projekcijah z dodatnimi ukrepi pa 8 oziroma 10 %. Podobno se giblje tudi delež emisij v široki rabi, po projekciji z ukrepi znaša 6 % v letih 2030 in 2040, po projekciji z dodatnimi ukrepi pa 7 oziroma 10 %.</w:t>
      </w:r>
    </w:p>
    <w:p w14:paraId="04C85C75" w14:textId="223330D7" w:rsidR="006257A5" w:rsidRPr="007944FA" w:rsidRDefault="00C73B27" w:rsidP="006257A5">
      <w:pPr>
        <w:jc w:val="center"/>
        <w:rPr>
          <w:rFonts w:ascii="Arial" w:hAnsi="Arial" w:cs="Arial"/>
          <w:bCs/>
        </w:rPr>
      </w:pPr>
      <w:r w:rsidRPr="007944FA">
        <w:rPr>
          <w:noProof/>
          <w:lang w:eastAsia="sl-SI"/>
        </w:rPr>
        <w:drawing>
          <wp:inline distT="0" distB="0" distL="0" distR="0" wp14:anchorId="761882D5" wp14:editId="25602582">
            <wp:extent cx="4535170" cy="2853055"/>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535170" cy="2853055"/>
                    </a:xfrm>
                    <a:prstGeom prst="rect">
                      <a:avLst/>
                    </a:prstGeom>
                    <a:noFill/>
                    <a:ln>
                      <a:noFill/>
                    </a:ln>
                  </pic:spPr>
                </pic:pic>
              </a:graphicData>
            </a:graphic>
          </wp:inline>
        </w:drawing>
      </w:r>
    </w:p>
    <w:p w14:paraId="44F0928B" w14:textId="67122450" w:rsidR="003E320C" w:rsidRPr="007944FA" w:rsidRDefault="003E320C" w:rsidP="0091142E">
      <w:pPr>
        <w:pStyle w:val="NIKASLIKE"/>
      </w:pPr>
      <w:bookmarkStart w:id="138" w:name="_Toc193193991"/>
      <w:r w:rsidRPr="007944FA">
        <w:t>Slika 18: Dosedanji potek emisij CO2 brez ponorov do vključno leta 2022 ter projekcije do leta 2040  (ARSO, IJS-CEU, KIS)</w:t>
      </w:r>
      <w:bookmarkEnd w:id="138"/>
    </w:p>
    <w:p w14:paraId="27301568" w14:textId="77777777" w:rsidR="008D0609" w:rsidRPr="007944FA" w:rsidRDefault="008D0609" w:rsidP="008D0609">
      <w:pPr>
        <w:spacing w:after="120" w:line="245" w:lineRule="auto"/>
        <w:jc w:val="both"/>
        <w:rPr>
          <w:rFonts w:ascii="Arial" w:eastAsia="Times New Roman" w:hAnsi="Arial" w:cs="Times New Roman"/>
          <w:b/>
          <w:bCs/>
          <w:szCs w:val="20"/>
          <w:lang w:eastAsia="sl-SI"/>
        </w:rPr>
      </w:pPr>
      <w:r w:rsidRPr="007944FA">
        <w:rPr>
          <w:rFonts w:ascii="Arial" w:eastAsia="Times New Roman" w:hAnsi="Arial" w:cs="Times New Roman"/>
          <w:b/>
          <w:bCs/>
          <w:szCs w:val="20"/>
          <w:lang w:eastAsia="sl-SI"/>
        </w:rPr>
        <w:t>Metan</w:t>
      </w:r>
    </w:p>
    <w:p w14:paraId="7AB200E2"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metana se po projekcijah z ukrepi in z dodatnimi ukrepi zmanjšujejo podobno. Leta 2030 so po projekciji z ukrepi nižje za 4 %, po projekciji z dodatnimi ukrepi pa za 6 % glede na leto 2022. Leta 2040 so emisije nižje za 18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22 %. K zmanjšanju emisij v obeh projekcijah daleč največ prispeva sektor odpadki. V projekciji z dodatnimi ukrepi k zmanjšanju emisij pomembno prispevata sektor ubežne emisije zaradi hitrejšega opuščanja premoga in sektor kmetijstvo, ki je daleč največji vir emisij metana. Delež kmetijstva je leta 2022 znašal 58 %, do leta 2040 pa se bo povečal na 81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82 % v projekciji z ukrepi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v projekciji z dodatnimi ukrepi, čeprav se emisije metana iz kmetijstva nekoliko zmanjšajo. Pomemben vir emisij metana je še zgorevanje lesa.</w:t>
      </w:r>
    </w:p>
    <w:p w14:paraId="19D8D098"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V skupnih emisijah leta 2022 metan </w:t>
      </w:r>
      <w:r w:rsidRPr="007944FA">
        <w:rPr>
          <w:rFonts w:ascii="Arial" w:eastAsia="Times New Roman" w:hAnsi="Arial" w:cs="Arial"/>
          <w:szCs w:val="20"/>
          <w:lang w:eastAsia="sl-SI"/>
        </w:rPr>
        <w:t xml:space="preserve">sestavlja </w:t>
      </w:r>
      <w:r w:rsidRPr="007944FA">
        <w:rPr>
          <w:rFonts w:ascii="Arial" w:eastAsia="Times New Roman" w:hAnsi="Arial" w:cs="Times New Roman"/>
          <w:szCs w:val="20"/>
          <w:lang w:eastAsia="sl-SI"/>
        </w:rPr>
        <w:t>12 %. V projekcijah z ukrepi se delež zmanjša in leta 2030 znaša 11 %, do leta 2040 pa se poveča na 14 %. V projekcijah z dodatnimi ukrepi se delež po letu 2030, ko znaša 13 %, poveča še bolj, tako da leta 2040 doseže 24 %.</w:t>
      </w:r>
    </w:p>
    <w:p w14:paraId="62DDEA5A" w14:textId="0264C5AE" w:rsidR="006257A5" w:rsidRPr="007944FA" w:rsidRDefault="00C73B27" w:rsidP="006257A5">
      <w:pPr>
        <w:jc w:val="center"/>
        <w:rPr>
          <w:rFonts w:ascii="Arial" w:hAnsi="Arial" w:cs="Arial"/>
          <w:bCs/>
        </w:rPr>
      </w:pPr>
      <w:r w:rsidRPr="007944FA">
        <w:rPr>
          <w:noProof/>
          <w:lang w:eastAsia="sl-SI"/>
        </w:rPr>
        <w:lastRenderedPageBreak/>
        <w:drawing>
          <wp:inline distT="0" distB="0" distL="0" distR="0" wp14:anchorId="4A6647E5" wp14:editId="50E0FCC6">
            <wp:extent cx="4531995" cy="287845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31995" cy="2878455"/>
                    </a:xfrm>
                    <a:prstGeom prst="rect">
                      <a:avLst/>
                    </a:prstGeom>
                    <a:noFill/>
                    <a:ln>
                      <a:noFill/>
                    </a:ln>
                  </pic:spPr>
                </pic:pic>
              </a:graphicData>
            </a:graphic>
          </wp:inline>
        </w:drawing>
      </w:r>
    </w:p>
    <w:p w14:paraId="6F93C1C5" w14:textId="54D922E7" w:rsidR="008D0609" w:rsidRPr="007944FA" w:rsidRDefault="008D0609" w:rsidP="0091142E">
      <w:pPr>
        <w:pStyle w:val="NIKASLIKE"/>
      </w:pPr>
      <w:bookmarkStart w:id="139" w:name="_Toc193193992"/>
      <w:r w:rsidRPr="007944FA">
        <w:t>Slika 1</w:t>
      </w:r>
      <w:r w:rsidR="003E320C" w:rsidRPr="007944FA">
        <w:t>9</w:t>
      </w:r>
      <w:r w:rsidRPr="007944FA">
        <w:t>: Dosedanji potek emisij CH4 brez ponorov do vključno leta 2022 in potek po projekcijah z ukrepi in z dodatnimi ukrepi do leta 2040 (vir: ARSO, IJS-CEU, KIS)</w:t>
      </w:r>
      <w:bookmarkEnd w:id="139"/>
    </w:p>
    <w:p w14:paraId="74D331BF" w14:textId="77777777" w:rsidR="008D0609" w:rsidRPr="007944FA" w:rsidRDefault="008D0609" w:rsidP="008D0609">
      <w:pPr>
        <w:spacing w:after="120" w:line="245" w:lineRule="auto"/>
        <w:jc w:val="both"/>
        <w:rPr>
          <w:rFonts w:ascii="Arial" w:eastAsia="Times New Roman" w:hAnsi="Arial" w:cs="Times New Roman"/>
          <w:b/>
          <w:bCs/>
          <w:szCs w:val="20"/>
          <w:lang w:eastAsia="sl-SI"/>
        </w:rPr>
      </w:pPr>
      <w:r w:rsidRPr="007944FA">
        <w:rPr>
          <w:rFonts w:ascii="Arial" w:eastAsia="Times New Roman" w:hAnsi="Arial" w:cs="Times New Roman"/>
          <w:b/>
          <w:bCs/>
          <w:szCs w:val="20"/>
          <w:lang w:eastAsia="sl-SI"/>
        </w:rPr>
        <w:t>Didušikov oksid</w:t>
      </w:r>
    </w:p>
    <w:p w14:paraId="65285210" w14:textId="7AD23A2C"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N</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O so edine, pri katerih zmanjšanje ni izrazito. Emisije so po projekciji z ukrepi leta 2030 nižje za 2 % in leta 2040 za 3 % glede na leto 2022, po projekciji z dodatnimi ukrepi so leta 2030 nižje za 5 % in leta 2040 za 11 %. Glavni vir emisij je s približno 70 % kmetijstvo. Delež se v letu 2030 v projekciji z ukrepi zmanjša na 65 % in v projekciji z dodatnimi ukrep</w:t>
      </w:r>
      <w:r w:rsidR="005F5ED8" w:rsidRPr="007944FA">
        <w:rPr>
          <w:rFonts w:ascii="Arial" w:eastAsia="Times New Roman" w:hAnsi="Arial" w:cs="Times New Roman"/>
          <w:szCs w:val="20"/>
          <w:lang w:eastAsia="sl-SI"/>
        </w:rPr>
        <w:t>i</w:t>
      </w:r>
      <w:r w:rsidRPr="007944FA">
        <w:rPr>
          <w:rFonts w:ascii="Arial" w:eastAsia="Times New Roman" w:hAnsi="Arial" w:cs="Times New Roman"/>
          <w:szCs w:val="20"/>
          <w:lang w:eastAsia="sl-SI"/>
        </w:rPr>
        <w:t xml:space="preserve"> na 67 %, po tem se v letu 2040 v obeh projekcijah znova poveča na 70 %. Sledijo emisije iz prometa z 8 % leta 2022. Te emisije se najbolj zmanjšajo, zlasti zaradi elektrifikacije voznega parka. Delež se v projekciji z ukrepi giblje med 9 % leta 2030 in 7 % leta 2040, v projekciji z dodatnimi ukrepi pa se zmanjša na 7 % že leta 2030 in nato na 4 % do leta 2040. Sektor odpadki k emisijam prispeva leta 2022 6-odstotni delež, ki ostaja enak po obeh projekcijah. Delež široke rabe se v obeh projekcijah s sedanjih 7 % v letu 2022 zmanjša na 5 % v letu 2030 in 4 % v letu 2040. Delež sektorja industrija pa se poveča s sedanjih 2 % do leta 2040 v scenariju z ukrepi na 3 % in v scenariju z dodatnimi ukrepi na 4 %.</w:t>
      </w:r>
    </w:p>
    <w:p w14:paraId="56E11C62"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Didušikov oksid k skupnim emisijam leta 2022 prispeva 5 %. Do leta 2030 se delež po projekciji z ukrepi zmanjša na 4 % in do leta 2040 poveča na 6 %, po projekciji z dodatnimi ukrepi pa se delež leta 2030 ohrani (5 %), do leta 2040 pa poveča na 11 %.</w:t>
      </w:r>
    </w:p>
    <w:p w14:paraId="0ECB942F" w14:textId="486B58CC" w:rsidR="008D0609" w:rsidRPr="007944FA" w:rsidRDefault="005A481F" w:rsidP="006257A5">
      <w:pPr>
        <w:jc w:val="center"/>
        <w:rPr>
          <w:rFonts w:ascii="Arial" w:hAnsi="Arial" w:cs="Arial"/>
          <w:b/>
          <w:i/>
          <w:iCs/>
          <w:sz w:val="18"/>
          <w:szCs w:val="18"/>
        </w:rPr>
      </w:pPr>
      <w:r w:rsidRPr="007944FA">
        <w:rPr>
          <w:noProof/>
          <w:lang w:eastAsia="sl-SI"/>
        </w:rPr>
        <w:lastRenderedPageBreak/>
        <w:drawing>
          <wp:inline distT="0" distB="0" distL="0" distR="0" wp14:anchorId="2528E23B" wp14:editId="2C7BAA88">
            <wp:extent cx="4540250" cy="27432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540250" cy="2743200"/>
                    </a:xfrm>
                    <a:prstGeom prst="rect">
                      <a:avLst/>
                    </a:prstGeom>
                    <a:noFill/>
                    <a:ln>
                      <a:noFill/>
                    </a:ln>
                  </pic:spPr>
                </pic:pic>
              </a:graphicData>
            </a:graphic>
          </wp:inline>
        </w:drawing>
      </w:r>
    </w:p>
    <w:p w14:paraId="47773BC2" w14:textId="03686A17" w:rsidR="008D0609" w:rsidRPr="007944FA" w:rsidRDefault="008D0609" w:rsidP="0091142E">
      <w:pPr>
        <w:pStyle w:val="NIKASLIKE"/>
      </w:pPr>
      <w:bookmarkStart w:id="140" w:name="_Toc193193993"/>
      <w:r w:rsidRPr="007944FA">
        <w:t xml:space="preserve">Slika </w:t>
      </w:r>
      <w:r w:rsidR="003E320C" w:rsidRPr="007944FA">
        <w:t>20</w:t>
      </w:r>
      <w:r w:rsidRPr="007944FA">
        <w:t>: Dosedanji potek emisij N2O brez ponorov do vključno leta 2022 in potek po projekcijah z ukrepi in z dodatnimi ukrepi do leta 2040 (vir: ARSO, IJS-CEU, KIS)</w:t>
      </w:r>
      <w:bookmarkEnd w:id="140"/>
    </w:p>
    <w:p w14:paraId="411CB427" w14:textId="77777777" w:rsidR="008D0609" w:rsidRPr="007944FA" w:rsidRDefault="008D0609" w:rsidP="008D0609">
      <w:pPr>
        <w:spacing w:after="120" w:line="245" w:lineRule="auto"/>
        <w:jc w:val="both"/>
        <w:rPr>
          <w:rFonts w:ascii="Arial" w:eastAsia="Times New Roman" w:hAnsi="Arial" w:cs="Times New Roman"/>
          <w:b/>
          <w:bCs/>
          <w:szCs w:val="20"/>
          <w:lang w:eastAsia="sl-SI"/>
        </w:rPr>
      </w:pPr>
      <w:r w:rsidRPr="007944FA">
        <w:rPr>
          <w:rFonts w:ascii="Arial" w:eastAsia="Times New Roman" w:hAnsi="Arial" w:cs="Times New Roman"/>
          <w:b/>
          <w:bCs/>
          <w:szCs w:val="20"/>
          <w:lang w:eastAsia="sl-SI"/>
        </w:rPr>
        <w:t>F-plini</w:t>
      </w:r>
    </w:p>
    <w:p w14:paraId="053801EE" w14:textId="7541C6C8"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F-plinov se po projekcijah do leta 2040 občutno znižajo. Projekciji z ukrepi in z dodatnimi ukrepi sta do leta 2040 enaki, saj so vsi ukrepi, ki so upoštevani, že sprejeti (ukrepi, ki izhajajo iz EU uredbe, ki zajema izdelke in naprave, ki vsebujejo F-pline, ter iz direktive, ki ureja področje klimatskih naprav v avtomobilih). Leta 2030 emisije F-plinov znašajo 158 kt</w:t>
      </w:r>
      <w:r w:rsidR="005F5ED8"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kar je za 48 % manj kot leta 2022, leta 2040 pa so nižje za 70 %. </w:t>
      </w:r>
    </w:p>
    <w:p w14:paraId="50AEBF0F"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Največji del emisij odpade na HFC. Leta 2022 je njihov delež znašal 93 %, do leta 2030 se zmanjša na 90 %, do leta 2040 pa na 75 %. PFC leta 2022 </w:t>
      </w:r>
      <w:r w:rsidRPr="007944FA">
        <w:rPr>
          <w:rFonts w:ascii="Arial" w:eastAsia="Times New Roman" w:hAnsi="Arial" w:cs="Arial"/>
          <w:szCs w:val="20"/>
          <w:lang w:eastAsia="sl-SI"/>
        </w:rPr>
        <w:t xml:space="preserve">sestavljajo </w:t>
      </w:r>
      <w:r w:rsidRPr="007944FA">
        <w:rPr>
          <w:rFonts w:ascii="Arial" w:eastAsia="Times New Roman" w:hAnsi="Arial" w:cs="Times New Roman"/>
          <w:szCs w:val="20"/>
          <w:lang w:eastAsia="sl-SI"/>
        </w:rPr>
        <w:t>1 % emisij F-plinov, od ustavitve proizvodnje primarnega aluminija leta 2023 teh emisij ni več. SF</w:t>
      </w:r>
      <w:r w:rsidRPr="007944FA">
        <w:rPr>
          <w:rFonts w:ascii="Arial" w:eastAsia="Times New Roman" w:hAnsi="Arial" w:cs="Times New Roman"/>
          <w:szCs w:val="20"/>
          <w:vertAlign w:val="subscript"/>
          <w:lang w:eastAsia="sl-SI"/>
        </w:rPr>
        <w:t>6</w:t>
      </w:r>
      <w:r w:rsidRPr="007944FA">
        <w:rPr>
          <w:rFonts w:ascii="Arial" w:eastAsia="Times New Roman" w:hAnsi="Arial" w:cs="Times New Roman"/>
          <w:szCs w:val="20"/>
          <w:lang w:eastAsia="sl-SI"/>
        </w:rPr>
        <w:t xml:space="preserve"> je leta 2022 </w:t>
      </w:r>
      <w:r w:rsidRPr="007944FA">
        <w:rPr>
          <w:rFonts w:ascii="Arial" w:eastAsia="Times New Roman" w:hAnsi="Arial" w:cs="Arial"/>
          <w:szCs w:val="20"/>
          <w:lang w:eastAsia="sl-SI"/>
        </w:rPr>
        <w:t xml:space="preserve">sestavljal </w:t>
      </w:r>
      <w:r w:rsidRPr="007944FA">
        <w:rPr>
          <w:rFonts w:ascii="Arial" w:eastAsia="Times New Roman" w:hAnsi="Arial" w:cs="Times New Roman"/>
          <w:szCs w:val="20"/>
          <w:lang w:eastAsia="sl-SI"/>
        </w:rPr>
        <w:t xml:space="preserve">6 %, leta 2030 se delež poveča na 10 % in leta 2040 na 25 %, ker je to edini F-plin, katerega emisije se povečujejo. </w:t>
      </w:r>
    </w:p>
    <w:p w14:paraId="5AE473BF"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F-plini leta 2022 </w:t>
      </w:r>
      <w:r w:rsidRPr="007944FA">
        <w:rPr>
          <w:rFonts w:ascii="Arial" w:eastAsia="Times New Roman" w:hAnsi="Arial" w:cs="Arial"/>
          <w:szCs w:val="20"/>
          <w:lang w:eastAsia="sl-SI"/>
        </w:rPr>
        <w:t xml:space="preserve">sestavljajo </w:t>
      </w:r>
      <w:r w:rsidRPr="007944FA">
        <w:rPr>
          <w:rFonts w:ascii="Arial" w:eastAsia="Times New Roman" w:hAnsi="Arial" w:cs="Times New Roman"/>
          <w:szCs w:val="20"/>
          <w:lang w:eastAsia="sl-SI"/>
        </w:rPr>
        <w:t>2 % skupnih emisij TGP, do leta 2030 se delež zmanjša na 1 % v obeh projekcijah, leta 2040 pa na 0,4 % v projekciji z ukrepi ter na 0,8 % v projekciji z dodatnimi ukrepi.</w:t>
      </w:r>
    </w:p>
    <w:p w14:paraId="5FB72709" w14:textId="2FC6CF2D" w:rsidR="008D0609" w:rsidRPr="007944FA" w:rsidRDefault="008D0609" w:rsidP="006257A5">
      <w:pPr>
        <w:jc w:val="center"/>
        <w:rPr>
          <w:rFonts w:ascii="Arial" w:hAnsi="Arial" w:cs="Arial"/>
          <w:b/>
          <w:i/>
          <w:iCs/>
          <w:sz w:val="18"/>
          <w:szCs w:val="18"/>
        </w:rPr>
      </w:pPr>
      <w:r w:rsidRPr="007944FA">
        <w:rPr>
          <w:noProof/>
          <w:lang w:eastAsia="sl-SI"/>
        </w:rPr>
        <w:drawing>
          <wp:inline distT="0" distB="0" distL="0" distR="0" wp14:anchorId="7906AB44" wp14:editId="0FE53935">
            <wp:extent cx="4572000" cy="26955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72000" cy="2695575"/>
                    </a:xfrm>
                    <a:prstGeom prst="rect">
                      <a:avLst/>
                    </a:prstGeom>
                    <a:noFill/>
                    <a:ln>
                      <a:noFill/>
                    </a:ln>
                  </pic:spPr>
                </pic:pic>
              </a:graphicData>
            </a:graphic>
          </wp:inline>
        </w:drawing>
      </w:r>
    </w:p>
    <w:p w14:paraId="21BA675C" w14:textId="2DAE9499" w:rsidR="0042650C" w:rsidRPr="007944FA" w:rsidRDefault="008D0609" w:rsidP="0091142E">
      <w:pPr>
        <w:pStyle w:val="NIKASLIKE"/>
      </w:pPr>
      <w:bookmarkStart w:id="141" w:name="_Toc125375639"/>
      <w:bookmarkStart w:id="142" w:name="_Toc192062525"/>
      <w:bookmarkStart w:id="143" w:name="_Toc193193994"/>
      <w:r w:rsidRPr="007944FA">
        <w:lastRenderedPageBreak/>
        <w:t>Slika 2</w:t>
      </w:r>
      <w:r w:rsidR="003E320C" w:rsidRPr="007944FA">
        <w:t>1</w:t>
      </w:r>
      <w:r w:rsidRPr="007944FA">
        <w:t>: Dosedanji potek emisij F-plinov do vključno leta 2022 in potek po projekcijah do leta 2040 (vir:ARSO, IJS-CEU)</w:t>
      </w:r>
      <w:bookmarkEnd w:id="141"/>
      <w:bookmarkEnd w:id="142"/>
      <w:bookmarkEnd w:id="143"/>
    </w:p>
    <w:p w14:paraId="37AF8929" w14:textId="26AFB031" w:rsidR="0042650C" w:rsidRPr="007944FA" w:rsidRDefault="0042650C" w:rsidP="006E07EE">
      <w:pPr>
        <w:pStyle w:val="Heading3"/>
      </w:pPr>
      <w:bookmarkStart w:id="144" w:name="_Toc196300828"/>
      <w:r w:rsidRPr="007944FA">
        <w:t>II.F.4 Emisije po sektorjih</w:t>
      </w:r>
      <w:bookmarkEnd w:id="144"/>
    </w:p>
    <w:p w14:paraId="3191805E" w14:textId="77777777" w:rsidR="008D0609" w:rsidRPr="007944FA" w:rsidRDefault="008D0609" w:rsidP="008D0609">
      <w:pPr>
        <w:spacing w:after="120" w:line="245" w:lineRule="auto"/>
        <w:jc w:val="both"/>
        <w:rPr>
          <w:rFonts w:ascii="Arial" w:eastAsia="Times New Roman" w:hAnsi="Arial" w:cs="Times New Roman"/>
          <w:b/>
          <w:bCs/>
          <w:szCs w:val="20"/>
          <w:lang w:eastAsia="sl-SI"/>
        </w:rPr>
      </w:pPr>
      <w:r w:rsidRPr="007944FA">
        <w:rPr>
          <w:rFonts w:ascii="Arial" w:eastAsia="Times New Roman" w:hAnsi="Arial" w:cs="Times New Roman"/>
          <w:b/>
          <w:bCs/>
          <w:szCs w:val="20"/>
          <w:lang w:eastAsia="sl-SI"/>
        </w:rPr>
        <w:t>Transformacije in ubežne emisije</w:t>
      </w:r>
    </w:p>
    <w:p w14:paraId="35F65A69"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Transformacije (1.A.1) zajemajo v glavnem emisije iz proizvodnje električne energije in toplote, kjer daleč največ emisij izvira iz premogovnih termoelektrarn. Emisije prispevajo tudi plinske enote in proizvodnja daljinske toplote v sistemih daljinskega ogrevanja. Gibanje emisij bosta v prihodnje najbolj zaznamovala zmanjševanje proizvodnje električne energije v premogovnih enotah in zamenjava s plinskimi enotami (delno tudi z manjšimi SPTE), v katerih zemeljski plin postopno zamenjujejo nizkoogljični viri (NO viri): sintetični plin, vodik, OVE. V daljinskih sistemih se prav tako povečuje delež OVE. Predvideva se, da so sintetični plin in gorljivi OVE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nevtralni.</w:t>
      </w:r>
    </w:p>
    <w:p w14:paraId="46F733D4"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V ubežnih emisijah (1.B) so zajete emisije, ki nastajajo pri distribuciji plina in tekočih goriv, pri izkopu premoga ter pri razžveplanju dimnih plinov. Z zmanjšanjem potreb po premogu se zmanjšajo tudi ubežne emisije iz pridobivanja premoga in razžveplanja.</w:t>
      </w:r>
    </w:p>
    <w:p w14:paraId="148C2303" w14:textId="33C13E2F"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se po letu 2014 emisije niso več dvignile na raven nad 5400 kt</w:t>
      </w:r>
      <w:r w:rsidR="00BA0207"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xml:space="preserve">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kar je posledica zaprtja nekaterih premogovnih enot in izgradnje nove, učinkovitejše premogovne enote. Premog za proizvodnjo električne energije se opušča do leta 2033 v obeh scenarijih, zamenjava energenta in dodatne potrebe po električni energiji se zadovoljujejo ne samo z OVE in drugimi nizkoogljičnimi viri, ampak v glavnem z novimi plinskimi enotami. Zato so emisije iz transformacij in ubežnih emisij v scenariju z ukrepi leta 2030, ko premogova elektrarna še obratuje, nekoliko višje kot leta 2022, in sicer za 15 %, leta 2040 pa so za 67 % nižje. Večje zmanjšanje je doseženo v projekciji z dodatnimi ukrepi, saj je opuščanje premoga nekoliko hitrejše, dodatne potrebe po električni energiji pa se večinoma zadovoljujejo z obnovljivimi viri energije, zlasti s sončnimi elektrarnami. Ker vseh potreb ni mogoče zadovoljiti z OVE, kar zlasti velja pozimi, so potrebne dodatne enote na plin, ki pa zemeljski plin zamenjujejo s sintetičnim, ali nova jedrska elektrarna. To še bolj vpliva na emisije TGP, tako da so leta 2030 za 3 % višje tudi v projekciji z dodatnimi ukrepi, leta 2040 pa za 82 % nižje glede na leto 2022. Proizvodnja električne energije se bo po obeh projekcijah povečala, glede na trenutno proizvodnjo, in sicer po projekciji z ukrepi za 2 %, po projekciji z dodatnimi ukrepi pa za 57 %</w:t>
      </w:r>
      <w:r w:rsidRPr="007944FA">
        <w:rPr>
          <w:rFonts w:ascii="Arial" w:eastAsia="Times New Roman" w:hAnsi="Arial" w:cs="Times New Roman"/>
          <w:szCs w:val="20"/>
          <w:vertAlign w:val="superscript"/>
          <w:lang w:eastAsia="sl-SI"/>
        </w:rPr>
        <w:footnoteReference w:id="92"/>
      </w:r>
      <w:r w:rsidRPr="007944FA">
        <w:rPr>
          <w:rFonts w:ascii="Arial" w:eastAsia="Times New Roman" w:hAnsi="Arial" w:cs="Times New Roman"/>
          <w:szCs w:val="20"/>
          <w:lang w:eastAsia="sl-SI"/>
        </w:rPr>
        <w:t xml:space="preserve"> glede na leto 2022.</w:t>
      </w:r>
    </w:p>
    <w:p w14:paraId="5F27D925"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Večji del emisij sektorja je vključen v sistem trgovanja s pravicami do emisije toplogrednih plinov. Leta 2022 je delež znašal 88 %. Leta 2030 je po obeh projekcijah ta delež 89 %, leta 2040 pa 85 % po projekciji z ukrepi oziroma 82 % po projekciji z dodatnimi ukrepi.</w:t>
      </w:r>
    </w:p>
    <w:p w14:paraId="16C23CFB"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V skupnih emisijah leta 2022 delež tega sektorja znaša 22 %. Po obeh projekcijah se delež do leta 2030 poveča, po projekciji z ukrepi na 24 %, z dodatnimi ukrepi pa na 26 %, do leta 2040 pa znatno zmanjša, po projekciji z ukrepi na 10 %, z dodatnimi ukrepi pa na 11 %.</w:t>
      </w:r>
    </w:p>
    <w:p w14:paraId="58B80549" w14:textId="088656C7" w:rsidR="008D0609" w:rsidRPr="007944FA" w:rsidRDefault="005A481F" w:rsidP="008D0609">
      <w:pPr>
        <w:jc w:val="center"/>
      </w:pPr>
      <w:r w:rsidRPr="007944FA">
        <w:rPr>
          <w:noProof/>
          <w:lang w:eastAsia="sl-SI"/>
        </w:rPr>
        <w:lastRenderedPageBreak/>
        <w:drawing>
          <wp:inline distT="0" distB="0" distL="0" distR="0" wp14:anchorId="1F248564" wp14:editId="0B357926">
            <wp:extent cx="5278755" cy="26974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8755" cy="2697480"/>
                    </a:xfrm>
                    <a:prstGeom prst="rect">
                      <a:avLst/>
                    </a:prstGeom>
                    <a:noFill/>
                    <a:ln>
                      <a:noFill/>
                    </a:ln>
                  </pic:spPr>
                </pic:pic>
              </a:graphicData>
            </a:graphic>
          </wp:inline>
        </w:drawing>
      </w:r>
    </w:p>
    <w:p w14:paraId="2275D34B" w14:textId="70958717" w:rsidR="008D0609" w:rsidRPr="007944FA" w:rsidRDefault="008D0609" w:rsidP="0091142E">
      <w:pPr>
        <w:pStyle w:val="NIKASLIKE"/>
      </w:pPr>
      <w:bookmarkStart w:id="145" w:name="_Toc193193995"/>
      <w:r w:rsidRPr="007944FA">
        <w:t>Slika 2</w:t>
      </w:r>
      <w:r w:rsidR="003E320C" w:rsidRPr="007944FA">
        <w:t>2</w:t>
      </w:r>
      <w:r w:rsidRPr="007944FA">
        <w:t>: Emisije TGP sektorja transformacije in ubežne emisije – potek emisij do leta 2022 ter projekcije z ukrepi in z dodatnimi ukrepi do leta 2040 (levo) in razdelitev emisij na EU ETS ter neETS (desno) (vir: ARSO in IJS-CEU)</w:t>
      </w:r>
      <w:bookmarkEnd w:id="145"/>
    </w:p>
    <w:p w14:paraId="675C9246" w14:textId="77777777" w:rsidR="008D0609" w:rsidRPr="007944FA" w:rsidRDefault="008D0609" w:rsidP="008D0609">
      <w:pPr>
        <w:spacing w:after="120" w:line="245" w:lineRule="auto"/>
        <w:jc w:val="both"/>
        <w:rPr>
          <w:rFonts w:ascii="Arial" w:eastAsia="Times New Roman" w:hAnsi="Arial" w:cs="Times New Roman"/>
          <w:b/>
          <w:bCs/>
          <w:szCs w:val="20"/>
          <w:lang w:eastAsia="sl-SI"/>
        </w:rPr>
      </w:pPr>
      <w:r w:rsidRPr="007944FA">
        <w:rPr>
          <w:rFonts w:ascii="Arial" w:eastAsia="Times New Roman" w:hAnsi="Arial" w:cs="Times New Roman"/>
          <w:b/>
          <w:bCs/>
          <w:szCs w:val="20"/>
          <w:lang w:eastAsia="sl-SI"/>
        </w:rPr>
        <w:t>Industrija in gradbeništvo</w:t>
      </w:r>
    </w:p>
    <w:p w14:paraId="656482AF"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iz zgorevanja goriv v industriji in gradbeništvu (1.A.2) se bodo po projekciji z ukrepi do leta 2040 povečale, vendar ne bodo presegle vrednosti iz leta 2010, čeprav se bo dodana vrednost močno povečala. Obvladovanje rasti emisij (to je manjše povečanje emisij) bo doseženo z ukrepi učinkovite rabe energije, ki vplivajo na to, da je rast rabe energije znatno nižja od rasti dodatne vrednosti, in s spremembo strukture goriv – povečanjem deleža OVE in drugih podnebno nevtralnih goriv (vodika, sintetičnega plina). Raba energije je po projekciji z ukrepi leta 2040 višja za 30 % glede na leto 2022. Emisije so po projekciji z ukrepi leta 2030 višje za 16 %, leta 2040 pa za 24 % glede na leto 2022. Po projekciji z dodatnimi ukrepi je predvideno še intenzivnejše izvajanje ukrepov, kar vpliva na minimalno rast rabe energije (leta 2040 je le za 16 % višja kot leta 2022), poleg tega pa je delež OVE, električne energije in nizkoogljičnih plinov še znatno višji kot v projekciji z ukrepi, kar se odraža v izrazitejšem zmanjšanju emisij. Emisije so leta 2030 nižje za 17 %, leta 2040 pa za 54 % glede na leto 2022.</w:t>
      </w:r>
    </w:p>
    <w:p w14:paraId="6C59A68F" w14:textId="437068A5" w:rsidR="008D0609" w:rsidRPr="007944FA" w:rsidRDefault="005A481F" w:rsidP="008D0609">
      <w:pPr>
        <w:jc w:val="center"/>
        <w:rPr>
          <w:rFonts w:ascii="Arial" w:hAnsi="Arial" w:cs="Arial"/>
          <w:b/>
          <w:bCs/>
          <w:i/>
          <w:iCs/>
          <w:sz w:val="18"/>
          <w:szCs w:val="18"/>
        </w:rPr>
      </w:pPr>
      <w:r w:rsidRPr="007944FA">
        <w:rPr>
          <w:noProof/>
          <w:lang w:eastAsia="sl-SI"/>
        </w:rPr>
        <w:drawing>
          <wp:inline distT="0" distB="0" distL="0" distR="0" wp14:anchorId="2FF47FA1" wp14:editId="26B08F88">
            <wp:extent cx="5278755" cy="273240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8755" cy="2732405"/>
                    </a:xfrm>
                    <a:prstGeom prst="rect">
                      <a:avLst/>
                    </a:prstGeom>
                    <a:noFill/>
                    <a:ln>
                      <a:noFill/>
                    </a:ln>
                  </pic:spPr>
                </pic:pic>
              </a:graphicData>
            </a:graphic>
          </wp:inline>
        </w:drawing>
      </w:r>
    </w:p>
    <w:p w14:paraId="71B24B42" w14:textId="6170676B" w:rsidR="008D0609" w:rsidRPr="007944FA" w:rsidRDefault="008D0609" w:rsidP="0091142E">
      <w:pPr>
        <w:pStyle w:val="NIKASLIKE"/>
      </w:pPr>
      <w:bookmarkStart w:id="146" w:name="_Toc193193996"/>
      <w:r w:rsidRPr="007944FA">
        <w:lastRenderedPageBreak/>
        <w:t>Slika 2</w:t>
      </w:r>
      <w:r w:rsidR="003E320C" w:rsidRPr="007944FA">
        <w:t>3</w:t>
      </w:r>
      <w:r w:rsidRPr="007944FA">
        <w:t>: Emisije TGP iz zgorevanja goriv v industriji in gradbeništvu – potek emisij v letih 1986–2022 ter projekcije z ukrepi in z dodatnimi ukrepi do leta 2040 (levo) in razdelitev emisij na EU ETS in neETS (desno) (vir: ARSO in IJS-CEU)</w:t>
      </w:r>
      <w:bookmarkEnd w:id="146"/>
    </w:p>
    <w:p w14:paraId="33C80485"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V industriji prav tako kot v transformacijah prevladujejo emisije EU ETS, vendar manj izrazito. Emisije EU ETS leta 2005 sestavljajo 57 %, leta 2022 pa 59 %. V projekciji z ukrepi je delež enak tudi leta 2040, po projekciji z dodatnimi ukrepi pa se do leta 2030 poveča na 63 %, potem pa do leta 2040 zmanjša na 47 %.</w:t>
      </w:r>
    </w:p>
    <w:p w14:paraId="1B62430D"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K skupnim emisijam zgorevanje goriv v industriji in gradbeništvu leta 2022 prispeva 10 %. Leta 2030 se delež ohranja na 11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10 %, leta 2040 pa se poveča na 18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13 % po projekciji z ukrepi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z dodatnimi ukrepi. </w:t>
      </w:r>
    </w:p>
    <w:p w14:paraId="23B3104F" w14:textId="77777777" w:rsidR="008D0609" w:rsidRPr="007944FA" w:rsidRDefault="008D0609" w:rsidP="008D0609">
      <w:pPr>
        <w:spacing w:after="120" w:line="245" w:lineRule="auto"/>
        <w:jc w:val="both"/>
        <w:rPr>
          <w:rFonts w:ascii="Arial" w:eastAsia="Times New Roman" w:hAnsi="Arial" w:cs="Arial"/>
          <w:b/>
          <w:bCs/>
          <w:szCs w:val="20"/>
          <w:lang w:eastAsia="sl-SI"/>
        </w:rPr>
      </w:pPr>
      <w:r w:rsidRPr="007944FA">
        <w:rPr>
          <w:rFonts w:ascii="Arial" w:eastAsia="Times New Roman" w:hAnsi="Arial" w:cs="Arial"/>
          <w:b/>
          <w:bCs/>
          <w:szCs w:val="20"/>
          <w:lang w:eastAsia="sl-SI"/>
        </w:rPr>
        <w:t>Promet</w:t>
      </w:r>
    </w:p>
    <w:p w14:paraId="27855E39"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Promet je največji vir emisij v Sloveniji od leta 2014, ko je prevzel dolgoletni primat emisijam iz transformacij. Promet je sektor, v katerem so bile v preteklosti ugotovljene tudi več kot 10-odstotne letne rasti. V prihodnje se pričakujejo manj intenzivne rasti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znatno zmanjšanje emisij, vendar so projekcije za ta sektor najbolj negotove, zlasti zaradi vpliva nakupa goriv tujih vozil. </w:t>
      </w:r>
    </w:p>
    <w:p w14:paraId="427C7B09"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Arial"/>
          <w:szCs w:val="20"/>
          <w:lang w:eastAsia="sl-SI"/>
        </w:rPr>
        <w:t>Do leta 2040 se pričakuje nadaljnja rast prometa po slovenskih cestah. V projekciji z ukrepi se potniški promet domačih vozil poveča za 26 % v obdobju 2019–2040, tovorni promet domačih vozil pa za 74 %, medtem ko se v projekcijah z dodatnimi ukrepi potniški promet poveča za 5 %, tovorni pa za 63 %. Slovenija ni močno izpostavljena samo prometu domačih vozil, ampak tudi tujih. V potniškem prometu so rasti nižje kot za domača vozila, v tovornem prometu pa je rast s 77 in 71 % rahlo višja od rasti prometa domačih vozil. Z izgradnjo železniške infrastrukture se bo</w:t>
      </w:r>
      <w:r w:rsidRPr="007944FA">
        <w:rPr>
          <w:rFonts w:ascii="Arial" w:eastAsia="Times New Roman" w:hAnsi="Arial" w:cs="Times New Roman"/>
          <w:szCs w:val="20"/>
          <w:lang w:eastAsia="sl-SI"/>
        </w:rPr>
        <w:t xml:space="preserve"> tovorni promet po železnicah povečal, kar bo sicer zadoščalo za ohranitev deleža železniškega prometa. Spodbujanje javnega potniškega prometa skupaj z izgradnjo železniške infrastrukture, zlasti intenzivno v projekciji z dodatnimi ukrepi, vpliva na povečanje deleža železnic v potniškem prometu v scenariju z dodatnimi ukrepi na 5 %, pri avtobusnem prometu pa na povečanje za 15 % do leta 2040. Raba energije zaradi izdatnega izboljšanja učinkovitosti vozil, sprememb v strukturi voznega parka, predvsem v smeri elektrifikacije, delno pa tudi zaradi spremembe obnašanja in načina prevoza, naraste za mnogo manj kot prometno delo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se celo zmanjša. V projekciji z ukrepi je raba energije leta 2040 za 4 % nižja, v projekciji z dodatnimi ukrepi pa je za 43 % nižja kot leta 2022. K nižjim emisijam prispeva tudi uporaba biogoriv, delež katerih je leta 2019 znašal 5,0 %. V projekciji z ukrepi se delež biogoriv poveča na 5,5 % do leta 2030 in na 6,5 % do leta 2040, v projekciji z dodatnimi ukrepi pa se do leta 2030 poveča na 11 %. </w:t>
      </w:r>
    </w:p>
    <w:p w14:paraId="3C88E94D" w14:textId="06AC23FA"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Izvajanje navedenih ukrepov ohrani emisije iz prometa v projekciji z ukrepi leta 2030 malo nad najvišjimi emisijami leta 2008. Leta 2008 so emisije znašale 6159 kt</w:t>
      </w:r>
      <w:r w:rsidR="00BA0207"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v projekciji z ukrepi pa so najvišje emisije dosežene leta 2030 s 6191 kt</w:t>
      </w:r>
      <w:r w:rsidR="00BA0207"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kar je za 7 % več kot leta 2022. Do leta 2040 se emisije znižajo na 4507 kt</w:t>
      </w:r>
      <w:r w:rsidR="00BA0207"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za 27 % manj kot leta 2022. V projekciji z dodatnimi ukrepi se emisije od leta 2025 naprej znižujejo hitro in so leta 2030 za 25 %, leta 2040 pa za 71 % nižje kot leta 2022. Vse emisije iz prometa so vključene v neETS. Z letom 2027 bo promet vključen v ETS 2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ETS BRT, ki bo ločen od ETS 1, princip delovanja pa bo podoben, le da bodo pravice do emisij kupovala podjetja, ki prodajajo gorivo končnim uporabnikom. Cena pravic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kuponov se bo prelila v ceno fosilnih energentov.</w:t>
      </w:r>
    </w:p>
    <w:p w14:paraId="6B6B116D" w14:textId="77777777" w:rsidR="008D0609" w:rsidRPr="007944FA" w:rsidRDefault="008D0609" w:rsidP="008D0609">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V skupnih emisijah promet leta 2022 </w:t>
      </w:r>
      <w:r w:rsidRPr="007944FA">
        <w:rPr>
          <w:rFonts w:ascii="Arial" w:eastAsia="Times New Roman" w:hAnsi="Arial" w:cs="Arial"/>
          <w:szCs w:val="20"/>
          <w:lang w:eastAsia="sl-SI"/>
        </w:rPr>
        <w:t xml:space="preserve">sestavlja </w:t>
      </w:r>
      <w:r w:rsidRPr="007944FA">
        <w:rPr>
          <w:rFonts w:ascii="Arial" w:eastAsia="Times New Roman" w:hAnsi="Arial" w:cs="Times New Roman"/>
          <w:szCs w:val="20"/>
          <w:lang w:eastAsia="sl-SI"/>
        </w:rPr>
        <w:t xml:space="preserve">37 %. Leta 2030 po projekcijah z ukrepi </w:t>
      </w:r>
      <w:r w:rsidRPr="007944FA">
        <w:rPr>
          <w:rFonts w:ascii="Arial" w:eastAsia="Times New Roman" w:hAnsi="Arial" w:cs="Arial"/>
          <w:szCs w:val="20"/>
          <w:lang w:eastAsia="sl-SI"/>
        </w:rPr>
        <w:t xml:space="preserve">sestavlja </w:t>
      </w:r>
      <w:r w:rsidRPr="007944FA">
        <w:rPr>
          <w:rFonts w:ascii="Arial" w:eastAsia="Times New Roman" w:hAnsi="Arial" w:cs="Times New Roman"/>
          <w:szCs w:val="20"/>
          <w:lang w:eastAsia="sl-SI"/>
        </w:rPr>
        <w:t>38 %, z dodatnimi ukrepi pa 33 %, leta 2040 pa po projekciji z ukrepi 40 %, po projekciji z dodatnimi ukrepi pa 29 %.</w:t>
      </w:r>
    </w:p>
    <w:p w14:paraId="7D4AD1C2" w14:textId="107123B1" w:rsidR="008D0609" w:rsidRPr="007944FA" w:rsidRDefault="005A481F" w:rsidP="008D0609">
      <w:pPr>
        <w:jc w:val="center"/>
      </w:pPr>
      <w:r w:rsidRPr="007944FA">
        <w:rPr>
          <w:noProof/>
          <w:lang w:eastAsia="sl-SI"/>
        </w:rPr>
        <w:lastRenderedPageBreak/>
        <w:drawing>
          <wp:inline distT="0" distB="0" distL="0" distR="0" wp14:anchorId="2F3D1952" wp14:editId="56012F09">
            <wp:extent cx="5247640" cy="3117215"/>
            <wp:effectExtent l="0" t="0" r="0" b="698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47640" cy="3117215"/>
                    </a:xfrm>
                    <a:prstGeom prst="rect">
                      <a:avLst/>
                    </a:prstGeom>
                    <a:noFill/>
                    <a:ln>
                      <a:noFill/>
                    </a:ln>
                  </pic:spPr>
                </pic:pic>
              </a:graphicData>
            </a:graphic>
          </wp:inline>
        </w:drawing>
      </w:r>
    </w:p>
    <w:p w14:paraId="5B592A84" w14:textId="1926FB1F" w:rsidR="008D0609" w:rsidRPr="007944FA" w:rsidRDefault="008D0609" w:rsidP="0091142E">
      <w:pPr>
        <w:pStyle w:val="NIKASLIKE"/>
      </w:pPr>
      <w:bookmarkStart w:id="147" w:name="_Toc193193997"/>
      <w:r w:rsidRPr="007944FA">
        <w:t>Slika 2</w:t>
      </w:r>
      <w:r w:rsidR="003E320C" w:rsidRPr="007944FA">
        <w:t>4</w:t>
      </w:r>
      <w:r w:rsidRPr="007944FA">
        <w:t>: Emisije TGP iz prometa (levo) in za sektor široka raba (desno) v letih 1986–2022 ter po projekcijah z ukrepi in z dodatnimi ukrepi do leta 2040 (vir: ARSO in IJS-CEU)</w:t>
      </w:r>
      <w:bookmarkEnd w:id="147"/>
    </w:p>
    <w:p w14:paraId="698FE56D" w14:textId="77777777" w:rsidR="008D0609" w:rsidRPr="007944FA" w:rsidRDefault="008D0609" w:rsidP="008D0609">
      <w:pPr>
        <w:spacing w:after="120" w:line="245" w:lineRule="auto"/>
        <w:jc w:val="both"/>
        <w:rPr>
          <w:rFonts w:ascii="Arial" w:eastAsia="Times New Roman" w:hAnsi="Arial" w:cs="Arial"/>
          <w:b/>
          <w:bCs/>
          <w:szCs w:val="20"/>
          <w:lang w:eastAsia="sl-SI"/>
        </w:rPr>
      </w:pPr>
      <w:r w:rsidRPr="007944FA">
        <w:rPr>
          <w:rFonts w:ascii="Arial" w:eastAsia="Times New Roman" w:hAnsi="Arial" w:cs="Arial"/>
          <w:b/>
          <w:bCs/>
          <w:szCs w:val="20"/>
          <w:lang w:eastAsia="sl-SI"/>
        </w:rPr>
        <w:t>Široka raba</w:t>
      </w:r>
    </w:p>
    <w:p w14:paraId="50617B1C"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Emisije TGP v sektorju široka raba, ki zajema rabo energije v gospodinjstvih, storitvah in kmetijstvu, se močno zmanjšajo. Projekcija namreč predvideva zelo ambiciozno izvajanje ukrepov v teh sektorjih, in sicer visoko stopnjo energetskih obnov stanovanjskih in nestanovanjskih stavb v energetsko zelo učinkovite stavbe ter opuščanje kotlov na kurilno olje in zmanjšanje rabe zemeljskega plina, zlasti zaradi prehoda na toplotne črpalke ter na redko poseljenih območjih na kotle na lesno biomaso, pa tudi na priklope na daljinsko ogrevanje. Preostanek zemeljskega plina je v projekciji z dodatnimi ukrepi zamenjan s sintetičnim plinom. Poleg nacionalnih aktivnosti bo k temu pripomogla tudi uvedba ETS 2 leta 2027. To kljub povečanju površin stanovanjskih (za 10 % v obdobju 2022–2040) in nestanovanjskih stavb (za dobrih 40 % v obdobju 2022–2040) vpliva na zmanjšanje emisij. V kmetijstvu se dizelsko gorivo zamenjuje s sintetičnimi tekočimi gorivi, ki so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xml:space="preserve"> nevtralna, ter z biogorivi. </w:t>
      </w:r>
    </w:p>
    <w:p w14:paraId="46BCCC52" w14:textId="471D9D95"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Leta 2022 so bile emisije po evidencah za 14 % nižje kot leta 2017. Do leta 2030 se po projekciji z ukrepi znižajo na 914 kt</w:t>
      </w:r>
      <w:r w:rsidR="00BA0207"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kar je za 28 % manj emisij kot leta 2022, po projekciji z dodatnimi ukrepi pa na 823 kt</w:t>
      </w:r>
      <w:r w:rsidR="00BA0207"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kar je za 35 % manj. Do leta 2040 se emisije še dodatno znižajo, tako da so glede na leto 2022 nižje za 49 %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za 65 % po projekciji z ukrepi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z dodatnimi ukrepi.</w:t>
      </w:r>
    </w:p>
    <w:p w14:paraId="53F735E3"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V skupnih emisijah široka raba leta 2022 sestavlja 8 %, v letu 2030 pa le 6 % v obeh projekcijah. Do leta 2040 delež sektorja na tej ravni ostane v projekciji z ukrepi, medtem ko v projekciji z dodatnimi ukrepi znova doseže 8 %.</w:t>
      </w:r>
    </w:p>
    <w:p w14:paraId="4DDB25F9" w14:textId="77777777" w:rsidR="008D0609" w:rsidRPr="007944FA" w:rsidRDefault="008D0609" w:rsidP="008D0609">
      <w:pPr>
        <w:spacing w:after="120" w:line="245" w:lineRule="auto"/>
        <w:jc w:val="both"/>
        <w:rPr>
          <w:rFonts w:ascii="Arial" w:eastAsia="Times New Roman" w:hAnsi="Arial" w:cs="Arial"/>
          <w:b/>
          <w:bCs/>
          <w:szCs w:val="20"/>
          <w:lang w:eastAsia="sl-SI"/>
        </w:rPr>
      </w:pPr>
      <w:r w:rsidRPr="007944FA">
        <w:rPr>
          <w:rFonts w:ascii="Arial" w:eastAsia="Times New Roman" w:hAnsi="Arial" w:cs="Arial"/>
          <w:b/>
          <w:bCs/>
          <w:szCs w:val="20"/>
          <w:lang w:eastAsia="sl-SI"/>
        </w:rPr>
        <w:t>Industrijski procesi</w:t>
      </w:r>
    </w:p>
    <w:p w14:paraId="6B4C997F" w14:textId="7B65886E"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Po zmanjšanju emisij leta 2008 zaradi gospodarske krize in zaprtja nekaterih obratov zaradi nedoseganja zahtev okoljevarstvenih dovoljenj so se emisije do leta 2019 povečevale ter se med letoma 2020 in 2022 niso veliko spreminjale. Leta 2022 so znašale 1138,91 kt</w:t>
      </w:r>
      <w:r w:rsidR="00BA0207" w:rsidRPr="007944FA">
        <w:rPr>
          <w:rFonts w:ascii="Arial" w:eastAsia="Times New Roman" w:hAnsi="Arial" w:cs="Arial"/>
          <w:szCs w:val="20"/>
          <w:lang w:eastAsia="sl-SI"/>
        </w:rPr>
        <w:t xml:space="preserve"> 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Po projekcijah se emisije zmanjšajo. Razlika med projekcijama se pojavi leta 2040 kot posledica namestitve naprave za zajem ogljika (CCU) in kot posledica uvajanja proizvodnje cementa z nižjimi emisijami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xml:space="preserve"> v projekciji z dodatnimi ukrepi, medtem ko v projekciji z ukrepi to ni predvideno. Proizvodnja cementa je glavni vir emisij v tem sektorju. Emisije iz tega </w:t>
      </w:r>
      <w:r w:rsidRPr="007944FA">
        <w:rPr>
          <w:rFonts w:ascii="Arial" w:eastAsia="Times New Roman" w:hAnsi="Arial" w:cs="Arial"/>
          <w:szCs w:val="20"/>
          <w:lang w:eastAsia="sl-SI"/>
        </w:rPr>
        <w:lastRenderedPageBreak/>
        <w:t>procesa se v obeh projekcijah povečujejo do leta 2035. Leta 2040 se po projekciji z ukrepi še dodatno povečajo, v projekciji z dodatnimi ukrepi pa drastično zmanjšajo zaradi namestitve zajema ogljika (CCU). Drugi največji vir leta 2022 so emisije F-plinov. Te se po obeh projekcijah hitro zmanjšujejo zaradi zamenjave trenutno uporabljenih snovi s snovmi, ki imajo znatno nižji toplogredni učinek. Proizvodnja kovin je tretji največji vir emisij. V projekcijah ostajajo emisije na podobni ravni kot danes. Skupne emisije leta 2030 znašajo 1052 kt</w:t>
      </w:r>
      <w:r w:rsidR="00284A86" w:rsidRPr="007944FA">
        <w:rPr>
          <w:rFonts w:ascii="Arial" w:eastAsia="Times New Roman" w:hAnsi="Arial" w:cs="Arial"/>
          <w:szCs w:val="20"/>
          <w:lang w:eastAsia="sl-SI"/>
        </w:rPr>
        <w:t xml:space="preserve"> </w:t>
      </w:r>
      <w:r w:rsidR="00BA0207" w:rsidRPr="007944FA">
        <w:rPr>
          <w:rFonts w:ascii="Arial" w:eastAsia="Times New Roman" w:hAnsi="Arial" w:cs="Arial"/>
          <w:szCs w:val="20"/>
          <w:lang w:eastAsia="sl-SI"/>
        </w:rPr>
        <w:t>ekv.</w:t>
      </w:r>
      <w:r w:rsidRPr="007944FA">
        <w:rPr>
          <w:rFonts w:ascii="Arial" w:eastAsia="Times New Roman" w:hAnsi="Arial" w:cs="Arial"/>
          <w:szCs w:val="20"/>
          <w:lang w:eastAsia="sl-SI"/>
        </w:rPr>
        <w: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xml:space="preserve"> v projekciji z ukrepi in na podobni ravni 1059 kt CO</w:t>
      </w:r>
      <w:r w:rsidRPr="007944FA">
        <w:rPr>
          <w:rFonts w:ascii="Arial" w:eastAsia="Times New Roman" w:hAnsi="Arial" w:cs="Arial"/>
          <w:szCs w:val="20"/>
          <w:vertAlign w:val="subscript"/>
          <w:lang w:eastAsia="sl-SI"/>
        </w:rPr>
        <w:t>2</w:t>
      </w:r>
      <w:r w:rsidRPr="007944FA">
        <w:rPr>
          <w:rFonts w:ascii="Arial" w:eastAsia="Times New Roman" w:hAnsi="Arial" w:cs="Arial"/>
          <w:szCs w:val="20"/>
          <w:lang w:eastAsia="sl-SI"/>
        </w:rPr>
        <w:t> ekv v projekciji z dodatnimi ukrepi, kar je več kot za 7 % manj kot leta 2022. Leta 2040 so emisije nižje za 15 % po projekciji z ukrepi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za 58 % po projekciji z dodatnimi ukrepi glede na leto 2022.</w:t>
      </w:r>
    </w:p>
    <w:p w14:paraId="74A98762"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Večji del emisij sektorja industrijski procesi je vključen v EU ETS, leta 2022 je bil delež 57 %, leta 2030 65 % po obeh projekcijah, leta 2040 pa 72 % v projekciji z ukrepi oz</w:t>
      </w:r>
      <w:r w:rsidRPr="007944FA">
        <w:rPr>
          <w:rFonts w:ascii="Arial" w:eastAsia="Palatino Linotype" w:hAnsi="Arial" w:cs="Arial"/>
          <w:szCs w:val="20"/>
          <w:lang w:eastAsia="sl-SI"/>
        </w:rPr>
        <w:t>iroma</w:t>
      </w:r>
      <w:r w:rsidRPr="007944FA">
        <w:rPr>
          <w:rFonts w:ascii="Arial" w:eastAsia="Times New Roman" w:hAnsi="Arial" w:cs="Arial"/>
          <w:szCs w:val="20"/>
          <w:lang w:eastAsia="sl-SI"/>
        </w:rPr>
        <w:t xml:space="preserve"> 43 % v projekciji z dodatnimi ukrepi</w:t>
      </w:r>
      <w:r w:rsidRPr="007944FA">
        <w:rPr>
          <w:rFonts w:ascii="Arial" w:eastAsia="Times New Roman" w:hAnsi="Arial" w:cs="Arial"/>
          <w:szCs w:val="20"/>
          <w:shd w:val="clear" w:color="auto" w:fill="D9F2D0" w:themeFill="accent6" w:themeFillTint="33"/>
          <w:lang w:eastAsia="sl-SI"/>
        </w:rPr>
        <w:t>.</w:t>
      </w:r>
      <w:r w:rsidRPr="007944FA">
        <w:rPr>
          <w:rFonts w:ascii="Arial" w:eastAsia="Times New Roman" w:hAnsi="Arial" w:cs="Arial"/>
          <w:szCs w:val="20"/>
          <w:lang w:eastAsia="sl-SI"/>
        </w:rPr>
        <w:t xml:space="preserve"> </w:t>
      </w:r>
    </w:p>
    <w:p w14:paraId="26BBAA52" w14:textId="77777777" w:rsidR="008D0609" w:rsidRPr="007944FA" w:rsidRDefault="008D0609" w:rsidP="008D0609">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 xml:space="preserve">K skupnim emisijam sektor leta 2022 prispeva 7 %. Delež se ne spremeni bistveno, v projekciji z ukrepi se zmanjša na 6 % leta 2030 in poveča na 9 % leta 2040, v projekciji z dodatnimi ukrepi pa se poveča na 8 % leta 2030 in leta 2040 ostane enak. </w:t>
      </w:r>
    </w:p>
    <w:p w14:paraId="67174A49" w14:textId="3B0F0751" w:rsidR="008D0609" w:rsidRPr="007944FA" w:rsidRDefault="00247CC6" w:rsidP="008D0609">
      <w:pPr>
        <w:jc w:val="center"/>
        <w:rPr>
          <w:rFonts w:ascii="Arial" w:hAnsi="Arial" w:cs="Arial"/>
          <w:b/>
          <w:bCs/>
          <w:i/>
          <w:iCs/>
          <w:sz w:val="18"/>
          <w:szCs w:val="18"/>
        </w:rPr>
      </w:pPr>
      <w:r w:rsidRPr="007944FA">
        <w:rPr>
          <w:noProof/>
          <w:lang w:eastAsia="sl-SI"/>
        </w:rPr>
        <w:drawing>
          <wp:inline distT="0" distB="0" distL="0" distR="0" wp14:anchorId="274A3DBE" wp14:editId="5776D2E6">
            <wp:extent cx="5278755" cy="27089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78755" cy="2708910"/>
                    </a:xfrm>
                    <a:prstGeom prst="rect">
                      <a:avLst/>
                    </a:prstGeom>
                    <a:noFill/>
                    <a:ln>
                      <a:noFill/>
                    </a:ln>
                  </pic:spPr>
                </pic:pic>
              </a:graphicData>
            </a:graphic>
          </wp:inline>
        </w:drawing>
      </w:r>
    </w:p>
    <w:p w14:paraId="6A088F77" w14:textId="51C8F44D" w:rsidR="008D0609" w:rsidRPr="007944FA" w:rsidRDefault="008D0609" w:rsidP="0091142E">
      <w:pPr>
        <w:pStyle w:val="NIKASLIKE"/>
      </w:pPr>
      <w:bookmarkStart w:id="148" w:name="_Toc193193998"/>
      <w:r w:rsidRPr="007944FA">
        <w:t>Slika 2</w:t>
      </w:r>
      <w:r w:rsidR="003E320C" w:rsidRPr="007944FA">
        <w:t>5</w:t>
      </w:r>
      <w:r w:rsidRPr="007944FA">
        <w:t>: Emisije TGP iz industrijskih procesov – potek emisij v letih 1986–2022 ter projekcije z ukrepi, z dodatnimi ukrepi in brez ukrepov do leta 2040 (levo) in razdelitev emisij na EU ETS in neETS (desno) (vir: ARSO in IJS-CEU)</w:t>
      </w:r>
      <w:bookmarkEnd w:id="148"/>
    </w:p>
    <w:p w14:paraId="27ABBE56" w14:textId="77777777" w:rsidR="008D0609" w:rsidRPr="007944FA" w:rsidRDefault="008D0609" w:rsidP="008D0609">
      <w:pPr>
        <w:spacing w:after="120" w:line="245" w:lineRule="auto"/>
        <w:jc w:val="both"/>
        <w:rPr>
          <w:rFonts w:ascii="Arial" w:eastAsia="Times New Roman" w:hAnsi="Arial" w:cs="Arial"/>
          <w:b/>
          <w:bCs/>
          <w:lang w:eastAsia="sl-SI"/>
        </w:rPr>
      </w:pPr>
      <w:r w:rsidRPr="007944FA">
        <w:rPr>
          <w:rFonts w:ascii="Arial" w:eastAsia="Times New Roman" w:hAnsi="Arial" w:cs="Arial"/>
          <w:b/>
          <w:bCs/>
          <w:lang w:eastAsia="sl-SI"/>
        </w:rPr>
        <w:t>Kmetijstvo</w:t>
      </w:r>
    </w:p>
    <w:p w14:paraId="02B1B107"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Emisije v kmetijstvu se med leti ne spreminjajo bistveno. Leta 2022 so bile za 2 % nižje kot leta 2017. Tudi v projekcijah se ne pričakuje pomembno zmanjšanje. Po projekciji z ukrepi se emisije povečajo, po projekciji z dodatnimi ukrepi pa zmanjšajo. </w:t>
      </w:r>
    </w:p>
    <w:p w14:paraId="75E10D77"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Povprečna letna rast po projekciji z ukrepi v obdobju 2022‒2030 znaša 0,1 %, v naslednjem desetletju pa 0,2 %. Leta 2030 so emisije glede na leto 2022 višje za 0,8 %, leta 2040 pa za 2,6 %. Dodatni ukrepi pripomorejo k zmanjševanju emisij iz kmetijstva. Leta 2030 so emisije po projekciji z dodatnimi ukrepi nižje za 0,5 %, leta 2040 pa za 7,2 %. Kmetijstvo leta 2022 </w:t>
      </w:r>
      <w:r w:rsidRPr="007944FA">
        <w:rPr>
          <w:rFonts w:ascii="Arial" w:eastAsia="Times New Roman" w:hAnsi="Arial" w:cs="Arial"/>
          <w:szCs w:val="20"/>
          <w:lang w:eastAsia="sl-SI"/>
        </w:rPr>
        <w:t xml:space="preserve">prispeva </w:t>
      </w:r>
      <w:r w:rsidRPr="007944FA">
        <w:rPr>
          <w:rFonts w:ascii="Arial" w:eastAsia="Times New Roman" w:hAnsi="Arial" w:cs="Arial"/>
          <w:lang w:eastAsia="sl-SI"/>
        </w:rPr>
        <w:t>11 % skupnih emisij. V projekciji z ukrepi se delež ustali in ostaja enak v letu 2030 ter se poveča na 15 % v letu 2040, po projekciji z dodatnimi ukrepi pa se poveča do leta 2030 na 13 %, do leta 2040 pa na 27 %.</w:t>
      </w:r>
    </w:p>
    <w:p w14:paraId="55CE89B7"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V projekcijah z ukrepi je predvideno ohranjanje fizičnega obsega prireje mesa, mleka in jajc na ravni iz preteklih let. Izjema je prašičereja, katere obseg se je po letu 2007 zelo zmanjšal. V tem sektorju je predvideno, da se bo prirast telesne mase do leta 2030 vrnil na približno 50 %, do leta 2040 pa na 60 % prirasta, ki je že bil dosežen v desetletju pred zmanjšanjem. Pri </w:t>
      </w:r>
      <w:r w:rsidRPr="007944FA">
        <w:rPr>
          <w:rFonts w:ascii="Arial" w:eastAsia="Times New Roman" w:hAnsi="Arial" w:cs="Arial"/>
          <w:lang w:eastAsia="sl-SI"/>
        </w:rPr>
        <w:lastRenderedPageBreak/>
        <w:t>pridelavi poljščin je do leta 2050 predvideno povečanje pridelkov za približno 40 % glede na povprečje obdobja 2013–2017. Količina dušika v pridelku kmetijskih rastlin (vključno s travinjem) naj bi se do leta 2030 povečala za približno 8 %.</w:t>
      </w:r>
    </w:p>
    <w:p w14:paraId="6F860938"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Na področju živinoreje je bilo v projekcijah predvideno povečanje učinkovitosti reje. To omogoča prirejo podobne količine mleka in mesa z manjšim številom živali in ob manjših izpustih toplogrednih plinov (pomeni manjšo intenzivnost emisij oz</w:t>
      </w:r>
      <w:r w:rsidRPr="007944FA">
        <w:rPr>
          <w:rFonts w:ascii="Arial" w:eastAsia="Palatino Linotype" w:hAnsi="Arial" w:cs="Arial"/>
          <w:szCs w:val="20"/>
          <w:lang w:eastAsia="sl-SI"/>
        </w:rPr>
        <w:t>iroma</w:t>
      </w:r>
      <w:r w:rsidRPr="007944FA">
        <w:rPr>
          <w:rFonts w:ascii="Arial" w:eastAsia="Times New Roman" w:hAnsi="Arial" w:cs="Arial"/>
          <w:lang w:eastAsia="sl-SI"/>
        </w:rPr>
        <w:t xml:space="preserve"> manj emisij na enoto prirejenega mleka ali mesa). Scenarij z obstoječimi ukrepi predvideva, da se bo do leta 2030 glede na povprečje let 2019‒2021 število molznic zmanjšalo za 3,2 %, število drugih goved pa za 4,8 %. Upoštevani so bili tudi učinki ukrepov za neposredno zmanjšanje emisij metana in izgub dušika iz skladišč za živinska gnojila. Gre za ukrepe, kot so uporaba krmnih dodatkov za zmanjšanje emisij metana iz prebavil molznic, obdelava živinskih gnojil na mikrobioplinskih napravah, spodbujanje pašne reje in pokrivanje skladišč za živinska gnojila.</w:t>
      </w:r>
    </w:p>
    <w:p w14:paraId="041C9E16" w14:textId="77777777" w:rsidR="008D0609" w:rsidRPr="007944FA" w:rsidRDefault="008D0609" w:rsidP="008D0609">
      <w:pPr>
        <w:spacing w:after="120" w:line="245" w:lineRule="auto"/>
        <w:jc w:val="both"/>
        <w:rPr>
          <w:rFonts w:ascii="Arial" w:eastAsia="Times New Roman" w:hAnsi="Arial" w:cs="Arial"/>
          <w:shd w:val="clear" w:color="auto" w:fill="D9F2D0" w:themeFill="accent6" w:themeFillTint="33"/>
          <w:lang w:eastAsia="sl-SI"/>
        </w:rPr>
      </w:pPr>
      <w:r w:rsidRPr="007944FA">
        <w:rPr>
          <w:rFonts w:ascii="Arial" w:eastAsia="Times New Roman" w:hAnsi="Arial" w:cs="Arial"/>
          <w:lang w:eastAsia="sl-SI"/>
        </w:rPr>
        <w:t>V okviru ukrepov za zmanjšanje emisij iz hlevov (spodbujanje načinov reje z majhnimi izpusti) sta predvidena povečan obseg obdelave živinskih gnojil v bioplinskih napravah in povečanje obsega pašne reje goved (na račun zmanjšanja hlevske reje). V okviru ukrepov za učinkovitejšo rabo dušikovih gnojil so bili predvideni povečan obseg zadelave sečnine v tla, povečanje takojšnjega zaoravanja hlevskega gnoja v tla in povečanje deleža uporabe tehnik gnojenja z majhnimi izpusti pri gnojenju z gnojevko. Modelni računi kažejo, da se bo zaradi ukrepov za izboljšanje učinkovitosti rabe dušika poraba mineralnih gnojil, kljub znatnemu povečanju dušika v kmetijskih pridelkih, zmanjšala.</w:t>
      </w:r>
    </w:p>
    <w:p w14:paraId="58E96577" w14:textId="77777777" w:rsidR="008D0609" w:rsidRPr="007944FA" w:rsidRDefault="008D0609" w:rsidP="008D0609">
      <w:pPr>
        <w:spacing w:after="120" w:line="245" w:lineRule="auto"/>
        <w:jc w:val="both"/>
        <w:rPr>
          <w:rFonts w:ascii="Arial" w:eastAsia="Times New Roman" w:hAnsi="Arial" w:cs="Arial"/>
          <w:b/>
          <w:bCs/>
          <w:lang w:eastAsia="sl-SI"/>
        </w:rPr>
      </w:pPr>
      <w:r w:rsidRPr="007944FA">
        <w:rPr>
          <w:rFonts w:ascii="Arial" w:eastAsia="Times New Roman" w:hAnsi="Arial" w:cs="Arial"/>
          <w:b/>
          <w:bCs/>
          <w:lang w:eastAsia="sl-SI"/>
        </w:rPr>
        <w:t>Odpadki</w:t>
      </w:r>
    </w:p>
    <w:p w14:paraId="0CE67E45" w14:textId="793D709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Emisije iz odpadkov in odpadnih voda se od leta 2004 hitro zmanjšujejo, tako da so leta 2022 znašale 380 kt</w:t>
      </w:r>
      <w:r w:rsidR="00BA0207" w:rsidRPr="007944FA">
        <w:rPr>
          <w:rFonts w:ascii="Arial" w:eastAsia="Times New Roman" w:hAnsi="Arial" w:cs="Arial"/>
          <w:lang w:eastAsia="sl-SI"/>
        </w:rPr>
        <w:t xml:space="preserve"> ekv.</w:t>
      </w:r>
      <w:r w:rsidRPr="007944FA">
        <w:rPr>
          <w:rFonts w:ascii="Arial" w:eastAsia="Times New Roman" w:hAnsi="Arial" w:cs="Arial"/>
          <w:lang w:eastAsia="sl-SI"/>
        </w:rPr>
        <w:t> CO</w:t>
      </w:r>
      <w:r w:rsidRPr="007944FA">
        <w:rPr>
          <w:rFonts w:ascii="Arial" w:eastAsia="Times New Roman" w:hAnsi="Arial" w:cs="Arial"/>
          <w:vertAlign w:val="subscript"/>
          <w:lang w:eastAsia="sl-SI"/>
        </w:rPr>
        <w:t>2</w:t>
      </w:r>
      <w:r w:rsidRPr="007944FA">
        <w:rPr>
          <w:rFonts w:ascii="Arial" w:eastAsia="Times New Roman" w:hAnsi="Arial" w:cs="Arial"/>
          <w:lang w:eastAsia="sl-SI"/>
        </w:rPr>
        <w:t>. Projekciji z ukrepi in z dodatnimi ukrepi sta enaki. Leta 2030 emisije znašajo 285 kt</w:t>
      </w:r>
      <w:r w:rsidR="00BA0207" w:rsidRPr="007944FA">
        <w:rPr>
          <w:rFonts w:ascii="Arial" w:eastAsia="Times New Roman" w:hAnsi="Arial" w:cs="Arial"/>
          <w:lang w:eastAsia="sl-SI"/>
        </w:rPr>
        <w:t xml:space="preserve"> ekv.</w:t>
      </w:r>
      <w:r w:rsidRPr="007944FA">
        <w:rPr>
          <w:rFonts w:ascii="Arial" w:eastAsia="Times New Roman" w:hAnsi="Arial" w:cs="Arial"/>
          <w:lang w:eastAsia="sl-SI"/>
        </w:rPr>
        <w:t> CO</w:t>
      </w:r>
      <w:r w:rsidRPr="007944FA">
        <w:rPr>
          <w:rFonts w:ascii="Arial" w:eastAsia="Times New Roman" w:hAnsi="Arial" w:cs="Arial"/>
          <w:vertAlign w:val="subscript"/>
          <w:lang w:eastAsia="sl-SI"/>
        </w:rPr>
        <w:t>2</w:t>
      </w:r>
      <w:r w:rsidRPr="007944FA">
        <w:rPr>
          <w:rFonts w:ascii="Arial" w:eastAsia="Times New Roman" w:hAnsi="Arial" w:cs="Arial"/>
          <w:lang w:eastAsia="sl-SI"/>
        </w:rPr>
        <w:t xml:space="preserve">, kar je za 25 % manj kot leta 2022. Leta 2040 so emisije nižje za 46 %. </w:t>
      </w:r>
    </w:p>
    <w:p w14:paraId="0186D019"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Leta 2022 odpadki prispevajo 2 % k skupnim emisijam. Do leta 2030 se delež ohrani na 2 % in po projekciji z ukrepi ostane tak tudi leta 2040. Po projekciji z dodatnimi ukrepi leta 2040 znaša 4 %.</w:t>
      </w:r>
    </w:p>
    <w:p w14:paraId="2BE9F6F2"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Zmanjšanje emisij v preteklosti je posledica zmanjševanja odloženih biorazgradljivih odpadkov. Enako velja tudi v prihodnje. Manj odloženih bioragradljivih odpadkov je posledica zmanjšanja količine nastalih odpadkov, ločenega zbiranja odpadkov in embalaže, sortiranja in obdelave odpadkov v zbirnih centrih ter mehansko biološke obdelave. V skladu z zakonom se od leta 2016 naprej biorazgradljivi odpadki ne odlagajo več na odlagališčih. Pomembno se zmanjšajo tudi emisije iz ravnanja z odpadnimi vodami zaradi priključevanja na kanalizacijsko omrežje, nadgradnje čistilnih naprav in nadomeščanja greznic z malimi biološkimi čistilnimi napravami.</w:t>
      </w:r>
    </w:p>
    <w:p w14:paraId="4EAC93EC" w14:textId="0ACE3E9C" w:rsidR="008D0609" w:rsidRPr="007944FA" w:rsidRDefault="00247CC6" w:rsidP="008D0609">
      <w:pPr>
        <w:jc w:val="center"/>
        <w:rPr>
          <w:rFonts w:ascii="Arial" w:hAnsi="Arial" w:cs="Arial"/>
          <w:b/>
          <w:bCs/>
          <w:i/>
          <w:iCs/>
          <w:sz w:val="18"/>
          <w:szCs w:val="18"/>
        </w:rPr>
      </w:pPr>
      <w:r w:rsidRPr="007944FA">
        <w:rPr>
          <w:noProof/>
          <w:lang w:eastAsia="sl-SI"/>
        </w:rPr>
        <w:lastRenderedPageBreak/>
        <w:drawing>
          <wp:inline distT="0" distB="0" distL="0" distR="0" wp14:anchorId="10C4BDB3" wp14:editId="66AE2F93">
            <wp:extent cx="5247640" cy="3117215"/>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247640" cy="3117215"/>
                    </a:xfrm>
                    <a:prstGeom prst="rect">
                      <a:avLst/>
                    </a:prstGeom>
                    <a:noFill/>
                    <a:ln>
                      <a:noFill/>
                    </a:ln>
                  </pic:spPr>
                </pic:pic>
              </a:graphicData>
            </a:graphic>
          </wp:inline>
        </w:drawing>
      </w:r>
    </w:p>
    <w:p w14:paraId="73707888" w14:textId="33BC04AC" w:rsidR="008D0609" w:rsidRPr="007944FA" w:rsidRDefault="008D0609" w:rsidP="0091142E">
      <w:pPr>
        <w:pStyle w:val="NIKASLIKE"/>
      </w:pPr>
      <w:bookmarkStart w:id="149" w:name="_Toc193193999"/>
      <w:r w:rsidRPr="007944FA">
        <w:t>Slika 2</w:t>
      </w:r>
      <w:r w:rsidR="003E320C" w:rsidRPr="007944FA">
        <w:t>6</w:t>
      </w:r>
      <w:r w:rsidRPr="007944FA">
        <w:t>: Emisije TGP iz kmetijstva (levo) in iz odpadkov (desno) v letih 1986–2022 ter po projekcijah z ukrepi in z dodatnimi ukrepi do leta 2040 (vir: ARSO, KIS, IJS-CEU)</w:t>
      </w:r>
      <w:bookmarkEnd w:id="149"/>
    </w:p>
    <w:p w14:paraId="133B055E" w14:textId="77777777" w:rsidR="008D0609" w:rsidRPr="007944FA" w:rsidRDefault="008D0609" w:rsidP="008D0609">
      <w:pPr>
        <w:spacing w:after="120" w:line="245" w:lineRule="auto"/>
        <w:jc w:val="both"/>
        <w:rPr>
          <w:rFonts w:ascii="Arial" w:eastAsia="Times New Roman" w:hAnsi="Arial" w:cs="Arial"/>
          <w:b/>
          <w:bCs/>
          <w:lang w:eastAsia="sl-SI"/>
        </w:rPr>
      </w:pPr>
      <w:r w:rsidRPr="007944FA">
        <w:rPr>
          <w:rFonts w:ascii="Arial" w:eastAsia="Times New Roman" w:hAnsi="Arial" w:cs="Arial"/>
          <w:b/>
          <w:bCs/>
          <w:lang w:eastAsia="sl-SI"/>
        </w:rPr>
        <w:t>Mednarodna skladišča</w:t>
      </w:r>
    </w:p>
    <w:p w14:paraId="5A499AFF" w14:textId="68E5C759"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Goriva za pomorski in mednarodni letalski promet v skladu z navodili niso vključena v projekcije, predstavljene zgoraj. Leta 2020 so emisije iz goriv iz mednarodnih skladišč </w:t>
      </w:r>
      <w:r w:rsidRPr="007944FA">
        <w:rPr>
          <w:rFonts w:ascii="Arial" w:eastAsia="Times New Roman" w:hAnsi="Arial" w:cs="Arial"/>
          <w:szCs w:val="20"/>
          <w:lang w:eastAsia="sl-SI"/>
        </w:rPr>
        <w:t xml:space="preserve">sestavljale </w:t>
      </w:r>
      <w:r w:rsidRPr="007944FA">
        <w:rPr>
          <w:rFonts w:ascii="Arial" w:eastAsia="Times New Roman" w:hAnsi="Arial" w:cs="Arial"/>
          <w:lang w:eastAsia="sl-SI"/>
        </w:rPr>
        <w:t>2,6 % emisij Republike Slovenije. 0,2 % oz</w:t>
      </w:r>
      <w:r w:rsidRPr="007944FA">
        <w:rPr>
          <w:rFonts w:ascii="Arial" w:eastAsia="Palatino Linotype" w:hAnsi="Arial" w:cs="Arial"/>
          <w:szCs w:val="20"/>
          <w:lang w:eastAsia="sl-SI"/>
        </w:rPr>
        <w:t>iroma</w:t>
      </w:r>
      <w:r w:rsidRPr="007944FA">
        <w:rPr>
          <w:rFonts w:ascii="Arial" w:eastAsia="Times New Roman" w:hAnsi="Arial" w:cs="Arial"/>
          <w:lang w:eastAsia="sl-SI"/>
        </w:rPr>
        <w:t xml:space="preserve"> 26 kt</w:t>
      </w:r>
      <w:r w:rsidR="00BA0207" w:rsidRPr="007944FA">
        <w:rPr>
          <w:rFonts w:ascii="Arial" w:eastAsia="Times New Roman" w:hAnsi="Arial" w:cs="Arial"/>
          <w:lang w:eastAsia="sl-SI"/>
        </w:rPr>
        <w:t xml:space="preserve"> ekv.</w:t>
      </w:r>
      <w:r w:rsidRPr="007944FA">
        <w:rPr>
          <w:rFonts w:ascii="Arial" w:eastAsia="Times New Roman" w:hAnsi="Arial" w:cs="Arial"/>
          <w:lang w:eastAsia="sl-SI"/>
        </w:rPr>
        <w:t> CO</w:t>
      </w:r>
      <w:r w:rsidRPr="007944FA">
        <w:rPr>
          <w:rFonts w:ascii="Arial" w:eastAsia="Times New Roman" w:hAnsi="Arial" w:cs="Arial"/>
          <w:vertAlign w:val="subscript"/>
          <w:lang w:eastAsia="sl-SI"/>
        </w:rPr>
        <w:t>2</w:t>
      </w:r>
      <w:r w:rsidRPr="007944FA">
        <w:rPr>
          <w:rFonts w:ascii="Arial" w:eastAsia="Times New Roman" w:hAnsi="Arial" w:cs="Arial"/>
          <w:lang w:eastAsia="sl-SI"/>
        </w:rPr>
        <w:t xml:space="preserve"> so </w:t>
      </w:r>
      <w:r w:rsidRPr="007944FA">
        <w:rPr>
          <w:rFonts w:ascii="Arial" w:eastAsia="Times New Roman" w:hAnsi="Arial" w:cs="Arial"/>
          <w:szCs w:val="20"/>
          <w:lang w:eastAsia="sl-SI"/>
        </w:rPr>
        <w:t xml:space="preserve">sestavljale </w:t>
      </w:r>
      <w:r w:rsidRPr="007944FA">
        <w:rPr>
          <w:rFonts w:ascii="Arial" w:eastAsia="Times New Roman" w:hAnsi="Arial" w:cs="Arial"/>
          <w:lang w:eastAsia="sl-SI"/>
        </w:rPr>
        <w:t>emisije iz mednarodnega letalskega prometa, 2,4 % oz</w:t>
      </w:r>
      <w:r w:rsidRPr="007944FA">
        <w:rPr>
          <w:rFonts w:ascii="Arial" w:eastAsia="Palatino Linotype" w:hAnsi="Arial" w:cs="Arial"/>
          <w:szCs w:val="20"/>
          <w:lang w:eastAsia="sl-SI"/>
        </w:rPr>
        <w:t>iroma</w:t>
      </w:r>
      <w:r w:rsidRPr="007944FA">
        <w:rPr>
          <w:rFonts w:ascii="Arial" w:eastAsia="Times New Roman" w:hAnsi="Arial" w:cs="Arial"/>
          <w:lang w:eastAsia="sl-SI"/>
        </w:rPr>
        <w:t xml:space="preserve"> 382 kt</w:t>
      </w:r>
      <w:r w:rsidR="00BA0207" w:rsidRPr="007944FA">
        <w:rPr>
          <w:rFonts w:ascii="Arial" w:eastAsia="Times New Roman" w:hAnsi="Arial" w:cs="Arial"/>
          <w:lang w:eastAsia="sl-SI"/>
        </w:rPr>
        <w:t xml:space="preserve"> ekv.</w:t>
      </w:r>
      <w:r w:rsidRPr="007944FA">
        <w:rPr>
          <w:rFonts w:ascii="Arial" w:eastAsia="Times New Roman" w:hAnsi="Arial" w:cs="Arial"/>
          <w:lang w:eastAsia="sl-SI"/>
        </w:rPr>
        <w:t> CO</w:t>
      </w:r>
      <w:r w:rsidRPr="007944FA">
        <w:rPr>
          <w:rFonts w:ascii="Arial" w:eastAsia="Times New Roman" w:hAnsi="Arial" w:cs="Arial"/>
          <w:vertAlign w:val="subscript"/>
          <w:lang w:eastAsia="sl-SI"/>
        </w:rPr>
        <w:t>2</w:t>
      </w:r>
      <w:r w:rsidRPr="007944FA">
        <w:rPr>
          <w:rFonts w:ascii="Arial" w:eastAsia="Times New Roman" w:hAnsi="Arial" w:cs="Arial"/>
          <w:lang w:eastAsia="sl-SI"/>
        </w:rPr>
        <w:t xml:space="preserve"> pa emisije iz mednarodnega pomorskega prometa. Do leta 2022 so emisije iz mednarodnega letalskega prometa močno narasle, saj je bilo leto 2020 zelo posebno zaradi ukrepov za preprečevanje širjenja virusa SARS-CoV-2. Emisij iz mednarodnega pomorskega prometa pa leta 2022 ni bilo, saj v Sloveniji ni bilo nič goriva pretočenega v mednarodne ladje. </w:t>
      </w:r>
    </w:p>
    <w:p w14:paraId="54CC1D26"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Projekcije kažejo, da se bodo emisije iz mednarodnega letalskega prometa dolgoročno povečale. Po projekciji z ukrepi bodo leta 2030 glede na leto 2022 višje za 29 %, leta 2040 pa za 67 %, medtem ko bodo po projekciji z dodatnimi ukrepi leta 2030 višje za 21 %, leta 2040 pa za 3 %. Znižanje emisij v projekciji z dodatnimi ukrepi je posledica uvajanja alternativnih goriv v letalskem prometu. </w:t>
      </w:r>
    </w:p>
    <w:p w14:paraId="358725F4"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V mednarodnem pomorskem prometu projekcija ni bila narejena, ker leta 2022 ni bilo več prodaje goriv v mednarodnem prometu. </w:t>
      </w:r>
    </w:p>
    <w:p w14:paraId="1CC7D1BE" w14:textId="77777777" w:rsidR="008D0609" w:rsidRPr="007944FA" w:rsidRDefault="008D0609" w:rsidP="008D060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Projekcije za letalski promet so bile narejene na podlagi rasti BDP, saj se je v preteklosti pokazala dobra korelacija med tema dvema spremenljivkama.</w:t>
      </w:r>
    </w:p>
    <w:tbl>
      <w:tblPr>
        <w:tblW w:w="90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48"/>
        <w:gridCol w:w="1133"/>
        <w:gridCol w:w="856"/>
        <w:gridCol w:w="787"/>
        <w:gridCol w:w="787"/>
        <w:gridCol w:w="788"/>
        <w:gridCol w:w="941"/>
        <w:gridCol w:w="993"/>
        <w:gridCol w:w="1134"/>
      </w:tblGrid>
      <w:tr w:rsidR="008D0609" w:rsidRPr="0093506F" w14:paraId="006AA2D1" w14:textId="77777777" w:rsidTr="004D7C9F">
        <w:trPr>
          <w:trHeight w:val="255"/>
        </w:trPr>
        <w:tc>
          <w:tcPr>
            <w:tcW w:w="1648" w:type="dxa"/>
            <w:shd w:val="clear" w:color="auto" w:fill="529DBA"/>
          </w:tcPr>
          <w:p w14:paraId="0C8E3FA7" w14:textId="77777777" w:rsidR="008D0609" w:rsidRPr="007944FA" w:rsidRDefault="008D0609" w:rsidP="006D46D8">
            <w:pPr>
              <w:keepNext/>
              <w:keepLines/>
              <w:jc w:val="right"/>
              <w:rPr>
                <w:rFonts w:ascii="Arial" w:hAnsi="Arial" w:cs="Arial"/>
                <w:b/>
                <w:i/>
                <w:sz w:val="18"/>
                <w:szCs w:val="18"/>
              </w:rPr>
            </w:pPr>
          </w:p>
        </w:tc>
        <w:tc>
          <w:tcPr>
            <w:tcW w:w="1133" w:type="dxa"/>
            <w:shd w:val="clear" w:color="auto" w:fill="529DBA"/>
          </w:tcPr>
          <w:p w14:paraId="482CAF6D" w14:textId="77777777" w:rsidR="008D0609" w:rsidRPr="007944FA" w:rsidRDefault="008D0609" w:rsidP="006D46D8">
            <w:pPr>
              <w:keepNext/>
              <w:keepLines/>
              <w:jc w:val="right"/>
              <w:rPr>
                <w:rFonts w:ascii="Arial" w:hAnsi="Arial" w:cs="Arial"/>
                <w:b/>
                <w:i/>
                <w:sz w:val="18"/>
                <w:szCs w:val="18"/>
              </w:rPr>
            </w:pPr>
          </w:p>
        </w:tc>
        <w:tc>
          <w:tcPr>
            <w:tcW w:w="856" w:type="dxa"/>
            <w:shd w:val="clear" w:color="auto" w:fill="529DBA"/>
            <w:noWrap/>
            <w:vAlign w:val="bottom"/>
          </w:tcPr>
          <w:p w14:paraId="7552C68E" w14:textId="77777777" w:rsidR="008D0609" w:rsidRPr="007944FA" w:rsidRDefault="008D0609" w:rsidP="006D46D8">
            <w:pPr>
              <w:keepNext/>
              <w:keepLines/>
              <w:jc w:val="right"/>
              <w:rPr>
                <w:rFonts w:ascii="Arial" w:hAnsi="Arial" w:cs="Arial"/>
                <w:b/>
                <w:bCs/>
                <w:i/>
                <w:iCs/>
                <w:sz w:val="18"/>
                <w:szCs w:val="18"/>
              </w:rPr>
            </w:pPr>
          </w:p>
        </w:tc>
        <w:tc>
          <w:tcPr>
            <w:tcW w:w="2362" w:type="dxa"/>
            <w:gridSpan w:val="3"/>
            <w:shd w:val="clear" w:color="auto" w:fill="529DBA"/>
            <w:noWrap/>
            <w:vAlign w:val="bottom"/>
          </w:tcPr>
          <w:p w14:paraId="03982D40" w14:textId="77777777" w:rsidR="008D0609" w:rsidRPr="007944FA" w:rsidRDefault="008D0609" w:rsidP="006D46D8">
            <w:pPr>
              <w:keepNext/>
              <w:keepLines/>
              <w:jc w:val="center"/>
              <w:rPr>
                <w:rFonts w:ascii="Arial" w:hAnsi="Arial" w:cs="Arial"/>
                <w:b/>
                <w:bCs/>
                <w:i/>
                <w:iCs/>
                <w:sz w:val="18"/>
                <w:szCs w:val="18"/>
              </w:rPr>
            </w:pPr>
            <w:r w:rsidRPr="007944FA">
              <w:rPr>
                <w:rFonts w:ascii="Arial" w:hAnsi="Arial" w:cs="Arial"/>
                <w:b/>
                <w:bCs/>
                <w:i/>
                <w:iCs/>
                <w:sz w:val="18"/>
                <w:szCs w:val="18"/>
              </w:rPr>
              <w:t>Z ukrepi</w:t>
            </w:r>
          </w:p>
        </w:tc>
        <w:tc>
          <w:tcPr>
            <w:tcW w:w="3068" w:type="dxa"/>
            <w:gridSpan w:val="3"/>
            <w:shd w:val="clear" w:color="auto" w:fill="529DBA"/>
          </w:tcPr>
          <w:p w14:paraId="000CA6E1" w14:textId="77777777" w:rsidR="008D0609" w:rsidRPr="007944FA" w:rsidRDefault="008D0609" w:rsidP="006D46D8">
            <w:pPr>
              <w:keepNext/>
              <w:keepLines/>
              <w:jc w:val="center"/>
              <w:rPr>
                <w:rFonts w:ascii="Arial" w:hAnsi="Arial" w:cs="Arial"/>
                <w:b/>
                <w:bCs/>
                <w:i/>
                <w:iCs/>
                <w:sz w:val="18"/>
                <w:szCs w:val="18"/>
              </w:rPr>
            </w:pPr>
            <w:r w:rsidRPr="007944FA">
              <w:rPr>
                <w:rFonts w:ascii="Arial" w:hAnsi="Arial" w:cs="Arial"/>
                <w:b/>
                <w:bCs/>
                <w:i/>
                <w:iCs/>
                <w:sz w:val="18"/>
                <w:szCs w:val="18"/>
              </w:rPr>
              <w:t>Z dod. ukrepi</w:t>
            </w:r>
          </w:p>
        </w:tc>
      </w:tr>
      <w:tr w:rsidR="008D0609" w:rsidRPr="0093506F" w14:paraId="0BA16372" w14:textId="77777777" w:rsidTr="004D7C9F">
        <w:trPr>
          <w:trHeight w:val="255"/>
        </w:trPr>
        <w:tc>
          <w:tcPr>
            <w:tcW w:w="1648" w:type="dxa"/>
            <w:shd w:val="clear" w:color="auto" w:fill="auto"/>
          </w:tcPr>
          <w:p w14:paraId="15F4CB53" w14:textId="77777777" w:rsidR="008D0609" w:rsidRPr="007944FA" w:rsidRDefault="008D0609" w:rsidP="006D46D8">
            <w:pPr>
              <w:keepNext/>
              <w:keepLines/>
              <w:jc w:val="right"/>
              <w:rPr>
                <w:rFonts w:ascii="Arial" w:hAnsi="Arial" w:cs="Arial"/>
                <w:b/>
                <w:i/>
                <w:sz w:val="18"/>
                <w:szCs w:val="18"/>
              </w:rPr>
            </w:pPr>
          </w:p>
        </w:tc>
        <w:tc>
          <w:tcPr>
            <w:tcW w:w="1133" w:type="dxa"/>
            <w:shd w:val="clear" w:color="auto" w:fill="auto"/>
          </w:tcPr>
          <w:p w14:paraId="6B28F467" w14:textId="77777777" w:rsidR="008D0609" w:rsidRPr="007944FA" w:rsidRDefault="008D0609" w:rsidP="006D46D8">
            <w:pPr>
              <w:keepNext/>
              <w:keepLines/>
              <w:jc w:val="right"/>
              <w:rPr>
                <w:rFonts w:ascii="Arial" w:hAnsi="Arial" w:cs="Arial"/>
                <w:b/>
                <w:i/>
                <w:sz w:val="18"/>
                <w:szCs w:val="18"/>
              </w:rPr>
            </w:pPr>
          </w:p>
        </w:tc>
        <w:tc>
          <w:tcPr>
            <w:tcW w:w="856" w:type="dxa"/>
            <w:shd w:val="clear" w:color="auto" w:fill="auto"/>
            <w:noWrap/>
            <w:vAlign w:val="bottom"/>
            <w:hideMark/>
          </w:tcPr>
          <w:p w14:paraId="1D34FFBB"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2022</w:t>
            </w:r>
          </w:p>
        </w:tc>
        <w:tc>
          <w:tcPr>
            <w:tcW w:w="787" w:type="dxa"/>
            <w:shd w:val="clear" w:color="auto" w:fill="auto"/>
            <w:noWrap/>
            <w:vAlign w:val="bottom"/>
            <w:hideMark/>
          </w:tcPr>
          <w:p w14:paraId="15435ECF"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2025</w:t>
            </w:r>
          </w:p>
        </w:tc>
        <w:tc>
          <w:tcPr>
            <w:tcW w:w="787" w:type="dxa"/>
            <w:shd w:val="clear" w:color="auto" w:fill="auto"/>
            <w:noWrap/>
            <w:vAlign w:val="bottom"/>
            <w:hideMark/>
          </w:tcPr>
          <w:p w14:paraId="5498F5AD"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2030</w:t>
            </w:r>
          </w:p>
        </w:tc>
        <w:tc>
          <w:tcPr>
            <w:tcW w:w="788" w:type="dxa"/>
            <w:shd w:val="clear" w:color="auto" w:fill="auto"/>
          </w:tcPr>
          <w:p w14:paraId="0B15DCD2"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2040</w:t>
            </w:r>
          </w:p>
        </w:tc>
        <w:tc>
          <w:tcPr>
            <w:tcW w:w="941" w:type="dxa"/>
          </w:tcPr>
          <w:p w14:paraId="60C51823"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2025</w:t>
            </w:r>
          </w:p>
        </w:tc>
        <w:tc>
          <w:tcPr>
            <w:tcW w:w="993" w:type="dxa"/>
          </w:tcPr>
          <w:p w14:paraId="043BEB3B"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2030</w:t>
            </w:r>
          </w:p>
        </w:tc>
        <w:tc>
          <w:tcPr>
            <w:tcW w:w="1134" w:type="dxa"/>
          </w:tcPr>
          <w:p w14:paraId="09BBFB39" w14:textId="77777777" w:rsidR="008D0609" w:rsidRPr="007944FA" w:rsidRDefault="008D0609" w:rsidP="006D46D8">
            <w:pPr>
              <w:keepNext/>
              <w:keepLines/>
              <w:jc w:val="right"/>
              <w:rPr>
                <w:rFonts w:ascii="Arial" w:hAnsi="Arial" w:cs="Arial"/>
                <w:b/>
                <w:bCs/>
                <w:i/>
                <w:iCs/>
                <w:sz w:val="18"/>
                <w:szCs w:val="18"/>
              </w:rPr>
            </w:pPr>
            <w:r w:rsidRPr="007944FA">
              <w:rPr>
                <w:rFonts w:ascii="Arial" w:hAnsi="Arial" w:cs="Arial"/>
                <w:b/>
                <w:bCs/>
                <w:i/>
                <w:iCs/>
                <w:sz w:val="18"/>
                <w:szCs w:val="18"/>
              </w:rPr>
              <w:t>2040</w:t>
            </w:r>
          </w:p>
        </w:tc>
      </w:tr>
      <w:tr w:rsidR="008D0609" w:rsidRPr="0093506F" w14:paraId="61517D50" w14:textId="77777777" w:rsidTr="004D7C9F">
        <w:trPr>
          <w:trHeight w:val="255"/>
        </w:trPr>
        <w:tc>
          <w:tcPr>
            <w:tcW w:w="1648" w:type="dxa"/>
            <w:shd w:val="clear" w:color="auto" w:fill="auto"/>
          </w:tcPr>
          <w:p w14:paraId="4970C68F"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Mednarodno letalstvo – z ukrepi</w:t>
            </w:r>
          </w:p>
        </w:tc>
        <w:tc>
          <w:tcPr>
            <w:tcW w:w="1133" w:type="dxa"/>
            <w:shd w:val="clear" w:color="auto" w:fill="auto"/>
            <w:vAlign w:val="center"/>
          </w:tcPr>
          <w:p w14:paraId="067E33FE" w14:textId="0FCFE86D"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[kt</w:t>
            </w:r>
            <w:r w:rsidR="00BA0207" w:rsidRPr="007944FA">
              <w:rPr>
                <w:rFonts w:ascii="Arial" w:hAnsi="Arial" w:cs="Arial"/>
                <w:sz w:val="18"/>
                <w:szCs w:val="18"/>
              </w:rPr>
              <w:t xml:space="preserve"> ekv.</w:t>
            </w:r>
            <w:r w:rsidRPr="007944FA">
              <w:rPr>
                <w:rFonts w:ascii="Arial" w:hAnsi="Arial" w:cs="Arial"/>
                <w:sz w:val="18"/>
                <w:szCs w:val="18"/>
              </w:rPr>
              <w:t xml:space="preserve"> CO</w:t>
            </w:r>
            <w:r w:rsidRPr="007944FA">
              <w:rPr>
                <w:rFonts w:ascii="Arial" w:hAnsi="Arial" w:cs="Arial"/>
                <w:sz w:val="18"/>
                <w:szCs w:val="18"/>
                <w:vertAlign w:val="subscript"/>
              </w:rPr>
              <w:t>2</w:t>
            </w:r>
            <w:r w:rsidRPr="007944FA">
              <w:rPr>
                <w:rFonts w:ascii="Arial" w:hAnsi="Arial" w:cs="Arial"/>
                <w:sz w:val="18"/>
                <w:szCs w:val="18"/>
              </w:rPr>
              <w:t>]</w:t>
            </w:r>
          </w:p>
        </w:tc>
        <w:tc>
          <w:tcPr>
            <w:tcW w:w="856" w:type="dxa"/>
            <w:shd w:val="clear" w:color="auto" w:fill="auto"/>
            <w:noWrap/>
            <w:vAlign w:val="center"/>
            <w:hideMark/>
          </w:tcPr>
          <w:p w14:paraId="329D5B29" w14:textId="77777777" w:rsidR="008D0609" w:rsidRPr="007944FA" w:rsidRDefault="008D0609" w:rsidP="006D46D8">
            <w:pPr>
              <w:keepNext/>
              <w:keepLines/>
              <w:jc w:val="right"/>
              <w:rPr>
                <w:rFonts w:ascii="Arial" w:hAnsi="Arial" w:cs="Arial"/>
                <w:sz w:val="18"/>
                <w:szCs w:val="18"/>
              </w:rPr>
            </w:pPr>
            <w:r w:rsidRPr="007944FA">
              <w:rPr>
                <w:rFonts w:ascii="Arial" w:hAnsi="Arial" w:cs="Arial"/>
                <w:color w:val="000000"/>
                <w:sz w:val="18"/>
                <w:szCs w:val="18"/>
              </w:rPr>
              <w:t>62</w:t>
            </w:r>
          </w:p>
        </w:tc>
        <w:tc>
          <w:tcPr>
            <w:tcW w:w="787" w:type="dxa"/>
            <w:shd w:val="clear" w:color="auto" w:fill="auto"/>
            <w:noWrap/>
            <w:vAlign w:val="center"/>
            <w:hideMark/>
          </w:tcPr>
          <w:p w14:paraId="59BEFD19" w14:textId="77777777" w:rsidR="008D0609" w:rsidRPr="007944FA" w:rsidRDefault="008D0609" w:rsidP="006D46D8">
            <w:pPr>
              <w:keepNext/>
              <w:keepLines/>
              <w:jc w:val="right"/>
              <w:rPr>
                <w:rFonts w:ascii="Arial" w:hAnsi="Arial" w:cs="Arial"/>
                <w:sz w:val="18"/>
                <w:szCs w:val="18"/>
              </w:rPr>
            </w:pPr>
            <w:r w:rsidRPr="007944FA">
              <w:rPr>
                <w:rFonts w:ascii="Arial" w:hAnsi="Arial" w:cs="Arial"/>
                <w:color w:val="000000"/>
                <w:sz w:val="18"/>
                <w:szCs w:val="18"/>
              </w:rPr>
              <w:t>67</w:t>
            </w:r>
          </w:p>
        </w:tc>
        <w:tc>
          <w:tcPr>
            <w:tcW w:w="787" w:type="dxa"/>
            <w:shd w:val="clear" w:color="auto" w:fill="auto"/>
            <w:noWrap/>
            <w:vAlign w:val="center"/>
            <w:hideMark/>
          </w:tcPr>
          <w:p w14:paraId="0F0093AF" w14:textId="77777777" w:rsidR="008D0609" w:rsidRPr="007944FA" w:rsidRDefault="008D0609" w:rsidP="006D46D8">
            <w:pPr>
              <w:keepNext/>
              <w:keepLines/>
              <w:jc w:val="right"/>
              <w:rPr>
                <w:rFonts w:ascii="Arial" w:hAnsi="Arial" w:cs="Arial"/>
                <w:sz w:val="18"/>
                <w:szCs w:val="18"/>
              </w:rPr>
            </w:pPr>
            <w:r w:rsidRPr="007944FA">
              <w:rPr>
                <w:rFonts w:ascii="Arial" w:hAnsi="Arial" w:cs="Arial"/>
                <w:color w:val="000000"/>
                <w:sz w:val="18"/>
                <w:szCs w:val="18"/>
              </w:rPr>
              <w:t>79</w:t>
            </w:r>
          </w:p>
        </w:tc>
        <w:tc>
          <w:tcPr>
            <w:tcW w:w="788" w:type="dxa"/>
            <w:shd w:val="clear" w:color="auto" w:fill="auto"/>
            <w:vAlign w:val="center"/>
          </w:tcPr>
          <w:p w14:paraId="242E4DC2" w14:textId="77777777" w:rsidR="008D0609" w:rsidRPr="007944FA" w:rsidRDefault="008D0609" w:rsidP="006D46D8">
            <w:pPr>
              <w:keepNext/>
              <w:keepLines/>
              <w:jc w:val="right"/>
              <w:rPr>
                <w:rFonts w:ascii="Arial" w:hAnsi="Arial" w:cs="Arial"/>
                <w:sz w:val="18"/>
                <w:szCs w:val="18"/>
              </w:rPr>
            </w:pPr>
            <w:r w:rsidRPr="007944FA">
              <w:rPr>
                <w:rFonts w:ascii="Arial" w:hAnsi="Arial" w:cs="Arial"/>
                <w:color w:val="000000"/>
                <w:sz w:val="18"/>
                <w:szCs w:val="18"/>
              </w:rPr>
              <w:t>103</w:t>
            </w:r>
          </w:p>
        </w:tc>
        <w:tc>
          <w:tcPr>
            <w:tcW w:w="941" w:type="dxa"/>
            <w:vAlign w:val="center"/>
          </w:tcPr>
          <w:p w14:paraId="1F69D343" w14:textId="77777777" w:rsidR="008D0609" w:rsidRPr="007944FA" w:rsidRDefault="008D0609" w:rsidP="006D46D8">
            <w:pPr>
              <w:keepNext/>
              <w:keepLines/>
              <w:jc w:val="right"/>
              <w:rPr>
                <w:rFonts w:ascii="Arial" w:hAnsi="Arial" w:cs="Arial"/>
                <w:color w:val="000000"/>
                <w:sz w:val="18"/>
                <w:szCs w:val="18"/>
              </w:rPr>
            </w:pPr>
            <w:r w:rsidRPr="007944FA">
              <w:rPr>
                <w:rFonts w:ascii="Arial" w:hAnsi="Arial" w:cs="Arial"/>
                <w:color w:val="000000"/>
                <w:sz w:val="18"/>
                <w:szCs w:val="18"/>
              </w:rPr>
              <w:t>65</w:t>
            </w:r>
          </w:p>
        </w:tc>
        <w:tc>
          <w:tcPr>
            <w:tcW w:w="993" w:type="dxa"/>
            <w:vAlign w:val="center"/>
          </w:tcPr>
          <w:p w14:paraId="39DA6544" w14:textId="77777777" w:rsidR="008D0609" w:rsidRPr="007944FA" w:rsidRDefault="008D0609" w:rsidP="006D46D8">
            <w:pPr>
              <w:keepNext/>
              <w:keepLines/>
              <w:jc w:val="right"/>
              <w:rPr>
                <w:rFonts w:ascii="Arial" w:hAnsi="Arial" w:cs="Arial"/>
                <w:color w:val="000000"/>
                <w:sz w:val="18"/>
                <w:szCs w:val="18"/>
              </w:rPr>
            </w:pPr>
            <w:r w:rsidRPr="007944FA">
              <w:rPr>
                <w:rFonts w:ascii="Arial" w:hAnsi="Arial" w:cs="Arial"/>
                <w:color w:val="000000"/>
                <w:sz w:val="18"/>
                <w:szCs w:val="18"/>
              </w:rPr>
              <w:t>74</w:t>
            </w:r>
          </w:p>
        </w:tc>
        <w:tc>
          <w:tcPr>
            <w:tcW w:w="1134" w:type="dxa"/>
            <w:vAlign w:val="center"/>
          </w:tcPr>
          <w:p w14:paraId="0A6BB6D3" w14:textId="77777777" w:rsidR="008D0609" w:rsidRPr="007944FA" w:rsidRDefault="008D0609" w:rsidP="006D46D8">
            <w:pPr>
              <w:keepNext/>
              <w:keepLines/>
              <w:jc w:val="right"/>
              <w:rPr>
                <w:rFonts w:ascii="Arial" w:hAnsi="Arial" w:cs="Arial"/>
                <w:color w:val="000000"/>
                <w:sz w:val="18"/>
                <w:szCs w:val="18"/>
              </w:rPr>
            </w:pPr>
            <w:r w:rsidRPr="007944FA">
              <w:rPr>
                <w:rFonts w:ascii="Arial" w:hAnsi="Arial" w:cs="Arial"/>
                <w:color w:val="000000"/>
                <w:sz w:val="18"/>
                <w:szCs w:val="18"/>
              </w:rPr>
              <w:t>63</w:t>
            </w:r>
          </w:p>
        </w:tc>
      </w:tr>
      <w:tr w:rsidR="008D0609" w:rsidRPr="0093506F" w14:paraId="35D144C0" w14:textId="77777777" w:rsidTr="004D7C9F">
        <w:trPr>
          <w:trHeight w:val="255"/>
        </w:trPr>
        <w:tc>
          <w:tcPr>
            <w:tcW w:w="1648" w:type="dxa"/>
            <w:shd w:val="clear" w:color="auto" w:fill="auto"/>
          </w:tcPr>
          <w:p w14:paraId="0E415CE7"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Mednarodno pomorstvo</w:t>
            </w:r>
          </w:p>
        </w:tc>
        <w:tc>
          <w:tcPr>
            <w:tcW w:w="1133" w:type="dxa"/>
            <w:shd w:val="clear" w:color="auto" w:fill="auto"/>
            <w:vAlign w:val="center"/>
          </w:tcPr>
          <w:p w14:paraId="7C95C08A" w14:textId="65B637EF"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[kt</w:t>
            </w:r>
            <w:r w:rsidR="00BA0207" w:rsidRPr="007944FA">
              <w:rPr>
                <w:rFonts w:ascii="Arial" w:hAnsi="Arial" w:cs="Arial"/>
                <w:sz w:val="18"/>
                <w:szCs w:val="18"/>
              </w:rPr>
              <w:t xml:space="preserve"> ekv.</w:t>
            </w:r>
            <w:r w:rsidRPr="007944FA">
              <w:rPr>
                <w:rFonts w:ascii="Arial" w:hAnsi="Arial" w:cs="Arial"/>
                <w:sz w:val="18"/>
                <w:szCs w:val="18"/>
              </w:rPr>
              <w:t xml:space="preserve"> CO</w:t>
            </w:r>
            <w:r w:rsidRPr="007944FA">
              <w:rPr>
                <w:rFonts w:ascii="Arial" w:hAnsi="Arial" w:cs="Arial"/>
                <w:sz w:val="18"/>
                <w:szCs w:val="18"/>
                <w:vertAlign w:val="subscript"/>
              </w:rPr>
              <w:t>2</w:t>
            </w:r>
            <w:r w:rsidRPr="007944FA">
              <w:rPr>
                <w:rFonts w:ascii="Arial" w:hAnsi="Arial" w:cs="Arial"/>
                <w:sz w:val="18"/>
                <w:szCs w:val="18"/>
              </w:rPr>
              <w:t>]</w:t>
            </w:r>
          </w:p>
        </w:tc>
        <w:tc>
          <w:tcPr>
            <w:tcW w:w="856" w:type="dxa"/>
            <w:shd w:val="clear" w:color="auto" w:fill="auto"/>
            <w:noWrap/>
            <w:vAlign w:val="center"/>
          </w:tcPr>
          <w:p w14:paraId="180857EF"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NO</w:t>
            </w:r>
          </w:p>
        </w:tc>
        <w:tc>
          <w:tcPr>
            <w:tcW w:w="787" w:type="dxa"/>
            <w:shd w:val="clear" w:color="auto" w:fill="auto"/>
            <w:noWrap/>
            <w:vAlign w:val="center"/>
          </w:tcPr>
          <w:p w14:paraId="13223196"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NO</w:t>
            </w:r>
          </w:p>
        </w:tc>
        <w:tc>
          <w:tcPr>
            <w:tcW w:w="787" w:type="dxa"/>
            <w:shd w:val="clear" w:color="auto" w:fill="auto"/>
            <w:noWrap/>
            <w:vAlign w:val="center"/>
          </w:tcPr>
          <w:p w14:paraId="21D4FF17"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NO</w:t>
            </w:r>
          </w:p>
        </w:tc>
        <w:tc>
          <w:tcPr>
            <w:tcW w:w="788" w:type="dxa"/>
            <w:shd w:val="clear" w:color="auto" w:fill="auto"/>
            <w:vAlign w:val="center"/>
          </w:tcPr>
          <w:p w14:paraId="034AE6A8" w14:textId="77777777" w:rsidR="008D0609" w:rsidRPr="007944FA" w:rsidRDefault="008D0609" w:rsidP="006D46D8">
            <w:pPr>
              <w:keepNext/>
              <w:keepLines/>
              <w:jc w:val="right"/>
              <w:rPr>
                <w:rFonts w:ascii="Arial" w:hAnsi="Arial" w:cs="Arial"/>
                <w:sz w:val="18"/>
                <w:szCs w:val="18"/>
              </w:rPr>
            </w:pPr>
            <w:r w:rsidRPr="007944FA">
              <w:rPr>
                <w:rFonts w:ascii="Arial" w:hAnsi="Arial" w:cs="Arial"/>
                <w:sz w:val="18"/>
                <w:szCs w:val="18"/>
              </w:rPr>
              <w:t>NO</w:t>
            </w:r>
          </w:p>
        </w:tc>
        <w:tc>
          <w:tcPr>
            <w:tcW w:w="941" w:type="dxa"/>
            <w:vAlign w:val="center"/>
          </w:tcPr>
          <w:p w14:paraId="6B7F7194" w14:textId="77777777" w:rsidR="008D0609" w:rsidRPr="007944FA" w:rsidRDefault="008D0609" w:rsidP="006D46D8">
            <w:pPr>
              <w:keepNext/>
              <w:keepLines/>
              <w:jc w:val="center"/>
              <w:rPr>
                <w:rFonts w:ascii="Arial" w:hAnsi="Arial" w:cs="Arial"/>
                <w:sz w:val="18"/>
                <w:szCs w:val="18"/>
              </w:rPr>
            </w:pPr>
            <w:r w:rsidRPr="007944FA">
              <w:rPr>
                <w:rFonts w:ascii="Arial" w:hAnsi="Arial" w:cs="Arial"/>
                <w:sz w:val="18"/>
                <w:szCs w:val="18"/>
              </w:rPr>
              <w:t>–</w:t>
            </w:r>
          </w:p>
        </w:tc>
        <w:tc>
          <w:tcPr>
            <w:tcW w:w="993" w:type="dxa"/>
            <w:vAlign w:val="center"/>
          </w:tcPr>
          <w:p w14:paraId="13351D9A" w14:textId="77777777" w:rsidR="008D0609" w:rsidRPr="007944FA" w:rsidRDefault="008D0609" w:rsidP="006D46D8">
            <w:pPr>
              <w:keepNext/>
              <w:keepLines/>
              <w:jc w:val="center"/>
              <w:rPr>
                <w:rFonts w:ascii="Arial" w:hAnsi="Arial" w:cs="Arial"/>
                <w:sz w:val="18"/>
                <w:szCs w:val="18"/>
              </w:rPr>
            </w:pPr>
            <w:r w:rsidRPr="007944FA">
              <w:rPr>
                <w:rFonts w:ascii="Arial" w:hAnsi="Arial" w:cs="Arial"/>
                <w:sz w:val="18"/>
                <w:szCs w:val="18"/>
              </w:rPr>
              <w:t>–</w:t>
            </w:r>
          </w:p>
        </w:tc>
        <w:tc>
          <w:tcPr>
            <w:tcW w:w="1134" w:type="dxa"/>
            <w:vAlign w:val="center"/>
          </w:tcPr>
          <w:p w14:paraId="77BD5776" w14:textId="77777777" w:rsidR="008D0609" w:rsidRPr="007944FA" w:rsidRDefault="008D0609" w:rsidP="006D46D8">
            <w:pPr>
              <w:keepNext/>
              <w:keepLines/>
              <w:jc w:val="center"/>
              <w:rPr>
                <w:rFonts w:ascii="Arial" w:hAnsi="Arial" w:cs="Arial"/>
                <w:sz w:val="18"/>
                <w:szCs w:val="18"/>
              </w:rPr>
            </w:pPr>
            <w:r w:rsidRPr="007944FA">
              <w:rPr>
                <w:rFonts w:ascii="Arial" w:hAnsi="Arial" w:cs="Arial"/>
                <w:sz w:val="18"/>
                <w:szCs w:val="18"/>
              </w:rPr>
              <w:t>–</w:t>
            </w:r>
          </w:p>
        </w:tc>
      </w:tr>
    </w:tbl>
    <w:p w14:paraId="7D2252BA" w14:textId="1D490B42" w:rsidR="008D0609" w:rsidRPr="007944FA" w:rsidRDefault="002F38E7" w:rsidP="002F38E7">
      <w:pPr>
        <w:pStyle w:val="nikatabelee"/>
      </w:pPr>
      <w:bookmarkStart w:id="150" w:name="_Toc193195394"/>
      <w:r w:rsidRPr="007944FA">
        <w:t>Preglenica 9</w:t>
      </w:r>
      <w:r w:rsidR="003E320C" w:rsidRPr="007944FA">
        <w:t>: Projekcije emisij iz prodaje goriv mednarodnemu letalstvu in mednarodnemu pomorstvu (vir: IJS-CEU)</w:t>
      </w:r>
      <w:bookmarkEnd w:id="150"/>
    </w:p>
    <w:p w14:paraId="69E07BC7" w14:textId="77777777" w:rsidR="003E320C" w:rsidRPr="007944FA" w:rsidRDefault="003E320C" w:rsidP="003E320C">
      <w:pPr>
        <w:jc w:val="both"/>
        <w:rPr>
          <w:rFonts w:ascii="Arial" w:hAnsi="Arial" w:cs="Arial"/>
          <w:b/>
          <w:bCs/>
        </w:rPr>
      </w:pPr>
      <w:r w:rsidRPr="007944FA">
        <w:rPr>
          <w:rFonts w:ascii="Arial" w:hAnsi="Arial" w:cs="Arial"/>
          <w:b/>
          <w:bCs/>
        </w:rPr>
        <w:lastRenderedPageBreak/>
        <w:t>Projekcija ponorov CO2</w:t>
      </w:r>
    </w:p>
    <w:p w14:paraId="63F978E0" w14:textId="694FFAF0" w:rsidR="003E320C" w:rsidRPr="007944FA" w:rsidRDefault="003E320C" w:rsidP="003E320C">
      <w:pPr>
        <w:jc w:val="both"/>
        <w:rPr>
          <w:rFonts w:ascii="Arial" w:hAnsi="Arial" w:cs="Arial"/>
        </w:rPr>
      </w:pPr>
      <w:r w:rsidRPr="007944FA">
        <w:rPr>
          <w:rFonts w:ascii="Arial" w:hAnsi="Arial" w:cs="Arial"/>
        </w:rPr>
        <w:t xml:space="preserve">Ponori </w:t>
      </w:r>
      <w:r w:rsidR="00BA0207" w:rsidRPr="007944FA">
        <w:rPr>
          <w:rFonts w:ascii="Arial" w:hAnsi="Arial" w:cs="Arial"/>
        </w:rPr>
        <w:t>CO</w:t>
      </w:r>
      <w:r w:rsidR="00BA0207" w:rsidRPr="007944FA">
        <w:rPr>
          <w:rFonts w:ascii="Arial" w:hAnsi="Arial" w:cs="Arial"/>
          <w:vertAlign w:val="subscript"/>
        </w:rPr>
        <w:t>2</w:t>
      </w:r>
      <w:r w:rsidRPr="007944FA">
        <w:rPr>
          <w:rFonts w:ascii="Arial" w:hAnsi="Arial" w:cs="Arial"/>
        </w:rPr>
        <w:t xml:space="preserve"> so v Sloveniji pomemben dejavnik za zmanjšanje emisij in blaženje podnebnih sprememb. Leta 2022 so znašali –172 kt </w:t>
      </w:r>
      <w:r w:rsidR="00BA0207" w:rsidRPr="007944FA">
        <w:rPr>
          <w:rFonts w:ascii="Arial" w:hAnsi="Arial" w:cs="Arial"/>
        </w:rPr>
        <w:t>CO</w:t>
      </w:r>
      <w:r w:rsidR="00BA0207" w:rsidRPr="007944FA">
        <w:rPr>
          <w:rFonts w:ascii="Arial" w:hAnsi="Arial" w:cs="Arial"/>
          <w:vertAlign w:val="subscript"/>
        </w:rPr>
        <w:t>2</w:t>
      </w:r>
      <w:r w:rsidRPr="007944FA">
        <w:rPr>
          <w:rFonts w:ascii="Arial" w:hAnsi="Arial" w:cs="Arial"/>
        </w:rPr>
        <w:t>, kar sestavlja 1 % emisij TGP Slovenije. Po obdobju 2014–2018 je bil sektor LULUCF zaradi naravnih nesreč in sanitarne sečnje vir emisij, od leta 2019 pa sektor znova predstavlja ponor, vendar znatno manjši kot pred letom 2014.</w:t>
      </w:r>
    </w:p>
    <w:p w14:paraId="18756B2A" w14:textId="72CCEA53" w:rsidR="003E320C" w:rsidRPr="007944FA" w:rsidRDefault="003E320C" w:rsidP="003E320C">
      <w:pPr>
        <w:jc w:val="both"/>
        <w:rPr>
          <w:rFonts w:ascii="Arial" w:hAnsi="Arial" w:cs="Arial"/>
        </w:rPr>
      </w:pPr>
      <w:r w:rsidRPr="007944FA">
        <w:rPr>
          <w:rFonts w:ascii="Arial" w:hAnsi="Arial" w:cs="Arial"/>
        </w:rPr>
        <w:t xml:space="preserve">Do leta 2030 se po projekciji z ukrepi ponori po zmanjšanju znova povečajo na –792 kt </w:t>
      </w:r>
      <w:r w:rsidR="00BA0207" w:rsidRPr="007944FA">
        <w:rPr>
          <w:rFonts w:ascii="Arial" w:hAnsi="Arial" w:cs="Arial"/>
        </w:rPr>
        <w:t>ek</w:t>
      </w:r>
      <w:r w:rsidR="00284A86" w:rsidRPr="007944FA">
        <w:rPr>
          <w:rFonts w:ascii="Arial" w:hAnsi="Arial" w:cs="Arial"/>
        </w:rPr>
        <w:t>v</w:t>
      </w:r>
      <w:r w:rsidR="00BA0207" w:rsidRPr="007944FA">
        <w:rPr>
          <w:rFonts w:ascii="Arial" w:hAnsi="Arial" w:cs="Arial"/>
        </w:rPr>
        <w:t>. CO</w:t>
      </w:r>
      <w:r w:rsidR="00BA0207" w:rsidRPr="007944FA">
        <w:rPr>
          <w:rFonts w:ascii="Arial" w:hAnsi="Arial" w:cs="Arial"/>
          <w:vertAlign w:val="subscript"/>
        </w:rPr>
        <w:t>2</w:t>
      </w:r>
      <w:r w:rsidRPr="007944FA">
        <w:rPr>
          <w:rFonts w:ascii="Arial" w:hAnsi="Arial" w:cs="Arial"/>
        </w:rPr>
        <w:t xml:space="preserve">. Po letu 2040 se ponori zmanjšajo na –154 kt </w:t>
      </w:r>
      <w:r w:rsidR="00BA0207" w:rsidRPr="007944FA">
        <w:rPr>
          <w:rFonts w:ascii="Arial" w:hAnsi="Arial" w:cs="Arial"/>
        </w:rPr>
        <w:t>ekv. CO</w:t>
      </w:r>
      <w:r w:rsidR="00BA0207" w:rsidRPr="007944FA">
        <w:rPr>
          <w:rFonts w:ascii="Arial" w:hAnsi="Arial" w:cs="Arial"/>
          <w:vertAlign w:val="subscript"/>
        </w:rPr>
        <w:t>2</w:t>
      </w:r>
      <w:r w:rsidRPr="007944FA">
        <w:rPr>
          <w:rFonts w:ascii="Arial" w:hAnsi="Arial" w:cs="Arial"/>
        </w:rPr>
        <w:t>, kot posledica večje potrebe po sečnji, tudi zaradi neugodne starostne strukture gozdov. V projekciji z dodatnimi ukrepi ponori leta 2030 znašajo –</w:t>
      </w:r>
      <w:r w:rsidR="002146B5" w:rsidRPr="007944FA">
        <w:rPr>
          <w:rFonts w:ascii="Arial" w:hAnsi="Arial" w:cs="Arial"/>
        </w:rPr>
        <w:t>2089 kt ekv. CO</w:t>
      </w:r>
      <w:r w:rsidR="002146B5" w:rsidRPr="007944FA">
        <w:rPr>
          <w:rFonts w:ascii="Arial" w:hAnsi="Arial" w:cs="Arial"/>
          <w:vertAlign w:val="subscript"/>
        </w:rPr>
        <w:t>2</w:t>
      </w:r>
      <w:r w:rsidRPr="007944FA">
        <w:rPr>
          <w:rFonts w:ascii="Arial" w:hAnsi="Arial" w:cs="Arial"/>
        </w:rPr>
        <w:t>, leta 2040 pa –</w:t>
      </w:r>
      <w:r w:rsidR="002146B5" w:rsidRPr="007944FA">
        <w:rPr>
          <w:rFonts w:ascii="Arial" w:hAnsi="Arial" w:cs="Arial"/>
        </w:rPr>
        <w:t>2187,38 kt ekv. CO</w:t>
      </w:r>
      <w:r w:rsidR="002146B5" w:rsidRPr="007944FA">
        <w:rPr>
          <w:rFonts w:ascii="Arial" w:hAnsi="Arial" w:cs="Arial"/>
          <w:vertAlign w:val="subscript"/>
        </w:rPr>
        <w:t>2</w:t>
      </w:r>
      <w:r w:rsidRPr="007944FA">
        <w:rPr>
          <w:rFonts w:ascii="Arial" w:hAnsi="Arial" w:cs="Arial"/>
        </w:rPr>
        <w:t xml:space="preserve">. </w:t>
      </w:r>
    </w:p>
    <w:p w14:paraId="2A9689FA" w14:textId="68E3EEE4" w:rsidR="003E320C" w:rsidRPr="007944FA" w:rsidRDefault="003E320C" w:rsidP="003E320C">
      <w:pPr>
        <w:jc w:val="both"/>
        <w:rPr>
          <w:rFonts w:ascii="Arial" w:hAnsi="Arial" w:cs="Arial"/>
        </w:rPr>
      </w:pPr>
      <w:r w:rsidRPr="007944FA">
        <w:rPr>
          <w:rFonts w:ascii="Arial" w:hAnsi="Arial" w:cs="Arial"/>
        </w:rPr>
        <w:t xml:space="preserve">Na gibanje ponorov najbolj vplivajo predvidevanja glede količine skupnega poseka, ki je posledica redčenj, končnih posekov (obnova) ali sanitarne sečnje. Predvideva se, da bo količina poseka znašala 75 % prirastka. Scenarija se razlikujeta v stopnji mortalitete. Scenarij z dodatnimi ukrepi predvideva večjo izvedbo varstvenih in negovalnih del v gozdovih, vključno z intenzivnejšim prilagajanjem drevesne sestave. Pomemben vpliv na ponore ima tudi shranjevanje </w:t>
      </w:r>
      <w:r w:rsidR="00284A86" w:rsidRPr="007944FA">
        <w:rPr>
          <w:rFonts w:ascii="Arial" w:hAnsi="Arial" w:cs="Arial"/>
        </w:rPr>
        <w:t>CO</w:t>
      </w:r>
      <w:r w:rsidR="00284A86" w:rsidRPr="007944FA">
        <w:rPr>
          <w:rFonts w:ascii="Arial" w:hAnsi="Arial" w:cs="Arial"/>
          <w:vertAlign w:val="subscript"/>
        </w:rPr>
        <w:t>2</w:t>
      </w:r>
      <w:r w:rsidRPr="007944FA">
        <w:rPr>
          <w:rFonts w:ascii="Arial" w:hAnsi="Arial" w:cs="Arial"/>
        </w:rPr>
        <w:t xml:space="preserve"> v lesnih izdelkih, ki je v projekcijah z dodatnimi ukrepi izrazitejše kot v projekciji z ukrepi. Projekcije vključujejo vse kategorije v sektorju LULUCF.</w:t>
      </w:r>
    </w:p>
    <w:p w14:paraId="2564E4CF" w14:textId="5343BF2B" w:rsidR="003E320C" w:rsidRPr="007944FA" w:rsidRDefault="00F23329" w:rsidP="003E320C">
      <w:pPr>
        <w:jc w:val="center"/>
        <w:rPr>
          <w:rFonts w:ascii="Arial" w:hAnsi="Arial" w:cs="Arial"/>
        </w:rPr>
      </w:pPr>
      <w:r w:rsidRPr="007944FA">
        <w:rPr>
          <w:noProof/>
          <w:lang w:eastAsia="sl-SI"/>
        </w:rPr>
        <w:drawing>
          <wp:inline distT="0" distB="0" distL="0" distR="0" wp14:anchorId="229543CD" wp14:editId="5356DE72">
            <wp:extent cx="4572000" cy="23622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72000" cy="2362200"/>
                    </a:xfrm>
                    <a:prstGeom prst="rect">
                      <a:avLst/>
                    </a:prstGeom>
                    <a:noFill/>
                    <a:ln>
                      <a:noFill/>
                    </a:ln>
                  </pic:spPr>
                </pic:pic>
              </a:graphicData>
            </a:graphic>
          </wp:inline>
        </w:drawing>
      </w:r>
    </w:p>
    <w:p w14:paraId="79526D5A" w14:textId="1A470A6D" w:rsidR="003E320C" w:rsidRPr="007944FA" w:rsidRDefault="003E320C" w:rsidP="0091142E">
      <w:pPr>
        <w:pStyle w:val="NIKASLIKE"/>
      </w:pPr>
      <w:bookmarkStart w:id="151" w:name="_Toc193194000"/>
      <w:r w:rsidRPr="007944FA">
        <w:t>Slika 27: Dosedanji potek ponorov do leta 2020 in potek ponorov po projekcijah z ukrepi in z dodatnimi ukrepi do leta 2040 (vir: ARSO, GIS)</w:t>
      </w:r>
      <w:bookmarkEnd w:id="151"/>
    </w:p>
    <w:p w14:paraId="54082FD0" w14:textId="77777777" w:rsidR="009B3FC7" w:rsidRPr="007944FA" w:rsidRDefault="009B3FC7" w:rsidP="0091142E">
      <w:pPr>
        <w:pStyle w:val="NIKASLIKE"/>
      </w:pPr>
    </w:p>
    <w:tbl>
      <w:tblPr>
        <w:tblW w:w="9400" w:type="dxa"/>
        <w:tblInd w:w="-572" w:type="dxa"/>
        <w:tblCellMar>
          <w:left w:w="70" w:type="dxa"/>
          <w:right w:w="70" w:type="dxa"/>
        </w:tblCellMar>
        <w:tblLook w:val="04A0" w:firstRow="1" w:lastRow="0" w:firstColumn="1" w:lastColumn="0" w:noHBand="0" w:noVBand="1"/>
      </w:tblPr>
      <w:tblGrid>
        <w:gridCol w:w="1271"/>
        <w:gridCol w:w="2336"/>
        <w:gridCol w:w="813"/>
        <w:gridCol w:w="837"/>
        <w:gridCol w:w="813"/>
        <w:gridCol w:w="20"/>
        <w:gridCol w:w="796"/>
        <w:gridCol w:w="850"/>
        <w:gridCol w:w="851"/>
        <w:gridCol w:w="813"/>
      </w:tblGrid>
      <w:tr w:rsidR="003E320C" w:rsidRPr="0093506F" w14:paraId="2746E306"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A00BD" w14:textId="77777777" w:rsidR="003E320C" w:rsidRPr="007944FA" w:rsidRDefault="003E320C" w:rsidP="006D46D8">
            <w:pPr>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8B2FCD" w14:textId="77777777" w:rsidR="003E320C" w:rsidRPr="007944FA" w:rsidRDefault="003E320C" w:rsidP="006D46D8">
            <w:pPr>
              <w:spacing w:after="0" w:line="240" w:lineRule="auto"/>
              <w:rPr>
                <w:rFonts w:ascii="Arial" w:hAnsi="Arial" w:cs="Arial"/>
                <w:sz w:val="18"/>
                <w:szCs w:val="18"/>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5767C" w14:textId="77777777" w:rsidR="003E320C" w:rsidRPr="007944FA" w:rsidRDefault="003E320C" w:rsidP="006D46D8">
            <w:pPr>
              <w:spacing w:after="0" w:line="240" w:lineRule="auto"/>
              <w:jc w:val="center"/>
              <w:rPr>
                <w:rFonts w:ascii="Arial" w:hAnsi="Arial" w:cs="Arial"/>
                <w:sz w:val="18"/>
                <w:szCs w:val="18"/>
              </w:rPr>
            </w:pPr>
            <w:r w:rsidRPr="007944FA">
              <w:rPr>
                <w:rFonts w:ascii="Arial" w:hAnsi="Arial" w:cs="Arial"/>
                <w:color w:val="000000"/>
                <w:sz w:val="18"/>
                <w:szCs w:val="18"/>
              </w:rPr>
              <w:t>Evidence</w:t>
            </w:r>
          </w:p>
        </w:tc>
        <w:tc>
          <w:tcPr>
            <w:tcW w:w="33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F3091" w14:textId="77777777" w:rsidR="003E320C" w:rsidRPr="007944FA" w:rsidRDefault="003E320C" w:rsidP="006D46D8">
            <w:pPr>
              <w:spacing w:after="0" w:line="240" w:lineRule="auto"/>
              <w:jc w:val="center"/>
              <w:rPr>
                <w:rFonts w:ascii="Arial" w:hAnsi="Arial" w:cs="Arial"/>
                <w:sz w:val="18"/>
                <w:szCs w:val="18"/>
              </w:rPr>
            </w:pPr>
            <w:r w:rsidRPr="007944FA">
              <w:rPr>
                <w:rFonts w:ascii="Arial" w:hAnsi="Arial" w:cs="Arial"/>
                <w:color w:val="000000"/>
                <w:sz w:val="18"/>
                <w:szCs w:val="18"/>
              </w:rPr>
              <w:t>Projekcije z ukrepi</w:t>
            </w:r>
          </w:p>
        </w:tc>
      </w:tr>
      <w:tr w:rsidR="003E320C" w:rsidRPr="0093506F" w14:paraId="0C954B7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80276F" w14:textId="77777777" w:rsidR="003E320C" w:rsidRPr="007944FA" w:rsidRDefault="003E320C" w:rsidP="006D46D8">
            <w:pPr>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5A764" w14:textId="77777777" w:rsidR="003E320C" w:rsidRPr="007944FA" w:rsidRDefault="003E320C" w:rsidP="006D46D8">
            <w:pPr>
              <w:spacing w:after="0" w:line="240" w:lineRule="auto"/>
              <w:rPr>
                <w:rFonts w:ascii="Arial" w:hAnsi="Arial" w:cs="Arial"/>
                <w:sz w:val="18"/>
                <w:szCs w:val="18"/>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3678B" w14:textId="2E77E0CA" w:rsidR="003E320C" w:rsidRPr="007944FA" w:rsidRDefault="003E320C" w:rsidP="006D46D8">
            <w:pPr>
              <w:spacing w:after="0" w:line="240" w:lineRule="auto"/>
              <w:jc w:val="center"/>
              <w:rPr>
                <w:rFonts w:ascii="Arial" w:hAnsi="Arial" w:cs="Arial"/>
                <w:color w:val="000000"/>
                <w:sz w:val="18"/>
                <w:szCs w:val="18"/>
              </w:rPr>
            </w:pPr>
            <w:r w:rsidRPr="007944FA">
              <w:rPr>
                <w:rFonts w:ascii="Arial" w:hAnsi="Arial" w:cs="Arial"/>
                <w:color w:val="000000"/>
                <w:sz w:val="18"/>
                <w:szCs w:val="18"/>
              </w:rPr>
              <w:t>[kt</w:t>
            </w:r>
            <w:r w:rsidR="002146B5" w:rsidRPr="007944FA">
              <w:rPr>
                <w:rFonts w:ascii="Arial" w:hAnsi="Arial" w:cs="Arial"/>
                <w:color w:val="000000"/>
                <w:sz w:val="18"/>
                <w:szCs w:val="18"/>
              </w:rPr>
              <w:t xml:space="preserve"> ekv.</w:t>
            </w:r>
            <w:r w:rsidRPr="007944FA">
              <w:rPr>
                <w:rFonts w:ascii="Arial" w:hAnsi="Arial" w:cs="Arial"/>
                <w:color w:val="000000"/>
                <w:sz w:val="18"/>
                <w:szCs w:val="18"/>
              </w:rPr>
              <w:t xml:space="preserve"> CO</w:t>
            </w:r>
            <w:r w:rsidRPr="007944FA">
              <w:rPr>
                <w:rFonts w:ascii="Arial" w:hAnsi="Arial" w:cs="Arial"/>
                <w:color w:val="000000"/>
                <w:sz w:val="18"/>
                <w:szCs w:val="18"/>
                <w:vertAlign w:val="subscript"/>
              </w:rPr>
              <w:t>2</w:t>
            </w:r>
            <w:r w:rsidRPr="007944FA">
              <w:rPr>
                <w:rFonts w:ascii="Arial" w:hAnsi="Arial" w:cs="Arial"/>
                <w:color w:val="000000"/>
                <w:sz w:val="18"/>
                <w:szCs w:val="18"/>
              </w:rPr>
              <w:t>]</w:t>
            </w:r>
          </w:p>
        </w:tc>
        <w:tc>
          <w:tcPr>
            <w:tcW w:w="331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80C86" w14:textId="312BA02D" w:rsidR="003E320C" w:rsidRPr="007944FA" w:rsidRDefault="003E320C" w:rsidP="006D46D8">
            <w:pPr>
              <w:spacing w:after="0" w:line="240" w:lineRule="auto"/>
              <w:jc w:val="center"/>
              <w:rPr>
                <w:rFonts w:ascii="Arial" w:hAnsi="Arial" w:cs="Arial"/>
                <w:sz w:val="18"/>
                <w:szCs w:val="18"/>
              </w:rPr>
            </w:pPr>
            <w:r w:rsidRPr="007944FA">
              <w:rPr>
                <w:rFonts w:ascii="Arial" w:hAnsi="Arial" w:cs="Arial"/>
                <w:color w:val="000000"/>
                <w:sz w:val="18"/>
                <w:szCs w:val="18"/>
              </w:rPr>
              <w:t>[kt</w:t>
            </w:r>
            <w:r w:rsidR="002146B5" w:rsidRPr="007944FA">
              <w:rPr>
                <w:rFonts w:ascii="Arial" w:hAnsi="Arial" w:cs="Arial"/>
                <w:color w:val="000000"/>
                <w:sz w:val="18"/>
                <w:szCs w:val="18"/>
              </w:rPr>
              <w:t xml:space="preserve"> ekv.</w:t>
            </w:r>
            <w:r w:rsidRPr="007944FA">
              <w:rPr>
                <w:rFonts w:ascii="Arial" w:hAnsi="Arial" w:cs="Arial"/>
                <w:color w:val="000000"/>
                <w:sz w:val="18"/>
                <w:szCs w:val="18"/>
              </w:rPr>
              <w:t xml:space="preserve"> CO</w:t>
            </w:r>
            <w:r w:rsidRPr="007944FA">
              <w:rPr>
                <w:rFonts w:ascii="Arial" w:hAnsi="Arial" w:cs="Arial"/>
                <w:color w:val="000000"/>
                <w:sz w:val="18"/>
                <w:szCs w:val="18"/>
                <w:vertAlign w:val="subscript"/>
              </w:rPr>
              <w:t>2</w:t>
            </w:r>
            <w:r w:rsidRPr="007944FA">
              <w:rPr>
                <w:rFonts w:ascii="Arial" w:hAnsi="Arial" w:cs="Arial"/>
                <w:color w:val="000000"/>
                <w:sz w:val="18"/>
                <w:szCs w:val="18"/>
              </w:rPr>
              <w:t>]</w:t>
            </w:r>
          </w:p>
        </w:tc>
      </w:tr>
      <w:tr w:rsidR="003E320C" w:rsidRPr="0093506F" w14:paraId="0B2E9F79"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E004E" w14:textId="77777777" w:rsidR="003E320C" w:rsidRPr="007944FA" w:rsidRDefault="003E320C" w:rsidP="006D46D8">
            <w:pPr>
              <w:spacing w:after="0" w:line="240" w:lineRule="auto"/>
              <w:rPr>
                <w:rFonts w:ascii="Arial" w:hAnsi="Arial" w:cs="Arial"/>
                <w:sz w:val="18"/>
                <w:szCs w:val="18"/>
              </w:rPr>
            </w:pPr>
            <w:r w:rsidRPr="007944FA">
              <w:rPr>
                <w:rFonts w:ascii="Arial" w:hAnsi="Arial" w:cs="Arial"/>
                <w:sz w:val="18"/>
                <w:szCs w:val="18"/>
              </w:rPr>
              <w:t>CRF koda</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EA0E1" w14:textId="77777777" w:rsidR="003E320C" w:rsidRPr="007944FA" w:rsidRDefault="003E320C" w:rsidP="006D46D8">
            <w:pPr>
              <w:spacing w:after="0" w:line="240" w:lineRule="auto"/>
              <w:rPr>
                <w:rFonts w:ascii="Arial" w:hAnsi="Arial" w:cs="Arial"/>
                <w:sz w:val="18"/>
                <w:szCs w:val="18"/>
              </w:rPr>
            </w:pPr>
            <w:r w:rsidRPr="007944FA">
              <w:rPr>
                <w:rFonts w:ascii="Arial" w:hAnsi="Arial" w:cs="Arial"/>
                <w:sz w:val="18"/>
                <w:szCs w:val="18"/>
              </w:rPr>
              <w:t>Sektor</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CEAAD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1986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C981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2005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303E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2022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A213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A1D5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3857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2035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311C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2040</w:t>
            </w:r>
          </w:p>
        </w:tc>
      </w:tr>
      <w:tr w:rsidR="003E320C" w:rsidRPr="0093506F" w14:paraId="4D619EFE"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16A888DA"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1.A.1, 1.B</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6C6E5"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Oskrba z energijo</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925C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7489</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0AC39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7019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E6D9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3724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E3B3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4359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2FAF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4317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26F8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872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C944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1220</w:t>
            </w:r>
          </w:p>
        </w:tc>
      </w:tr>
      <w:tr w:rsidR="003E320C" w:rsidRPr="0093506F" w14:paraId="597C05B7"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351D5462"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1.A.3</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3B12D6"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Promet</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E706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2051</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B4FB9"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4401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E5569"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5794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F518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5993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733E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6191</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0E338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5545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C88E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4507</w:t>
            </w:r>
          </w:p>
        </w:tc>
      </w:tr>
      <w:tr w:rsidR="003E320C" w:rsidRPr="0093506F" w14:paraId="33B9BDC7"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05F41F7E"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8C85E"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Industrija</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B7C5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5710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DE64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3859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B9155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2744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57CD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2941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43E59"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2899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88CD0"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2913</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ECF0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2962</w:t>
            </w:r>
          </w:p>
        </w:tc>
      </w:tr>
      <w:tr w:rsidR="00EF35F6" w:rsidRPr="0093506F" w14:paraId="27FCF62C"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77B23A88" w14:textId="77777777" w:rsidR="00EF35F6" w:rsidRPr="007944FA" w:rsidRDefault="00EF35F6" w:rsidP="00EF35F6">
            <w:pPr>
              <w:spacing w:after="0" w:line="240" w:lineRule="auto"/>
              <w:rPr>
                <w:rFonts w:ascii="Arial" w:hAnsi="Arial" w:cs="Arial"/>
                <w:color w:val="000000"/>
                <w:sz w:val="18"/>
                <w:szCs w:val="18"/>
              </w:rPr>
            </w:pPr>
            <w:r w:rsidRPr="007944FA">
              <w:rPr>
                <w:rFonts w:ascii="Arial" w:hAnsi="Arial" w:cs="Arial"/>
                <w:color w:val="000000"/>
                <w:sz w:val="18"/>
                <w:szCs w:val="18"/>
              </w:rPr>
              <w:t>1.A.2</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C58F0" w14:textId="19BA93BE" w:rsidR="00EF35F6" w:rsidRPr="007944FA" w:rsidRDefault="00EF35F6" w:rsidP="00EF35F6">
            <w:pPr>
              <w:spacing w:after="0" w:line="240" w:lineRule="auto"/>
              <w:rPr>
                <w:rFonts w:ascii="Arial" w:hAnsi="Arial" w:cs="Arial"/>
                <w:sz w:val="18"/>
                <w:szCs w:val="18"/>
              </w:rPr>
            </w:pPr>
            <w:r w:rsidRPr="007944FA">
              <w:rPr>
                <w:rFonts w:ascii="Arial" w:hAnsi="Arial" w:cs="Arial"/>
                <w:color w:val="808080"/>
                <w:sz w:val="18"/>
                <w:szCs w:val="18"/>
              </w:rPr>
              <w:t xml:space="preserve">  Energetska raba goriv</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CA776"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4124</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11D27"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2464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83F5A"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1605</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345E6"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1843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D591A"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1847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01E66"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1916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1B14E3"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1990</w:t>
            </w:r>
          </w:p>
        </w:tc>
      </w:tr>
      <w:tr w:rsidR="00EF35F6" w:rsidRPr="0093506F" w14:paraId="7A329E48"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2E7CC82F" w14:textId="77777777" w:rsidR="00EF35F6" w:rsidRPr="007944FA" w:rsidRDefault="00EF35F6" w:rsidP="00EF35F6">
            <w:pPr>
              <w:spacing w:after="0" w:line="240" w:lineRule="auto"/>
              <w:rPr>
                <w:rFonts w:ascii="Arial" w:hAnsi="Arial" w:cs="Arial"/>
                <w:color w:val="000000"/>
                <w:sz w:val="18"/>
                <w:szCs w:val="18"/>
              </w:rPr>
            </w:pPr>
            <w:r w:rsidRPr="007944FA">
              <w:rPr>
                <w:rFonts w:ascii="Arial" w:hAnsi="Arial" w:cs="Arial"/>
                <w:color w:val="000000"/>
                <w:sz w:val="18"/>
                <w:szCs w:val="18"/>
              </w:rPr>
              <w:t>2</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87085" w14:textId="3608B702" w:rsidR="00EF35F6" w:rsidRPr="007944FA" w:rsidRDefault="00EF35F6" w:rsidP="00EF35F6">
            <w:pPr>
              <w:spacing w:after="0" w:line="240" w:lineRule="auto"/>
              <w:rPr>
                <w:rFonts w:ascii="Arial" w:hAnsi="Arial" w:cs="Arial"/>
                <w:sz w:val="18"/>
                <w:szCs w:val="18"/>
              </w:rPr>
            </w:pPr>
            <w:r w:rsidRPr="007944FA">
              <w:rPr>
                <w:rFonts w:ascii="Arial" w:hAnsi="Arial" w:cs="Arial"/>
                <w:color w:val="808080"/>
                <w:sz w:val="18"/>
                <w:szCs w:val="18"/>
              </w:rPr>
              <w:t xml:space="preserve">  Ind. procesi</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14FB2"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1586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B2E0B"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1395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20F52"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1139</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2A6E4"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1097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3419"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1052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0708E"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997</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AF0C0" w14:textId="77777777" w:rsidR="00EF35F6" w:rsidRPr="007944FA" w:rsidRDefault="00EF35F6" w:rsidP="00EF35F6">
            <w:pPr>
              <w:spacing w:after="0" w:line="240" w:lineRule="auto"/>
              <w:jc w:val="right"/>
              <w:rPr>
                <w:rFonts w:ascii="Arial" w:hAnsi="Arial" w:cs="Arial"/>
                <w:color w:val="000000"/>
                <w:sz w:val="18"/>
                <w:szCs w:val="18"/>
              </w:rPr>
            </w:pPr>
            <w:r w:rsidRPr="007944FA">
              <w:rPr>
                <w:rFonts w:ascii="Arial" w:hAnsi="Arial" w:cs="Arial"/>
                <w:color w:val="000000"/>
                <w:sz w:val="18"/>
                <w:szCs w:val="18"/>
              </w:rPr>
              <w:t>971</w:t>
            </w:r>
          </w:p>
        </w:tc>
      </w:tr>
      <w:tr w:rsidR="003E320C" w:rsidRPr="0093506F" w14:paraId="2F5CD80A"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02EF3AA1"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1.A.4,  1.A.5</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8D961"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Druga področja</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81C2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2653</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C102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2720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587A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1266</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214C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1106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E484A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914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159C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754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DE4B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649</w:t>
            </w:r>
          </w:p>
        </w:tc>
      </w:tr>
      <w:tr w:rsidR="003E320C" w:rsidRPr="0093506F" w14:paraId="2CF2402C"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17D8C603"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3</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1146A"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Kmetijstvo</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E9109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2038</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EEBF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1769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E4A0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1706</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AC15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7F56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1719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F5A1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1735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0427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1750</w:t>
            </w:r>
          </w:p>
        </w:tc>
      </w:tr>
      <w:tr w:rsidR="003E320C" w:rsidRPr="0093506F" w14:paraId="4AEE3B87"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64949E44"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4</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887F14"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FFD1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–4782</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CC7C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–7236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9CDB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632A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–435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1576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–792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3E3F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E304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–154</w:t>
            </w:r>
          </w:p>
        </w:tc>
      </w:tr>
      <w:tr w:rsidR="003E320C" w:rsidRPr="0093506F" w14:paraId="4E9E18AF"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306E84EF"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5</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E84F7"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Odpadki</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FBDC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697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0C1D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828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9AF60"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380</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9ADE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354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20B7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F31D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240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8F6B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206</w:t>
            </w:r>
          </w:p>
        </w:tc>
      </w:tr>
      <w:tr w:rsidR="003E320C" w:rsidRPr="0093506F" w14:paraId="3B747902"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5C69F"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17B75" w14:textId="77777777" w:rsidR="003E320C" w:rsidRPr="007944FA" w:rsidRDefault="003E320C" w:rsidP="006D46D8">
            <w:pPr>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A0C19" w14:textId="77777777" w:rsidR="003E320C" w:rsidRPr="007944FA" w:rsidRDefault="003E320C" w:rsidP="006D46D8">
            <w:pPr>
              <w:spacing w:after="0" w:line="240" w:lineRule="auto"/>
              <w:rPr>
                <w:rFonts w:ascii="Arial" w:hAnsi="Arial" w:cs="Arial"/>
                <w:sz w:val="18"/>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EF7B1" w14:textId="77777777" w:rsidR="003E320C" w:rsidRPr="007944FA" w:rsidRDefault="003E320C" w:rsidP="006D46D8">
            <w:pPr>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12EA0" w14:textId="77777777" w:rsidR="003E320C" w:rsidRPr="007944FA" w:rsidRDefault="003E320C" w:rsidP="006D46D8">
            <w:pPr>
              <w:spacing w:after="0" w:line="240" w:lineRule="auto"/>
              <w:rPr>
                <w:rFonts w:ascii="Arial" w:hAnsi="Arial" w:cs="Arial"/>
                <w:sz w:val="18"/>
                <w:szCs w:val="18"/>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66420" w14:textId="77777777" w:rsidR="003E320C" w:rsidRPr="007944FA" w:rsidRDefault="003E320C" w:rsidP="006D46D8">
            <w:pPr>
              <w:spacing w:after="0" w:line="240" w:lineRule="auto"/>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BFBB7" w14:textId="77777777" w:rsidR="003E320C" w:rsidRPr="007944FA" w:rsidRDefault="003E320C" w:rsidP="006D46D8">
            <w:pPr>
              <w:spacing w:after="0" w:line="240" w:lineRule="auto"/>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45806" w14:textId="77777777" w:rsidR="003E320C" w:rsidRPr="007944FA" w:rsidRDefault="003E320C" w:rsidP="006D46D8">
            <w:pPr>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1AF07" w14:textId="77777777" w:rsidR="003E320C" w:rsidRPr="007944FA" w:rsidRDefault="003E320C" w:rsidP="006D46D8">
            <w:pPr>
              <w:spacing w:after="0" w:line="240" w:lineRule="auto"/>
              <w:rPr>
                <w:rFonts w:ascii="Arial" w:hAnsi="Arial" w:cs="Arial"/>
                <w:sz w:val="18"/>
                <w:szCs w:val="18"/>
              </w:rPr>
            </w:pPr>
          </w:p>
        </w:tc>
      </w:tr>
      <w:tr w:rsidR="003E320C" w:rsidRPr="0093506F" w14:paraId="3171345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316EB" w14:textId="77777777" w:rsidR="003E320C" w:rsidRPr="007944FA" w:rsidRDefault="003E320C" w:rsidP="006D46D8">
            <w:pPr>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3235D"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CO</w:t>
            </w:r>
            <w:r w:rsidRPr="007944FA">
              <w:rPr>
                <w:rFonts w:ascii="Arial" w:hAnsi="Arial" w:cs="Arial"/>
                <w:color w:val="000000"/>
                <w:sz w:val="18"/>
                <w:szCs w:val="18"/>
                <w:vertAlign w:val="subscript"/>
              </w:rPr>
              <w:t>2</w:t>
            </w:r>
            <w:r w:rsidRPr="007944FA">
              <w:rPr>
                <w:rFonts w:ascii="Arial" w:hAnsi="Arial" w:cs="Arial"/>
                <w:color w:val="000000"/>
                <w:sz w:val="18"/>
                <w:szCs w:val="18"/>
              </w:rPr>
              <w:t xml:space="preserve">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0998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11.921</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DA0D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9644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0FE3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12.480</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4C21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13.173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7DFB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12.835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3DB7F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9769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71B5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8848</w:t>
            </w:r>
          </w:p>
        </w:tc>
      </w:tr>
      <w:tr w:rsidR="003E320C" w:rsidRPr="0093506F" w14:paraId="14BB923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2F0D5"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E10CB"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CO</w:t>
            </w:r>
            <w:r w:rsidRPr="007944FA">
              <w:rPr>
                <w:rFonts w:ascii="Arial" w:hAnsi="Arial" w:cs="Arial"/>
                <w:color w:val="000000"/>
                <w:sz w:val="18"/>
                <w:szCs w:val="18"/>
                <w:vertAlign w:val="subscript"/>
              </w:rPr>
              <w:t>2</w:t>
            </w:r>
            <w:r w:rsidRPr="007944FA">
              <w:rPr>
                <w:rFonts w:ascii="Arial" w:hAnsi="Arial" w:cs="Arial"/>
                <w:color w:val="000000"/>
                <w:sz w:val="18"/>
                <w:szCs w:val="18"/>
              </w:rPr>
              <w:t xml:space="preserve">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7076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16.767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4A59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16.936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2105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12.701</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8A13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13.633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D476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13.650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9B38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9716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A26B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9018</w:t>
            </w:r>
          </w:p>
        </w:tc>
      </w:tr>
      <w:tr w:rsidR="003E320C" w:rsidRPr="0093506F" w14:paraId="637AC518"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E63FF8"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10490"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CH</w:t>
            </w:r>
            <w:r w:rsidRPr="007944FA">
              <w:rPr>
                <w:rFonts w:ascii="Arial" w:hAnsi="Arial" w:cs="Arial"/>
                <w:color w:val="000000"/>
                <w:sz w:val="18"/>
                <w:szCs w:val="18"/>
                <w:vertAlign w:val="subscript"/>
              </w:rPr>
              <w:t>4</w:t>
            </w:r>
            <w:r w:rsidRPr="007944FA">
              <w:rPr>
                <w:rFonts w:ascii="Arial" w:hAnsi="Arial" w:cs="Arial"/>
                <w:color w:val="000000"/>
                <w:sz w:val="18"/>
                <w:szCs w:val="18"/>
              </w:rPr>
              <w:t xml:space="preserve">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90D7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2926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6392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2711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BDD2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1917</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09D7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1933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5350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1832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FDE8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1574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9A9F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1550</w:t>
            </w:r>
          </w:p>
        </w:tc>
      </w:tr>
      <w:tr w:rsidR="003E320C" w:rsidRPr="0093506F" w14:paraId="058D7B6B"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80B7F"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E08EA"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CH</w:t>
            </w:r>
            <w:r w:rsidRPr="007944FA">
              <w:rPr>
                <w:rFonts w:ascii="Arial" w:hAnsi="Arial" w:cs="Arial"/>
                <w:color w:val="000000"/>
                <w:sz w:val="18"/>
                <w:szCs w:val="18"/>
                <w:vertAlign w:val="subscript"/>
              </w:rPr>
              <w:t>4</w:t>
            </w:r>
            <w:r w:rsidRPr="007944FA">
              <w:rPr>
                <w:rFonts w:ascii="Arial" w:hAnsi="Arial" w:cs="Arial"/>
                <w:color w:val="000000"/>
                <w:sz w:val="18"/>
                <w:szCs w:val="18"/>
              </w:rPr>
              <w:t xml:space="preserve">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8C38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2925</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33AE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2711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EC8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1908</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DF88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1932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5017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1830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59CD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1572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0202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1548</w:t>
            </w:r>
          </w:p>
        </w:tc>
      </w:tr>
      <w:tr w:rsidR="003E320C" w:rsidRPr="0093506F" w14:paraId="14FD54FA"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45ACA"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BC396"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N</w:t>
            </w:r>
            <w:r w:rsidRPr="007944FA">
              <w:rPr>
                <w:rFonts w:ascii="Arial" w:hAnsi="Arial" w:cs="Arial"/>
                <w:color w:val="000000"/>
                <w:sz w:val="18"/>
                <w:szCs w:val="18"/>
                <w:vertAlign w:val="subscript"/>
              </w:rPr>
              <w:t>2</w:t>
            </w:r>
            <w:r w:rsidRPr="007944FA">
              <w:rPr>
                <w:rFonts w:ascii="Arial" w:hAnsi="Arial" w:cs="Arial"/>
                <w:color w:val="000000"/>
                <w:sz w:val="18"/>
                <w:szCs w:val="18"/>
              </w:rPr>
              <w:t>O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B20E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790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A9F8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6D4E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743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1CFF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35BB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708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17AE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696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4D57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696</w:t>
            </w:r>
          </w:p>
        </w:tc>
      </w:tr>
      <w:tr w:rsidR="003E320C" w:rsidRPr="0093506F" w14:paraId="2EF1CFE3"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1B723"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CB9C06"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N</w:t>
            </w:r>
            <w:r w:rsidRPr="007944FA">
              <w:rPr>
                <w:rFonts w:ascii="Arial" w:hAnsi="Arial" w:cs="Arial"/>
                <w:color w:val="000000"/>
                <w:sz w:val="18"/>
                <w:szCs w:val="18"/>
                <w:vertAlign w:val="subscript"/>
              </w:rPr>
              <w:t>2</w:t>
            </w:r>
            <w:r w:rsidRPr="007944FA">
              <w:rPr>
                <w:rFonts w:ascii="Arial" w:hAnsi="Arial" w:cs="Arial"/>
                <w:color w:val="000000"/>
                <w:sz w:val="18"/>
                <w:szCs w:val="18"/>
              </w:rPr>
              <w:t>O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D51A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727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1FB0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672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7744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703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4F85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675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D75FE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687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6A29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679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76E5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682</w:t>
            </w:r>
          </w:p>
        </w:tc>
      </w:tr>
      <w:tr w:rsidR="003E320C" w:rsidRPr="0093506F" w14:paraId="783635CB"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0F2BD"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CE3C6"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HFC</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AF5B9"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AF66"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292D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282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7A06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0D9D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142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2122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77</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038F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34</w:t>
            </w:r>
          </w:p>
        </w:tc>
      </w:tr>
      <w:tr w:rsidR="003E320C" w:rsidRPr="0093506F" w14:paraId="5A5FCA89"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A9352"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2A441"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PFC</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427E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CB8E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DDE1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DFB5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FEA0F"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316C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E3F50"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r>
      <w:tr w:rsidR="003E320C" w:rsidRPr="0093506F" w14:paraId="4C0BFEF2"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E9C7E2"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5E1F9"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SF</w:t>
            </w:r>
            <w:r w:rsidRPr="007944FA">
              <w:rPr>
                <w:rFonts w:ascii="Arial" w:hAnsi="Arial" w:cs="Arial"/>
                <w:color w:val="000000"/>
                <w:sz w:val="18"/>
                <w:szCs w:val="18"/>
                <w:vertAlign w:val="subscript"/>
              </w:rPr>
              <w:t>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DAE220"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1C93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0B91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17</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39821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0AB4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7DDD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59403"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11</w:t>
            </w:r>
          </w:p>
        </w:tc>
      </w:tr>
      <w:tr w:rsidR="003E320C" w:rsidRPr="0093506F" w14:paraId="0ABCE425"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06B2D"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C47FB"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NF</w:t>
            </w:r>
            <w:r w:rsidRPr="007944FA">
              <w:rPr>
                <w:rFonts w:ascii="Arial" w:hAnsi="Arial" w:cs="Arial"/>
                <w:color w:val="000000"/>
                <w:sz w:val="18"/>
                <w:szCs w:val="18"/>
                <w:vertAlign w:val="subscript"/>
              </w:rPr>
              <w:t>3</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24F96" w14:textId="77777777" w:rsidR="003E320C" w:rsidRPr="007944FA" w:rsidRDefault="003E320C" w:rsidP="006D46D8">
            <w:pPr>
              <w:spacing w:after="0" w:line="240" w:lineRule="auto"/>
              <w:rPr>
                <w:rFonts w:ascii="Arial" w:hAnsi="Arial" w:cs="Arial"/>
                <w:color w:val="000000"/>
                <w:sz w:val="18"/>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41172" w14:textId="77777777" w:rsidR="003E320C" w:rsidRPr="007944FA" w:rsidRDefault="003E320C" w:rsidP="006D46D8">
            <w:pPr>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E2818" w14:textId="77777777" w:rsidR="003E320C" w:rsidRPr="007944FA" w:rsidRDefault="003E320C" w:rsidP="006D46D8">
            <w:pPr>
              <w:spacing w:after="0" w:line="240" w:lineRule="auto"/>
              <w:rPr>
                <w:rFonts w:ascii="Arial" w:hAnsi="Arial" w:cs="Arial"/>
                <w:sz w:val="18"/>
                <w:szCs w:val="18"/>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4E6DA" w14:textId="77777777" w:rsidR="003E320C" w:rsidRPr="007944FA" w:rsidRDefault="003E320C" w:rsidP="006D46D8">
            <w:pPr>
              <w:spacing w:after="0" w:line="240" w:lineRule="auto"/>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913A1" w14:textId="77777777" w:rsidR="003E320C" w:rsidRPr="007944FA" w:rsidRDefault="003E320C" w:rsidP="006D46D8">
            <w:pPr>
              <w:spacing w:after="0" w:line="240" w:lineRule="auto"/>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310E8" w14:textId="77777777" w:rsidR="003E320C" w:rsidRPr="007944FA" w:rsidRDefault="003E320C" w:rsidP="006D46D8">
            <w:pPr>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C7338" w14:textId="77777777" w:rsidR="003E320C" w:rsidRPr="007944FA" w:rsidRDefault="003E320C" w:rsidP="006D46D8">
            <w:pPr>
              <w:spacing w:after="0" w:line="240" w:lineRule="auto"/>
              <w:rPr>
                <w:rFonts w:ascii="Arial" w:hAnsi="Arial" w:cs="Arial"/>
                <w:sz w:val="18"/>
                <w:szCs w:val="18"/>
              </w:rPr>
            </w:pPr>
          </w:p>
        </w:tc>
      </w:tr>
      <w:tr w:rsidR="003E320C" w:rsidRPr="0093506F" w14:paraId="24F8CE9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906C8" w14:textId="77777777" w:rsidR="003E320C" w:rsidRPr="007944FA" w:rsidRDefault="003E320C" w:rsidP="006D46D8">
            <w:pPr>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5E7FF"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SKUPAJ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31E41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15.857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08715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13.360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103C7"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15.442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ACCB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16.044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CB07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15.533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ACEB9"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12.130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974F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11.140</w:t>
            </w:r>
          </w:p>
        </w:tc>
      </w:tr>
      <w:tr w:rsidR="003E320C" w:rsidRPr="0093506F" w14:paraId="5A9DC677"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B67A6"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44CDB"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SKUPAJ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549A4"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20.638</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721D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20.596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A52A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15.615</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2B6AD"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16.479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D6E00B"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16.325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DCDA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12.058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665D8"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11.293</w:t>
            </w:r>
          </w:p>
        </w:tc>
      </w:tr>
    </w:tbl>
    <w:p w14:paraId="71D3A981" w14:textId="77777777" w:rsidR="003E320C" w:rsidRPr="007944FA" w:rsidRDefault="003E320C" w:rsidP="003E320C">
      <w:pPr>
        <w:rPr>
          <w:rFonts w:ascii="Arial" w:hAnsi="Arial" w:cs="Arial"/>
        </w:rPr>
      </w:pPr>
    </w:p>
    <w:p w14:paraId="74A7D602" w14:textId="231AAD8D" w:rsidR="003E320C" w:rsidRPr="007944FA" w:rsidRDefault="002F38E7" w:rsidP="002F38E7">
      <w:pPr>
        <w:pStyle w:val="nikatabelee"/>
      </w:pPr>
      <w:bookmarkStart w:id="152" w:name="_Toc193195395"/>
      <w:r w:rsidRPr="007944FA">
        <w:t>Preglednica 10</w:t>
      </w:r>
      <w:r w:rsidR="003E320C" w:rsidRPr="007944FA">
        <w:t>: Projekcije emisij TGP in ponorov po scenariju z ukrepi</w:t>
      </w:r>
      <w:bookmarkEnd w:id="152"/>
    </w:p>
    <w:tbl>
      <w:tblPr>
        <w:tblW w:w="9217" w:type="dxa"/>
        <w:tblInd w:w="-431" w:type="dxa"/>
        <w:tblCellMar>
          <w:left w:w="70" w:type="dxa"/>
          <w:right w:w="70" w:type="dxa"/>
        </w:tblCellMar>
        <w:tblLook w:val="04A0" w:firstRow="1" w:lastRow="0" w:firstColumn="1" w:lastColumn="0" w:noHBand="0" w:noVBand="1"/>
      </w:tblPr>
      <w:tblGrid>
        <w:gridCol w:w="1271"/>
        <w:gridCol w:w="2336"/>
        <w:gridCol w:w="813"/>
        <w:gridCol w:w="837"/>
        <w:gridCol w:w="813"/>
        <w:gridCol w:w="20"/>
        <w:gridCol w:w="796"/>
        <w:gridCol w:w="850"/>
        <w:gridCol w:w="851"/>
        <w:gridCol w:w="630"/>
      </w:tblGrid>
      <w:tr w:rsidR="003E320C" w:rsidRPr="0093506F" w14:paraId="12A1FAAA"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577C4C" w14:textId="77777777" w:rsidR="003E320C" w:rsidRPr="007944FA" w:rsidRDefault="003E320C" w:rsidP="006D46D8">
            <w:pPr>
              <w:keepNext/>
              <w:keepLines/>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82EC6" w14:textId="77777777" w:rsidR="003E320C" w:rsidRPr="007944FA" w:rsidRDefault="003E320C" w:rsidP="006D46D8">
            <w:pPr>
              <w:keepNext/>
              <w:keepLines/>
              <w:spacing w:after="0" w:line="240" w:lineRule="auto"/>
              <w:rPr>
                <w:rFonts w:ascii="Arial" w:hAnsi="Arial" w:cs="Arial"/>
                <w:sz w:val="18"/>
                <w:szCs w:val="18"/>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7407E" w14:textId="77777777" w:rsidR="003E320C" w:rsidRPr="007944FA" w:rsidRDefault="003E320C" w:rsidP="006D46D8">
            <w:pPr>
              <w:keepNext/>
              <w:keepLines/>
              <w:spacing w:after="0" w:line="240" w:lineRule="auto"/>
              <w:jc w:val="center"/>
              <w:rPr>
                <w:rFonts w:ascii="Arial" w:hAnsi="Arial" w:cs="Arial"/>
                <w:sz w:val="18"/>
                <w:szCs w:val="18"/>
              </w:rPr>
            </w:pPr>
            <w:r w:rsidRPr="007944FA">
              <w:rPr>
                <w:rFonts w:ascii="Arial" w:hAnsi="Arial" w:cs="Arial"/>
                <w:color w:val="000000"/>
                <w:sz w:val="18"/>
                <w:szCs w:val="18"/>
              </w:rPr>
              <w:t>Evidence</w:t>
            </w:r>
          </w:p>
        </w:tc>
        <w:tc>
          <w:tcPr>
            <w:tcW w:w="312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1DE18" w14:textId="6FCE8DFD" w:rsidR="003E320C" w:rsidRPr="007944FA" w:rsidRDefault="003E320C" w:rsidP="006D46D8">
            <w:pPr>
              <w:keepNext/>
              <w:keepLines/>
              <w:spacing w:after="0" w:line="240" w:lineRule="auto"/>
              <w:jc w:val="center"/>
              <w:rPr>
                <w:rFonts w:ascii="Arial" w:hAnsi="Arial" w:cs="Arial"/>
                <w:sz w:val="18"/>
                <w:szCs w:val="18"/>
              </w:rPr>
            </w:pPr>
            <w:r w:rsidRPr="007944FA">
              <w:rPr>
                <w:rFonts w:ascii="Arial" w:hAnsi="Arial" w:cs="Arial"/>
                <w:color w:val="000000"/>
                <w:sz w:val="18"/>
                <w:szCs w:val="18"/>
              </w:rPr>
              <w:t xml:space="preserve">Projekcije z </w:t>
            </w:r>
            <w:r w:rsidR="00155E07" w:rsidRPr="007944FA">
              <w:rPr>
                <w:rFonts w:ascii="Arial" w:hAnsi="Arial" w:cs="Arial"/>
                <w:color w:val="000000"/>
                <w:sz w:val="18"/>
                <w:szCs w:val="18"/>
              </w:rPr>
              <w:t xml:space="preserve">dodatnimi </w:t>
            </w:r>
            <w:r w:rsidRPr="007944FA">
              <w:rPr>
                <w:rFonts w:ascii="Arial" w:hAnsi="Arial" w:cs="Arial"/>
                <w:color w:val="000000"/>
                <w:sz w:val="18"/>
                <w:szCs w:val="18"/>
              </w:rPr>
              <w:t>ukrepi</w:t>
            </w:r>
          </w:p>
        </w:tc>
      </w:tr>
      <w:tr w:rsidR="003E320C" w:rsidRPr="0093506F" w14:paraId="2CD24181"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A0B38" w14:textId="77777777" w:rsidR="003E320C" w:rsidRPr="007944FA" w:rsidRDefault="003E320C" w:rsidP="006D46D8">
            <w:pPr>
              <w:keepNext/>
              <w:keepLines/>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D5DC6" w14:textId="77777777" w:rsidR="003E320C" w:rsidRPr="007944FA" w:rsidRDefault="003E320C" w:rsidP="006D46D8">
            <w:pPr>
              <w:keepNext/>
              <w:keepLines/>
              <w:spacing w:after="0" w:line="240" w:lineRule="auto"/>
              <w:rPr>
                <w:rFonts w:ascii="Arial" w:hAnsi="Arial" w:cs="Arial"/>
                <w:sz w:val="18"/>
                <w:szCs w:val="18"/>
              </w:rPr>
            </w:pPr>
          </w:p>
        </w:tc>
        <w:tc>
          <w:tcPr>
            <w:tcW w:w="248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36DA4" w14:textId="35C13FB1" w:rsidR="003E320C" w:rsidRPr="007944FA" w:rsidRDefault="003E320C" w:rsidP="006D46D8">
            <w:pPr>
              <w:keepNext/>
              <w:keepLines/>
              <w:spacing w:after="0" w:line="240" w:lineRule="auto"/>
              <w:jc w:val="center"/>
              <w:rPr>
                <w:rFonts w:ascii="Arial" w:hAnsi="Arial" w:cs="Arial"/>
                <w:color w:val="000000"/>
                <w:sz w:val="18"/>
                <w:szCs w:val="18"/>
              </w:rPr>
            </w:pPr>
            <w:r w:rsidRPr="007944FA">
              <w:rPr>
                <w:rFonts w:ascii="Arial" w:hAnsi="Arial" w:cs="Arial"/>
                <w:color w:val="000000"/>
                <w:sz w:val="18"/>
                <w:szCs w:val="18"/>
              </w:rPr>
              <w:t>[kt</w:t>
            </w:r>
            <w:r w:rsidR="002146B5" w:rsidRPr="007944FA">
              <w:rPr>
                <w:rFonts w:ascii="Arial" w:hAnsi="Arial" w:cs="Arial"/>
                <w:color w:val="000000"/>
                <w:sz w:val="18"/>
                <w:szCs w:val="18"/>
              </w:rPr>
              <w:t xml:space="preserve"> ekv.</w:t>
            </w:r>
            <w:r w:rsidRPr="007944FA">
              <w:rPr>
                <w:rFonts w:ascii="Arial" w:hAnsi="Arial" w:cs="Arial"/>
                <w:color w:val="000000"/>
                <w:sz w:val="18"/>
                <w:szCs w:val="18"/>
              </w:rPr>
              <w:t xml:space="preserve"> CO</w:t>
            </w:r>
            <w:r w:rsidRPr="007944FA">
              <w:rPr>
                <w:rFonts w:ascii="Arial" w:hAnsi="Arial" w:cs="Arial"/>
                <w:color w:val="000000"/>
                <w:sz w:val="18"/>
                <w:szCs w:val="18"/>
                <w:vertAlign w:val="subscript"/>
              </w:rPr>
              <w:t>2</w:t>
            </w:r>
            <w:r w:rsidRPr="007944FA">
              <w:rPr>
                <w:rFonts w:ascii="Arial" w:hAnsi="Arial" w:cs="Arial"/>
                <w:color w:val="000000"/>
                <w:sz w:val="18"/>
                <w:szCs w:val="18"/>
              </w:rPr>
              <w:t>]</w:t>
            </w:r>
          </w:p>
        </w:tc>
        <w:tc>
          <w:tcPr>
            <w:tcW w:w="3127"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1F7F4" w14:textId="7916491D" w:rsidR="003E320C" w:rsidRPr="007944FA" w:rsidRDefault="003E320C" w:rsidP="006D46D8">
            <w:pPr>
              <w:keepNext/>
              <w:keepLines/>
              <w:spacing w:after="0" w:line="240" w:lineRule="auto"/>
              <w:jc w:val="center"/>
              <w:rPr>
                <w:rFonts w:ascii="Arial" w:hAnsi="Arial" w:cs="Arial"/>
                <w:sz w:val="18"/>
                <w:szCs w:val="18"/>
              </w:rPr>
            </w:pPr>
            <w:r w:rsidRPr="007944FA">
              <w:rPr>
                <w:rFonts w:ascii="Arial" w:hAnsi="Arial" w:cs="Arial"/>
                <w:color w:val="000000"/>
                <w:sz w:val="18"/>
                <w:szCs w:val="18"/>
              </w:rPr>
              <w:t>[kt</w:t>
            </w:r>
            <w:r w:rsidR="002146B5" w:rsidRPr="007944FA">
              <w:rPr>
                <w:rFonts w:ascii="Arial" w:hAnsi="Arial" w:cs="Arial"/>
                <w:color w:val="000000"/>
                <w:sz w:val="18"/>
                <w:szCs w:val="18"/>
              </w:rPr>
              <w:t xml:space="preserve"> ekv.</w:t>
            </w:r>
            <w:r w:rsidRPr="007944FA">
              <w:rPr>
                <w:rFonts w:ascii="Arial" w:hAnsi="Arial" w:cs="Arial"/>
                <w:color w:val="000000"/>
                <w:sz w:val="18"/>
                <w:szCs w:val="18"/>
              </w:rPr>
              <w:t xml:space="preserve"> CO</w:t>
            </w:r>
            <w:r w:rsidRPr="007944FA">
              <w:rPr>
                <w:rFonts w:ascii="Arial" w:hAnsi="Arial" w:cs="Arial"/>
                <w:color w:val="000000"/>
                <w:sz w:val="18"/>
                <w:szCs w:val="18"/>
                <w:vertAlign w:val="subscript"/>
              </w:rPr>
              <w:t>2</w:t>
            </w:r>
            <w:r w:rsidRPr="007944FA">
              <w:rPr>
                <w:rFonts w:ascii="Arial" w:hAnsi="Arial" w:cs="Arial"/>
                <w:color w:val="000000"/>
                <w:sz w:val="18"/>
                <w:szCs w:val="18"/>
              </w:rPr>
              <w:t>]</w:t>
            </w:r>
          </w:p>
        </w:tc>
      </w:tr>
      <w:tr w:rsidR="003E320C" w:rsidRPr="0093506F" w14:paraId="55F3F74C"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27C111" w14:textId="77777777" w:rsidR="003E320C" w:rsidRPr="007944FA" w:rsidRDefault="003E320C" w:rsidP="006D46D8">
            <w:pPr>
              <w:keepNext/>
              <w:keepLines/>
              <w:spacing w:after="0" w:line="240" w:lineRule="auto"/>
              <w:rPr>
                <w:rFonts w:ascii="Arial" w:hAnsi="Arial" w:cs="Arial"/>
                <w:sz w:val="18"/>
                <w:szCs w:val="18"/>
              </w:rPr>
            </w:pPr>
            <w:r w:rsidRPr="007944FA">
              <w:rPr>
                <w:rFonts w:ascii="Arial" w:hAnsi="Arial" w:cs="Arial"/>
                <w:sz w:val="18"/>
                <w:szCs w:val="18"/>
              </w:rPr>
              <w:t>CRF koda</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65C6E" w14:textId="77777777" w:rsidR="003E320C" w:rsidRPr="007944FA" w:rsidRDefault="003E320C" w:rsidP="006D46D8">
            <w:pPr>
              <w:keepNext/>
              <w:keepLines/>
              <w:spacing w:after="0" w:line="240" w:lineRule="auto"/>
              <w:rPr>
                <w:rFonts w:ascii="Arial" w:hAnsi="Arial" w:cs="Arial"/>
                <w:sz w:val="18"/>
                <w:szCs w:val="18"/>
              </w:rPr>
            </w:pPr>
            <w:r w:rsidRPr="007944FA">
              <w:rPr>
                <w:rFonts w:ascii="Arial" w:hAnsi="Arial" w:cs="Arial"/>
                <w:sz w:val="18"/>
                <w:szCs w:val="18"/>
              </w:rPr>
              <w:t>Sektor</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B4A4B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1986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0595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2005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F924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2022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A9E0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2025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C76C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4EDF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2035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A999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2040</w:t>
            </w:r>
          </w:p>
        </w:tc>
      </w:tr>
      <w:tr w:rsidR="003E320C" w:rsidRPr="0093506F" w14:paraId="78B2B7EE"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0B6301BE"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1.A.1, 1.B</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69569"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Oskrba z energijo</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DED09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7489</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5C71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7019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29B3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3724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93DC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4251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31ED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3827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2A5A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1219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A9E9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670</w:t>
            </w:r>
          </w:p>
        </w:tc>
      </w:tr>
      <w:tr w:rsidR="003E320C" w:rsidRPr="0093506F" w14:paraId="44AB624A"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7B4724C3"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1.A.3</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5A3E0E"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Promet</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B8A9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2051</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14F5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4401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CF60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5794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719F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5803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C3E7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4350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C590B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2869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D470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1657</w:t>
            </w:r>
          </w:p>
        </w:tc>
      </w:tr>
      <w:tr w:rsidR="003E320C" w:rsidRPr="0093506F" w14:paraId="7A2BB56A"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7DE67CEE"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3C4AE"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Industrija</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CF16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5710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593A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3859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069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2744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0C7E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2706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176A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2393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0E19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1405</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C502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1215</w:t>
            </w:r>
          </w:p>
        </w:tc>
      </w:tr>
      <w:tr w:rsidR="003E320C" w:rsidRPr="0093506F" w14:paraId="6EA7923D"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79DBAE1F"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1.A.2</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3DCF6" w14:textId="77777777" w:rsidR="003E320C" w:rsidRPr="007944FA" w:rsidRDefault="003E320C" w:rsidP="006D46D8">
            <w:pPr>
              <w:keepNext/>
              <w:keepLines/>
              <w:spacing w:after="0" w:line="240" w:lineRule="auto"/>
              <w:rPr>
                <w:rFonts w:ascii="Arial" w:hAnsi="Arial" w:cs="Arial"/>
                <w:color w:val="808080"/>
                <w:sz w:val="18"/>
                <w:szCs w:val="18"/>
              </w:rPr>
            </w:pPr>
            <w:r w:rsidRPr="007944FA">
              <w:rPr>
                <w:rFonts w:ascii="Arial" w:hAnsi="Arial" w:cs="Arial"/>
                <w:color w:val="808080"/>
                <w:sz w:val="18"/>
                <w:szCs w:val="18"/>
              </w:rPr>
              <w:t xml:space="preserve">  Energetska raba goriv</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30B36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4124</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5EDE1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2464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A0AB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1605</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AE97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BA7B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1334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CF7E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903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E76F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740</w:t>
            </w:r>
          </w:p>
        </w:tc>
      </w:tr>
      <w:tr w:rsidR="003E320C" w:rsidRPr="0093506F" w14:paraId="0DC5D01E"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2DA20F32"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2</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DAD55" w14:textId="77777777" w:rsidR="003E320C" w:rsidRPr="007944FA" w:rsidRDefault="003E320C" w:rsidP="006D46D8">
            <w:pPr>
              <w:keepNext/>
              <w:keepLines/>
              <w:spacing w:after="0" w:line="240" w:lineRule="auto"/>
              <w:rPr>
                <w:rFonts w:ascii="Arial" w:hAnsi="Arial" w:cs="Arial"/>
                <w:color w:val="808080"/>
                <w:sz w:val="18"/>
                <w:szCs w:val="18"/>
              </w:rPr>
            </w:pPr>
            <w:r w:rsidRPr="007944FA">
              <w:rPr>
                <w:rFonts w:ascii="Arial" w:hAnsi="Arial" w:cs="Arial"/>
                <w:color w:val="808080"/>
                <w:sz w:val="18"/>
                <w:szCs w:val="18"/>
              </w:rPr>
              <w:t xml:space="preserve">  Ind. procesi</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F6A4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1586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BE0F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1395</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1EA5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1139</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74B6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1103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421F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1059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86E2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502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7A5F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475</w:t>
            </w:r>
          </w:p>
        </w:tc>
      </w:tr>
      <w:tr w:rsidR="003E320C" w:rsidRPr="0093506F" w14:paraId="721FF8AC"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78CDBFE6"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1.A.4,  1.A.5</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7D2D1"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Druga področja</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F63E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2653</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990A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2720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F45C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1266</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5182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1076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D15E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823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2DB7C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608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1038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441</w:t>
            </w:r>
          </w:p>
        </w:tc>
      </w:tr>
      <w:tr w:rsidR="003E320C" w:rsidRPr="0093506F" w14:paraId="68A59966"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4F93E102"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3</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BF3BF"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Kmetijstvo</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2E76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2038</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49F4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1769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BE610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1706</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DDA8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1726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47C3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1698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D9B9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1642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72C2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1584</w:t>
            </w:r>
          </w:p>
        </w:tc>
      </w:tr>
      <w:tr w:rsidR="003E320C" w:rsidRPr="0093506F" w14:paraId="36639360"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33FAD7F7"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4</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BE683"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709E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–4782</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2D1D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–7236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9A59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223BF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–697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34FD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–2089</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BC90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–1704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BA8B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–2187</w:t>
            </w:r>
          </w:p>
        </w:tc>
      </w:tr>
      <w:tr w:rsidR="003E320C" w:rsidRPr="0093506F" w14:paraId="568C80C2" w14:textId="77777777" w:rsidTr="00F336EC">
        <w:trPr>
          <w:trHeight w:val="300"/>
        </w:trPr>
        <w:tc>
          <w:tcPr>
            <w:tcW w:w="1271" w:type="dxa"/>
            <w:tcBorders>
              <w:top w:val="single" w:sz="4" w:space="0" w:color="auto"/>
              <w:left w:val="single" w:sz="4" w:space="0" w:color="auto"/>
              <w:bottom w:val="single" w:sz="4" w:space="0" w:color="auto"/>
              <w:right w:val="nil"/>
            </w:tcBorders>
            <w:shd w:val="clear" w:color="auto" w:fill="auto"/>
            <w:noWrap/>
            <w:vAlign w:val="bottom"/>
            <w:hideMark/>
          </w:tcPr>
          <w:p w14:paraId="25199422"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5</w:t>
            </w: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4900D"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Odpadki</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7294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697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83BF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828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29B5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380</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E8CF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354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274D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285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9FE7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240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37C8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206</w:t>
            </w:r>
          </w:p>
        </w:tc>
      </w:tr>
      <w:tr w:rsidR="003E320C" w:rsidRPr="0093506F" w14:paraId="69BD3668"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48424"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BE47F8" w14:textId="77777777" w:rsidR="003E320C" w:rsidRPr="007944FA" w:rsidRDefault="003E320C" w:rsidP="006D46D8">
            <w:pPr>
              <w:keepNext/>
              <w:keepLines/>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BEEB3" w14:textId="77777777" w:rsidR="003E320C" w:rsidRPr="007944FA" w:rsidRDefault="003E320C" w:rsidP="006D46D8">
            <w:pPr>
              <w:keepNext/>
              <w:keepLines/>
              <w:spacing w:after="0" w:line="240" w:lineRule="auto"/>
              <w:rPr>
                <w:rFonts w:ascii="Arial" w:hAnsi="Arial" w:cs="Arial"/>
                <w:sz w:val="18"/>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6141A9" w14:textId="77777777" w:rsidR="003E320C" w:rsidRPr="007944FA" w:rsidRDefault="003E320C" w:rsidP="006D46D8">
            <w:pPr>
              <w:keepNext/>
              <w:keepLines/>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0DB52" w14:textId="77777777" w:rsidR="003E320C" w:rsidRPr="007944FA" w:rsidRDefault="003E320C" w:rsidP="006D46D8">
            <w:pPr>
              <w:keepNext/>
              <w:keepLines/>
              <w:spacing w:after="0" w:line="240" w:lineRule="auto"/>
              <w:rPr>
                <w:rFonts w:ascii="Arial" w:hAnsi="Arial" w:cs="Arial"/>
                <w:sz w:val="18"/>
                <w:szCs w:val="18"/>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A9410" w14:textId="77777777" w:rsidR="003E320C" w:rsidRPr="007944FA" w:rsidRDefault="003E320C" w:rsidP="006D46D8">
            <w:pPr>
              <w:keepNext/>
              <w:keepLines/>
              <w:spacing w:after="0" w:line="240" w:lineRule="auto"/>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ED0ED" w14:textId="77777777" w:rsidR="003E320C" w:rsidRPr="007944FA" w:rsidRDefault="003E320C" w:rsidP="006D46D8">
            <w:pPr>
              <w:keepNext/>
              <w:keepLines/>
              <w:spacing w:after="0" w:line="240" w:lineRule="auto"/>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1F545" w14:textId="77777777" w:rsidR="003E320C" w:rsidRPr="007944FA" w:rsidRDefault="003E320C" w:rsidP="006D46D8">
            <w:pPr>
              <w:keepNext/>
              <w:keepLines/>
              <w:spacing w:after="0" w:line="240" w:lineRule="auto"/>
              <w:rPr>
                <w:rFonts w:ascii="Arial"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AB392C" w14:textId="77777777" w:rsidR="003E320C" w:rsidRPr="007944FA" w:rsidRDefault="003E320C" w:rsidP="006D46D8">
            <w:pPr>
              <w:keepNext/>
              <w:keepLines/>
              <w:spacing w:after="0" w:line="240" w:lineRule="auto"/>
              <w:rPr>
                <w:rFonts w:ascii="Arial" w:hAnsi="Arial" w:cs="Arial"/>
                <w:sz w:val="18"/>
                <w:szCs w:val="18"/>
              </w:rPr>
            </w:pPr>
          </w:p>
        </w:tc>
      </w:tr>
      <w:tr w:rsidR="003E320C" w:rsidRPr="0093506F" w14:paraId="01E73A7E"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D236D" w14:textId="77777777" w:rsidR="003E320C" w:rsidRPr="007944FA" w:rsidRDefault="003E320C" w:rsidP="006D46D8">
            <w:pPr>
              <w:keepNext/>
              <w:keepLines/>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4D8CD"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CO</w:t>
            </w:r>
            <w:r w:rsidRPr="007944FA">
              <w:rPr>
                <w:rFonts w:ascii="Arial" w:hAnsi="Arial" w:cs="Arial"/>
                <w:color w:val="000000"/>
                <w:sz w:val="18"/>
                <w:szCs w:val="18"/>
                <w:vertAlign w:val="subscript"/>
              </w:rPr>
              <w:t>2</w:t>
            </w:r>
            <w:r w:rsidRPr="007944FA">
              <w:rPr>
                <w:rFonts w:ascii="Arial" w:hAnsi="Arial" w:cs="Arial"/>
                <w:color w:val="000000"/>
                <w:sz w:val="18"/>
                <w:szCs w:val="18"/>
              </w:rPr>
              <w:t xml:space="preserve">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DFFE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11.921</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EE2B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9644</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C36E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12.480</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2632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12.361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B98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8655</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7A0C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4031</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09EC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1519</w:t>
            </w:r>
          </w:p>
        </w:tc>
      </w:tr>
      <w:tr w:rsidR="003E320C" w:rsidRPr="0093506F" w14:paraId="512B60C1"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BBA84D"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4521E"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CO</w:t>
            </w:r>
            <w:r w:rsidRPr="007944FA">
              <w:rPr>
                <w:rFonts w:ascii="Arial" w:hAnsi="Arial" w:cs="Arial"/>
                <w:color w:val="000000"/>
                <w:sz w:val="18"/>
                <w:szCs w:val="18"/>
                <w:vertAlign w:val="subscript"/>
              </w:rPr>
              <w:t>2</w:t>
            </w:r>
            <w:r w:rsidRPr="007944FA">
              <w:rPr>
                <w:rFonts w:ascii="Arial" w:hAnsi="Arial" w:cs="Arial"/>
                <w:color w:val="000000"/>
                <w:sz w:val="18"/>
                <w:szCs w:val="18"/>
              </w:rPr>
              <w:t xml:space="preserve">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EFF9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16.767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05AF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16936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F5D8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12.701</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4A23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13.082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F25F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10.764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F570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5752</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9B400"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3719</w:t>
            </w:r>
          </w:p>
        </w:tc>
      </w:tr>
      <w:tr w:rsidR="003E320C" w:rsidRPr="0093506F" w14:paraId="1B0E8E5C"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BB697"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8769B"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CH</w:t>
            </w:r>
            <w:r w:rsidRPr="007944FA">
              <w:rPr>
                <w:rFonts w:ascii="Arial" w:hAnsi="Arial" w:cs="Arial"/>
                <w:color w:val="000000"/>
                <w:sz w:val="18"/>
                <w:szCs w:val="18"/>
                <w:vertAlign w:val="subscript"/>
              </w:rPr>
              <w:t>4</w:t>
            </w:r>
            <w:r w:rsidRPr="007944FA">
              <w:rPr>
                <w:rFonts w:ascii="Arial" w:hAnsi="Arial" w:cs="Arial"/>
                <w:color w:val="000000"/>
                <w:sz w:val="18"/>
                <w:szCs w:val="18"/>
              </w:rPr>
              <w:t xml:space="preserve">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AD12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2926</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7A66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2711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6BAD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1917</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29CD2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1923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F1F5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1788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30B5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1498</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749F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1383</w:t>
            </w:r>
          </w:p>
        </w:tc>
      </w:tr>
      <w:tr w:rsidR="003E320C" w:rsidRPr="0093506F" w14:paraId="3E871788"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82748"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7B00D"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CH</w:t>
            </w:r>
            <w:r w:rsidRPr="007944FA">
              <w:rPr>
                <w:rFonts w:ascii="Arial" w:hAnsi="Arial" w:cs="Arial"/>
                <w:color w:val="000000"/>
                <w:sz w:val="18"/>
                <w:szCs w:val="18"/>
                <w:vertAlign w:val="subscript"/>
              </w:rPr>
              <w:t>4</w:t>
            </w:r>
            <w:r w:rsidRPr="007944FA">
              <w:rPr>
                <w:rFonts w:ascii="Arial" w:hAnsi="Arial" w:cs="Arial"/>
                <w:color w:val="000000"/>
                <w:sz w:val="18"/>
                <w:szCs w:val="18"/>
              </w:rPr>
              <w:t xml:space="preserve">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9B3B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2925</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0813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2711</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B1AD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1908</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61728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4CA9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1786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CD93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1496</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77305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1381</w:t>
            </w:r>
          </w:p>
        </w:tc>
      </w:tr>
      <w:tr w:rsidR="003E320C" w:rsidRPr="0093506F" w14:paraId="48899BBE"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E9BA3"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B73F"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N</w:t>
            </w:r>
            <w:r w:rsidRPr="007944FA">
              <w:rPr>
                <w:rFonts w:ascii="Arial" w:hAnsi="Arial" w:cs="Arial"/>
                <w:color w:val="000000"/>
                <w:sz w:val="18"/>
                <w:szCs w:val="18"/>
                <w:vertAlign w:val="subscript"/>
              </w:rPr>
              <w:t>2</w:t>
            </w:r>
            <w:r w:rsidRPr="007944FA">
              <w:rPr>
                <w:rFonts w:ascii="Arial" w:hAnsi="Arial" w:cs="Arial"/>
                <w:color w:val="000000"/>
                <w:sz w:val="18"/>
                <w:szCs w:val="18"/>
              </w:rPr>
              <w:t>O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3CF7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790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AF16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DCE3B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743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8229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698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3EF8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686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8940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659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40B7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640</w:t>
            </w:r>
          </w:p>
        </w:tc>
      </w:tr>
      <w:tr w:rsidR="003E320C" w:rsidRPr="0093506F" w14:paraId="581D2C4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89FFD"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E9031"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N</w:t>
            </w:r>
            <w:r w:rsidRPr="007944FA">
              <w:rPr>
                <w:rFonts w:ascii="Arial" w:hAnsi="Arial" w:cs="Arial"/>
                <w:color w:val="000000"/>
                <w:sz w:val="18"/>
                <w:szCs w:val="18"/>
                <w:vertAlign w:val="subscript"/>
              </w:rPr>
              <w:t>2</w:t>
            </w:r>
            <w:r w:rsidRPr="007944FA">
              <w:rPr>
                <w:rFonts w:ascii="Arial" w:hAnsi="Arial" w:cs="Arial"/>
                <w:color w:val="000000"/>
                <w:sz w:val="18"/>
                <w:szCs w:val="18"/>
              </w:rPr>
              <w:t>O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3E752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727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037D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672</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B56E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703</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11921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674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E62B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667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BD983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644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637F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629</w:t>
            </w:r>
          </w:p>
        </w:tc>
      </w:tr>
      <w:tr w:rsidR="003E320C" w:rsidRPr="0093506F" w14:paraId="56287D30"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39B407"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C6EE0"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HFC</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6447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C7E5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6A60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282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CCBD1"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222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3BFE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142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D5FCD9"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77</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1FB75"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34</w:t>
            </w:r>
          </w:p>
        </w:tc>
      </w:tr>
      <w:tr w:rsidR="003E320C" w:rsidRPr="0093506F" w14:paraId="3888E95B"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57716D"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75E61"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PFC</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C8BC7"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210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B114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128</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2D5A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4</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AD04A"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58D4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AF526"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BB0C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0</w:t>
            </w:r>
          </w:p>
        </w:tc>
      </w:tr>
      <w:tr w:rsidR="003E320C" w:rsidRPr="0093506F" w14:paraId="7236F281"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D0A98"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C59EA"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SF</w:t>
            </w:r>
            <w:r w:rsidRPr="007944FA">
              <w:rPr>
                <w:rFonts w:ascii="Arial" w:hAnsi="Arial" w:cs="Arial"/>
                <w:color w:val="000000"/>
                <w:sz w:val="18"/>
                <w:szCs w:val="18"/>
                <w:vertAlign w:val="subscript"/>
              </w:rPr>
              <w:t>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220A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10</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C6F4F"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19</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6D0E3"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17</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86E3C"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99824"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E543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14</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202ED"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11</w:t>
            </w:r>
          </w:p>
        </w:tc>
      </w:tr>
      <w:tr w:rsidR="003E320C" w:rsidRPr="0093506F" w14:paraId="565FDE86"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23D74" w14:textId="77777777" w:rsidR="003E320C" w:rsidRPr="007944FA" w:rsidRDefault="003E320C" w:rsidP="006D46D8">
            <w:pPr>
              <w:keepNext/>
              <w:keepLines/>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FC73AB"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NF</w:t>
            </w:r>
            <w:r w:rsidRPr="007944FA">
              <w:rPr>
                <w:rFonts w:ascii="Arial" w:hAnsi="Arial" w:cs="Arial"/>
                <w:color w:val="000000"/>
                <w:sz w:val="18"/>
                <w:szCs w:val="18"/>
                <w:vertAlign w:val="subscript"/>
              </w:rPr>
              <w:t>3</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E2982" w14:textId="77777777" w:rsidR="003E320C" w:rsidRPr="007944FA" w:rsidRDefault="003E320C" w:rsidP="006D46D8">
            <w:pPr>
              <w:keepNext/>
              <w:keepLines/>
              <w:spacing w:after="0" w:line="240" w:lineRule="auto"/>
              <w:rPr>
                <w:rFonts w:ascii="Arial" w:hAnsi="Arial" w:cs="Arial"/>
                <w:color w:val="000000"/>
                <w:sz w:val="18"/>
                <w:szCs w:val="18"/>
              </w:rPr>
            </w:pP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B3784" w14:textId="77777777" w:rsidR="003E320C" w:rsidRPr="007944FA" w:rsidRDefault="003E320C" w:rsidP="006D46D8">
            <w:pPr>
              <w:keepNext/>
              <w:keepLines/>
              <w:spacing w:after="0" w:line="240" w:lineRule="auto"/>
              <w:rPr>
                <w:rFonts w:ascii="Arial" w:hAnsi="Arial" w:cs="Arial"/>
                <w:sz w:val="18"/>
                <w:szCs w:val="18"/>
              </w:rPr>
            </w:pP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DB43E" w14:textId="77777777" w:rsidR="003E320C" w:rsidRPr="007944FA" w:rsidRDefault="003E320C" w:rsidP="006D46D8">
            <w:pPr>
              <w:keepNext/>
              <w:keepLines/>
              <w:spacing w:after="0" w:line="240" w:lineRule="auto"/>
              <w:rPr>
                <w:rFonts w:ascii="Arial" w:hAnsi="Arial" w:cs="Arial"/>
                <w:sz w:val="18"/>
                <w:szCs w:val="18"/>
              </w:rPr>
            </w:pP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8A0F0" w14:textId="77777777" w:rsidR="003E320C" w:rsidRPr="007944FA" w:rsidRDefault="003E320C" w:rsidP="006D46D8">
            <w:pPr>
              <w:keepNext/>
              <w:keepLines/>
              <w:spacing w:after="0" w:line="240" w:lineRule="auto"/>
              <w:rPr>
                <w:rFonts w:ascii="Arial" w:hAnsi="Arial" w:cs="Arial"/>
                <w:sz w:val="18"/>
                <w:szCs w:val="18"/>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12FF09" w14:textId="77777777" w:rsidR="003E320C" w:rsidRPr="007944FA" w:rsidRDefault="003E320C" w:rsidP="006D46D8">
            <w:pPr>
              <w:keepNext/>
              <w:keepLines/>
              <w:spacing w:after="0" w:line="240" w:lineRule="auto"/>
              <w:rPr>
                <w:rFonts w:ascii="Arial" w:hAnsi="Arial" w:cs="Arial"/>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EF308" w14:textId="77777777" w:rsidR="003E320C" w:rsidRPr="007944FA" w:rsidRDefault="003E320C" w:rsidP="006D46D8">
            <w:pPr>
              <w:keepNext/>
              <w:keepLines/>
              <w:spacing w:after="0" w:line="240" w:lineRule="auto"/>
              <w:rPr>
                <w:rFonts w:ascii="Arial" w:hAnsi="Arial" w:cs="Arial"/>
                <w:sz w:val="18"/>
                <w:szCs w:val="18"/>
              </w:rPr>
            </w:pP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E5001" w14:textId="77777777" w:rsidR="003E320C" w:rsidRPr="007944FA" w:rsidRDefault="003E320C" w:rsidP="006D46D8">
            <w:pPr>
              <w:keepNext/>
              <w:keepLines/>
              <w:spacing w:after="0" w:line="240" w:lineRule="auto"/>
              <w:rPr>
                <w:rFonts w:ascii="Arial" w:hAnsi="Arial" w:cs="Arial"/>
                <w:sz w:val="18"/>
                <w:szCs w:val="18"/>
              </w:rPr>
            </w:pPr>
          </w:p>
        </w:tc>
      </w:tr>
      <w:tr w:rsidR="003E320C" w:rsidRPr="0093506F" w14:paraId="3E4FC918"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8A24E" w14:textId="77777777" w:rsidR="003E320C" w:rsidRPr="007944FA" w:rsidRDefault="003E320C" w:rsidP="006D46D8">
            <w:pPr>
              <w:keepNext/>
              <w:keepLines/>
              <w:spacing w:after="0" w:line="240" w:lineRule="auto"/>
              <w:rPr>
                <w:rFonts w:ascii="Arial" w:hAnsi="Arial" w:cs="Arial"/>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76C32" w14:textId="77777777" w:rsidR="003E320C" w:rsidRPr="007944FA" w:rsidRDefault="003E320C" w:rsidP="006D46D8">
            <w:pPr>
              <w:keepNext/>
              <w:keepLines/>
              <w:spacing w:after="0" w:line="240" w:lineRule="auto"/>
              <w:rPr>
                <w:rFonts w:ascii="Arial" w:hAnsi="Arial" w:cs="Arial"/>
                <w:color w:val="000000"/>
                <w:sz w:val="18"/>
                <w:szCs w:val="18"/>
              </w:rPr>
            </w:pPr>
            <w:r w:rsidRPr="007944FA">
              <w:rPr>
                <w:rFonts w:ascii="Arial" w:hAnsi="Arial" w:cs="Arial"/>
                <w:color w:val="000000"/>
                <w:sz w:val="18"/>
                <w:szCs w:val="18"/>
              </w:rPr>
              <w:t>SKUPAJ 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E762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15.857</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8AF82"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13.360</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1DE2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15.442</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536E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15.220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38B5A8"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11.287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DB12B"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6279</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28EDE" w14:textId="77777777" w:rsidR="003E320C" w:rsidRPr="007944FA" w:rsidRDefault="003E320C" w:rsidP="006D46D8">
            <w:pPr>
              <w:keepNext/>
              <w:keepLines/>
              <w:spacing w:after="0" w:line="240" w:lineRule="auto"/>
              <w:jc w:val="right"/>
              <w:rPr>
                <w:rFonts w:ascii="Arial" w:hAnsi="Arial" w:cs="Arial"/>
                <w:color w:val="000000"/>
                <w:sz w:val="18"/>
                <w:szCs w:val="18"/>
              </w:rPr>
            </w:pPr>
            <w:r w:rsidRPr="007944FA">
              <w:rPr>
                <w:rFonts w:ascii="Arial" w:hAnsi="Arial" w:cs="Arial"/>
                <w:color w:val="000000"/>
                <w:sz w:val="18"/>
                <w:szCs w:val="18"/>
              </w:rPr>
              <w:t>3587</w:t>
            </w:r>
          </w:p>
        </w:tc>
      </w:tr>
      <w:tr w:rsidR="003E320C" w:rsidRPr="0093506F" w14:paraId="7CBF2EBF" w14:textId="77777777" w:rsidTr="00F336EC">
        <w:trPr>
          <w:trHeight w:val="300"/>
        </w:trPr>
        <w:tc>
          <w:tcPr>
            <w:tcW w:w="1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26DAC" w14:textId="77777777" w:rsidR="003E320C" w:rsidRPr="007944FA" w:rsidRDefault="003E320C" w:rsidP="006D46D8">
            <w:pPr>
              <w:spacing w:after="0" w:line="240" w:lineRule="auto"/>
              <w:jc w:val="right"/>
              <w:rPr>
                <w:rFonts w:ascii="Arial" w:hAnsi="Arial" w:cs="Arial"/>
                <w:color w:val="000000"/>
                <w:sz w:val="18"/>
                <w:szCs w:val="18"/>
              </w:rPr>
            </w:pPr>
          </w:p>
        </w:tc>
        <w:tc>
          <w:tcPr>
            <w:tcW w:w="2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60BB2" w14:textId="77777777" w:rsidR="003E320C" w:rsidRPr="007944FA" w:rsidRDefault="003E320C" w:rsidP="006D46D8">
            <w:pPr>
              <w:spacing w:after="0" w:line="240" w:lineRule="auto"/>
              <w:rPr>
                <w:rFonts w:ascii="Arial" w:hAnsi="Arial" w:cs="Arial"/>
                <w:color w:val="000000"/>
                <w:sz w:val="18"/>
                <w:szCs w:val="18"/>
              </w:rPr>
            </w:pPr>
            <w:r w:rsidRPr="007944FA">
              <w:rPr>
                <w:rFonts w:ascii="Arial" w:hAnsi="Arial" w:cs="Arial"/>
                <w:color w:val="000000"/>
                <w:sz w:val="18"/>
                <w:szCs w:val="18"/>
              </w:rPr>
              <w:t>SKUPAJ brez LULUCF</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B6595"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20.638</w:t>
            </w:r>
          </w:p>
        </w:tc>
        <w:tc>
          <w:tcPr>
            <w:tcW w:w="8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4EEA1"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20.596</w:t>
            </w:r>
          </w:p>
        </w:tc>
        <w:tc>
          <w:tcPr>
            <w:tcW w:w="8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C366B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15.615</w:t>
            </w:r>
          </w:p>
        </w:tc>
        <w:tc>
          <w:tcPr>
            <w:tcW w:w="81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928BE"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15.916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CD0D2"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13.376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3F34A"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7983</w:t>
            </w:r>
          </w:p>
        </w:tc>
        <w:tc>
          <w:tcPr>
            <w:tcW w:w="6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200C" w14:textId="77777777" w:rsidR="003E320C" w:rsidRPr="007944FA" w:rsidRDefault="003E320C" w:rsidP="006D46D8">
            <w:pPr>
              <w:spacing w:after="0" w:line="240" w:lineRule="auto"/>
              <w:jc w:val="right"/>
              <w:rPr>
                <w:rFonts w:ascii="Arial" w:hAnsi="Arial" w:cs="Arial"/>
                <w:color w:val="000000"/>
                <w:sz w:val="18"/>
                <w:szCs w:val="18"/>
              </w:rPr>
            </w:pPr>
            <w:r w:rsidRPr="007944FA">
              <w:rPr>
                <w:rFonts w:ascii="Arial" w:hAnsi="Arial" w:cs="Arial"/>
                <w:color w:val="000000"/>
                <w:sz w:val="18"/>
                <w:szCs w:val="18"/>
              </w:rPr>
              <w:t>5774</w:t>
            </w:r>
          </w:p>
        </w:tc>
      </w:tr>
    </w:tbl>
    <w:p w14:paraId="3CCD1B7B" w14:textId="77777777" w:rsidR="003E320C" w:rsidRPr="007944FA" w:rsidRDefault="003E320C" w:rsidP="003E320C">
      <w:pPr>
        <w:jc w:val="center"/>
        <w:rPr>
          <w:rFonts w:ascii="Arial" w:hAnsi="Arial" w:cs="Arial"/>
          <w:b/>
          <w:bCs/>
          <w:i/>
          <w:iCs/>
          <w:sz w:val="18"/>
          <w:szCs w:val="18"/>
        </w:rPr>
      </w:pPr>
    </w:p>
    <w:p w14:paraId="53942FAE" w14:textId="5D9D66B2" w:rsidR="003E320C" w:rsidRPr="007944FA" w:rsidRDefault="002F38E7" w:rsidP="004D7C9F">
      <w:pPr>
        <w:pStyle w:val="nikatabelee"/>
        <w:rPr>
          <w:lang w:eastAsia="sl-SI"/>
        </w:rPr>
      </w:pPr>
      <w:bookmarkStart w:id="153" w:name="_Toc192062498"/>
      <w:bookmarkStart w:id="154" w:name="_Toc193195396"/>
      <w:r w:rsidRPr="007944FA">
        <w:rPr>
          <w:lang w:eastAsia="sl-SI"/>
        </w:rPr>
        <w:t>Preglednica 11</w:t>
      </w:r>
      <w:r w:rsidR="003E320C" w:rsidRPr="007944FA">
        <w:rPr>
          <w:lang w:eastAsia="sl-SI"/>
        </w:rPr>
        <w:t>: Projekcije emisij TGP in ponorov po scenariju z dodatnimi ukrepi</w:t>
      </w:r>
      <w:bookmarkEnd w:id="153"/>
      <w:bookmarkEnd w:id="154"/>
    </w:p>
    <w:p w14:paraId="1D7150EC" w14:textId="77777777" w:rsidR="003E320C" w:rsidRPr="007944FA" w:rsidRDefault="003E320C" w:rsidP="003E320C">
      <w:pPr>
        <w:jc w:val="center"/>
        <w:rPr>
          <w:rFonts w:ascii="Arial" w:hAnsi="Arial" w:cs="Arial"/>
          <w:b/>
          <w:bCs/>
          <w:i/>
          <w:iCs/>
          <w:sz w:val="18"/>
          <w:szCs w:val="18"/>
        </w:rPr>
      </w:pPr>
    </w:p>
    <w:p w14:paraId="795FBF93" w14:textId="54F10C14" w:rsidR="0042650C" w:rsidRPr="007944FA" w:rsidRDefault="0042650C" w:rsidP="006E07EE">
      <w:pPr>
        <w:pStyle w:val="Heading3"/>
      </w:pPr>
      <w:bookmarkStart w:id="155" w:name="_Toc196300829"/>
      <w:r w:rsidRPr="007944FA">
        <w:t>II.F.5 EU ETS v projekcijah</w:t>
      </w:r>
      <w:bookmarkEnd w:id="155"/>
    </w:p>
    <w:p w14:paraId="35CFB3D2" w14:textId="77777777" w:rsidR="003E320C" w:rsidRPr="007944FA" w:rsidRDefault="003E320C" w:rsidP="003E320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zavezancev v sistemu EU ETS so bile v projekcijah določene z uporabo naslednjih predvidevanj. V sektorju proizvodnja električne energije in toplote so bila v centralni oskrbi vsa podjetja vključena v ETS (TEŠ, TE-TOL, TEB, vse nove velike enote), v lokalni oskrbi (daljinsko ogrevanje) pa je bil delež EU ETS določen za vsako gorivo posebej, ločeno za enote soproizvodnje električne energije in toplote in kotle na podlagi deleža iz leta 2020. Za sektor zgorevanje goriv v industriji je bil delež EU ETS določen na podlagi deleža EU ETS za posamezno panogo in gorivo v letu 2020, medtem ko je bil delež EU ETS v industrijskih procesih določen po procesih. Vsa predvidevanja so bila dodatno preverjena na podatkih za leto 2021.</w:t>
      </w:r>
    </w:p>
    <w:p w14:paraId="7C3249EA" w14:textId="77777777" w:rsidR="003E320C" w:rsidRPr="007944FA" w:rsidRDefault="003E320C" w:rsidP="003E320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Obseg EU ETS se je leta 2013 v skladu z zakonodajo EU spremenil, in sicer je kar nekaj podjetij izstopilo iz sistema, po drugi strani pa je v sistem v celoti vstopilo podjetje Talum, ki je izdelovalo primarni in sekundarni aluminij. Zaradi primerljivosti rezultatov je bil za obdobje pred letom 2013 predviden enak obseg EU ETS kot po tem letu. Razlike se pojavijo v emisijah iz industrije (tako iz zgorevanja goriv kot iz industrijskih procesov).</w:t>
      </w:r>
    </w:p>
    <w:p w14:paraId="304A92EA" w14:textId="70A5CFA7" w:rsidR="003E320C" w:rsidRPr="007944FA" w:rsidRDefault="003E320C" w:rsidP="003E320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virov v EU ETS leta 2030 po projekciji z ukrepi znašajo 5624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in po projekciji z dodatnimi ukrepi 4930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oboje je nekoliko več kot leta 2022, ko je bila raba premoga manjša zaradi daljše zaustavitve obratovanja TEŠ, manjša pa je bila tudi raba zemeljskega plina v industriji zaradi ukrepov ob zaostrenih geopolitičnih razmerah. Po obeh projekcijah se emisije znatno znižajo do leta 2040, v projekciji z ukrepi na 2922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za 40 % glede na leto 2022, v projekciji z dodatnimi ukrepi pa na 1118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za 77 %. Emisije v projekciji z ukrepi se povečajo v vseh sektorjih do leta 2030 glede na leto 2022 in v vseh sektorjih, razen v industriji, tudi v projekciji z dodatnimi ukrepi. Do leta 2040 pa se povsod zmanjšajo, razen v industrijskih procesih v projekciji z ukrepi. Do leta 2040 se najbolj zmanjšajo ubežne emisije (za 100 %) in emisije v transformacijah (za 79 %), ki tudi prispevajo daleč največji del emisij. V projekciji z dodatnimi ukrepi se do leta 2040 zmanjšajo tako: za 100 % ubežne emisije, za 67 % emisije iz transformacij in za 70 % iz industrijskih procesov in za 51 % iz industrije. </w:t>
      </w:r>
    </w:p>
    <w:p w14:paraId="647D62BF" w14:textId="77777777" w:rsidR="00D1040D" w:rsidRPr="007944FA" w:rsidRDefault="00D1040D" w:rsidP="00D1040D">
      <w:pPr>
        <w:spacing w:after="120" w:line="245" w:lineRule="auto"/>
        <w:jc w:val="both"/>
        <w:rPr>
          <w:rFonts w:ascii="Arial" w:eastAsia="Times New Roman" w:hAnsi="Arial" w:cs="Times New Roman"/>
          <w:szCs w:val="20"/>
          <w:lang w:eastAsia="sl-SI"/>
        </w:rPr>
      </w:pPr>
    </w:p>
    <w:p w14:paraId="394237B7" w14:textId="77777777" w:rsidR="00D1040D" w:rsidRPr="007944FA" w:rsidRDefault="00D1040D" w:rsidP="00D1040D">
      <w:pPr>
        <w:spacing w:after="120" w:line="245" w:lineRule="auto"/>
        <w:jc w:val="both"/>
        <w:rPr>
          <w:rFonts w:ascii="Arial" w:eastAsia="Times New Roman" w:hAnsi="Arial" w:cs="Times New Roman"/>
          <w:szCs w:val="20"/>
          <w:lang w:eastAsia="sl-SI"/>
        </w:rPr>
        <w:sectPr w:rsidR="00D1040D" w:rsidRPr="007944FA" w:rsidSect="00620899">
          <w:headerReference w:type="even" r:id="rId54"/>
          <w:headerReference w:type="default" r:id="rId55"/>
          <w:footerReference w:type="even" r:id="rId56"/>
          <w:footerReference w:type="default" r:id="rId57"/>
          <w:headerReference w:type="first" r:id="rId58"/>
          <w:footerReference w:type="first" r:id="rId59"/>
          <w:pgSz w:w="11907" w:h="16840" w:code="9"/>
          <w:pgMar w:top="1417" w:right="1417" w:bottom="1417" w:left="1417" w:header="709" w:footer="709" w:gutter="0"/>
          <w:cols w:space="708"/>
          <w:docGrid w:linePitch="360"/>
        </w:sectPr>
      </w:pPr>
    </w:p>
    <w:p w14:paraId="3C604AC3" w14:textId="5E040C52" w:rsidR="00D1040D" w:rsidRPr="007944FA" w:rsidRDefault="00D1040D" w:rsidP="00D1040D">
      <w:pPr>
        <w:tabs>
          <w:tab w:val="left" w:pos="964"/>
        </w:tabs>
        <w:spacing w:before="120" w:after="120" w:line="240" w:lineRule="auto"/>
        <w:ind w:left="1418" w:hanging="1418"/>
        <w:jc w:val="both"/>
        <w:rPr>
          <w:rFonts w:ascii="Arial" w:eastAsia="Times New Roman" w:hAnsi="Arial" w:cs="Arial"/>
          <w:b/>
          <w:color w:val="0E2841" w:themeColor="text2"/>
          <w:sz w:val="18"/>
          <w:szCs w:val="18"/>
        </w:rPr>
      </w:pPr>
    </w:p>
    <w:tbl>
      <w:tblPr>
        <w:tblW w:w="13569" w:type="dxa"/>
        <w:tblInd w:w="279" w:type="dxa"/>
        <w:tblCellMar>
          <w:left w:w="70" w:type="dxa"/>
          <w:right w:w="70" w:type="dxa"/>
        </w:tblCellMar>
        <w:tblLook w:val="04A0" w:firstRow="1" w:lastRow="0" w:firstColumn="1" w:lastColumn="0" w:noHBand="0" w:noVBand="1"/>
      </w:tblPr>
      <w:tblGrid>
        <w:gridCol w:w="3416"/>
        <w:gridCol w:w="1262"/>
        <w:gridCol w:w="960"/>
        <w:gridCol w:w="960"/>
        <w:gridCol w:w="1011"/>
        <w:gridCol w:w="1060"/>
        <w:gridCol w:w="960"/>
        <w:gridCol w:w="960"/>
        <w:gridCol w:w="1060"/>
        <w:gridCol w:w="960"/>
        <w:gridCol w:w="960"/>
      </w:tblGrid>
      <w:tr w:rsidR="00D1040D" w:rsidRPr="0093506F" w14:paraId="108E6E85" w14:textId="77777777" w:rsidTr="00ED3215">
        <w:trPr>
          <w:trHeight w:val="300"/>
        </w:trPr>
        <w:tc>
          <w:tcPr>
            <w:tcW w:w="3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0E82A"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14:paraId="6A777E7A"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3C0BC1"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B9BA12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2020</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14:paraId="4C819421"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2022</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21C9CB8"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B4F37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EC238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2040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41B8D9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14BA3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639C02E"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2040</w:t>
            </w:r>
          </w:p>
        </w:tc>
      </w:tr>
      <w:tr w:rsidR="00D1040D" w:rsidRPr="0093506F" w14:paraId="487852F6"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43329492"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1262" w:type="dxa"/>
            <w:tcBorders>
              <w:top w:val="nil"/>
              <w:left w:val="nil"/>
              <w:bottom w:val="single" w:sz="4" w:space="0" w:color="auto"/>
              <w:right w:val="single" w:sz="4" w:space="0" w:color="auto"/>
            </w:tcBorders>
            <w:shd w:val="clear" w:color="auto" w:fill="auto"/>
            <w:noWrap/>
            <w:vAlign w:val="bottom"/>
            <w:hideMark/>
          </w:tcPr>
          <w:p w14:paraId="067A7DFC"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2931" w:type="dxa"/>
            <w:gridSpan w:val="3"/>
            <w:tcBorders>
              <w:top w:val="nil"/>
              <w:left w:val="nil"/>
              <w:bottom w:val="single" w:sz="4" w:space="0" w:color="auto"/>
              <w:right w:val="single" w:sz="4" w:space="0" w:color="auto"/>
            </w:tcBorders>
            <w:shd w:val="clear" w:color="auto" w:fill="auto"/>
            <w:noWrap/>
            <w:vAlign w:val="bottom"/>
            <w:hideMark/>
          </w:tcPr>
          <w:p w14:paraId="243FD0F7"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Dejanske emisije</w:t>
            </w:r>
          </w:p>
        </w:tc>
        <w:tc>
          <w:tcPr>
            <w:tcW w:w="2980" w:type="dxa"/>
            <w:gridSpan w:val="3"/>
            <w:tcBorders>
              <w:top w:val="nil"/>
              <w:left w:val="nil"/>
              <w:bottom w:val="single" w:sz="4" w:space="0" w:color="auto"/>
              <w:right w:val="single" w:sz="4" w:space="0" w:color="auto"/>
            </w:tcBorders>
            <w:shd w:val="clear" w:color="auto" w:fill="auto"/>
            <w:noWrap/>
            <w:vAlign w:val="bottom"/>
            <w:hideMark/>
          </w:tcPr>
          <w:p w14:paraId="3F4051D9"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Projekcija z ukrepi</w:t>
            </w:r>
          </w:p>
        </w:tc>
        <w:tc>
          <w:tcPr>
            <w:tcW w:w="2980" w:type="dxa"/>
            <w:gridSpan w:val="3"/>
            <w:tcBorders>
              <w:top w:val="nil"/>
              <w:left w:val="nil"/>
              <w:bottom w:val="single" w:sz="4" w:space="0" w:color="auto"/>
              <w:right w:val="single" w:sz="4" w:space="0" w:color="auto"/>
            </w:tcBorders>
            <w:shd w:val="clear" w:color="auto" w:fill="auto"/>
            <w:noWrap/>
            <w:vAlign w:val="bottom"/>
            <w:hideMark/>
          </w:tcPr>
          <w:p w14:paraId="2190BB90"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Projekcija z dodatnimi ukrepi</w:t>
            </w:r>
          </w:p>
        </w:tc>
      </w:tr>
      <w:tr w:rsidR="00D1040D" w:rsidRPr="0093506F" w14:paraId="21E187A8"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4B13846E"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1 Energetika</w:t>
            </w:r>
          </w:p>
        </w:tc>
        <w:tc>
          <w:tcPr>
            <w:tcW w:w="1262" w:type="dxa"/>
            <w:tcBorders>
              <w:top w:val="nil"/>
              <w:left w:val="nil"/>
              <w:bottom w:val="single" w:sz="4" w:space="0" w:color="auto"/>
              <w:right w:val="single" w:sz="4" w:space="0" w:color="auto"/>
            </w:tcBorders>
            <w:shd w:val="clear" w:color="auto" w:fill="auto"/>
            <w:noWrap/>
            <w:vAlign w:val="bottom"/>
            <w:hideMark/>
          </w:tcPr>
          <w:p w14:paraId="46CC3A5D"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23E7E9CA"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7779</w:t>
            </w:r>
          </w:p>
        </w:tc>
        <w:tc>
          <w:tcPr>
            <w:tcW w:w="960" w:type="dxa"/>
            <w:tcBorders>
              <w:top w:val="nil"/>
              <w:left w:val="nil"/>
              <w:bottom w:val="single" w:sz="4" w:space="0" w:color="auto"/>
              <w:right w:val="single" w:sz="4" w:space="0" w:color="auto"/>
            </w:tcBorders>
            <w:shd w:val="clear" w:color="auto" w:fill="auto"/>
            <w:noWrap/>
            <w:vAlign w:val="bottom"/>
            <w:hideMark/>
          </w:tcPr>
          <w:p w14:paraId="1300A25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5414</w:t>
            </w:r>
          </w:p>
        </w:tc>
        <w:tc>
          <w:tcPr>
            <w:tcW w:w="1011" w:type="dxa"/>
            <w:tcBorders>
              <w:top w:val="nil"/>
              <w:left w:val="nil"/>
              <w:bottom w:val="single" w:sz="4" w:space="0" w:color="auto"/>
              <w:right w:val="single" w:sz="4" w:space="0" w:color="auto"/>
            </w:tcBorders>
            <w:shd w:val="clear" w:color="auto" w:fill="auto"/>
            <w:noWrap/>
            <w:vAlign w:val="bottom"/>
            <w:hideMark/>
          </w:tcPr>
          <w:p w14:paraId="1A614AD6"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4212</w:t>
            </w:r>
          </w:p>
        </w:tc>
        <w:tc>
          <w:tcPr>
            <w:tcW w:w="1060" w:type="dxa"/>
            <w:tcBorders>
              <w:top w:val="nil"/>
              <w:left w:val="nil"/>
              <w:bottom w:val="single" w:sz="4" w:space="0" w:color="auto"/>
              <w:right w:val="single" w:sz="4" w:space="0" w:color="auto"/>
            </w:tcBorders>
            <w:shd w:val="clear" w:color="auto" w:fill="auto"/>
            <w:noWrap/>
            <w:vAlign w:val="bottom"/>
            <w:hideMark/>
          </w:tcPr>
          <w:p w14:paraId="2180BC0D"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4982</w:t>
            </w:r>
          </w:p>
        </w:tc>
        <w:tc>
          <w:tcPr>
            <w:tcW w:w="960" w:type="dxa"/>
            <w:tcBorders>
              <w:top w:val="nil"/>
              <w:left w:val="nil"/>
              <w:bottom w:val="single" w:sz="4" w:space="0" w:color="auto"/>
              <w:right w:val="single" w:sz="4" w:space="0" w:color="auto"/>
            </w:tcBorders>
            <w:shd w:val="clear" w:color="auto" w:fill="auto"/>
            <w:noWrap/>
            <w:vAlign w:val="bottom"/>
            <w:hideMark/>
          </w:tcPr>
          <w:p w14:paraId="62BAFD10"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4942</w:t>
            </w:r>
          </w:p>
        </w:tc>
        <w:tc>
          <w:tcPr>
            <w:tcW w:w="960" w:type="dxa"/>
            <w:tcBorders>
              <w:top w:val="nil"/>
              <w:left w:val="nil"/>
              <w:bottom w:val="single" w:sz="4" w:space="0" w:color="auto"/>
              <w:right w:val="single" w:sz="4" w:space="0" w:color="auto"/>
            </w:tcBorders>
            <w:shd w:val="clear" w:color="auto" w:fill="auto"/>
            <w:noWrap/>
            <w:vAlign w:val="bottom"/>
            <w:hideMark/>
          </w:tcPr>
          <w:p w14:paraId="3A8B2D73"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2217</w:t>
            </w:r>
          </w:p>
        </w:tc>
        <w:tc>
          <w:tcPr>
            <w:tcW w:w="1060" w:type="dxa"/>
            <w:tcBorders>
              <w:top w:val="nil"/>
              <w:left w:val="nil"/>
              <w:bottom w:val="single" w:sz="4" w:space="0" w:color="auto"/>
              <w:right w:val="single" w:sz="4" w:space="0" w:color="auto"/>
            </w:tcBorders>
            <w:shd w:val="clear" w:color="auto" w:fill="auto"/>
            <w:noWrap/>
            <w:vAlign w:val="bottom"/>
            <w:hideMark/>
          </w:tcPr>
          <w:p w14:paraId="085B5811"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4723</w:t>
            </w:r>
          </w:p>
        </w:tc>
        <w:tc>
          <w:tcPr>
            <w:tcW w:w="960" w:type="dxa"/>
            <w:tcBorders>
              <w:top w:val="nil"/>
              <w:left w:val="nil"/>
              <w:bottom w:val="single" w:sz="4" w:space="0" w:color="auto"/>
              <w:right w:val="single" w:sz="4" w:space="0" w:color="auto"/>
            </w:tcBorders>
            <w:shd w:val="clear" w:color="auto" w:fill="auto"/>
            <w:noWrap/>
            <w:vAlign w:val="bottom"/>
            <w:hideMark/>
          </w:tcPr>
          <w:p w14:paraId="334E3C00"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4243</w:t>
            </w:r>
          </w:p>
        </w:tc>
        <w:tc>
          <w:tcPr>
            <w:tcW w:w="960" w:type="dxa"/>
            <w:tcBorders>
              <w:top w:val="nil"/>
              <w:left w:val="nil"/>
              <w:bottom w:val="single" w:sz="4" w:space="0" w:color="auto"/>
              <w:right w:val="single" w:sz="4" w:space="0" w:color="auto"/>
            </w:tcBorders>
            <w:shd w:val="clear" w:color="auto" w:fill="auto"/>
            <w:noWrap/>
            <w:vAlign w:val="bottom"/>
            <w:hideMark/>
          </w:tcPr>
          <w:p w14:paraId="5B608BD6"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915</w:t>
            </w:r>
          </w:p>
        </w:tc>
      </w:tr>
      <w:tr w:rsidR="00D1040D" w:rsidRPr="0093506F" w14:paraId="10221BCA"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641DF59F"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A Zgorevanje goriv</w:t>
            </w:r>
          </w:p>
        </w:tc>
        <w:tc>
          <w:tcPr>
            <w:tcW w:w="1262" w:type="dxa"/>
            <w:tcBorders>
              <w:top w:val="nil"/>
              <w:left w:val="nil"/>
              <w:bottom w:val="single" w:sz="4" w:space="0" w:color="auto"/>
              <w:right w:val="single" w:sz="4" w:space="0" w:color="auto"/>
            </w:tcBorders>
            <w:shd w:val="clear" w:color="auto" w:fill="auto"/>
            <w:noWrap/>
            <w:vAlign w:val="bottom"/>
            <w:hideMark/>
          </w:tcPr>
          <w:p w14:paraId="6C64BA70"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6F51472E"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7696</w:t>
            </w:r>
          </w:p>
        </w:tc>
        <w:tc>
          <w:tcPr>
            <w:tcW w:w="960" w:type="dxa"/>
            <w:tcBorders>
              <w:top w:val="nil"/>
              <w:left w:val="nil"/>
              <w:bottom w:val="single" w:sz="4" w:space="0" w:color="auto"/>
              <w:right w:val="single" w:sz="4" w:space="0" w:color="auto"/>
            </w:tcBorders>
            <w:shd w:val="clear" w:color="auto" w:fill="auto"/>
            <w:noWrap/>
            <w:vAlign w:val="bottom"/>
            <w:hideMark/>
          </w:tcPr>
          <w:p w14:paraId="1C24B08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5350</w:t>
            </w:r>
          </w:p>
        </w:tc>
        <w:tc>
          <w:tcPr>
            <w:tcW w:w="1011" w:type="dxa"/>
            <w:tcBorders>
              <w:top w:val="nil"/>
              <w:left w:val="nil"/>
              <w:bottom w:val="single" w:sz="4" w:space="0" w:color="auto"/>
              <w:right w:val="single" w:sz="4" w:space="0" w:color="auto"/>
            </w:tcBorders>
            <w:shd w:val="clear" w:color="auto" w:fill="auto"/>
            <w:noWrap/>
            <w:vAlign w:val="bottom"/>
            <w:hideMark/>
          </w:tcPr>
          <w:p w14:paraId="469474B8"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4171</w:t>
            </w:r>
          </w:p>
        </w:tc>
        <w:tc>
          <w:tcPr>
            <w:tcW w:w="1060" w:type="dxa"/>
            <w:tcBorders>
              <w:top w:val="nil"/>
              <w:left w:val="nil"/>
              <w:bottom w:val="single" w:sz="4" w:space="0" w:color="auto"/>
              <w:right w:val="single" w:sz="4" w:space="0" w:color="auto"/>
            </w:tcBorders>
            <w:shd w:val="clear" w:color="auto" w:fill="auto"/>
            <w:noWrap/>
            <w:vAlign w:val="bottom"/>
            <w:hideMark/>
          </w:tcPr>
          <w:p w14:paraId="484E9C99"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4932</w:t>
            </w:r>
          </w:p>
        </w:tc>
        <w:tc>
          <w:tcPr>
            <w:tcW w:w="960" w:type="dxa"/>
            <w:tcBorders>
              <w:top w:val="nil"/>
              <w:left w:val="nil"/>
              <w:bottom w:val="single" w:sz="4" w:space="0" w:color="auto"/>
              <w:right w:val="single" w:sz="4" w:space="0" w:color="auto"/>
            </w:tcBorders>
            <w:shd w:val="clear" w:color="auto" w:fill="auto"/>
            <w:noWrap/>
            <w:vAlign w:val="bottom"/>
            <w:hideMark/>
          </w:tcPr>
          <w:p w14:paraId="0ADA66B0"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4891</w:t>
            </w:r>
          </w:p>
        </w:tc>
        <w:tc>
          <w:tcPr>
            <w:tcW w:w="960" w:type="dxa"/>
            <w:tcBorders>
              <w:top w:val="nil"/>
              <w:left w:val="nil"/>
              <w:bottom w:val="single" w:sz="4" w:space="0" w:color="auto"/>
              <w:right w:val="single" w:sz="4" w:space="0" w:color="auto"/>
            </w:tcBorders>
            <w:shd w:val="clear" w:color="auto" w:fill="auto"/>
            <w:noWrap/>
            <w:vAlign w:val="bottom"/>
            <w:hideMark/>
          </w:tcPr>
          <w:p w14:paraId="77A21DE3"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2217</w:t>
            </w:r>
          </w:p>
        </w:tc>
        <w:tc>
          <w:tcPr>
            <w:tcW w:w="1060" w:type="dxa"/>
            <w:tcBorders>
              <w:top w:val="nil"/>
              <w:left w:val="nil"/>
              <w:bottom w:val="single" w:sz="4" w:space="0" w:color="auto"/>
              <w:right w:val="single" w:sz="4" w:space="0" w:color="auto"/>
            </w:tcBorders>
            <w:shd w:val="clear" w:color="auto" w:fill="auto"/>
            <w:noWrap/>
            <w:vAlign w:val="bottom"/>
            <w:hideMark/>
          </w:tcPr>
          <w:p w14:paraId="21619743"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4674</w:t>
            </w:r>
          </w:p>
        </w:tc>
        <w:tc>
          <w:tcPr>
            <w:tcW w:w="960" w:type="dxa"/>
            <w:tcBorders>
              <w:top w:val="nil"/>
              <w:left w:val="nil"/>
              <w:bottom w:val="single" w:sz="4" w:space="0" w:color="auto"/>
              <w:right w:val="single" w:sz="4" w:space="0" w:color="auto"/>
            </w:tcBorders>
            <w:shd w:val="clear" w:color="auto" w:fill="auto"/>
            <w:noWrap/>
            <w:vAlign w:val="bottom"/>
            <w:hideMark/>
          </w:tcPr>
          <w:p w14:paraId="37F49A51"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4196</w:t>
            </w:r>
          </w:p>
        </w:tc>
        <w:tc>
          <w:tcPr>
            <w:tcW w:w="960" w:type="dxa"/>
            <w:tcBorders>
              <w:top w:val="nil"/>
              <w:left w:val="nil"/>
              <w:bottom w:val="single" w:sz="4" w:space="0" w:color="auto"/>
              <w:right w:val="single" w:sz="4" w:space="0" w:color="auto"/>
            </w:tcBorders>
            <w:shd w:val="clear" w:color="auto" w:fill="auto"/>
            <w:noWrap/>
            <w:vAlign w:val="bottom"/>
            <w:hideMark/>
          </w:tcPr>
          <w:p w14:paraId="3DD0D903"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915</w:t>
            </w:r>
          </w:p>
        </w:tc>
      </w:tr>
      <w:tr w:rsidR="00D1040D" w:rsidRPr="0093506F" w14:paraId="751D11B2"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0790C3BE"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1 Transformacije</w:t>
            </w:r>
          </w:p>
        </w:tc>
        <w:tc>
          <w:tcPr>
            <w:tcW w:w="1262" w:type="dxa"/>
            <w:tcBorders>
              <w:top w:val="nil"/>
              <w:left w:val="nil"/>
              <w:bottom w:val="single" w:sz="4" w:space="0" w:color="auto"/>
              <w:right w:val="single" w:sz="4" w:space="0" w:color="auto"/>
            </w:tcBorders>
            <w:shd w:val="clear" w:color="auto" w:fill="auto"/>
            <w:noWrap/>
            <w:vAlign w:val="bottom"/>
            <w:hideMark/>
          </w:tcPr>
          <w:p w14:paraId="57B1FBB5"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6212249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6301</w:t>
            </w:r>
          </w:p>
        </w:tc>
        <w:tc>
          <w:tcPr>
            <w:tcW w:w="960" w:type="dxa"/>
            <w:tcBorders>
              <w:top w:val="nil"/>
              <w:left w:val="nil"/>
              <w:bottom w:val="single" w:sz="4" w:space="0" w:color="auto"/>
              <w:right w:val="single" w:sz="4" w:space="0" w:color="auto"/>
            </w:tcBorders>
            <w:shd w:val="clear" w:color="auto" w:fill="auto"/>
            <w:noWrap/>
            <w:vAlign w:val="bottom"/>
            <w:hideMark/>
          </w:tcPr>
          <w:p w14:paraId="6D13C7BE"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4327</w:t>
            </w:r>
          </w:p>
        </w:tc>
        <w:tc>
          <w:tcPr>
            <w:tcW w:w="1011" w:type="dxa"/>
            <w:tcBorders>
              <w:top w:val="nil"/>
              <w:left w:val="nil"/>
              <w:bottom w:val="single" w:sz="4" w:space="0" w:color="auto"/>
              <w:right w:val="single" w:sz="4" w:space="0" w:color="auto"/>
            </w:tcBorders>
            <w:shd w:val="clear" w:color="auto" w:fill="auto"/>
            <w:noWrap/>
            <w:vAlign w:val="bottom"/>
            <w:hideMark/>
          </w:tcPr>
          <w:p w14:paraId="2AE2B80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3230</w:t>
            </w:r>
          </w:p>
        </w:tc>
        <w:tc>
          <w:tcPr>
            <w:tcW w:w="1060" w:type="dxa"/>
            <w:tcBorders>
              <w:top w:val="nil"/>
              <w:left w:val="nil"/>
              <w:bottom w:val="single" w:sz="4" w:space="0" w:color="auto"/>
              <w:right w:val="single" w:sz="4" w:space="0" w:color="auto"/>
            </w:tcBorders>
            <w:shd w:val="clear" w:color="auto" w:fill="auto"/>
            <w:noWrap/>
            <w:vAlign w:val="bottom"/>
            <w:hideMark/>
          </w:tcPr>
          <w:p w14:paraId="56BA2BD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3804</w:t>
            </w:r>
          </w:p>
        </w:tc>
        <w:tc>
          <w:tcPr>
            <w:tcW w:w="960" w:type="dxa"/>
            <w:tcBorders>
              <w:top w:val="nil"/>
              <w:left w:val="nil"/>
              <w:bottom w:val="single" w:sz="4" w:space="0" w:color="auto"/>
              <w:right w:val="single" w:sz="4" w:space="0" w:color="auto"/>
            </w:tcBorders>
            <w:shd w:val="clear" w:color="auto" w:fill="auto"/>
            <w:noWrap/>
            <w:vAlign w:val="bottom"/>
            <w:hideMark/>
          </w:tcPr>
          <w:p w14:paraId="3F30043C"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3789</w:t>
            </w:r>
          </w:p>
        </w:tc>
        <w:tc>
          <w:tcPr>
            <w:tcW w:w="960" w:type="dxa"/>
            <w:tcBorders>
              <w:top w:val="nil"/>
              <w:left w:val="nil"/>
              <w:bottom w:val="single" w:sz="4" w:space="0" w:color="auto"/>
              <w:right w:val="single" w:sz="4" w:space="0" w:color="auto"/>
            </w:tcBorders>
            <w:shd w:val="clear" w:color="auto" w:fill="auto"/>
            <w:noWrap/>
            <w:vAlign w:val="bottom"/>
            <w:hideMark/>
          </w:tcPr>
          <w:p w14:paraId="301F4FA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1033</w:t>
            </w:r>
          </w:p>
        </w:tc>
        <w:tc>
          <w:tcPr>
            <w:tcW w:w="1060" w:type="dxa"/>
            <w:tcBorders>
              <w:top w:val="nil"/>
              <w:left w:val="nil"/>
              <w:bottom w:val="single" w:sz="4" w:space="0" w:color="auto"/>
              <w:right w:val="single" w:sz="4" w:space="0" w:color="auto"/>
            </w:tcBorders>
            <w:shd w:val="clear" w:color="auto" w:fill="auto"/>
            <w:noWrap/>
            <w:vAlign w:val="bottom"/>
            <w:hideMark/>
          </w:tcPr>
          <w:p w14:paraId="3C40B6E7"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3724</w:t>
            </w:r>
          </w:p>
        </w:tc>
        <w:tc>
          <w:tcPr>
            <w:tcW w:w="960" w:type="dxa"/>
            <w:tcBorders>
              <w:top w:val="nil"/>
              <w:left w:val="nil"/>
              <w:bottom w:val="single" w:sz="4" w:space="0" w:color="auto"/>
              <w:right w:val="single" w:sz="4" w:space="0" w:color="auto"/>
            </w:tcBorders>
            <w:shd w:val="clear" w:color="auto" w:fill="auto"/>
            <w:noWrap/>
            <w:vAlign w:val="bottom"/>
            <w:hideMark/>
          </w:tcPr>
          <w:p w14:paraId="19B59CF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3370</w:t>
            </w:r>
          </w:p>
        </w:tc>
        <w:tc>
          <w:tcPr>
            <w:tcW w:w="960" w:type="dxa"/>
            <w:tcBorders>
              <w:top w:val="nil"/>
              <w:left w:val="nil"/>
              <w:bottom w:val="single" w:sz="4" w:space="0" w:color="auto"/>
              <w:right w:val="single" w:sz="4" w:space="0" w:color="auto"/>
            </w:tcBorders>
            <w:shd w:val="clear" w:color="auto" w:fill="auto"/>
            <w:noWrap/>
            <w:vAlign w:val="bottom"/>
            <w:hideMark/>
          </w:tcPr>
          <w:p w14:paraId="6752F8B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547</w:t>
            </w:r>
          </w:p>
        </w:tc>
      </w:tr>
      <w:tr w:rsidR="00D1040D" w:rsidRPr="0093506F" w14:paraId="4BDBC695"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773CCBDA"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2 Industrija in gradbeništvo</w:t>
            </w:r>
          </w:p>
        </w:tc>
        <w:tc>
          <w:tcPr>
            <w:tcW w:w="1262" w:type="dxa"/>
            <w:tcBorders>
              <w:top w:val="nil"/>
              <w:left w:val="nil"/>
              <w:bottom w:val="single" w:sz="4" w:space="0" w:color="auto"/>
              <w:right w:val="single" w:sz="4" w:space="0" w:color="auto"/>
            </w:tcBorders>
            <w:shd w:val="clear" w:color="auto" w:fill="auto"/>
            <w:noWrap/>
            <w:vAlign w:val="bottom"/>
            <w:hideMark/>
          </w:tcPr>
          <w:p w14:paraId="72656380"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36A728B3"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1395</w:t>
            </w:r>
          </w:p>
        </w:tc>
        <w:tc>
          <w:tcPr>
            <w:tcW w:w="960" w:type="dxa"/>
            <w:tcBorders>
              <w:top w:val="nil"/>
              <w:left w:val="nil"/>
              <w:bottom w:val="single" w:sz="4" w:space="0" w:color="auto"/>
              <w:right w:val="single" w:sz="4" w:space="0" w:color="auto"/>
            </w:tcBorders>
            <w:shd w:val="clear" w:color="auto" w:fill="auto"/>
            <w:noWrap/>
            <w:vAlign w:val="bottom"/>
            <w:hideMark/>
          </w:tcPr>
          <w:p w14:paraId="45D136F7"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1024</w:t>
            </w:r>
          </w:p>
        </w:tc>
        <w:tc>
          <w:tcPr>
            <w:tcW w:w="1011" w:type="dxa"/>
            <w:tcBorders>
              <w:top w:val="nil"/>
              <w:left w:val="nil"/>
              <w:bottom w:val="single" w:sz="4" w:space="0" w:color="auto"/>
              <w:right w:val="single" w:sz="4" w:space="0" w:color="auto"/>
            </w:tcBorders>
            <w:shd w:val="clear" w:color="auto" w:fill="auto"/>
            <w:noWrap/>
            <w:vAlign w:val="bottom"/>
            <w:hideMark/>
          </w:tcPr>
          <w:p w14:paraId="063676B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941</w:t>
            </w:r>
          </w:p>
        </w:tc>
        <w:tc>
          <w:tcPr>
            <w:tcW w:w="1060" w:type="dxa"/>
            <w:tcBorders>
              <w:top w:val="nil"/>
              <w:left w:val="nil"/>
              <w:bottom w:val="single" w:sz="4" w:space="0" w:color="auto"/>
              <w:right w:val="single" w:sz="4" w:space="0" w:color="auto"/>
            </w:tcBorders>
            <w:shd w:val="clear" w:color="auto" w:fill="auto"/>
            <w:noWrap/>
            <w:vAlign w:val="bottom"/>
            <w:hideMark/>
          </w:tcPr>
          <w:p w14:paraId="72748A1D"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1128</w:t>
            </w:r>
          </w:p>
        </w:tc>
        <w:tc>
          <w:tcPr>
            <w:tcW w:w="960" w:type="dxa"/>
            <w:tcBorders>
              <w:top w:val="nil"/>
              <w:left w:val="nil"/>
              <w:bottom w:val="single" w:sz="4" w:space="0" w:color="auto"/>
              <w:right w:val="single" w:sz="4" w:space="0" w:color="auto"/>
            </w:tcBorders>
            <w:shd w:val="clear" w:color="auto" w:fill="auto"/>
            <w:noWrap/>
            <w:vAlign w:val="bottom"/>
            <w:hideMark/>
          </w:tcPr>
          <w:p w14:paraId="7BE3799C"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1102</w:t>
            </w:r>
          </w:p>
        </w:tc>
        <w:tc>
          <w:tcPr>
            <w:tcW w:w="960" w:type="dxa"/>
            <w:tcBorders>
              <w:top w:val="nil"/>
              <w:left w:val="nil"/>
              <w:bottom w:val="single" w:sz="4" w:space="0" w:color="auto"/>
              <w:right w:val="single" w:sz="4" w:space="0" w:color="auto"/>
            </w:tcBorders>
            <w:shd w:val="clear" w:color="auto" w:fill="auto"/>
            <w:noWrap/>
            <w:vAlign w:val="bottom"/>
            <w:hideMark/>
          </w:tcPr>
          <w:p w14:paraId="60BD584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1184</w:t>
            </w:r>
          </w:p>
        </w:tc>
        <w:tc>
          <w:tcPr>
            <w:tcW w:w="1060" w:type="dxa"/>
            <w:tcBorders>
              <w:top w:val="nil"/>
              <w:left w:val="nil"/>
              <w:bottom w:val="single" w:sz="4" w:space="0" w:color="auto"/>
              <w:right w:val="single" w:sz="4" w:space="0" w:color="auto"/>
            </w:tcBorders>
            <w:shd w:val="clear" w:color="auto" w:fill="auto"/>
            <w:noWrap/>
            <w:vAlign w:val="bottom"/>
            <w:hideMark/>
          </w:tcPr>
          <w:p w14:paraId="5AF03FF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949</w:t>
            </w:r>
          </w:p>
        </w:tc>
        <w:tc>
          <w:tcPr>
            <w:tcW w:w="960" w:type="dxa"/>
            <w:tcBorders>
              <w:top w:val="nil"/>
              <w:left w:val="nil"/>
              <w:bottom w:val="single" w:sz="4" w:space="0" w:color="auto"/>
              <w:right w:val="single" w:sz="4" w:space="0" w:color="auto"/>
            </w:tcBorders>
            <w:shd w:val="clear" w:color="auto" w:fill="auto"/>
            <w:noWrap/>
            <w:vAlign w:val="bottom"/>
            <w:hideMark/>
          </w:tcPr>
          <w:p w14:paraId="4DD3761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826</w:t>
            </w:r>
          </w:p>
        </w:tc>
        <w:tc>
          <w:tcPr>
            <w:tcW w:w="960" w:type="dxa"/>
            <w:tcBorders>
              <w:top w:val="nil"/>
              <w:left w:val="nil"/>
              <w:bottom w:val="single" w:sz="4" w:space="0" w:color="auto"/>
              <w:right w:val="single" w:sz="4" w:space="0" w:color="auto"/>
            </w:tcBorders>
            <w:shd w:val="clear" w:color="auto" w:fill="auto"/>
            <w:noWrap/>
            <w:vAlign w:val="bottom"/>
            <w:hideMark/>
          </w:tcPr>
          <w:p w14:paraId="4467595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368</w:t>
            </w:r>
          </w:p>
        </w:tc>
      </w:tr>
      <w:tr w:rsidR="00D1040D" w:rsidRPr="0093506F" w14:paraId="36193893"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495E29C1"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B Ubežne emisije</w:t>
            </w:r>
          </w:p>
        </w:tc>
        <w:tc>
          <w:tcPr>
            <w:tcW w:w="1262" w:type="dxa"/>
            <w:tcBorders>
              <w:top w:val="nil"/>
              <w:left w:val="nil"/>
              <w:bottom w:val="single" w:sz="4" w:space="0" w:color="auto"/>
              <w:right w:val="single" w:sz="4" w:space="0" w:color="auto"/>
            </w:tcBorders>
            <w:shd w:val="clear" w:color="auto" w:fill="auto"/>
            <w:noWrap/>
            <w:vAlign w:val="bottom"/>
            <w:hideMark/>
          </w:tcPr>
          <w:p w14:paraId="3C74B2F8"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6402B679"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82</w:t>
            </w:r>
          </w:p>
        </w:tc>
        <w:tc>
          <w:tcPr>
            <w:tcW w:w="960" w:type="dxa"/>
            <w:tcBorders>
              <w:top w:val="nil"/>
              <w:left w:val="nil"/>
              <w:bottom w:val="single" w:sz="4" w:space="0" w:color="auto"/>
              <w:right w:val="single" w:sz="4" w:space="0" w:color="auto"/>
            </w:tcBorders>
            <w:shd w:val="clear" w:color="auto" w:fill="auto"/>
            <w:noWrap/>
            <w:vAlign w:val="bottom"/>
            <w:hideMark/>
          </w:tcPr>
          <w:p w14:paraId="571F2CC0"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63</w:t>
            </w:r>
          </w:p>
        </w:tc>
        <w:tc>
          <w:tcPr>
            <w:tcW w:w="1011" w:type="dxa"/>
            <w:tcBorders>
              <w:top w:val="nil"/>
              <w:left w:val="nil"/>
              <w:bottom w:val="single" w:sz="4" w:space="0" w:color="auto"/>
              <w:right w:val="single" w:sz="4" w:space="0" w:color="auto"/>
            </w:tcBorders>
            <w:shd w:val="clear" w:color="auto" w:fill="auto"/>
            <w:noWrap/>
            <w:vAlign w:val="bottom"/>
            <w:hideMark/>
          </w:tcPr>
          <w:p w14:paraId="6204B80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41</w:t>
            </w:r>
          </w:p>
        </w:tc>
        <w:tc>
          <w:tcPr>
            <w:tcW w:w="1060" w:type="dxa"/>
            <w:tcBorders>
              <w:top w:val="nil"/>
              <w:left w:val="nil"/>
              <w:bottom w:val="single" w:sz="4" w:space="0" w:color="auto"/>
              <w:right w:val="single" w:sz="4" w:space="0" w:color="auto"/>
            </w:tcBorders>
            <w:shd w:val="clear" w:color="auto" w:fill="auto"/>
            <w:noWrap/>
            <w:vAlign w:val="bottom"/>
            <w:hideMark/>
          </w:tcPr>
          <w:p w14:paraId="6A16106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50</w:t>
            </w:r>
          </w:p>
        </w:tc>
        <w:tc>
          <w:tcPr>
            <w:tcW w:w="960" w:type="dxa"/>
            <w:tcBorders>
              <w:top w:val="nil"/>
              <w:left w:val="nil"/>
              <w:bottom w:val="single" w:sz="4" w:space="0" w:color="auto"/>
              <w:right w:val="single" w:sz="4" w:space="0" w:color="auto"/>
            </w:tcBorders>
            <w:shd w:val="clear" w:color="auto" w:fill="auto"/>
            <w:noWrap/>
            <w:vAlign w:val="bottom"/>
            <w:hideMark/>
          </w:tcPr>
          <w:p w14:paraId="6B7F5FE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51</w:t>
            </w:r>
          </w:p>
        </w:tc>
        <w:tc>
          <w:tcPr>
            <w:tcW w:w="960" w:type="dxa"/>
            <w:tcBorders>
              <w:top w:val="nil"/>
              <w:left w:val="nil"/>
              <w:bottom w:val="single" w:sz="4" w:space="0" w:color="auto"/>
              <w:right w:val="single" w:sz="4" w:space="0" w:color="auto"/>
            </w:tcBorders>
            <w:shd w:val="clear" w:color="auto" w:fill="auto"/>
            <w:noWrap/>
            <w:vAlign w:val="bottom"/>
            <w:hideMark/>
          </w:tcPr>
          <w:p w14:paraId="108E4A9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0</w:t>
            </w:r>
          </w:p>
        </w:tc>
        <w:tc>
          <w:tcPr>
            <w:tcW w:w="1060" w:type="dxa"/>
            <w:tcBorders>
              <w:top w:val="nil"/>
              <w:left w:val="nil"/>
              <w:bottom w:val="single" w:sz="4" w:space="0" w:color="auto"/>
              <w:right w:val="single" w:sz="4" w:space="0" w:color="auto"/>
            </w:tcBorders>
            <w:shd w:val="clear" w:color="auto" w:fill="auto"/>
            <w:noWrap/>
            <w:vAlign w:val="bottom"/>
            <w:hideMark/>
          </w:tcPr>
          <w:p w14:paraId="3DD0C63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49</w:t>
            </w:r>
          </w:p>
        </w:tc>
        <w:tc>
          <w:tcPr>
            <w:tcW w:w="960" w:type="dxa"/>
            <w:tcBorders>
              <w:top w:val="nil"/>
              <w:left w:val="nil"/>
              <w:bottom w:val="single" w:sz="4" w:space="0" w:color="auto"/>
              <w:right w:val="single" w:sz="4" w:space="0" w:color="auto"/>
            </w:tcBorders>
            <w:shd w:val="clear" w:color="auto" w:fill="auto"/>
            <w:noWrap/>
            <w:vAlign w:val="bottom"/>
            <w:hideMark/>
          </w:tcPr>
          <w:p w14:paraId="0D503440"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47</w:t>
            </w:r>
          </w:p>
        </w:tc>
        <w:tc>
          <w:tcPr>
            <w:tcW w:w="960" w:type="dxa"/>
            <w:tcBorders>
              <w:top w:val="nil"/>
              <w:left w:val="nil"/>
              <w:bottom w:val="single" w:sz="4" w:space="0" w:color="auto"/>
              <w:right w:val="single" w:sz="4" w:space="0" w:color="auto"/>
            </w:tcBorders>
            <w:shd w:val="clear" w:color="auto" w:fill="auto"/>
            <w:noWrap/>
            <w:vAlign w:val="bottom"/>
            <w:hideMark/>
          </w:tcPr>
          <w:p w14:paraId="58F124A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0</w:t>
            </w:r>
          </w:p>
        </w:tc>
      </w:tr>
      <w:tr w:rsidR="00D1040D" w:rsidRPr="0093506F" w14:paraId="514A3D51"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009C2191"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2 Industrijski procesi in raba izdelkov</w:t>
            </w:r>
          </w:p>
        </w:tc>
        <w:tc>
          <w:tcPr>
            <w:tcW w:w="1262" w:type="dxa"/>
            <w:tcBorders>
              <w:top w:val="nil"/>
              <w:left w:val="nil"/>
              <w:bottom w:val="single" w:sz="4" w:space="0" w:color="auto"/>
              <w:right w:val="single" w:sz="4" w:space="0" w:color="auto"/>
            </w:tcBorders>
            <w:shd w:val="clear" w:color="auto" w:fill="auto"/>
            <w:noWrap/>
            <w:vAlign w:val="bottom"/>
            <w:hideMark/>
          </w:tcPr>
          <w:p w14:paraId="00C07A11" w14:textId="7A22477D"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w:t>
            </w:r>
            <w:r w:rsidR="002146B5" w:rsidRPr="007944FA">
              <w:rPr>
                <w:rFonts w:ascii="Arial" w:eastAsia="Times New Roman" w:hAnsi="Arial" w:cs="Arial"/>
                <w:sz w:val="18"/>
                <w:szCs w:val="18"/>
                <w:lang w:eastAsia="sl-SI"/>
              </w:rPr>
              <w:t xml:space="preserve"> ekv.</w:t>
            </w:r>
            <w:r w:rsidRPr="007944FA">
              <w:rPr>
                <w:rFonts w:ascii="Arial" w:eastAsia="Times New Roman" w:hAnsi="Arial" w:cs="Arial"/>
                <w:sz w:val="18"/>
                <w:szCs w:val="18"/>
                <w:lang w:eastAsia="sl-SI"/>
              </w:rPr>
              <w:t xml:space="preserve">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73178F1A"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959</w:t>
            </w:r>
          </w:p>
        </w:tc>
        <w:tc>
          <w:tcPr>
            <w:tcW w:w="960" w:type="dxa"/>
            <w:tcBorders>
              <w:top w:val="nil"/>
              <w:left w:val="nil"/>
              <w:bottom w:val="single" w:sz="4" w:space="0" w:color="auto"/>
              <w:right w:val="single" w:sz="4" w:space="0" w:color="auto"/>
            </w:tcBorders>
            <w:shd w:val="clear" w:color="auto" w:fill="auto"/>
            <w:noWrap/>
            <w:vAlign w:val="bottom"/>
            <w:hideMark/>
          </w:tcPr>
          <w:p w14:paraId="69D9D53C"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681</w:t>
            </w:r>
          </w:p>
        </w:tc>
        <w:tc>
          <w:tcPr>
            <w:tcW w:w="1011" w:type="dxa"/>
            <w:tcBorders>
              <w:top w:val="nil"/>
              <w:left w:val="nil"/>
              <w:bottom w:val="single" w:sz="4" w:space="0" w:color="auto"/>
              <w:right w:val="single" w:sz="4" w:space="0" w:color="auto"/>
            </w:tcBorders>
            <w:shd w:val="clear" w:color="auto" w:fill="auto"/>
            <w:noWrap/>
            <w:vAlign w:val="bottom"/>
            <w:hideMark/>
          </w:tcPr>
          <w:p w14:paraId="64D648F8"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649</w:t>
            </w:r>
          </w:p>
        </w:tc>
        <w:tc>
          <w:tcPr>
            <w:tcW w:w="1060" w:type="dxa"/>
            <w:tcBorders>
              <w:top w:val="nil"/>
              <w:left w:val="nil"/>
              <w:bottom w:val="single" w:sz="4" w:space="0" w:color="auto"/>
              <w:right w:val="single" w:sz="4" w:space="0" w:color="auto"/>
            </w:tcBorders>
            <w:shd w:val="clear" w:color="auto" w:fill="auto"/>
            <w:noWrap/>
            <w:vAlign w:val="bottom"/>
            <w:hideMark/>
          </w:tcPr>
          <w:p w14:paraId="0BBA3AB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662</w:t>
            </w:r>
          </w:p>
        </w:tc>
        <w:tc>
          <w:tcPr>
            <w:tcW w:w="960" w:type="dxa"/>
            <w:tcBorders>
              <w:top w:val="nil"/>
              <w:left w:val="nil"/>
              <w:bottom w:val="single" w:sz="4" w:space="0" w:color="auto"/>
              <w:right w:val="single" w:sz="4" w:space="0" w:color="auto"/>
            </w:tcBorders>
            <w:shd w:val="clear" w:color="auto" w:fill="auto"/>
            <w:noWrap/>
            <w:vAlign w:val="bottom"/>
            <w:hideMark/>
          </w:tcPr>
          <w:p w14:paraId="026A8806"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682</w:t>
            </w:r>
          </w:p>
        </w:tc>
        <w:tc>
          <w:tcPr>
            <w:tcW w:w="960" w:type="dxa"/>
            <w:tcBorders>
              <w:top w:val="nil"/>
              <w:left w:val="nil"/>
              <w:bottom w:val="single" w:sz="4" w:space="0" w:color="auto"/>
              <w:right w:val="single" w:sz="4" w:space="0" w:color="auto"/>
            </w:tcBorders>
            <w:shd w:val="clear" w:color="auto" w:fill="auto"/>
            <w:noWrap/>
            <w:vAlign w:val="bottom"/>
            <w:hideMark/>
          </w:tcPr>
          <w:p w14:paraId="4BF0FAFD"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704</w:t>
            </w:r>
          </w:p>
        </w:tc>
        <w:tc>
          <w:tcPr>
            <w:tcW w:w="1060" w:type="dxa"/>
            <w:tcBorders>
              <w:top w:val="nil"/>
              <w:left w:val="nil"/>
              <w:bottom w:val="single" w:sz="4" w:space="0" w:color="auto"/>
              <w:right w:val="single" w:sz="4" w:space="0" w:color="auto"/>
            </w:tcBorders>
            <w:shd w:val="clear" w:color="auto" w:fill="auto"/>
            <w:noWrap/>
            <w:vAlign w:val="bottom"/>
            <w:hideMark/>
          </w:tcPr>
          <w:p w14:paraId="76D98736"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666</w:t>
            </w:r>
          </w:p>
        </w:tc>
        <w:tc>
          <w:tcPr>
            <w:tcW w:w="960" w:type="dxa"/>
            <w:tcBorders>
              <w:top w:val="nil"/>
              <w:left w:val="nil"/>
              <w:bottom w:val="single" w:sz="4" w:space="0" w:color="auto"/>
              <w:right w:val="single" w:sz="4" w:space="0" w:color="auto"/>
            </w:tcBorders>
            <w:shd w:val="clear" w:color="auto" w:fill="auto"/>
            <w:noWrap/>
            <w:vAlign w:val="bottom"/>
            <w:hideMark/>
          </w:tcPr>
          <w:p w14:paraId="1225288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687</w:t>
            </w:r>
          </w:p>
        </w:tc>
        <w:tc>
          <w:tcPr>
            <w:tcW w:w="960" w:type="dxa"/>
            <w:tcBorders>
              <w:top w:val="nil"/>
              <w:left w:val="nil"/>
              <w:bottom w:val="single" w:sz="4" w:space="0" w:color="auto"/>
              <w:right w:val="single" w:sz="4" w:space="0" w:color="auto"/>
            </w:tcBorders>
            <w:shd w:val="clear" w:color="auto" w:fill="auto"/>
            <w:noWrap/>
            <w:vAlign w:val="bottom"/>
            <w:hideMark/>
          </w:tcPr>
          <w:p w14:paraId="36901A3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203</w:t>
            </w:r>
          </w:p>
        </w:tc>
      </w:tr>
      <w:tr w:rsidR="00D1040D" w:rsidRPr="0093506F" w14:paraId="1DF800F7"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281F3301"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SKUPAJ</w:t>
            </w:r>
          </w:p>
        </w:tc>
        <w:tc>
          <w:tcPr>
            <w:tcW w:w="1262" w:type="dxa"/>
            <w:tcBorders>
              <w:top w:val="nil"/>
              <w:left w:val="nil"/>
              <w:bottom w:val="single" w:sz="4" w:space="0" w:color="auto"/>
              <w:right w:val="single" w:sz="4" w:space="0" w:color="auto"/>
            </w:tcBorders>
            <w:shd w:val="clear" w:color="auto" w:fill="auto"/>
            <w:noWrap/>
            <w:vAlign w:val="bottom"/>
            <w:hideMark/>
          </w:tcPr>
          <w:p w14:paraId="4FF47A64" w14:textId="29CAE6F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[kt</w:t>
            </w:r>
            <w:r w:rsidR="002146B5" w:rsidRPr="007944FA">
              <w:rPr>
                <w:rFonts w:ascii="Arial" w:eastAsia="Times New Roman" w:hAnsi="Arial" w:cs="Arial"/>
                <w:sz w:val="18"/>
                <w:szCs w:val="18"/>
                <w:lang w:eastAsia="sl-SI"/>
              </w:rPr>
              <w:t xml:space="preserve"> ekv.</w:t>
            </w:r>
            <w:r w:rsidRPr="007944FA">
              <w:rPr>
                <w:rFonts w:ascii="Arial" w:eastAsia="Times New Roman" w:hAnsi="Arial" w:cs="Arial"/>
                <w:sz w:val="18"/>
                <w:szCs w:val="18"/>
                <w:lang w:eastAsia="sl-SI"/>
              </w:rPr>
              <w:t xml:space="preserve"> CO</w:t>
            </w:r>
            <w:r w:rsidRPr="007944FA">
              <w:rPr>
                <w:rFonts w:ascii="Arial" w:eastAsia="Times New Roman" w:hAnsi="Arial" w:cs="Arial"/>
                <w:sz w:val="18"/>
                <w:szCs w:val="18"/>
                <w:vertAlign w:val="subscript"/>
                <w:lang w:eastAsia="sl-SI"/>
              </w:rPr>
              <w:t>2</w:t>
            </w: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71081DAD"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8738</w:t>
            </w:r>
          </w:p>
        </w:tc>
        <w:tc>
          <w:tcPr>
            <w:tcW w:w="960" w:type="dxa"/>
            <w:tcBorders>
              <w:top w:val="nil"/>
              <w:left w:val="nil"/>
              <w:bottom w:val="single" w:sz="4" w:space="0" w:color="auto"/>
              <w:right w:val="single" w:sz="4" w:space="0" w:color="auto"/>
            </w:tcBorders>
            <w:shd w:val="clear" w:color="auto" w:fill="auto"/>
            <w:noWrap/>
            <w:vAlign w:val="bottom"/>
            <w:hideMark/>
          </w:tcPr>
          <w:p w14:paraId="5F675D66"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6095</w:t>
            </w:r>
          </w:p>
        </w:tc>
        <w:tc>
          <w:tcPr>
            <w:tcW w:w="1011" w:type="dxa"/>
            <w:tcBorders>
              <w:top w:val="nil"/>
              <w:left w:val="nil"/>
              <w:bottom w:val="single" w:sz="4" w:space="0" w:color="auto"/>
              <w:right w:val="single" w:sz="4" w:space="0" w:color="auto"/>
            </w:tcBorders>
            <w:shd w:val="clear" w:color="auto" w:fill="auto"/>
            <w:noWrap/>
            <w:vAlign w:val="bottom"/>
            <w:hideMark/>
          </w:tcPr>
          <w:p w14:paraId="1B76ED18"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4861</w:t>
            </w:r>
          </w:p>
        </w:tc>
        <w:tc>
          <w:tcPr>
            <w:tcW w:w="1060" w:type="dxa"/>
            <w:tcBorders>
              <w:top w:val="nil"/>
              <w:left w:val="nil"/>
              <w:bottom w:val="single" w:sz="4" w:space="0" w:color="auto"/>
              <w:right w:val="single" w:sz="4" w:space="0" w:color="auto"/>
            </w:tcBorders>
            <w:shd w:val="clear" w:color="auto" w:fill="auto"/>
            <w:noWrap/>
            <w:vAlign w:val="bottom"/>
            <w:hideMark/>
          </w:tcPr>
          <w:p w14:paraId="3C727FCB"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5645</w:t>
            </w:r>
          </w:p>
        </w:tc>
        <w:tc>
          <w:tcPr>
            <w:tcW w:w="960" w:type="dxa"/>
            <w:tcBorders>
              <w:top w:val="nil"/>
              <w:left w:val="nil"/>
              <w:bottom w:val="single" w:sz="4" w:space="0" w:color="auto"/>
              <w:right w:val="single" w:sz="4" w:space="0" w:color="auto"/>
            </w:tcBorders>
            <w:shd w:val="clear" w:color="auto" w:fill="auto"/>
            <w:noWrap/>
            <w:vAlign w:val="bottom"/>
            <w:hideMark/>
          </w:tcPr>
          <w:p w14:paraId="0F9D72EE"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5624</w:t>
            </w:r>
          </w:p>
        </w:tc>
        <w:tc>
          <w:tcPr>
            <w:tcW w:w="960" w:type="dxa"/>
            <w:tcBorders>
              <w:top w:val="nil"/>
              <w:left w:val="nil"/>
              <w:bottom w:val="single" w:sz="4" w:space="0" w:color="auto"/>
              <w:right w:val="single" w:sz="4" w:space="0" w:color="auto"/>
            </w:tcBorders>
            <w:shd w:val="clear" w:color="auto" w:fill="auto"/>
            <w:noWrap/>
            <w:vAlign w:val="bottom"/>
            <w:hideMark/>
          </w:tcPr>
          <w:p w14:paraId="264EC25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2922</w:t>
            </w:r>
          </w:p>
        </w:tc>
        <w:tc>
          <w:tcPr>
            <w:tcW w:w="1060" w:type="dxa"/>
            <w:tcBorders>
              <w:top w:val="nil"/>
              <w:left w:val="nil"/>
              <w:bottom w:val="single" w:sz="4" w:space="0" w:color="auto"/>
              <w:right w:val="single" w:sz="4" w:space="0" w:color="auto"/>
            </w:tcBorders>
            <w:shd w:val="clear" w:color="auto" w:fill="auto"/>
            <w:noWrap/>
            <w:vAlign w:val="bottom"/>
            <w:hideMark/>
          </w:tcPr>
          <w:p w14:paraId="36817D8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5389</w:t>
            </w:r>
          </w:p>
        </w:tc>
        <w:tc>
          <w:tcPr>
            <w:tcW w:w="960" w:type="dxa"/>
            <w:tcBorders>
              <w:top w:val="nil"/>
              <w:left w:val="nil"/>
              <w:bottom w:val="single" w:sz="4" w:space="0" w:color="auto"/>
              <w:right w:val="single" w:sz="4" w:space="0" w:color="auto"/>
            </w:tcBorders>
            <w:shd w:val="clear" w:color="auto" w:fill="auto"/>
            <w:noWrap/>
            <w:vAlign w:val="bottom"/>
            <w:hideMark/>
          </w:tcPr>
          <w:p w14:paraId="20BAB28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4930</w:t>
            </w:r>
          </w:p>
        </w:tc>
        <w:tc>
          <w:tcPr>
            <w:tcW w:w="960" w:type="dxa"/>
            <w:tcBorders>
              <w:top w:val="nil"/>
              <w:left w:val="nil"/>
              <w:bottom w:val="single" w:sz="4" w:space="0" w:color="auto"/>
              <w:right w:val="single" w:sz="4" w:space="0" w:color="auto"/>
            </w:tcBorders>
            <w:shd w:val="clear" w:color="auto" w:fill="auto"/>
            <w:noWrap/>
            <w:vAlign w:val="bottom"/>
            <w:hideMark/>
          </w:tcPr>
          <w:p w14:paraId="355F241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color w:val="000000"/>
                <w:sz w:val="18"/>
                <w:szCs w:val="18"/>
              </w:rPr>
              <w:t>1118</w:t>
            </w:r>
          </w:p>
        </w:tc>
      </w:tr>
    </w:tbl>
    <w:p w14:paraId="4E49B435" w14:textId="59B79958" w:rsidR="00D1040D" w:rsidRPr="007944FA" w:rsidRDefault="002F38E7" w:rsidP="002F38E7">
      <w:pPr>
        <w:pStyle w:val="nikatabelee"/>
        <w:rPr>
          <w:lang w:eastAsia="sl-SI"/>
        </w:rPr>
      </w:pPr>
      <w:bookmarkStart w:id="156" w:name="_Toc193195397"/>
      <w:r w:rsidRPr="007944FA">
        <w:rPr>
          <w:lang w:eastAsia="sl-SI"/>
        </w:rPr>
        <w:t>Preglednica 12</w:t>
      </w:r>
      <w:r w:rsidR="00D1040D" w:rsidRPr="007944FA">
        <w:rPr>
          <w:lang w:eastAsia="sl-SI"/>
        </w:rPr>
        <w:t>: Dejanske emisije EU ETS v letih 2005, 2020, 2022 ter projekcije emisij z ukrepi in z dodatnimi ukrepi do leta 2040 (vir: ARSO, IJS-CEU, KIS)</w:t>
      </w:r>
      <w:bookmarkEnd w:id="156"/>
    </w:p>
    <w:p w14:paraId="7C934318" w14:textId="0418562B" w:rsidR="00D1040D" w:rsidRPr="007944FA" w:rsidRDefault="00D1040D" w:rsidP="00D1040D">
      <w:pPr>
        <w:tabs>
          <w:tab w:val="left" w:pos="964"/>
        </w:tabs>
        <w:spacing w:before="120" w:after="120" w:line="240" w:lineRule="auto"/>
        <w:jc w:val="both"/>
        <w:rPr>
          <w:rFonts w:ascii="Arial" w:eastAsia="Times New Roman" w:hAnsi="Arial" w:cs="Arial"/>
          <w:b/>
          <w:color w:val="0E2841" w:themeColor="text2"/>
          <w:sz w:val="18"/>
          <w:szCs w:val="18"/>
        </w:rPr>
      </w:pPr>
    </w:p>
    <w:tbl>
      <w:tblPr>
        <w:tblW w:w="13569" w:type="dxa"/>
        <w:tblInd w:w="279" w:type="dxa"/>
        <w:tblCellMar>
          <w:left w:w="70" w:type="dxa"/>
          <w:right w:w="70" w:type="dxa"/>
        </w:tblCellMar>
        <w:tblLook w:val="04A0" w:firstRow="1" w:lastRow="0" w:firstColumn="1" w:lastColumn="0" w:noHBand="0" w:noVBand="1"/>
      </w:tblPr>
      <w:tblGrid>
        <w:gridCol w:w="3416"/>
        <w:gridCol w:w="1262"/>
        <w:gridCol w:w="960"/>
        <w:gridCol w:w="960"/>
        <w:gridCol w:w="1011"/>
        <w:gridCol w:w="1060"/>
        <w:gridCol w:w="960"/>
        <w:gridCol w:w="960"/>
        <w:gridCol w:w="1060"/>
        <w:gridCol w:w="960"/>
        <w:gridCol w:w="960"/>
      </w:tblGrid>
      <w:tr w:rsidR="00D1040D" w:rsidRPr="0093506F" w14:paraId="2B06CDFE" w14:textId="77777777" w:rsidTr="00ED3215">
        <w:trPr>
          <w:trHeight w:val="300"/>
        </w:trPr>
        <w:tc>
          <w:tcPr>
            <w:tcW w:w="34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1FADD"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1262" w:type="dxa"/>
            <w:tcBorders>
              <w:top w:val="single" w:sz="4" w:space="0" w:color="auto"/>
              <w:left w:val="nil"/>
              <w:bottom w:val="single" w:sz="4" w:space="0" w:color="auto"/>
              <w:right w:val="single" w:sz="4" w:space="0" w:color="auto"/>
            </w:tcBorders>
            <w:shd w:val="clear" w:color="auto" w:fill="auto"/>
            <w:noWrap/>
            <w:vAlign w:val="bottom"/>
            <w:hideMark/>
          </w:tcPr>
          <w:p w14:paraId="6D81AF99"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33A6D1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2005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37772B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2020</w:t>
            </w:r>
          </w:p>
        </w:tc>
        <w:tc>
          <w:tcPr>
            <w:tcW w:w="1011" w:type="dxa"/>
            <w:tcBorders>
              <w:top w:val="single" w:sz="4" w:space="0" w:color="auto"/>
              <w:left w:val="nil"/>
              <w:bottom w:val="single" w:sz="4" w:space="0" w:color="auto"/>
              <w:right w:val="single" w:sz="4" w:space="0" w:color="auto"/>
            </w:tcBorders>
            <w:shd w:val="clear" w:color="auto" w:fill="auto"/>
            <w:noWrap/>
            <w:vAlign w:val="bottom"/>
            <w:hideMark/>
          </w:tcPr>
          <w:p w14:paraId="6878467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2022</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933623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34B0FBF"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A80EB2"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2040</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7488354"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2025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3E2FDFD"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2030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636AFE5" w14:textId="77777777" w:rsidR="00D1040D" w:rsidRPr="007944FA" w:rsidRDefault="00D1040D" w:rsidP="00D1040D">
            <w:pPr>
              <w:spacing w:after="0" w:line="247" w:lineRule="auto"/>
              <w:jc w:val="right"/>
              <w:rPr>
                <w:rFonts w:ascii="Arial" w:eastAsia="Times New Roman" w:hAnsi="Arial" w:cs="Arial"/>
                <w:sz w:val="18"/>
                <w:szCs w:val="18"/>
                <w:lang w:eastAsia="sl-SI"/>
              </w:rPr>
            </w:pPr>
            <w:r w:rsidRPr="007944FA">
              <w:rPr>
                <w:rFonts w:ascii="Arial" w:eastAsia="Times New Roman" w:hAnsi="Arial" w:cs="Arial"/>
                <w:sz w:val="18"/>
                <w:szCs w:val="18"/>
                <w:lang w:eastAsia="sl-SI"/>
              </w:rPr>
              <w:t>2040</w:t>
            </w:r>
          </w:p>
        </w:tc>
      </w:tr>
      <w:tr w:rsidR="00D1040D" w:rsidRPr="0093506F" w14:paraId="5C4DF7ED"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3F194F08"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1262" w:type="dxa"/>
            <w:tcBorders>
              <w:top w:val="nil"/>
              <w:left w:val="nil"/>
              <w:bottom w:val="single" w:sz="4" w:space="0" w:color="auto"/>
              <w:right w:val="single" w:sz="4" w:space="0" w:color="auto"/>
            </w:tcBorders>
            <w:shd w:val="clear" w:color="auto" w:fill="auto"/>
            <w:noWrap/>
            <w:vAlign w:val="bottom"/>
            <w:hideMark/>
          </w:tcPr>
          <w:p w14:paraId="48F9C3DE"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w:t>
            </w:r>
          </w:p>
        </w:tc>
        <w:tc>
          <w:tcPr>
            <w:tcW w:w="2931" w:type="dxa"/>
            <w:gridSpan w:val="3"/>
            <w:tcBorders>
              <w:top w:val="nil"/>
              <w:left w:val="nil"/>
              <w:bottom w:val="single" w:sz="4" w:space="0" w:color="auto"/>
              <w:right w:val="single" w:sz="4" w:space="0" w:color="auto"/>
            </w:tcBorders>
            <w:shd w:val="clear" w:color="auto" w:fill="auto"/>
            <w:noWrap/>
            <w:vAlign w:val="bottom"/>
            <w:hideMark/>
          </w:tcPr>
          <w:p w14:paraId="30DBECF2"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Dejanske emisije</w:t>
            </w:r>
          </w:p>
        </w:tc>
        <w:tc>
          <w:tcPr>
            <w:tcW w:w="2980" w:type="dxa"/>
            <w:gridSpan w:val="3"/>
            <w:tcBorders>
              <w:top w:val="nil"/>
              <w:left w:val="nil"/>
              <w:bottom w:val="single" w:sz="4" w:space="0" w:color="auto"/>
              <w:right w:val="single" w:sz="4" w:space="0" w:color="auto"/>
            </w:tcBorders>
            <w:shd w:val="clear" w:color="auto" w:fill="auto"/>
            <w:noWrap/>
            <w:vAlign w:val="bottom"/>
            <w:hideMark/>
          </w:tcPr>
          <w:p w14:paraId="001DDCD4"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Projekcija z ukrepi</w:t>
            </w:r>
          </w:p>
        </w:tc>
        <w:tc>
          <w:tcPr>
            <w:tcW w:w="2980" w:type="dxa"/>
            <w:gridSpan w:val="3"/>
            <w:tcBorders>
              <w:top w:val="nil"/>
              <w:left w:val="nil"/>
              <w:bottom w:val="single" w:sz="4" w:space="0" w:color="auto"/>
              <w:right w:val="single" w:sz="4" w:space="0" w:color="auto"/>
            </w:tcBorders>
            <w:shd w:val="clear" w:color="auto" w:fill="auto"/>
            <w:noWrap/>
            <w:vAlign w:val="bottom"/>
            <w:hideMark/>
          </w:tcPr>
          <w:p w14:paraId="14AD6D7C" w14:textId="77777777" w:rsidR="00D1040D" w:rsidRPr="007944FA" w:rsidRDefault="00D1040D" w:rsidP="00D1040D">
            <w:pPr>
              <w:spacing w:after="0" w:line="247" w:lineRule="auto"/>
              <w:jc w:val="center"/>
              <w:rPr>
                <w:rFonts w:ascii="Arial" w:eastAsia="Times New Roman" w:hAnsi="Arial" w:cs="Arial"/>
                <w:sz w:val="18"/>
                <w:szCs w:val="18"/>
                <w:lang w:eastAsia="sl-SI"/>
              </w:rPr>
            </w:pPr>
            <w:r w:rsidRPr="007944FA">
              <w:rPr>
                <w:rFonts w:ascii="Arial" w:eastAsia="Times New Roman" w:hAnsi="Arial" w:cs="Arial"/>
                <w:sz w:val="18"/>
                <w:szCs w:val="18"/>
                <w:lang w:eastAsia="sl-SI"/>
              </w:rPr>
              <w:t>Projekcija z dodatnimi ukrepi</w:t>
            </w:r>
          </w:p>
        </w:tc>
      </w:tr>
      <w:tr w:rsidR="00D1040D" w:rsidRPr="0093506F" w14:paraId="2E35EE9D"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362D2B0D"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1 Transformacije</w:t>
            </w:r>
          </w:p>
        </w:tc>
        <w:tc>
          <w:tcPr>
            <w:tcW w:w="1262" w:type="dxa"/>
            <w:tcBorders>
              <w:top w:val="nil"/>
              <w:left w:val="nil"/>
              <w:bottom w:val="single" w:sz="4" w:space="0" w:color="auto"/>
              <w:right w:val="single" w:sz="4" w:space="0" w:color="auto"/>
            </w:tcBorders>
            <w:shd w:val="clear" w:color="auto" w:fill="auto"/>
            <w:noWrap/>
            <w:vAlign w:val="bottom"/>
            <w:hideMark/>
          </w:tcPr>
          <w:p w14:paraId="7DD9699C"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18B58859"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98 %</w:t>
            </w:r>
          </w:p>
        </w:tc>
        <w:tc>
          <w:tcPr>
            <w:tcW w:w="960" w:type="dxa"/>
            <w:tcBorders>
              <w:top w:val="nil"/>
              <w:left w:val="nil"/>
              <w:bottom w:val="single" w:sz="4" w:space="0" w:color="auto"/>
              <w:right w:val="single" w:sz="4" w:space="0" w:color="auto"/>
            </w:tcBorders>
            <w:shd w:val="clear" w:color="auto" w:fill="auto"/>
            <w:noWrap/>
            <w:vAlign w:val="bottom"/>
            <w:hideMark/>
          </w:tcPr>
          <w:p w14:paraId="073C8FC8"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96 %</w:t>
            </w:r>
          </w:p>
        </w:tc>
        <w:tc>
          <w:tcPr>
            <w:tcW w:w="1011" w:type="dxa"/>
            <w:tcBorders>
              <w:top w:val="nil"/>
              <w:left w:val="nil"/>
              <w:bottom w:val="single" w:sz="4" w:space="0" w:color="auto"/>
              <w:right w:val="single" w:sz="4" w:space="0" w:color="auto"/>
            </w:tcBorders>
            <w:shd w:val="clear" w:color="auto" w:fill="auto"/>
            <w:noWrap/>
            <w:vAlign w:val="bottom"/>
            <w:hideMark/>
          </w:tcPr>
          <w:p w14:paraId="3964B024"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95 %</w:t>
            </w:r>
          </w:p>
        </w:tc>
        <w:tc>
          <w:tcPr>
            <w:tcW w:w="1060" w:type="dxa"/>
            <w:tcBorders>
              <w:top w:val="nil"/>
              <w:left w:val="nil"/>
              <w:bottom w:val="single" w:sz="4" w:space="0" w:color="auto"/>
              <w:right w:val="single" w:sz="4" w:space="0" w:color="auto"/>
            </w:tcBorders>
            <w:shd w:val="clear" w:color="auto" w:fill="auto"/>
            <w:noWrap/>
            <w:vAlign w:val="bottom"/>
            <w:hideMark/>
          </w:tcPr>
          <w:p w14:paraId="66C62FAA"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95 %</w:t>
            </w:r>
          </w:p>
        </w:tc>
        <w:tc>
          <w:tcPr>
            <w:tcW w:w="960" w:type="dxa"/>
            <w:tcBorders>
              <w:top w:val="nil"/>
              <w:left w:val="nil"/>
              <w:bottom w:val="single" w:sz="4" w:space="0" w:color="auto"/>
              <w:right w:val="single" w:sz="4" w:space="0" w:color="auto"/>
            </w:tcBorders>
            <w:shd w:val="clear" w:color="auto" w:fill="auto"/>
            <w:noWrap/>
            <w:vAlign w:val="bottom"/>
            <w:hideMark/>
          </w:tcPr>
          <w:p w14:paraId="5C1F7DC0"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96 %</w:t>
            </w:r>
          </w:p>
        </w:tc>
        <w:tc>
          <w:tcPr>
            <w:tcW w:w="960" w:type="dxa"/>
            <w:tcBorders>
              <w:top w:val="nil"/>
              <w:left w:val="nil"/>
              <w:bottom w:val="single" w:sz="4" w:space="0" w:color="auto"/>
              <w:right w:val="single" w:sz="4" w:space="0" w:color="auto"/>
            </w:tcBorders>
            <w:shd w:val="clear" w:color="auto" w:fill="auto"/>
            <w:noWrap/>
            <w:vAlign w:val="bottom"/>
            <w:hideMark/>
          </w:tcPr>
          <w:p w14:paraId="3F28054B"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90 %</w:t>
            </w:r>
          </w:p>
        </w:tc>
        <w:tc>
          <w:tcPr>
            <w:tcW w:w="1060" w:type="dxa"/>
            <w:tcBorders>
              <w:top w:val="nil"/>
              <w:left w:val="nil"/>
              <w:bottom w:val="single" w:sz="4" w:space="0" w:color="auto"/>
              <w:right w:val="single" w:sz="4" w:space="0" w:color="auto"/>
            </w:tcBorders>
            <w:shd w:val="clear" w:color="auto" w:fill="auto"/>
            <w:noWrap/>
            <w:vAlign w:val="bottom"/>
            <w:hideMark/>
          </w:tcPr>
          <w:p w14:paraId="7D5FE037"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95 %</w:t>
            </w:r>
          </w:p>
        </w:tc>
        <w:tc>
          <w:tcPr>
            <w:tcW w:w="960" w:type="dxa"/>
            <w:tcBorders>
              <w:top w:val="nil"/>
              <w:left w:val="nil"/>
              <w:bottom w:val="single" w:sz="4" w:space="0" w:color="auto"/>
              <w:right w:val="single" w:sz="4" w:space="0" w:color="auto"/>
            </w:tcBorders>
            <w:shd w:val="clear" w:color="auto" w:fill="auto"/>
            <w:noWrap/>
            <w:vAlign w:val="bottom"/>
            <w:hideMark/>
          </w:tcPr>
          <w:p w14:paraId="6229933E"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96 %</w:t>
            </w:r>
          </w:p>
        </w:tc>
        <w:tc>
          <w:tcPr>
            <w:tcW w:w="960" w:type="dxa"/>
            <w:tcBorders>
              <w:top w:val="nil"/>
              <w:left w:val="nil"/>
              <w:bottom w:val="single" w:sz="4" w:space="0" w:color="auto"/>
              <w:right w:val="single" w:sz="4" w:space="0" w:color="auto"/>
            </w:tcBorders>
            <w:shd w:val="clear" w:color="auto" w:fill="auto"/>
            <w:noWrap/>
            <w:vAlign w:val="bottom"/>
            <w:hideMark/>
          </w:tcPr>
          <w:p w14:paraId="700295B3"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88 %</w:t>
            </w:r>
          </w:p>
        </w:tc>
      </w:tr>
      <w:tr w:rsidR="00D1040D" w:rsidRPr="0093506F" w14:paraId="42E0F7D3"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660FB6CE"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2 Industrija in gradbeništvo</w:t>
            </w:r>
          </w:p>
        </w:tc>
        <w:tc>
          <w:tcPr>
            <w:tcW w:w="1262" w:type="dxa"/>
            <w:tcBorders>
              <w:top w:val="nil"/>
              <w:left w:val="nil"/>
              <w:bottom w:val="single" w:sz="4" w:space="0" w:color="auto"/>
              <w:right w:val="single" w:sz="4" w:space="0" w:color="auto"/>
            </w:tcBorders>
            <w:shd w:val="clear" w:color="auto" w:fill="auto"/>
            <w:noWrap/>
            <w:hideMark/>
          </w:tcPr>
          <w:p w14:paraId="03E4D867" w14:textId="77777777" w:rsidR="00D1040D" w:rsidRPr="007944FA" w:rsidRDefault="00D1040D" w:rsidP="00D1040D">
            <w:pPr>
              <w:spacing w:after="0" w:line="247" w:lineRule="auto"/>
              <w:rPr>
                <w:rFonts w:ascii="Arial" w:eastAsia="Times New Roman" w:hAnsi="Arial" w:cs="Arial"/>
                <w:sz w:val="18"/>
                <w:szCs w:val="18"/>
              </w:rPr>
            </w:pP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7D4E998B"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57 %</w:t>
            </w:r>
          </w:p>
        </w:tc>
        <w:tc>
          <w:tcPr>
            <w:tcW w:w="960" w:type="dxa"/>
            <w:tcBorders>
              <w:top w:val="nil"/>
              <w:left w:val="nil"/>
              <w:bottom w:val="single" w:sz="4" w:space="0" w:color="auto"/>
              <w:right w:val="single" w:sz="4" w:space="0" w:color="auto"/>
            </w:tcBorders>
            <w:shd w:val="clear" w:color="auto" w:fill="auto"/>
            <w:noWrap/>
            <w:vAlign w:val="bottom"/>
            <w:hideMark/>
          </w:tcPr>
          <w:p w14:paraId="4B655731"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60 %</w:t>
            </w:r>
          </w:p>
        </w:tc>
        <w:tc>
          <w:tcPr>
            <w:tcW w:w="1011" w:type="dxa"/>
            <w:tcBorders>
              <w:top w:val="nil"/>
              <w:left w:val="nil"/>
              <w:bottom w:val="single" w:sz="4" w:space="0" w:color="auto"/>
              <w:right w:val="single" w:sz="4" w:space="0" w:color="auto"/>
            </w:tcBorders>
            <w:shd w:val="clear" w:color="auto" w:fill="auto"/>
            <w:noWrap/>
            <w:vAlign w:val="bottom"/>
            <w:hideMark/>
          </w:tcPr>
          <w:p w14:paraId="09CEC9A5"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59 %</w:t>
            </w:r>
          </w:p>
        </w:tc>
        <w:tc>
          <w:tcPr>
            <w:tcW w:w="1060" w:type="dxa"/>
            <w:tcBorders>
              <w:top w:val="nil"/>
              <w:left w:val="nil"/>
              <w:bottom w:val="single" w:sz="4" w:space="0" w:color="auto"/>
              <w:right w:val="single" w:sz="4" w:space="0" w:color="auto"/>
            </w:tcBorders>
            <w:shd w:val="clear" w:color="auto" w:fill="auto"/>
            <w:noWrap/>
            <w:vAlign w:val="bottom"/>
            <w:hideMark/>
          </w:tcPr>
          <w:p w14:paraId="5D1A866C"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61 %</w:t>
            </w:r>
          </w:p>
        </w:tc>
        <w:tc>
          <w:tcPr>
            <w:tcW w:w="960" w:type="dxa"/>
            <w:tcBorders>
              <w:top w:val="nil"/>
              <w:left w:val="nil"/>
              <w:bottom w:val="single" w:sz="4" w:space="0" w:color="auto"/>
              <w:right w:val="single" w:sz="4" w:space="0" w:color="auto"/>
            </w:tcBorders>
            <w:shd w:val="clear" w:color="auto" w:fill="auto"/>
            <w:noWrap/>
            <w:vAlign w:val="bottom"/>
            <w:hideMark/>
          </w:tcPr>
          <w:p w14:paraId="5DA3C203"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60 %</w:t>
            </w:r>
          </w:p>
        </w:tc>
        <w:tc>
          <w:tcPr>
            <w:tcW w:w="960" w:type="dxa"/>
            <w:tcBorders>
              <w:top w:val="nil"/>
              <w:left w:val="nil"/>
              <w:bottom w:val="single" w:sz="4" w:space="0" w:color="auto"/>
              <w:right w:val="single" w:sz="4" w:space="0" w:color="auto"/>
            </w:tcBorders>
            <w:shd w:val="clear" w:color="auto" w:fill="auto"/>
            <w:noWrap/>
            <w:vAlign w:val="bottom"/>
            <w:hideMark/>
          </w:tcPr>
          <w:p w14:paraId="6E56D2B1"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59 %</w:t>
            </w:r>
          </w:p>
        </w:tc>
        <w:tc>
          <w:tcPr>
            <w:tcW w:w="1060" w:type="dxa"/>
            <w:tcBorders>
              <w:top w:val="nil"/>
              <w:left w:val="nil"/>
              <w:bottom w:val="single" w:sz="4" w:space="0" w:color="auto"/>
              <w:right w:val="single" w:sz="4" w:space="0" w:color="auto"/>
            </w:tcBorders>
            <w:shd w:val="clear" w:color="auto" w:fill="auto"/>
            <w:noWrap/>
            <w:vAlign w:val="bottom"/>
            <w:hideMark/>
          </w:tcPr>
          <w:p w14:paraId="13DDB5D5"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59 %</w:t>
            </w:r>
          </w:p>
        </w:tc>
        <w:tc>
          <w:tcPr>
            <w:tcW w:w="960" w:type="dxa"/>
            <w:tcBorders>
              <w:top w:val="nil"/>
              <w:left w:val="nil"/>
              <w:bottom w:val="single" w:sz="4" w:space="0" w:color="auto"/>
              <w:right w:val="single" w:sz="4" w:space="0" w:color="auto"/>
            </w:tcBorders>
            <w:shd w:val="clear" w:color="auto" w:fill="auto"/>
            <w:noWrap/>
            <w:vAlign w:val="bottom"/>
            <w:hideMark/>
          </w:tcPr>
          <w:p w14:paraId="3B9564A7"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62 %</w:t>
            </w:r>
          </w:p>
        </w:tc>
        <w:tc>
          <w:tcPr>
            <w:tcW w:w="960" w:type="dxa"/>
            <w:tcBorders>
              <w:top w:val="nil"/>
              <w:left w:val="nil"/>
              <w:bottom w:val="single" w:sz="4" w:space="0" w:color="auto"/>
              <w:right w:val="single" w:sz="4" w:space="0" w:color="auto"/>
            </w:tcBorders>
            <w:shd w:val="clear" w:color="auto" w:fill="auto"/>
            <w:noWrap/>
            <w:vAlign w:val="bottom"/>
            <w:hideMark/>
          </w:tcPr>
          <w:p w14:paraId="6D431DF3"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50 %</w:t>
            </w:r>
          </w:p>
        </w:tc>
      </w:tr>
      <w:tr w:rsidR="00D1040D" w:rsidRPr="0093506F" w14:paraId="02890E9A"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4B903FEE"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 xml:space="preserve"> B Ubežne emisije</w:t>
            </w:r>
          </w:p>
        </w:tc>
        <w:tc>
          <w:tcPr>
            <w:tcW w:w="1262" w:type="dxa"/>
            <w:tcBorders>
              <w:top w:val="nil"/>
              <w:left w:val="nil"/>
              <w:bottom w:val="single" w:sz="4" w:space="0" w:color="auto"/>
              <w:right w:val="single" w:sz="4" w:space="0" w:color="auto"/>
            </w:tcBorders>
            <w:shd w:val="clear" w:color="auto" w:fill="auto"/>
            <w:noWrap/>
            <w:hideMark/>
          </w:tcPr>
          <w:p w14:paraId="77F164F9" w14:textId="77777777" w:rsidR="00D1040D" w:rsidRPr="007944FA" w:rsidRDefault="00D1040D" w:rsidP="00D1040D">
            <w:pPr>
              <w:spacing w:after="0" w:line="247" w:lineRule="auto"/>
              <w:rPr>
                <w:rFonts w:ascii="Arial" w:eastAsia="Times New Roman" w:hAnsi="Arial" w:cs="Arial"/>
                <w:sz w:val="18"/>
                <w:szCs w:val="18"/>
              </w:rPr>
            </w:pP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02BBAAA8"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14 %</w:t>
            </w:r>
          </w:p>
        </w:tc>
        <w:tc>
          <w:tcPr>
            <w:tcW w:w="960" w:type="dxa"/>
            <w:tcBorders>
              <w:top w:val="nil"/>
              <w:left w:val="nil"/>
              <w:bottom w:val="single" w:sz="4" w:space="0" w:color="auto"/>
              <w:right w:val="single" w:sz="4" w:space="0" w:color="auto"/>
            </w:tcBorders>
            <w:shd w:val="clear" w:color="auto" w:fill="auto"/>
            <w:noWrap/>
            <w:vAlign w:val="bottom"/>
            <w:hideMark/>
          </w:tcPr>
          <w:p w14:paraId="748EAECB"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15 %</w:t>
            </w:r>
          </w:p>
        </w:tc>
        <w:tc>
          <w:tcPr>
            <w:tcW w:w="1011" w:type="dxa"/>
            <w:tcBorders>
              <w:top w:val="nil"/>
              <w:left w:val="nil"/>
              <w:bottom w:val="single" w:sz="4" w:space="0" w:color="auto"/>
              <w:right w:val="single" w:sz="4" w:space="0" w:color="auto"/>
            </w:tcBorders>
            <w:shd w:val="clear" w:color="auto" w:fill="auto"/>
            <w:noWrap/>
            <w:vAlign w:val="bottom"/>
            <w:hideMark/>
          </w:tcPr>
          <w:p w14:paraId="20D491B2"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13 %</w:t>
            </w:r>
          </w:p>
        </w:tc>
        <w:tc>
          <w:tcPr>
            <w:tcW w:w="1060" w:type="dxa"/>
            <w:tcBorders>
              <w:top w:val="nil"/>
              <w:left w:val="nil"/>
              <w:bottom w:val="single" w:sz="4" w:space="0" w:color="auto"/>
              <w:right w:val="single" w:sz="4" w:space="0" w:color="auto"/>
            </w:tcBorders>
            <w:shd w:val="clear" w:color="auto" w:fill="auto"/>
            <w:noWrap/>
            <w:vAlign w:val="bottom"/>
            <w:hideMark/>
          </w:tcPr>
          <w:p w14:paraId="15E60C18"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14 %</w:t>
            </w:r>
          </w:p>
        </w:tc>
        <w:tc>
          <w:tcPr>
            <w:tcW w:w="960" w:type="dxa"/>
            <w:tcBorders>
              <w:top w:val="nil"/>
              <w:left w:val="nil"/>
              <w:bottom w:val="single" w:sz="4" w:space="0" w:color="auto"/>
              <w:right w:val="single" w:sz="4" w:space="0" w:color="auto"/>
            </w:tcBorders>
            <w:shd w:val="clear" w:color="auto" w:fill="auto"/>
            <w:noWrap/>
            <w:vAlign w:val="bottom"/>
            <w:hideMark/>
          </w:tcPr>
          <w:p w14:paraId="356AB190"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14 %</w:t>
            </w:r>
          </w:p>
        </w:tc>
        <w:tc>
          <w:tcPr>
            <w:tcW w:w="960" w:type="dxa"/>
            <w:tcBorders>
              <w:top w:val="nil"/>
              <w:left w:val="nil"/>
              <w:bottom w:val="single" w:sz="4" w:space="0" w:color="auto"/>
              <w:right w:val="single" w:sz="4" w:space="0" w:color="auto"/>
            </w:tcBorders>
            <w:shd w:val="clear" w:color="auto" w:fill="auto"/>
            <w:noWrap/>
            <w:vAlign w:val="bottom"/>
            <w:hideMark/>
          </w:tcPr>
          <w:p w14:paraId="592AA7AB"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0 %</w:t>
            </w:r>
          </w:p>
        </w:tc>
        <w:tc>
          <w:tcPr>
            <w:tcW w:w="1060" w:type="dxa"/>
            <w:tcBorders>
              <w:top w:val="nil"/>
              <w:left w:val="nil"/>
              <w:bottom w:val="single" w:sz="4" w:space="0" w:color="auto"/>
              <w:right w:val="single" w:sz="4" w:space="0" w:color="auto"/>
            </w:tcBorders>
            <w:shd w:val="clear" w:color="auto" w:fill="auto"/>
            <w:noWrap/>
            <w:vAlign w:val="bottom"/>
            <w:hideMark/>
          </w:tcPr>
          <w:p w14:paraId="546F3A77"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14 %</w:t>
            </w:r>
          </w:p>
        </w:tc>
        <w:tc>
          <w:tcPr>
            <w:tcW w:w="960" w:type="dxa"/>
            <w:tcBorders>
              <w:top w:val="nil"/>
              <w:left w:val="nil"/>
              <w:bottom w:val="single" w:sz="4" w:space="0" w:color="auto"/>
              <w:right w:val="single" w:sz="4" w:space="0" w:color="auto"/>
            </w:tcBorders>
            <w:shd w:val="clear" w:color="auto" w:fill="auto"/>
            <w:noWrap/>
            <w:vAlign w:val="bottom"/>
            <w:hideMark/>
          </w:tcPr>
          <w:p w14:paraId="4A22BDEC"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14 %</w:t>
            </w:r>
          </w:p>
        </w:tc>
        <w:tc>
          <w:tcPr>
            <w:tcW w:w="960" w:type="dxa"/>
            <w:tcBorders>
              <w:top w:val="nil"/>
              <w:left w:val="nil"/>
              <w:bottom w:val="single" w:sz="4" w:space="0" w:color="auto"/>
              <w:right w:val="single" w:sz="4" w:space="0" w:color="auto"/>
            </w:tcBorders>
            <w:shd w:val="clear" w:color="auto" w:fill="auto"/>
            <w:noWrap/>
            <w:vAlign w:val="bottom"/>
            <w:hideMark/>
          </w:tcPr>
          <w:p w14:paraId="31DCE6A5"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0 %</w:t>
            </w:r>
          </w:p>
        </w:tc>
      </w:tr>
      <w:tr w:rsidR="00D1040D" w:rsidRPr="0093506F" w14:paraId="20D2AC79"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5F01E86F" w14:textId="77777777" w:rsidR="00D1040D" w:rsidRPr="007944FA" w:rsidRDefault="00D1040D" w:rsidP="00D1040D">
            <w:pPr>
              <w:spacing w:after="0" w:line="247" w:lineRule="auto"/>
              <w:rPr>
                <w:rFonts w:ascii="Arial" w:eastAsia="Times New Roman" w:hAnsi="Arial" w:cs="Arial"/>
                <w:sz w:val="18"/>
                <w:szCs w:val="18"/>
                <w:lang w:eastAsia="sl-SI"/>
              </w:rPr>
            </w:pPr>
            <w:r w:rsidRPr="007944FA">
              <w:rPr>
                <w:rFonts w:ascii="Arial" w:eastAsia="Times New Roman" w:hAnsi="Arial" w:cs="Arial"/>
                <w:sz w:val="18"/>
                <w:szCs w:val="18"/>
                <w:lang w:eastAsia="sl-SI"/>
              </w:rPr>
              <w:t>2 Industrijski procesi in raba izdelkov</w:t>
            </w:r>
          </w:p>
        </w:tc>
        <w:tc>
          <w:tcPr>
            <w:tcW w:w="1262" w:type="dxa"/>
            <w:tcBorders>
              <w:top w:val="nil"/>
              <w:left w:val="nil"/>
              <w:bottom w:val="single" w:sz="4" w:space="0" w:color="auto"/>
              <w:right w:val="single" w:sz="4" w:space="0" w:color="auto"/>
            </w:tcBorders>
            <w:shd w:val="clear" w:color="auto" w:fill="auto"/>
            <w:noWrap/>
            <w:hideMark/>
          </w:tcPr>
          <w:p w14:paraId="673ED6E5" w14:textId="77777777" w:rsidR="00D1040D" w:rsidRPr="007944FA" w:rsidRDefault="00D1040D" w:rsidP="00D1040D">
            <w:pPr>
              <w:spacing w:after="0" w:line="247" w:lineRule="auto"/>
              <w:rPr>
                <w:rFonts w:ascii="Arial" w:eastAsia="Times New Roman" w:hAnsi="Arial" w:cs="Arial"/>
                <w:sz w:val="18"/>
                <w:szCs w:val="18"/>
              </w:rPr>
            </w:pPr>
            <w:r w:rsidRPr="007944FA">
              <w:rPr>
                <w:rFonts w:ascii="Arial" w:eastAsia="Times New Roman" w:hAnsi="Arial" w:cs="Arial"/>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70C70799"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69 %</w:t>
            </w:r>
          </w:p>
        </w:tc>
        <w:tc>
          <w:tcPr>
            <w:tcW w:w="960" w:type="dxa"/>
            <w:tcBorders>
              <w:top w:val="nil"/>
              <w:left w:val="nil"/>
              <w:bottom w:val="single" w:sz="4" w:space="0" w:color="auto"/>
              <w:right w:val="single" w:sz="4" w:space="0" w:color="auto"/>
            </w:tcBorders>
            <w:shd w:val="clear" w:color="auto" w:fill="auto"/>
            <w:noWrap/>
            <w:vAlign w:val="bottom"/>
            <w:hideMark/>
          </w:tcPr>
          <w:p w14:paraId="1E7B74D1"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59 %</w:t>
            </w:r>
          </w:p>
        </w:tc>
        <w:tc>
          <w:tcPr>
            <w:tcW w:w="1011" w:type="dxa"/>
            <w:tcBorders>
              <w:top w:val="nil"/>
              <w:left w:val="nil"/>
              <w:bottom w:val="single" w:sz="4" w:space="0" w:color="auto"/>
              <w:right w:val="single" w:sz="4" w:space="0" w:color="auto"/>
            </w:tcBorders>
            <w:shd w:val="clear" w:color="auto" w:fill="auto"/>
            <w:noWrap/>
            <w:vAlign w:val="bottom"/>
            <w:hideMark/>
          </w:tcPr>
          <w:p w14:paraId="013D2FB3"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57 %</w:t>
            </w:r>
          </w:p>
        </w:tc>
        <w:tc>
          <w:tcPr>
            <w:tcW w:w="1060" w:type="dxa"/>
            <w:tcBorders>
              <w:top w:val="nil"/>
              <w:left w:val="nil"/>
              <w:bottom w:val="single" w:sz="4" w:space="0" w:color="auto"/>
              <w:right w:val="single" w:sz="4" w:space="0" w:color="auto"/>
            </w:tcBorders>
            <w:shd w:val="clear" w:color="auto" w:fill="auto"/>
            <w:noWrap/>
            <w:vAlign w:val="bottom"/>
            <w:hideMark/>
          </w:tcPr>
          <w:p w14:paraId="235B9B3A"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60 %</w:t>
            </w:r>
          </w:p>
        </w:tc>
        <w:tc>
          <w:tcPr>
            <w:tcW w:w="960" w:type="dxa"/>
            <w:tcBorders>
              <w:top w:val="nil"/>
              <w:left w:val="nil"/>
              <w:bottom w:val="single" w:sz="4" w:space="0" w:color="auto"/>
              <w:right w:val="single" w:sz="4" w:space="0" w:color="auto"/>
            </w:tcBorders>
            <w:shd w:val="clear" w:color="auto" w:fill="auto"/>
            <w:noWrap/>
            <w:vAlign w:val="bottom"/>
            <w:hideMark/>
          </w:tcPr>
          <w:p w14:paraId="0C5ED891"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65 %</w:t>
            </w:r>
          </w:p>
        </w:tc>
        <w:tc>
          <w:tcPr>
            <w:tcW w:w="960" w:type="dxa"/>
            <w:tcBorders>
              <w:top w:val="nil"/>
              <w:left w:val="nil"/>
              <w:bottom w:val="single" w:sz="4" w:space="0" w:color="auto"/>
              <w:right w:val="single" w:sz="4" w:space="0" w:color="auto"/>
            </w:tcBorders>
            <w:shd w:val="clear" w:color="auto" w:fill="auto"/>
            <w:noWrap/>
            <w:vAlign w:val="bottom"/>
            <w:hideMark/>
          </w:tcPr>
          <w:p w14:paraId="2DA6DF26"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72 %</w:t>
            </w:r>
          </w:p>
        </w:tc>
        <w:tc>
          <w:tcPr>
            <w:tcW w:w="1060" w:type="dxa"/>
            <w:tcBorders>
              <w:top w:val="nil"/>
              <w:left w:val="nil"/>
              <w:bottom w:val="single" w:sz="4" w:space="0" w:color="auto"/>
              <w:right w:val="single" w:sz="4" w:space="0" w:color="auto"/>
            </w:tcBorders>
            <w:shd w:val="clear" w:color="auto" w:fill="auto"/>
            <w:noWrap/>
            <w:vAlign w:val="bottom"/>
            <w:hideMark/>
          </w:tcPr>
          <w:p w14:paraId="75CB73EE"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60 %</w:t>
            </w:r>
          </w:p>
        </w:tc>
        <w:tc>
          <w:tcPr>
            <w:tcW w:w="960" w:type="dxa"/>
            <w:tcBorders>
              <w:top w:val="nil"/>
              <w:left w:val="nil"/>
              <w:bottom w:val="single" w:sz="4" w:space="0" w:color="auto"/>
              <w:right w:val="single" w:sz="4" w:space="0" w:color="auto"/>
            </w:tcBorders>
            <w:shd w:val="clear" w:color="auto" w:fill="auto"/>
            <w:noWrap/>
            <w:vAlign w:val="bottom"/>
            <w:hideMark/>
          </w:tcPr>
          <w:p w14:paraId="192B5FB8"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65 %</w:t>
            </w:r>
          </w:p>
        </w:tc>
        <w:tc>
          <w:tcPr>
            <w:tcW w:w="960" w:type="dxa"/>
            <w:tcBorders>
              <w:top w:val="nil"/>
              <w:left w:val="nil"/>
              <w:bottom w:val="single" w:sz="4" w:space="0" w:color="auto"/>
              <w:right w:val="single" w:sz="4" w:space="0" w:color="auto"/>
            </w:tcBorders>
            <w:shd w:val="clear" w:color="auto" w:fill="auto"/>
            <w:noWrap/>
            <w:vAlign w:val="bottom"/>
            <w:hideMark/>
          </w:tcPr>
          <w:p w14:paraId="3003E771" w14:textId="77777777" w:rsidR="00D1040D" w:rsidRPr="007944FA" w:rsidRDefault="00D1040D" w:rsidP="00D1040D">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43 %</w:t>
            </w:r>
          </w:p>
        </w:tc>
      </w:tr>
      <w:tr w:rsidR="00D1040D" w:rsidRPr="0093506F" w14:paraId="04DD4CEB" w14:textId="77777777" w:rsidTr="00ED3215">
        <w:trPr>
          <w:trHeight w:val="300"/>
        </w:trPr>
        <w:tc>
          <w:tcPr>
            <w:tcW w:w="3416" w:type="dxa"/>
            <w:tcBorders>
              <w:top w:val="nil"/>
              <w:left w:val="single" w:sz="4" w:space="0" w:color="auto"/>
              <w:bottom w:val="single" w:sz="4" w:space="0" w:color="auto"/>
              <w:right w:val="single" w:sz="4" w:space="0" w:color="auto"/>
            </w:tcBorders>
            <w:shd w:val="clear" w:color="auto" w:fill="auto"/>
            <w:noWrap/>
            <w:vAlign w:val="bottom"/>
            <w:hideMark/>
          </w:tcPr>
          <w:p w14:paraId="4D2F704E" w14:textId="77777777" w:rsidR="00D1040D" w:rsidRPr="007944FA" w:rsidRDefault="00D1040D" w:rsidP="00D1040D">
            <w:pPr>
              <w:spacing w:after="0" w:line="247" w:lineRule="auto"/>
              <w:rPr>
                <w:rFonts w:ascii="Tahoma" w:eastAsia="Times New Roman" w:hAnsi="Tahoma" w:cs="Times New Roman"/>
                <w:sz w:val="18"/>
                <w:szCs w:val="18"/>
                <w:lang w:eastAsia="sl-SI"/>
              </w:rPr>
            </w:pPr>
            <w:r w:rsidRPr="007944FA">
              <w:rPr>
                <w:rFonts w:ascii="Tahoma" w:eastAsia="Times New Roman" w:hAnsi="Tahoma" w:cs="Times New Roman"/>
                <w:sz w:val="18"/>
                <w:szCs w:val="18"/>
                <w:lang w:eastAsia="sl-SI"/>
              </w:rPr>
              <w:t>SKUPAJ</w:t>
            </w:r>
          </w:p>
        </w:tc>
        <w:tc>
          <w:tcPr>
            <w:tcW w:w="1262" w:type="dxa"/>
            <w:tcBorders>
              <w:top w:val="nil"/>
              <w:left w:val="nil"/>
              <w:bottom w:val="single" w:sz="4" w:space="0" w:color="auto"/>
              <w:right w:val="single" w:sz="4" w:space="0" w:color="auto"/>
            </w:tcBorders>
            <w:shd w:val="clear" w:color="auto" w:fill="auto"/>
            <w:noWrap/>
            <w:hideMark/>
          </w:tcPr>
          <w:p w14:paraId="2FF42BB7" w14:textId="77777777" w:rsidR="00D1040D" w:rsidRPr="007944FA" w:rsidRDefault="00D1040D" w:rsidP="00D1040D">
            <w:pPr>
              <w:spacing w:after="0" w:line="247" w:lineRule="auto"/>
              <w:rPr>
                <w:rFonts w:ascii="Tahoma" w:eastAsia="Times New Roman" w:hAnsi="Tahoma" w:cs="Times New Roman"/>
                <w:sz w:val="18"/>
                <w:szCs w:val="18"/>
              </w:rPr>
            </w:pPr>
            <w:r w:rsidRPr="007944FA">
              <w:rPr>
                <w:rFonts w:ascii="Tahoma" w:eastAsia="Times New Roman" w:hAnsi="Tahoma" w:cs="Times New Roman"/>
                <w:sz w:val="18"/>
                <w:szCs w:val="18"/>
                <w:lang w:eastAsia="sl-SI"/>
              </w:rPr>
              <w:t>[%]</w:t>
            </w:r>
          </w:p>
        </w:tc>
        <w:tc>
          <w:tcPr>
            <w:tcW w:w="960" w:type="dxa"/>
            <w:tcBorders>
              <w:top w:val="nil"/>
              <w:left w:val="nil"/>
              <w:bottom w:val="single" w:sz="4" w:space="0" w:color="auto"/>
              <w:right w:val="single" w:sz="4" w:space="0" w:color="auto"/>
            </w:tcBorders>
            <w:shd w:val="clear" w:color="auto" w:fill="auto"/>
            <w:noWrap/>
            <w:vAlign w:val="bottom"/>
            <w:hideMark/>
          </w:tcPr>
          <w:p w14:paraId="453DDAFB"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42 %</w:t>
            </w:r>
          </w:p>
        </w:tc>
        <w:tc>
          <w:tcPr>
            <w:tcW w:w="960" w:type="dxa"/>
            <w:tcBorders>
              <w:top w:val="nil"/>
              <w:left w:val="nil"/>
              <w:bottom w:val="single" w:sz="4" w:space="0" w:color="auto"/>
              <w:right w:val="single" w:sz="4" w:space="0" w:color="auto"/>
            </w:tcBorders>
            <w:shd w:val="clear" w:color="auto" w:fill="auto"/>
            <w:noWrap/>
            <w:vAlign w:val="bottom"/>
            <w:hideMark/>
          </w:tcPr>
          <w:p w14:paraId="71069E4E"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38 %</w:t>
            </w:r>
          </w:p>
        </w:tc>
        <w:tc>
          <w:tcPr>
            <w:tcW w:w="1011" w:type="dxa"/>
            <w:tcBorders>
              <w:top w:val="nil"/>
              <w:left w:val="nil"/>
              <w:bottom w:val="single" w:sz="4" w:space="0" w:color="auto"/>
              <w:right w:val="single" w:sz="4" w:space="0" w:color="auto"/>
            </w:tcBorders>
            <w:shd w:val="clear" w:color="auto" w:fill="auto"/>
            <w:noWrap/>
            <w:vAlign w:val="bottom"/>
            <w:hideMark/>
          </w:tcPr>
          <w:p w14:paraId="25F40F59"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31 %</w:t>
            </w:r>
          </w:p>
        </w:tc>
        <w:tc>
          <w:tcPr>
            <w:tcW w:w="1060" w:type="dxa"/>
            <w:tcBorders>
              <w:top w:val="nil"/>
              <w:left w:val="nil"/>
              <w:bottom w:val="single" w:sz="4" w:space="0" w:color="auto"/>
              <w:right w:val="single" w:sz="4" w:space="0" w:color="auto"/>
            </w:tcBorders>
            <w:shd w:val="clear" w:color="auto" w:fill="auto"/>
            <w:noWrap/>
            <w:vAlign w:val="bottom"/>
            <w:hideMark/>
          </w:tcPr>
          <w:p w14:paraId="1EFD8A4C"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34 %</w:t>
            </w:r>
          </w:p>
        </w:tc>
        <w:tc>
          <w:tcPr>
            <w:tcW w:w="960" w:type="dxa"/>
            <w:tcBorders>
              <w:top w:val="nil"/>
              <w:left w:val="nil"/>
              <w:bottom w:val="single" w:sz="4" w:space="0" w:color="auto"/>
              <w:right w:val="single" w:sz="4" w:space="0" w:color="auto"/>
            </w:tcBorders>
            <w:shd w:val="clear" w:color="auto" w:fill="auto"/>
            <w:noWrap/>
            <w:vAlign w:val="bottom"/>
            <w:hideMark/>
          </w:tcPr>
          <w:p w14:paraId="7FAF4B97"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34 %</w:t>
            </w:r>
          </w:p>
        </w:tc>
        <w:tc>
          <w:tcPr>
            <w:tcW w:w="960" w:type="dxa"/>
            <w:tcBorders>
              <w:top w:val="nil"/>
              <w:left w:val="nil"/>
              <w:bottom w:val="single" w:sz="4" w:space="0" w:color="auto"/>
              <w:right w:val="single" w:sz="4" w:space="0" w:color="auto"/>
            </w:tcBorders>
            <w:shd w:val="clear" w:color="auto" w:fill="auto"/>
            <w:noWrap/>
            <w:vAlign w:val="bottom"/>
            <w:hideMark/>
          </w:tcPr>
          <w:p w14:paraId="02F3D2B9"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26 %</w:t>
            </w:r>
          </w:p>
        </w:tc>
        <w:tc>
          <w:tcPr>
            <w:tcW w:w="1060" w:type="dxa"/>
            <w:tcBorders>
              <w:top w:val="nil"/>
              <w:left w:val="nil"/>
              <w:bottom w:val="single" w:sz="4" w:space="0" w:color="auto"/>
              <w:right w:val="single" w:sz="4" w:space="0" w:color="auto"/>
            </w:tcBorders>
            <w:shd w:val="clear" w:color="auto" w:fill="auto"/>
            <w:noWrap/>
            <w:vAlign w:val="bottom"/>
            <w:hideMark/>
          </w:tcPr>
          <w:p w14:paraId="5EE7C837"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34 %</w:t>
            </w:r>
          </w:p>
        </w:tc>
        <w:tc>
          <w:tcPr>
            <w:tcW w:w="960" w:type="dxa"/>
            <w:tcBorders>
              <w:top w:val="nil"/>
              <w:left w:val="nil"/>
              <w:bottom w:val="single" w:sz="4" w:space="0" w:color="auto"/>
              <w:right w:val="single" w:sz="4" w:space="0" w:color="auto"/>
            </w:tcBorders>
            <w:shd w:val="clear" w:color="auto" w:fill="auto"/>
            <w:noWrap/>
            <w:vAlign w:val="bottom"/>
            <w:hideMark/>
          </w:tcPr>
          <w:p w14:paraId="7CF8CAFC"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37 %</w:t>
            </w:r>
          </w:p>
        </w:tc>
        <w:tc>
          <w:tcPr>
            <w:tcW w:w="960" w:type="dxa"/>
            <w:tcBorders>
              <w:top w:val="nil"/>
              <w:left w:val="nil"/>
              <w:bottom w:val="single" w:sz="4" w:space="0" w:color="auto"/>
              <w:right w:val="single" w:sz="4" w:space="0" w:color="auto"/>
            </w:tcBorders>
            <w:shd w:val="clear" w:color="auto" w:fill="auto"/>
            <w:noWrap/>
            <w:vAlign w:val="bottom"/>
            <w:hideMark/>
          </w:tcPr>
          <w:p w14:paraId="6F9010B1" w14:textId="77777777" w:rsidR="00D1040D" w:rsidRPr="007944FA" w:rsidRDefault="00D1040D" w:rsidP="00D1040D">
            <w:pPr>
              <w:spacing w:after="0" w:line="247" w:lineRule="auto"/>
              <w:jc w:val="right"/>
              <w:rPr>
                <w:rFonts w:ascii="Tahoma" w:eastAsia="Times New Roman" w:hAnsi="Tahoma" w:cs="Times New Roman"/>
                <w:sz w:val="18"/>
                <w:szCs w:val="18"/>
              </w:rPr>
            </w:pPr>
            <w:r w:rsidRPr="007944FA">
              <w:rPr>
                <w:rFonts w:ascii="Calibri" w:eastAsia="Times New Roman" w:hAnsi="Calibri" w:cs="Calibri"/>
                <w:color w:val="000000"/>
                <w:sz w:val="18"/>
                <w:szCs w:val="18"/>
              </w:rPr>
              <w:t>19 %</w:t>
            </w:r>
          </w:p>
        </w:tc>
      </w:tr>
    </w:tbl>
    <w:p w14:paraId="15DEE12E" w14:textId="77777777" w:rsidR="00D1040D" w:rsidRPr="007944FA" w:rsidRDefault="00D1040D" w:rsidP="00D1040D">
      <w:pPr>
        <w:spacing w:after="200" w:line="247" w:lineRule="auto"/>
        <w:rPr>
          <w:rFonts w:ascii="Palatino Linotype" w:eastAsia="Times New Roman" w:hAnsi="Palatino Linotype" w:cs="Times New Roman"/>
          <w:i/>
          <w:iCs/>
          <w:color w:val="0E2841" w:themeColor="text2"/>
          <w:sz w:val="18"/>
          <w:szCs w:val="18"/>
          <w:lang w:eastAsia="sl-SI"/>
        </w:rPr>
      </w:pPr>
    </w:p>
    <w:p w14:paraId="7A86040E" w14:textId="37D6E19F" w:rsidR="00D1040D" w:rsidRPr="007944FA" w:rsidRDefault="002F38E7" w:rsidP="002F38E7">
      <w:pPr>
        <w:pStyle w:val="nikatabelee"/>
        <w:sectPr w:rsidR="00D1040D" w:rsidRPr="007944FA" w:rsidSect="00D1040D">
          <w:pgSz w:w="16840" w:h="11907" w:orient="landscape" w:code="9"/>
          <w:pgMar w:top="1797" w:right="1417" w:bottom="1797" w:left="1258" w:header="709" w:footer="709" w:gutter="0"/>
          <w:cols w:space="708"/>
          <w:docGrid w:linePitch="360"/>
        </w:sectPr>
      </w:pPr>
      <w:bookmarkStart w:id="157" w:name="_Toc193195398"/>
      <w:r w:rsidRPr="007944FA">
        <w:t>Preglednica 13</w:t>
      </w:r>
      <w:r w:rsidR="00D1040D" w:rsidRPr="007944FA">
        <w:fldChar w:fldCharType="begin"/>
      </w:r>
      <w:r w:rsidR="00D1040D" w:rsidRPr="007944FA">
        <w:instrText xml:space="preserve"> SEQ Preglednica \* ARABIC </w:instrText>
      </w:r>
      <w:r w:rsidR="00D1040D" w:rsidRPr="007944FA">
        <w:fldChar w:fldCharType="end"/>
      </w:r>
      <w:r w:rsidR="00D1040D" w:rsidRPr="007944FA">
        <w:t>:</w:t>
      </w:r>
      <w:r w:rsidRPr="007944FA">
        <w:t xml:space="preserve"> </w:t>
      </w:r>
      <w:r w:rsidR="00D1040D" w:rsidRPr="007944FA">
        <w:t>Delež EU ETS emisij v skupnih emisijah TGP po sektorjih</w:t>
      </w:r>
      <w:bookmarkEnd w:id="157"/>
    </w:p>
    <w:p w14:paraId="56A361F0" w14:textId="77777777" w:rsidR="003E320C" w:rsidRPr="007944FA" w:rsidRDefault="003E320C" w:rsidP="003E320C"/>
    <w:p w14:paraId="07154C9F" w14:textId="739CE0D3" w:rsidR="006E07EE" w:rsidRPr="007944FA" w:rsidRDefault="006E07EE" w:rsidP="006E07EE">
      <w:pPr>
        <w:pStyle w:val="Heading3"/>
      </w:pPr>
      <w:bookmarkStart w:id="158" w:name="_Toc196300830"/>
      <w:r w:rsidRPr="007944FA">
        <w:t>II.F.6 neETS v projekcijah</w:t>
      </w:r>
      <w:bookmarkEnd w:id="158"/>
    </w:p>
    <w:p w14:paraId="50A811C9"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Za leto 2030 je Komisija za Slovenijo določila cilj, da mora emisije zmanjšati za 27 % glede na leto 2005. Ta cilj bo pretvorjen v letne količine emisij za obdobje 2021–2030. Trenutno so določene ciljne vrednosti za obdobje 2021–2025. V NEPN si je Slovenija zadala bolj ambiciozen cilj, in sicer da se morajo emisije neETS zmanjšati za vsaj 28 %. </w:t>
      </w:r>
    </w:p>
    <w:tbl>
      <w:tblPr>
        <w:tblW w:w="6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9"/>
        <w:gridCol w:w="624"/>
        <w:gridCol w:w="891"/>
        <w:gridCol w:w="891"/>
        <w:gridCol w:w="891"/>
        <w:gridCol w:w="891"/>
        <w:gridCol w:w="891"/>
      </w:tblGrid>
      <w:tr w:rsidR="00F336EC" w:rsidRPr="0093506F" w14:paraId="4A68D964" w14:textId="77777777" w:rsidTr="00F336EC">
        <w:trPr>
          <w:trHeight w:val="255"/>
          <w:jc w:val="center"/>
        </w:trPr>
        <w:tc>
          <w:tcPr>
            <w:tcW w:w="0" w:type="auto"/>
            <w:shd w:val="clear" w:color="auto" w:fill="auto"/>
            <w:noWrap/>
            <w:vAlign w:val="center"/>
            <w:hideMark/>
          </w:tcPr>
          <w:p w14:paraId="0B2D84BD" w14:textId="77777777" w:rsidR="00F336EC" w:rsidRPr="007944FA" w:rsidRDefault="00F336EC" w:rsidP="006D46D8">
            <w:pPr>
              <w:pStyle w:val="TEKSTTabela"/>
              <w:keepNext/>
              <w:keepLines/>
              <w:rPr>
                <w:rFonts w:ascii="Arial" w:hAnsi="Arial" w:cs="Arial"/>
                <w:b/>
                <w:bCs/>
                <w:sz w:val="18"/>
                <w:szCs w:val="18"/>
                <w:lang w:eastAsia="sl-SI"/>
              </w:rPr>
            </w:pPr>
          </w:p>
        </w:tc>
        <w:tc>
          <w:tcPr>
            <w:tcW w:w="624" w:type="dxa"/>
            <w:shd w:val="clear" w:color="auto" w:fill="auto"/>
            <w:vAlign w:val="center"/>
          </w:tcPr>
          <w:p w14:paraId="6C4A0B5E" w14:textId="77777777" w:rsidR="00F336EC" w:rsidRPr="007944FA" w:rsidRDefault="00F336EC" w:rsidP="006D46D8">
            <w:pPr>
              <w:pStyle w:val="TEKSTTabela"/>
              <w:keepNext/>
              <w:keepLines/>
              <w:rPr>
                <w:rFonts w:ascii="Arial" w:hAnsi="Arial" w:cs="Arial"/>
                <w:b/>
                <w:bCs/>
                <w:sz w:val="18"/>
                <w:szCs w:val="18"/>
                <w:lang w:eastAsia="sl-SI"/>
              </w:rPr>
            </w:pPr>
          </w:p>
        </w:tc>
        <w:tc>
          <w:tcPr>
            <w:tcW w:w="0" w:type="auto"/>
            <w:shd w:val="clear" w:color="auto" w:fill="auto"/>
            <w:noWrap/>
            <w:vAlign w:val="center"/>
            <w:hideMark/>
          </w:tcPr>
          <w:p w14:paraId="6FA304A4" w14:textId="77777777" w:rsidR="00F336EC" w:rsidRPr="007944FA" w:rsidRDefault="00F336EC" w:rsidP="006D46D8">
            <w:pPr>
              <w:pStyle w:val="TEKSTTabela"/>
              <w:keepNext/>
              <w:keepLines/>
              <w:rPr>
                <w:rFonts w:ascii="Arial" w:hAnsi="Arial" w:cs="Arial"/>
                <w:b/>
                <w:bCs/>
                <w:sz w:val="18"/>
                <w:szCs w:val="18"/>
                <w:lang w:eastAsia="sl-SI"/>
              </w:rPr>
            </w:pPr>
            <w:r w:rsidRPr="007944FA">
              <w:rPr>
                <w:rFonts w:ascii="Arial" w:hAnsi="Arial" w:cs="Arial"/>
                <w:b/>
                <w:bCs/>
                <w:sz w:val="18"/>
                <w:szCs w:val="18"/>
                <w:lang w:eastAsia="sl-SI"/>
              </w:rPr>
              <w:t>2021</w:t>
            </w:r>
          </w:p>
        </w:tc>
        <w:tc>
          <w:tcPr>
            <w:tcW w:w="0" w:type="auto"/>
            <w:shd w:val="clear" w:color="auto" w:fill="auto"/>
            <w:noWrap/>
            <w:vAlign w:val="center"/>
            <w:hideMark/>
          </w:tcPr>
          <w:p w14:paraId="5BF5EC35" w14:textId="77777777" w:rsidR="00F336EC" w:rsidRPr="007944FA" w:rsidRDefault="00F336EC" w:rsidP="006D46D8">
            <w:pPr>
              <w:pStyle w:val="TEKSTTabela"/>
              <w:keepNext/>
              <w:keepLines/>
              <w:rPr>
                <w:rFonts w:ascii="Arial" w:hAnsi="Arial" w:cs="Arial"/>
                <w:b/>
                <w:bCs/>
                <w:sz w:val="18"/>
                <w:szCs w:val="18"/>
                <w:lang w:eastAsia="sl-SI"/>
              </w:rPr>
            </w:pPr>
            <w:r w:rsidRPr="007944FA">
              <w:rPr>
                <w:rFonts w:ascii="Arial" w:hAnsi="Arial" w:cs="Arial"/>
                <w:b/>
                <w:bCs/>
                <w:sz w:val="18"/>
                <w:szCs w:val="18"/>
                <w:lang w:eastAsia="sl-SI"/>
              </w:rPr>
              <w:t>2022</w:t>
            </w:r>
          </w:p>
        </w:tc>
        <w:tc>
          <w:tcPr>
            <w:tcW w:w="0" w:type="auto"/>
            <w:shd w:val="clear" w:color="auto" w:fill="auto"/>
            <w:noWrap/>
            <w:vAlign w:val="center"/>
            <w:hideMark/>
          </w:tcPr>
          <w:p w14:paraId="04738500" w14:textId="77777777" w:rsidR="00F336EC" w:rsidRPr="007944FA" w:rsidRDefault="00F336EC" w:rsidP="006D46D8">
            <w:pPr>
              <w:pStyle w:val="TEKSTTabela"/>
              <w:keepNext/>
              <w:keepLines/>
              <w:rPr>
                <w:rFonts w:ascii="Arial" w:hAnsi="Arial" w:cs="Arial"/>
                <w:b/>
                <w:bCs/>
                <w:sz w:val="18"/>
                <w:szCs w:val="18"/>
                <w:lang w:eastAsia="sl-SI"/>
              </w:rPr>
            </w:pPr>
            <w:r w:rsidRPr="007944FA">
              <w:rPr>
                <w:rFonts w:ascii="Arial" w:hAnsi="Arial" w:cs="Arial"/>
                <w:b/>
                <w:bCs/>
                <w:sz w:val="18"/>
                <w:szCs w:val="18"/>
                <w:lang w:eastAsia="sl-SI"/>
              </w:rPr>
              <w:t>2023</w:t>
            </w:r>
          </w:p>
        </w:tc>
        <w:tc>
          <w:tcPr>
            <w:tcW w:w="0" w:type="auto"/>
            <w:shd w:val="clear" w:color="auto" w:fill="auto"/>
            <w:noWrap/>
            <w:vAlign w:val="center"/>
            <w:hideMark/>
          </w:tcPr>
          <w:p w14:paraId="5EC1F903" w14:textId="77777777" w:rsidR="00F336EC" w:rsidRPr="007944FA" w:rsidRDefault="00F336EC" w:rsidP="006D46D8">
            <w:pPr>
              <w:pStyle w:val="TEKSTTabela"/>
              <w:keepNext/>
              <w:keepLines/>
              <w:rPr>
                <w:rFonts w:ascii="Arial" w:hAnsi="Arial" w:cs="Arial"/>
                <w:b/>
                <w:bCs/>
                <w:sz w:val="18"/>
                <w:szCs w:val="18"/>
                <w:lang w:eastAsia="sl-SI"/>
              </w:rPr>
            </w:pPr>
            <w:r w:rsidRPr="007944FA">
              <w:rPr>
                <w:rFonts w:ascii="Arial" w:hAnsi="Arial" w:cs="Arial"/>
                <w:b/>
                <w:bCs/>
                <w:sz w:val="18"/>
                <w:szCs w:val="18"/>
                <w:lang w:eastAsia="sl-SI"/>
              </w:rPr>
              <w:t>2024</w:t>
            </w:r>
          </w:p>
        </w:tc>
        <w:tc>
          <w:tcPr>
            <w:tcW w:w="0" w:type="auto"/>
            <w:shd w:val="clear" w:color="auto" w:fill="auto"/>
            <w:noWrap/>
            <w:vAlign w:val="center"/>
            <w:hideMark/>
          </w:tcPr>
          <w:p w14:paraId="527AC1C7" w14:textId="77777777" w:rsidR="00F336EC" w:rsidRPr="007944FA" w:rsidRDefault="00F336EC" w:rsidP="006D46D8">
            <w:pPr>
              <w:pStyle w:val="TEKSTTabela"/>
              <w:keepNext/>
              <w:keepLines/>
              <w:rPr>
                <w:rFonts w:ascii="Arial" w:hAnsi="Arial" w:cs="Arial"/>
                <w:b/>
                <w:bCs/>
                <w:sz w:val="18"/>
                <w:szCs w:val="18"/>
                <w:lang w:eastAsia="sl-SI"/>
              </w:rPr>
            </w:pPr>
            <w:r w:rsidRPr="007944FA">
              <w:rPr>
                <w:rFonts w:ascii="Arial" w:hAnsi="Arial" w:cs="Arial"/>
                <w:b/>
                <w:bCs/>
                <w:sz w:val="18"/>
                <w:szCs w:val="18"/>
                <w:lang w:eastAsia="sl-SI"/>
              </w:rPr>
              <w:t>2025</w:t>
            </w:r>
          </w:p>
        </w:tc>
      </w:tr>
      <w:tr w:rsidR="00F336EC" w:rsidRPr="0093506F" w14:paraId="5536BD03" w14:textId="77777777" w:rsidTr="00F336EC">
        <w:trPr>
          <w:trHeight w:val="255"/>
          <w:jc w:val="center"/>
        </w:trPr>
        <w:tc>
          <w:tcPr>
            <w:tcW w:w="0" w:type="auto"/>
            <w:shd w:val="clear" w:color="auto" w:fill="auto"/>
            <w:noWrap/>
            <w:vAlign w:val="center"/>
            <w:hideMark/>
          </w:tcPr>
          <w:p w14:paraId="3368B2F6" w14:textId="77777777" w:rsidR="00F336EC" w:rsidRPr="007944FA" w:rsidRDefault="00F336EC" w:rsidP="006D46D8">
            <w:pPr>
              <w:pStyle w:val="tabela-9pt"/>
              <w:rPr>
                <w:rFonts w:ascii="Arial" w:hAnsi="Arial" w:cs="Arial"/>
                <w:szCs w:val="18"/>
              </w:rPr>
            </w:pPr>
            <w:r w:rsidRPr="007944FA">
              <w:rPr>
                <w:rFonts w:ascii="Arial" w:hAnsi="Arial" w:cs="Arial"/>
                <w:szCs w:val="18"/>
              </w:rPr>
              <w:t>Slovenija</w:t>
            </w:r>
          </w:p>
        </w:tc>
        <w:tc>
          <w:tcPr>
            <w:tcW w:w="624" w:type="dxa"/>
            <w:shd w:val="clear" w:color="auto" w:fill="auto"/>
            <w:vAlign w:val="center"/>
          </w:tcPr>
          <w:p w14:paraId="52A654D8" w14:textId="60F57850" w:rsidR="00F336EC" w:rsidRPr="007944FA" w:rsidRDefault="00F336EC" w:rsidP="006D46D8">
            <w:pPr>
              <w:pStyle w:val="tabela-9pt"/>
              <w:rPr>
                <w:rFonts w:ascii="Arial" w:hAnsi="Arial" w:cs="Arial"/>
                <w:szCs w:val="18"/>
              </w:rPr>
            </w:pPr>
            <w:r w:rsidRPr="007944FA">
              <w:rPr>
                <w:rFonts w:ascii="Arial" w:hAnsi="Arial" w:cs="Arial"/>
                <w:szCs w:val="18"/>
              </w:rPr>
              <w:t>[kt</w:t>
            </w:r>
            <w:r w:rsidR="002146B5" w:rsidRPr="007944FA">
              <w:rPr>
                <w:rFonts w:ascii="Arial" w:hAnsi="Arial" w:cs="Arial"/>
                <w:szCs w:val="18"/>
              </w:rPr>
              <w:t xml:space="preserve"> ekv.</w:t>
            </w:r>
            <w:r w:rsidRPr="007944FA">
              <w:rPr>
                <w:rFonts w:ascii="Arial" w:hAnsi="Arial" w:cs="Arial"/>
                <w:szCs w:val="18"/>
              </w:rPr>
              <w:t xml:space="preserve"> CO</w:t>
            </w:r>
            <w:r w:rsidRPr="007944FA">
              <w:rPr>
                <w:rFonts w:ascii="Arial" w:hAnsi="Arial" w:cs="Arial"/>
                <w:szCs w:val="18"/>
                <w:vertAlign w:val="subscript"/>
              </w:rPr>
              <w:t>2</w:t>
            </w:r>
            <w:r w:rsidRPr="007944FA">
              <w:rPr>
                <w:rFonts w:ascii="Arial" w:hAnsi="Arial" w:cs="Arial"/>
                <w:szCs w:val="18"/>
              </w:rPr>
              <w:t>]</w:t>
            </w:r>
          </w:p>
        </w:tc>
        <w:tc>
          <w:tcPr>
            <w:tcW w:w="0" w:type="auto"/>
            <w:shd w:val="clear" w:color="auto" w:fill="auto"/>
            <w:noWrap/>
          </w:tcPr>
          <w:p w14:paraId="5211B544" w14:textId="77777777" w:rsidR="00F336EC" w:rsidRPr="007944FA" w:rsidRDefault="00F336EC" w:rsidP="006D46D8">
            <w:pPr>
              <w:pStyle w:val="tabela-9pt"/>
              <w:rPr>
                <w:rFonts w:ascii="Arial" w:hAnsi="Arial" w:cs="Arial"/>
                <w:szCs w:val="18"/>
              </w:rPr>
            </w:pPr>
            <w:r w:rsidRPr="007944FA">
              <w:rPr>
                <w:rFonts w:ascii="Arial" w:hAnsi="Arial" w:cs="Arial"/>
                <w:szCs w:val="18"/>
              </w:rPr>
              <w:t>11.403</w:t>
            </w:r>
          </w:p>
        </w:tc>
        <w:tc>
          <w:tcPr>
            <w:tcW w:w="0" w:type="auto"/>
            <w:shd w:val="clear" w:color="auto" w:fill="auto"/>
            <w:noWrap/>
          </w:tcPr>
          <w:p w14:paraId="0C63C088" w14:textId="77777777" w:rsidR="00F336EC" w:rsidRPr="007944FA" w:rsidRDefault="00F336EC" w:rsidP="006D46D8">
            <w:pPr>
              <w:pStyle w:val="tabela-9pt"/>
              <w:rPr>
                <w:rFonts w:ascii="Arial" w:hAnsi="Arial" w:cs="Arial"/>
                <w:szCs w:val="18"/>
              </w:rPr>
            </w:pPr>
            <w:r w:rsidRPr="007944FA">
              <w:rPr>
                <w:rFonts w:ascii="Arial" w:hAnsi="Arial" w:cs="Arial"/>
                <w:szCs w:val="18"/>
              </w:rPr>
              <w:t>11.108</w:t>
            </w:r>
          </w:p>
        </w:tc>
        <w:tc>
          <w:tcPr>
            <w:tcW w:w="0" w:type="auto"/>
            <w:shd w:val="clear" w:color="auto" w:fill="auto"/>
            <w:noWrap/>
          </w:tcPr>
          <w:p w14:paraId="69DDD82D" w14:textId="77777777" w:rsidR="00F336EC" w:rsidRPr="007944FA" w:rsidRDefault="00F336EC" w:rsidP="006D46D8">
            <w:pPr>
              <w:pStyle w:val="tabela-9pt"/>
              <w:rPr>
                <w:rFonts w:ascii="Arial" w:hAnsi="Arial" w:cs="Arial"/>
                <w:szCs w:val="18"/>
              </w:rPr>
            </w:pPr>
            <w:r w:rsidRPr="007944FA">
              <w:rPr>
                <w:rFonts w:ascii="Arial" w:hAnsi="Arial" w:cs="Arial"/>
                <w:szCs w:val="18"/>
              </w:rPr>
              <w:t>10.814</w:t>
            </w:r>
          </w:p>
        </w:tc>
        <w:tc>
          <w:tcPr>
            <w:tcW w:w="0" w:type="auto"/>
            <w:shd w:val="clear" w:color="auto" w:fill="auto"/>
            <w:noWrap/>
          </w:tcPr>
          <w:p w14:paraId="7EBB2E14" w14:textId="77777777" w:rsidR="00F336EC" w:rsidRPr="007944FA" w:rsidRDefault="00F336EC" w:rsidP="006D46D8">
            <w:pPr>
              <w:pStyle w:val="tabela-9pt"/>
              <w:rPr>
                <w:rFonts w:ascii="Arial" w:hAnsi="Arial" w:cs="Arial"/>
                <w:szCs w:val="18"/>
              </w:rPr>
            </w:pPr>
            <w:r w:rsidRPr="007944FA">
              <w:rPr>
                <w:rFonts w:ascii="Arial" w:hAnsi="Arial" w:cs="Arial"/>
                <w:szCs w:val="18"/>
              </w:rPr>
              <w:t>10.515</w:t>
            </w:r>
          </w:p>
        </w:tc>
        <w:tc>
          <w:tcPr>
            <w:tcW w:w="0" w:type="auto"/>
            <w:shd w:val="clear" w:color="auto" w:fill="auto"/>
            <w:noWrap/>
          </w:tcPr>
          <w:p w14:paraId="6DE3BF81" w14:textId="77777777" w:rsidR="00F336EC" w:rsidRPr="007944FA" w:rsidRDefault="00F336EC" w:rsidP="006D46D8">
            <w:pPr>
              <w:pStyle w:val="tabela-9pt"/>
              <w:rPr>
                <w:rFonts w:ascii="Arial" w:hAnsi="Arial" w:cs="Arial"/>
                <w:szCs w:val="18"/>
              </w:rPr>
            </w:pPr>
            <w:r w:rsidRPr="007944FA">
              <w:rPr>
                <w:rFonts w:ascii="Arial" w:hAnsi="Arial" w:cs="Arial"/>
                <w:szCs w:val="18"/>
              </w:rPr>
              <w:t>10.217</w:t>
            </w:r>
          </w:p>
        </w:tc>
      </w:tr>
    </w:tbl>
    <w:p w14:paraId="4E718234" w14:textId="50BBCF29" w:rsidR="00F336EC" w:rsidRPr="007944FA" w:rsidRDefault="002F38E7" w:rsidP="002F38E7">
      <w:pPr>
        <w:pStyle w:val="nikatabelee"/>
      </w:pPr>
      <w:bookmarkStart w:id="159" w:name="_Toc193195399"/>
      <w:r w:rsidRPr="007944FA">
        <w:t>Preglednica 14</w:t>
      </w:r>
      <w:r w:rsidR="00F336EC" w:rsidRPr="007944FA">
        <w:t>: Ciljna trajektorija za emisije neETS v obdobju 2021−2025 (vir: EK)</w:t>
      </w:r>
      <w:bookmarkEnd w:id="159"/>
    </w:p>
    <w:p w14:paraId="61BA180A"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Projekcije emisij virov, ki niso vključeni v EU ETS, so bile izračunane kot razlika skupnih emisij in emisij EU ETS. </w:t>
      </w:r>
    </w:p>
    <w:p w14:paraId="3B392DB8" w14:textId="21628B60"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Po projekciji z ukrepi se emisije neETS od leta 2022 do leta 2025 povečajo na 10.835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potem pa se začnejo zmanjševati in leta 2030 znašajo 10.701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leta 2040 pa 8372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Po projekciji z dodatnimi ukrepi se emisije do leta 2025 povečajo na 10.528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xml:space="preserve">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do leta 2030 znižajo na 8446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do leta 2040 pa na 4656 kt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w:t>
      </w:r>
    </w:p>
    <w:p w14:paraId="1B9BCFE0"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Emisije leta 2022 so bile nižje od ciljne trajektorije. Emisije leta 2030 so po projekciji z ukrepi glede na leto 2005 nižje za 29 %, po projekciji z dodatnimi ukrepi pa so nižje za 29 %. Ciljno zmanjšanje leta 2030 je torej doseženo v projekciji z dodatnimi ukrepi.</w:t>
      </w:r>
    </w:p>
    <w:p w14:paraId="1E51B4C6" w14:textId="67FBE721" w:rsidR="00F336EC" w:rsidRPr="007944FA" w:rsidRDefault="00BD3613" w:rsidP="00F336EC">
      <w:pPr>
        <w:jc w:val="center"/>
        <w:rPr>
          <w:rFonts w:ascii="Arial" w:hAnsi="Arial" w:cs="Arial"/>
          <w:b/>
          <w:bCs/>
          <w:i/>
          <w:iCs/>
          <w:sz w:val="18"/>
          <w:szCs w:val="18"/>
        </w:rPr>
      </w:pPr>
      <w:r w:rsidRPr="007944FA">
        <w:rPr>
          <w:noProof/>
          <w:lang w:eastAsia="sl-SI"/>
        </w:rPr>
        <w:drawing>
          <wp:inline distT="0" distB="0" distL="0" distR="0" wp14:anchorId="487021C5" wp14:editId="10CC52D1">
            <wp:extent cx="4913630" cy="2743200"/>
            <wp:effectExtent l="0" t="0" r="127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913630" cy="2743200"/>
                    </a:xfrm>
                    <a:prstGeom prst="rect">
                      <a:avLst/>
                    </a:prstGeom>
                    <a:noFill/>
                    <a:ln>
                      <a:noFill/>
                    </a:ln>
                  </pic:spPr>
                </pic:pic>
              </a:graphicData>
            </a:graphic>
          </wp:inline>
        </w:drawing>
      </w:r>
    </w:p>
    <w:p w14:paraId="4A284E95" w14:textId="292FB8F5" w:rsidR="00F336EC" w:rsidRPr="007944FA" w:rsidRDefault="00F336EC" w:rsidP="0091142E">
      <w:pPr>
        <w:pStyle w:val="NIKASLIKE"/>
      </w:pPr>
      <w:bookmarkStart w:id="160" w:name="_Toc193194001"/>
      <w:r w:rsidRPr="007944FA">
        <w:t>Slika 28: Dosedanji potek emisij neETS v obdobju 2005−2022 ter potek emisij po projekcijah z ukrepi ter z dodatnimi ukrepi za leta od 2025 do 2040 v primerjavi s ciljno trajektorijo 2013–2020 in 2021–2025 ter ciljem 2030 (vir: ARSO, IJS-CEU, KIS)</w:t>
      </w:r>
      <w:bookmarkEnd w:id="160"/>
    </w:p>
    <w:p w14:paraId="31209CD5"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Daleč največji vir emisij v neETS je promet, ki je leta 2022 prispeval 54 % vseh emisij neETS, medtem ko je delež leta 2005 znašal 37 %. Leta 2020 se je delež zaradi pandemije in spremljajočih ukrepov zmanjšal na 47 %. Po projekciji z ukrepi se delež poveča na 58 % leta 2030 in upade na 54 % leta 2040. V projekciji z dodatnimi ukrepi leta 2030 znaša 52 %, potem pa se močno zmanjša na 36 % zaradi občutnega </w:t>
      </w:r>
      <w:r w:rsidRPr="007944FA">
        <w:rPr>
          <w:rFonts w:ascii="Arial" w:eastAsia="Times New Roman" w:hAnsi="Arial" w:cs="Times New Roman"/>
          <w:szCs w:val="20"/>
          <w:lang w:eastAsia="sl-SI"/>
        </w:rPr>
        <w:lastRenderedPageBreak/>
        <w:t>znižanja emisij. Po pomembnosti leta 2022 sledita sektorja kmetijstvo in druga področja, vendar z zelo različnima trendoma do leta 2040. Kmetijstvo je v projekcijah z ukrepi poleg prometa edini sektor, v katerem se emisije do leta 2040 povečajo, zato se delež poveča na 21 %. Povečanje deleža je mnogo večje v projekciji z dodatnimi ukrepi, čeprav se emisije zmanjšajo, vendar je zmanjšanje v drugih sektorjih večje. Leta 2030 je delež 20 %, leta 2040 pa 34 %. Sektor široka raba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druga področja, ki leta 2022 prispeva 12 % emisij, leta 2030 prispeva le 9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10 %, leta 2040 pa 8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10 %. Po deležu ta sektor prehitijo neETS emisije iz industrije in gradbeništva, ki leta 2040 prispevajo 10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8 %.</w:t>
      </w:r>
    </w:p>
    <w:p w14:paraId="7C35A5A5" w14:textId="66FF7B2E" w:rsidR="00F336EC" w:rsidRPr="007944FA" w:rsidRDefault="00BD3613" w:rsidP="00F336EC">
      <w:pPr>
        <w:jc w:val="center"/>
        <w:rPr>
          <w:rFonts w:ascii="Arial" w:hAnsi="Arial" w:cs="Arial"/>
          <w:b/>
          <w:bCs/>
          <w:i/>
          <w:iCs/>
          <w:sz w:val="18"/>
          <w:szCs w:val="18"/>
        </w:rPr>
      </w:pPr>
      <w:r w:rsidRPr="007944FA">
        <w:rPr>
          <w:noProof/>
          <w:lang w:eastAsia="sl-SI"/>
        </w:rPr>
        <w:drawing>
          <wp:inline distT="0" distB="0" distL="0" distR="0" wp14:anchorId="3EC5C835" wp14:editId="449E8108">
            <wp:extent cx="4572000" cy="2743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3955D1C2" w14:textId="258B227D" w:rsidR="00F336EC" w:rsidRPr="007944FA" w:rsidRDefault="00F336EC" w:rsidP="0091142E">
      <w:pPr>
        <w:pStyle w:val="NIKASLIKE"/>
      </w:pPr>
      <w:bookmarkStart w:id="161" w:name="_Toc193194002"/>
      <w:r w:rsidRPr="007944FA">
        <w:t>Slika 29: Struktura emisij neETS v letih 2005 in 2022 ter po projekcijah za leta 2025, 2030 in 2040 (vir: IJS-CEU, KIS)</w:t>
      </w:r>
      <w:bookmarkEnd w:id="161"/>
    </w:p>
    <w:p w14:paraId="2E4DE72E" w14:textId="77777777" w:rsidR="00F336EC" w:rsidRPr="007944FA" w:rsidRDefault="00F336EC" w:rsidP="00F336EC">
      <w:pPr>
        <w:spacing w:after="120" w:line="245" w:lineRule="auto"/>
        <w:jc w:val="both"/>
        <w:rPr>
          <w:rFonts w:ascii="Arial" w:eastAsia="Times New Roman" w:hAnsi="Arial" w:cs="Times New Roman"/>
          <w:szCs w:val="20"/>
          <w:lang w:eastAsia="sl-SI"/>
        </w:rPr>
      </w:pPr>
    </w:p>
    <w:p w14:paraId="7DAA8BE0" w14:textId="77777777" w:rsidR="00F336EC" w:rsidRPr="007944FA" w:rsidRDefault="00F336EC" w:rsidP="00F336EC">
      <w:pPr>
        <w:spacing w:after="120" w:line="245" w:lineRule="auto"/>
        <w:jc w:val="both"/>
        <w:rPr>
          <w:rFonts w:ascii="Arial" w:eastAsia="Times New Roman" w:hAnsi="Arial" w:cs="Times New Roman"/>
          <w:szCs w:val="20"/>
          <w:lang w:eastAsia="sl-SI"/>
        </w:rPr>
        <w:sectPr w:rsidR="00F336EC" w:rsidRPr="007944FA" w:rsidSect="00F336EC">
          <w:pgSz w:w="11907" w:h="16840" w:code="9"/>
          <w:pgMar w:top="1258" w:right="1797" w:bottom="1417" w:left="1797" w:header="709" w:footer="709" w:gutter="0"/>
          <w:cols w:space="708"/>
          <w:docGrid w:linePitch="360"/>
        </w:sectPr>
      </w:pPr>
    </w:p>
    <w:p w14:paraId="12C50B1C" w14:textId="49201CD0" w:rsidR="00F336EC" w:rsidRPr="007944FA" w:rsidRDefault="00F336EC" w:rsidP="00F336EC">
      <w:pPr>
        <w:tabs>
          <w:tab w:val="left" w:pos="964"/>
        </w:tabs>
        <w:spacing w:before="120" w:after="120" w:line="240" w:lineRule="auto"/>
        <w:ind w:left="1418" w:hanging="1418"/>
        <w:jc w:val="both"/>
        <w:rPr>
          <w:rFonts w:ascii="Arial" w:eastAsia="Times New Roman" w:hAnsi="Arial" w:cs="Arial"/>
          <w:b/>
          <w:color w:val="0E2841" w:themeColor="text2"/>
          <w:sz w:val="18"/>
          <w:szCs w:val="18"/>
        </w:rPr>
      </w:pPr>
    </w:p>
    <w:tbl>
      <w:tblPr>
        <w:tblW w:w="14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536"/>
        <w:gridCol w:w="992"/>
        <w:gridCol w:w="992"/>
        <w:gridCol w:w="849"/>
        <w:gridCol w:w="848"/>
        <w:gridCol w:w="851"/>
        <w:gridCol w:w="853"/>
        <w:gridCol w:w="991"/>
        <w:gridCol w:w="946"/>
        <w:gridCol w:w="898"/>
        <w:gridCol w:w="1271"/>
        <w:gridCol w:w="1271"/>
        <w:gridCol w:w="8"/>
      </w:tblGrid>
      <w:tr w:rsidR="00F336EC" w:rsidRPr="0093506F" w14:paraId="40E96678" w14:textId="77777777" w:rsidTr="006D46D8">
        <w:trPr>
          <w:trHeight w:val="295"/>
        </w:trPr>
        <w:tc>
          <w:tcPr>
            <w:tcW w:w="3536" w:type="dxa"/>
            <w:shd w:val="clear" w:color="auto" w:fill="auto"/>
            <w:noWrap/>
            <w:vAlign w:val="center"/>
          </w:tcPr>
          <w:p w14:paraId="2C47F908" w14:textId="701F62B9" w:rsidR="00F336EC" w:rsidRPr="007944FA" w:rsidRDefault="00F336EC" w:rsidP="00F336EC">
            <w:pPr>
              <w:spacing w:after="0" w:line="247" w:lineRule="auto"/>
              <w:jc w:val="right"/>
              <w:rPr>
                <w:rFonts w:ascii="Arial" w:eastAsia="Calibri" w:hAnsi="Arial" w:cs="Arial"/>
                <w:b/>
                <w:sz w:val="18"/>
                <w:szCs w:val="18"/>
              </w:rPr>
            </w:pPr>
            <w:r w:rsidRPr="007944FA">
              <w:rPr>
                <w:rFonts w:ascii="Arial" w:eastAsia="Calibri" w:hAnsi="Arial" w:cs="Arial"/>
                <w:b/>
                <w:sz w:val="18"/>
                <w:szCs w:val="18"/>
              </w:rPr>
              <w:t>TGP [kt</w:t>
            </w:r>
            <w:r w:rsidR="002146B5" w:rsidRPr="007944FA">
              <w:rPr>
                <w:rFonts w:ascii="Arial" w:eastAsia="Calibri" w:hAnsi="Arial" w:cs="Arial"/>
                <w:b/>
                <w:sz w:val="18"/>
                <w:szCs w:val="18"/>
              </w:rPr>
              <w:t xml:space="preserve"> ekv.</w:t>
            </w:r>
            <w:r w:rsidRPr="007944FA">
              <w:rPr>
                <w:rFonts w:ascii="Arial" w:eastAsia="Calibri" w:hAnsi="Arial" w:cs="Arial"/>
                <w:b/>
                <w:sz w:val="18"/>
                <w:szCs w:val="18"/>
              </w:rPr>
              <w:t xml:space="preserve"> CO</w:t>
            </w:r>
            <w:r w:rsidRPr="007944FA">
              <w:rPr>
                <w:rFonts w:ascii="Arial" w:eastAsia="Calibri" w:hAnsi="Arial" w:cs="Arial"/>
                <w:b/>
                <w:sz w:val="18"/>
                <w:szCs w:val="18"/>
                <w:vertAlign w:val="subscript"/>
              </w:rPr>
              <w:t>2</w:t>
            </w:r>
            <w:r w:rsidRPr="007944FA">
              <w:rPr>
                <w:rFonts w:ascii="Arial" w:eastAsia="Calibri" w:hAnsi="Arial" w:cs="Arial"/>
                <w:b/>
                <w:sz w:val="18"/>
                <w:szCs w:val="18"/>
              </w:rPr>
              <w:t>]</w:t>
            </w:r>
          </w:p>
        </w:tc>
        <w:tc>
          <w:tcPr>
            <w:tcW w:w="2833" w:type="dxa"/>
            <w:gridSpan w:val="3"/>
            <w:shd w:val="clear" w:color="auto" w:fill="auto"/>
            <w:noWrap/>
            <w:vAlign w:val="center"/>
          </w:tcPr>
          <w:p w14:paraId="602962CC" w14:textId="77777777" w:rsidR="00F336EC" w:rsidRPr="007944FA" w:rsidRDefault="00F336EC" w:rsidP="00F336EC">
            <w:pPr>
              <w:spacing w:after="0" w:line="247" w:lineRule="auto"/>
              <w:jc w:val="center"/>
              <w:rPr>
                <w:rFonts w:ascii="Arial" w:eastAsia="Calibri" w:hAnsi="Arial" w:cs="Arial"/>
                <w:b/>
                <w:sz w:val="18"/>
                <w:szCs w:val="18"/>
              </w:rPr>
            </w:pPr>
            <w:r w:rsidRPr="007944FA">
              <w:rPr>
                <w:rFonts w:ascii="Arial" w:eastAsia="Calibri" w:hAnsi="Arial" w:cs="Arial"/>
                <w:b/>
                <w:sz w:val="18"/>
                <w:szCs w:val="18"/>
              </w:rPr>
              <w:t>Dejanske emisije</w:t>
            </w:r>
          </w:p>
        </w:tc>
        <w:tc>
          <w:tcPr>
            <w:tcW w:w="2552" w:type="dxa"/>
            <w:gridSpan w:val="3"/>
            <w:shd w:val="clear" w:color="auto" w:fill="auto"/>
            <w:vAlign w:val="center"/>
          </w:tcPr>
          <w:p w14:paraId="2EC02379" w14:textId="77777777" w:rsidR="00F336EC" w:rsidRPr="007944FA" w:rsidRDefault="00F336EC" w:rsidP="00F336EC">
            <w:pPr>
              <w:spacing w:after="0" w:line="247" w:lineRule="auto"/>
              <w:jc w:val="center"/>
              <w:rPr>
                <w:rFonts w:ascii="Arial" w:eastAsia="Calibri" w:hAnsi="Arial" w:cs="Arial"/>
                <w:b/>
                <w:sz w:val="18"/>
                <w:szCs w:val="18"/>
              </w:rPr>
            </w:pPr>
            <w:r w:rsidRPr="007944FA">
              <w:rPr>
                <w:rFonts w:ascii="Arial" w:eastAsia="Calibri" w:hAnsi="Arial" w:cs="Arial"/>
                <w:b/>
                <w:sz w:val="18"/>
                <w:szCs w:val="18"/>
              </w:rPr>
              <w:t>Projekcija z ukrepi</w:t>
            </w:r>
          </w:p>
        </w:tc>
        <w:tc>
          <w:tcPr>
            <w:tcW w:w="2835" w:type="dxa"/>
            <w:gridSpan w:val="3"/>
            <w:shd w:val="clear" w:color="auto" w:fill="auto"/>
            <w:noWrap/>
            <w:vAlign w:val="center"/>
          </w:tcPr>
          <w:p w14:paraId="1C1D99FF" w14:textId="77777777" w:rsidR="00F336EC" w:rsidRPr="007944FA" w:rsidRDefault="00F336EC" w:rsidP="00F336EC">
            <w:pPr>
              <w:spacing w:after="0" w:line="247" w:lineRule="auto"/>
              <w:jc w:val="center"/>
              <w:rPr>
                <w:rFonts w:ascii="Arial" w:eastAsia="Calibri" w:hAnsi="Arial" w:cs="Arial"/>
                <w:b/>
                <w:sz w:val="18"/>
                <w:szCs w:val="18"/>
              </w:rPr>
            </w:pPr>
            <w:r w:rsidRPr="007944FA">
              <w:rPr>
                <w:rFonts w:ascii="Arial" w:eastAsia="Calibri" w:hAnsi="Arial" w:cs="Arial"/>
                <w:b/>
                <w:sz w:val="18"/>
                <w:szCs w:val="18"/>
              </w:rPr>
              <w:t>Projekcija z dod. ukrepi</w:t>
            </w:r>
          </w:p>
        </w:tc>
        <w:tc>
          <w:tcPr>
            <w:tcW w:w="1271" w:type="dxa"/>
            <w:shd w:val="clear" w:color="auto" w:fill="auto"/>
            <w:vAlign w:val="center"/>
          </w:tcPr>
          <w:p w14:paraId="36A99897" w14:textId="77777777" w:rsidR="00F336EC" w:rsidRPr="007944FA" w:rsidRDefault="00F336EC" w:rsidP="00F336EC">
            <w:pPr>
              <w:spacing w:after="0" w:line="247" w:lineRule="auto"/>
              <w:jc w:val="center"/>
              <w:rPr>
                <w:rFonts w:ascii="Arial" w:eastAsia="Calibri" w:hAnsi="Arial" w:cs="Arial"/>
                <w:b/>
                <w:sz w:val="18"/>
                <w:szCs w:val="18"/>
              </w:rPr>
            </w:pPr>
            <w:r w:rsidRPr="007944FA">
              <w:rPr>
                <w:rFonts w:ascii="Arial" w:eastAsia="Calibri" w:hAnsi="Arial" w:cs="Arial"/>
                <w:b/>
                <w:sz w:val="18"/>
                <w:szCs w:val="18"/>
              </w:rPr>
              <w:t>Z ukrepi</w:t>
            </w:r>
          </w:p>
        </w:tc>
        <w:tc>
          <w:tcPr>
            <w:tcW w:w="1279" w:type="dxa"/>
            <w:gridSpan w:val="2"/>
            <w:shd w:val="clear" w:color="auto" w:fill="auto"/>
            <w:vAlign w:val="center"/>
          </w:tcPr>
          <w:p w14:paraId="234FA13D" w14:textId="77777777" w:rsidR="00F336EC" w:rsidRPr="007944FA" w:rsidRDefault="00F336EC" w:rsidP="00F336EC">
            <w:pPr>
              <w:spacing w:after="0" w:line="247" w:lineRule="auto"/>
              <w:jc w:val="center"/>
              <w:rPr>
                <w:rFonts w:ascii="Arial" w:eastAsia="Calibri" w:hAnsi="Arial" w:cs="Arial"/>
                <w:b/>
                <w:sz w:val="18"/>
                <w:szCs w:val="18"/>
              </w:rPr>
            </w:pPr>
            <w:r w:rsidRPr="007944FA">
              <w:rPr>
                <w:rFonts w:ascii="Arial" w:eastAsia="Calibri" w:hAnsi="Arial" w:cs="Arial"/>
                <w:b/>
                <w:sz w:val="18"/>
                <w:szCs w:val="18"/>
              </w:rPr>
              <w:t>Z dod. ukrepi</w:t>
            </w:r>
          </w:p>
        </w:tc>
      </w:tr>
      <w:tr w:rsidR="00F336EC" w:rsidRPr="0093506F" w14:paraId="42F436DF" w14:textId="77777777" w:rsidTr="006D46D8">
        <w:trPr>
          <w:gridAfter w:val="1"/>
          <w:wAfter w:w="8" w:type="dxa"/>
          <w:trHeight w:val="176"/>
        </w:trPr>
        <w:tc>
          <w:tcPr>
            <w:tcW w:w="3536" w:type="dxa"/>
            <w:shd w:val="clear" w:color="auto" w:fill="auto"/>
            <w:vAlign w:val="center"/>
          </w:tcPr>
          <w:p w14:paraId="550CE41B" w14:textId="77777777" w:rsidR="00F336EC" w:rsidRPr="007944FA" w:rsidRDefault="00F336EC" w:rsidP="00F336EC">
            <w:pPr>
              <w:spacing w:after="0" w:line="247" w:lineRule="auto"/>
              <w:jc w:val="right"/>
              <w:rPr>
                <w:rFonts w:ascii="Arial" w:eastAsia="Calibri" w:hAnsi="Arial" w:cs="Arial"/>
                <w:b/>
                <w:sz w:val="18"/>
                <w:szCs w:val="18"/>
              </w:rPr>
            </w:pPr>
            <w:r w:rsidRPr="007944FA">
              <w:rPr>
                <w:rFonts w:ascii="Arial" w:eastAsia="Calibri" w:hAnsi="Arial" w:cs="Arial"/>
                <w:b/>
                <w:sz w:val="18"/>
                <w:szCs w:val="18"/>
              </w:rPr>
              <w:t>Sektor\leto</w:t>
            </w:r>
          </w:p>
        </w:tc>
        <w:tc>
          <w:tcPr>
            <w:tcW w:w="992" w:type="dxa"/>
            <w:shd w:val="clear" w:color="auto" w:fill="auto"/>
            <w:vAlign w:val="bottom"/>
          </w:tcPr>
          <w:p w14:paraId="6A97C9D4"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2005</w:t>
            </w:r>
          </w:p>
        </w:tc>
        <w:tc>
          <w:tcPr>
            <w:tcW w:w="992" w:type="dxa"/>
            <w:shd w:val="clear" w:color="auto" w:fill="auto"/>
            <w:vAlign w:val="bottom"/>
          </w:tcPr>
          <w:p w14:paraId="5C26CB0A"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2020</w:t>
            </w:r>
          </w:p>
        </w:tc>
        <w:tc>
          <w:tcPr>
            <w:tcW w:w="849" w:type="dxa"/>
            <w:shd w:val="clear" w:color="auto" w:fill="auto"/>
            <w:vAlign w:val="bottom"/>
          </w:tcPr>
          <w:p w14:paraId="57483698"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2022</w:t>
            </w:r>
          </w:p>
        </w:tc>
        <w:tc>
          <w:tcPr>
            <w:tcW w:w="848" w:type="dxa"/>
            <w:shd w:val="clear" w:color="auto" w:fill="auto"/>
            <w:vAlign w:val="bottom"/>
          </w:tcPr>
          <w:p w14:paraId="086337A5"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2025</w:t>
            </w:r>
          </w:p>
        </w:tc>
        <w:tc>
          <w:tcPr>
            <w:tcW w:w="851" w:type="dxa"/>
            <w:shd w:val="clear" w:color="auto" w:fill="auto"/>
            <w:vAlign w:val="bottom"/>
          </w:tcPr>
          <w:p w14:paraId="615A60EC"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2030</w:t>
            </w:r>
          </w:p>
        </w:tc>
        <w:tc>
          <w:tcPr>
            <w:tcW w:w="853" w:type="dxa"/>
            <w:shd w:val="clear" w:color="auto" w:fill="auto"/>
            <w:vAlign w:val="bottom"/>
          </w:tcPr>
          <w:p w14:paraId="63452F79"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2040</w:t>
            </w:r>
          </w:p>
        </w:tc>
        <w:tc>
          <w:tcPr>
            <w:tcW w:w="991" w:type="dxa"/>
            <w:shd w:val="clear" w:color="auto" w:fill="auto"/>
            <w:vAlign w:val="bottom"/>
          </w:tcPr>
          <w:p w14:paraId="703B2AD1"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2025</w:t>
            </w:r>
          </w:p>
        </w:tc>
        <w:tc>
          <w:tcPr>
            <w:tcW w:w="946" w:type="dxa"/>
            <w:shd w:val="clear" w:color="auto" w:fill="auto"/>
            <w:vAlign w:val="bottom"/>
          </w:tcPr>
          <w:p w14:paraId="28E6896A"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2030</w:t>
            </w:r>
          </w:p>
        </w:tc>
        <w:tc>
          <w:tcPr>
            <w:tcW w:w="898" w:type="dxa"/>
            <w:shd w:val="clear" w:color="auto" w:fill="auto"/>
            <w:vAlign w:val="bottom"/>
          </w:tcPr>
          <w:p w14:paraId="2F327A28" w14:textId="77777777" w:rsidR="00F336EC" w:rsidRPr="007944FA" w:rsidRDefault="00F336EC" w:rsidP="00F336EC">
            <w:pPr>
              <w:spacing w:after="0" w:line="247" w:lineRule="auto"/>
              <w:jc w:val="right"/>
              <w:rPr>
                <w:rFonts w:ascii="Arial" w:eastAsia="Calibri" w:hAnsi="Arial" w:cs="Arial"/>
                <w:b/>
                <w:bCs/>
                <w:sz w:val="18"/>
                <w:szCs w:val="18"/>
              </w:rPr>
            </w:pPr>
            <w:r w:rsidRPr="007944FA">
              <w:rPr>
                <w:rFonts w:ascii="Arial" w:eastAsia="Times New Roman" w:hAnsi="Arial" w:cs="Arial"/>
                <w:b/>
                <w:bCs/>
                <w:sz w:val="18"/>
                <w:szCs w:val="18"/>
              </w:rPr>
              <w:t>2040</w:t>
            </w:r>
          </w:p>
        </w:tc>
        <w:tc>
          <w:tcPr>
            <w:tcW w:w="1271" w:type="dxa"/>
            <w:shd w:val="clear" w:color="auto" w:fill="auto"/>
            <w:vAlign w:val="bottom"/>
          </w:tcPr>
          <w:p w14:paraId="3E85116B"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Times New Roman" w:hAnsi="Arial" w:cs="Arial"/>
                <w:sz w:val="18"/>
                <w:szCs w:val="18"/>
              </w:rPr>
              <w:t>2030–2005</w:t>
            </w:r>
          </w:p>
        </w:tc>
        <w:tc>
          <w:tcPr>
            <w:tcW w:w="1271" w:type="dxa"/>
            <w:shd w:val="clear" w:color="auto" w:fill="auto"/>
            <w:vAlign w:val="bottom"/>
          </w:tcPr>
          <w:p w14:paraId="11FA1B41"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Times New Roman" w:hAnsi="Arial" w:cs="Arial"/>
                <w:sz w:val="18"/>
                <w:szCs w:val="18"/>
              </w:rPr>
              <w:t>2030–2005</w:t>
            </w:r>
          </w:p>
        </w:tc>
      </w:tr>
      <w:tr w:rsidR="00F336EC" w:rsidRPr="0093506F" w14:paraId="16E76AF1" w14:textId="77777777" w:rsidTr="006D46D8">
        <w:trPr>
          <w:gridAfter w:val="1"/>
          <w:wAfter w:w="8" w:type="dxa"/>
          <w:trHeight w:val="295"/>
        </w:trPr>
        <w:tc>
          <w:tcPr>
            <w:tcW w:w="3536" w:type="dxa"/>
            <w:shd w:val="clear" w:color="auto" w:fill="auto"/>
            <w:noWrap/>
            <w:vAlign w:val="center"/>
          </w:tcPr>
          <w:p w14:paraId="2DE9F3F0" w14:textId="60B37012" w:rsidR="00F336EC" w:rsidRPr="007944FA" w:rsidRDefault="00155E07"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 xml:space="preserve">Transformacije </w:t>
            </w:r>
          </w:p>
        </w:tc>
        <w:tc>
          <w:tcPr>
            <w:tcW w:w="992" w:type="dxa"/>
            <w:shd w:val="clear" w:color="auto" w:fill="auto"/>
            <w:noWrap/>
            <w:vAlign w:val="bottom"/>
          </w:tcPr>
          <w:p w14:paraId="033FF96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635</w:t>
            </w:r>
          </w:p>
        </w:tc>
        <w:tc>
          <w:tcPr>
            <w:tcW w:w="992" w:type="dxa"/>
            <w:shd w:val="clear" w:color="auto" w:fill="auto"/>
            <w:vAlign w:val="bottom"/>
          </w:tcPr>
          <w:p w14:paraId="484EEB1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536</w:t>
            </w:r>
          </w:p>
        </w:tc>
        <w:tc>
          <w:tcPr>
            <w:tcW w:w="849" w:type="dxa"/>
            <w:shd w:val="clear" w:color="auto" w:fill="auto"/>
            <w:noWrap/>
            <w:vAlign w:val="bottom"/>
          </w:tcPr>
          <w:p w14:paraId="169E681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452</w:t>
            </w:r>
          </w:p>
        </w:tc>
        <w:tc>
          <w:tcPr>
            <w:tcW w:w="848" w:type="dxa"/>
            <w:shd w:val="clear" w:color="auto" w:fill="auto"/>
            <w:vAlign w:val="bottom"/>
          </w:tcPr>
          <w:p w14:paraId="560C1FC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505</w:t>
            </w:r>
          </w:p>
        </w:tc>
        <w:tc>
          <w:tcPr>
            <w:tcW w:w="851" w:type="dxa"/>
            <w:shd w:val="clear" w:color="auto" w:fill="auto"/>
            <w:vAlign w:val="bottom"/>
          </w:tcPr>
          <w:p w14:paraId="2A2D1FC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477</w:t>
            </w:r>
          </w:p>
        </w:tc>
        <w:tc>
          <w:tcPr>
            <w:tcW w:w="853" w:type="dxa"/>
            <w:shd w:val="clear" w:color="auto" w:fill="auto"/>
            <w:noWrap/>
            <w:vAlign w:val="bottom"/>
          </w:tcPr>
          <w:p w14:paraId="20296F3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186</w:t>
            </w:r>
          </w:p>
        </w:tc>
        <w:tc>
          <w:tcPr>
            <w:tcW w:w="991" w:type="dxa"/>
            <w:shd w:val="clear" w:color="auto" w:fill="auto"/>
            <w:vAlign w:val="bottom"/>
          </w:tcPr>
          <w:p w14:paraId="709B4001"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478</w:t>
            </w:r>
          </w:p>
        </w:tc>
        <w:tc>
          <w:tcPr>
            <w:tcW w:w="946" w:type="dxa"/>
            <w:shd w:val="clear" w:color="auto" w:fill="auto"/>
            <w:vAlign w:val="bottom"/>
          </w:tcPr>
          <w:p w14:paraId="0EF34FB7"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410</w:t>
            </w:r>
          </w:p>
        </w:tc>
        <w:tc>
          <w:tcPr>
            <w:tcW w:w="898" w:type="dxa"/>
            <w:shd w:val="clear" w:color="auto" w:fill="auto"/>
            <w:vAlign w:val="bottom"/>
          </w:tcPr>
          <w:p w14:paraId="2745E1F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123</w:t>
            </w:r>
          </w:p>
        </w:tc>
        <w:tc>
          <w:tcPr>
            <w:tcW w:w="1271" w:type="dxa"/>
            <w:shd w:val="clear" w:color="auto" w:fill="auto"/>
            <w:vAlign w:val="bottom"/>
          </w:tcPr>
          <w:p w14:paraId="3EF9B8D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–25 %</w:t>
            </w:r>
          </w:p>
        </w:tc>
        <w:tc>
          <w:tcPr>
            <w:tcW w:w="1271" w:type="dxa"/>
            <w:shd w:val="clear" w:color="auto" w:fill="auto"/>
            <w:vAlign w:val="bottom"/>
          </w:tcPr>
          <w:p w14:paraId="0D33CA6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–36 %</w:t>
            </w:r>
          </w:p>
        </w:tc>
      </w:tr>
      <w:tr w:rsidR="00F336EC" w:rsidRPr="0093506F" w14:paraId="648052D4" w14:textId="77777777" w:rsidTr="006D46D8">
        <w:trPr>
          <w:gridAfter w:val="1"/>
          <w:wAfter w:w="8" w:type="dxa"/>
          <w:trHeight w:val="295"/>
        </w:trPr>
        <w:tc>
          <w:tcPr>
            <w:tcW w:w="3536" w:type="dxa"/>
            <w:shd w:val="clear" w:color="auto" w:fill="auto"/>
            <w:noWrap/>
            <w:vAlign w:val="center"/>
          </w:tcPr>
          <w:p w14:paraId="46FE5D84"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Industrija in gradbeništvo</w:t>
            </w:r>
          </w:p>
        </w:tc>
        <w:tc>
          <w:tcPr>
            <w:tcW w:w="992" w:type="dxa"/>
            <w:shd w:val="clear" w:color="auto" w:fill="auto"/>
            <w:noWrap/>
            <w:vAlign w:val="bottom"/>
          </w:tcPr>
          <w:p w14:paraId="2756731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1069</w:t>
            </w:r>
          </w:p>
        </w:tc>
        <w:tc>
          <w:tcPr>
            <w:tcW w:w="992" w:type="dxa"/>
            <w:shd w:val="clear" w:color="auto" w:fill="auto"/>
            <w:vAlign w:val="bottom"/>
          </w:tcPr>
          <w:p w14:paraId="3A8AD11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679</w:t>
            </w:r>
          </w:p>
        </w:tc>
        <w:tc>
          <w:tcPr>
            <w:tcW w:w="849" w:type="dxa"/>
            <w:shd w:val="clear" w:color="auto" w:fill="auto"/>
            <w:noWrap/>
            <w:vAlign w:val="bottom"/>
          </w:tcPr>
          <w:p w14:paraId="7A832F1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665</w:t>
            </w:r>
          </w:p>
        </w:tc>
        <w:tc>
          <w:tcPr>
            <w:tcW w:w="848" w:type="dxa"/>
            <w:shd w:val="clear" w:color="auto" w:fill="auto"/>
            <w:vAlign w:val="bottom"/>
          </w:tcPr>
          <w:p w14:paraId="15B3B01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715</w:t>
            </w:r>
          </w:p>
        </w:tc>
        <w:tc>
          <w:tcPr>
            <w:tcW w:w="851" w:type="dxa"/>
            <w:shd w:val="clear" w:color="auto" w:fill="auto"/>
            <w:vAlign w:val="bottom"/>
          </w:tcPr>
          <w:p w14:paraId="29768D77"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745</w:t>
            </w:r>
          </w:p>
        </w:tc>
        <w:tc>
          <w:tcPr>
            <w:tcW w:w="853" w:type="dxa"/>
            <w:shd w:val="clear" w:color="auto" w:fill="auto"/>
            <w:noWrap/>
            <w:vAlign w:val="bottom"/>
          </w:tcPr>
          <w:p w14:paraId="441DC96D"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806</w:t>
            </w:r>
          </w:p>
        </w:tc>
        <w:tc>
          <w:tcPr>
            <w:tcW w:w="991" w:type="dxa"/>
            <w:shd w:val="clear" w:color="auto" w:fill="auto"/>
            <w:vAlign w:val="bottom"/>
          </w:tcPr>
          <w:p w14:paraId="45C5211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654</w:t>
            </w:r>
          </w:p>
        </w:tc>
        <w:tc>
          <w:tcPr>
            <w:tcW w:w="946" w:type="dxa"/>
            <w:shd w:val="clear" w:color="auto" w:fill="auto"/>
            <w:vAlign w:val="bottom"/>
          </w:tcPr>
          <w:p w14:paraId="3693DFBA"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508</w:t>
            </w:r>
          </w:p>
        </w:tc>
        <w:tc>
          <w:tcPr>
            <w:tcW w:w="898" w:type="dxa"/>
            <w:shd w:val="clear" w:color="auto" w:fill="auto"/>
            <w:vAlign w:val="bottom"/>
          </w:tcPr>
          <w:p w14:paraId="61FAB105"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372</w:t>
            </w:r>
          </w:p>
        </w:tc>
        <w:tc>
          <w:tcPr>
            <w:tcW w:w="1271" w:type="dxa"/>
            <w:shd w:val="clear" w:color="auto" w:fill="auto"/>
            <w:vAlign w:val="bottom"/>
          </w:tcPr>
          <w:p w14:paraId="6965ED7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–30 %</w:t>
            </w:r>
          </w:p>
        </w:tc>
        <w:tc>
          <w:tcPr>
            <w:tcW w:w="1271" w:type="dxa"/>
            <w:shd w:val="clear" w:color="auto" w:fill="auto"/>
            <w:vAlign w:val="bottom"/>
          </w:tcPr>
          <w:p w14:paraId="065420F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–52 %</w:t>
            </w:r>
          </w:p>
        </w:tc>
      </w:tr>
      <w:tr w:rsidR="00F336EC" w:rsidRPr="0093506F" w14:paraId="4F0AB1BC" w14:textId="77777777" w:rsidTr="006D46D8">
        <w:trPr>
          <w:gridAfter w:val="1"/>
          <w:wAfter w:w="8" w:type="dxa"/>
          <w:trHeight w:val="295"/>
        </w:trPr>
        <w:tc>
          <w:tcPr>
            <w:tcW w:w="3536" w:type="dxa"/>
            <w:shd w:val="clear" w:color="auto" w:fill="auto"/>
            <w:noWrap/>
            <w:vAlign w:val="center"/>
          </w:tcPr>
          <w:p w14:paraId="29F67F56"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Promet</w:t>
            </w:r>
          </w:p>
        </w:tc>
        <w:tc>
          <w:tcPr>
            <w:tcW w:w="992" w:type="dxa"/>
            <w:shd w:val="clear" w:color="auto" w:fill="auto"/>
            <w:noWrap/>
            <w:vAlign w:val="bottom"/>
          </w:tcPr>
          <w:p w14:paraId="707FC46E"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4399</w:t>
            </w:r>
          </w:p>
        </w:tc>
        <w:tc>
          <w:tcPr>
            <w:tcW w:w="992" w:type="dxa"/>
            <w:shd w:val="clear" w:color="auto" w:fill="auto"/>
            <w:vAlign w:val="bottom"/>
          </w:tcPr>
          <w:p w14:paraId="709FA705"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4574</w:t>
            </w:r>
          </w:p>
        </w:tc>
        <w:tc>
          <w:tcPr>
            <w:tcW w:w="849" w:type="dxa"/>
            <w:shd w:val="clear" w:color="auto" w:fill="auto"/>
            <w:noWrap/>
            <w:vAlign w:val="bottom"/>
          </w:tcPr>
          <w:p w14:paraId="37D75CC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5793</w:t>
            </w:r>
          </w:p>
        </w:tc>
        <w:tc>
          <w:tcPr>
            <w:tcW w:w="848" w:type="dxa"/>
            <w:shd w:val="clear" w:color="auto" w:fill="auto"/>
            <w:vAlign w:val="bottom"/>
          </w:tcPr>
          <w:p w14:paraId="5C0F492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5993</w:t>
            </w:r>
          </w:p>
        </w:tc>
        <w:tc>
          <w:tcPr>
            <w:tcW w:w="851" w:type="dxa"/>
            <w:shd w:val="clear" w:color="auto" w:fill="auto"/>
            <w:vAlign w:val="bottom"/>
          </w:tcPr>
          <w:p w14:paraId="51758D7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6191</w:t>
            </w:r>
          </w:p>
        </w:tc>
        <w:tc>
          <w:tcPr>
            <w:tcW w:w="853" w:type="dxa"/>
            <w:shd w:val="clear" w:color="auto" w:fill="auto"/>
            <w:noWrap/>
            <w:vAlign w:val="bottom"/>
          </w:tcPr>
          <w:p w14:paraId="25C01E11"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4507</w:t>
            </w:r>
          </w:p>
        </w:tc>
        <w:tc>
          <w:tcPr>
            <w:tcW w:w="991" w:type="dxa"/>
            <w:shd w:val="clear" w:color="auto" w:fill="auto"/>
            <w:vAlign w:val="bottom"/>
          </w:tcPr>
          <w:p w14:paraId="564E28D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5803</w:t>
            </w:r>
          </w:p>
        </w:tc>
        <w:tc>
          <w:tcPr>
            <w:tcW w:w="946" w:type="dxa"/>
            <w:shd w:val="clear" w:color="auto" w:fill="auto"/>
            <w:vAlign w:val="bottom"/>
          </w:tcPr>
          <w:p w14:paraId="0F82E3C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4350</w:t>
            </w:r>
          </w:p>
        </w:tc>
        <w:tc>
          <w:tcPr>
            <w:tcW w:w="898" w:type="dxa"/>
            <w:shd w:val="clear" w:color="auto" w:fill="auto"/>
            <w:vAlign w:val="bottom"/>
          </w:tcPr>
          <w:p w14:paraId="2B69314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1657</w:t>
            </w:r>
          </w:p>
        </w:tc>
        <w:tc>
          <w:tcPr>
            <w:tcW w:w="1271" w:type="dxa"/>
            <w:shd w:val="clear" w:color="auto" w:fill="auto"/>
            <w:vAlign w:val="bottom"/>
          </w:tcPr>
          <w:p w14:paraId="7D94E894"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41 %</w:t>
            </w:r>
          </w:p>
        </w:tc>
        <w:tc>
          <w:tcPr>
            <w:tcW w:w="1271" w:type="dxa"/>
            <w:shd w:val="clear" w:color="auto" w:fill="auto"/>
            <w:vAlign w:val="bottom"/>
          </w:tcPr>
          <w:p w14:paraId="54AB69E7"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–1 %</w:t>
            </w:r>
          </w:p>
        </w:tc>
      </w:tr>
      <w:tr w:rsidR="00F336EC" w:rsidRPr="0093506F" w14:paraId="38B03CC5" w14:textId="77777777" w:rsidTr="006D46D8">
        <w:trPr>
          <w:gridAfter w:val="1"/>
          <w:wAfter w:w="8" w:type="dxa"/>
          <w:trHeight w:val="295"/>
        </w:trPr>
        <w:tc>
          <w:tcPr>
            <w:tcW w:w="3536" w:type="dxa"/>
            <w:shd w:val="clear" w:color="auto" w:fill="auto"/>
            <w:noWrap/>
            <w:vAlign w:val="center"/>
          </w:tcPr>
          <w:p w14:paraId="68516BEF"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Drugi sektorji</w:t>
            </w:r>
          </w:p>
        </w:tc>
        <w:tc>
          <w:tcPr>
            <w:tcW w:w="992" w:type="dxa"/>
            <w:shd w:val="clear" w:color="auto" w:fill="auto"/>
            <w:noWrap/>
            <w:vAlign w:val="bottom"/>
          </w:tcPr>
          <w:p w14:paraId="16A6AC95"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2720</w:t>
            </w:r>
          </w:p>
        </w:tc>
        <w:tc>
          <w:tcPr>
            <w:tcW w:w="992" w:type="dxa"/>
            <w:shd w:val="clear" w:color="auto" w:fill="auto"/>
            <w:vAlign w:val="bottom"/>
          </w:tcPr>
          <w:p w14:paraId="1337942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1358</w:t>
            </w:r>
          </w:p>
        </w:tc>
        <w:tc>
          <w:tcPr>
            <w:tcW w:w="849" w:type="dxa"/>
            <w:shd w:val="clear" w:color="auto" w:fill="auto"/>
            <w:noWrap/>
            <w:vAlign w:val="bottom"/>
          </w:tcPr>
          <w:p w14:paraId="563BE666"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1266</w:t>
            </w:r>
          </w:p>
        </w:tc>
        <w:tc>
          <w:tcPr>
            <w:tcW w:w="848" w:type="dxa"/>
            <w:shd w:val="clear" w:color="auto" w:fill="auto"/>
            <w:vAlign w:val="bottom"/>
          </w:tcPr>
          <w:p w14:paraId="5302BA6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1106</w:t>
            </w:r>
          </w:p>
        </w:tc>
        <w:tc>
          <w:tcPr>
            <w:tcW w:w="851" w:type="dxa"/>
            <w:shd w:val="clear" w:color="auto" w:fill="auto"/>
            <w:vAlign w:val="bottom"/>
          </w:tcPr>
          <w:p w14:paraId="2AB62271"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914</w:t>
            </w:r>
          </w:p>
        </w:tc>
        <w:tc>
          <w:tcPr>
            <w:tcW w:w="853" w:type="dxa"/>
            <w:shd w:val="clear" w:color="auto" w:fill="auto"/>
            <w:noWrap/>
            <w:vAlign w:val="bottom"/>
          </w:tcPr>
          <w:p w14:paraId="285409CA"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649</w:t>
            </w:r>
          </w:p>
        </w:tc>
        <w:tc>
          <w:tcPr>
            <w:tcW w:w="991" w:type="dxa"/>
            <w:shd w:val="clear" w:color="auto" w:fill="auto"/>
            <w:vAlign w:val="bottom"/>
          </w:tcPr>
          <w:p w14:paraId="3B0861D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1076</w:t>
            </w:r>
          </w:p>
        </w:tc>
        <w:tc>
          <w:tcPr>
            <w:tcW w:w="946" w:type="dxa"/>
            <w:shd w:val="clear" w:color="auto" w:fill="auto"/>
            <w:vAlign w:val="bottom"/>
          </w:tcPr>
          <w:p w14:paraId="4B9DB484"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823</w:t>
            </w:r>
          </w:p>
        </w:tc>
        <w:tc>
          <w:tcPr>
            <w:tcW w:w="898" w:type="dxa"/>
            <w:shd w:val="clear" w:color="auto" w:fill="auto"/>
            <w:vAlign w:val="bottom"/>
          </w:tcPr>
          <w:p w14:paraId="7C231620"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441</w:t>
            </w:r>
          </w:p>
        </w:tc>
        <w:tc>
          <w:tcPr>
            <w:tcW w:w="1271" w:type="dxa"/>
            <w:shd w:val="clear" w:color="auto" w:fill="auto"/>
            <w:vAlign w:val="bottom"/>
          </w:tcPr>
          <w:p w14:paraId="6914B23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–66 %</w:t>
            </w:r>
          </w:p>
        </w:tc>
        <w:tc>
          <w:tcPr>
            <w:tcW w:w="1271" w:type="dxa"/>
            <w:shd w:val="clear" w:color="auto" w:fill="auto"/>
            <w:vAlign w:val="bottom"/>
          </w:tcPr>
          <w:p w14:paraId="5A06246D"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–70 %</w:t>
            </w:r>
          </w:p>
        </w:tc>
      </w:tr>
      <w:tr w:rsidR="00F336EC" w:rsidRPr="0093506F" w14:paraId="338F7EC7" w14:textId="77777777" w:rsidTr="006D46D8">
        <w:trPr>
          <w:gridAfter w:val="1"/>
          <w:wAfter w:w="8" w:type="dxa"/>
          <w:trHeight w:val="295"/>
        </w:trPr>
        <w:tc>
          <w:tcPr>
            <w:tcW w:w="3536" w:type="dxa"/>
            <w:shd w:val="clear" w:color="auto" w:fill="auto"/>
            <w:vAlign w:val="center"/>
          </w:tcPr>
          <w:p w14:paraId="5C181CDE"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Industrijski procesi</w:t>
            </w:r>
          </w:p>
        </w:tc>
        <w:tc>
          <w:tcPr>
            <w:tcW w:w="992" w:type="dxa"/>
            <w:shd w:val="clear" w:color="auto" w:fill="auto"/>
            <w:noWrap/>
            <w:vAlign w:val="bottom"/>
          </w:tcPr>
          <w:p w14:paraId="24185F8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436</w:t>
            </w:r>
          </w:p>
        </w:tc>
        <w:tc>
          <w:tcPr>
            <w:tcW w:w="992" w:type="dxa"/>
            <w:shd w:val="clear" w:color="auto" w:fill="auto"/>
            <w:vAlign w:val="bottom"/>
          </w:tcPr>
          <w:p w14:paraId="56162ABE"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473</w:t>
            </w:r>
          </w:p>
        </w:tc>
        <w:tc>
          <w:tcPr>
            <w:tcW w:w="849" w:type="dxa"/>
            <w:shd w:val="clear" w:color="auto" w:fill="auto"/>
            <w:noWrap/>
            <w:vAlign w:val="bottom"/>
          </w:tcPr>
          <w:p w14:paraId="2B728D4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490</w:t>
            </w:r>
          </w:p>
        </w:tc>
        <w:tc>
          <w:tcPr>
            <w:tcW w:w="848" w:type="dxa"/>
            <w:shd w:val="clear" w:color="auto" w:fill="auto"/>
            <w:vAlign w:val="bottom"/>
          </w:tcPr>
          <w:p w14:paraId="64A36104"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435</w:t>
            </w:r>
          </w:p>
        </w:tc>
        <w:tc>
          <w:tcPr>
            <w:tcW w:w="851" w:type="dxa"/>
            <w:shd w:val="clear" w:color="auto" w:fill="auto"/>
            <w:vAlign w:val="bottom"/>
          </w:tcPr>
          <w:p w14:paraId="6ACDD06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370</w:t>
            </w:r>
          </w:p>
        </w:tc>
        <w:tc>
          <w:tcPr>
            <w:tcW w:w="853" w:type="dxa"/>
            <w:shd w:val="clear" w:color="auto" w:fill="auto"/>
            <w:noWrap/>
            <w:vAlign w:val="bottom"/>
          </w:tcPr>
          <w:p w14:paraId="74C2276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267</w:t>
            </w:r>
          </w:p>
        </w:tc>
        <w:tc>
          <w:tcPr>
            <w:tcW w:w="991" w:type="dxa"/>
            <w:shd w:val="clear" w:color="auto" w:fill="auto"/>
            <w:vAlign w:val="bottom"/>
          </w:tcPr>
          <w:p w14:paraId="576FC9EE"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437</w:t>
            </w:r>
          </w:p>
        </w:tc>
        <w:tc>
          <w:tcPr>
            <w:tcW w:w="946" w:type="dxa"/>
            <w:shd w:val="clear" w:color="auto" w:fill="auto"/>
            <w:vAlign w:val="bottom"/>
          </w:tcPr>
          <w:p w14:paraId="76A28BF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372</w:t>
            </w:r>
          </w:p>
        </w:tc>
        <w:tc>
          <w:tcPr>
            <w:tcW w:w="898" w:type="dxa"/>
            <w:shd w:val="clear" w:color="auto" w:fill="auto"/>
            <w:vAlign w:val="bottom"/>
          </w:tcPr>
          <w:p w14:paraId="54E19BFD"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271</w:t>
            </w:r>
          </w:p>
        </w:tc>
        <w:tc>
          <w:tcPr>
            <w:tcW w:w="1271" w:type="dxa"/>
            <w:shd w:val="clear" w:color="auto" w:fill="auto"/>
            <w:vAlign w:val="bottom"/>
          </w:tcPr>
          <w:p w14:paraId="6E2A178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–15 %</w:t>
            </w:r>
          </w:p>
        </w:tc>
        <w:tc>
          <w:tcPr>
            <w:tcW w:w="1271" w:type="dxa"/>
            <w:shd w:val="clear" w:color="auto" w:fill="auto"/>
            <w:vAlign w:val="bottom"/>
          </w:tcPr>
          <w:p w14:paraId="5FD61925"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–15 %</w:t>
            </w:r>
          </w:p>
        </w:tc>
      </w:tr>
      <w:tr w:rsidR="00F336EC" w:rsidRPr="0093506F" w14:paraId="01DBBBE5" w14:textId="77777777" w:rsidTr="006D46D8">
        <w:trPr>
          <w:gridAfter w:val="1"/>
          <w:wAfter w:w="8" w:type="dxa"/>
          <w:trHeight w:val="295"/>
        </w:trPr>
        <w:tc>
          <w:tcPr>
            <w:tcW w:w="3536" w:type="dxa"/>
            <w:shd w:val="clear" w:color="auto" w:fill="auto"/>
            <w:vAlign w:val="center"/>
          </w:tcPr>
          <w:p w14:paraId="22FF6612"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Kmetijstvo</w:t>
            </w:r>
          </w:p>
        </w:tc>
        <w:tc>
          <w:tcPr>
            <w:tcW w:w="992" w:type="dxa"/>
            <w:shd w:val="clear" w:color="auto" w:fill="auto"/>
            <w:noWrap/>
            <w:vAlign w:val="bottom"/>
          </w:tcPr>
          <w:p w14:paraId="3AFB88D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1769</w:t>
            </w:r>
          </w:p>
        </w:tc>
        <w:tc>
          <w:tcPr>
            <w:tcW w:w="992" w:type="dxa"/>
            <w:shd w:val="clear" w:color="auto" w:fill="auto"/>
            <w:vAlign w:val="bottom"/>
          </w:tcPr>
          <w:p w14:paraId="5EBDAB2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1773</w:t>
            </w:r>
          </w:p>
        </w:tc>
        <w:tc>
          <w:tcPr>
            <w:tcW w:w="849" w:type="dxa"/>
            <w:shd w:val="clear" w:color="auto" w:fill="auto"/>
            <w:noWrap/>
            <w:vAlign w:val="bottom"/>
          </w:tcPr>
          <w:p w14:paraId="2D5C959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1706</w:t>
            </w:r>
          </w:p>
        </w:tc>
        <w:tc>
          <w:tcPr>
            <w:tcW w:w="848" w:type="dxa"/>
            <w:shd w:val="clear" w:color="auto" w:fill="auto"/>
            <w:vAlign w:val="bottom"/>
          </w:tcPr>
          <w:p w14:paraId="53E4B80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1726</w:t>
            </w:r>
          </w:p>
        </w:tc>
        <w:tc>
          <w:tcPr>
            <w:tcW w:w="851" w:type="dxa"/>
            <w:shd w:val="clear" w:color="auto" w:fill="auto"/>
            <w:vAlign w:val="bottom"/>
          </w:tcPr>
          <w:p w14:paraId="0875828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1719</w:t>
            </w:r>
          </w:p>
        </w:tc>
        <w:tc>
          <w:tcPr>
            <w:tcW w:w="853" w:type="dxa"/>
            <w:shd w:val="clear" w:color="auto" w:fill="auto"/>
            <w:noWrap/>
            <w:vAlign w:val="bottom"/>
          </w:tcPr>
          <w:p w14:paraId="1F1DF4B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1750</w:t>
            </w:r>
          </w:p>
        </w:tc>
        <w:tc>
          <w:tcPr>
            <w:tcW w:w="991" w:type="dxa"/>
            <w:shd w:val="clear" w:color="auto" w:fill="auto"/>
            <w:vAlign w:val="bottom"/>
          </w:tcPr>
          <w:p w14:paraId="5B41479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1726</w:t>
            </w:r>
          </w:p>
        </w:tc>
        <w:tc>
          <w:tcPr>
            <w:tcW w:w="946" w:type="dxa"/>
            <w:shd w:val="clear" w:color="auto" w:fill="auto"/>
            <w:vAlign w:val="bottom"/>
          </w:tcPr>
          <w:p w14:paraId="7263B65B"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1698</w:t>
            </w:r>
          </w:p>
        </w:tc>
        <w:tc>
          <w:tcPr>
            <w:tcW w:w="898" w:type="dxa"/>
            <w:shd w:val="clear" w:color="auto" w:fill="auto"/>
            <w:vAlign w:val="bottom"/>
          </w:tcPr>
          <w:p w14:paraId="7657A6BC"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1584</w:t>
            </w:r>
          </w:p>
        </w:tc>
        <w:tc>
          <w:tcPr>
            <w:tcW w:w="1271" w:type="dxa"/>
            <w:shd w:val="clear" w:color="auto" w:fill="auto"/>
            <w:vAlign w:val="bottom"/>
          </w:tcPr>
          <w:p w14:paraId="1BA466D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–3 %</w:t>
            </w:r>
          </w:p>
        </w:tc>
        <w:tc>
          <w:tcPr>
            <w:tcW w:w="1271" w:type="dxa"/>
            <w:shd w:val="clear" w:color="auto" w:fill="auto"/>
            <w:vAlign w:val="bottom"/>
          </w:tcPr>
          <w:p w14:paraId="0D0B342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–4 %</w:t>
            </w:r>
          </w:p>
        </w:tc>
      </w:tr>
      <w:tr w:rsidR="00F336EC" w:rsidRPr="0093506F" w14:paraId="4F3C1D19" w14:textId="77777777" w:rsidTr="006D46D8">
        <w:trPr>
          <w:gridAfter w:val="1"/>
          <w:wAfter w:w="8" w:type="dxa"/>
          <w:trHeight w:val="295"/>
        </w:trPr>
        <w:tc>
          <w:tcPr>
            <w:tcW w:w="3536" w:type="dxa"/>
            <w:shd w:val="clear" w:color="auto" w:fill="auto"/>
            <w:noWrap/>
            <w:vAlign w:val="center"/>
          </w:tcPr>
          <w:p w14:paraId="65C3F4DD"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Odpadki</w:t>
            </w:r>
          </w:p>
        </w:tc>
        <w:tc>
          <w:tcPr>
            <w:tcW w:w="992" w:type="dxa"/>
            <w:shd w:val="clear" w:color="auto" w:fill="auto"/>
            <w:noWrap/>
            <w:vAlign w:val="bottom"/>
          </w:tcPr>
          <w:p w14:paraId="2995B6BA"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828</w:t>
            </w:r>
          </w:p>
        </w:tc>
        <w:tc>
          <w:tcPr>
            <w:tcW w:w="992" w:type="dxa"/>
            <w:shd w:val="clear" w:color="auto" w:fill="auto"/>
            <w:vAlign w:val="bottom"/>
          </w:tcPr>
          <w:p w14:paraId="6F8FD26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440</w:t>
            </w:r>
          </w:p>
        </w:tc>
        <w:tc>
          <w:tcPr>
            <w:tcW w:w="849" w:type="dxa"/>
            <w:shd w:val="clear" w:color="auto" w:fill="auto"/>
            <w:noWrap/>
            <w:vAlign w:val="bottom"/>
          </w:tcPr>
          <w:p w14:paraId="7B87117A"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380</w:t>
            </w:r>
          </w:p>
        </w:tc>
        <w:tc>
          <w:tcPr>
            <w:tcW w:w="848" w:type="dxa"/>
            <w:shd w:val="clear" w:color="auto" w:fill="auto"/>
            <w:vAlign w:val="bottom"/>
          </w:tcPr>
          <w:p w14:paraId="07B67CB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354</w:t>
            </w:r>
          </w:p>
        </w:tc>
        <w:tc>
          <w:tcPr>
            <w:tcW w:w="851" w:type="dxa"/>
            <w:shd w:val="clear" w:color="auto" w:fill="auto"/>
            <w:vAlign w:val="bottom"/>
          </w:tcPr>
          <w:p w14:paraId="7EDB5B0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285</w:t>
            </w:r>
          </w:p>
        </w:tc>
        <w:tc>
          <w:tcPr>
            <w:tcW w:w="853" w:type="dxa"/>
            <w:shd w:val="clear" w:color="auto" w:fill="auto"/>
            <w:noWrap/>
            <w:vAlign w:val="bottom"/>
          </w:tcPr>
          <w:p w14:paraId="403F5676"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206</w:t>
            </w:r>
          </w:p>
        </w:tc>
        <w:tc>
          <w:tcPr>
            <w:tcW w:w="991" w:type="dxa"/>
            <w:shd w:val="clear" w:color="auto" w:fill="auto"/>
            <w:vAlign w:val="bottom"/>
          </w:tcPr>
          <w:p w14:paraId="58E4B4B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354</w:t>
            </w:r>
          </w:p>
        </w:tc>
        <w:tc>
          <w:tcPr>
            <w:tcW w:w="946" w:type="dxa"/>
            <w:shd w:val="clear" w:color="auto" w:fill="auto"/>
            <w:vAlign w:val="bottom"/>
          </w:tcPr>
          <w:p w14:paraId="58F5FE76"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285</w:t>
            </w:r>
          </w:p>
        </w:tc>
        <w:tc>
          <w:tcPr>
            <w:tcW w:w="898" w:type="dxa"/>
            <w:shd w:val="clear" w:color="auto" w:fill="auto"/>
            <w:vAlign w:val="bottom"/>
          </w:tcPr>
          <w:p w14:paraId="702FEC3A"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206</w:t>
            </w:r>
          </w:p>
        </w:tc>
        <w:tc>
          <w:tcPr>
            <w:tcW w:w="1271" w:type="dxa"/>
            <w:shd w:val="clear" w:color="auto" w:fill="auto"/>
            <w:vAlign w:val="bottom"/>
          </w:tcPr>
          <w:p w14:paraId="79865478"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–66 %</w:t>
            </w:r>
          </w:p>
        </w:tc>
        <w:tc>
          <w:tcPr>
            <w:tcW w:w="1271" w:type="dxa"/>
            <w:shd w:val="clear" w:color="auto" w:fill="auto"/>
            <w:vAlign w:val="bottom"/>
          </w:tcPr>
          <w:p w14:paraId="316372E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–66 %</w:t>
            </w:r>
          </w:p>
        </w:tc>
      </w:tr>
      <w:tr w:rsidR="00F336EC" w:rsidRPr="0093506F" w14:paraId="274B82DE" w14:textId="77777777" w:rsidTr="006D46D8">
        <w:trPr>
          <w:gridAfter w:val="1"/>
          <w:wAfter w:w="8" w:type="dxa"/>
          <w:trHeight w:val="295"/>
        </w:trPr>
        <w:tc>
          <w:tcPr>
            <w:tcW w:w="3536" w:type="dxa"/>
            <w:shd w:val="clear" w:color="auto" w:fill="auto"/>
            <w:noWrap/>
            <w:vAlign w:val="center"/>
          </w:tcPr>
          <w:p w14:paraId="50353AB9" w14:textId="77777777" w:rsidR="00F336EC" w:rsidRPr="007944FA" w:rsidRDefault="00F336EC" w:rsidP="00F336EC">
            <w:pPr>
              <w:spacing w:after="0" w:line="247" w:lineRule="auto"/>
              <w:jc w:val="right"/>
              <w:rPr>
                <w:rFonts w:ascii="Arial" w:eastAsia="Calibri" w:hAnsi="Arial" w:cs="Arial"/>
                <w:b/>
                <w:sz w:val="18"/>
                <w:szCs w:val="18"/>
              </w:rPr>
            </w:pPr>
            <w:r w:rsidRPr="007944FA">
              <w:rPr>
                <w:rFonts w:ascii="Arial" w:eastAsia="Calibri" w:hAnsi="Arial" w:cs="Arial"/>
                <w:b/>
                <w:sz w:val="18"/>
                <w:szCs w:val="18"/>
              </w:rPr>
              <w:t>SKUPAJ</w:t>
            </w:r>
          </w:p>
        </w:tc>
        <w:tc>
          <w:tcPr>
            <w:tcW w:w="992" w:type="dxa"/>
            <w:shd w:val="clear" w:color="auto" w:fill="auto"/>
            <w:noWrap/>
            <w:vAlign w:val="bottom"/>
          </w:tcPr>
          <w:p w14:paraId="251AA19A"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11.855</w:t>
            </w:r>
          </w:p>
        </w:tc>
        <w:tc>
          <w:tcPr>
            <w:tcW w:w="992" w:type="dxa"/>
            <w:shd w:val="clear" w:color="auto" w:fill="auto"/>
            <w:vAlign w:val="bottom"/>
          </w:tcPr>
          <w:p w14:paraId="09B654FC"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9834</w:t>
            </w:r>
          </w:p>
        </w:tc>
        <w:tc>
          <w:tcPr>
            <w:tcW w:w="849" w:type="dxa"/>
            <w:shd w:val="clear" w:color="auto" w:fill="auto"/>
            <w:noWrap/>
            <w:vAlign w:val="bottom"/>
          </w:tcPr>
          <w:p w14:paraId="32E6F854"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10.752</w:t>
            </w:r>
          </w:p>
        </w:tc>
        <w:tc>
          <w:tcPr>
            <w:tcW w:w="848" w:type="dxa"/>
            <w:shd w:val="clear" w:color="auto" w:fill="auto"/>
            <w:vAlign w:val="bottom"/>
          </w:tcPr>
          <w:p w14:paraId="61D16B81"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10.835</w:t>
            </w:r>
          </w:p>
        </w:tc>
        <w:tc>
          <w:tcPr>
            <w:tcW w:w="851" w:type="dxa"/>
            <w:shd w:val="clear" w:color="auto" w:fill="auto"/>
            <w:vAlign w:val="bottom"/>
          </w:tcPr>
          <w:p w14:paraId="3A162E86"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10.701</w:t>
            </w:r>
          </w:p>
        </w:tc>
        <w:tc>
          <w:tcPr>
            <w:tcW w:w="853" w:type="dxa"/>
            <w:shd w:val="clear" w:color="auto" w:fill="auto"/>
            <w:noWrap/>
            <w:vAlign w:val="bottom"/>
          </w:tcPr>
          <w:p w14:paraId="00038B6C"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8372</w:t>
            </w:r>
          </w:p>
        </w:tc>
        <w:tc>
          <w:tcPr>
            <w:tcW w:w="991" w:type="dxa"/>
            <w:shd w:val="clear" w:color="auto" w:fill="auto"/>
            <w:vAlign w:val="bottom"/>
          </w:tcPr>
          <w:p w14:paraId="23085F51"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10.528</w:t>
            </w:r>
          </w:p>
        </w:tc>
        <w:tc>
          <w:tcPr>
            <w:tcW w:w="946" w:type="dxa"/>
            <w:shd w:val="clear" w:color="auto" w:fill="auto"/>
            <w:vAlign w:val="bottom"/>
          </w:tcPr>
          <w:p w14:paraId="133D58EF"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8.446</w:t>
            </w:r>
          </w:p>
        </w:tc>
        <w:tc>
          <w:tcPr>
            <w:tcW w:w="898" w:type="dxa"/>
            <w:shd w:val="clear" w:color="auto" w:fill="auto"/>
            <w:vAlign w:val="bottom"/>
          </w:tcPr>
          <w:p w14:paraId="33897419"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4656</w:t>
            </w:r>
          </w:p>
        </w:tc>
        <w:tc>
          <w:tcPr>
            <w:tcW w:w="1271" w:type="dxa"/>
            <w:shd w:val="clear" w:color="auto" w:fill="auto"/>
            <w:vAlign w:val="bottom"/>
          </w:tcPr>
          <w:p w14:paraId="3B37A5CE"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–10 %</w:t>
            </w:r>
          </w:p>
        </w:tc>
        <w:tc>
          <w:tcPr>
            <w:tcW w:w="1271" w:type="dxa"/>
            <w:shd w:val="clear" w:color="auto" w:fill="auto"/>
            <w:vAlign w:val="bottom"/>
          </w:tcPr>
          <w:p w14:paraId="60E0B34D" w14:textId="77777777" w:rsidR="00F336EC" w:rsidRPr="007944FA" w:rsidRDefault="00F336EC" w:rsidP="00F336EC">
            <w:pPr>
              <w:spacing w:after="0" w:line="247" w:lineRule="auto"/>
              <w:jc w:val="right"/>
              <w:rPr>
                <w:rFonts w:ascii="Arial" w:eastAsia="Times New Roman" w:hAnsi="Arial" w:cs="Arial"/>
                <w:b/>
                <w:bCs/>
                <w:sz w:val="18"/>
                <w:szCs w:val="18"/>
              </w:rPr>
            </w:pPr>
            <w:r w:rsidRPr="007944FA">
              <w:rPr>
                <w:rFonts w:ascii="Arial" w:eastAsia="Times New Roman" w:hAnsi="Arial" w:cs="Arial"/>
                <w:b/>
                <w:bCs/>
                <w:color w:val="000000"/>
                <w:sz w:val="18"/>
                <w:szCs w:val="18"/>
              </w:rPr>
              <w:t>–29 %</w:t>
            </w:r>
          </w:p>
        </w:tc>
      </w:tr>
      <w:tr w:rsidR="00F336EC" w:rsidRPr="0093506F" w14:paraId="3D79FFD1" w14:textId="77777777" w:rsidTr="006D46D8">
        <w:trPr>
          <w:gridAfter w:val="1"/>
          <w:wAfter w:w="8" w:type="dxa"/>
          <w:trHeight w:val="295"/>
        </w:trPr>
        <w:tc>
          <w:tcPr>
            <w:tcW w:w="3536" w:type="dxa"/>
            <w:shd w:val="clear" w:color="auto" w:fill="auto"/>
            <w:noWrap/>
            <w:vAlign w:val="center"/>
          </w:tcPr>
          <w:p w14:paraId="16E835B9" w14:textId="77777777" w:rsidR="00F336EC" w:rsidRPr="007944FA" w:rsidRDefault="00F336EC" w:rsidP="00F336EC">
            <w:pPr>
              <w:spacing w:after="0" w:line="247" w:lineRule="auto"/>
              <w:jc w:val="right"/>
              <w:rPr>
                <w:rFonts w:ascii="Arial" w:eastAsia="Calibri" w:hAnsi="Arial" w:cs="Arial"/>
                <w:sz w:val="18"/>
                <w:szCs w:val="18"/>
              </w:rPr>
            </w:pPr>
            <w:r w:rsidRPr="007944FA">
              <w:rPr>
                <w:rFonts w:ascii="Arial" w:eastAsia="Calibri" w:hAnsi="Arial" w:cs="Arial"/>
                <w:sz w:val="18"/>
                <w:szCs w:val="18"/>
              </w:rPr>
              <w:t>Ciljna trajektorija in CILJ 2030</w:t>
            </w:r>
          </w:p>
        </w:tc>
        <w:tc>
          <w:tcPr>
            <w:tcW w:w="992" w:type="dxa"/>
            <w:shd w:val="clear" w:color="auto" w:fill="auto"/>
            <w:noWrap/>
            <w:vAlign w:val="bottom"/>
          </w:tcPr>
          <w:p w14:paraId="6561C116"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 </w:t>
            </w:r>
          </w:p>
        </w:tc>
        <w:tc>
          <w:tcPr>
            <w:tcW w:w="992" w:type="dxa"/>
            <w:shd w:val="clear" w:color="auto" w:fill="auto"/>
            <w:vAlign w:val="bottom"/>
          </w:tcPr>
          <w:p w14:paraId="723962B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12.307 </w:t>
            </w:r>
          </w:p>
        </w:tc>
        <w:tc>
          <w:tcPr>
            <w:tcW w:w="849" w:type="dxa"/>
            <w:shd w:val="clear" w:color="auto" w:fill="auto"/>
            <w:noWrap/>
            <w:vAlign w:val="bottom"/>
          </w:tcPr>
          <w:p w14:paraId="1E8E3FF6"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11.108</w:t>
            </w:r>
          </w:p>
        </w:tc>
        <w:tc>
          <w:tcPr>
            <w:tcW w:w="848" w:type="dxa"/>
            <w:shd w:val="clear" w:color="auto" w:fill="auto"/>
            <w:vAlign w:val="bottom"/>
          </w:tcPr>
          <w:p w14:paraId="52387C8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10.217</w:t>
            </w:r>
          </w:p>
        </w:tc>
        <w:tc>
          <w:tcPr>
            <w:tcW w:w="851" w:type="dxa"/>
            <w:shd w:val="clear" w:color="auto" w:fill="auto"/>
            <w:vAlign w:val="bottom"/>
          </w:tcPr>
          <w:p w14:paraId="5C0E6823"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8633</w:t>
            </w:r>
          </w:p>
        </w:tc>
        <w:tc>
          <w:tcPr>
            <w:tcW w:w="853" w:type="dxa"/>
            <w:shd w:val="clear" w:color="auto" w:fill="auto"/>
            <w:noWrap/>
            <w:vAlign w:val="bottom"/>
          </w:tcPr>
          <w:p w14:paraId="2FBDF4C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 </w:t>
            </w:r>
          </w:p>
        </w:tc>
        <w:tc>
          <w:tcPr>
            <w:tcW w:w="991" w:type="dxa"/>
            <w:shd w:val="clear" w:color="auto" w:fill="auto"/>
            <w:vAlign w:val="bottom"/>
          </w:tcPr>
          <w:p w14:paraId="25649657"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10.217</w:t>
            </w:r>
          </w:p>
        </w:tc>
        <w:tc>
          <w:tcPr>
            <w:tcW w:w="946" w:type="dxa"/>
            <w:shd w:val="clear" w:color="auto" w:fill="auto"/>
            <w:vAlign w:val="bottom"/>
          </w:tcPr>
          <w:p w14:paraId="1EE860D9"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8633</w:t>
            </w:r>
          </w:p>
        </w:tc>
        <w:tc>
          <w:tcPr>
            <w:tcW w:w="898" w:type="dxa"/>
            <w:shd w:val="clear" w:color="auto" w:fill="auto"/>
            <w:vAlign w:val="bottom"/>
          </w:tcPr>
          <w:p w14:paraId="53D8251F"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 </w:t>
            </w:r>
          </w:p>
        </w:tc>
        <w:tc>
          <w:tcPr>
            <w:tcW w:w="1271" w:type="dxa"/>
            <w:shd w:val="clear" w:color="auto" w:fill="auto"/>
            <w:vAlign w:val="bottom"/>
          </w:tcPr>
          <w:p w14:paraId="2614EA42"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 </w:t>
            </w:r>
          </w:p>
        </w:tc>
        <w:tc>
          <w:tcPr>
            <w:tcW w:w="1271" w:type="dxa"/>
            <w:shd w:val="clear" w:color="auto" w:fill="auto"/>
            <w:vAlign w:val="bottom"/>
          </w:tcPr>
          <w:p w14:paraId="0B6BB135" w14:textId="77777777" w:rsidR="00F336EC" w:rsidRPr="007944FA" w:rsidRDefault="00F336EC" w:rsidP="00F336EC">
            <w:pPr>
              <w:spacing w:after="0" w:line="247" w:lineRule="auto"/>
              <w:jc w:val="right"/>
              <w:rPr>
                <w:rFonts w:ascii="Arial" w:eastAsia="Times New Roman" w:hAnsi="Arial" w:cs="Arial"/>
                <w:sz w:val="18"/>
                <w:szCs w:val="18"/>
              </w:rPr>
            </w:pPr>
            <w:r w:rsidRPr="007944FA">
              <w:rPr>
                <w:rFonts w:ascii="Arial" w:eastAsia="Times New Roman" w:hAnsi="Arial" w:cs="Arial"/>
                <w:color w:val="000000"/>
                <w:sz w:val="18"/>
                <w:szCs w:val="18"/>
              </w:rPr>
              <w:t xml:space="preserve"> </w:t>
            </w:r>
          </w:p>
        </w:tc>
      </w:tr>
    </w:tbl>
    <w:p w14:paraId="0C57CC4C" w14:textId="77777777" w:rsidR="00F336EC" w:rsidRPr="007944FA" w:rsidRDefault="00F336EC" w:rsidP="00F336EC">
      <w:pPr>
        <w:spacing w:after="120" w:line="245" w:lineRule="auto"/>
        <w:jc w:val="both"/>
        <w:rPr>
          <w:rFonts w:ascii="Arial" w:eastAsia="Times New Roman" w:hAnsi="Arial" w:cs="Times New Roman"/>
          <w:szCs w:val="20"/>
          <w:lang w:eastAsia="sl-SI"/>
        </w:rPr>
      </w:pPr>
    </w:p>
    <w:p w14:paraId="1F452B25" w14:textId="3E4E49FB" w:rsidR="00F336EC" w:rsidRPr="007944FA" w:rsidRDefault="002F38E7" w:rsidP="002F38E7">
      <w:pPr>
        <w:pStyle w:val="nikatabelee"/>
        <w:rPr>
          <w:lang w:eastAsia="sl-SI"/>
        </w:rPr>
        <w:sectPr w:rsidR="00F336EC" w:rsidRPr="007944FA" w:rsidSect="00F336EC">
          <w:pgSz w:w="16840" w:h="11907" w:orient="landscape" w:code="9"/>
          <w:pgMar w:top="1797" w:right="1417" w:bottom="1797" w:left="1258" w:header="709" w:footer="709" w:gutter="0"/>
          <w:cols w:space="708"/>
          <w:docGrid w:linePitch="360"/>
        </w:sectPr>
      </w:pPr>
      <w:bookmarkStart w:id="162" w:name="_Toc193195400"/>
      <w:r w:rsidRPr="007944FA">
        <w:rPr>
          <w:lang w:eastAsia="sl-SI"/>
        </w:rPr>
        <w:t>Preglednica 15</w:t>
      </w:r>
      <w:r w:rsidR="00F336EC" w:rsidRPr="007944FA">
        <w:rPr>
          <w:lang w:eastAsia="sl-SI"/>
        </w:rPr>
        <w:t>: Emisije virov, ki niso vključeni v EU ETS (neETS), v letih 2005, 2020, 2022 in projekcija z ukrepi ter z dodatnimi ukrepi do leta 2040</w:t>
      </w:r>
      <w:bookmarkEnd w:id="162"/>
    </w:p>
    <w:p w14:paraId="3439509D" w14:textId="77777777" w:rsidR="00F336EC" w:rsidRPr="007944FA" w:rsidRDefault="00F336EC" w:rsidP="00F336EC">
      <w:pPr>
        <w:rPr>
          <w:rFonts w:ascii="Arial" w:hAnsi="Arial" w:cs="Arial"/>
          <w:b/>
          <w:bCs/>
          <w:i/>
          <w:iCs/>
          <w:sz w:val="18"/>
          <w:szCs w:val="18"/>
        </w:rPr>
      </w:pPr>
    </w:p>
    <w:p w14:paraId="7E9EE09C" w14:textId="3AD9E865" w:rsidR="006E07EE" w:rsidRPr="007944FA" w:rsidRDefault="006E07EE" w:rsidP="006E07EE">
      <w:pPr>
        <w:pStyle w:val="Heading3"/>
      </w:pPr>
      <w:bookmarkStart w:id="163" w:name="_Toc196300831"/>
      <w:r w:rsidRPr="007944FA">
        <w:t>II.F.7 Primerjava s projekcijami v predhodnih poročilih</w:t>
      </w:r>
      <w:bookmarkEnd w:id="163"/>
    </w:p>
    <w:p w14:paraId="4929E60B"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Projekciji z ukrepi in z dodatnimi ukrepi iz VI. nacionalnega poročila sta po pričakovanjih višji od zadnjih projekcij. Glavni vzrok za nižje emisije v letu 2015 v novejših projekcijah so dolgotrajnejša gospodarska kriza, ki je vplivala na nižje emisije v sektorjih industrija in promet, hitrejša zamenjava kurilnega olja zlasti z lesno biomaso v gospodinjstvih in storitvah ter nižje emisije v transformacijah. V prometu je pomemben tudi vpliv spremenjenih razmerij med cenami pogonskih goriv v Sloveniji in sosednjih državah, saj delež tujih vozil, ki kupijo gorivo v Sloveniji, pada. Poleg tega so bile nižje emisije tudi v kmetijstvu, zlasti zaradi manjšega števila živali, in v odpadkih zaradi hitrejšega izvajanja ukrepov od predvidenega (hitrejšega zniževanja količine odloženih biorazgradljivih odpadkov). Izvajanje ukrepov po letu 2020 je v starejših projekcijah podobno, saj so emisije leta 2030 glede na emisije leta 2020 v vseh treh projekcijah (VI. NC in BR2) nižje za 6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7 %, v projekciji iz 7. Nacionalnega poročila pa so emisije nižje za 9 %. Emisije po projekcijah z ukrepi in z dodatnimi ukrepi, predstavljene v BR 4 in 8. nacionalnem poročilu, so zelo podobne, zato so prikazane kot ena projekcija. Te projekcije od predhodnih odstopajo zlasti v projekciji z dodatnimi ukrepi, ki odraža večjo ambicioznost glede ciljev zmanjšanja emisij v skladu s Pariškim sporazumom. To se pozna že leta 2030, ko so projekcije glede na leto 2020 nižje za več kot 20 %. Projekcije, predstavljene v tem poročilu, so v projekciji z dodatnimi ukrepi nižje od predhodnih po letu 2030, večja razlika pa je pri projekciji z ukrepi, kar je pričakovano, saj se z vsako projekcijo upošteva več izvedenih oz</w:t>
      </w:r>
      <w:r w:rsidRPr="007944FA">
        <w:rPr>
          <w:rFonts w:ascii="Arial" w:eastAsia="Palatino Linotype" w:hAnsi="Arial" w:cs="Arial"/>
          <w:szCs w:val="20"/>
          <w:lang w:eastAsia="sl-SI"/>
        </w:rPr>
        <w:t>iroma</w:t>
      </w:r>
      <w:r w:rsidRPr="007944FA">
        <w:rPr>
          <w:rFonts w:ascii="Arial" w:eastAsia="Times New Roman" w:hAnsi="Arial" w:cs="Times New Roman"/>
          <w:szCs w:val="20"/>
          <w:lang w:eastAsia="sl-SI"/>
        </w:rPr>
        <w:t xml:space="preserve"> sprejetih ukrepov.</w:t>
      </w:r>
    </w:p>
    <w:p w14:paraId="5BC8A11E" w14:textId="02C6D95E" w:rsidR="00F336EC" w:rsidRPr="007944FA" w:rsidRDefault="00BD3613" w:rsidP="00F336EC">
      <w:pPr>
        <w:jc w:val="center"/>
      </w:pPr>
      <w:r w:rsidRPr="007944FA">
        <w:rPr>
          <w:noProof/>
          <w:lang w:eastAsia="sl-SI"/>
        </w:rPr>
        <w:drawing>
          <wp:inline distT="0" distB="0" distL="0" distR="0" wp14:anchorId="35EC5F68" wp14:editId="75B93E55">
            <wp:extent cx="5760720" cy="266827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2668270"/>
                    </a:xfrm>
                    <a:prstGeom prst="rect">
                      <a:avLst/>
                    </a:prstGeom>
                    <a:noFill/>
                    <a:ln>
                      <a:noFill/>
                    </a:ln>
                  </pic:spPr>
                </pic:pic>
              </a:graphicData>
            </a:graphic>
          </wp:inline>
        </w:drawing>
      </w:r>
    </w:p>
    <w:p w14:paraId="767B8F60" w14:textId="7D384451" w:rsidR="00F336EC" w:rsidRPr="007944FA" w:rsidRDefault="00F336EC" w:rsidP="0091142E">
      <w:pPr>
        <w:pStyle w:val="NIKASLIKE"/>
      </w:pPr>
      <w:bookmarkStart w:id="164" w:name="_Toc193194003"/>
      <w:r w:rsidRPr="007944FA">
        <w:t>Slika 30: Primerjava projekcij iz VI. nacionalnega poročila (VI. NC), drugega dveletnega poročila (BR 2), VII. nacionalnega poročila (VII. NC) in skupnih projekcij četrtega dveletnega poročila ter VIII. nacionalnega poročila (BR 4 in VIII. NC) s projekcijami v tem poročilu (BTR 1)</w:t>
      </w:r>
      <w:bookmarkEnd w:id="164"/>
    </w:p>
    <w:p w14:paraId="0C246770" w14:textId="2354C9CB" w:rsidR="006E07EE" w:rsidRPr="007944FA" w:rsidRDefault="006E07EE" w:rsidP="006E07EE">
      <w:pPr>
        <w:pStyle w:val="Heading3"/>
      </w:pPr>
      <w:bookmarkStart w:id="165" w:name="_Toc196300832"/>
      <w:r w:rsidRPr="007944FA">
        <w:t>II.F.8. Ključni parametri</w:t>
      </w:r>
      <w:bookmarkEnd w:id="165"/>
    </w:p>
    <w:p w14:paraId="06CE3C34" w14:textId="77777777" w:rsidR="00F336EC" w:rsidRPr="007944FA" w:rsidRDefault="00F336EC" w:rsidP="002419BE">
      <w:pPr>
        <w:jc w:val="both"/>
        <w:rPr>
          <w:rFonts w:ascii="Arial" w:hAnsi="Arial" w:cs="Arial"/>
        </w:rPr>
      </w:pPr>
      <w:r w:rsidRPr="007944FA">
        <w:rPr>
          <w:rFonts w:ascii="Arial" w:hAnsi="Arial" w:cs="Arial"/>
        </w:rPr>
        <w:t>Ključni parametri projekcij so podrobno opisani v D</w:t>
      </w:r>
      <w:hyperlink r:id="rId63" w:tgtFrame="_blank" w:history="1">
        <w:r w:rsidRPr="007944FA">
          <w:rPr>
            <w:rFonts w:ascii="Arial" w:hAnsi="Arial" w:cs="Arial"/>
          </w:rPr>
          <w:t>opolnjenem Končnem poročilu o posodobljenih strokovnih podlagah NEPN</w:t>
        </w:r>
      </w:hyperlink>
      <w:r w:rsidRPr="007944FA">
        <w:rPr>
          <w:rFonts w:ascii="Arial" w:hAnsi="Arial" w:cs="Arial"/>
        </w:rPr>
        <w:t>.</w:t>
      </w:r>
      <w:r w:rsidRPr="007944FA">
        <w:rPr>
          <w:rStyle w:val="FootnoteReference"/>
          <w:rFonts w:ascii="Arial" w:hAnsi="Arial" w:cs="Arial"/>
        </w:rPr>
        <w:footnoteReference w:id="93"/>
      </w:r>
      <w:r w:rsidRPr="007944FA">
        <w:rPr>
          <w:rFonts w:ascii="Arial" w:hAnsi="Arial" w:cs="Arial"/>
        </w:rPr>
        <w:t>.</w:t>
      </w:r>
    </w:p>
    <w:p w14:paraId="21D92B09" w14:textId="18C0635F" w:rsidR="00F336EC" w:rsidRPr="007944FA" w:rsidRDefault="00F336EC" w:rsidP="002419BE">
      <w:pPr>
        <w:jc w:val="both"/>
        <w:rPr>
          <w:rFonts w:ascii="Arial" w:hAnsi="Arial" w:cs="Arial"/>
        </w:rPr>
      </w:pPr>
      <w:r w:rsidRPr="007944FA">
        <w:rPr>
          <w:rFonts w:ascii="Arial" w:hAnsi="Arial" w:cs="Arial"/>
        </w:rPr>
        <w:t xml:space="preserve">Izbrani ključni parametri projekcij so navedeni tudi v CTF </w:t>
      </w:r>
      <w:r w:rsidR="002146B5" w:rsidRPr="007944FA">
        <w:rPr>
          <w:rFonts w:ascii="Arial" w:hAnsi="Arial" w:cs="Arial"/>
        </w:rPr>
        <w:t>preglednicah</w:t>
      </w:r>
      <w:r w:rsidR="004D7C9F" w:rsidRPr="007944FA">
        <w:rPr>
          <w:rFonts w:ascii="Arial" w:hAnsi="Arial" w:cs="Arial"/>
        </w:rPr>
        <w:t xml:space="preserve">, </w:t>
      </w:r>
      <w:r w:rsidRPr="007944FA">
        <w:rPr>
          <w:rFonts w:ascii="Arial" w:hAnsi="Arial" w:cs="Arial"/>
        </w:rPr>
        <w:t xml:space="preserve">ki skupaj z besedilom tvorijo BTR. </w:t>
      </w:r>
    </w:p>
    <w:p w14:paraId="3AF58E0D" w14:textId="1B4ACFD1" w:rsidR="006E07EE" w:rsidRPr="007944FA" w:rsidRDefault="006E07EE" w:rsidP="006E07EE">
      <w:pPr>
        <w:pStyle w:val="Heading3"/>
      </w:pPr>
      <w:bookmarkStart w:id="166" w:name="_Toc196300833"/>
      <w:r w:rsidRPr="007944FA">
        <w:lastRenderedPageBreak/>
        <w:t>II.F.9. Občutljivost projekcij</w:t>
      </w:r>
      <w:bookmarkEnd w:id="166"/>
    </w:p>
    <w:p w14:paraId="20754A68" w14:textId="77777777"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 xml:space="preserve">V Sloveniji je najbolj negotov razvoj sektorja promet, ki je obenem najpomembnejši vir skupnih emisij in emisij sektorja neETS, zato je bila zanj narejena analiza občutljivosti, in sicer sta bila ocenjena vpliv različnih scenarijev razvoja tranzita ter primerjava vpliva različnih scenarijev izvajanja ukrepov prometne in okolijske politike v prometnem sektorju. </w:t>
      </w:r>
    </w:p>
    <w:tbl>
      <w:tblPr>
        <w:tblW w:w="7899"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614"/>
        <w:gridCol w:w="857"/>
        <w:gridCol w:w="857"/>
        <w:gridCol w:w="857"/>
        <w:gridCol w:w="857"/>
        <w:gridCol w:w="857"/>
      </w:tblGrid>
      <w:tr w:rsidR="00F336EC" w:rsidRPr="0093506F" w14:paraId="04B4ABC2" w14:textId="77777777" w:rsidTr="00F336EC">
        <w:trPr>
          <w:trHeight w:val="264"/>
        </w:trPr>
        <w:tc>
          <w:tcPr>
            <w:tcW w:w="3614" w:type="dxa"/>
            <w:noWrap/>
            <w:vAlign w:val="bottom"/>
          </w:tcPr>
          <w:p w14:paraId="5EDCE5C9" w14:textId="77777777" w:rsidR="00F336EC" w:rsidRPr="007944FA" w:rsidRDefault="00F336EC" w:rsidP="006D46D8">
            <w:pPr>
              <w:pStyle w:val="tabela-9pt"/>
              <w:keepNext/>
              <w:keepLines/>
              <w:rPr>
                <w:rFonts w:ascii="Arial" w:hAnsi="Arial" w:cs="Arial"/>
                <w:szCs w:val="18"/>
              </w:rPr>
            </w:pPr>
            <w:r w:rsidRPr="007944FA">
              <w:rPr>
                <w:rFonts w:ascii="Arial" w:hAnsi="Arial" w:cs="Arial"/>
                <w:szCs w:val="18"/>
              </w:rPr>
              <w:t>[%]</w:t>
            </w:r>
          </w:p>
        </w:tc>
        <w:tc>
          <w:tcPr>
            <w:tcW w:w="857" w:type="dxa"/>
          </w:tcPr>
          <w:p w14:paraId="5B682FA1"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2020</w:t>
            </w:r>
          </w:p>
        </w:tc>
        <w:tc>
          <w:tcPr>
            <w:tcW w:w="857" w:type="dxa"/>
          </w:tcPr>
          <w:p w14:paraId="46F81BA3"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2025</w:t>
            </w:r>
          </w:p>
        </w:tc>
        <w:tc>
          <w:tcPr>
            <w:tcW w:w="857" w:type="dxa"/>
            <w:vAlign w:val="center"/>
          </w:tcPr>
          <w:p w14:paraId="3749287D"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2030</w:t>
            </w:r>
          </w:p>
        </w:tc>
        <w:tc>
          <w:tcPr>
            <w:tcW w:w="857" w:type="dxa"/>
            <w:noWrap/>
            <w:vAlign w:val="center"/>
          </w:tcPr>
          <w:p w14:paraId="0CA308F2"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2035</w:t>
            </w:r>
          </w:p>
        </w:tc>
        <w:tc>
          <w:tcPr>
            <w:tcW w:w="857" w:type="dxa"/>
          </w:tcPr>
          <w:p w14:paraId="659AF4F8"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2040</w:t>
            </w:r>
          </w:p>
        </w:tc>
      </w:tr>
      <w:tr w:rsidR="00F336EC" w:rsidRPr="0093506F" w14:paraId="2F342817" w14:textId="77777777" w:rsidTr="00F336EC">
        <w:trPr>
          <w:trHeight w:val="264"/>
        </w:trPr>
        <w:tc>
          <w:tcPr>
            <w:tcW w:w="3614" w:type="dxa"/>
            <w:noWrap/>
            <w:vAlign w:val="center"/>
          </w:tcPr>
          <w:p w14:paraId="222DE6E7"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ukrepi (O1)</w:t>
            </w:r>
          </w:p>
        </w:tc>
        <w:tc>
          <w:tcPr>
            <w:tcW w:w="857" w:type="dxa"/>
            <w:vAlign w:val="bottom"/>
          </w:tcPr>
          <w:p w14:paraId="55FFF2F3"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718359C"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130</w:t>
            </w:r>
          </w:p>
        </w:tc>
        <w:tc>
          <w:tcPr>
            <w:tcW w:w="857" w:type="dxa"/>
            <w:vAlign w:val="bottom"/>
          </w:tcPr>
          <w:p w14:paraId="56CD79A3"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134</w:t>
            </w:r>
          </w:p>
        </w:tc>
        <w:tc>
          <w:tcPr>
            <w:tcW w:w="857" w:type="dxa"/>
            <w:noWrap/>
            <w:vAlign w:val="bottom"/>
          </w:tcPr>
          <w:p w14:paraId="23C0457F"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120</w:t>
            </w:r>
          </w:p>
        </w:tc>
        <w:tc>
          <w:tcPr>
            <w:tcW w:w="857" w:type="dxa"/>
            <w:vAlign w:val="bottom"/>
          </w:tcPr>
          <w:p w14:paraId="2236E677"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98</w:t>
            </w:r>
          </w:p>
        </w:tc>
      </w:tr>
      <w:tr w:rsidR="00F336EC" w:rsidRPr="0093506F" w14:paraId="308D72C9" w14:textId="77777777" w:rsidTr="00F336EC">
        <w:trPr>
          <w:trHeight w:val="264"/>
        </w:trPr>
        <w:tc>
          <w:tcPr>
            <w:tcW w:w="3614" w:type="dxa"/>
            <w:noWrap/>
            <w:vAlign w:val="center"/>
          </w:tcPr>
          <w:p w14:paraId="7EF2D16B"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(O2)</w:t>
            </w:r>
          </w:p>
        </w:tc>
        <w:tc>
          <w:tcPr>
            <w:tcW w:w="857" w:type="dxa"/>
            <w:vAlign w:val="bottom"/>
          </w:tcPr>
          <w:p w14:paraId="4458F89F"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2446C441"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126</w:t>
            </w:r>
          </w:p>
        </w:tc>
        <w:tc>
          <w:tcPr>
            <w:tcW w:w="857" w:type="dxa"/>
            <w:vAlign w:val="bottom"/>
          </w:tcPr>
          <w:p w14:paraId="49E3B8F2"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94</w:t>
            </w:r>
          </w:p>
        </w:tc>
        <w:tc>
          <w:tcPr>
            <w:tcW w:w="857" w:type="dxa"/>
            <w:noWrap/>
            <w:vAlign w:val="bottom"/>
          </w:tcPr>
          <w:p w14:paraId="403AF2C2"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62</w:t>
            </w:r>
          </w:p>
        </w:tc>
        <w:tc>
          <w:tcPr>
            <w:tcW w:w="857" w:type="dxa"/>
            <w:vAlign w:val="bottom"/>
          </w:tcPr>
          <w:p w14:paraId="307FC3F6"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36</w:t>
            </w:r>
          </w:p>
        </w:tc>
      </w:tr>
      <w:tr w:rsidR="00F336EC" w:rsidRPr="0093506F" w14:paraId="521E994D" w14:textId="77777777" w:rsidTr="00F336EC">
        <w:trPr>
          <w:trHeight w:val="264"/>
        </w:trPr>
        <w:tc>
          <w:tcPr>
            <w:tcW w:w="3614" w:type="dxa"/>
            <w:noWrap/>
            <w:vAlign w:val="center"/>
          </w:tcPr>
          <w:p w14:paraId="3D794842"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Nižji obseg dodatnih ukrepov (O3)</w:t>
            </w:r>
          </w:p>
        </w:tc>
        <w:tc>
          <w:tcPr>
            <w:tcW w:w="857" w:type="dxa"/>
            <w:vAlign w:val="bottom"/>
          </w:tcPr>
          <w:p w14:paraId="70D5F180"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A9EC06C"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126</w:t>
            </w:r>
          </w:p>
        </w:tc>
        <w:tc>
          <w:tcPr>
            <w:tcW w:w="857" w:type="dxa"/>
            <w:vAlign w:val="bottom"/>
          </w:tcPr>
          <w:p w14:paraId="1748D211"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99</w:t>
            </w:r>
          </w:p>
        </w:tc>
        <w:tc>
          <w:tcPr>
            <w:tcW w:w="857" w:type="dxa"/>
            <w:noWrap/>
            <w:vAlign w:val="bottom"/>
          </w:tcPr>
          <w:p w14:paraId="5FAFA00E"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67</w:t>
            </w:r>
          </w:p>
        </w:tc>
        <w:tc>
          <w:tcPr>
            <w:tcW w:w="857" w:type="dxa"/>
            <w:vAlign w:val="bottom"/>
          </w:tcPr>
          <w:p w14:paraId="6F9C16AB"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40</w:t>
            </w:r>
          </w:p>
        </w:tc>
      </w:tr>
      <w:tr w:rsidR="00F336EC" w:rsidRPr="0093506F" w14:paraId="65F9140C" w14:textId="77777777" w:rsidTr="00F336EC">
        <w:trPr>
          <w:trHeight w:val="264"/>
        </w:trPr>
        <w:tc>
          <w:tcPr>
            <w:tcW w:w="3614" w:type="dxa"/>
            <w:noWrap/>
            <w:vAlign w:val="center"/>
          </w:tcPr>
          <w:p w14:paraId="7AEC107C"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z nižjim deležem biogoriv (O4)</w:t>
            </w:r>
          </w:p>
        </w:tc>
        <w:tc>
          <w:tcPr>
            <w:tcW w:w="857" w:type="dxa"/>
            <w:vAlign w:val="bottom"/>
          </w:tcPr>
          <w:p w14:paraId="4D416C5E"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61E72DC9"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126</w:t>
            </w:r>
          </w:p>
        </w:tc>
        <w:tc>
          <w:tcPr>
            <w:tcW w:w="857" w:type="dxa"/>
            <w:vAlign w:val="bottom"/>
          </w:tcPr>
          <w:p w14:paraId="7CD4577A"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101</w:t>
            </w:r>
          </w:p>
        </w:tc>
        <w:tc>
          <w:tcPr>
            <w:tcW w:w="857" w:type="dxa"/>
            <w:noWrap/>
            <w:vAlign w:val="bottom"/>
          </w:tcPr>
          <w:p w14:paraId="792CCCE4"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67</w:t>
            </w:r>
          </w:p>
        </w:tc>
        <w:tc>
          <w:tcPr>
            <w:tcW w:w="857" w:type="dxa"/>
            <w:vAlign w:val="bottom"/>
          </w:tcPr>
          <w:p w14:paraId="46BD447C"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39</w:t>
            </w:r>
          </w:p>
        </w:tc>
      </w:tr>
      <w:tr w:rsidR="00F336EC" w:rsidRPr="0093506F" w14:paraId="3F99A186" w14:textId="77777777" w:rsidTr="00F336EC">
        <w:trPr>
          <w:trHeight w:val="264"/>
        </w:trPr>
        <w:tc>
          <w:tcPr>
            <w:tcW w:w="3614" w:type="dxa"/>
            <w:noWrap/>
            <w:vAlign w:val="center"/>
          </w:tcPr>
          <w:p w14:paraId="1F8309BF"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brez ukinitve vračila trošarin za komercialni prevoz blaga in potnikov (O5)</w:t>
            </w:r>
          </w:p>
        </w:tc>
        <w:tc>
          <w:tcPr>
            <w:tcW w:w="857" w:type="dxa"/>
            <w:vAlign w:val="bottom"/>
          </w:tcPr>
          <w:p w14:paraId="0119A1C2"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F5F39E3"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127</w:t>
            </w:r>
          </w:p>
        </w:tc>
        <w:tc>
          <w:tcPr>
            <w:tcW w:w="857" w:type="dxa"/>
            <w:vAlign w:val="bottom"/>
          </w:tcPr>
          <w:p w14:paraId="133C8BF7"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107</w:t>
            </w:r>
          </w:p>
        </w:tc>
        <w:tc>
          <w:tcPr>
            <w:tcW w:w="857" w:type="dxa"/>
            <w:noWrap/>
            <w:vAlign w:val="bottom"/>
          </w:tcPr>
          <w:p w14:paraId="14D24126"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70</w:t>
            </w:r>
          </w:p>
        </w:tc>
        <w:tc>
          <w:tcPr>
            <w:tcW w:w="857" w:type="dxa"/>
            <w:vAlign w:val="bottom"/>
          </w:tcPr>
          <w:p w14:paraId="611A0E0B"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40</w:t>
            </w:r>
          </w:p>
        </w:tc>
      </w:tr>
      <w:tr w:rsidR="00F336EC" w:rsidRPr="0093506F" w14:paraId="6553E1F6" w14:textId="77777777" w:rsidTr="00F336EC">
        <w:trPr>
          <w:trHeight w:val="264"/>
        </w:trPr>
        <w:tc>
          <w:tcPr>
            <w:tcW w:w="3614" w:type="dxa"/>
            <w:noWrap/>
            <w:vAlign w:val="center"/>
          </w:tcPr>
          <w:p w14:paraId="03D6703E" w14:textId="77777777" w:rsidR="00F336EC" w:rsidRPr="007944FA" w:rsidRDefault="00F336EC" w:rsidP="006D46D8">
            <w:pPr>
              <w:pStyle w:val="TEKSTTabela"/>
              <w:rPr>
                <w:rFonts w:ascii="Arial" w:hAnsi="Arial" w:cs="Arial"/>
                <w:sz w:val="18"/>
                <w:szCs w:val="18"/>
              </w:rPr>
            </w:pPr>
            <w:r w:rsidRPr="007944FA">
              <w:rPr>
                <w:rFonts w:ascii="Arial" w:hAnsi="Arial" w:cs="Arial"/>
                <w:sz w:val="18"/>
                <w:szCs w:val="18"/>
              </w:rPr>
              <w:t>Projekcija z dodatnimi ukrepi z nižjim deležem biogoriv in visokim deležem tujih vozil, ki kupijo gorivo v Sloveniji (O6)</w:t>
            </w:r>
          </w:p>
        </w:tc>
        <w:tc>
          <w:tcPr>
            <w:tcW w:w="857" w:type="dxa"/>
            <w:vAlign w:val="bottom"/>
          </w:tcPr>
          <w:p w14:paraId="549CB6D7"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1B1F386A"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149</w:t>
            </w:r>
          </w:p>
        </w:tc>
        <w:tc>
          <w:tcPr>
            <w:tcW w:w="857" w:type="dxa"/>
            <w:vAlign w:val="bottom"/>
          </w:tcPr>
          <w:p w14:paraId="17C3F9FA"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121</w:t>
            </w:r>
          </w:p>
        </w:tc>
        <w:tc>
          <w:tcPr>
            <w:tcW w:w="857" w:type="dxa"/>
            <w:noWrap/>
            <w:vAlign w:val="bottom"/>
          </w:tcPr>
          <w:p w14:paraId="54599987"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81</w:t>
            </w:r>
          </w:p>
        </w:tc>
        <w:tc>
          <w:tcPr>
            <w:tcW w:w="857" w:type="dxa"/>
            <w:vAlign w:val="bottom"/>
          </w:tcPr>
          <w:p w14:paraId="0C63A23E"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46</w:t>
            </w:r>
          </w:p>
        </w:tc>
      </w:tr>
    </w:tbl>
    <w:p w14:paraId="327DB30D" w14:textId="5003E358" w:rsidR="00F336EC" w:rsidRPr="007944FA" w:rsidRDefault="002F38E7" w:rsidP="002F38E7">
      <w:pPr>
        <w:pStyle w:val="nikatabelee"/>
      </w:pPr>
      <w:bookmarkStart w:id="167" w:name="_Toc193195401"/>
      <w:r w:rsidRPr="007944FA">
        <w:t>Preglednica 16</w:t>
      </w:r>
      <w:r w:rsidR="00F336EC" w:rsidRPr="007944FA">
        <w:t>: Občutljivost projekcij emisij TGP v sektorju promet glede na predvidevanja glede tranzitnega prometa in izvajanja ukrepov v prometu</w:t>
      </w:r>
      <w:bookmarkEnd w:id="167"/>
    </w:p>
    <w:p w14:paraId="302AD10E" w14:textId="0411B55D"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Projekcija z ukrepi ima najvišje emisije po primerjanih scenarijih za analizo občutljivosti. Rezultati so primerjani z emisijami leta 2020, ki so bile zelo nizke zaradi vpliva ukrepov ob širjenju virusa SARS-Co</w:t>
      </w:r>
      <w:r w:rsidR="002146B5" w:rsidRPr="007944FA">
        <w:rPr>
          <w:rFonts w:ascii="Arial" w:eastAsia="Times New Roman" w:hAnsi="Arial" w:cs="Times New Roman"/>
          <w:szCs w:val="20"/>
          <w:lang w:eastAsia="sl-SI"/>
        </w:rPr>
        <w:t>V</w:t>
      </w:r>
      <w:r w:rsidRPr="007944FA">
        <w:rPr>
          <w:rFonts w:ascii="Arial" w:eastAsia="Times New Roman" w:hAnsi="Arial" w:cs="Times New Roman"/>
          <w:szCs w:val="20"/>
          <w:lang w:eastAsia="sl-SI"/>
        </w:rPr>
        <w:t>-2, zato je rahlo zavajajoče, da emisije do leta 2030 v nekaterih scenarijih zrastejo. Analiza občutljivosti se je osredotočila na razpon različnih scenarijev projekcij z dodatnimi ukrepi. Med projekcijami z dodanimi ukrepi so najviše emisije dosežene v scenariju z nižjim deležem biogoriv in visokim deležem tujih vozil, ki kupijo gorivo v Sloveniji (O6), in sicer leta 2030 dosežejo 121 % emisij leta 2020, leta 2040 pa 46 %. Najnižje emisije so v projekciji z dodatnimi ukrepi (O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kjer leta 2030 dosežejo 94 %, leta 2040 pa 36 % emisij leta 2020. Delež primešavanja biogoriv ima pomemben vpliv na zmanjšanje emisij, saj je indeks emisij po scenariju z nižjim deležem biogoriv (O4) glede na scenarij z dodatnimi ukrepi višji za 7 odstotnih točk leta 2030 in 3 odstotne točke leta 2040. V scenariju z dodatnimi ukrepi je zaradi ukinitve vračil</w:t>
      </w:r>
      <w:r w:rsidR="00284A86" w:rsidRPr="007944FA">
        <w:rPr>
          <w:rFonts w:ascii="Arial" w:eastAsia="Times New Roman" w:hAnsi="Arial" w:cs="Times New Roman"/>
          <w:szCs w:val="20"/>
          <w:lang w:eastAsia="sl-SI"/>
        </w:rPr>
        <w:t>a</w:t>
      </w:r>
      <w:r w:rsidRPr="007944FA">
        <w:rPr>
          <w:rFonts w:ascii="Arial" w:eastAsia="Times New Roman" w:hAnsi="Arial" w:cs="Times New Roman"/>
          <w:szCs w:val="20"/>
          <w:lang w:eastAsia="sl-SI"/>
        </w:rPr>
        <w:t xml:space="preserve"> trošarin</w:t>
      </w:r>
      <w:r w:rsidR="00284A86" w:rsidRPr="007944FA">
        <w:rPr>
          <w:rFonts w:ascii="Arial" w:eastAsia="Times New Roman" w:hAnsi="Arial" w:cs="Times New Roman"/>
          <w:szCs w:val="20"/>
          <w:lang w:eastAsia="sl-SI"/>
        </w:rPr>
        <w:t xml:space="preserve">e za komercialni prevoz blaga in potnikov ocenjeno, da bi se </w:t>
      </w:r>
      <w:r w:rsidRPr="007944FA">
        <w:rPr>
          <w:rFonts w:ascii="Arial" w:eastAsia="Times New Roman" w:hAnsi="Arial" w:cs="Times New Roman"/>
          <w:szCs w:val="20"/>
          <w:lang w:eastAsia="sl-SI"/>
        </w:rPr>
        <w:t xml:space="preserve"> prodaja goriv tujim tovornim vozilom močno zmanjša</w:t>
      </w:r>
      <w:r w:rsidR="002419BE" w:rsidRPr="007944FA">
        <w:rPr>
          <w:rFonts w:ascii="Arial" w:eastAsia="Times New Roman" w:hAnsi="Arial" w:cs="Times New Roman"/>
          <w:szCs w:val="20"/>
          <w:lang w:eastAsia="sl-SI"/>
        </w:rPr>
        <w:t>l</w:t>
      </w:r>
      <w:r w:rsidRPr="007944FA">
        <w:rPr>
          <w:rFonts w:ascii="Arial" w:eastAsia="Times New Roman" w:hAnsi="Arial" w:cs="Times New Roman"/>
          <w:szCs w:val="20"/>
          <w:lang w:eastAsia="sl-SI"/>
        </w:rPr>
        <w:t>a; če tega ukrepa ne bi bilo (O5), bi bil indeks emisij leta 2030</w:t>
      </w:r>
      <w:r w:rsidR="00284A86" w:rsidRPr="007944FA">
        <w:rPr>
          <w:rFonts w:ascii="Arial" w:eastAsia="Times New Roman" w:hAnsi="Arial" w:cs="Times New Roman"/>
          <w:szCs w:val="20"/>
          <w:lang w:eastAsia="sl-SI"/>
        </w:rPr>
        <w:t xml:space="preserve"> po analizi</w:t>
      </w:r>
      <w:r w:rsidRPr="007944FA">
        <w:rPr>
          <w:rFonts w:ascii="Arial" w:eastAsia="Times New Roman" w:hAnsi="Arial" w:cs="Times New Roman"/>
          <w:szCs w:val="20"/>
          <w:lang w:eastAsia="sl-SI"/>
        </w:rPr>
        <w:t xml:space="preserve"> višji za 8 odstotnih točk. Zmanjšanje razpona indeksov emisij scenarijev v analizi občutljivosti v letu 2040 je posledica povečanja deleža goriv brez emisij v prometu (zlasti elektrike).</w:t>
      </w:r>
    </w:p>
    <w:p w14:paraId="75A2D3A2" w14:textId="312300A9" w:rsidR="00F336EC" w:rsidRPr="007944FA" w:rsidRDefault="00F336EC" w:rsidP="00F336EC">
      <w:pPr>
        <w:spacing w:after="120" w:line="245" w:lineRule="auto"/>
        <w:jc w:val="both"/>
        <w:rPr>
          <w:rFonts w:ascii="Arial" w:eastAsia="Times New Roman" w:hAnsi="Arial" w:cs="Times New Roman"/>
          <w:szCs w:val="20"/>
          <w:lang w:eastAsia="sl-SI"/>
        </w:rPr>
      </w:pPr>
      <w:r w:rsidRPr="007944FA">
        <w:rPr>
          <w:rFonts w:ascii="Arial" w:eastAsia="Times New Roman" w:hAnsi="Arial" w:cs="Times New Roman"/>
          <w:szCs w:val="20"/>
          <w:lang w:eastAsia="sl-SI"/>
        </w:rPr>
        <w:t>Analiza občutljivosti skupnih emisij na zgoraj predstavljene scenarije v prometu je pokazala, da ima gibanje emisij v prometu zelo velik vpliv na skupne emisije. Emisije leta 2030 v scenariju, ki pomeni zgornjo mejo občutljivosti – O6, znašajo 14,6 Mt</w:t>
      </w:r>
      <w:r w:rsidR="002146B5" w:rsidRPr="007944FA">
        <w:rPr>
          <w:rFonts w:ascii="Arial" w:eastAsia="Times New Roman" w:hAnsi="Arial" w:cs="Times New Roman"/>
          <w:szCs w:val="20"/>
          <w:lang w:eastAsia="sl-SI"/>
        </w:rPr>
        <w:t xml:space="preserve"> ekv.</w:t>
      </w:r>
      <w:r w:rsidRPr="007944FA">
        <w:rPr>
          <w:rFonts w:ascii="Arial" w:eastAsia="Times New Roman" w:hAnsi="Arial" w:cs="Times New Roman"/>
          <w:szCs w:val="20"/>
          <w:lang w:eastAsia="sl-SI"/>
        </w:rPr>
        <w:t> CO</w:t>
      </w:r>
      <w:r w:rsidRPr="007944FA">
        <w:rPr>
          <w:rFonts w:ascii="Arial" w:eastAsia="Times New Roman" w:hAnsi="Arial" w:cs="Times New Roman"/>
          <w:szCs w:val="20"/>
          <w:vertAlign w:val="subscript"/>
          <w:lang w:eastAsia="sl-SI"/>
        </w:rPr>
        <w:t>2</w:t>
      </w:r>
      <w:r w:rsidRPr="007944FA">
        <w:rPr>
          <w:rFonts w:ascii="Arial" w:eastAsia="Times New Roman" w:hAnsi="Arial" w:cs="Times New Roman"/>
          <w:szCs w:val="20"/>
          <w:lang w:eastAsia="sl-SI"/>
        </w:rPr>
        <w:t xml:space="preserve">, kar je za 9 % več od emisij po projekciji z dodatnimi ukrepi. </w:t>
      </w:r>
    </w:p>
    <w:tbl>
      <w:tblPr>
        <w:tblW w:w="7899"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614"/>
        <w:gridCol w:w="857"/>
        <w:gridCol w:w="857"/>
        <w:gridCol w:w="857"/>
        <w:gridCol w:w="857"/>
        <w:gridCol w:w="857"/>
      </w:tblGrid>
      <w:tr w:rsidR="00F336EC" w:rsidRPr="0093506F" w14:paraId="0835D7E6" w14:textId="77777777" w:rsidTr="00F336EC">
        <w:trPr>
          <w:trHeight w:val="264"/>
        </w:trPr>
        <w:tc>
          <w:tcPr>
            <w:tcW w:w="3614" w:type="dxa"/>
            <w:noWrap/>
            <w:vAlign w:val="bottom"/>
          </w:tcPr>
          <w:p w14:paraId="788E54CC" w14:textId="77777777" w:rsidR="00F336EC" w:rsidRPr="007944FA" w:rsidRDefault="00F336EC" w:rsidP="006D46D8">
            <w:pPr>
              <w:pStyle w:val="tabela-9pt"/>
              <w:keepNext/>
              <w:keepLines/>
              <w:rPr>
                <w:rFonts w:ascii="Arial" w:hAnsi="Arial" w:cs="Arial"/>
                <w:szCs w:val="18"/>
              </w:rPr>
            </w:pPr>
            <w:r w:rsidRPr="007944FA">
              <w:rPr>
                <w:rFonts w:ascii="Arial" w:hAnsi="Arial" w:cs="Arial"/>
                <w:szCs w:val="18"/>
              </w:rPr>
              <w:lastRenderedPageBreak/>
              <w:t>[%]</w:t>
            </w:r>
          </w:p>
        </w:tc>
        <w:tc>
          <w:tcPr>
            <w:tcW w:w="857" w:type="dxa"/>
          </w:tcPr>
          <w:p w14:paraId="075806BB"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2020</w:t>
            </w:r>
          </w:p>
        </w:tc>
        <w:tc>
          <w:tcPr>
            <w:tcW w:w="857" w:type="dxa"/>
          </w:tcPr>
          <w:p w14:paraId="5706E7B5"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2025</w:t>
            </w:r>
          </w:p>
        </w:tc>
        <w:tc>
          <w:tcPr>
            <w:tcW w:w="857" w:type="dxa"/>
            <w:vAlign w:val="center"/>
          </w:tcPr>
          <w:p w14:paraId="3EF3F84D"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2030</w:t>
            </w:r>
          </w:p>
        </w:tc>
        <w:tc>
          <w:tcPr>
            <w:tcW w:w="857" w:type="dxa"/>
            <w:noWrap/>
            <w:vAlign w:val="center"/>
          </w:tcPr>
          <w:p w14:paraId="30896AE1"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2035</w:t>
            </w:r>
          </w:p>
        </w:tc>
        <w:tc>
          <w:tcPr>
            <w:tcW w:w="857" w:type="dxa"/>
          </w:tcPr>
          <w:p w14:paraId="22D60977" w14:textId="77777777" w:rsidR="00F336EC" w:rsidRPr="007944FA" w:rsidRDefault="00F336EC" w:rsidP="006D46D8">
            <w:pPr>
              <w:pStyle w:val="tabela-9pt"/>
              <w:keepNext/>
              <w:keepLines/>
              <w:jc w:val="right"/>
              <w:rPr>
                <w:rFonts w:ascii="Arial" w:hAnsi="Arial" w:cs="Arial"/>
                <w:b/>
                <w:bCs/>
                <w:szCs w:val="18"/>
              </w:rPr>
            </w:pPr>
            <w:r w:rsidRPr="007944FA">
              <w:rPr>
                <w:rFonts w:ascii="Arial" w:hAnsi="Arial" w:cs="Arial"/>
                <w:b/>
                <w:bCs/>
                <w:szCs w:val="18"/>
              </w:rPr>
              <w:t>2040</w:t>
            </w:r>
          </w:p>
        </w:tc>
      </w:tr>
      <w:tr w:rsidR="00F336EC" w:rsidRPr="0093506F" w14:paraId="58A8C5CB" w14:textId="77777777" w:rsidTr="00F336EC">
        <w:trPr>
          <w:trHeight w:val="264"/>
        </w:trPr>
        <w:tc>
          <w:tcPr>
            <w:tcW w:w="3614" w:type="dxa"/>
            <w:noWrap/>
            <w:vAlign w:val="center"/>
          </w:tcPr>
          <w:p w14:paraId="14A858D7"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ukrepi (O1)</w:t>
            </w:r>
          </w:p>
        </w:tc>
        <w:tc>
          <w:tcPr>
            <w:tcW w:w="857" w:type="dxa"/>
            <w:vAlign w:val="bottom"/>
          </w:tcPr>
          <w:p w14:paraId="1964F21F"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0A943B6"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103</w:t>
            </w:r>
          </w:p>
        </w:tc>
        <w:tc>
          <w:tcPr>
            <w:tcW w:w="857" w:type="dxa"/>
            <w:vAlign w:val="bottom"/>
          </w:tcPr>
          <w:p w14:paraId="08977CA8"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102</w:t>
            </w:r>
          </w:p>
        </w:tc>
        <w:tc>
          <w:tcPr>
            <w:tcW w:w="857" w:type="dxa"/>
            <w:noWrap/>
            <w:vAlign w:val="bottom"/>
          </w:tcPr>
          <w:p w14:paraId="3695DCD9"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76</w:t>
            </w:r>
          </w:p>
        </w:tc>
        <w:tc>
          <w:tcPr>
            <w:tcW w:w="857" w:type="dxa"/>
            <w:vAlign w:val="bottom"/>
          </w:tcPr>
          <w:p w14:paraId="2E4643EE"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71</w:t>
            </w:r>
          </w:p>
        </w:tc>
      </w:tr>
      <w:tr w:rsidR="00F336EC" w:rsidRPr="0093506F" w14:paraId="106410CB" w14:textId="77777777" w:rsidTr="00F336EC">
        <w:trPr>
          <w:trHeight w:val="264"/>
        </w:trPr>
        <w:tc>
          <w:tcPr>
            <w:tcW w:w="3614" w:type="dxa"/>
            <w:noWrap/>
            <w:vAlign w:val="center"/>
          </w:tcPr>
          <w:p w14:paraId="5DB8EFC2"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(O2)</w:t>
            </w:r>
          </w:p>
        </w:tc>
        <w:tc>
          <w:tcPr>
            <w:tcW w:w="857" w:type="dxa"/>
            <w:vAlign w:val="bottom"/>
          </w:tcPr>
          <w:p w14:paraId="1AD2DEB7"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26B6C1E9"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C39E0A9"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84</w:t>
            </w:r>
          </w:p>
        </w:tc>
        <w:tc>
          <w:tcPr>
            <w:tcW w:w="857" w:type="dxa"/>
            <w:noWrap/>
            <w:vAlign w:val="bottom"/>
          </w:tcPr>
          <w:p w14:paraId="636C8524"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50</w:t>
            </w:r>
          </w:p>
        </w:tc>
        <w:tc>
          <w:tcPr>
            <w:tcW w:w="857" w:type="dxa"/>
            <w:vAlign w:val="bottom"/>
          </w:tcPr>
          <w:p w14:paraId="553C966F"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36</w:t>
            </w:r>
          </w:p>
        </w:tc>
      </w:tr>
      <w:tr w:rsidR="00F336EC" w:rsidRPr="0093506F" w14:paraId="67D4A7A0" w14:textId="77777777" w:rsidTr="00F336EC">
        <w:trPr>
          <w:trHeight w:val="264"/>
        </w:trPr>
        <w:tc>
          <w:tcPr>
            <w:tcW w:w="3614" w:type="dxa"/>
            <w:noWrap/>
            <w:vAlign w:val="center"/>
          </w:tcPr>
          <w:p w14:paraId="69E507DF"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Nižji obseg dodatnih ukrepov (O3)</w:t>
            </w:r>
          </w:p>
        </w:tc>
        <w:tc>
          <w:tcPr>
            <w:tcW w:w="857" w:type="dxa"/>
            <w:vAlign w:val="bottom"/>
          </w:tcPr>
          <w:p w14:paraId="126BE4D5"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0368BA8"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798826C"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85</w:t>
            </w:r>
          </w:p>
        </w:tc>
        <w:tc>
          <w:tcPr>
            <w:tcW w:w="857" w:type="dxa"/>
            <w:noWrap/>
            <w:vAlign w:val="bottom"/>
          </w:tcPr>
          <w:p w14:paraId="10D053A3"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52</w:t>
            </w:r>
          </w:p>
        </w:tc>
        <w:tc>
          <w:tcPr>
            <w:tcW w:w="857" w:type="dxa"/>
            <w:vAlign w:val="bottom"/>
          </w:tcPr>
          <w:p w14:paraId="232544FF"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37</w:t>
            </w:r>
          </w:p>
        </w:tc>
      </w:tr>
      <w:tr w:rsidR="00F336EC" w:rsidRPr="0093506F" w14:paraId="6B72E204" w14:textId="77777777" w:rsidTr="00F336EC">
        <w:trPr>
          <w:trHeight w:val="264"/>
        </w:trPr>
        <w:tc>
          <w:tcPr>
            <w:tcW w:w="3614" w:type="dxa"/>
            <w:noWrap/>
            <w:vAlign w:val="center"/>
          </w:tcPr>
          <w:p w14:paraId="642F9FC8"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z nižjim deležem biogoriv (O4)</w:t>
            </w:r>
          </w:p>
        </w:tc>
        <w:tc>
          <w:tcPr>
            <w:tcW w:w="857" w:type="dxa"/>
            <w:vAlign w:val="bottom"/>
          </w:tcPr>
          <w:p w14:paraId="1211A2C3"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99DC3EB"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471E73C"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86</w:t>
            </w:r>
          </w:p>
        </w:tc>
        <w:tc>
          <w:tcPr>
            <w:tcW w:w="857" w:type="dxa"/>
            <w:noWrap/>
            <w:vAlign w:val="bottom"/>
          </w:tcPr>
          <w:p w14:paraId="60C0D2F8"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51</w:t>
            </w:r>
          </w:p>
        </w:tc>
        <w:tc>
          <w:tcPr>
            <w:tcW w:w="857" w:type="dxa"/>
            <w:vAlign w:val="bottom"/>
          </w:tcPr>
          <w:p w14:paraId="606A5CB1" w14:textId="77777777" w:rsidR="00F336EC" w:rsidRPr="007944FA" w:rsidRDefault="00F336EC" w:rsidP="006D46D8">
            <w:pPr>
              <w:pStyle w:val="tabela10PT"/>
              <w:keepNext/>
              <w:keepLines/>
              <w:jc w:val="right"/>
              <w:rPr>
                <w:rFonts w:ascii="Arial" w:hAnsi="Arial" w:cs="Arial"/>
                <w:sz w:val="18"/>
                <w:szCs w:val="18"/>
              </w:rPr>
            </w:pPr>
            <w:r w:rsidRPr="007944FA">
              <w:rPr>
                <w:rFonts w:ascii="Arial" w:hAnsi="Arial" w:cs="Arial"/>
                <w:color w:val="000000"/>
                <w:sz w:val="18"/>
                <w:szCs w:val="18"/>
              </w:rPr>
              <w:t>37</w:t>
            </w:r>
          </w:p>
        </w:tc>
      </w:tr>
      <w:tr w:rsidR="00F336EC" w:rsidRPr="0093506F" w14:paraId="1C07CBB8" w14:textId="77777777" w:rsidTr="00F336EC">
        <w:trPr>
          <w:trHeight w:val="264"/>
        </w:trPr>
        <w:tc>
          <w:tcPr>
            <w:tcW w:w="3614" w:type="dxa"/>
            <w:noWrap/>
            <w:vAlign w:val="center"/>
          </w:tcPr>
          <w:p w14:paraId="3155ACFD" w14:textId="77777777" w:rsidR="00F336EC" w:rsidRPr="007944FA" w:rsidRDefault="00F336EC" w:rsidP="006D46D8">
            <w:pPr>
              <w:pStyle w:val="TEKSTTabela"/>
              <w:keepNext/>
              <w:keepLines/>
              <w:rPr>
                <w:rFonts w:ascii="Arial" w:hAnsi="Arial" w:cs="Arial"/>
                <w:sz w:val="18"/>
                <w:szCs w:val="18"/>
              </w:rPr>
            </w:pPr>
            <w:r w:rsidRPr="007944FA">
              <w:rPr>
                <w:rFonts w:ascii="Arial" w:hAnsi="Arial" w:cs="Arial"/>
                <w:sz w:val="18"/>
                <w:szCs w:val="18"/>
              </w:rPr>
              <w:t>Projekcija z dodatnimi ukrepi, brez ukinitve vračila trošarin za komercialni prevoz blaga in potnikov (O5)</w:t>
            </w:r>
          </w:p>
        </w:tc>
        <w:tc>
          <w:tcPr>
            <w:tcW w:w="857" w:type="dxa"/>
            <w:vAlign w:val="bottom"/>
          </w:tcPr>
          <w:p w14:paraId="3EDA315D"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3A49340"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6BB1EF9D"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88</w:t>
            </w:r>
          </w:p>
        </w:tc>
        <w:tc>
          <w:tcPr>
            <w:tcW w:w="857" w:type="dxa"/>
            <w:noWrap/>
            <w:vAlign w:val="bottom"/>
          </w:tcPr>
          <w:p w14:paraId="2442536C"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52</w:t>
            </w:r>
          </w:p>
        </w:tc>
        <w:tc>
          <w:tcPr>
            <w:tcW w:w="857" w:type="dxa"/>
            <w:vAlign w:val="bottom"/>
          </w:tcPr>
          <w:p w14:paraId="1F87139A"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37</w:t>
            </w:r>
          </w:p>
        </w:tc>
      </w:tr>
      <w:tr w:rsidR="00F336EC" w:rsidRPr="0093506F" w14:paraId="2C55ED34" w14:textId="77777777" w:rsidTr="00F336EC">
        <w:trPr>
          <w:trHeight w:val="264"/>
        </w:trPr>
        <w:tc>
          <w:tcPr>
            <w:tcW w:w="3614" w:type="dxa"/>
            <w:noWrap/>
            <w:vAlign w:val="center"/>
          </w:tcPr>
          <w:p w14:paraId="721F2456" w14:textId="77777777" w:rsidR="00F336EC" w:rsidRPr="007944FA" w:rsidRDefault="00F336EC" w:rsidP="006D46D8">
            <w:pPr>
              <w:pStyle w:val="TEKSTTabela"/>
              <w:rPr>
                <w:rFonts w:ascii="Arial" w:hAnsi="Arial" w:cs="Arial"/>
                <w:sz w:val="18"/>
                <w:szCs w:val="18"/>
              </w:rPr>
            </w:pPr>
            <w:r w:rsidRPr="007944FA">
              <w:rPr>
                <w:rFonts w:ascii="Arial" w:hAnsi="Arial" w:cs="Arial"/>
                <w:sz w:val="18"/>
                <w:szCs w:val="18"/>
              </w:rPr>
              <w:t>Projekcija z dodatnimi ukrepi z nižjim deležem biogoriv in visokim deležem tujih vozil, ki kupijo gorivo v Sloveniji (O6)</w:t>
            </w:r>
          </w:p>
        </w:tc>
        <w:tc>
          <w:tcPr>
            <w:tcW w:w="857" w:type="dxa"/>
            <w:vAlign w:val="bottom"/>
          </w:tcPr>
          <w:p w14:paraId="2FC1F6EC"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3F2A82FE"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107</w:t>
            </w:r>
          </w:p>
        </w:tc>
        <w:tc>
          <w:tcPr>
            <w:tcW w:w="857" w:type="dxa"/>
            <w:vAlign w:val="bottom"/>
          </w:tcPr>
          <w:p w14:paraId="5CF01A25"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92</w:t>
            </w:r>
          </w:p>
        </w:tc>
        <w:tc>
          <w:tcPr>
            <w:tcW w:w="857" w:type="dxa"/>
            <w:noWrap/>
            <w:vAlign w:val="bottom"/>
          </w:tcPr>
          <w:p w14:paraId="0227EF69"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55</w:t>
            </w:r>
          </w:p>
        </w:tc>
        <w:tc>
          <w:tcPr>
            <w:tcW w:w="857" w:type="dxa"/>
            <w:vAlign w:val="bottom"/>
          </w:tcPr>
          <w:p w14:paraId="51184D2F" w14:textId="77777777" w:rsidR="00F336EC" w:rsidRPr="007944FA" w:rsidRDefault="00F336EC" w:rsidP="006D46D8">
            <w:pPr>
              <w:pStyle w:val="tabela10PT"/>
              <w:jc w:val="right"/>
              <w:rPr>
                <w:rFonts w:ascii="Arial" w:hAnsi="Arial" w:cs="Arial"/>
                <w:sz w:val="18"/>
                <w:szCs w:val="18"/>
              </w:rPr>
            </w:pPr>
            <w:r w:rsidRPr="007944FA">
              <w:rPr>
                <w:rFonts w:ascii="Arial" w:hAnsi="Arial" w:cs="Arial"/>
                <w:color w:val="000000"/>
                <w:sz w:val="18"/>
                <w:szCs w:val="18"/>
              </w:rPr>
              <w:t>39</w:t>
            </w:r>
          </w:p>
        </w:tc>
      </w:tr>
    </w:tbl>
    <w:p w14:paraId="0B2D4C87" w14:textId="7D11179B" w:rsidR="00F336EC" w:rsidRPr="007944FA" w:rsidRDefault="002F38E7" w:rsidP="002F38E7">
      <w:pPr>
        <w:pStyle w:val="nikatabelee"/>
      </w:pPr>
      <w:bookmarkStart w:id="168" w:name="_Toc193195402"/>
      <w:r w:rsidRPr="007944FA">
        <w:t>Preglednica 17</w:t>
      </w:r>
      <w:r w:rsidR="00F336EC" w:rsidRPr="007944FA">
        <w:t>: Občutljivost projekcij vseh emisij TGP glede na predvidevanja glede tranzitnega prometa in izvajanja ukrepov prometne in okoljske politike</w:t>
      </w:r>
      <w:bookmarkEnd w:id="168"/>
    </w:p>
    <w:p w14:paraId="457FEB41" w14:textId="77777777" w:rsidR="0096636B" w:rsidRPr="007944FA" w:rsidRDefault="0096636B" w:rsidP="0096636B">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Še večji vpliv je analiza občutljivosti na emisije iz prometa pokazala v emisijah neETS, saj promet v teh emisijah prispeva več kot 50 %.</w:t>
      </w:r>
    </w:p>
    <w:tbl>
      <w:tblPr>
        <w:tblW w:w="7899" w:type="dxa"/>
        <w:tblInd w:w="5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614"/>
        <w:gridCol w:w="857"/>
        <w:gridCol w:w="857"/>
        <w:gridCol w:w="857"/>
        <w:gridCol w:w="857"/>
        <w:gridCol w:w="857"/>
      </w:tblGrid>
      <w:tr w:rsidR="0096636B" w:rsidRPr="0093506F" w14:paraId="0EC5082D" w14:textId="77777777" w:rsidTr="0096636B">
        <w:trPr>
          <w:trHeight w:val="264"/>
        </w:trPr>
        <w:tc>
          <w:tcPr>
            <w:tcW w:w="3614" w:type="dxa"/>
            <w:noWrap/>
            <w:vAlign w:val="bottom"/>
          </w:tcPr>
          <w:p w14:paraId="41CCF5DC" w14:textId="77777777" w:rsidR="0096636B" w:rsidRPr="007944FA" w:rsidRDefault="0096636B" w:rsidP="006D46D8">
            <w:pPr>
              <w:pStyle w:val="tabela-9pt"/>
              <w:keepNext/>
              <w:keepLines/>
              <w:rPr>
                <w:rFonts w:ascii="Arial" w:hAnsi="Arial" w:cs="Arial"/>
                <w:szCs w:val="18"/>
              </w:rPr>
            </w:pPr>
            <w:r w:rsidRPr="007944FA">
              <w:rPr>
                <w:rFonts w:ascii="Arial" w:hAnsi="Arial" w:cs="Arial"/>
                <w:szCs w:val="18"/>
              </w:rPr>
              <w:t>[%]</w:t>
            </w:r>
          </w:p>
        </w:tc>
        <w:tc>
          <w:tcPr>
            <w:tcW w:w="857" w:type="dxa"/>
          </w:tcPr>
          <w:p w14:paraId="6F00C0A0" w14:textId="77777777" w:rsidR="0096636B" w:rsidRPr="007944FA" w:rsidRDefault="0096636B" w:rsidP="006D46D8">
            <w:pPr>
              <w:pStyle w:val="tabela-9pt"/>
              <w:keepNext/>
              <w:keepLines/>
              <w:jc w:val="right"/>
              <w:rPr>
                <w:rFonts w:ascii="Arial" w:hAnsi="Arial" w:cs="Arial"/>
                <w:b/>
                <w:bCs/>
                <w:szCs w:val="18"/>
              </w:rPr>
            </w:pPr>
            <w:r w:rsidRPr="007944FA">
              <w:rPr>
                <w:rFonts w:ascii="Arial" w:hAnsi="Arial" w:cs="Arial"/>
                <w:b/>
                <w:bCs/>
                <w:szCs w:val="18"/>
              </w:rPr>
              <w:t>2020</w:t>
            </w:r>
          </w:p>
        </w:tc>
        <w:tc>
          <w:tcPr>
            <w:tcW w:w="857" w:type="dxa"/>
          </w:tcPr>
          <w:p w14:paraId="0AEAB3D0" w14:textId="77777777" w:rsidR="0096636B" w:rsidRPr="007944FA" w:rsidRDefault="0096636B" w:rsidP="006D46D8">
            <w:pPr>
              <w:pStyle w:val="tabela-9pt"/>
              <w:keepNext/>
              <w:keepLines/>
              <w:jc w:val="right"/>
              <w:rPr>
                <w:rFonts w:ascii="Arial" w:hAnsi="Arial" w:cs="Arial"/>
                <w:b/>
                <w:bCs/>
                <w:szCs w:val="18"/>
              </w:rPr>
            </w:pPr>
            <w:r w:rsidRPr="007944FA">
              <w:rPr>
                <w:rFonts w:ascii="Arial" w:hAnsi="Arial" w:cs="Arial"/>
                <w:b/>
                <w:bCs/>
                <w:szCs w:val="18"/>
              </w:rPr>
              <w:t>2025</w:t>
            </w:r>
          </w:p>
        </w:tc>
        <w:tc>
          <w:tcPr>
            <w:tcW w:w="857" w:type="dxa"/>
            <w:vAlign w:val="center"/>
          </w:tcPr>
          <w:p w14:paraId="6900E570" w14:textId="77777777" w:rsidR="0096636B" w:rsidRPr="007944FA" w:rsidRDefault="0096636B" w:rsidP="006D46D8">
            <w:pPr>
              <w:pStyle w:val="tabela-9pt"/>
              <w:keepNext/>
              <w:keepLines/>
              <w:jc w:val="right"/>
              <w:rPr>
                <w:rFonts w:ascii="Arial" w:hAnsi="Arial" w:cs="Arial"/>
                <w:b/>
                <w:bCs/>
                <w:szCs w:val="18"/>
              </w:rPr>
            </w:pPr>
            <w:r w:rsidRPr="007944FA">
              <w:rPr>
                <w:rFonts w:ascii="Arial" w:hAnsi="Arial" w:cs="Arial"/>
                <w:b/>
                <w:bCs/>
                <w:szCs w:val="18"/>
              </w:rPr>
              <w:t>2030</w:t>
            </w:r>
          </w:p>
        </w:tc>
        <w:tc>
          <w:tcPr>
            <w:tcW w:w="857" w:type="dxa"/>
            <w:noWrap/>
            <w:vAlign w:val="center"/>
          </w:tcPr>
          <w:p w14:paraId="626EE056" w14:textId="77777777" w:rsidR="0096636B" w:rsidRPr="007944FA" w:rsidRDefault="0096636B" w:rsidP="006D46D8">
            <w:pPr>
              <w:pStyle w:val="tabela-9pt"/>
              <w:keepNext/>
              <w:keepLines/>
              <w:jc w:val="right"/>
              <w:rPr>
                <w:rFonts w:ascii="Arial" w:hAnsi="Arial" w:cs="Arial"/>
                <w:b/>
                <w:bCs/>
                <w:szCs w:val="18"/>
              </w:rPr>
            </w:pPr>
            <w:r w:rsidRPr="007944FA">
              <w:rPr>
                <w:rFonts w:ascii="Arial" w:hAnsi="Arial" w:cs="Arial"/>
                <w:b/>
                <w:bCs/>
                <w:szCs w:val="18"/>
              </w:rPr>
              <w:t>2035</w:t>
            </w:r>
          </w:p>
        </w:tc>
        <w:tc>
          <w:tcPr>
            <w:tcW w:w="857" w:type="dxa"/>
          </w:tcPr>
          <w:p w14:paraId="52A13D99" w14:textId="77777777" w:rsidR="0096636B" w:rsidRPr="007944FA" w:rsidRDefault="0096636B" w:rsidP="006D46D8">
            <w:pPr>
              <w:pStyle w:val="tabela-9pt"/>
              <w:keepNext/>
              <w:keepLines/>
              <w:jc w:val="right"/>
              <w:rPr>
                <w:rFonts w:ascii="Arial" w:hAnsi="Arial" w:cs="Arial"/>
                <w:b/>
                <w:bCs/>
                <w:szCs w:val="18"/>
              </w:rPr>
            </w:pPr>
            <w:r w:rsidRPr="007944FA">
              <w:rPr>
                <w:rFonts w:ascii="Arial" w:hAnsi="Arial" w:cs="Arial"/>
                <w:b/>
                <w:bCs/>
                <w:szCs w:val="18"/>
              </w:rPr>
              <w:t>2040</w:t>
            </w:r>
          </w:p>
        </w:tc>
      </w:tr>
      <w:tr w:rsidR="0096636B" w:rsidRPr="0093506F" w14:paraId="4AB25AE3" w14:textId="77777777" w:rsidTr="0096636B">
        <w:trPr>
          <w:trHeight w:val="264"/>
        </w:trPr>
        <w:tc>
          <w:tcPr>
            <w:tcW w:w="3614" w:type="dxa"/>
            <w:noWrap/>
            <w:vAlign w:val="center"/>
          </w:tcPr>
          <w:p w14:paraId="37D767E9"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Projekcija z ukrepi (O1)</w:t>
            </w:r>
          </w:p>
        </w:tc>
        <w:tc>
          <w:tcPr>
            <w:tcW w:w="857" w:type="dxa"/>
            <w:vAlign w:val="bottom"/>
          </w:tcPr>
          <w:p w14:paraId="5DBA2D02"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A5D9DFC"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110</w:t>
            </w:r>
          </w:p>
        </w:tc>
        <w:tc>
          <w:tcPr>
            <w:tcW w:w="857" w:type="dxa"/>
            <w:vAlign w:val="bottom"/>
          </w:tcPr>
          <w:p w14:paraId="0482BAD8"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109</w:t>
            </w:r>
          </w:p>
        </w:tc>
        <w:tc>
          <w:tcPr>
            <w:tcW w:w="857" w:type="dxa"/>
            <w:noWrap/>
            <w:vAlign w:val="bottom"/>
          </w:tcPr>
          <w:p w14:paraId="2646B255"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97</w:t>
            </w:r>
          </w:p>
        </w:tc>
        <w:tc>
          <w:tcPr>
            <w:tcW w:w="857" w:type="dxa"/>
            <w:vAlign w:val="bottom"/>
          </w:tcPr>
          <w:p w14:paraId="013433C2"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85</w:t>
            </w:r>
          </w:p>
        </w:tc>
      </w:tr>
      <w:tr w:rsidR="0096636B" w:rsidRPr="0093506F" w14:paraId="601DBA01" w14:textId="77777777" w:rsidTr="0096636B">
        <w:trPr>
          <w:trHeight w:val="264"/>
        </w:trPr>
        <w:tc>
          <w:tcPr>
            <w:tcW w:w="3614" w:type="dxa"/>
            <w:noWrap/>
            <w:vAlign w:val="center"/>
          </w:tcPr>
          <w:p w14:paraId="3755A643"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Projekcija z dodatnimi ukrepi (O2)</w:t>
            </w:r>
          </w:p>
        </w:tc>
        <w:tc>
          <w:tcPr>
            <w:tcW w:w="857" w:type="dxa"/>
            <w:vAlign w:val="bottom"/>
          </w:tcPr>
          <w:p w14:paraId="6BD81794"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C0D6E4B"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107</w:t>
            </w:r>
          </w:p>
        </w:tc>
        <w:tc>
          <w:tcPr>
            <w:tcW w:w="857" w:type="dxa"/>
            <w:vAlign w:val="bottom"/>
          </w:tcPr>
          <w:p w14:paraId="0A4D11E2"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86</w:t>
            </w:r>
          </w:p>
        </w:tc>
        <w:tc>
          <w:tcPr>
            <w:tcW w:w="857" w:type="dxa"/>
            <w:noWrap/>
            <w:vAlign w:val="bottom"/>
          </w:tcPr>
          <w:p w14:paraId="49B3CE63"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64</w:t>
            </w:r>
          </w:p>
        </w:tc>
        <w:tc>
          <w:tcPr>
            <w:tcW w:w="857" w:type="dxa"/>
            <w:vAlign w:val="bottom"/>
          </w:tcPr>
          <w:p w14:paraId="12018A27"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47</w:t>
            </w:r>
          </w:p>
        </w:tc>
      </w:tr>
      <w:tr w:rsidR="0096636B" w:rsidRPr="0093506F" w14:paraId="12D179FE" w14:textId="77777777" w:rsidTr="0096636B">
        <w:trPr>
          <w:trHeight w:val="264"/>
        </w:trPr>
        <w:tc>
          <w:tcPr>
            <w:tcW w:w="3614" w:type="dxa"/>
            <w:noWrap/>
            <w:vAlign w:val="center"/>
          </w:tcPr>
          <w:p w14:paraId="6F75AF46"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Nižji obseg dodatnih ukrepov (O3)</w:t>
            </w:r>
          </w:p>
        </w:tc>
        <w:tc>
          <w:tcPr>
            <w:tcW w:w="857" w:type="dxa"/>
            <w:vAlign w:val="bottom"/>
          </w:tcPr>
          <w:p w14:paraId="10D1F463"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6199396D"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107</w:t>
            </w:r>
          </w:p>
        </w:tc>
        <w:tc>
          <w:tcPr>
            <w:tcW w:w="857" w:type="dxa"/>
            <w:vAlign w:val="bottom"/>
          </w:tcPr>
          <w:p w14:paraId="4E3D0508"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88</w:t>
            </w:r>
          </w:p>
        </w:tc>
        <w:tc>
          <w:tcPr>
            <w:tcW w:w="857" w:type="dxa"/>
            <w:noWrap/>
            <w:vAlign w:val="bottom"/>
          </w:tcPr>
          <w:p w14:paraId="15F6D61B"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66</w:t>
            </w:r>
          </w:p>
        </w:tc>
        <w:tc>
          <w:tcPr>
            <w:tcW w:w="857" w:type="dxa"/>
            <w:vAlign w:val="bottom"/>
          </w:tcPr>
          <w:p w14:paraId="39808740"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49</w:t>
            </w:r>
          </w:p>
        </w:tc>
      </w:tr>
      <w:tr w:rsidR="0096636B" w:rsidRPr="0093506F" w14:paraId="0F338A73" w14:textId="77777777" w:rsidTr="0096636B">
        <w:trPr>
          <w:trHeight w:val="264"/>
        </w:trPr>
        <w:tc>
          <w:tcPr>
            <w:tcW w:w="3614" w:type="dxa"/>
            <w:noWrap/>
            <w:vAlign w:val="center"/>
          </w:tcPr>
          <w:p w14:paraId="0941D3A7"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Projekcija z dodatnimi ukrepi z nižjim deležem biogoriv (O4)</w:t>
            </w:r>
          </w:p>
        </w:tc>
        <w:tc>
          <w:tcPr>
            <w:tcW w:w="857" w:type="dxa"/>
            <w:vAlign w:val="bottom"/>
          </w:tcPr>
          <w:p w14:paraId="3D6160FF"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5BD2DA5F"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107</w:t>
            </w:r>
          </w:p>
        </w:tc>
        <w:tc>
          <w:tcPr>
            <w:tcW w:w="857" w:type="dxa"/>
            <w:vAlign w:val="bottom"/>
          </w:tcPr>
          <w:p w14:paraId="43105025"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89</w:t>
            </w:r>
          </w:p>
        </w:tc>
        <w:tc>
          <w:tcPr>
            <w:tcW w:w="857" w:type="dxa"/>
            <w:noWrap/>
            <w:vAlign w:val="bottom"/>
          </w:tcPr>
          <w:p w14:paraId="63DF68EA"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66</w:t>
            </w:r>
          </w:p>
        </w:tc>
        <w:tc>
          <w:tcPr>
            <w:tcW w:w="857" w:type="dxa"/>
            <w:vAlign w:val="bottom"/>
          </w:tcPr>
          <w:p w14:paraId="0CC8D22C"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49</w:t>
            </w:r>
          </w:p>
        </w:tc>
      </w:tr>
      <w:tr w:rsidR="0096636B" w:rsidRPr="0093506F" w14:paraId="0B4D6E43" w14:textId="77777777" w:rsidTr="0096636B">
        <w:trPr>
          <w:trHeight w:val="264"/>
        </w:trPr>
        <w:tc>
          <w:tcPr>
            <w:tcW w:w="3614" w:type="dxa"/>
            <w:noWrap/>
            <w:vAlign w:val="center"/>
          </w:tcPr>
          <w:p w14:paraId="4753148D"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Projekcija z dodatnimi ukrepi, brez ukinitve vračila trošarin za komercialni prevoz blaga in potnikov (O5)</w:t>
            </w:r>
          </w:p>
        </w:tc>
        <w:tc>
          <w:tcPr>
            <w:tcW w:w="857" w:type="dxa"/>
            <w:vAlign w:val="bottom"/>
          </w:tcPr>
          <w:p w14:paraId="59483698"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42634919"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108</w:t>
            </w:r>
          </w:p>
        </w:tc>
        <w:tc>
          <w:tcPr>
            <w:tcW w:w="857" w:type="dxa"/>
            <w:vAlign w:val="bottom"/>
          </w:tcPr>
          <w:p w14:paraId="75F822CA"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92</w:t>
            </w:r>
          </w:p>
        </w:tc>
        <w:tc>
          <w:tcPr>
            <w:tcW w:w="857" w:type="dxa"/>
            <w:noWrap/>
            <w:vAlign w:val="bottom"/>
          </w:tcPr>
          <w:p w14:paraId="4B5B9000"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67</w:t>
            </w:r>
          </w:p>
        </w:tc>
        <w:tc>
          <w:tcPr>
            <w:tcW w:w="857" w:type="dxa"/>
            <w:vAlign w:val="bottom"/>
          </w:tcPr>
          <w:p w14:paraId="12B02A24"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49</w:t>
            </w:r>
          </w:p>
        </w:tc>
      </w:tr>
      <w:tr w:rsidR="0096636B" w:rsidRPr="0093506F" w14:paraId="4BA16408" w14:textId="77777777" w:rsidTr="0096636B">
        <w:trPr>
          <w:trHeight w:val="264"/>
        </w:trPr>
        <w:tc>
          <w:tcPr>
            <w:tcW w:w="3614" w:type="dxa"/>
            <w:noWrap/>
            <w:vAlign w:val="center"/>
          </w:tcPr>
          <w:p w14:paraId="348BC93F" w14:textId="77777777" w:rsidR="0096636B" w:rsidRPr="007944FA" w:rsidRDefault="0096636B" w:rsidP="006D46D8">
            <w:pPr>
              <w:pStyle w:val="TEKSTTabela"/>
              <w:rPr>
                <w:rFonts w:ascii="Arial" w:hAnsi="Arial" w:cs="Arial"/>
                <w:sz w:val="18"/>
                <w:szCs w:val="18"/>
              </w:rPr>
            </w:pPr>
            <w:r w:rsidRPr="007944FA">
              <w:rPr>
                <w:rFonts w:ascii="Arial" w:hAnsi="Arial" w:cs="Arial"/>
                <w:sz w:val="18"/>
                <w:szCs w:val="18"/>
              </w:rPr>
              <w:t>Projekcija z dodatnimi ukrepi z nižjim deležem biogoriv in visokim deležem tujih vozil, ki kupijo gorivo v Sloveniji (O6)</w:t>
            </w:r>
          </w:p>
        </w:tc>
        <w:tc>
          <w:tcPr>
            <w:tcW w:w="857" w:type="dxa"/>
            <w:vAlign w:val="bottom"/>
          </w:tcPr>
          <w:p w14:paraId="71B4459C"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100</w:t>
            </w:r>
          </w:p>
        </w:tc>
        <w:tc>
          <w:tcPr>
            <w:tcW w:w="857" w:type="dxa"/>
            <w:vAlign w:val="bottom"/>
          </w:tcPr>
          <w:p w14:paraId="2BDF55B4"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118</w:t>
            </w:r>
          </w:p>
        </w:tc>
        <w:tc>
          <w:tcPr>
            <w:tcW w:w="857" w:type="dxa"/>
            <w:vAlign w:val="bottom"/>
          </w:tcPr>
          <w:p w14:paraId="31E7A0C0"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98</w:t>
            </w:r>
          </w:p>
        </w:tc>
        <w:tc>
          <w:tcPr>
            <w:tcW w:w="857" w:type="dxa"/>
            <w:noWrap/>
            <w:vAlign w:val="bottom"/>
          </w:tcPr>
          <w:p w14:paraId="1E0EAEBC"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72</w:t>
            </w:r>
          </w:p>
        </w:tc>
        <w:tc>
          <w:tcPr>
            <w:tcW w:w="857" w:type="dxa"/>
            <w:vAlign w:val="bottom"/>
          </w:tcPr>
          <w:p w14:paraId="345212A0" w14:textId="77777777" w:rsidR="0096636B" w:rsidRPr="007944FA" w:rsidRDefault="0096636B" w:rsidP="006D46D8">
            <w:pPr>
              <w:pStyle w:val="tabela10PT"/>
              <w:jc w:val="right"/>
              <w:rPr>
                <w:rFonts w:ascii="Arial" w:hAnsi="Arial" w:cs="Arial"/>
                <w:sz w:val="18"/>
                <w:szCs w:val="18"/>
              </w:rPr>
            </w:pPr>
            <w:r w:rsidRPr="007944FA">
              <w:rPr>
                <w:rFonts w:ascii="Arial" w:hAnsi="Arial" w:cs="Arial"/>
                <w:color w:val="000000"/>
                <w:sz w:val="18"/>
                <w:szCs w:val="18"/>
              </w:rPr>
              <w:t>52</w:t>
            </w:r>
          </w:p>
        </w:tc>
      </w:tr>
    </w:tbl>
    <w:p w14:paraId="0C7195CD" w14:textId="530425B0" w:rsidR="0096636B" w:rsidRPr="007944FA" w:rsidRDefault="002F38E7" w:rsidP="002F38E7">
      <w:pPr>
        <w:pStyle w:val="nikatabelee"/>
        <w:rPr>
          <w:lang w:eastAsia="sl-SI"/>
        </w:rPr>
      </w:pPr>
      <w:bookmarkStart w:id="169" w:name="_Toc193195403"/>
      <w:r w:rsidRPr="007944FA">
        <w:rPr>
          <w:lang w:eastAsia="sl-SI"/>
        </w:rPr>
        <w:t>Preglednica 18</w:t>
      </w:r>
      <w:r w:rsidR="0096636B" w:rsidRPr="007944FA">
        <w:rPr>
          <w:lang w:eastAsia="sl-SI"/>
        </w:rPr>
        <w:t>: Občutljivost projekcij emisij TGP neETS glede na predvidevanja glede tranzitnega prometa in izvajanja ukrepov trajnostne prometne in okoljske politike</w:t>
      </w:r>
      <w:bookmarkEnd w:id="169"/>
    </w:p>
    <w:p w14:paraId="064EDFAA" w14:textId="2C29FDD6" w:rsidR="006E07EE" w:rsidRPr="007944FA" w:rsidRDefault="006E07EE" w:rsidP="006E07EE">
      <w:pPr>
        <w:pStyle w:val="Heading3"/>
      </w:pPr>
      <w:bookmarkStart w:id="170" w:name="_Toc196300834"/>
      <w:r w:rsidRPr="007944FA">
        <w:t>II.F.10. Metodologija projekcij</w:t>
      </w:r>
      <w:bookmarkEnd w:id="170"/>
    </w:p>
    <w:p w14:paraId="4BA79FD6" w14:textId="77777777" w:rsidR="0096636B" w:rsidRPr="007944FA" w:rsidRDefault="0096636B" w:rsidP="0096636B">
      <w:pPr>
        <w:rPr>
          <w:rFonts w:ascii="Arial" w:hAnsi="Arial" w:cs="Arial"/>
          <w:lang w:eastAsia="en-GB"/>
        </w:rPr>
      </w:pPr>
      <w:r w:rsidRPr="007944FA">
        <w:rPr>
          <w:rFonts w:ascii="Arial" w:hAnsi="Arial" w:cs="Arial"/>
        </w:rPr>
        <w:t>Za projekcije emisij je bil uporabljen širok nabor modelov; glede na poročilo BR5 oz</w:t>
      </w:r>
      <w:r w:rsidRPr="007944FA">
        <w:rPr>
          <w:rFonts w:ascii="Arial" w:eastAsia="Palatino Linotype" w:hAnsi="Arial" w:cs="Arial"/>
        </w:rPr>
        <w:t>iroma</w:t>
      </w:r>
      <w:r w:rsidRPr="007944FA">
        <w:rPr>
          <w:rFonts w:ascii="Arial" w:hAnsi="Arial" w:cs="Arial"/>
        </w:rPr>
        <w:t xml:space="preserve"> NC8 smo ob pripravi </w:t>
      </w:r>
      <w:r w:rsidRPr="007944FA">
        <w:rPr>
          <w:rFonts w:ascii="Arial" w:hAnsi="Arial" w:cs="Arial"/>
          <w:lang w:eastAsia="en-GB"/>
        </w:rPr>
        <w:t xml:space="preserve">projekcij za prenovo NEPN glavne modele in podmodele posodobili, model LULUCF pa je bil nov. Modeli </w:t>
      </w:r>
      <w:r w:rsidRPr="007944FA">
        <w:rPr>
          <w:rFonts w:ascii="Arial" w:hAnsi="Arial" w:cs="Arial"/>
        </w:rPr>
        <w:t>so podrobneje predstavljeni v prilogi, spremembe in nadgradnje modelov pa v nadaljevanju tega poglavja. Uporabljeni in posodobljeni so bili modeli</w:t>
      </w:r>
      <w:r w:rsidRPr="007944FA">
        <w:rPr>
          <w:rFonts w:ascii="Arial" w:hAnsi="Arial" w:cs="Arial"/>
          <w:lang w:eastAsia="en-GB"/>
        </w:rPr>
        <w:t>:</w:t>
      </w:r>
    </w:p>
    <w:p w14:paraId="78ABB47F"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REES-SLO (</w:t>
      </w:r>
      <w:r w:rsidRPr="007944FA">
        <w:rPr>
          <w:rFonts w:ascii="Arial" w:hAnsi="Arial" w:cs="Arial"/>
          <w:b/>
          <w:bCs/>
        </w:rPr>
        <w:t>R</w:t>
      </w:r>
      <w:r w:rsidRPr="007944FA">
        <w:rPr>
          <w:rFonts w:ascii="Arial" w:hAnsi="Arial" w:cs="Arial"/>
        </w:rPr>
        <w:t xml:space="preserve">eferenčni </w:t>
      </w:r>
      <w:r w:rsidRPr="007944FA">
        <w:rPr>
          <w:rFonts w:ascii="Arial" w:hAnsi="Arial" w:cs="Arial"/>
          <w:b/>
          <w:bCs/>
        </w:rPr>
        <w:t>E</w:t>
      </w:r>
      <w:r w:rsidRPr="007944FA">
        <w:rPr>
          <w:rFonts w:ascii="Arial" w:hAnsi="Arial" w:cs="Arial"/>
        </w:rPr>
        <w:t xml:space="preserve">nergetski in </w:t>
      </w:r>
      <w:r w:rsidRPr="007944FA">
        <w:rPr>
          <w:rFonts w:ascii="Arial" w:hAnsi="Arial" w:cs="Arial"/>
          <w:b/>
          <w:bCs/>
        </w:rPr>
        <w:t>E</w:t>
      </w:r>
      <w:r w:rsidRPr="007944FA">
        <w:rPr>
          <w:rFonts w:ascii="Arial" w:hAnsi="Arial" w:cs="Arial"/>
        </w:rPr>
        <w:t xml:space="preserve">misijski model </w:t>
      </w:r>
      <w:r w:rsidRPr="007944FA">
        <w:rPr>
          <w:rFonts w:ascii="Arial" w:hAnsi="Arial" w:cs="Arial"/>
          <w:b/>
          <w:bCs/>
        </w:rPr>
        <w:t>SLO</w:t>
      </w:r>
      <w:r w:rsidRPr="007944FA">
        <w:rPr>
          <w:rFonts w:ascii="Arial" w:hAnsi="Arial" w:cs="Arial"/>
        </w:rPr>
        <w:t>venije, simulacijski model)</w:t>
      </w:r>
    </w:p>
    <w:p w14:paraId="6E387195"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REES-SLO – stavbe</w:t>
      </w:r>
      <w:r w:rsidRPr="007944FA">
        <w:rPr>
          <w:rFonts w:ascii="Arial" w:hAnsi="Arial" w:cs="Arial"/>
          <w:b/>
          <w:bCs/>
        </w:rPr>
        <w:t xml:space="preserve"> </w:t>
      </w:r>
      <w:r w:rsidRPr="007944FA">
        <w:rPr>
          <w:rFonts w:ascii="Arial" w:hAnsi="Arial" w:cs="Arial"/>
        </w:rPr>
        <w:t>(podmodel stavb v gospodinjstvih in storitvenih dejavnostih)</w:t>
      </w:r>
    </w:p>
    <w:p w14:paraId="066A4E4E"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REES-SLO – promet</w:t>
      </w:r>
      <w:r w:rsidRPr="007944FA">
        <w:rPr>
          <w:rFonts w:ascii="Arial" w:hAnsi="Arial" w:cs="Arial"/>
          <w:b/>
          <w:bCs/>
        </w:rPr>
        <w:t xml:space="preserve"> </w:t>
      </w:r>
      <w:r w:rsidRPr="007944FA">
        <w:rPr>
          <w:rFonts w:ascii="Arial" w:hAnsi="Arial" w:cs="Arial"/>
        </w:rPr>
        <w:t>(podmodel rabe energije v prometu)</w:t>
      </w:r>
    </w:p>
    <w:p w14:paraId="374AAC7A"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PRIMOS (model prometne aktivnosti)</w:t>
      </w:r>
    </w:p>
    <w:p w14:paraId="46C78941"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LULUCF model</w:t>
      </w:r>
      <w:r w:rsidRPr="007944FA">
        <w:rPr>
          <w:rFonts w:ascii="Arial" w:hAnsi="Arial" w:cs="Arial"/>
          <w:b/>
          <w:bCs/>
        </w:rPr>
        <w:t xml:space="preserve"> </w:t>
      </w:r>
      <w:r w:rsidRPr="007944FA">
        <w:rPr>
          <w:rFonts w:ascii="Arial" w:hAnsi="Arial" w:cs="Arial"/>
        </w:rPr>
        <w:t>(Simulator razvoja gozda z uporabo metod strojnega učenja,</w:t>
      </w:r>
      <w:r w:rsidRPr="007944FA">
        <w:rPr>
          <w:rFonts w:ascii="Arial" w:hAnsi="Arial" w:cs="Arial"/>
          <w:iCs/>
        </w:rPr>
        <w:t xml:space="preserve"> </w:t>
      </w:r>
      <w:r w:rsidRPr="007944FA">
        <w:rPr>
          <w:rFonts w:ascii="Arial" w:hAnsi="Arial" w:cs="Arial"/>
          <w:i/>
          <w:iCs/>
        </w:rPr>
        <w:t>MLSF</w:t>
      </w:r>
      <w:r w:rsidRPr="007944FA">
        <w:rPr>
          <w:rFonts w:ascii="Arial" w:hAnsi="Arial" w:cs="Arial"/>
        </w:rPr>
        <w:t>)</w:t>
      </w:r>
    </w:p>
    <w:p w14:paraId="6FE960A5"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model kmetijstva</w:t>
      </w:r>
      <w:r w:rsidRPr="007944FA">
        <w:rPr>
          <w:rFonts w:ascii="Arial" w:hAnsi="Arial" w:cs="Arial"/>
          <w:b/>
          <w:bCs/>
        </w:rPr>
        <w:t xml:space="preserve"> </w:t>
      </w:r>
      <w:r w:rsidRPr="007944FA">
        <w:rPr>
          <w:rFonts w:ascii="Arial" w:hAnsi="Arial" w:cs="Arial"/>
        </w:rPr>
        <w:t>(AGRI AIR, živinoreja in raba tal)</w:t>
      </w:r>
      <w:r w:rsidRPr="007944FA">
        <w:rPr>
          <w:rFonts w:ascii="Arial" w:hAnsi="Arial" w:cs="Arial"/>
          <w:b/>
          <w:bCs/>
        </w:rPr>
        <w:t xml:space="preserve"> </w:t>
      </w:r>
    </w:p>
    <w:p w14:paraId="672D9891"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model optimizacije oskrbe z električno energijo</w:t>
      </w:r>
      <w:r w:rsidRPr="007944FA">
        <w:rPr>
          <w:rFonts w:ascii="Arial" w:hAnsi="Arial" w:cs="Arial"/>
          <w:b/>
          <w:bCs/>
        </w:rPr>
        <w:t xml:space="preserve"> </w:t>
      </w:r>
      <w:r w:rsidRPr="007944FA">
        <w:rPr>
          <w:rFonts w:ascii="Arial" w:hAnsi="Arial" w:cs="Arial"/>
        </w:rPr>
        <w:t>(optimizacijski model za načrtovanje širitev zmogljivosti)</w:t>
      </w:r>
    </w:p>
    <w:p w14:paraId="5B42F1FA" w14:textId="77777777" w:rsidR="0096636B" w:rsidRPr="007944FA" w:rsidRDefault="0096636B" w:rsidP="0038553C">
      <w:pPr>
        <w:pStyle w:val="ListParagraph"/>
        <w:numPr>
          <w:ilvl w:val="0"/>
          <w:numId w:val="18"/>
        </w:numPr>
        <w:spacing w:after="120" w:line="276" w:lineRule="auto"/>
        <w:ind w:left="284" w:hanging="284"/>
        <w:jc w:val="both"/>
        <w:rPr>
          <w:rFonts w:ascii="Arial" w:hAnsi="Arial" w:cs="Arial"/>
        </w:rPr>
      </w:pPr>
      <w:r w:rsidRPr="007944FA">
        <w:rPr>
          <w:rFonts w:ascii="Arial" w:hAnsi="Arial" w:cs="Arial"/>
        </w:rPr>
        <w:t>makroekonomski model</w:t>
      </w:r>
      <w:r w:rsidRPr="007944FA">
        <w:rPr>
          <w:rFonts w:ascii="Arial" w:hAnsi="Arial" w:cs="Arial"/>
          <w:b/>
          <w:bCs/>
        </w:rPr>
        <w:t xml:space="preserve"> </w:t>
      </w:r>
      <w:r w:rsidRPr="007944FA">
        <w:rPr>
          <w:rFonts w:ascii="Arial" w:hAnsi="Arial" w:cs="Arial"/>
        </w:rPr>
        <w:t>(GEM model splošnega ravnotežja)</w:t>
      </w:r>
    </w:p>
    <w:p w14:paraId="663C314B" w14:textId="536F1C09" w:rsidR="0096636B" w:rsidRPr="007944FA" w:rsidRDefault="0096636B" w:rsidP="0096636B">
      <w:pPr>
        <w:spacing w:after="120" w:line="276" w:lineRule="auto"/>
        <w:ind w:left="-142"/>
        <w:jc w:val="center"/>
        <w:rPr>
          <w:sz w:val="24"/>
          <w:szCs w:val="24"/>
        </w:rPr>
      </w:pPr>
      <w:r w:rsidRPr="007944FA">
        <w:rPr>
          <w:sz w:val="24"/>
          <w:szCs w:val="24"/>
        </w:rPr>
        <w:object w:dxaOrig="9060" w:dyaOrig="5565" w14:anchorId="1D655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6pt;height:276pt" o:ole="">
            <v:imagedata r:id="rId64" o:title=""/>
          </v:shape>
          <o:OLEObject Type="Embed" ProgID="Visio.Drawing.15" ShapeID="_x0000_i1025" DrawAspect="Content" ObjectID="_1808727700" r:id="rId65"/>
        </w:object>
      </w:r>
    </w:p>
    <w:p w14:paraId="24ECD166" w14:textId="2A3D56F7" w:rsidR="0096636B" w:rsidRPr="007944FA" w:rsidRDefault="0096636B" w:rsidP="0091142E">
      <w:pPr>
        <w:pStyle w:val="NIKASLIKE"/>
        <w:rPr>
          <w:lang w:eastAsia="en-GB"/>
        </w:rPr>
      </w:pPr>
      <w:bookmarkStart w:id="171" w:name="_Toc193194004"/>
      <w:r w:rsidRPr="007944FA">
        <w:t>Slika 31: Modeli</w:t>
      </w:r>
      <w:r w:rsidRPr="007944FA">
        <w:rPr>
          <w:lang w:eastAsia="en-GB"/>
        </w:rPr>
        <w:t xml:space="preserve"> za pripravo projekcij, uporabljenih v NEPN, in povezave med njimi</w:t>
      </w:r>
      <w:bookmarkEnd w:id="171"/>
    </w:p>
    <w:p w14:paraId="08B2CC49" w14:textId="77777777" w:rsidR="0096636B" w:rsidRPr="007944FA" w:rsidRDefault="0096636B" w:rsidP="0096636B">
      <w:pPr>
        <w:spacing w:after="120" w:line="245" w:lineRule="auto"/>
        <w:jc w:val="both"/>
        <w:rPr>
          <w:rFonts w:ascii="Arial" w:eastAsia="Times New Roman" w:hAnsi="Arial" w:cs="Arial"/>
          <w:b/>
          <w:bCs/>
          <w:szCs w:val="20"/>
          <w:lang w:eastAsia="sl-SI"/>
        </w:rPr>
      </w:pPr>
      <w:r w:rsidRPr="007944FA">
        <w:rPr>
          <w:rFonts w:ascii="Arial" w:eastAsia="Times New Roman" w:hAnsi="Arial" w:cs="Arial"/>
          <w:b/>
          <w:bCs/>
          <w:szCs w:val="20"/>
          <w:lang w:eastAsia="sl-SI"/>
        </w:rPr>
        <w:t>Nov model LULUCF</w:t>
      </w:r>
    </w:p>
    <w:p w14:paraId="4E53C89D" w14:textId="5A822ACA" w:rsidR="0096636B" w:rsidRPr="007944FA" w:rsidRDefault="0096636B" w:rsidP="0096636B">
      <w:pPr>
        <w:spacing w:after="120" w:line="245" w:lineRule="auto"/>
        <w:jc w:val="both"/>
        <w:rPr>
          <w:rFonts w:ascii="Arial" w:eastAsia="Times New Roman" w:hAnsi="Arial" w:cs="Arial"/>
          <w:szCs w:val="20"/>
          <w:lang w:eastAsia="sl-SI"/>
        </w:rPr>
      </w:pPr>
      <w:r w:rsidRPr="007944FA">
        <w:rPr>
          <w:rFonts w:ascii="Arial" w:eastAsia="Times New Roman" w:hAnsi="Arial" w:cs="Arial"/>
          <w:szCs w:val="20"/>
          <w:lang w:eastAsia="sl-SI"/>
        </w:rPr>
        <w:t xml:space="preserve">Za pripravo projekcij emisij in odvzemov TGP v sektorju LULUCF je bil razvit in uporabljen </w:t>
      </w:r>
      <w:r w:rsidRPr="007944FA">
        <w:rPr>
          <w:rFonts w:ascii="Arial" w:eastAsia="Times New Roman" w:hAnsi="Arial" w:cs="Arial"/>
          <w:i/>
          <w:iCs/>
          <w:szCs w:val="20"/>
          <w:lang w:eastAsia="sl-SI"/>
        </w:rPr>
        <w:t>Simulator razvoja gozda z uporabo metod strojnega učenja</w:t>
      </w:r>
      <w:bookmarkStart w:id="172" w:name="_Ref191297850"/>
      <w:r w:rsidRPr="007944FA">
        <w:rPr>
          <w:rFonts w:ascii="Arial" w:eastAsia="Times New Roman" w:hAnsi="Arial" w:cs="Arial"/>
          <w:i/>
          <w:iCs/>
          <w:szCs w:val="20"/>
          <w:lang w:eastAsia="sl-SI"/>
        </w:rPr>
        <w:t xml:space="preserve"> (MLSF)</w:t>
      </w:r>
      <w:r w:rsidRPr="007944FA">
        <w:rPr>
          <w:rFonts w:ascii="Arial" w:eastAsia="Times New Roman" w:hAnsi="Arial" w:cs="Arial"/>
          <w:iCs/>
          <w:szCs w:val="20"/>
          <w:lang w:eastAsia="sl-SI"/>
        </w:rPr>
        <w:t>;</w:t>
      </w:r>
      <w:r w:rsidRPr="007944FA">
        <w:rPr>
          <w:rFonts w:ascii="Arial" w:eastAsia="Times New Roman" w:hAnsi="Arial" w:cs="Arial"/>
          <w:i/>
          <w:iCs/>
          <w:szCs w:val="20"/>
          <w:vertAlign w:val="superscript"/>
          <w:lang w:eastAsia="sl-SI"/>
        </w:rPr>
        <w:footnoteReference w:id="94"/>
      </w:r>
      <w:bookmarkEnd w:id="172"/>
      <w:r w:rsidRPr="007944FA">
        <w:rPr>
          <w:rFonts w:ascii="Arial" w:eastAsia="Times New Roman" w:hAnsi="Arial" w:cs="Arial"/>
          <w:szCs w:val="20"/>
          <w:lang w:eastAsia="sl-SI"/>
        </w:rPr>
        <w:t xml:space="preserve"> namenjen je pripravi projekcij ključnih procesov v gozdnih ekosistemih, kot so vrast, mortaliteta, debelinska in višinska rast. Podrobneje je model opisan v članku</w:t>
      </w:r>
      <w:r w:rsidRPr="007944FA">
        <w:rPr>
          <w:rFonts w:ascii="Arial" w:eastAsia="Times New Roman" w:hAnsi="Arial" w:cs="Arial"/>
          <w:szCs w:val="20"/>
          <w:vertAlign w:val="superscript"/>
          <w:lang w:eastAsia="sl-SI"/>
        </w:rPr>
        <w:fldChar w:fldCharType="begin"/>
      </w:r>
      <w:r w:rsidRPr="007944FA">
        <w:rPr>
          <w:rFonts w:ascii="Arial" w:eastAsia="Times New Roman" w:hAnsi="Arial" w:cs="Arial"/>
          <w:szCs w:val="20"/>
          <w:vertAlign w:val="superscript"/>
          <w:lang w:eastAsia="sl-SI"/>
        </w:rPr>
        <w:instrText xml:space="preserve"> NOTEREF _Ref191297850 \h  \* MERGEFORMAT </w:instrText>
      </w:r>
      <w:r w:rsidRPr="007944FA">
        <w:rPr>
          <w:rFonts w:ascii="Arial" w:eastAsia="Times New Roman" w:hAnsi="Arial" w:cs="Arial"/>
          <w:szCs w:val="20"/>
          <w:vertAlign w:val="superscript"/>
          <w:lang w:eastAsia="sl-SI"/>
        </w:rPr>
      </w:r>
      <w:r w:rsidRPr="007944FA">
        <w:rPr>
          <w:rFonts w:ascii="Arial" w:eastAsia="Times New Roman" w:hAnsi="Arial" w:cs="Arial"/>
          <w:szCs w:val="20"/>
          <w:vertAlign w:val="superscript"/>
          <w:lang w:eastAsia="sl-SI"/>
        </w:rPr>
        <w:fldChar w:fldCharType="separate"/>
      </w:r>
      <w:r w:rsidRPr="007944FA">
        <w:rPr>
          <w:rFonts w:ascii="Arial" w:eastAsia="Times New Roman" w:hAnsi="Arial" w:cs="Arial"/>
          <w:szCs w:val="20"/>
          <w:vertAlign w:val="superscript"/>
          <w:lang w:eastAsia="sl-SI"/>
        </w:rPr>
        <w:t>22</w:t>
      </w:r>
      <w:r w:rsidRPr="007944FA">
        <w:rPr>
          <w:rFonts w:ascii="Arial" w:eastAsia="Times New Roman" w:hAnsi="Arial" w:cs="Arial"/>
          <w:szCs w:val="20"/>
          <w:vertAlign w:val="superscript"/>
          <w:lang w:eastAsia="sl-SI"/>
        </w:rPr>
        <w:fldChar w:fldCharType="end"/>
      </w:r>
      <w:r w:rsidRPr="007944FA">
        <w:rPr>
          <w:rFonts w:ascii="Arial" w:eastAsia="Times New Roman" w:hAnsi="Arial" w:cs="Arial"/>
          <w:szCs w:val="20"/>
          <w:lang w:eastAsia="sl-SI"/>
        </w:rPr>
        <w:t>. Omogoča simulacijo vpliva gozdnega gospodarjenja na dinamiko ponorov ogljika in nudi usmeritve za oblikovanje prihodnje gozdne politike v Sloveniji. Uporabljen je bil za projekcije na gozdnih zemljiščih za obdobje do leta 2050 v okviru prenove NEPN.</w:t>
      </w:r>
    </w:p>
    <w:p w14:paraId="7F43FC6F" w14:textId="77777777" w:rsidR="0096636B" w:rsidRPr="007944FA" w:rsidRDefault="0096636B" w:rsidP="00EF35F6">
      <w:pPr>
        <w:jc w:val="both"/>
        <w:rPr>
          <w:rFonts w:ascii="Arial" w:hAnsi="Arial" w:cs="Arial"/>
        </w:rPr>
      </w:pPr>
      <w:r w:rsidRPr="007944FA">
        <w:rPr>
          <w:rFonts w:ascii="Arial" w:hAnsi="Arial" w:cs="Arial"/>
        </w:rPr>
        <w:t>Pri modeliranju zaloge ogljika na gozdnih zemljiščih z modelom MLFS so bile opredeljena tri ključna predvidevanja: o obsegu oz</w:t>
      </w:r>
      <w:r w:rsidRPr="007944FA">
        <w:rPr>
          <w:rFonts w:ascii="Arial" w:eastAsia="Palatino Linotype" w:hAnsi="Arial" w:cs="Arial"/>
        </w:rPr>
        <w:t>iroma</w:t>
      </w:r>
      <w:r w:rsidRPr="007944FA">
        <w:rPr>
          <w:rFonts w:ascii="Arial" w:hAnsi="Arial" w:cs="Arial"/>
        </w:rPr>
        <w:t xml:space="preserve"> količini poseka, vplivu svetovnega segrevanja in pojavljanju ujm. Čeprav podnebni podatki niso obvezni, jih je treba zagotoviti v mesečnih intervalih za celotno obdobje kalibracije in za predvideno obdobje simulacije. Ti podatki vključujejo povprečne mesečne temperature zraka in padavin. Ujme so v zadnjem desetletju močno vplivale na dinamiko ponora ogljika v slovenskih gozdovih, saj so zaradi povečane sečnje znatno zmanjšale ponor v sektorju. Pri modeliranju je bilo predvideno, da v vsakem drugem koraku (to je na 6–12 let) pride do različnih vrst ujm, ki letno prizadenejo 5 % gozdnih površin. Za upoštevanje vpliva kompeticije na smrtnost dreves je bila uporabljena dinamična stopnja mortalitete, kot sta jo predstavila Monserud in Sterba (1999),</w:t>
      </w:r>
      <w:r w:rsidRPr="007944FA">
        <w:rPr>
          <w:rFonts w:ascii="Arial" w:hAnsi="Arial" w:cs="Arial"/>
          <w:vertAlign w:val="superscript"/>
        </w:rPr>
        <w:footnoteReference w:id="95"/>
      </w:r>
      <w:r w:rsidRPr="007944FA">
        <w:rPr>
          <w:rFonts w:ascii="Arial" w:hAnsi="Arial" w:cs="Arial"/>
        </w:rPr>
        <w:t xml:space="preserve"> kjer se smrtnost povečuje sorazmerno z intenzivnostjo kompeticije. Pri modeliranju poseka je bilo uporabljeno dolgoletno povprečje razmerja med končnimi poseki in redčenji, ki znaša približno 20 : 80.</w:t>
      </w:r>
    </w:p>
    <w:p w14:paraId="6E382083" w14:textId="77777777" w:rsidR="0096636B" w:rsidRPr="007944FA" w:rsidRDefault="0096636B" w:rsidP="0096636B">
      <w:pPr>
        <w:rPr>
          <w:rFonts w:ascii="Arial" w:hAnsi="Arial" w:cs="Arial"/>
          <w:b/>
          <w:bCs/>
        </w:rPr>
      </w:pPr>
      <w:r w:rsidRPr="007944FA">
        <w:rPr>
          <w:rFonts w:ascii="Arial" w:hAnsi="Arial" w:cs="Arial"/>
          <w:b/>
          <w:bCs/>
        </w:rPr>
        <w:t>Nadgradnja drugih modelov</w:t>
      </w:r>
    </w:p>
    <w:p w14:paraId="7A443AE5" w14:textId="77777777" w:rsidR="0096636B" w:rsidRPr="007944FA" w:rsidRDefault="0096636B" w:rsidP="0096636B">
      <w:pPr>
        <w:rPr>
          <w:rFonts w:ascii="Arial" w:hAnsi="Arial" w:cs="Arial"/>
        </w:rPr>
      </w:pPr>
      <w:r w:rsidRPr="007944FA">
        <w:rPr>
          <w:rFonts w:ascii="Arial" w:hAnsi="Arial" w:cs="Arial"/>
        </w:rPr>
        <w:lastRenderedPageBreak/>
        <w:t xml:space="preserve">Nadgradnja drugih modelov za projekcije emisij TGP je potekala od leta 2022 do leta 2024 v okviru prenove Celovitega nacionalnega energetsko podnebnega načrta in je obsegala: </w:t>
      </w:r>
    </w:p>
    <w:p w14:paraId="26946665" w14:textId="77777777" w:rsidR="0096636B" w:rsidRPr="007944FA" w:rsidRDefault="0096636B" w:rsidP="0038553C">
      <w:pPr>
        <w:numPr>
          <w:ilvl w:val="0"/>
          <w:numId w:val="19"/>
        </w:numPr>
        <w:spacing w:after="120" w:line="245" w:lineRule="auto"/>
        <w:ind w:right="141"/>
        <w:contextualSpacing/>
        <w:jc w:val="both"/>
        <w:rPr>
          <w:rFonts w:ascii="Arial" w:hAnsi="Arial" w:cs="Arial"/>
          <w:u w:val="single"/>
        </w:rPr>
      </w:pPr>
      <w:r w:rsidRPr="007944FA">
        <w:rPr>
          <w:rFonts w:ascii="Arial" w:hAnsi="Arial" w:cs="Arial"/>
          <w:u w:val="single"/>
        </w:rPr>
        <w:t>model stavb v REES SLO</w:t>
      </w:r>
      <w:r w:rsidRPr="007944FA">
        <w:rPr>
          <w:rFonts w:ascii="Arial" w:hAnsi="Arial" w:cs="Arial"/>
        </w:rPr>
        <w:t xml:space="preserve"> je bil nadgrajen z novo strukturo za 13 tipov stavb v storitvenem sektorju, ki omogoča natančnejši izračun specifične rabe energije za ogrevanje, hlajenje, prezračevanje, razsvetljavo, toplo vodo in drugo rabo električne energije;</w:t>
      </w:r>
    </w:p>
    <w:p w14:paraId="2628E644" w14:textId="77777777" w:rsidR="0096636B" w:rsidRPr="007944FA" w:rsidRDefault="0096636B" w:rsidP="0038553C">
      <w:pPr>
        <w:numPr>
          <w:ilvl w:val="0"/>
          <w:numId w:val="19"/>
        </w:numPr>
        <w:spacing w:after="120" w:line="245" w:lineRule="auto"/>
        <w:ind w:right="141"/>
        <w:contextualSpacing/>
        <w:jc w:val="both"/>
        <w:rPr>
          <w:rFonts w:ascii="Arial" w:hAnsi="Arial" w:cs="Arial"/>
          <w:u w:val="single"/>
        </w:rPr>
      </w:pPr>
      <w:r w:rsidRPr="007944FA">
        <w:rPr>
          <w:rFonts w:ascii="Arial" w:hAnsi="Arial" w:cs="Arial"/>
          <w:u w:val="single"/>
        </w:rPr>
        <w:t>v modelu prometa v REES SLO</w:t>
      </w:r>
      <w:r w:rsidRPr="007944FA">
        <w:rPr>
          <w:rFonts w:ascii="Arial" w:hAnsi="Arial" w:cs="Arial"/>
        </w:rPr>
        <w:t xml:space="preserve"> je izboljšan </w:t>
      </w:r>
      <w:r w:rsidRPr="007944FA">
        <w:rPr>
          <w:rFonts w:ascii="Arial" w:hAnsi="Arial" w:cs="Arial"/>
          <w:bCs/>
        </w:rPr>
        <w:t>podmodel za vozni park, in sicer so bila ločeno obravnavana prvič registrirana uvožena rabljena vozila iz tujine od novih, v modelu je bila upoštevana tudi njihova starostna struktura. Prenovljena so bila tudi predvidevanja življenjskih krivulj za različne tehnologije vozil. V model so bila vpeljana trajnostna goriva v letalstvu. Dodatno je bil v modelu izračunan obseg prometne aktivnosti, usklajen z obsegom prodaje goriv v Sloveniji;</w:t>
      </w:r>
    </w:p>
    <w:p w14:paraId="0A1693AD" w14:textId="77777777" w:rsidR="0096636B" w:rsidRPr="007944FA" w:rsidRDefault="0096636B" w:rsidP="0038553C">
      <w:pPr>
        <w:numPr>
          <w:ilvl w:val="0"/>
          <w:numId w:val="19"/>
        </w:numPr>
        <w:spacing w:after="120" w:line="245" w:lineRule="auto"/>
        <w:ind w:right="141"/>
        <w:contextualSpacing/>
        <w:jc w:val="both"/>
        <w:rPr>
          <w:rFonts w:ascii="Arial" w:hAnsi="Arial" w:cs="Arial"/>
        </w:rPr>
      </w:pPr>
      <w:r w:rsidRPr="007944FA">
        <w:rPr>
          <w:rFonts w:ascii="Arial" w:hAnsi="Arial" w:cs="Arial"/>
          <w:u w:val="single"/>
        </w:rPr>
        <w:t>model Primos, integralni prometni model Slovenije</w:t>
      </w:r>
      <w:r w:rsidRPr="007944FA">
        <w:rPr>
          <w:rFonts w:ascii="Arial" w:hAnsi="Arial" w:cs="Arial"/>
        </w:rPr>
        <w:t xml:space="preserve"> je bil prvič uporabljen za analizo aktivnosti med posameznimi kategorijami naselij (večja mesta, mestne občine, drugo) in različnimi nameni poti. To je omogočilo bolj ciljno oblikovanje ukrepov in realnejšo oceno njihovih učinkov. Izdelan je bil tudi podmodel za modeliranje prometnega dela, ki je omogočil analizo še drugih politik in ukrepov, ki jih v obstoječem modelu PRIMOS ni mogoče neposredno modelirati, to so na primer spremembe parkirne politike, ukrepi prostorske politike, razvoj trajnostne mobilnosti znotraj con in podobno;</w:t>
      </w:r>
    </w:p>
    <w:p w14:paraId="1F2C0694" w14:textId="77777777" w:rsidR="0096636B" w:rsidRPr="007944FA" w:rsidRDefault="0096636B" w:rsidP="0038553C">
      <w:pPr>
        <w:numPr>
          <w:ilvl w:val="0"/>
          <w:numId w:val="19"/>
        </w:numPr>
        <w:spacing w:after="120" w:line="245" w:lineRule="auto"/>
        <w:ind w:right="141"/>
        <w:contextualSpacing/>
        <w:jc w:val="both"/>
        <w:rPr>
          <w:rFonts w:ascii="Arial" w:hAnsi="Arial" w:cs="Arial"/>
        </w:rPr>
      </w:pPr>
      <w:r w:rsidRPr="007944FA">
        <w:rPr>
          <w:rFonts w:ascii="Arial" w:hAnsi="Arial" w:cs="Arial"/>
          <w:u w:val="single"/>
        </w:rPr>
        <w:t>model optimizacije oskrbe z električno energijo</w:t>
      </w:r>
      <w:r w:rsidRPr="007944FA">
        <w:rPr>
          <w:rFonts w:ascii="Arial" w:hAnsi="Arial" w:cs="Arial"/>
        </w:rPr>
        <w:t xml:space="preserve"> je bil nadgrajen in razširjen pri obravnavi sistemov za hranjenje električne energije (SHEE) tako, da poleg črpalnih hidroelektrarn vključuje še druge sisteme, kot so baterijski hranilniki in proizvodnja vodika;</w:t>
      </w:r>
    </w:p>
    <w:p w14:paraId="77050E1D" w14:textId="77777777" w:rsidR="0096636B" w:rsidRPr="007944FA" w:rsidRDefault="0096636B" w:rsidP="0038553C">
      <w:pPr>
        <w:numPr>
          <w:ilvl w:val="0"/>
          <w:numId w:val="19"/>
        </w:numPr>
        <w:spacing w:after="120" w:line="245" w:lineRule="auto"/>
        <w:ind w:right="141"/>
        <w:contextualSpacing/>
        <w:jc w:val="both"/>
        <w:rPr>
          <w:rFonts w:ascii="Arial" w:hAnsi="Arial" w:cs="Arial"/>
        </w:rPr>
      </w:pPr>
      <w:r w:rsidRPr="007944FA">
        <w:rPr>
          <w:rFonts w:ascii="Arial" w:hAnsi="Arial" w:cs="Arial"/>
          <w:u w:val="single"/>
        </w:rPr>
        <w:t>v model kmetijstva AGRI AIR</w:t>
      </w:r>
      <w:r w:rsidRPr="007944FA">
        <w:rPr>
          <w:rFonts w:ascii="Arial" w:hAnsi="Arial" w:cs="Arial"/>
        </w:rPr>
        <w:t xml:space="preserve"> so bile vključene posodobitve, ki jih je Slovenija uvedla pri poročanju o emisijah. Model je bil nadgrajen za ocene učinkov prihajajočih novih tehnik za zmanjšanje emisij TGP v kmetijstvu, za zmanjšanje metanogeneze v prebavilih rejnih živali in inhibitorjev ureaze/nitrifikacije/denitrifikacije, ki se uporabljajo za zmanjšanje emisij didušikovega oksida pri gnojenju kmetijskih rastlin. </w:t>
      </w:r>
    </w:p>
    <w:p w14:paraId="17FB7123" w14:textId="77777777" w:rsidR="0096636B" w:rsidRPr="007944FA" w:rsidRDefault="0096636B" w:rsidP="0096636B">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Modeli in njihova nadgradnja so opisani v D</w:t>
      </w:r>
      <w:hyperlink r:id="rId66" w:tgtFrame="_blank" w:history="1">
        <w:r w:rsidRPr="007944FA">
          <w:rPr>
            <w:rFonts w:ascii="Arial" w:eastAsia="Times New Roman" w:hAnsi="Arial" w:cs="Arial"/>
            <w:lang w:eastAsia="sl-SI"/>
          </w:rPr>
          <w:t>opolnjenem Končnem poročilu o posodobljenih strokovnih podlagah NEPN</w:t>
        </w:r>
      </w:hyperlink>
      <w:r w:rsidRPr="007944FA">
        <w:rPr>
          <w:rFonts w:ascii="Arial" w:eastAsia="Times New Roman" w:hAnsi="Arial" w:cs="Arial"/>
          <w:lang w:eastAsia="sl-SI"/>
        </w:rPr>
        <w:t>.</w:t>
      </w:r>
      <w:r w:rsidRPr="007944FA">
        <w:rPr>
          <w:rFonts w:ascii="Arial" w:eastAsia="Times New Roman" w:hAnsi="Arial" w:cs="Arial"/>
          <w:iCs/>
          <w:vertAlign w:val="superscript"/>
          <w:lang w:eastAsia="sl-SI"/>
        </w:rPr>
        <w:footnoteReference w:id="96"/>
      </w:r>
      <w:r w:rsidRPr="007944FA">
        <w:rPr>
          <w:rFonts w:ascii="Arial" w:eastAsia="Times New Roman" w:hAnsi="Arial" w:cs="Arial"/>
          <w:lang w:eastAsia="sl-SI"/>
        </w:rPr>
        <w:t xml:space="preserve"> Podrobneje so bili modeli predstavljeni v poročilih projekta LIFE Podnebna pot 2050.</w:t>
      </w:r>
      <w:r w:rsidRPr="007944FA">
        <w:rPr>
          <w:rFonts w:ascii="Arial" w:eastAsia="Times New Roman" w:hAnsi="Arial" w:cs="Arial"/>
          <w:vertAlign w:val="superscript"/>
          <w:lang w:eastAsia="sl-SI"/>
        </w:rPr>
        <w:footnoteReference w:id="97"/>
      </w:r>
    </w:p>
    <w:p w14:paraId="6F0F0ADB" w14:textId="15ADC178" w:rsidR="0096636B" w:rsidRPr="007944FA" w:rsidRDefault="002F0522" w:rsidP="002F0522">
      <w:pPr>
        <w:pStyle w:val="Heading3"/>
      </w:pPr>
      <w:bookmarkStart w:id="173" w:name="_Toc196300835"/>
      <w:r w:rsidRPr="007944FA">
        <w:t>II.F.11 Ključni kazalniki za oceno napredka pri doseganju NDC</w:t>
      </w:r>
      <w:bookmarkEnd w:id="173"/>
    </w:p>
    <w:p w14:paraId="0B14A9EF" w14:textId="77777777" w:rsidR="002F0522" w:rsidRPr="007944FA" w:rsidRDefault="002F0522" w:rsidP="002F0522">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 xml:space="preserve">Napredek pri doseganju skupnega NDC EU je mogoče določiti le na ravni EU; informacije o projekcijah teh ključnih kazalnikov so na voljo v BTR EU.  </w:t>
      </w:r>
    </w:p>
    <w:p w14:paraId="731AD9B5" w14:textId="5A02515E" w:rsidR="002F0522" w:rsidRPr="00620899" w:rsidRDefault="002F0522" w:rsidP="00620899">
      <w:pPr>
        <w:spacing w:after="120" w:line="245" w:lineRule="auto"/>
        <w:jc w:val="both"/>
        <w:rPr>
          <w:rFonts w:ascii="Arial" w:eastAsia="Times New Roman" w:hAnsi="Arial" w:cs="Arial"/>
          <w:lang w:eastAsia="sl-SI"/>
        </w:rPr>
      </w:pPr>
      <w:r w:rsidRPr="007944FA">
        <w:rPr>
          <w:rFonts w:ascii="Arial" w:eastAsia="Times New Roman" w:hAnsi="Arial" w:cs="Arial"/>
          <w:lang w:eastAsia="sl-SI"/>
        </w:rPr>
        <w:t>Slovenija prispeva k doseganju skupnega NDC EU do leta 2030 v okviru podnebnega in energetskega okvira z doseganjem svojih ciljev v okviru uredbe o porazdelitvi prizadevanj (ESR) in uredbe o rabi zemljišč, rabi zemljišč in gozdarstvu (LULUCF). Analiza doseganja ciljev Slovenije je razvidna iz poglavja, ki opisuje gibanje emisij neETS (</w:t>
      </w:r>
      <w:r w:rsidRPr="007944FA">
        <w:rPr>
          <w:rFonts w:ascii="Arial" w:eastAsia="Times New Roman" w:hAnsi="Arial" w:cs="Arial"/>
          <w:lang w:eastAsia="sl-SI"/>
        </w:rPr>
        <w:fldChar w:fldCharType="begin"/>
      </w:r>
      <w:r w:rsidRPr="007944FA">
        <w:rPr>
          <w:rFonts w:ascii="Arial" w:eastAsia="Times New Roman" w:hAnsi="Arial" w:cs="Arial"/>
          <w:lang w:eastAsia="sl-SI"/>
        </w:rPr>
        <w:instrText xml:space="preserve"> REF _Ref192060267 \r \h  \* MERGEFORMAT </w:instrText>
      </w:r>
      <w:r w:rsidRPr="007944FA">
        <w:rPr>
          <w:rFonts w:ascii="Arial" w:eastAsia="Times New Roman" w:hAnsi="Arial" w:cs="Arial"/>
          <w:lang w:eastAsia="sl-SI"/>
        </w:rPr>
      </w:r>
      <w:r w:rsidRPr="007944FA">
        <w:rPr>
          <w:rFonts w:ascii="Arial" w:eastAsia="Times New Roman" w:hAnsi="Arial" w:cs="Arial"/>
          <w:lang w:eastAsia="sl-SI"/>
        </w:rPr>
        <w:fldChar w:fldCharType="separate"/>
      </w:r>
      <w:r w:rsidRPr="007944FA">
        <w:rPr>
          <w:rFonts w:ascii="Arial" w:eastAsia="Times New Roman" w:hAnsi="Arial" w:cs="Arial"/>
          <w:lang w:eastAsia="sl-SI"/>
        </w:rPr>
        <w:t>V</w:t>
      </w:r>
      <w:r w:rsidRPr="007944FA">
        <w:rPr>
          <w:rFonts w:ascii="Arial" w:eastAsia="Times New Roman" w:hAnsi="Arial" w:cs="Arial"/>
          <w:lang w:eastAsia="sl-SI"/>
        </w:rPr>
        <w:fldChar w:fldCharType="end"/>
      </w:r>
      <w:r w:rsidRPr="007944FA">
        <w:rPr>
          <w:rFonts w:ascii="Arial" w:eastAsia="Times New Roman" w:hAnsi="Arial" w:cs="Arial"/>
          <w:lang w:eastAsia="sl-SI"/>
        </w:rPr>
        <w:t>).</w:t>
      </w:r>
    </w:p>
    <w:p w14:paraId="1DD6A1C0" w14:textId="1076A2C1" w:rsidR="006E07EE" w:rsidRPr="007944FA" w:rsidRDefault="006E07EE" w:rsidP="006E07EE">
      <w:pPr>
        <w:pStyle w:val="Heading2"/>
      </w:pPr>
      <w:bookmarkStart w:id="174" w:name="_Toc196300836"/>
      <w:r w:rsidRPr="007944FA">
        <w:t>II.G Druge informacije</w:t>
      </w:r>
      <w:bookmarkEnd w:id="174"/>
    </w:p>
    <w:p w14:paraId="64986441" w14:textId="77777777" w:rsidR="002F0522" w:rsidRPr="007944FA" w:rsidRDefault="002F0522" w:rsidP="002F0522">
      <w:pPr>
        <w:jc w:val="both"/>
        <w:rPr>
          <w:rFonts w:ascii="Arial" w:hAnsi="Arial" w:cs="Arial"/>
          <w:lang w:eastAsia="sl-SI"/>
        </w:rPr>
      </w:pPr>
      <w:r w:rsidRPr="007944FA">
        <w:rPr>
          <w:rFonts w:ascii="Arial" w:hAnsi="Arial" w:cs="Arial"/>
        </w:rPr>
        <w:t>Vse pomembne informacije so navedene v oddelkih A–F zgoraj, zato tukaj dodatne niso podane.</w:t>
      </w:r>
    </w:p>
    <w:p w14:paraId="5CACDF8A" w14:textId="77777777" w:rsidR="006E07EE" w:rsidRPr="007944FA" w:rsidRDefault="006E07EE" w:rsidP="006E07EE"/>
    <w:p w14:paraId="2CFFAE20" w14:textId="5528B50F" w:rsidR="006E07EE" w:rsidRPr="007944FA" w:rsidRDefault="002F0522" w:rsidP="002F0522">
      <w:pPr>
        <w:pStyle w:val="Heading1"/>
        <w:jc w:val="both"/>
      </w:pPr>
      <w:bookmarkStart w:id="175" w:name="_Toc192499426"/>
      <w:bookmarkStart w:id="176" w:name="_Toc196300837"/>
      <w:r w:rsidRPr="007944FA">
        <w:lastRenderedPageBreak/>
        <w:t>III Informacije v zvezi z vplivi podnebnih sprememb in prilagajanjem nanje v skladu s 7. členom Pariškega sporazuma</w:t>
      </w:r>
      <w:bookmarkEnd w:id="175"/>
      <w:bookmarkEnd w:id="176"/>
    </w:p>
    <w:p w14:paraId="7EBE5B74" w14:textId="77777777" w:rsidR="002F0522" w:rsidRPr="007944FA" w:rsidRDefault="002F0522" w:rsidP="002F0522">
      <w:pPr>
        <w:pBdr>
          <w:top w:val="single" w:sz="4" w:space="0"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104. Vsaka pogodbenica bi morala, kjer je primerno, zagotoviti informacije v zvezi z vplivi podnebnih sprememb in prilagajanjem nanje v skladu s 7. členom Pariškega sporazuma. Predložitev takih informacij ni obvezna.</w:t>
      </w:r>
    </w:p>
    <w:p w14:paraId="67C773AA" w14:textId="77777777" w:rsidR="002F0522" w:rsidRPr="007944FA" w:rsidRDefault="002F0522" w:rsidP="002F0522">
      <w:pPr>
        <w:pBdr>
          <w:top w:val="single" w:sz="4" w:space="0"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105. Spodaj navedene informacije bi lahko med drugim olajšale priznavanje prizadevanj za prilagajanje držav v razvoju.</w:t>
      </w:r>
    </w:p>
    <w:p w14:paraId="791B9752" w14:textId="77777777" w:rsidR="006E07EE" w:rsidRPr="007944FA" w:rsidRDefault="006E07EE" w:rsidP="006E07EE"/>
    <w:p w14:paraId="349C4047" w14:textId="77777777" w:rsidR="002F0522" w:rsidRPr="007944FA" w:rsidRDefault="002F0522" w:rsidP="002F0522">
      <w:pPr>
        <w:pStyle w:val="Heading2"/>
      </w:pPr>
      <w:bookmarkStart w:id="177" w:name="_Toc191036643"/>
      <w:bookmarkStart w:id="178" w:name="_Toc192499427"/>
      <w:bookmarkStart w:id="179" w:name="_Toc196300838"/>
      <w:r w:rsidRPr="007944FA">
        <w:t>III.A Nacionalne okoliščine, institucionalne ureditve in pravni okviri</w:t>
      </w:r>
      <w:bookmarkEnd w:id="177"/>
      <w:bookmarkEnd w:id="178"/>
      <w:bookmarkEnd w:id="179"/>
    </w:p>
    <w:p w14:paraId="4050F7D0" w14:textId="77777777" w:rsidR="002F0522" w:rsidRPr="007944FA" w:rsidRDefault="002F0522" w:rsidP="002F0522">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106. Vsaka pogodbenica bi morala, kjer je primerno, zagotoviti naslednje informacije:</w:t>
      </w:r>
    </w:p>
    <w:p w14:paraId="7D3FCE2F" w14:textId="10517378" w:rsidR="002F0522" w:rsidRPr="007944FA" w:rsidRDefault="002F0522" w:rsidP="002F0522">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(a) nacionalne okoliščine, ki so pomembne za njene ukrepe prilagajanja, vključno z biogeofizikalnimi značilnostmi, demografijo, gospodarstvom, infrastrukturo in informacijami o prilagoditveni zmogljivosti; </w:t>
      </w:r>
    </w:p>
    <w:p w14:paraId="13D5E94C" w14:textId="410F4D76" w:rsidR="002F0522" w:rsidRPr="007944FA" w:rsidRDefault="002F0522" w:rsidP="002F0522">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(b) institucionalne ureditve in upravljanje, vključno z ocenjevanjem vplivov, obravnavo podnebnih sprememb na sektorski ravni, sprejemanjem odločitev, načrtovanjem, usklajevanjem, obravnavanjem horizontalnih vprašanj, prilagajanjem prednostnih nalog in dejavnosti, posvetovanjem, sodelovanjem, izvajanjem, upravljanjem podatkov, spremljanjem in ocenjevanjem ter poročanjem; </w:t>
      </w:r>
    </w:p>
    <w:p w14:paraId="588FC697" w14:textId="34FB5ADD" w:rsidR="002F0522" w:rsidRPr="007944FA" w:rsidRDefault="002F0522" w:rsidP="002F0522">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(c) pravni in politični okviri ter predpisi.</w:t>
      </w:r>
    </w:p>
    <w:p w14:paraId="6E6B8EF2" w14:textId="77777777" w:rsidR="002F0522" w:rsidRPr="007944FA" w:rsidRDefault="002F0522" w:rsidP="002F0522">
      <w:pPr>
        <w:shd w:val="clear" w:color="auto" w:fill="FFFFFF" w:themeFill="background1"/>
        <w:contextualSpacing/>
        <w:jc w:val="both"/>
        <w:rPr>
          <w:rFonts w:ascii="Arial" w:hAnsi="Arial" w:cs="Arial"/>
          <w:sz w:val="20"/>
          <w:szCs w:val="20"/>
        </w:rPr>
      </w:pPr>
    </w:p>
    <w:p w14:paraId="04D6A54D" w14:textId="77777777" w:rsidR="002F0522" w:rsidRPr="007944FA" w:rsidRDefault="002F0522" w:rsidP="002F0522">
      <w:pPr>
        <w:spacing w:line="257" w:lineRule="auto"/>
        <w:jc w:val="both"/>
        <w:rPr>
          <w:rFonts w:ascii="Arial" w:eastAsia="Calibri" w:hAnsi="Arial" w:cs="Arial"/>
        </w:rPr>
      </w:pPr>
      <w:r w:rsidRPr="007944FA">
        <w:rPr>
          <w:rFonts w:ascii="Arial" w:eastAsia="Calibri" w:hAnsi="Arial" w:cs="Arial"/>
        </w:rPr>
        <w:t>Podnebje v Sloveniji določajo različni dejavniki, med najpomembnejšimi so razgiban relief, geografska lega Slovenije, usmerjenost gorskih grebenov in bližina morja. Posledica prepleta teh dejavnikov je zelo raznoliko podnebje. V Sloveniji imamo tri prevladujoče tipa podnebja: na vzhodu je zmerno celinsko podnebje, v osrednji Sloveniji subalpsko (v gorskem svetu alpsko) in zahodno od dinarsko-alpske pregrade je submediteransko podnebje. Podnebno raznolikost odražajo podnebne spremenljivke, ki imajo različno dnevno, sezonsko in večletno sprejemljivost. Različno podnebje pa vpliva tudi na prilagoditvene sposobnosti posameznega območja na posledice podnebnih sprememb.</w:t>
      </w:r>
    </w:p>
    <w:p w14:paraId="39903378" w14:textId="77777777" w:rsidR="002F0522" w:rsidRPr="007944FA" w:rsidRDefault="002F0522" w:rsidP="002F0522">
      <w:pPr>
        <w:spacing w:line="257" w:lineRule="auto"/>
        <w:jc w:val="both"/>
        <w:rPr>
          <w:rFonts w:ascii="Arial" w:eastAsia="Calibri" w:hAnsi="Arial" w:cs="Arial"/>
        </w:rPr>
      </w:pPr>
      <w:r w:rsidRPr="007944FA">
        <w:rPr>
          <w:rFonts w:ascii="Arial" w:eastAsia="Calibri" w:hAnsi="Arial" w:cs="Arial"/>
        </w:rPr>
        <w:t xml:space="preserve">V Sloveniji živi v mestih okrog 50 % prebivalcev, v njih pa dela več kot 90 % vseh zaposlenih. Tudi v Sloveniji se bo s podnebnimi spremembami soočala postarana družba (leta 2022 so prebivalci, stari 65 let ali več, sestavljali nekaj več kot 21 % prebivalstva, projekcije kažejo, da naj bi bilo leta 2100 v tej starostni skupini več kot 32 % prebivalcev Slovenije). </w:t>
      </w:r>
    </w:p>
    <w:p w14:paraId="6C135AC8" w14:textId="77777777" w:rsidR="002F0522" w:rsidRPr="007944FA" w:rsidRDefault="002F0522" w:rsidP="002F0522">
      <w:pPr>
        <w:spacing w:line="257" w:lineRule="auto"/>
        <w:jc w:val="both"/>
        <w:rPr>
          <w:rFonts w:ascii="Arial" w:eastAsia="Calibri" w:hAnsi="Arial" w:cs="Arial"/>
        </w:rPr>
      </w:pPr>
      <w:r w:rsidRPr="007944FA">
        <w:rPr>
          <w:rFonts w:ascii="Arial" w:eastAsia="Calibri" w:hAnsi="Arial" w:cs="Arial"/>
        </w:rPr>
        <w:t>Kot navaja Strategija slovenskega turizma 2002–2028, je turizem v letu 2019 prispeval 9,9 % k BDP Slovenije in je pomembna gospodarska panoga v Sloveniji, ki je pa hkrati tudi izredno občutljiva za posledice podnebnih sprememb. Eden od posebej ranljivih sektorjev za podnebne spremembe je zimski turizem. Slovenija ima razvejeno infrastrukturno omrežje. Slovensko cestno omrežje obsega okrog 39.000 km cest. Ceste delimo na državne in občinske. Občinske so v občinski lasti, državne v državni. Državne ceste zajemajo avtoceste, hitre ceste, glavne in regionalne ceste. Dolžina železniških prog v Sloveniji je 1207 km, od tega je elektrificiranih prog 609 km.</w:t>
      </w:r>
    </w:p>
    <w:p w14:paraId="3D8EA2D7" w14:textId="33FBD8BB" w:rsidR="002F0522" w:rsidRPr="007944FA" w:rsidRDefault="002F0522" w:rsidP="002F0522">
      <w:pPr>
        <w:spacing w:line="257" w:lineRule="auto"/>
        <w:jc w:val="both"/>
        <w:rPr>
          <w:rFonts w:ascii="Arial" w:hAnsi="Arial" w:cs="Arial"/>
        </w:rPr>
      </w:pPr>
      <w:r w:rsidRPr="007944FA">
        <w:rPr>
          <w:rFonts w:ascii="Arial" w:eastAsia="Calibri" w:hAnsi="Arial" w:cs="Arial"/>
        </w:rPr>
        <w:t xml:space="preserve">V Sloveniji je z Zakonom o Vladi Republike Slovenije, ki je bil potrjen na referendumu 27. novembra 2022, za delovanje v zvezi s podnebjem zadolženo novoustanovljeno MOPE. MOPE pri izvajanju nalog s področja podnebja sodeluje z drugimi ministrstvi in </w:t>
      </w:r>
      <w:r w:rsidRPr="007944FA">
        <w:rPr>
          <w:rFonts w:ascii="Arial" w:eastAsia="Calibri" w:hAnsi="Arial" w:cs="Arial"/>
          <w:color w:val="000000" w:themeColor="text1"/>
        </w:rPr>
        <w:t xml:space="preserve">drugimi deležniki. Leta 2016 je bila ustanovljena medresorska delovna skupina za prilagajanje podnebnim spremembam, s člani iz vseh zadevnih ministrstev, agencij in vladnih služb, ki je </w:t>
      </w:r>
      <w:r w:rsidRPr="007944FA">
        <w:rPr>
          <w:rFonts w:ascii="Arial" w:eastAsia="Calibri" w:hAnsi="Arial" w:cs="Arial"/>
          <w:color w:val="000000" w:themeColor="text1"/>
        </w:rPr>
        <w:lastRenderedPageBreak/>
        <w:t>bila zadolžena za izvajanje nacionalne strategije prilagajanja ter horizontalno in vertikalno usklajevanje politike prilagajanja. Žal skupina zaradi velikega števila članov (nad 40) ni pogosto zasedala, ampak je večinoma delovala dvostransko. V procesu priprave nove nacionalne strategije prilagajanja bo medresorska delovna skupina preoblikovana v bolj operativno različico.</w:t>
      </w:r>
      <w:r w:rsidRPr="007944FA">
        <w:rPr>
          <w:rFonts w:ascii="Arial" w:eastAsia="Calibri" w:hAnsi="Arial" w:cs="Arial"/>
        </w:rPr>
        <w:t xml:space="preserve"> Na področju zgodnjega obveščanja pred naravnimi in drugimi nesrečami imata nosilno vlogo Agencija Republike Slovenije za okolje in </w:t>
      </w:r>
      <w:r w:rsidRPr="007944FA">
        <w:rPr>
          <w:rFonts w:ascii="Arial" w:eastAsia="Calibri" w:hAnsi="Arial" w:cs="Arial"/>
          <w:color w:val="000000" w:themeColor="text1"/>
        </w:rPr>
        <w:t>Uprava Republike Slovenije za zaščito in reševanje.</w:t>
      </w:r>
    </w:p>
    <w:p w14:paraId="2409F96F" w14:textId="77777777" w:rsidR="002F0522" w:rsidRPr="007944FA" w:rsidRDefault="002F0522" w:rsidP="002F0522">
      <w:pPr>
        <w:spacing w:line="257" w:lineRule="auto"/>
        <w:jc w:val="both"/>
        <w:rPr>
          <w:rFonts w:ascii="Arial" w:hAnsi="Arial" w:cs="Arial"/>
        </w:rPr>
      </w:pPr>
      <w:r w:rsidRPr="007944FA">
        <w:rPr>
          <w:rFonts w:ascii="Arial" w:eastAsia="Calibri" w:hAnsi="Arial" w:cs="Arial"/>
        </w:rPr>
        <w:t xml:space="preserve">V Sloveniji nimamo regionalne oblasti, obstaja pa 12 statističnih/razvojnih regij z regionalnimi razvojnimi in energetskimi agencijami, ki imajo koordinacijsko vlogo za različne namene, med drugim načrtujejo in pripravljajo nove regionalne prostorske načrte ter se dogovarjajo o razdelitvi evropskih sredstev. Regionalne agencije naj bi v skladu z osnutkom podnebnega zakona pripravljale tudi regionalne akcijske načrte prilagajanja podnebnim spremembam. </w:t>
      </w:r>
    </w:p>
    <w:p w14:paraId="2DB2DD4F" w14:textId="77777777" w:rsidR="002F0522" w:rsidRPr="007944FA" w:rsidRDefault="002F0522" w:rsidP="002F0522">
      <w:pPr>
        <w:spacing w:line="257" w:lineRule="auto"/>
        <w:jc w:val="both"/>
        <w:rPr>
          <w:rFonts w:ascii="Arial" w:hAnsi="Arial" w:cs="Arial"/>
        </w:rPr>
      </w:pPr>
      <w:r w:rsidRPr="007944FA">
        <w:rPr>
          <w:rFonts w:ascii="Arial" w:eastAsia="Calibri" w:hAnsi="Arial" w:cs="Arial"/>
        </w:rPr>
        <w:t>V Sloveniji imamo tudi 212 lokalnih skupnosti, ki imajo različne pristojnosti. Večina nalog v pristojnosti občin se nanaša na področja prostorskega načrtovanja, gradnje objektov, lokalnih javnih služb, varstva okolja, osnovnega šolstva, varstva otrok in drugih. Predlog podnebnega zakona predvideva, da se tudi za vse mestne občine izdela akcijski načrt prilagajanja podnebnim spremembam.</w:t>
      </w:r>
    </w:p>
    <w:p w14:paraId="41E0EC34" w14:textId="77777777" w:rsidR="002F0522" w:rsidRPr="007944FA" w:rsidRDefault="002F0522" w:rsidP="002F0522">
      <w:pPr>
        <w:spacing w:line="257" w:lineRule="auto"/>
        <w:jc w:val="both"/>
        <w:rPr>
          <w:rFonts w:ascii="Arial" w:hAnsi="Arial" w:cs="Arial"/>
        </w:rPr>
      </w:pPr>
      <w:r w:rsidRPr="007944FA">
        <w:rPr>
          <w:rFonts w:ascii="Arial" w:eastAsia="Calibri" w:hAnsi="Arial" w:cs="Arial"/>
        </w:rPr>
        <w:t>MOPE podnebne podatke in analize zagotavlja Agencija Republike Slovenije za okolje (ARSO), ki opravlja naloge državne meteorološke, hidrološke in seizmološke službe ter zagotavlja kakovostne in preverjene podatke, analize in napovedi o vremenu, podnebju, spremenljivosti in spremembah podnebja, fenološkem razvoju, kakovosti zraka, hidrološkem stanju površja in podzemne vode, stanju morja in potresov v Sloveniji.</w:t>
      </w:r>
    </w:p>
    <w:p w14:paraId="6CD24BD2" w14:textId="77777777" w:rsidR="002F0522" w:rsidRPr="007944FA" w:rsidRDefault="002F0522" w:rsidP="002F0522">
      <w:pPr>
        <w:spacing w:line="257" w:lineRule="auto"/>
        <w:jc w:val="both"/>
        <w:rPr>
          <w:rFonts w:ascii="Arial" w:hAnsi="Arial" w:cs="Arial"/>
        </w:rPr>
      </w:pPr>
      <w:r w:rsidRPr="007944FA">
        <w:rPr>
          <w:rFonts w:ascii="Arial" w:eastAsia="Calibri" w:hAnsi="Arial" w:cs="Arial"/>
        </w:rPr>
        <w:t>V Sloveniji deluje tudi Podnebni svet, ki je neodvisno znanstveno posvetovalno telo Vlade Republike Slovenije za podnebno politiko. Delovanje članov Podnebnega sveta s šestletnim mandatom obsega znanstveno svetovanje v obliki strokovnih mnenj in priporočil o že uveljavljenih in predlaganih ukrepih podnebne politike.</w:t>
      </w:r>
    </w:p>
    <w:p w14:paraId="5AB3BBB0" w14:textId="77777777" w:rsidR="002F0522" w:rsidRPr="007944FA" w:rsidRDefault="002F0522" w:rsidP="002F0522">
      <w:pPr>
        <w:spacing w:line="257" w:lineRule="auto"/>
        <w:jc w:val="both"/>
        <w:rPr>
          <w:rFonts w:ascii="Arial" w:hAnsi="Arial" w:cs="Arial"/>
        </w:rPr>
      </w:pPr>
      <w:r w:rsidRPr="007944FA">
        <w:rPr>
          <w:rFonts w:ascii="Arial" w:eastAsia="Calibri" w:hAnsi="Arial" w:cs="Arial"/>
        </w:rPr>
        <w:t>MOPE je kot pomembnega deležnika na področju prilagajanja podnebnim spremembam prepoznalo tudi varuha človekovih pravic.</w:t>
      </w:r>
      <w:r w:rsidRPr="007944FA">
        <w:rPr>
          <w:rFonts w:ascii="Arial" w:eastAsia="Calibri" w:hAnsi="Arial" w:cs="Arial"/>
          <w:b/>
          <w:bCs/>
        </w:rPr>
        <w:t xml:space="preserve"> </w:t>
      </w:r>
      <w:r w:rsidRPr="007944FA">
        <w:rPr>
          <w:rFonts w:ascii="Arial" w:eastAsia="Calibri" w:hAnsi="Arial" w:cs="Arial"/>
        </w:rPr>
        <w:t>Varuh je ustavna kategorija, ki ne spada ne v izvršilno, ne v sodno in ne v zakonodajno vejo oblasti. V razmerju do drugih državnih organov je samostojen in neodvisen organ.</w:t>
      </w:r>
    </w:p>
    <w:p w14:paraId="3C342747" w14:textId="77777777" w:rsidR="002F0522" w:rsidRPr="007944FA" w:rsidRDefault="002F0522" w:rsidP="002F0522">
      <w:pPr>
        <w:spacing w:line="257" w:lineRule="auto"/>
        <w:jc w:val="both"/>
        <w:rPr>
          <w:rFonts w:ascii="Arial" w:eastAsia="Calibri" w:hAnsi="Arial" w:cs="Arial"/>
        </w:rPr>
      </w:pPr>
      <w:r w:rsidRPr="007944FA">
        <w:rPr>
          <w:rFonts w:ascii="Arial" w:eastAsia="Calibri" w:hAnsi="Arial" w:cs="Arial"/>
        </w:rPr>
        <w:t xml:space="preserve">Čeprav je Slovenija v preteklosti veliko vlagala v blaženje podnebnih sprememb, pa je prilagajanju doslej namenjala premalo pozornosti. Tako prvi strateški dokument s področja prilagajanja, Strategija prilagajanja slovenskega kmetijstva in gozdarstva podnebnim spremembam, ki sega v leto 2008, kot tudi Strateški okvir prilagajanja podnebnim spremembam iz leta 2016 že dolgo ne zadovoljujeta več potreb današnjega časa. Slovenija je sicer leta 2021 sprejela Dolgoročno podnebno strategijo 2050 in decembra 2024 posodobljeni nacionalni energetski in podnebni načrt, vendar bo močnejša zaveza in ureditev prilagajanja podnebnim spremembam sistemsko urejena šele v podnebnem zakonu, ki je tik pred obravnavo na vladi. Do takrat ostaja osrednja pravna podlaga na področju prilagajanja podnebnim spremembam Zakon o varstvu okolja – ZVO-2 (Uradni list RS, št. 44/22). </w:t>
      </w:r>
    </w:p>
    <w:p w14:paraId="31A3B5EB" w14:textId="77777777" w:rsidR="006A18D2" w:rsidRPr="007944FA" w:rsidRDefault="006A18D2" w:rsidP="002F0522">
      <w:pPr>
        <w:spacing w:line="257" w:lineRule="auto"/>
        <w:jc w:val="both"/>
        <w:rPr>
          <w:rFonts w:ascii="Arial" w:eastAsia="Calibri" w:hAnsi="Arial" w:cs="Arial"/>
        </w:rPr>
      </w:pPr>
    </w:p>
    <w:p w14:paraId="246B6B52" w14:textId="25F8611D" w:rsidR="002F0522" w:rsidRPr="00620899" w:rsidRDefault="002F0522" w:rsidP="00620899">
      <w:pPr>
        <w:pStyle w:val="Heading2"/>
      </w:pPr>
      <w:bookmarkStart w:id="180" w:name="_Toc196300839"/>
      <w:r w:rsidRPr="007944FA">
        <w:t>III.B Vplivi, tveganja in ranljivosti, kjer je primerno</w:t>
      </w:r>
      <w:bookmarkEnd w:id="180"/>
    </w:p>
    <w:p w14:paraId="094567C3" w14:textId="77777777" w:rsidR="002F0522" w:rsidRPr="007944FA" w:rsidRDefault="002F0522" w:rsidP="002F0522">
      <w:pPr>
        <w:pStyle w:val="NormalWeb"/>
        <w:pBdr>
          <w:top w:val="single" w:sz="4" w:space="1" w:color="auto"/>
          <w:left w:val="single" w:sz="4" w:space="4" w:color="auto"/>
          <w:bottom w:val="single" w:sz="4" w:space="1" w:color="auto"/>
          <w:right w:val="single" w:sz="4" w:space="4" w:color="auto"/>
        </w:pBdr>
        <w:shd w:val="clear" w:color="auto" w:fill="E8E8E8" w:themeFill="background2"/>
        <w:spacing w:after="0" w:afterAutospacing="0"/>
        <w:contextualSpacing/>
        <w:rPr>
          <w:rFonts w:ascii="Arial" w:hAnsi="Arial" w:cs="Arial"/>
          <w:sz w:val="20"/>
          <w:szCs w:val="20"/>
        </w:rPr>
      </w:pPr>
      <w:r w:rsidRPr="007944FA">
        <w:rPr>
          <w:rStyle w:val="Strong"/>
          <w:rFonts w:ascii="Arial" w:eastAsiaTheme="majorEastAsia" w:hAnsi="Arial" w:cs="Arial"/>
          <w:b w:val="0"/>
          <w:bCs w:val="0"/>
          <w:sz w:val="20"/>
          <w:szCs w:val="20"/>
        </w:rPr>
        <w:t>107</w:t>
      </w:r>
      <w:r w:rsidRPr="007944FA">
        <w:rPr>
          <w:rStyle w:val="Strong"/>
          <w:rFonts w:ascii="Arial" w:eastAsiaTheme="majorEastAsia" w:hAnsi="Arial" w:cs="Arial"/>
          <w:sz w:val="20"/>
          <w:szCs w:val="20"/>
        </w:rPr>
        <w:t>.</w:t>
      </w:r>
      <w:r w:rsidRPr="007944FA">
        <w:rPr>
          <w:rFonts w:ascii="Arial" w:hAnsi="Arial" w:cs="Arial"/>
          <w:sz w:val="20"/>
          <w:szCs w:val="20"/>
        </w:rPr>
        <w:t xml:space="preserve"> Vsaka pogodbenica bi morala, kjer je primerno, zagotoviti naslednje informacije:</w:t>
      </w:r>
    </w:p>
    <w:p w14:paraId="46AA6600" w14:textId="77777777" w:rsidR="002F0522" w:rsidRPr="007944FA" w:rsidRDefault="002F0522" w:rsidP="002F0522">
      <w:pPr>
        <w:pStyle w:val="NormalWeb"/>
        <w:pBdr>
          <w:top w:val="single" w:sz="4" w:space="1" w:color="auto"/>
          <w:left w:val="single" w:sz="4" w:space="4" w:color="auto"/>
          <w:bottom w:val="single" w:sz="4" w:space="1" w:color="auto"/>
          <w:right w:val="single" w:sz="4" w:space="4" w:color="auto"/>
        </w:pBdr>
        <w:shd w:val="clear" w:color="auto" w:fill="E8E8E8" w:themeFill="background2"/>
        <w:spacing w:after="0" w:afterAutospacing="0"/>
        <w:contextualSpacing/>
        <w:rPr>
          <w:rStyle w:val="Strong"/>
          <w:sz w:val="20"/>
          <w:szCs w:val="20"/>
        </w:rPr>
      </w:pPr>
      <w:r w:rsidRPr="007944FA">
        <w:rPr>
          <w:rFonts w:ascii="Arial" w:hAnsi="Arial" w:cs="Arial"/>
          <w:sz w:val="20"/>
          <w:szCs w:val="20"/>
        </w:rPr>
        <w:t>(a)</w:t>
      </w:r>
      <w:r w:rsidRPr="007944FA">
        <w:rPr>
          <w:rFonts w:ascii="Arial" w:hAnsi="Arial" w:cs="Arial"/>
          <w:b/>
          <w:bCs/>
          <w:sz w:val="20"/>
          <w:szCs w:val="20"/>
        </w:rPr>
        <w:t xml:space="preserve"> </w:t>
      </w:r>
      <w:r w:rsidRPr="007944FA">
        <w:rPr>
          <w:rStyle w:val="Strong"/>
          <w:rFonts w:ascii="Arial" w:eastAsiaTheme="majorEastAsia" w:hAnsi="Arial" w:cs="Arial"/>
          <w:b w:val="0"/>
          <w:bCs w:val="0"/>
          <w:sz w:val="20"/>
          <w:szCs w:val="20"/>
        </w:rPr>
        <w:t>trenutni in predvideni podnebni trendi in nevarnosti</w:t>
      </w:r>
      <w:r w:rsidRPr="007944FA">
        <w:rPr>
          <w:rStyle w:val="Strong"/>
          <w:rFonts w:eastAsiaTheme="majorEastAsia"/>
          <w:b w:val="0"/>
          <w:bCs w:val="0"/>
          <w:sz w:val="20"/>
          <w:szCs w:val="20"/>
        </w:rPr>
        <w:t>;</w:t>
      </w:r>
      <w:r w:rsidRPr="007944FA">
        <w:rPr>
          <w:rFonts w:ascii="Arial" w:hAnsi="Arial" w:cs="Arial"/>
          <w:b/>
          <w:bCs/>
          <w:sz w:val="20"/>
          <w:szCs w:val="20"/>
        </w:rPr>
        <w:t xml:space="preserve"> </w:t>
      </w:r>
    </w:p>
    <w:p w14:paraId="2484D462" w14:textId="77777777" w:rsidR="002F0522" w:rsidRPr="007944FA" w:rsidRDefault="002F0522" w:rsidP="002F0522">
      <w:pPr>
        <w:spacing w:before="100" w:beforeAutospacing="1" w:after="100" w:afterAutospacing="1" w:line="240" w:lineRule="auto"/>
        <w:jc w:val="both"/>
        <w:rPr>
          <w:rFonts w:ascii="Arial" w:eastAsia="Times New Roman" w:hAnsi="Arial" w:cs="Arial"/>
          <w:b/>
          <w:bCs/>
          <w:lang w:eastAsia="sl-SI"/>
        </w:rPr>
      </w:pPr>
      <w:r w:rsidRPr="007944FA">
        <w:rPr>
          <w:rFonts w:ascii="Arial" w:eastAsia="Times New Roman" w:hAnsi="Arial" w:cs="Arial"/>
          <w:b/>
          <w:bCs/>
          <w:lang w:eastAsia="sl-SI"/>
        </w:rPr>
        <w:lastRenderedPageBreak/>
        <w:t>Podnebne projekcije</w:t>
      </w:r>
    </w:p>
    <w:p w14:paraId="16D47CE2" w14:textId="77777777" w:rsidR="002F0522" w:rsidRPr="007944FA" w:rsidRDefault="002F0522" w:rsidP="002F0522">
      <w:pPr>
        <w:jc w:val="both"/>
        <w:rPr>
          <w:rFonts w:ascii="Arial" w:hAnsi="Arial" w:cs="Arial"/>
        </w:rPr>
      </w:pPr>
      <w:r w:rsidRPr="007944FA">
        <w:rPr>
          <w:rFonts w:ascii="Arial" w:hAnsi="Arial" w:cs="Arial"/>
        </w:rPr>
        <w:t>ARSO izvaja projekt o oceni vpliva podnebnih sprememb v 21. stoletju. V letu 2018 je že pripravila ocene podnebnih sprememb za prihodnost in ocene vpliva podnebnih sprememb za nekatere ekstremne dogodke, kot so vročinski valovi, suše, ekstremni padavinski pojavi, pozeba in visokovodne razmere.</w:t>
      </w:r>
    </w:p>
    <w:p w14:paraId="70C7B64D" w14:textId="3169CE0F" w:rsidR="002F0522" w:rsidRPr="007944FA" w:rsidRDefault="002F0522" w:rsidP="002F0522">
      <w:pPr>
        <w:jc w:val="both"/>
        <w:rPr>
          <w:rFonts w:ascii="Arial" w:hAnsi="Arial" w:cs="Arial"/>
        </w:rPr>
      </w:pPr>
      <w:r w:rsidRPr="007944FA">
        <w:rPr>
          <w:rFonts w:ascii="Arial" w:hAnsi="Arial" w:cs="Arial"/>
        </w:rPr>
        <w:t xml:space="preserve">Podnebne projekcije temeljijo na večmodelskih ansamblih simulacij različnih regionalnih podnebnih modelov projekta EURO-CORDEX (regionalni podnebni modeli z vhodnimi podatki </w:t>
      </w:r>
      <w:r w:rsidR="004D7C9F" w:rsidRPr="007944FA">
        <w:rPr>
          <w:rFonts w:ascii="Arial" w:hAnsi="Arial" w:cs="Arial"/>
        </w:rPr>
        <w:t>globalnih</w:t>
      </w:r>
      <w:r w:rsidRPr="007944FA">
        <w:rPr>
          <w:rFonts w:ascii="Arial" w:hAnsi="Arial" w:cs="Arial"/>
        </w:rPr>
        <w:t xml:space="preserve"> podnebnih modelov CMIP5), šest za scenarija RCP4.5 in RCP8.5 ter dva za RCP2.6. Podnebni modeli, ki so le približek resničnega stanja podnebnega sistema, se nenehno razvijajo. Trenutna zmogljivost računalniških sistemov omejuje modeliranje na določenih časovnih in prostorskih ravneh, hkrati pa vseh fizikalnih procesov v podnebnem sistemu ni mogoče matematično opisati in simulirati. Poleg tega nekaterih atmosferskih procesov, kot so turbulenca, mikrofizika oblakov in konvektivne padavine, ne poznamo dovolj dobro. Navedene omejitve zahtevajo poenostavitve, ki so lahko vir sistematičnega odstopanja simuliranega podnebja od resničnega. Da bi se izognili napačni razlagi rezultatov modela, so potrebne prilagoditve s pomočjo opazovanih oz</w:t>
      </w:r>
      <w:r w:rsidRPr="007944FA">
        <w:rPr>
          <w:rFonts w:ascii="Arial" w:eastAsia="Palatino Linotype" w:hAnsi="Arial" w:cs="Arial"/>
        </w:rPr>
        <w:t>iroma</w:t>
      </w:r>
      <w:r w:rsidRPr="007944FA">
        <w:rPr>
          <w:rFonts w:ascii="Arial" w:hAnsi="Arial" w:cs="Arial"/>
        </w:rPr>
        <w:t xml:space="preserve"> izmerjenih podatkov. </w:t>
      </w:r>
    </w:p>
    <w:p w14:paraId="38A99DC3" w14:textId="77777777" w:rsidR="002F0522" w:rsidRPr="007944FA" w:rsidRDefault="002F0522" w:rsidP="002F0522">
      <w:pPr>
        <w:jc w:val="both"/>
        <w:rPr>
          <w:rFonts w:ascii="Arial" w:hAnsi="Arial" w:cs="Arial"/>
        </w:rPr>
      </w:pPr>
      <w:r w:rsidRPr="007944FA">
        <w:rPr>
          <w:rFonts w:ascii="Arial" w:hAnsi="Arial" w:cs="Arial"/>
        </w:rPr>
        <w:t xml:space="preserve">Opazili smo sistematično odstopanje modelskih podatkov temperature in padavin od meritev v Sloveniji. Modelske simulacije temperature in padavin v prihodnosti smo popravili glede na navedeno odstopanje. </w:t>
      </w:r>
    </w:p>
    <w:p w14:paraId="5E1609FF" w14:textId="77777777" w:rsidR="002F0522" w:rsidRPr="007944FA" w:rsidRDefault="002F0522" w:rsidP="002F0522">
      <w:pPr>
        <w:jc w:val="both"/>
        <w:rPr>
          <w:rFonts w:ascii="Arial" w:hAnsi="Arial" w:cs="Arial"/>
        </w:rPr>
      </w:pPr>
      <w:r w:rsidRPr="007944FA">
        <w:rPr>
          <w:rFonts w:ascii="Arial" w:hAnsi="Arial" w:cs="Arial"/>
        </w:rPr>
        <w:t xml:space="preserve">Uporaba ansambla rezultatov različnih modelov nam omogoča oceno negotovosti modelskih projekcij in določanje razpona sprememb v prihodnosti. Simulacije padavin so manj zanesljive kot simulacije temperature, prvič zaradi kompleksne narave padavin in drugič zaradi večje naravne spremenljivosti, ki prispeva k težavnosti določanja podnebnega signala. </w:t>
      </w:r>
    </w:p>
    <w:p w14:paraId="0E8A5268" w14:textId="77777777" w:rsidR="002F0522" w:rsidRPr="007944FA" w:rsidRDefault="002F0522" w:rsidP="002F0522">
      <w:pPr>
        <w:jc w:val="both"/>
        <w:rPr>
          <w:rFonts w:ascii="Arial" w:hAnsi="Arial" w:cs="Arial"/>
        </w:rPr>
      </w:pPr>
      <w:r w:rsidRPr="007944FA">
        <w:rPr>
          <w:rFonts w:ascii="Arial" w:hAnsi="Arial" w:cs="Arial"/>
        </w:rPr>
        <w:t>Projekcije za prihodnost so večinoma predstavljene kot tridesetletni povprečni odkloni od tridesetletnega primerjalnega obdobja v preteklosti (1981–2010). Tridesetletna povprečja se uporabljajo, da bi se izognili zamenjavi kratkoročne naravne spremenljivosti (na primer letnih ali desetletnih nihanj) z dolgoročnim podnebnim signalom. Povprečje v daljšem obdobju tako daje informacije o dejanskem (ali prihodnjem) podnebju.</w:t>
      </w:r>
    </w:p>
    <w:p w14:paraId="6B88204B" w14:textId="77777777" w:rsidR="002F0522" w:rsidRPr="007944FA" w:rsidRDefault="002F0522" w:rsidP="002F0522">
      <w:pPr>
        <w:jc w:val="both"/>
        <w:rPr>
          <w:rFonts w:ascii="Arial" w:hAnsi="Arial" w:cs="Arial"/>
        </w:rPr>
      </w:pPr>
      <w:r w:rsidRPr="007944FA">
        <w:rPr>
          <w:rFonts w:ascii="Arial" w:hAnsi="Arial" w:cs="Arial"/>
        </w:rPr>
        <w:t xml:space="preserve">Za analizo prihodnjega podnebja smo 21. stoletje razdelili na tri projekcijska obdobja: </w:t>
      </w:r>
    </w:p>
    <w:p w14:paraId="604BC625" w14:textId="77777777" w:rsidR="002F0522" w:rsidRPr="007944FA" w:rsidRDefault="002F0522" w:rsidP="0038553C">
      <w:pPr>
        <w:pStyle w:val="ListParagraph"/>
        <w:numPr>
          <w:ilvl w:val="0"/>
          <w:numId w:val="21"/>
        </w:numPr>
        <w:spacing w:line="278" w:lineRule="auto"/>
        <w:jc w:val="both"/>
        <w:rPr>
          <w:rFonts w:ascii="Arial" w:hAnsi="Arial" w:cs="Arial"/>
        </w:rPr>
      </w:pPr>
      <w:r w:rsidRPr="007944FA">
        <w:rPr>
          <w:rFonts w:ascii="Arial" w:hAnsi="Arial" w:cs="Arial"/>
          <w:b/>
          <w:bCs/>
        </w:rPr>
        <w:t xml:space="preserve">1. obdobje </w:t>
      </w:r>
      <w:r w:rsidRPr="007944FA">
        <w:rPr>
          <w:rFonts w:ascii="Arial" w:hAnsi="Arial" w:cs="Arial"/>
        </w:rPr>
        <w:t xml:space="preserve">(bližnja prihodnost) med letoma </w:t>
      </w:r>
      <w:r w:rsidRPr="007944FA">
        <w:rPr>
          <w:rFonts w:ascii="Arial" w:hAnsi="Arial" w:cs="Arial"/>
          <w:b/>
          <w:bCs/>
        </w:rPr>
        <w:t>2011 in 2040</w:t>
      </w:r>
      <w:r w:rsidRPr="007944FA">
        <w:rPr>
          <w:rFonts w:ascii="Arial" w:hAnsi="Arial" w:cs="Arial"/>
        </w:rPr>
        <w:t xml:space="preserve">, </w:t>
      </w:r>
    </w:p>
    <w:p w14:paraId="55FD5EAB" w14:textId="77777777" w:rsidR="002F0522" w:rsidRPr="007944FA" w:rsidRDefault="002F0522" w:rsidP="0038553C">
      <w:pPr>
        <w:pStyle w:val="ListParagraph"/>
        <w:numPr>
          <w:ilvl w:val="0"/>
          <w:numId w:val="21"/>
        </w:numPr>
        <w:spacing w:line="278" w:lineRule="auto"/>
        <w:jc w:val="both"/>
        <w:rPr>
          <w:rFonts w:ascii="Arial" w:hAnsi="Arial" w:cs="Arial"/>
        </w:rPr>
      </w:pPr>
      <w:r w:rsidRPr="007944FA">
        <w:rPr>
          <w:rFonts w:ascii="Arial" w:hAnsi="Arial" w:cs="Arial"/>
          <w:b/>
          <w:bCs/>
        </w:rPr>
        <w:t xml:space="preserve">2. obdobje </w:t>
      </w:r>
      <w:r w:rsidRPr="007944FA">
        <w:rPr>
          <w:rFonts w:ascii="Arial" w:hAnsi="Arial" w:cs="Arial"/>
        </w:rPr>
        <w:t xml:space="preserve">(sredina stoletja) med letoma </w:t>
      </w:r>
      <w:r w:rsidRPr="007944FA">
        <w:rPr>
          <w:rFonts w:ascii="Arial" w:hAnsi="Arial" w:cs="Arial"/>
          <w:b/>
          <w:bCs/>
        </w:rPr>
        <w:t>2041 in 2070</w:t>
      </w:r>
      <w:r w:rsidRPr="007944FA">
        <w:rPr>
          <w:rFonts w:ascii="Arial" w:hAnsi="Arial" w:cs="Arial"/>
        </w:rPr>
        <w:t xml:space="preserve">, </w:t>
      </w:r>
    </w:p>
    <w:p w14:paraId="7425AF2B" w14:textId="77777777" w:rsidR="002F0522" w:rsidRPr="007944FA" w:rsidRDefault="002F0522" w:rsidP="0038553C">
      <w:pPr>
        <w:pStyle w:val="ListParagraph"/>
        <w:numPr>
          <w:ilvl w:val="0"/>
          <w:numId w:val="21"/>
        </w:numPr>
        <w:spacing w:line="278" w:lineRule="auto"/>
        <w:jc w:val="both"/>
        <w:rPr>
          <w:rFonts w:ascii="Arial" w:hAnsi="Arial" w:cs="Arial"/>
        </w:rPr>
      </w:pPr>
      <w:r w:rsidRPr="007944FA">
        <w:rPr>
          <w:rFonts w:ascii="Arial" w:hAnsi="Arial" w:cs="Arial"/>
          <w:b/>
          <w:bCs/>
        </w:rPr>
        <w:t xml:space="preserve">3. obdobje </w:t>
      </w:r>
      <w:r w:rsidRPr="007944FA">
        <w:rPr>
          <w:rFonts w:ascii="Arial" w:hAnsi="Arial" w:cs="Arial"/>
        </w:rPr>
        <w:t xml:space="preserve">(konec stoletja) med letoma </w:t>
      </w:r>
      <w:r w:rsidRPr="007944FA">
        <w:rPr>
          <w:rFonts w:ascii="Arial" w:hAnsi="Arial" w:cs="Arial"/>
          <w:b/>
          <w:bCs/>
        </w:rPr>
        <w:t>2071 in 2100</w:t>
      </w:r>
      <w:r w:rsidRPr="007944FA">
        <w:rPr>
          <w:rFonts w:ascii="Arial" w:hAnsi="Arial" w:cs="Arial"/>
        </w:rPr>
        <w:t xml:space="preserve">. </w:t>
      </w:r>
    </w:p>
    <w:p w14:paraId="64BDF7C9" w14:textId="77777777" w:rsidR="002F0522" w:rsidRPr="007944FA" w:rsidRDefault="002F0522" w:rsidP="002F0522">
      <w:pPr>
        <w:jc w:val="both"/>
        <w:rPr>
          <w:rFonts w:ascii="Arial" w:hAnsi="Arial" w:cs="Arial"/>
        </w:rPr>
      </w:pPr>
      <w:r w:rsidRPr="007944FA">
        <w:rPr>
          <w:rFonts w:ascii="Arial" w:hAnsi="Arial" w:cs="Arial"/>
        </w:rPr>
        <w:t>Za prikaz značilnosti sezonskih nihanj so bila upoštevana krajša obdobja znotraj leta, in sicer štirje meteorološki letni časi.</w:t>
      </w:r>
    </w:p>
    <w:p w14:paraId="66D7BAE6" w14:textId="77777777" w:rsidR="002F0522" w:rsidRPr="007944FA" w:rsidRDefault="002F0522" w:rsidP="002F0522">
      <w:pPr>
        <w:jc w:val="both"/>
        <w:rPr>
          <w:rFonts w:ascii="Arial" w:hAnsi="Arial" w:cs="Arial"/>
        </w:rPr>
      </w:pPr>
      <w:r w:rsidRPr="007944FA">
        <w:rPr>
          <w:rFonts w:ascii="Arial" w:hAnsi="Arial" w:cs="Arial"/>
        </w:rPr>
        <w:t xml:space="preserve">Zaradi upoštevanja regionalnih razlik je bilo glede na objektivno opredelitev podnebnih regij obravnavanih tudi šest manjših prostorskih regij znotraj Slovenije: </w:t>
      </w:r>
    </w:p>
    <w:p w14:paraId="7D2A046F" w14:textId="77777777" w:rsidR="002F0522" w:rsidRPr="007944FA" w:rsidRDefault="002F0522" w:rsidP="0038553C">
      <w:pPr>
        <w:pStyle w:val="ListParagraph"/>
        <w:numPr>
          <w:ilvl w:val="0"/>
          <w:numId w:val="22"/>
        </w:numPr>
        <w:spacing w:line="278" w:lineRule="auto"/>
        <w:jc w:val="both"/>
        <w:rPr>
          <w:rFonts w:ascii="Arial" w:hAnsi="Arial" w:cs="Arial"/>
        </w:rPr>
      </w:pPr>
      <w:r w:rsidRPr="007944FA">
        <w:rPr>
          <w:rFonts w:ascii="Arial" w:hAnsi="Arial" w:cs="Arial"/>
          <w:b/>
        </w:rPr>
        <w:t>jugozahodna</w:t>
      </w:r>
      <w:r w:rsidRPr="007944FA">
        <w:rPr>
          <w:rFonts w:ascii="Arial" w:hAnsi="Arial" w:cs="Arial"/>
        </w:rPr>
        <w:t>,</w:t>
      </w:r>
    </w:p>
    <w:p w14:paraId="4FF91254" w14:textId="77777777" w:rsidR="002F0522" w:rsidRPr="007944FA" w:rsidRDefault="002F0522" w:rsidP="0038553C">
      <w:pPr>
        <w:pStyle w:val="ListParagraph"/>
        <w:numPr>
          <w:ilvl w:val="0"/>
          <w:numId w:val="22"/>
        </w:numPr>
        <w:spacing w:line="278" w:lineRule="auto"/>
        <w:jc w:val="both"/>
        <w:rPr>
          <w:rFonts w:ascii="Arial" w:hAnsi="Arial" w:cs="Arial"/>
        </w:rPr>
      </w:pPr>
      <w:r w:rsidRPr="007944FA">
        <w:rPr>
          <w:rFonts w:ascii="Arial" w:hAnsi="Arial" w:cs="Arial"/>
          <w:b/>
        </w:rPr>
        <w:t>Posočje</w:t>
      </w:r>
      <w:r w:rsidRPr="007944FA">
        <w:rPr>
          <w:rFonts w:ascii="Arial" w:hAnsi="Arial" w:cs="Arial"/>
        </w:rPr>
        <w:t>,</w:t>
      </w:r>
    </w:p>
    <w:p w14:paraId="21411209" w14:textId="77777777" w:rsidR="002F0522" w:rsidRPr="007944FA" w:rsidRDefault="002F0522" w:rsidP="0038553C">
      <w:pPr>
        <w:pStyle w:val="ListParagraph"/>
        <w:numPr>
          <w:ilvl w:val="0"/>
          <w:numId w:val="22"/>
        </w:numPr>
        <w:spacing w:line="278" w:lineRule="auto"/>
        <w:jc w:val="both"/>
        <w:rPr>
          <w:rFonts w:ascii="Arial" w:hAnsi="Arial" w:cs="Arial"/>
        </w:rPr>
      </w:pPr>
      <w:r w:rsidRPr="007944FA">
        <w:rPr>
          <w:rFonts w:ascii="Arial" w:hAnsi="Arial" w:cs="Arial"/>
          <w:b/>
          <w:bCs/>
        </w:rPr>
        <w:t>prehodna</w:t>
      </w:r>
      <w:r w:rsidRPr="007944FA">
        <w:rPr>
          <w:rFonts w:ascii="Arial" w:hAnsi="Arial" w:cs="Arial"/>
          <w:bCs/>
        </w:rPr>
        <w:t>,</w:t>
      </w:r>
    </w:p>
    <w:p w14:paraId="585D9DDD" w14:textId="77777777" w:rsidR="002F0522" w:rsidRPr="007944FA" w:rsidRDefault="002F0522" w:rsidP="0038553C">
      <w:pPr>
        <w:pStyle w:val="ListParagraph"/>
        <w:numPr>
          <w:ilvl w:val="0"/>
          <w:numId w:val="22"/>
        </w:numPr>
        <w:spacing w:line="278" w:lineRule="auto"/>
        <w:jc w:val="both"/>
        <w:rPr>
          <w:rFonts w:ascii="Arial" w:hAnsi="Arial" w:cs="Arial"/>
        </w:rPr>
      </w:pPr>
      <w:r w:rsidRPr="007944FA">
        <w:rPr>
          <w:rFonts w:ascii="Arial" w:hAnsi="Arial" w:cs="Arial"/>
          <w:b/>
          <w:bCs/>
        </w:rPr>
        <w:t>severovzhodna</w:t>
      </w:r>
      <w:r w:rsidRPr="007944FA">
        <w:rPr>
          <w:rFonts w:ascii="Arial" w:hAnsi="Arial" w:cs="Arial"/>
          <w:bCs/>
        </w:rPr>
        <w:t>,</w:t>
      </w:r>
    </w:p>
    <w:p w14:paraId="1A7E02C6" w14:textId="77777777" w:rsidR="002F0522" w:rsidRPr="007944FA" w:rsidRDefault="002F0522" w:rsidP="0038553C">
      <w:pPr>
        <w:pStyle w:val="ListParagraph"/>
        <w:numPr>
          <w:ilvl w:val="0"/>
          <w:numId w:val="22"/>
        </w:numPr>
        <w:spacing w:line="278" w:lineRule="auto"/>
        <w:jc w:val="both"/>
        <w:rPr>
          <w:rFonts w:ascii="Arial" w:hAnsi="Arial" w:cs="Arial"/>
        </w:rPr>
      </w:pPr>
      <w:r w:rsidRPr="007944FA">
        <w:rPr>
          <w:rFonts w:ascii="Arial" w:hAnsi="Arial" w:cs="Arial"/>
          <w:b/>
          <w:bCs/>
        </w:rPr>
        <w:t>osrednja</w:t>
      </w:r>
      <w:r w:rsidRPr="007944FA">
        <w:rPr>
          <w:rFonts w:ascii="Arial" w:hAnsi="Arial" w:cs="Arial"/>
          <w:bCs/>
        </w:rPr>
        <w:t>,</w:t>
      </w:r>
    </w:p>
    <w:p w14:paraId="6C3D31CE" w14:textId="2DC8F395" w:rsidR="002F0522" w:rsidRPr="007944FA" w:rsidRDefault="002F0522" w:rsidP="0038553C">
      <w:pPr>
        <w:pStyle w:val="ListParagraph"/>
        <w:numPr>
          <w:ilvl w:val="0"/>
          <w:numId w:val="22"/>
        </w:numPr>
        <w:spacing w:line="278" w:lineRule="auto"/>
        <w:jc w:val="both"/>
        <w:rPr>
          <w:rFonts w:ascii="Arial" w:hAnsi="Arial" w:cs="Arial"/>
          <w:b/>
        </w:rPr>
      </w:pPr>
      <w:r w:rsidRPr="007944FA">
        <w:rPr>
          <w:rFonts w:ascii="Arial" w:hAnsi="Arial" w:cs="Arial"/>
          <w:b/>
        </w:rPr>
        <w:t>visokogorje.</w:t>
      </w:r>
    </w:p>
    <w:p w14:paraId="37835BF9" w14:textId="77777777" w:rsidR="002F0522" w:rsidRPr="007944FA" w:rsidRDefault="002F0522" w:rsidP="002F0522">
      <w:pPr>
        <w:spacing w:line="278" w:lineRule="auto"/>
        <w:jc w:val="both"/>
        <w:rPr>
          <w:rFonts w:ascii="Arial" w:hAnsi="Arial" w:cs="Arial"/>
          <w:b/>
        </w:rPr>
      </w:pPr>
    </w:p>
    <w:p w14:paraId="64DB2AEE" w14:textId="3A64BE1F" w:rsidR="002F0522" w:rsidRPr="007944FA" w:rsidRDefault="004D7C9F" w:rsidP="006A18D2">
      <w:pPr>
        <w:spacing w:line="278" w:lineRule="auto"/>
        <w:jc w:val="center"/>
        <w:rPr>
          <w:rFonts w:ascii="Arial" w:hAnsi="Arial" w:cs="Arial"/>
          <w:b/>
        </w:rPr>
      </w:pPr>
      <w:r w:rsidRPr="007944FA">
        <w:rPr>
          <w:rFonts w:ascii="Arial" w:hAnsi="Arial" w:cs="Arial"/>
          <w:b/>
          <w:noProof/>
          <w:lang w:eastAsia="sl-SI"/>
        </w:rPr>
        <w:drawing>
          <wp:inline distT="0" distB="0" distL="0" distR="0" wp14:anchorId="45DE8B8B" wp14:editId="57B8C925">
            <wp:extent cx="5472113" cy="3648075"/>
            <wp:effectExtent l="0" t="0" r="0" b="0"/>
            <wp:docPr id="531961834" name="Picture 5" descr="A map of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961834" name="Picture 5" descr="A map of different colors&#10;&#10;AI-generated content may be incorrect."/>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75630" cy="3650420"/>
                    </a:xfrm>
                    <a:prstGeom prst="rect">
                      <a:avLst/>
                    </a:prstGeom>
                  </pic:spPr>
                </pic:pic>
              </a:graphicData>
            </a:graphic>
          </wp:inline>
        </w:drawing>
      </w:r>
    </w:p>
    <w:p w14:paraId="791D1ACC" w14:textId="4A1AA645" w:rsidR="006A18D2" w:rsidRPr="007944FA" w:rsidRDefault="006A18D2" w:rsidP="0091142E">
      <w:pPr>
        <w:pStyle w:val="NIKASLIKE"/>
      </w:pPr>
      <w:bookmarkStart w:id="181" w:name="_Toc193194005"/>
      <w:r w:rsidRPr="007944FA">
        <w:t>Slika 32: Podnebne regije v Sloveniji v 12-kilometrski ločljivosti</w:t>
      </w:r>
      <w:bookmarkEnd w:id="181"/>
    </w:p>
    <w:p w14:paraId="1D8AA21A" w14:textId="77777777" w:rsidR="006A18D2" w:rsidRPr="007944FA" w:rsidRDefault="006A18D2" w:rsidP="006A18D2">
      <w:pPr>
        <w:pStyle w:val="NormalWeb"/>
        <w:shd w:val="clear" w:color="auto" w:fill="FFFFFF" w:themeFill="background1"/>
        <w:jc w:val="both"/>
        <w:rPr>
          <w:rFonts w:ascii="Arial" w:hAnsi="Arial" w:cs="Arial"/>
          <w:sz w:val="22"/>
          <w:szCs w:val="22"/>
        </w:rPr>
      </w:pPr>
      <w:r w:rsidRPr="007944FA">
        <w:rPr>
          <w:rFonts w:ascii="Arial" w:hAnsi="Arial" w:cs="Arial"/>
          <w:sz w:val="22"/>
          <w:szCs w:val="22"/>
        </w:rPr>
        <w:t>Podnebne projekcije niso deterministične napovedi stanja v prihodnosti, temveč opisujejo vrsto mogočih in verjetnih stanj podnebja v Sloveniji na podlagi svetovnega družbeno-gospodarskega razvoja in služijo kot ocena prihodnjih temperaturnih in padavinskih razmer.</w:t>
      </w:r>
    </w:p>
    <w:p w14:paraId="570FDCDD" w14:textId="44B25779" w:rsidR="00517703" w:rsidRPr="007944FA" w:rsidRDefault="006A18D2" w:rsidP="006A18D2">
      <w:pPr>
        <w:pStyle w:val="NormalWeb"/>
        <w:shd w:val="clear" w:color="auto" w:fill="FFFFFF" w:themeFill="background1"/>
        <w:jc w:val="both"/>
        <w:rPr>
          <w:rFonts w:ascii="Arial" w:hAnsi="Arial" w:cs="Arial"/>
          <w:sz w:val="22"/>
          <w:szCs w:val="22"/>
        </w:rPr>
      </w:pPr>
      <w:r w:rsidRPr="007944FA">
        <w:rPr>
          <w:rFonts w:ascii="Arial" w:hAnsi="Arial" w:cs="Arial"/>
          <w:sz w:val="22"/>
          <w:szCs w:val="22"/>
        </w:rPr>
        <w:t>V okviru projekta Ocena podnebnih sprememb v Sloveniji do konca 21. stoletja (OPS21) so bile pripravljene ocene sprememb za številne podnebne in s podnebjem povezane spremenljivke (tudi s pomočjo modelov vpliva) (temperatura zraka, temperatura tal, višina padavin, različni temperaturni in padavinski kazalniki, fenološki razvoj izbranih rastlinskih vrst, kazalniki suše, temperatura površinskih voda, temperatura morja, temperatura podzemne vode, vsebnost vode v tleh, količinsko stanje vodotokov in vodonosnikov, snežne razmere, spremembe sončnega sevanja, veter in tako dalje).</w:t>
      </w:r>
    </w:p>
    <w:p w14:paraId="54E6639B" w14:textId="77777777" w:rsidR="006A18D2" w:rsidRPr="007944FA" w:rsidRDefault="006A18D2" w:rsidP="006A18D2">
      <w:pPr>
        <w:pStyle w:val="NormalWeb"/>
        <w:shd w:val="clear" w:color="auto" w:fill="FFFFFF" w:themeFill="background1"/>
        <w:jc w:val="both"/>
        <w:rPr>
          <w:rFonts w:ascii="Arial" w:hAnsi="Arial" w:cs="Arial"/>
          <w:b/>
          <w:bCs/>
          <w:sz w:val="22"/>
          <w:szCs w:val="22"/>
        </w:rPr>
      </w:pPr>
      <w:r w:rsidRPr="007944FA">
        <w:rPr>
          <w:rFonts w:ascii="Arial" w:hAnsi="Arial" w:cs="Arial"/>
          <w:b/>
          <w:bCs/>
          <w:sz w:val="22"/>
          <w:szCs w:val="22"/>
        </w:rPr>
        <w:t>Temperatura</w:t>
      </w:r>
    </w:p>
    <w:p w14:paraId="258816B0" w14:textId="241A593D" w:rsidR="006A18D2" w:rsidRPr="007944FA" w:rsidRDefault="006A18D2" w:rsidP="006A18D2">
      <w:pPr>
        <w:pStyle w:val="NormalWeb"/>
        <w:shd w:val="clear" w:color="auto" w:fill="FFFFFF" w:themeFill="background1"/>
        <w:jc w:val="both"/>
        <w:rPr>
          <w:rFonts w:ascii="Arial" w:hAnsi="Arial" w:cs="Arial"/>
          <w:sz w:val="22"/>
          <w:szCs w:val="22"/>
        </w:rPr>
      </w:pPr>
      <w:r w:rsidRPr="007944FA">
        <w:rPr>
          <w:rFonts w:ascii="Arial" w:hAnsi="Arial" w:cs="Arial"/>
          <w:sz w:val="22"/>
          <w:szCs w:val="22"/>
        </w:rPr>
        <w:t>Zviševanje temperature zraka v Sloveniji se bo nadaljevalo tudi v 21. stoletju. Dvig temperature je močno odvisen od scenarija izpustov toplogrednih plinov (slika 3</w:t>
      </w:r>
      <w:r w:rsidR="00263D80" w:rsidRPr="007944FA">
        <w:rPr>
          <w:rFonts w:ascii="Arial" w:hAnsi="Arial" w:cs="Arial"/>
          <w:sz w:val="22"/>
          <w:szCs w:val="22"/>
        </w:rPr>
        <w:t>3</w:t>
      </w:r>
      <w:r w:rsidRPr="007944FA">
        <w:rPr>
          <w:rFonts w:ascii="Arial" w:hAnsi="Arial" w:cs="Arial"/>
          <w:sz w:val="22"/>
          <w:szCs w:val="22"/>
        </w:rPr>
        <w:t>). Po optimističnem scenariju izpustov RCP2.6 se bo temperatura do konca stoletja v primerjavi z obdobjem 1981–2010 zvišala za približno 1,3 °C. Po zmerno optimističnem scenariju izpustov RCP4.5 se bo zvišala za približno 2 °C, po pesimističnem scenariju izpustov RCP8.5 pa za približno 4,1 °C. Temperatura se bo najbolj zvišala pozimi, nekoliko manj poleti in jeseni, najmanj pa spomladi. Zvišanje temperature bo znatno povečalo toplotno obremenitev, po vseh scenarijih izpustov se bo povečalo število vročih dni (slika 32). Povečalo se bo tudi število in trajanje vročinskih valov.</w:t>
      </w:r>
    </w:p>
    <w:p w14:paraId="1BF0DC88" w14:textId="2346D470" w:rsidR="006A18D2" w:rsidRPr="007944FA" w:rsidRDefault="006A18D2" w:rsidP="006A18D2">
      <w:pPr>
        <w:spacing w:line="278" w:lineRule="auto"/>
        <w:jc w:val="center"/>
        <w:rPr>
          <w:rFonts w:ascii="Arial" w:hAnsi="Arial" w:cs="Arial"/>
          <w:b/>
          <w:i/>
          <w:iCs/>
          <w:sz w:val="18"/>
          <w:szCs w:val="18"/>
        </w:rPr>
      </w:pPr>
      <w:r w:rsidRPr="007944FA">
        <w:rPr>
          <w:b/>
          <w:bCs/>
          <w:i/>
          <w:iCs/>
          <w:noProof/>
          <w:lang w:eastAsia="sl-SI"/>
        </w:rPr>
        <w:lastRenderedPageBreak/>
        <w:drawing>
          <wp:inline distT="0" distB="0" distL="0" distR="0" wp14:anchorId="6F509B23" wp14:editId="025C6E60">
            <wp:extent cx="3781425" cy="3669795"/>
            <wp:effectExtent l="0" t="0" r="0" b="6985"/>
            <wp:docPr id="1853251033" name="Slika 7" descr="Slika, ki vsebuje besede besedilo, posnetek zaslona, vrstica, grafični prikaz&#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51033" name="Slika 7" descr="Slika, ki vsebuje besede besedilo, posnetek zaslona, vrstica, grafični prikaz&#10;&#10;Opis je samodejno ustvarje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83779" cy="3672079"/>
                    </a:xfrm>
                    <a:prstGeom prst="rect">
                      <a:avLst/>
                    </a:prstGeom>
                    <a:noFill/>
                    <a:ln>
                      <a:noFill/>
                    </a:ln>
                  </pic:spPr>
                </pic:pic>
              </a:graphicData>
            </a:graphic>
          </wp:inline>
        </w:drawing>
      </w:r>
    </w:p>
    <w:p w14:paraId="3B8F3468" w14:textId="03659EFC" w:rsidR="006A18D2" w:rsidRPr="007944FA" w:rsidRDefault="006A18D2" w:rsidP="0091142E">
      <w:pPr>
        <w:pStyle w:val="NIKASLIKE"/>
      </w:pPr>
      <w:bookmarkStart w:id="182" w:name="_Toc193194006"/>
      <w:r w:rsidRPr="007944FA">
        <w:t>Slika 33: Časovni potek spremembe letne povprečne temperature zraka v Sloveniji do konca 21. stoletja za tri scenarije izpustov, vključno z razponi odstopanj. Prikazan je odklon od povprečja v obdobju 1981–2010. Debele črte označujejo glajeno mediano modelskih projekcij, zgornji in spodnji rob ovojnic pa označujeta glajene največje in najmanjše vrednosti modelskih projekcij.</w:t>
      </w:r>
      <w:bookmarkEnd w:id="182"/>
    </w:p>
    <w:p w14:paraId="0AF51272" w14:textId="57B7ACDB" w:rsidR="006A18D2" w:rsidRPr="007944FA" w:rsidRDefault="006A18D2" w:rsidP="006A18D2">
      <w:pPr>
        <w:spacing w:line="278" w:lineRule="auto"/>
        <w:jc w:val="center"/>
        <w:rPr>
          <w:rFonts w:ascii="Arial" w:hAnsi="Arial" w:cs="Arial"/>
          <w:b/>
          <w:i/>
          <w:iCs/>
          <w:sz w:val="18"/>
          <w:szCs w:val="18"/>
        </w:rPr>
      </w:pPr>
      <w:r w:rsidRPr="007944FA">
        <w:rPr>
          <w:noProof/>
          <w:lang w:eastAsia="sl-SI"/>
        </w:rPr>
        <w:drawing>
          <wp:inline distT="0" distB="0" distL="0" distR="0" wp14:anchorId="3C6F437F" wp14:editId="52614D72">
            <wp:extent cx="5580380" cy="3282132"/>
            <wp:effectExtent l="0" t="0" r="1270" b="0"/>
            <wp:docPr id="1020141387" name="Slik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141387" name="Slika 26"/>
                    <pic:cNvPicPr/>
                  </pic:nvPicPr>
                  <pic:blipFill>
                    <a:blip r:embed="rId69">
                      <a:extLst>
                        <a:ext uri="{28A0092B-C50C-407E-A947-70E740481C1C}">
                          <a14:useLocalDpi xmlns:a14="http://schemas.microsoft.com/office/drawing/2010/main" val="0"/>
                        </a:ext>
                      </a:extLst>
                    </a:blip>
                    <a:stretch>
                      <a:fillRect/>
                    </a:stretch>
                  </pic:blipFill>
                  <pic:spPr>
                    <a:xfrm>
                      <a:off x="0" y="0"/>
                      <a:ext cx="5580380" cy="3282132"/>
                    </a:xfrm>
                    <a:prstGeom prst="rect">
                      <a:avLst/>
                    </a:prstGeom>
                  </pic:spPr>
                </pic:pic>
              </a:graphicData>
            </a:graphic>
          </wp:inline>
        </w:drawing>
      </w:r>
    </w:p>
    <w:p w14:paraId="5EA617A0" w14:textId="5C3E8918" w:rsidR="006A18D2" w:rsidRPr="007944FA" w:rsidRDefault="006A18D2" w:rsidP="0091142E">
      <w:pPr>
        <w:pStyle w:val="NIKASLIKE"/>
      </w:pPr>
      <w:bookmarkStart w:id="183" w:name="_Toc193194007"/>
      <w:r w:rsidRPr="007944FA">
        <w:t>Slika 34: Sprememba povprečnega števila vročih dni na leto v treh projekcijskih obdobjih glede na povprečje v obdobju 1981–2010 za scenarija izpustov RCP4.5 (zgoraj) in RCP8.5 (spodaj)</w:t>
      </w:r>
      <w:bookmarkEnd w:id="183"/>
    </w:p>
    <w:p w14:paraId="689A1662" w14:textId="77777777" w:rsidR="006A18D2" w:rsidRPr="007944FA" w:rsidRDefault="006A18D2" w:rsidP="006A18D2">
      <w:pPr>
        <w:pStyle w:val="NormalWeb"/>
        <w:shd w:val="clear" w:color="auto" w:fill="FFFFFF" w:themeFill="background1"/>
        <w:jc w:val="both"/>
        <w:rPr>
          <w:rFonts w:ascii="Arial" w:hAnsi="Arial" w:cs="Arial"/>
          <w:sz w:val="22"/>
          <w:szCs w:val="22"/>
        </w:rPr>
      </w:pPr>
      <w:r w:rsidRPr="007944FA">
        <w:rPr>
          <w:rFonts w:ascii="Arial" w:hAnsi="Arial" w:cs="Arial"/>
          <w:sz w:val="22"/>
          <w:szCs w:val="22"/>
        </w:rPr>
        <w:t xml:space="preserve">Z višanjem temperature zraka se bo ogrel tudi površinski sloj tal, oboje pa bo vplivalo na fenološki razvoj rastlin in dolžino rastne dobe. Spomladanski fenološki razvoj rastlin bo </w:t>
      </w:r>
      <w:r w:rsidRPr="007944FA">
        <w:rPr>
          <w:rFonts w:ascii="Arial" w:hAnsi="Arial" w:cs="Arial"/>
          <w:sz w:val="22"/>
          <w:szCs w:val="22"/>
        </w:rPr>
        <w:lastRenderedPageBreak/>
        <w:t>zgodnejši. Po scenariju RCP4.5 bodo gozdna drevesa olistala približno dva tedna prej, po scenariju RCP8.5 pa približno 40 dni prej kot v referenčnem obdobju 1981–2010. V skladu z dvigom temperature se bo daljšala tudi rastna doba, saj se bo spomladi začela prej, jeseni pa pozneje končala.</w:t>
      </w:r>
    </w:p>
    <w:p w14:paraId="3286164E" w14:textId="77777777" w:rsidR="006A18D2" w:rsidRPr="007944FA" w:rsidRDefault="006A18D2" w:rsidP="006A18D2">
      <w:pPr>
        <w:pStyle w:val="NormalWeb"/>
        <w:shd w:val="clear" w:color="auto" w:fill="FFFFFF" w:themeFill="background1"/>
        <w:jc w:val="both"/>
        <w:rPr>
          <w:rFonts w:ascii="Arial" w:hAnsi="Arial" w:cs="Arial"/>
          <w:b/>
          <w:bCs/>
          <w:sz w:val="22"/>
          <w:szCs w:val="22"/>
        </w:rPr>
      </w:pPr>
      <w:r w:rsidRPr="007944FA">
        <w:rPr>
          <w:rFonts w:ascii="Arial" w:hAnsi="Arial" w:cs="Arial"/>
          <w:b/>
          <w:bCs/>
          <w:sz w:val="22"/>
          <w:szCs w:val="22"/>
        </w:rPr>
        <w:t>Padavine</w:t>
      </w:r>
    </w:p>
    <w:p w14:paraId="04B50417" w14:textId="09ED70E2" w:rsidR="002F0522" w:rsidRPr="007944FA" w:rsidRDefault="006A18D2" w:rsidP="006A18D2">
      <w:pPr>
        <w:spacing w:line="278" w:lineRule="auto"/>
        <w:jc w:val="both"/>
        <w:rPr>
          <w:rFonts w:ascii="Arial" w:eastAsia="Times New Roman" w:hAnsi="Arial" w:cs="Arial"/>
          <w:lang w:eastAsia="sl-SI"/>
        </w:rPr>
      </w:pPr>
      <w:r w:rsidRPr="007944FA">
        <w:rPr>
          <w:rFonts w:ascii="Arial" w:eastAsia="Times New Roman" w:hAnsi="Arial" w:cs="Arial"/>
          <w:lang w:eastAsia="sl-SI"/>
        </w:rPr>
        <w:t>Po zmerno optimističnem (RCP4.5) in pesimističnem (RCP8.5) scenariju izpustov se bodo letne in zimske količine padavin do sredine ali konca 21. stoletja znatno povečale, čeprav je negotovost velika. Pri obeh scenarijih izpustov bi se lahko letna višina padavin do konca stoletja v primerjavi z obdobjem 1981–2010 povečala za do 20 % (sliki 3</w:t>
      </w:r>
      <w:r w:rsidR="004D7C9F" w:rsidRPr="007944FA">
        <w:rPr>
          <w:rFonts w:ascii="Arial" w:eastAsia="Times New Roman" w:hAnsi="Arial" w:cs="Arial"/>
          <w:lang w:eastAsia="sl-SI"/>
        </w:rPr>
        <w:t>5</w:t>
      </w:r>
      <w:r w:rsidRPr="007944FA">
        <w:rPr>
          <w:rFonts w:ascii="Arial" w:eastAsia="Times New Roman" w:hAnsi="Arial" w:cs="Arial"/>
          <w:lang w:eastAsia="sl-SI"/>
        </w:rPr>
        <w:t xml:space="preserve"> in 3</w:t>
      </w:r>
      <w:r w:rsidR="004D7C9F" w:rsidRPr="007944FA">
        <w:rPr>
          <w:rFonts w:ascii="Arial" w:eastAsia="Times New Roman" w:hAnsi="Arial" w:cs="Arial"/>
          <w:lang w:eastAsia="sl-SI"/>
        </w:rPr>
        <w:t>6</w:t>
      </w:r>
      <w:r w:rsidRPr="007944FA">
        <w:rPr>
          <w:rFonts w:ascii="Arial" w:eastAsia="Times New Roman" w:hAnsi="Arial" w:cs="Arial"/>
          <w:lang w:eastAsia="sl-SI"/>
        </w:rPr>
        <w:t>).</w:t>
      </w:r>
    </w:p>
    <w:p w14:paraId="27479DEB" w14:textId="7247D8FF" w:rsidR="006A18D2" w:rsidRPr="007944FA" w:rsidRDefault="006A18D2" w:rsidP="006A18D2">
      <w:pPr>
        <w:spacing w:line="278" w:lineRule="auto"/>
        <w:jc w:val="center"/>
        <w:rPr>
          <w:rFonts w:ascii="Arial" w:hAnsi="Arial" w:cs="Arial"/>
          <w:b/>
        </w:rPr>
      </w:pPr>
      <w:r w:rsidRPr="007944FA">
        <w:rPr>
          <w:noProof/>
          <w:lang w:eastAsia="sl-SI"/>
        </w:rPr>
        <w:drawing>
          <wp:inline distT="0" distB="0" distL="0" distR="0" wp14:anchorId="495C925E" wp14:editId="7F67F0FE">
            <wp:extent cx="3095625" cy="3095625"/>
            <wp:effectExtent l="0" t="0" r="9525" b="9525"/>
            <wp:docPr id="118177517" name="Slika 12" descr="Slika, ki vsebuje besede besedilo, posnetek zaslona, vrstica, grafični prikaz&#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095625" cy="3095625"/>
                    </a:xfrm>
                    <a:prstGeom prst="rect">
                      <a:avLst/>
                    </a:prstGeom>
                  </pic:spPr>
                </pic:pic>
              </a:graphicData>
            </a:graphic>
          </wp:inline>
        </w:drawing>
      </w:r>
    </w:p>
    <w:p w14:paraId="448A748B" w14:textId="5F92AEA6" w:rsidR="006A18D2" w:rsidRPr="007944FA" w:rsidRDefault="006A18D2" w:rsidP="0091142E">
      <w:pPr>
        <w:pStyle w:val="NIKASLIKE"/>
      </w:pPr>
      <w:bookmarkStart w:id="184" w:name="_Toc193194008"/>
      <w:r w:rsidRPr="007944FA">
        <w:t>Slika 35: Časovni potek spremembe letne količine padavin v Sloveniji do konca 21. stoletja za tri scenarije izpustov, vključno z razponi odstopanj. Prikazana je relativna količina glede na povprečje v obdobju 1981–2010. Debele črte označujejo glajeno mediano modelskih projekcij, zgornji in spodnji rob ovojnic pa označujeta glajene največje in najmanjše vrednosti modelskih projekcij.</w:t>
      </w:r>
      <w:bookmarkEnd w:id="184"/>
    </w:p>
    <w:p w14:paraId="5130C6FA" w14:textId="77777777" w:rsidR="006A18D2" w:rsidRPr="007944FA" w:rsidRDefault="006A18D2" w:rsidP="006A18D2">
      <w:pPr>
        <w:spacing w:line="278" w:lineRule="auto"/>
        <w:jc w:val="center"/>
        <w:rPr>
          <w:rFonts w:ascii="Arial" w:hAnsi="Arial" w:cs="Arial"/>
          <w:b/>
          <w:i/>
          <w:iCs/>
          <w:sz w:val="18"/>
          <w:szCs w:val="18"/>
        </w:rPr>
      </w:pPr>
    </w:p>
    <w:p w14:paraId="6F95CD43" w14:textId="4CAF525F" w:rsidR="006A18D2" w:rsidRPr="007944FA" w:rsidRDefault="006A18D2" w:rsidP="006A18D2">
      <w:pPr>
        <w:spacing w:line="278" w:lineRule="auto"/>
        <w:rPr>
          <w:rFonts w:ascii="Arial" w:hAnsi="Arial" w:cs="Arial"/>
          <w:b/>
          <w:i/>
          <w:iCs/>
          <w:sz w:val="18"/>
          <w:szCs w:val="18"/>
        </w:rPr>
      </w:pPr>
      <w:r w:rsidRPr="007944FA">
        <w:rPr>
          <w:rFonts w:ascii="Arial" w:hAnsi="Arial" w:cs="Arial"/>
          <w:b/>
          <w:i/>
          <w:iCs/>
          <w:noProof/>
          <w:sz w:val="18"/>
          <w:szCs w:val="18"/>
          <w:lang w:eastAsia="sl-SI"/>
        </w:rPr>
        <w:lastRenderedPageBreak/>
        <w:drawing>
          <wp:inline distT="0" distB="0" distL="0" distR="0" wp14:anchorId="6380C8B7" wp14:editId="5476821E">
            <wp:extent cx="2688590" cy="3359150"/>
            <wp:effectExtent l="0" t="0" r="0" b="0"/>
            <wp:docPr id="77031328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88590" cy="3359150"/>
                    </a:xfrm>
                    <a:prstGeom prst="rect">
                      <a:avLst/>
                    </a:prstGeom>
                    <a:noFill/>
                  </pic:spPr>
                </pic:pic>
              </a:graphicData>
            </a:graphic>
          </wp:inline>
        </w:drawing>
      </w:r>
      <w:r w:rsidRPr="007944FA">
        <w:rPr>
          <w:rFonts w:ascii="Arial" w:hAnsi="Arial" w:cs="Arial"/>
          <w:b/>
          <w:i/>
          <w:iCs/>
          <w:sz w:val="18"/>
          <w:szCs w:val="18"/>
        </w:rPr>
        <w:t xml:space="preserve"> </w:t>
      </w:r>
      <w:r w:rsidRPr="007944FA">
        <w:rPr>
          <w:rFonts w:ascii="Arial" w:hAnsi="Arial" w:cs="Arial"/>
          <w:b/>
          <w:i/>
          <w:iCs/>
          <w:noProof/>
          <w:sz w:val="18"/>
          <w:szCs w:val="18"/>
          <w:lang w:eastAsia="sl-SI"/>
        </w:rPr>
        <w:drawing>
          <wp:inline distT="0" distB="0" distL="0" distR="0" wp14:anchorId="4944C07A" wp14:editId="1333FE4C">
            <wp:extent cx="2688590" cy="3359150"/>
            <wp:effectExtent l="0" t="0" r="0" b="0"/>
            <wp:docPr id="200767320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688590" cy="3359150"/>
                    </a:xfrm>
                    <a:prstGeom prst="rect">
                      <a:avLst/>
                    </a:prstGeom>
                    <a:noFill/>
                  </pic:spPr>
                </pic:pic>
              </a:graphicData>
            </a:graphic>
          </wp:inline>
        </w:drawing>
      </w:r>
    </w:p>
    <w:p w14:paraId="4B52BAC8" w14:textId="6F97CF8D" w:rsidR="006A18D2" w:rsidRPr="007944FA" w:rsidRDefault="006A18D2" w:rsidP="0091142E">
      <w:pPr>
        <w:pStyle w:val="NIKASLIKE"/>
      </w:pPr>
      <w:bookmarkStart w:id="185" w:name="_Toc193194009"/>
      <w:r w:rsidRPr="007944FA">
        <w:t>Slika 36: Sprememba povprečne letne količine padavin v treh projekcijskih obdobjih glede na povprečje v obdobju 1981–2010 in pripadajoča zanesljivost spremembe za scenarija izpustov RCP4.5 (levo) in RCP8.5 (desno). Siva barva označuje nizko zanesljivost (velike razlike med modeli ansambla), zelena barva pomeni, da ni sprememb (spremembe so manjše od naravne spremenljivosti), oranžna barva pa označuje visoko zanesljivost (</w:t>
      </w:r>
      <w:r w:rsidR="00263D80" w:rsidRPr="007944FA">
        <w:t>skladne</w:t>
      </w:r>
      <w:r w:rsidRPr="007944FA">
        <w:t xml:space="preserve"> spremembe med modeli ansambla).</w:t>
      </w:r>
      <w:bookmarkEnd w:id="185"/>
    </w:p>
    <w:p w14:paraId="6C76C89D" w14:textId="77777777" w:rsidR="006A18D2" w:rsidRPr="007944FA" w:rsidRDefault="006A18D2" w:rsidP="006A18D2">
      <w:pPr>
        <w:jc w:val="both"/>
        <w:rPr>
          <w:rFonts w:ascii="Arial" w:hAnsi="Arial" w:cs="Arial"/>
        </w:rPr>
      </w:pPr>
      <w:r w:rsidRPr="007944FA">
        <w:rPr>
          <w:rFonts w:ascii="Arial" w:hAnsi="Arial" w:cs="Arial"/>
        </w:rPr>
        <w:t>Količina zimskih padavin se bo še bolj povečala, zlasti v vzhodnem delu države. Do sredine stoletja bi se lahko v vzhodni Sloveniji povečala za do 40 %, do konca stoletja pa bi se po scenariju RCP8.5 lahko povečala za več kot 60 %.</w:t>
      </w:r>
    </w:p>
    <w:p w14:paraId="23FB3250" w14:textId="77777777" w:rsidR="006A18D2" w:rsidRPr="007944FA" w:rsidRDefault="006A18D2" w:rsidP="006A18D2">
      <w:pPr>
        <w:jc w:val="both"/>
        <w:rPr>
          <w:rFonts w:ascii="Arial" w:hAnsi="Arial" w:cs="Arial"/>
        </w:rPr>
      </w:pPr>
      <w:r w:rsidRPr="007944FA">
        <w:rPr>
          <w:rFonts w:ascii="Arial" w:hAnsi="Arial" w:cs="Arial"/>
        </w:rPr>
        <w:t>V drugih letnih časih se smer in obseg sprememb količine padavin močno razlikujeta glede na scenarij izpustov in deloma glede na uporabljeni model, pri čemer so spremembe običajno manjše od naravne spremenljivosti količine padavin. Kazalniki, ki merijo ekstremne padavine, kažejo, da se bosta jakost in pogostost ekstremnih padavin povečali, pri čemer bo do najizrazitejšega povečanja prišlo po pesimističnem scenariju izpustov (RCP8.5).</w:t>
      </w:r>
      <w:bookmarkStart w:id="186" w:name="_Toc1590804642"/>
      <w:bookmarkStart w:id="187" w:name="_Toc191029071"/>
      <w:bookmarkEnd w:id="186"/>
    </w:p>
    <w:p w14:paraId="76C5E387" w14:textId="77777777" w:rsidR="006A18D2" w:rsidRPr="007944FA" w:rsidRDefault="006A18D2" w:rsidP="006A18D2">
      <w:pPr>
        <w:jc w:val="both"/>
        <w:rPr>
          <w:rFonts w:ascii="Arial" w:hAnsi="Arial" w:cs="Arial"/>
        </w:rPr>
      </w:pPr>
      <w:r w:rsidRPr="007944FA">
        <w:rPr>
          <w:rFonts w:ascii="Arial" w:hAnsi="Arial" w:cs="Arial"/>
          <w:b/>
          <w:bCs/>
        </w:rPr>
        <w:t>Več informacij</w:t>
      </w:r>
      <w:bookmarkEnd w:id="187"/>
    </w:p>
    <w:p w14:paraId="20B6A24A" w14:textId="77777777" w:rsidR="006A18D2" w:rsidRPr="007944FA" w:rsidRDefault="006A18D2" w:rsidP="006A18D2">
      <w:pPr>
        <w:jc w:val="both"/>
        <w:rPr>
          <w:rFonts w:eastAsiaTheme="majorEastAsia" w:cstheme="majorBidi"/>
          <w:color w:val="467886" w:themeColor="hyperlink"/>
          <w:sz w:val="28"/>
          <w:szCs w:val="28"/>
          <w:u w:val="single"/>
          <w:vertAlign w:val="superscript"/>
        </w:rPr>
      </w:pPr>
      <w:r w:rsidRPr="007944FA">
        <w:rPr>
          <w:rFonts w:ascii="Arial" w:hAnsi="Arial" w:cs="Arial"/>
        </w:rPr>
        <w:t xml:space="preserve">Podroben opis metodologije in rezultatov projekta OPS21 je na voljo v sinteznem poročilu </w:t>
      </w:r>
      <w:r w:rsidRPr="007944FA">
        <w:rPr>
          <w:rFonts w:ascii="Arial" w:hAnsi="Arial" w:cs="Arial"/>
          <w:i/>
          <w:iCs/>
        </w:rPr>
        <w:t>Ocena podnebnih sprememb v Sloveniji do konca 21</w:t>
      </w:r>
      <w:r w:rsidRPr="007944FA">
        <w:rPr>
          <w:rFonts w:ascii="Arial" w:hAnsi="Arial" w:cs="Arial"/>
          <w:i/>
        </w:rPr>
        <w:t>.</w:t>
      </w:r>
      <w:r w:rsidRPr="007944FA">
        <w:rPr>
          <w:rFonts w:ascii="Arial" w:hAnsi="Arial" w:cs="Arial"/>
          <w:i/>
          <w:iCs/>
        </w:rPr>
        <w:t xml:space="preserve"> stoletja</w:t>
      </w:r>
      <w:bookmarkStart w:id="188" w:name="sdfootnote5anc"/>
      <w:r w:rsidRPr="007944FA">
        <w:rPr>
          <w:rFonts w:ascii="Arial" w:hAnsi="Arial" w:cs="Arial"/>
          <w:iCs/>
        </w:rPr>
        <w:t>.</w:t>
      </w:r>
      <w:r w:rsidRPr="007944FA">
        <w:rPr>
          <w:rStyle w:val="FootnoteReference"/>
          <w:rFonts w:ascii="Arial" w:hAnsi="Arial" w:cs="Arial"/>
          <w:iCs/>
        </w:rPr>
        <w:footnoteReference w:id="98"/>
      </w:r>
      <w:bookmarkEnd w:id="188"/>
      <w:r w:rsidRPr="007944FA">
        <w:rPr>
          <w:rFonts w:ascii="Arial" w:hAnsi="Arial" w:cs="Arial"/>
        </w:rPr>
        <w:t xml:space="preserve"> Grafični prikaz rezultatov za analizirane podnebne in s podnebjem povezane spremenljivke je na voljo v </w:t>
      </w:r>
      <w:r w:rsidRPr="007944FA">
        <w:rPr>
          <w:rFonts w:ascii="Arial" w:hAnsi="Arial" w:cs="Arial"/>
          <w:i/>
          <w:iCs/>
        </w:rPr>
        <w:t>Atlasu podnebnih projekcij</w:t>
      </w:r>
      <w:bookmarkStart w:id="189" w:name="sdfootnote6anc"/>
      <w:r w:rsidRPr="007944FA">
        <w:rPr>
          <w:rFonts w:ascii="Arial" w:hAnsi="Arial" w:cs="Arial"/>
          <w:iCs/>
        </w:rPr>
        <w:t>.</w:t>
      </w:r>
      <w:r w:rsidRPr="007944FA">
        <w:rPr>
          <w:rStyle w:val="FootnoteReference"/>
          <w:rFonts w:ascii="Arial" w:hAnsi="Arial" w:cs="Arial"/>
          <w:iCs/>
        </w:rPr>
        <w:footnoteReference w:id="99"/>
      </w:r>
      <w:bookmarkEnd w:id="189"/>
      <w:r w:rsidRPr="007944FA">
        <w:rPr>
          <w:rFonts w:ascii="Arial" w:hAnsi="Arial" w:cs="Arial"/>
        </w:rPr>
        <w:t xml:space="preserve"> Številski podatki za rezultate izbranih podnebnih spremenljivk so na voljo na portalu OPSI</w:t>
      </w:r>
      <w:r w:rsidRPr="007944FA">
        <w:rPr>
          <w:rStyle w:val="FootnoteReference"/>
          <w:rFonts w:ascii="Arial" w:hAnsi="Arial" w:cs="Arial"/>
        </w:rPr>
        <w:footnoteReference w:id="100"/>
      </w:r>
      <w:r w:rsidRPr="007944FA">
        <w:rPr>
          <w:rFonts w:ascii="Arial" w:hAnsi="Arial" w:cs="Arial"/>
        </w:rPr>
        <w:t xml:space="preserve"> (Odprti podatki Slovenije). </w:t>
      </w:r>
    </w:p>
    <w:p w14:paraId="4E9CBA49" w14:textId="687FD6EE" w:rsidR="006A18D2" w:rsidRPr="007944FA" w:rsidRDefault="006A18D2" w:rsidP="006A18D2">
      <w:pPr>
        <w:pStyle w:val="NormalWeb"/>
        <w:pBdr>
          <w:top w:val="single" w:sz="4" w:space="1" w:color="auto"/>
          <w:left w:val="single" w:sz="4" w:space="4" w:color="auto"/>
          <w:bottom w:val="single" w:sz="4" w:space="1" w:color="auto"/>
          <w:right w:val="single" w:sz="4" w:space="4" w:color="auto"/>
        </w:pBdr>
        <w:shd w:val="clear" w:color="auto" w:fill="E8E8E8" w:themeFill="background2"/>
        <w:jc w:val="both"/>
        <w:rPr>
          <w:rFonts w:ascii="Arial" w:eastAsiaTheme="majorEastAsia" w:hAnsi="Arial" w:cs="Arial"/>
          <w:b/>
          <w:bCs/>
          <w:sz w:val="20"/>
          <w:szCs w:val="20"/>
        </w:rPr>
      </w:pPr>
      <w:r w:rsidRPr="007944FA">
        <w:rPr>
          <w:rFonts w:ascii="Arial" w:hAnsi="Arial" w:cs="Arial"/>
          <w:sz w:val="20"/>
          <w:szCs w:val="20"/>
        </w:rPr>
        <w:t>b)</w:t>
      </w:r>
      <w:r w:rsidRPr="007944FA">
        <w:rPr>
          <w:rFonts w:ascii="Arial" w:hAnsi="Arial" w:cs="Arial"/>
          <w:b/>
          <w:bCs/>
          <w:sz w:val="20"/>
          <w:szCs w:val="20"/>
        </w:rPr>
        <w:t xml:space="preserve"> </w:t>
      </w:r>
      <w:r w:rsidRPr="007944FA">
        <w:rPr>
          <w:rStyle w:val="Strong"/>
          <w:rFonts w:ascii="Arial" w:eastAsiaTheme="majorEastAsia" w:hAnsi="Arial" w:cs="Arial"/>
          <w:b w:val="0"/>
          <w:bCs w:val="0"/>
          <w:sz w:val="20"/>
          <w:szCs w:val="20"/>
        </w:rPr>
        <w:t xml:space="preserve">opazovani in </w:t>
      </w:r>
      <w:r w:rsidR="00AF4F9F" w:rsidRPr="007944FA">
        <w:rPr>
          <w:rStyle w:val="Strong"/>
          <w:rFonts w:ascii="Arial" w:eastAsiaTheme="majorEastAsia" w:hAnsi="Arial" w:cs="Arial"/>
          <w:b w:val="0"/>
          <w:bCs w:val="0"/>
          <w:sz w:val="20"/>
          <w:szCs w:val="20"/>
        </w:rPr>
        <w:t>mogoči</w:t>
      </w:r>
      <w:r w:rsidRPr="007944FA">
        <w:rPr>
          <w:rStyle w:val="Strong"/>
          <w:rFonts w:ascii="Arial" w:eastAsiaTheme="majorEastAsia" w:hAnsi="Arial" w:cs="Arial"/>
          <w:b w:val="0"/>
          <w:bCs w:val="0"/>
          <w:sz w:val="20"/>
          <w:szCs w:val="20"/>
        </w:rPr>
        <w:t xml:space="preserve"> vplivi podnebnih sprememb</w:t>
      </w:r>
      <w:r w:rsidRPr="007944FA">
        <w:rPr>
          <w:rFonts w:ascii="Arial" w:hAnsi="Arial" w:cs="Arial"/>
          <w:b/>
          <w:bCs/>
          <w:sz w:val="20"/>
          <w:szCs w:val="20"/>
        </w:rPr>
        <w:t xml:space="preserve">, </w:t>
      </w:r>
      <w:r w:rsidRPr="007944FA">
        <w:rPr>
          <w:rFonts w:ascii="Arial" w:hAnsi="Arial" w:cs="Arial"/>
          <w:sz w:val="20"/>
          <w:szCs w:val="20"/>
        </w:rPr>
        <w:t>vključno s sektorskimi, ekonomskimi, socialnimi in/ali okoljskimi ranljivostmi;</w:t>
      </w:r>
    </w:p>
    <w:p w14:paraId="4CAD2FC9"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 xml:space="preserve">Podnebne spremembe pomembno vplivajo na ključne gospodarske sektorje Slovenije, naravno okolje in družbeno blaginjo. Pri tem velja poudariti predvsem pomen energetske in </w:t>
      </w:r>
      <w:r w:rsidRPr="007944FA">
        <w:rPr>
          <w:rFonts w:ascii="Arial" w:eastAsia="Times New Roman" w:hAnsi="Arial" w:cs="Arial"/>
        </w:rPr>
        <w:lastRenderedPageBreak/>
        <w:t>prehranske varnosti, saj sta oba sektorja močno občutljiva za vplive podnebnih sprememb. Ekstremni vremenski dogodki, kot so suše, vročinski valovi in neurja, vplivajo na obseg pridelave hrane, ogrožajo razpoložljivost vode in obremenjujejo energetsko infrastrukturo, kar povečuje gospodarske izgube in družbene neenakosti. Opazno povečanje pogostosti ekstremnih podnebnih dogodkov v zadnjih desetletjih, skupaj s projekcijami, kaže, da se mora Slovenija prednostno posvetiti prilagoditvenim ukrepom in okrepiti odpornost na podnebne spremembe.</w:t>
      </w:r>
    </w:p>
    <w:p w14:paraId="2B0F1AFF"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Po podatkih Evropske agencije za okolje (EEA) je Slovenija med letoma 1980 in 2023 utrpela najvišjo gospodarsko izgubo na prebivalca zaradi podnebnih sprememb v EU, saj ta znaša 8.700 evrov na prebivalca, s skupnimi gospodarskimi izgubami v višini približno 17,5 milijarde evrov.</w:t>
      </w:r>
      <w:r w:rsidRPr="007944FA">
        <w:rPr>
          <w:rStyle w:val="FootnoteReference"/>
          <w:rFonts w:ascii="Arial" w:eastAsia="Times New Roman" w:hAnsi="Arial" w:cs="Arial"/>
        </w:rPr>
        <w:footnoteReference w:id="101"/>
      </w:r>
      <w:r w:rsidRPr="007944FA">
        <w:rPr>
          <w:rFonts w:ascii="Arial" w:eastAsia="Times New Roman" w:hAnsi="Arial" w:cs="Arial"/>
        </w:rPr>
        <w:t xml:space="preserve"> Slovenija je še posebej ranljiva zaradi svoje odvisnosti od podnebno občutljivih sektorjev, kot so energetika, kmetijstvo, gozdarstvo in turizem. Vse pogostejše in intenzivnejše suše, vročinski valovi in neurja povzročajo veliko gospodarsko škodo, vplivajo na produktivnost, infrastrukturo in javno zdravje.</w:t>
      </w:r>
    </w:p>
    <w:p w14:paraId="59FB62CB"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Podnebne spremembe lahko vplivajo na energetsko varnost Slovenije, saj lahko spreminjajoči se padavinski vzorci in pogostejše suše vplivajo na hidrološke razmere ter s tem na proizvodnjo električne energije iz hidroelektrarn. Ekstremni vremenski pojavi, kot so vročinski valovi, lahko povečajo povpraševanje po električni energiji, zlasti zaradi večje rabe hlajenja, kar lahko dodatno obremeni elektroenergetski sistem. Hkrati lahko poplave, nevihte in požari v naravi pomenijo izziv za vzdrževanje in odpornost energetske infrastrukture. Ob prehodu na obnovljive vire energije so zato ključni nadaljnje vlaganje v razvoj hranilnikov energije, prilagoditev elektroenergetskega omrežja in krepitev odpornosti infrastrukture na vplive podnebnih sprememb.</w:t>
      </w:r>
      <w:r w:rsidRPr="007944FA">
        <w:rPr>
          <w:rStyle w:val="FootnoteReference"/>
          <w:rFonts w:ascii="Arial" w:eastAsia="Times New Roman" w:hAnsi="Arial" w:cs="Arial"/>
        </w:rPr>
        <w:footnoteReference w:id="102"/>
      </w:r>
    </w:p>
    <w:p w14:paraId="740B4519" w14:textId="777158BC" w:rsidR="006A18D2" w:rsidRPr="007944FA" w:rsidRDefault="006A18D2" w:rsidP="006A18D2">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rPr>
        <w:t xml:space="preserve">Trend zmanjševanja odtoka rek s slovenskega ozemlja se nadaljuje, kar vpliva na </w:t>
      </w:r>
      <w:r w:rsidR="00AF4F9F" w:rsidRPr="007944FA">
        <w:rPr>
          <w:rFonts w:ascii="Arial" w:eastAsia="Times New Roman" w:hAnsi="Arial" w:cs="Arial"/>
        </w:rPr>
        <w:t>zmogljivost</w:t>
      </w:r>
      <w:r w:rsidRPr="007944FA">
        <w:rPr>
          <w:rFonts w:ascii="Arial" w:eastAsia="Times New Roman" w:hAnsi="Arial" w:cs="Arial"/>
        </w:rPr>
        <w:t xml:space="preserve"> hidroenergije. Čeprav sta bili leti 2013 in 2014 nadpovprečno bogati z vodnimi viri, so sledila sušna obdobja, vključno z izrazito sušnimi leti, kot so bila leta 2003, 2011, 1983, 2022, 2007 in 2015.</w:t>
      </w:r>
    </w:p>
    <w:p w14:paraId="6F66BCE0"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Leto 2022 je bilo posebej sušno, kar je dodatno poslabšalo izzive pri proizvodnji električne energije.</w:t>
      </w:r>
      <w:r w:rsidRPr="007944FA">
        <w:rPr>
          <w:rStyle w:val="FootnoteReference"/>
          <w:rFonts w:ascii="Arial" w:eastAsia="Times New Roman" w:hAnsi="Arial" w:cs="Arial"/>
        </w:rPr>
        <w:footnoteReference w:id="103"/>
      </w:r>
      <w:r w:rsidRPr="007944FA">
        <w:rPr>
          <w:rFonts w:ascii="Arial" w:eastAsia="Times New Roman" w:hAnsi="Arial" w:cs="Arial"/>
        </w:rPr>
        <w:t xml:space="preserve"> </w:t>
      </w:r>
    </w:p>
    <w:p w14:paraId="5368D3B0"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Hidroelektrarne ostajajo prevladujoč obnovljivi vir električne energije v Sloveniji, saj so v letu 2020 prispevale 88 % vse električne energije iz obnovljivih virov. Vendar pa se njihov delež postopoma zmanjšuje. Leta 2020 je delež električne energije iz obnovljivih virov v bruto porabi električne energije dosegel 37,5 %, kar je povečanje glede na prejšnje leto, predvsem zaradi večjega vodnega odtoka in nižje skupne porabe električne energije. Po normalizaciji hidroloških nihanj je delež znašal 35,1 %, kar je za 1,6 odstotne točke preseglo okvirni cilj Slovenije v Nacionalnem energetskem in podnebnem načrtu (NEPN) za leto 2020.</w:t>
      </w:r>
      <w:r w:rsidRPr="007944FA">
        <w:rPr>
          <w:rStyle w:val="FootnoteReference"/>
          <w:rFonts w:ascii="Arial" w:eastAsia="Times New Roman" w:hAnsi="Arial" w:cs="Arial"/>
        </w:rPr>
        <w:footnoteReference w:id="104"/>
      </w:r>
      <w:r w:rsidRPr="007944FA">
        <w:rPr>
          <w:rFonts w:ascii="Arial" w:eastAsia="Times New Roman" w:hAnsi="Arial" w:cs="Arial"/>
        </w:rPr>
        <w:t xml:space="preserve"> Kljub tem kratkoročnim pozitivnim spremembam dolgoročne projekcije napovedujejo večjo variabilnost hidroelektrične proizvodnje zaradi spremenjenih padavinskih vzorcev in pogostejših suš. </w:t>
      </w:r>
    </w:p>
    <w:p w14:paraId="778DD995"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 xml:space="preserve">Tudi pogostost kmetijskih suš se v Sloveniji v zadnjih desetletjih povečuje. V zadnjih dvajsetih letih je bilo sedem večjih suš razglašenih za naravne nesreče, kar je vplivalo na kmetijsko proizvodnjo in podeželska gospodarstva. Suša postaja vse intenzivnejša, tudi v regijah, kjer </w:t>
      </w:r>
      <w:r w:rsidRPr="007944FA">
        <w:rPr>
          <w:rFonts w:ascii="Arial" w:eastAsia="Times New Roman" w:hAnsi="Arial" w:cs="Arial"/>
        </w:rPr>
        <w:lastRenderedPageBreak/>
        <w:t>prej ni bila pogosta. Dodatno tveganje prinašajo tako imenovane nenadne suše (flash droughts), ki se poleti razvijejo hitro, zlasti v obdobjih vročinskih valov, in močno vplivajo na pridelke. Projekcije kažejo, da se bosta tako pogostost kot intenzivnost kmetijskih suš še naprej povečevali.</w:t>
      </w:r>
      <w:r w:rsidRPr="007944FA">
        <w:rPr>
          <w:rStyle w:val="FootnoteReference"/>
          <w:rFonts w:ascii="Arial" w:eastAsia="Times New Roman" w:hAnsi="Arial" w:cs="Arial"/>
        </w:rPr>
        <w:footnoteReference w:id="105"/>
      </w:r>
      <w:r w:rsidRPr="007944FA">
        <w:rPr>
          <w:rFonts w:ascii="Arial" w:eastAsia="Times New Roman" w:hAnsi="Arial" w:cs="Arial"/>
        </w:rPr>
        <w:t xml:space="preserve"> </w:t>
      </w:r>
    </w:p>
    <w:p w14:paraId="17DF7DDE" w14:textId="7D03B465" w:rsidR="002F0522" w:rsidRPr="007944FA" w:rsidRDefault="006A18D2" w:rsidP="006A18D2">
      <w:pPr>
        <w:spacing w:line="278" w:lineRule="auto"/>
        <w:jc w:val="center"/>
        <w:rPr>
          <w:rFonts w:ascii="Arial" w:hAnsi="Arial" w:cs="Arial"/>
          <w:b/>
        </w:rPr>
      </w:pPr>
      <w:r w:rsidRPr="007944FA">
        <w:rPr>
          <w:noProof/>
          <w:lang w:eastAsia="sl-SI"/>
        </w:rPr>
        <w:drawing>
          <wp:inline distT="0" distB="0" distL="0" distR="0" wp14:anchorId="122C719E" wp14:editId="4E0F75AB">
            <wp:extent cx="5401525" cy="5328364"/>
            <wp:effectExtent l="0" t="0" r="0" b="0"/>
            <wp:docPr id="1123725223" name="Slika 1123725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5401525" cy="5328364"/>
                    </a:xfrm>
                    <a:prstGeom prst="rect">
                      <a:avLst/>
                    </a:prstGeom>
                  </pic:spPr>
                </pic:pic>
              </a:graphicData>
            </a:graphic>
          </wp:inline>
        </w:drawing>
      </w:r>
    </w:p>
    <w:p w14:paraId="3FFFE817" w14:textId="3D89C1B2" w:rsidR="006A18D2" w:rsidRPr="007944FA" w:rsidRDefault="006A18D2" w:rsidP="0091142E">
      <w:pPr>
        <w:pStyle w:val="NIKASLIKE"/>
      </w:pPr>
      <w:bookmarkStart w:id="190" w:name="_Toc193194010"/>
      <w:r w:rsidRPr="007944FA">
        <w:t>Slika 37: Vrednosti povprečne poletne meteorološke vodne bilance za Slovenijo med letoma 1981 in 2022 in število regij z izjemno kmetijsko sušo v posameznem letu (zgoraj) ter jakost poletne kmetijske suše, izražene s percentilnim razredom po regijah med letoma 1981 in 2022 v primerjavi z obdobjem 1961–2020</w:t>
      </w:r>
      <w:r w:rsidRPr="007944FA">
        <w:rPr>
          <w:rStyle w:val="FootnoteReference"/>
          <w:rFonts w:eastAsia="Times New Roman"/>
        </w:rPr>
        <w:footnoteReference w:id="106"/>
      </w:r>
      <w:bookmarkEnd w:id="190"/>
    </w:p>
    <w:p w14:paraId="58A698D4" w14:textId="77777777" w:rsidR="006A18D2" w:rsidRPr="007944FA" w:rsidRDefault="006A18D2" w:rsidP="006A18D2">
      <w:pPr>
        <w:spacing w:before="240" w:after="240"/>
        <w:jc w:val="both"/>
        <w:rPr>
          <w:rFonts w:ascii="Arial" w:eastAsia="Times New Roman" w:hAnsi="Arial" w:cs="Arial"/>
        </w:rPr>
      </w:pPr>
      <w:r w:rsidRPr="007944FA">
        <w:rPr>
          <w:rFonts w:ascii="Arial" w:eastAsia="Times New Roman" w:hAnsi="Arial" w:cs="Arial"/>
        </w:rPr>
        <w:t xml:space="preserve">Pogostejše in intenzivnejše suše so resen izziv za kmetijsko proizvodnjo in podeželska gospodarstva, hkrati pa povečujejo odvisnost Slovenije od uvoza hrane. Slovenija je kot neto uvoznica hrane močno odvisna od svetovnih trgov za ključne prehranske izdelke, kot so zelenjava, sadje, krompir in svinjina. Podnebne spremembe lahko dodatno ogrozijo stabilnost svetovnih prehranskih dobavnih verig, nihajoče tržne cene pa povečujejo gospodarska in prehranska varnostna tveganja. Medtem ko stopnja samooskrbe pri mleku, jajcih, govedini in perutnini ostaja razmeroma stabilna, se je skupni delež domače proizvodnje hrane zmanjšal </w:t>
      </w:r>
      <w:r w:rsidRPr="007944FA">
        <w:rPr>
          <w:rFonts w:ascii="Arial" w:eastAsia="Times New Roman" w:hAnsi="Arial" w:cs="Arial"/>
        </w:rPr>
        <w:lastRenderedPageBreak/>
        <w:t>in leta 2022 znašal le eno petino celotne porabe. Za povečanje odpornosti mora Slovenija vlagati v kmetijske prakse, prilagojene podnebnim spremembam, širiti namakalne sisteme in spodbujati trajnostne strategije rabe zemljišč.</w:t>
      </w:r>
      <w:r w:rsidRPr="007944FA">
        <w:rPr>
          <w:rStyle w:val="FootnoteReference"/>
          <w:rFonts w:ascii="Arial" w:eastAsia="Times New Roman" w:hAnsi="Arial" w:cs="Arial"/>
        </w:rPr>
        <w:footnoteReference w:id="107"/>
      </w:r>
      <w:r w:rsidRPr="007944FA">
        <w:rPr>
          <w:rFonts w:ascii="Arial" w:eastAsia="Times New Roman" w:hAnsi="Arial" w:cs="Arial"/>
        </w:rPr>
        <w:t xml:space="preserve"> </w:t>
      </w:r>
    </w:p>
    <w:p w14:paraId="0A41EC23" w14:textId="77777777" w:rsidR="006A18D2" w:rsidRPr="007944FA" w:rsidRDefault="006A18D2" w:rsidP="006A18D2">
      <w:pPr>
        <w:spacing w:before="240" w:after="240"/>
        <w:jc w:val="both"/>
        <w:rPr>
          <w:rFonts w:ascii="Arial" w:eastAsia="Times New Roman" w:hAnsi="Arial" w:cs="Arial"/>
        </w:rPr>
      </w:pPr>
      <w:r w:rsidRPr="007944FA">
        <w:rPr>
          <w:rFonts w:ascii="Arial" w:eastAsia="Times New Roman" w:hAnsi="Arial" w:cs="Arial"/>
        </w:rPr>
        <w:t>Podnebne spremembe vplivajo tudi na fizično okolje, pri čemer je eden najopaznejših primerov stalno krčenje Triglavskega ledenika, ki se od osemdesetih let prejšnjega stoletja hitro zmanjšuje. Leta 1992 se je razdelil na dva ločena dela in le v letih z nadpovprečno snežno odejo so bile opažene začasne upočasnitve njegovega umikanja.</w:t>
      </w:r>
      <w:r w:rsidRPr="007944FA">
        <w:rPr>
          <w:rStyle w:val="FootnoteReference"/>
          <w:rFonts w:ascii="Arial" w:eastAsia="Times New Roman" w:hAnsi="Arial" w:cs="Arial"/>
        </w:rPr>
        <w:footnoteReference w:id="108"/>
      </w:r>
      <w:r w:rsidRPr="007944FA">
        <w:rPr>
          <w:rFonts w:ascii="Arial" w:eastAsia="Times New Roman" w:hAnsi="Arial" w:cs="Arial"/>
        </w:rPr>
        <w:t xml:space="preserve"> Podobno zaskrbljujoč trend se kaže tudi pri drugih hidroloških pojavih, saj se je gladina morja ob slovenski obali med letoma 1960 in 2019 dvignila za 11 cm. V zadnjih dveh desetletjih se je trend še pospešil in zdaj znaša 4,4 mm letno, kar presega tako evropsko kot svetovno povprečje.</w:t>
      </w:r>
      <w:r w:rsidRPr="007944FA">
        <w:rPr>
          <w:rStyle w:val="FootnoteReference"/>
          <w:rFonts w:ascii="Arial" w:eastAsia="Times New Roman" w:hAnsi="Arial" w:cs="Arial"/>
        </w:rPr>
        <w:footnoteReference w:id="109"/>
      </w:r>
      <w:r w:rsidRPr="007944FA">
        <w:rPr>
          <w:rFonts w:ascii="Arial" w:eastAsia="Times New Roman" w:hAnsi="Arial" w:cs="Arial"/>
        </w:rPr>
        <w:t xml:space="preserve"> Hkrati postajajo površinske in podzemne suše vse pogostejše in intenzivnejše, pri čemer je bilo osem od desetih najbolj suhih let po letu 2000.</w:t>
      </w:r>
      <w:r w:rsidRPr="007944FA">
        <w:rPr>
          <w:rStyle w:val="FootnoteReference"/>
          <w:rFonts w:ascii="Arial" w:eastAsia="Times New Roman" w:hAnsi="Arial" w:cs="Arial"/>
        </w:rPr>
        <w:footnoteReference w:id="110"/>
      </w:r>
    </w:p>
    <w:p w14:paraId="65A1A000" w14:textId="416BED29" w:rsidR="006A18D2" w:rsidRPr="007944FA" w:rsidRDefault="006A18D2" w:rsidP="006A18D2">
      <w:pPr>
        <w:spacing w:line="278" w:lineRule="auto"/>
        <w:jc w:val="center"/>
        <w:rPr>
          <w:rFonts w:ascii="Arial" w:hAnsi="Arial" w:cs="Arial"/>
          <w:b/>
          <w:i/>
          <w:iCs/>
          <w:sz w:val="18"/>
          <w:szCs w:val="18"/>
        </w:rPr>
      </w:pPr>
      <w:r w:rsidRPr="007944FA">
        <w:rPr>
          <w:noProof/>
          <w:lang w:eastAsia="sl-SI"/>
        </w:rPr>
        <w:drawing>
          <wp:inline distT="0" distB="0" distL="0" distR="0" wp14:anchorId="6476225F" wp14:editId="2311869B">
            <wp:extent cx="4535438" cy="3359785"/>
            <wp:effectExtent l="0" t="0" r="0" b="0"/>
            <wp:docPr id="1553898781" name="Slika 1553898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4538433" cy="3362004"/>
                    </a:xfrm>
                    <a:prstGeom prst="rect">
                      <a:avLst/>
                    </a:prstGeom>
                  </pic:spPr>
                </pic:pic>
              </a:graphicData>
            </a:graphic>
          </wp:inline>
        </w:drawing>
      </w:r>
    </w:p>
    <w:p w14:paraId="78109330" w14:textId="704AFBBB" w:rsidR="006A18D2" w:rsidRPr="007944FA" w:rsidRDefault="006A18D2" w:rsidP="0091142E">
      <w:pPr>
        <w:pStyle w:val="NIKASLIKE"/>
      </w:pPr>
      <w:bookmarkStart w:id="191" w:name="_Toc193194011"/>
      <w:r w:rsidRPr="007944FA">
        <w:rPr>
          <w:lang w:val="en-GB"/>
        </w:rPr>
        <w:t>Slika 38: Obseg Triglavskega ledenika med letoma 1946 in 2020</w:t>
      </w:r>
      <w:r w:rsidRPr="007944FA">
        <w:rPr>
          <w:rStyle w:val="FootnoteReference"/>
          <w:rFonts w:eastAsia="Times New Roman"/>
          <w:lang w:val="en-GB"/>
        </w:rPr>
        <w:footnoteReference w:id="111"/>
      </w:r>
      <w:bookmarkEnd w:id="191"/>
    </w:p>
    <w:p w14:paraId="62012E6D" w14:textId="77777777" w:rsidR="006A18D2" w:rsidRPr="007944FA" w:rsidRDefault="006A18D2" w:rsidP="006A18D2">
      <w:pPr>
        <w:jc w:val="both"/>
        <w:rPr>
          <w:rFonts w:ascii="Arial" w:hAnsi="Arial" w:cs="Arial"/>
        </w:rPr>
      </w:pPr>
      <w:r w:rsidRPr="007944FA">
        <w:rPr>
          <w:rFonts w:ascii="Arial" w:eastAsia="Times New Roman" w:hAnsi="Arial" w:cs="Arial"/>
        </w:rPr>
        <w:t>Podnebne spremembe vplivajo na vodne vire in obalna območja, vse bolj pa ogrožajo tudi kopenske ekosisteme. Slovenski gozdovi, ki pokrivajo 56 % površine države (58 % skupaj z grmovno vegetacijo), so vse bolj izpostavljeni podnebnim stresnim dejavnikom, vključno s skrajnimi vremenskimi dogodki, sušami in izbruhi škodljivcev (na primer podlubniki). Od leta 2020 se je stopnja osutosti in poškodovanosti gozdov povečala, pri čemer so najbolj prizadete drevesne vrste smreka, bukev, hrast in črni bor. Ti trendi poudarjajo potrebo po prilagodljivem gospodarjenju z gozdovi, vključno z raznolikostjo drevesnih vrst, izboljšanim spremljanjem škodljivcev in trajnostnimi praksami sečnje, da bi gozdovi še naprej zagotavljali ekosistemske storitve, kot so zajemanje ogljika in ohranjanje biotske raznovrstnosti.</w:t>
      </w:r>
      <w:r w:rsidRPr="007944FA">
        <w:rPr>
          <w:rStyle w:val="FootnoteReference"/>
          <w:rFonts w:ascii="Arial" w:eastAsia="Times New Roman" w:hAnsi="Arial" w:cs="Arial"/>
        </w:rPr>
        <w:footnoteReference w:id="112"/>
      </w:r>
    </w:p>
    <w:p w14:paraId="3180A1D7" w14:textId="3009F278" w:rsidR="006A18D2" w:rsidRPr="007944FA" w:rsidRDefault="006A18D2" w:rsidP="006A18D2">
      <w:pPr>
        <w:spacing w:line="278" w:lineRule="auto"/>
        <w:jc w:val="center"/>
        <w:rPr>
          <w:rFonts w:ascii="Arial" w:hAnsi="Arial" w:cs="Arial"/>
          <w:b/>
          <w:i/>
          <w:iCs/>
          <w:sz w:val="18"/>
          <w:szCs w:val="18"/>
        </w:rPr>
      </w:pPr>
      <w:r w:rsidRPr="007944FA">
        <w:rPr>
          <w:noProof/>
          <w:lang w:eastAsia="sl-SI"/>
        </w:rPr>
        <w:lastRenderedPageBreak/>
        <w:drawing>
          <wp:inline distT="0" distB="0" distL="0" distR="0" wp14:anchorId="08A7AA9B" wp14:editId="099C7979">
            <wp:extent cx="5580380" cy="2780963"/>
            <wp:effectExtent l="0" t="0" r="1270" b="635"/>
            <wp:docPr id="1197119375" name="Slika 119711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extLst>
                        <a:ext uri="{28A0092B-C50C-407E-A947-70E740481C1C}">
                          <a14:useLocalDpi xmlns:a14="http://schemas.microsoft.com/office/drawing/2010/main" val="0"/>
                        </a:ext>
                      </a:extLst>
                    </a:blip>
                    <a:stretch>
                      <a:fillRect/>
                    </a:stretch>
                  </pic:blipFill>
                  <pic:spPr>
                    <a:xfrm>
                      <a:off x="0" y="0"/>
                      <a:ext cx="5580380" cy="2780963"/>
                    </a:xfrm>
                    <a:prstGeom prst="rect">
                      <a:avLst/>
                    </a:prstGeom>
                  </pic:spPr>
                </pic:pic>
              </a:graphicData>
            </a:graphic>
          </wp:inline>
        </w:drawing>
      </w:r>
    </w:p>
    <w:p w14:paraId="011ED8CF" w14:textId="581D134A" w:rsidR="006A18D2" w:rsidRPr="007944FA" w:rsidRDefault="006A18D2" w:rsidP="0091142E">
      <w:pPr>
        <w:pStyle w:val="NIKASLIKE"/>
      </w:pPr>
      <w:bookmarkStart w:id="192" w:name="_Toc193194012"/>
      <w:r w:rsidRPr="007944FA">
        <w:rPr>
          <w:lang w:val="en-GB"/>
        </w:rPr>
        <w:t>Slika 39: Trend osutosti in poškodovanosti gozdov</w:t>
      </w:r>
      <w:r w:rsidRPr="007944FA">
        <w:rPr>
          <w:rStyle w:val="FootnoteReference"/>
          <w:rFonts w:eastAsia="Times New Roman"/>
          <w:lang w:val="en-GB"/>
        </w:rPr>
        <w:footnoteReference w:id="113"/>
      </w:r>
      <w:bookmarkEnd w:id="192"/>
    </w:p>
    <w:p w14:paraId="4D5BF8C7" w14:textId="77777777" w:rsidR="006A18D2" w:rsidRPr="007944FA" w:rsidRDefault="006A18D2" w:rsidP="006A18D2">
      <w:pPr>
        <w:spacing w:before="240" w:after="240"/>
        <w:jc w:val="both"/>
        <w:rPr>
          <w:rFonts w:ascii="Arial" w:hAnsi="Arial" w:cs="Arial"/>
          <w:sz w:val="16"/>
          <w:szCs w:val="16"/>
        </w:rPr>
      </w:pPr>
      <w:r w:rsidRPr="007944FA">
        <w:rPr>
          <w:rFonts w:ascii="Arial" w:eastAsia="Times New Roman" w:hAnsi="Arial" w:cs="Arial"/>
        </w:rPr>
        <w:t>Vplivi podnebnih sprememb pa ne ogrožajo le naravnih ekosistemov, temveč tudi kakovost življenja in zdravje prebivalstva. Podnebne spremembe zaostrujejo socialne in zdravstvene ranljivosti, zlasti pri starejšem prebivalstvu, gospodinjstvih z nizkimi dohodki in osebah z zdravstvenimi težavami. Naraščajoča intenzivnost in pogostost vročinskih valov povečujeta tveganja za bolezni srca in ožilja, dihalne težave in umrljivost.</w:t>
      </w:r>
      <w:r w:rsidRPr="007944FA">
        <w:rPr>
          <w:rStyle w:val="FootnoteReference"/>
          <w:rFonts w:ascii="Arial" w:eastAsia="Times New Roman" w:hAnsi="Arial" w:cs="Arial"/>
        </w:rPr>
        <w:footnoteReference w:id="114"/>
      </w:r>
      <w:r w:rsidRPr="007944FA">
        <w:rPr>
          <w:rFonts w:ascii="Arial" w:eastAsia="Times New Roman" w:hAnsi="Arial" w:cs="Arial"/>
        </w:rPr>
        <w:t xml:space="preserve"> Skrajni vremenski dogodki silijo prebivalce k selitvi iz najbolj prizadetih območij. Gospodinjstva starejših z nizkimi dohodki so še posebej ranljiva, saj njihova stanovanja pogosto niso prilagojena visokim temperaturam.</w:t>
      </w:r>
    </w:p>
    <w:p w14:paraId="5C63C1C4"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Spremenjene podnebne razmere prav tako povečujejo širjenje bolezni, ki jih prenašajo klopi. Med letoma 2014 in 2023 je bilo v Sloveniji od nekaj manj kot 3000 do več kot 7000 primerov borelioze letno, povprečno pa 105 primerov klopnega meningoencefalitisa na leto. Podnebne spremembe podaljšujejo aktivno sezono klopov in širijo njihovo življenjsko okolje, kar povečuje tveganje za okužbe. Ozaveščanje javnosti in spodbujanje preventivnih ukrepov sta ključni strategiji za zmanjšanje bremena teh bolezni.</w:t>
      </w:r>
      <w:r w:rsidRPr="007944FA">
        <w:rPr>
          <w:rStyle w:val="FootnoteReference"/>
          <w:rFonts w:ascii="Arial" w:eastAsia="Times New Roman" w:hAnsi="Arial" w:cs="Arial"/>
        </w:rPr>
        <w:footnoteReference w:id="115"/>
      </w:r>
      <w:r w:rsidRPr="007944FA">
        <w:rPr>
          <w:rFonts w:ascii="Arial" w:eastAsia="Times New Roman" w:hAnsi="Arial" w:cs="Arial"/>
        </w:rPr>
        <w:t xml:space="preserve"> </w:t>
      </w:r>
    </w:p>
    <w:p w14:paraId="7A0D6420"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Podnebne spremembe pa ne vplivajo le na zdravje prebivalstva, temveč tudi na gospodarske panoge, močno odvisne od vremenskih razmer, med katerimi je turizem še posebej</w:t>
      </w:r>
      <w:r w:rsidRPr="007944FA">
        <w:rPr>
          <w:rFonts w:ascii="Times New Roman" w:eastAsia="Times New Roman" w:hAnsi="Times New Roman" w:cs="Times New Roman"/>
          <w:sz w:val="24"/>
          <w:szCs w:val="24"/>
        </w:rPr>
        <w:t xml:space="preserve"> </w:t>
      </w:r>
      <w:r w:rsidRPr="007944FA">
        <w:rPr>
          <w:rFonts w:ascii="Arial" w:eastAsia="Times New Roman" w:hAnsi="Arial" w:cs="Arial"/>
        </w:rPr>
        <w:t>izpostavljen. Slovenski turistični sektor se zaradi podnebnih sprememb sooča z naraščajočimi tveganji. Zmanjšanje snežne odeje in naraščajoče temperature negativno vplivajo na zimski turizem, zaradi česar so smučarska središča vse bolj odvisna od umetnega zasneževanja, to pa povečuje operativne stroške. Poletni turizem ogrožajo vročinski valovi, ki zmanjšujejo možnosti za zunanje aktivnosti in povečujejo zdravstvena tveganja, tudi za turiste.</w:t>
      </w:r>
      <w:r w:rsidRPr="007944FA">
        <w:rPr>
          <w:rStyle w:val="FootnoteReference"/>
          <w:rFonts w:ascii="Arial" w:eastAsia="Times New Roman" w:hAnsi="Arial" w:cs="Arial"/>
        </w:rPr>
        <w:footnoteReference w:id="116"/>
      </w:r>
      <w:r w:rsidRPr="007944FA">
        <w:rPr>
          <w:rFonts w:ascii="Arial" w:eastAsia="Times New Roman" w:hAnsi="Arial" w:cs="Arial"/>
        </w:rPr>
        <w:t xml:space="preserve"> </w:t>
      </w:r>
    </w:p>
    <w:p w14:paraId="6EC71D5A" w14:textId="77777777" w:rsidR="006A18D2" w:rsidRPr="007944FA" w:rsidRDefault="006A18D2" w:rsidP="006A18D2">
      <w:pPr>
        <w:spacing w:before="240" w:after="240"/>
        <w:jc w:val="both"/>
        <w:rPr>
          <w:rFonts w:ascii="Arial" w:hAnsi="Arial" w:cs="Arial"/>
        </w:rPr>
      </w:pPr>
      <w:r w:rsidRPr="007944FA">
        <w:rPr>
          <w:rFonts w:ascii="Arial" w:eastAsia="Times New Roman" w:hAnsi="Arial" w:cs="Arial"/>
        </w:rPr>
        <w:t xml:space="preserve">Slovenija že izvaja prilagoditvene ukrepe v različnih sektorjih. Ti vključujejo izboljšanje upravljanja vodnih virov, širitev protipoplavne zaščite, krepitev samooskrbe s hrano, izboljšanje namakalne infrastrukture in spodbujanje zelene infrastrukture za zmanjšanje učinka mestnih toplotnih otokov. Energetski sektor se osredotoča na povečanje učinkovitosti in širitev obnovljivih virov energije za zmanjšanje podnebnih tveganj. Vendar pa dolgoročna odpornost </w:t>
      </w:r>
      <w:r w:rsidRPr="007944FA">
        <w:rPr>
          <w:rFonts w:ascii="Arial" w:eastAsia="Times New Roman" w:hAnsi="Arial" w:cs="Arial"/>
        </w:rPr>
        <w:lastRenderedPageBreak/>
        <w:t>zahteva dodatne naložbe v energetsko varnost, trajnostno kmetijstvo in prilagoditev infrastrukture. Krepitev prilagoditvenih zmogljivosti Slovenije bo ključnega pomena za zmanjšanje negativnih vplivov podnebnih sprememb na gospodarstvo, družbo in okolje.</w:t>
      </w:r>
    </w:p>
    <w:p w14:paraId="56CF7339" w14:textId="6FC7CEEC" w:rsidR="00DD1BEB" w:rsidRPr="007944FA" w:rsidRDefault="00DD1BEB" w:rsidP="00DD1BEB">
      <w:pPr>
        <w:pBdr>
          <w:top w:val="single" w:sz="4" w:space="1" w:color="auto"/>
          <w:left w:val="single" w:sz="4" w:space="4" w:color="auto"/>
          <w:bottom w:val="single" w:sz="4" w:space="1" w:color="auto"/>
          <w:right w:val="single" w:sz="4" w:space="4" w:color="auto"/>
        </w:pBdr>
        <w:shd w:val="clear" w:color="auto" w:fill="E8E8E8" w:themeFill="background2"/>
        <w:spacing w:before="240" w:after="240"/>
        <w:jc w:val="both"/>
        <w:rPr>
          <w:rFonts w:ascii="Arial" w:hAnsi="Arial" w:cs="Arial"/>
          <w:sz w:val="20"/>
          <w:szCs w:val="20"/>
        </w:rPr>
      </w:pPr>
      <w:r w:rsidRPr="007944FA">
        <w:rPr>
          <w:rFonts w:ascii="Arial" w:hAnsi="Arial" w:cs="Arial"/>
          <w:sz w:val="20"/>
          <w:szCs w:val="20"/>
        </w:rPr>
        <w:t xml:space="preserve">c) </w:t>
      </w:r>
      <w:r w:rsidR="00AF4F9F" w:rsidRPr="007944FA">
        <w:rPr>
          <w:rFonts w:ascii="Arial" w:hAnsi="Arial" w:cs="Arial"/>
          <w:sz w:val="20"/>
          <w:szCs w:val="20"/>
        </w:rPr>
        <w:t>Načini</w:t>
      </w:r>
      <w:r w:rsidRPr="007944FA">
        <w:rPr>
          <w:rFonts w:ascii="Arial" w:hAnsi="Arial" w:cs="Arial"/>
          <w:sz w:val="20"/>
          <w:szCs w:val="20"/>
        </w:rPr>
        <w:t>, metodologije in orodja ter povezane negotovosti in izzivi v zvezi s točkama a in b stosedmega odstavka .</w:t>
      </w:r>
    </w:p>
    <w:p w14:paraId="3731D63A" w14:textId="3C90FA04" w:rsidR="006E07EE" w:rsidRPr="007944FA" w:rsidRDefault="00DD1BEB" w:rsidP="00DD1BEB">
      <w:pPr>
        <w:rPr>
          <w:rFonts w:ascii="Arial" w:hAnsi="Arial" w:cs="Arial"/>
          <w:b/>
          <w:bCs/>
          <w:sz w:val="32"/>
          <w:szCs w:val="32"/>
        </w:rPr>
      </w:pPr>
      <w:r w:rsidRPr="007944FA">
        <w:rPr>
          <w:rFonts w:ascii="Arial" w:hAnsi="Arial" w:cs="Arial"/>
        </w:rPr>
        <w:t>Opisano v nadaljevanju pod točko D.</w:t>
      </w:r>
    </w:p>
    <w:p w14:paraId="62908357" w14:textId="7FFFAC40" w:rsidR="006E07EE" w:rsidRPr="007944FA" w:rsidRDefault="006E07EE" w:rsidP="000F19F4">
      <w:pPr>
        <w:pStyle w:val="Heading2"/>
      </w:pPr>
      <w:bookmarkStart w:id="193" w:name="_Toc196300840"/>
      <w:r w:rsidRPr="007944FA">
        <w:t>III.C. Prilagoditvene prioritete in ovire</w:t>
      </w:r>
      <w:bookmarkEnd w:id="193"/>
    </w:p>
    <w:p w14:paraId="4D337C84"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Style w:val="Strong"/>
          <w:rFonts w:ascii="Arial" w:eastAsiaTheme="majorEastAsia" w:hAnsi="Arial" w:cs="Arial"/>
          <w:b w:val="0"/>
          <w:bCs w:val="0"/>
          <w:sz w:val="20"/>
          <w:szCs w:val="20"/>
        </w:rPr>
        <w:t>108.</w:t>
      </w:r>
      <w:r w:rsidRPr="007944FA">
        <w:rPr>
          <w:rFonts w:ascii="Arial" w:hAnsi="Arial" w:cs="Arial"/>
          <w:b/>
          <w:bCs/>
          <w:sz w:val="20"/>
          <w:szCs w:val="20"/>
        </w:rPr>
        <w:t xml:space="preserve"> </w:t>
      </w:r>
      <w:r w:rsidRPr="007944FA">
        <w:rPr>
          <w:rFonts w:ascii="Arial" w:hAnsi="Arial" w:cs="Arial"/>
          <w:sz w:val="20"/>
          <w:szCs w:val="20"/>
        </w:rPr>
        <w:t>Vsaka pogodbenica bi morala, kjer je primerno, zagotoviti naslednje informacije:</w:t>
      </w:r>
    </w:p>
    <w:p w14:paraId="4B3CA4CD"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b/>
          <w:bCs/>
          <w:sz w:val="20"/>
          <w:szCs w:val="20"/>
        </w:rPr>
      </w:pPr>
      <w:r w:rsidRPr="007944FA">
        <w:rPr>
          <w:rFonts w:ascii="Arial" w:hAnsi="Arial" w:cs="Arial"/>
          <w:sz w:val="20"/>
          <w:szCs w:val="20"/>
        </w:rPr>
        <w:t xml:space="preserve">a) </w:t>
      </w:r>
      <w:r w:rsidRPr="007944FA">
        <w:rPr>
          <w:rStyle w:val="Strong"/>
          <w:rFonts w:ascii="Arial" w:eastAsiaTheme="majorEastAsia" w:hAnsi="Arial" w:cs="Arial"/>
          <w:b w:val="0"/>
          <w:bCs w:val="0"/>
          <w:sz w:val="20"/>
          <w:szCs w:val="20"/>
        </w:rPr>
        <w:t>domače prednostne naloge in napredek pri doseganju teh prednostnih nalog;</w:t>
      </w:r>
      <w:r w:rsidRPr="007944FA">
        <w:rPr>
          <w:rFonts w:ascii="Arial" w:hAnsi="Arial" w:cs="Arial"/>
          <w:b/>
          <w:bCs/>
          <w:sz w:val="20"/>
          <w:szCs w:val="20"/>
        </w:rPr>
        <w:t xml:space="preserve"> </w:t>
      </w:r>
    </w:p>
    <w:p w14:paraId="708B25EF"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Fonts w:ascii="Arial" w:hAnsi="Arial" w:cs="Arial"/>
          <w:sz w:val="20"/>
          <w:szCs w:val="20"/>
        </w:rPr>
        <w:t xml:space="preserve">b) </w:t>
      </w:r>
      <w:r w:rsidRPr="007944FA">
        <w:rPr>
          <w:rStyle w:val="Strong"/>
          <w:rFonts w:ascii="Arial" w:eastAsiaTheme="majorEastAsia" w:hAnsi="Arial" w:cs="Arial"/>
          <w:b w:val="0"/>
          <w:bCs w:val="0"/>
          <w:sz w:val="20"/>
          <w:szCs w:val="20"/>
        </w:rPr>
        <w:t>izzivi in vrzeli pri prilagajanju ter ovire za prilagajanje</w:t>
      </w:r>
      <w:r w:rsidRPr="007944FA">
        <w:rPr>
          <w:rStyle w:val="Strong"/>
          <w:rFonts w:ascii="Arial" w:eastAsiaTheme="majorEastAsia" w:hAnsi="Arial" w:cs="Arial"/>
          <w:sz w:val="20"/>
          <w:szCs w:val="20"/>
        </w:rPr>
        <w:t xml:space="preserve">. </w:t>
      </w:r>
    </w:p>
    <w:p w14:paraId="253B3D62" w14:textId="62A2CBC5" w:rsidR="00DD1BEB" w:rsidRPr="007944FA" w:rsidRDefault="00DD1BEB" w:rsidP="00DD1BEB">
      <w:pPr>
        <w:spacing w:line="257" w:lineRule="auto"/>
        <w:jc w:val="both"/>
        <w:rPr>
          <w:rFonts w:ascii="Arial" w:eastAsia="Palatino Linotype" w:hAnsi="Arial" w:cs="Arial"/>
        </w:rPr>
      </w:pPr>
      <w:r w:rsidRPr="007944FA">
        <w:rPr>
          <w:rFonts w:ascii="Arial" w:eastAsia="Calibri" w:hAnsi="Arial" w:cs="Arial"/>
        </w:rPr>
        <w:t xml:space="preserve">Slovenija je zavezana k celovitemu, strateškemu in dolgoročnemu prilagajanju podnebnim spremembam. Glavni prednostni nalogi na področju prilagajanja podnebnim spremembam v Sloveniji sta sprejetje podnebnega zakona in nove nacionalne strategije prilagajanja. Prvi je tik pred obravnavo na Vladi Republike Slovenije, pripravo nove nacionalne strategije prilagajanja pa je MOPE šele dobro začelo. V letu 2025 bodo pripravljene sektorske ocene podnebne ranljivosti in tveganj za deset prednostnih sektorjev: </w:t>
      </w:r>
      <w:r w:rsidRPr="007944FA">
        <w:rPr>
          <w:rFonts w:ascii="Arial" w:eastAsia="Republika" w:hAnsi="Arial" w:cs="Arial"/>
          <w:color w:val="111111"/>
        </w:rPr>
        <w:t>upravljanje voda, ohranjanje narave, ohranjanje kulturne dediščine, kmetijstvo, gozdarstvo, energetika, infrastruktura in stavbe, javno zdravje, gospodarstvo in poselitev – mesta in druga urbana naselja</w:t>
      </w:r>
      <w:r w:rsidRPr="007944FA">
        <w:rPr>
          <w:rFonts w:ascii="Arial" w:eastAsia="Calibri" w:hAnsi="Arial" w:cs="Arial"/>
        </w:rPr>
        <w:t xml:space="preserve">, nato bo v letu 2026 sledila še priprava usklajenih usmeritev, določitev ciljev in </w:t>
      </w:r>
      <w:r w:rsidR="001F5900" w:rsidRPr="007944FA">
        <w:rPr>
          <w:rFonts w:ascii="Arial" w:eastAsia="Calibri" w:hAnsi="Arial" w:cs="Arial"/>
        </w:rPr>
        <w:t>kazalcev</w:t>
      </w:r>
      <w:r w:rsidRPr="007944FA">
        <w:rPr>
          <w:rFonts w:ascii="Arial" w:eastAsia="Calibri" w:hAnsi="Arial" w:cs="Arial"/>
        </w:rPr>
        <w:t xml:space="preserve"> učinkovitosti.</w:t>
      </w:r>
    </w:p>
    <w:p w14:paraId="6CAEA04E" w14:textId="1A704106"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Vezano na pripravo nove nacionalne strategije prilagajanja bo MOPE v letu 2025 obudilo medresorsko delovno skupino za pripravo in spremljanje izvajanja nacionalne strategije prilagajanja podnebnim spremembam. Medresorsko delovno skupino bodo sestavljali predstavniki vseh desetih prednostnih sektorjev, po potrebi bodo na sestanke delovne skupine vabljeni tudi </w:t>
      </w:r>
      <w:r w:rsidR="00AF4F9F" w:rsidRPr="007944FA">
        <w:rPr>
          <w:rFonts w:ascii="Arial" w:eastAsia="Calibri" w:hAnsi="Arial" w:cs="Arial"/>
        </w:rPr>
        <w:t>predstavniki drugih sektorjev</w:t>
      </w:r>
      <w:r w:rsidRPr="007944FA">
        <w:rPr>
          <w:rFonts w:ascii="Arial" w:eastAsia="Calibri" w:hAnsi="Arial" w:cs="Arial"/>
        </w:rPr>
        <w:t>.</w:t>
      </w:r>
    </w:p>
    <w:p w14:paraId="0248CA06" w14:textId="18FA4E05" w:rsidR="00DD1BEB" w:rsidRPr="007944FA" w:rsidRDefault="00DD1BEB" w:rsidP="00DD1BEB">
      <w:pPr>
        <w:spacing w:line="257" w:lineRule="auto"/>
        <w:jc w:val="both"/>
        <w:rPr>
          <w:rFonts w:ascii="Arial" w:hAnsi="Arial" w:cs="Arial"/>
        </w:rPr>
      </w:pPr>
      <w:r w:rsidRPr="007944FA">
        <w:rPr>
          <w:rFonts w:ascii="Arial" w:eastAsia="Calibri" w:hAnsi="Arial" w:cs="Arial"/>
        </w:rPr>
        <w:t>Z vidika priprave nove nacionalne strategije prilagajanja in regionalnih akcijskih načrtov prilagajanja je pomembna tudi okrepitev podnebnih storitev ARSO. Agencija sicer že zdaj zagotavlja podnebne storitve, vključno z analizo preteklega podnebja, izjemnih dogodkov, kot tudi podnebnimi projekcijami. V okviru sedemletnega LIFE strateškega projekta LIFE4ADAPT bo ARSO z uradno ustanovitvijo Centra za podnebne analize in projekcije nadgradila obstoječe podnebne storitve. Glavna naloga tega centra bo zagotavljanje uporabniško usmerjenih podnebnih podatkov in produktov, še posebej podnebnih projekcij, za različne sektorje s specifičnimi podnebnimi informacijami v podporo prilagajanju na podnebne spremembe v Sloveniji. Center bo uporabnikom omogočal dostop do podnebnih podatkov na različne načine (</w:t>
      </w:r>
      <w:r w:rsidR="00AF4F9F" w:rsidRPr="007944FA">
        <w:rPr>
          <w:rFonts w:ascii="Arial" w:eastAsia="Calibri" w:hAnsi="Arial" w:cs="Arial"/>
        </w:rPr>
        <w:t>preglednice</w:t>
      </w:r>
      <w:r w:rsidRPr="007944FA">
        <w:rPr>
          <w:rFonts w:ascii="Arial" w:eastAsia="Calibri" w:hAnsi="Arial" w:cs="Arial"/>
        </w:rPr>
        <w:t xml:space="preserve">, zemljevidi, grafi) prek posebne spletne platforme, pri čemer bo stremel k pripravi podatkov po meri posameznih sektorjev in k uporabniku prijazni obliki prikazov. Prav tako bo zagotavljal usposabljanje strokovnjakov iz različnih sektorjev za uporabo podnebnih storitev. </w:t>
      </w:r>
    </w:p>
    <w:p w14:paraId="3D7AFB0E"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Med glavne ovire na področju prilagajanja podnebnim spremembam v Sloveniji štejemo institucionalno zmogljivost, izkušnje z izdelavo ocen podnebne ranljivosti in tveganj ter nabor primerov dobrih praks, predvsem s področja na naravi temelječih rešitev.</w:t>
      </w:r>
    </w:p>
    <w:p w14:paraId="07EF3CE4" w14:textId="08D290CE" w:rsidR="00DD1BEB" w:rsidRPr="00620899" w:rsidRDefault="00DD1BEB" w:rsidP="00620899">
      <w:pPr>
        <w:spacing w:line="257" w:lineRule="auto"/>
        <w:jc w:val="both"/>
        <w:rPr>
          <w:rFonts w:ascii="Arial" w:eastAsia="Calibri" w:hAnsi="Arial" w:cs="Arial"/>
        </w:rPr>
      </w:pPr>
      <w:r w:rsidRPr="007944FA">
        <w:rPr>
          <w:rFonts w:ascii="Arial" w:eastAsia="Calibri" w:hAnsi="Arial" w:cs="Arial"/>
        </w:rPr>
        <w:t xml:space="preserve">Slovenija se tako kot tudi druge manjše države sooča s pomanjkanjem strokovnjakov s klimatološko izobrazbo in strokovnjakov za prilagajanje podnebnim spremembam s širokim interdisciplinarnim znanjem. Ker povpraševanje po podnebnih storitvah narašča in se bo še povečalo tudi zaradi zahtev podnebne zakonodaje (priprave sektorskih ocen ranljivosti in </w:t>
      </w:r>
      <w:r w:rsidRPr="007944FA">
        <w:rPr>
          <w:rFonts w:ascii="Arial" w:eastAsia="Calibri" w:hAnsi="Arial" w:cs="Arial"/>
        </w:rPr>
        <w:lastRenderedPageBreak/>
        <w:t>tveganja, regionalne priprave ocen ranljivosti in tveganja, stalno nadgrajevanje podnebnih projekcij), je to resna pomanjkljivost. Na drugi strani se tudi ministrstva in lokalne skupnosti soočajo s pomanjkanjem strokovnega in tehničnega kadra, kar prispeva k počasnejšemu vključevanju prilagajanja v strateške dokumente in izvajanju ukrepov.</w:t>
      </w:r>
    </w:p>
    <w:p w14:paraId="3FF85DFB" w14:textId="3F711D6C" w:rsidR="006E07EE" w:rsidRPr="007944FA" w:rsidRDefault="006E07EE" w:rsidP="00DD1BEB">
      <w:pPr>
        <w:pStyle w:val="Heading2"/>
        <w:jc w:val="both"/>
      </w:pPr>
      <w:bookmarkStart w:id="194" w:name="_Toc196300841"/>
      <w:r w:rsidRPr="007944FA">
        <w:t>III.D. Prilagoditvene strategije, politike, načrti, cilji in ukrepi za vključitev prilagajanja v nacionalne politike in strategije</w:t>
      </w:r>
      <w:bookmarkEnd w:id="194"/>
    </w:p>
    <w:p w14:paraId="642E4ECE"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Style w:val="Strong"/>
          <w:rFonts w:ascii="Arial" w:eastAsiaTheme="majorEastAsia" w:hAnsi="Arial" w:cs="Arial"/>
          <w:b w:val="0"/>
          <w:bCs w:val="0"/>
          <w:sz w:val="20"/>
          <w:szCs w:val="20"/>
        </w:rPr>
        <w:t>109</w:t>
      </w:r>
      <w:r w:rsidRPr="007944FA">
        <w:rPr>
          <w:rStyle w:val="Strong"/>
          <w:rFonts w:ascii="Arial" w:eastAsiaTheme="majorEastAsia" w:hAnsi="Arial" w:cs="Arial"/>
          <w:sz w:val="20"/>
          <w:szCs w:val="20"/>
        </w:rPr>
        <w:t>.</w:t>
      </w:r>
      <w:r w:rsidRPr="007944FA">
        <w:rPr>
          <w:rFonts w:ascii="Arial" w:hAnsi="Arial" w:cs="Arial"/>
          <w:b/>
          <w:bCs/>
          <w:sz w:val="20"/>
          <w:szCs w:val="20"/>
        </w:rPr>
        <w:t xml:space="preserve"> </w:t>
      </w:r>
      <w:r w:rsidRPr="007944FA">
        <w:rPr>
          <w:rFonts w:ascii="Arial" w:hAnsi="Arial" w:cs="Arial"/>
          <w:sz w:val="20"/>
          <w:szCs w:val="20"/>
        </w:rPr>
        <w:t>Vsaka pogodbenica bi morala, kjer je primerno, zagotoviti naslednje informacije:</w:t>
      </w:r>
    </w:p>
    <w:p w14:paraId="5F922C0C"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a) </w:t>
      </w:r>
      <w:r w:rsidRPr="007944FA">
        <w:rPr>
          <w:rStyle w:val="Strong"/>
          <w:rFonts w:ascii="Arial" w:eastAsiaTheme="majorEastAsia" w:hAnsi="Arial" w:cs="Arial"/>
          <w:b w:val="0"/>
          <w:bCs w:val="0"/>
          <w:sz w:val="20"/>
          <w:szCs w:val="20"/>
        </w:rPr>
        <w:t>izvajanje ukrepov prilagajanja v skladu s svetovnim ciljem prilagajanja</w:t>
      </w:r>
      <w:r w:rsidRPr="007944FA">
        <w:rPr>
          <w:rFonts w:ascii="Arial" w:hAnsi="Arial" w:cs="Arial"/>
          <w:sz w:val="20"/>
          <w:szCs w:val="20"/>
        </w:rPr>
        <w:t xml:space="preserve">, kot je določeno v prvem odstavku 7. člena Pariškega sporazuma; </w:t>
      </w:r>
    </w:p>
    <w:p w14:paraId="05B0A1D4"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b/>
          <w:bCs/>
          <w:sz w:val="20"/>
          <w:szCs w:val="20"/>
        </w:rPr>
      </w:pPr>
      <w:r w:rsidRPr="007944FA">
        <w:rPr>
          <w:rFonts w:ascii="Arial" w:hAnsi="Arial" w:cs="Arial"/>
          <w:sz w:val="20"/>
          <w:szCs w:val="20"/>
        </w:rPr>
        <w:t xml:space="preserve">b) </w:t>
      </w:r>
      <w:r w:rsidRPr="007944FA">
        <w:rPr>
          <w:rStyle w:val="Strong"/>
          <w:rFonts w:ascii="Arial" w:eastAsiaTheme="majorEastAsia" w:hAnsi="Arial" w:cs="Arial"/>
          <w:b w:val="0"/>
          <w:bCs w:val="0"/>
          <w:sz w:val="20"/>
          <w:szCs w:val="20"/>
        </w:rPr>
        <w:t>cilji prilagajanja, ukrepi, zaveze, prizadevanja, načrti</w:t>
      </w:r>
      <w:r w:rsidRPr="007944FA">
        <w:rPr>
          <w:rFonts w:ascii="Arial" w:hAnsi="Arial" w:cs="Arial"/>
          <w:sz w:val="20"/>
          <w:szCs w:val="20"/>
        </w:rPr>
        <w:t xml:space="preserve"> (na primer nacionalni načrti prilagajanja in podnacionalni načrti), </w:t>
      </w:r>
      <w:r w:rsidRPr="007944FA">
        <w:rPr>
          <w:rStyle w:val="Strong"/>
          <w:rFonts w:ascii="Arial" w:eastAsiaTheme="majorEastAsia" w:hAnsi="Arial" w:cs="Arial"/>
          <w:b w:val="0"/>
          <w:bCs w:val="0"/>
          <w:sz w:val="20"/>
          <w:szCs w:val="20"/>
        </w:rPr>
        <w:t>strategije, politike, prednostne naloge</w:t>
      </w:r>
      <w:r w:rsidRPr="007944FA">
        <w:rPr>
          <w:rFonts w:ascii="Arial" w:hAnsi="Arial" w:cs="Arial"/>
          <w:sz w:val="20"/>
          <w:szCs w:val="20"/>
        </w:rPr>
        <w:t xml:space="preserve"> (na primer prednostni sektorji, prednostne regije ali integrirani načrti za obalno upravljanje, vodo in kmetijstvo), </w:t>
      </w:r>
      <w:r w:rsidRPr="007944FA">
        <w:rPr>
          <w:rStyle w:val="Strong"/>
          <w:rFonts w:ascii="Arial" w:eastAsiaTheme="majorEastAsia" w:hAnsi="Arial" w:cs="Arial"/>
          <w:b w:val="0"/>
          <w:bCs w:val="0"/>
          <w:sz w:val="20"/>
          <w:szCs w:val="20"/>
        </w:rPr>
        <w:t>programi in prizadevanja za krepitev odpornosti</w:t>
      </w:r>
      <w:r w:rsidRPr="007944FA">
        <w:rPr>
          <w:rFonts w:ascii="Arial" w:hAnsi="Arial" w:cs="Arial"/>
          <w:b/>
          <w:bCs/>
          <w:sz w:val="20"/>
          <w:szCs w:val="20"/>
        </w:rPr>
        <w:t xml:space="preserve">; </w:t>
      </w:r>
    </w:p>
    <w:p w14:paraId="643CF0D8"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c) </w:t>
      </w:r>
      <w:r w:rsidRPr="007944FA">
        <w:rPr>
          <w:rStyle w:val="Strong"/>
          <w:rFonts w:ascii="Arial" w:eastAsiaTheme="majorEastAsia" w:hAnsi="Arial" w:cs="Arial"/>
          <w:b w:val="0"/>
          <w:bCs w:val="0"/>
          <w:sz w:val="20"/>
          <w:szCs w:val="20"/>
        </w:rPr>
        <w:t>načini vključevanja najboljše razpoložljive znanosti, vidikov spola ter avtohtonih, tradicionalnih in lokalnih znanj v prilagajanje</w:t>
      </w:r>
      <w:r w:rsidRPr="007944FA">
        <w:rPr>
          <w:rFonts w:ascii="Arial" w:hAnsi="Arial" w:cs="Arial"/>
          <w:b/>
          <w:bCs/>
          <w:sz w:val="20"/>
          <w:szCs w:val="20"/>
        </w:rPr>
        <w:t>;</w:t>
      </w:r>
    </w:p>
    <w:p w14:paraId="10F07C77" w14:textId="1F56DD31"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b/>
          <w:bCs/>
          <w:sz w:val="20"/>
          <w:szCs w:val="20"/>
        </w:rPr>
      </w:pPr>
      <w:r w:rsidRPr="007944FA">
        <w:rPr>
          <w:rFonts w:ascii="Arial" w:hAnsi="Arial" w:cs="Arial"/>
          <w:sz w:val="20"/>
          <w:szCs w:val="20"/>
        </w:rPr>
        <w:t xml:space="preserve">d) </w:t>
      </w:r>
      <w:r w:rsidRPr="007944FA">
        <w:rPr>
          <w:rStyle w:val="Strong"/>
          <w:rFonts w:ascii="Arial" w:eastAsiaTheme="majorEastAsia" w:hAnsi="Arial" w:cs="Arial"/>
          <w:b w:val="0"/>
          <w:bCs w:val="0"/>
          <w:sz w:val="20"/>
          <w:szCs w:val="20"/>
        </w:rPr>
        <w:t xml:space="preserve">prednostne naloge razvoja, povezane s prilagajanjem na podnebne spremembe in </w:t>
      </w:r>
      <w:r w:rsidR="00AF4F9F" w:rsidRPr="007944FA">
        <w:rPr>
          <w:rStyle w:val="Strong"/>
          <w:rFonts w:ascii="Arial" w:eastAsiaTheme="majorEastAsia" w:hAnsi="Arial" w:cs="Arial"/>
          <w:b w:val="0"/>
          <w:bCs w:val="0"/>
          <w:sz w:val="20"/>
          <w:szCs w:val="20"/>
        </w:rPr>
        <w:t xml:space="preserve">njihove vplive </w:t>
      </w:r>
      <w:r w:rsidRPr="007944FA">
        <w:rPr>
          <w:rFonts w:ascii="Arial" w:hAnsi="Arial" w:cs="Arial"/>
          <w:b/>
          <w:bCs/>
          <w:sz w:val="20"/>
          <w:szCs w:val="20"/>
        </w:rPr>
        <w:t>;</w:t>
      </w:r>
    </w:p>
    <w:p w14:paraId="74E3AD94"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b/>
          <w:bCs/>
          <w:sz w:val="20"/>
          <w:szCs w:val="20"/>
        </w:rPr>
      </w:pPr>
      <w:r w:rsidRPr="007944FA">
        <w:rPr>
          <w:rFonts w:ascii="Arial" w:hAnsi="Arial" w:cs="Arial"/>
          <w:sz w:val="20"/>
          <w:szCs w:val="20"/>
        </w:rPr>
        <w:t xml:space="preserve">e) </w:t>
      </w:r>
      <w:r w:rsidRPr="007944FA">
        <w:rPr>
          <w:rStyle w:val="Strong"/>
          <w:rFonts w:ascii="Arial" w:eastAsiaTheme="majorEastAsia" w:hAnsi="Arial" w:cs="Arial"/>
          <w:b w:val="0"/>
          <w:bCs w:val="0"/>
          <w:sz w:val="20"/>
          <w:szCs w:val="20"/>
        </w:rPr>
        <w:t>kakršni koli ukrepi prilagajanja in/ali načrti za gospodarsko diverzifikacijo, ki vodijo do sočasnih koristi pri blažitvi podnebnih sprememb</w:t>
      </w:r>
      <w:r w:rsidRPr="007944FA">
        <w:rPr>
          <w:rFonts w:ascii="Arial" w:hAnsi="Arial" w:cs="Arial"/>
          <w:b/>
          <w:bCs/>
          <w:sz w:val="20"/>
          <w:szCs w:val="20"/>
        </w:rPr>
        <w:t>;</w:t>
      </w:r>
    </w:p>
    <w:p w14:paraId="5D870A7D"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f) </w:t>
      </w:r>
      <w:r w:rsidRPr="007944FA">
        <w:rPr>
          <w:rStyle w:val="Strong"/>
          <w:rFonts w:ascii="Arial" w:eastAsiaTheme="majorEastAsia" w:hAnsi="Arial" w:cs="Arial"/>
          <w:b w:val="0"/>
          <w:bCs w:val="0"/>
          <w:sz w:val="20"/>
          <w:szCs w:val="20"/>
        </w:rPr>
        <w:t>prizadevanja za vključitev podnebnih sprememb v razvojna prizadevanja, načrte, politike in programe</w:t>
      </w:r>
      <w:r w:rsidRPr="007944FA">
        <w:rPr>
          <w:rFonts w:ascii="Arial" w:hAnsi="Arial" w:cs="Arial"/>
          <w:sz w:val="20"/>
          <w:szCs w:val="20"/>
        </w:rPr>
        <w:t>, vključno s povezanimi dejavnostmi za krepitev zmogljivosti;</w:t>
      </w:r>
    </w:p>
    <w:p w14:paraId="20AA43D7" w14:textId="69490E99"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g) </w:t>
      </w:r>
      <w:r w:rsidRPr="007944FA">
        <w:rPr>
          <w:rStyle w:val="Strong"/>
          <w:rFonts w:ascii="Arial" w:eastAsiaTheme="majorEastAsia" w:hAnsi="Arial" w:cs="Arial"/>
          <w:b w:val="0"/>
          <w:bCs w:val="0"/>
          <w:sz w:val="20"/>
          <w:szCs w:val="20"/>
        </w:rPr>
        <w:t>rešitve, temelječe na naravi, za prilagajanje podnebn</w:t>
      </w:r>
      <w:r w:rsidR="001F5900" w:rsidRPr="007944FA">
        <w:rPr>
          <w:rStyle w:val="Strong"/>
          <w:rFonts w:ascii="Arial" w:eastAsiaTheme="majorEastAsia" w:hAnsi="Arial" w:cs="Arial"/>
          <w:b w:val="0"/>
          <w:bCs w:val="0"/>
          <w:sz w:val="20"/>
          <w:szCs w:val="20"/>
        </w:rPr>
        <w:t>im</w:t>
      </w:r>
      <w:r w:rsidRPr="007944FA">
        <w:rPr>
          <w:rStyle w:val="Strong"/>
          <w:rFonts w:ascii="Arial" w:eastAsiaTheme="majorEastAsia" w:hAnsi="Arial" w:cs="Arial"/>
          <w:b w:val="0"/>
          <w:bCs w:val="0"/>
          <w:sz w:val="20"/>
          <w:szCs w:val="20"/>
        </w:rPr>
        <w:t xml:space="preserve"> sprememb</w:t>
      </w:r>
      <w:r w:rsidR="001F5900" w:rsidRPr="007944FA">
        <w:rPr>
          <w:rStyle w:val="Strong"/>
          <w:rFonts w:ascii="Arial" w:eastAsiaTheme="majorEastAsia" w:hAnsi="Arial" w:cs="Arial"/>
          <w:b w:val="0"/>
          <w:bCs w:val="0"/>
          <w:sz w:val="20"/>
          <w:szCs w:val="20"/>
        </w:rPr>
        <w:t>am</w:t>
      </w:r>
      <w:r w:rsidRPr="007944FA">
        <w:rPr>
          <w:rFonts w:ascii="Arial" w:hAnsi="Arial" w:cs="Arial"/>
          <w:b/>
          <w:bCs/>
          <w:sz w:val="20"/>
          <w:szCs w:val="20"/>
        </w:rPr>
        <w:t>;</w:t>
      </w:r>
      <w:r w:rsidRPr="007944FA">
        <w:rPr>
          <w:rFonts w:ascii="Arial" w:hAnsi="Arial" w:cs="Arial"/>
          <w:sz w:val="20"/>
          <w:szCs w:val="20"/>
        </w:rPr>
        <w:t xml:space="preserve"> </w:t>
      </w:r>
    </w:p>
    <w:p w14:paraId="3EF94E32" w14:textId="77777777" w:rsidR="00DD1BEB" w:rsidRPr="007944FA" w:rsidRDefault="00DD1BEB" w:rsidP="00F704EB">
      <w:pPr>
        <w:pStyle w:val="NormalWeb"/>
        <w:pBdr>
          <w:top w:val="single" w:sz="4" w:space="1" w:color="auto"/>
          <w:left w:val="single" w:sz="4" w:space="0"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h) </w:t>
      </w:r>
      <w:r w:rsidRPr="007944FA">
        <w:rPr>
          <w:rStyle w:val="Strong"/>
          <w:rFonts w:ascii="Arial" w:eastAsiaTheme="majorEastAsia" w:hAnsi="Arial" w:cs="Arial"/>
          <w:b w:val="0"/>
          <w:bCs w:val="0"/>
          <w:sz w:val="20"/>
          <w:szCs w:val="20"/>
        </w:rPr>
        <w:t>vključenost deležnikov</w:t>
      </w:r>
      <w:r w:rsidRPr="007944FA">
        <w:rPr>
          <w:rFonts w:ascii="Arial" w:hAnsi="Arial" w:cs="Arial"/>
          <w:sz w:val="20"/>
          <w:szCs w:val="20"/>
        </w:rPr>
        <w:t>, vključno z načrti, prednostnimi nalogami, ukrepi in programi na podnacionalni, skupnostni in zasebni ravni</w:t>
      </w:r>
    </w:p>
    <w:p w14:paraId="7D39ABC0" w14:textId="70ECEBA7" w:rsidR="00DD1BEB" w:rsidRPr="007944FA" w:rsidRDefault="00DD1BEB" w:rsidP="00DD1BEB">
      <w:pPr>
        <w:jc w:val="both"/>
        <w:rPr>
          <w:rFonts w:ascii="Arial" w:eastAsia="Calibri" w:hAnsi="Arial" w:cs="Arial"/>
        </w:rPr>
      </w:pPr>
      <w:r w:rsidRPr="007944FA">
        <w:rPr>
          <w:rFonts w:ascii="Arial" w:eastAsia="Calibri" w:hAnsi="Arial" w:cs="Arial"/>
        </w:rPr>
        <w:t>Ni slučajno, da je Slovenija prvi strateški dokument s področja prilagajanja, Strategijo prilagajanja slovenskega kmetijstva in gozdarstva podnebnim spremembam, pripravila na področju kmetijstva in gozdarstva. Kmetijstvo je namreč močno odvisno od vremena oziroma podnebnih razmer, saj imajo temperatura zraka in tal, sončno obsevanje, zračna vlaga, količina in razporeditev padavin, pogostnost in intenzivnost vremenskih ujm odločilen vpliv na kmetijsko pridelavo. Podobno je z gozdom v Sloveniji, ki se s 60-odstotnim deležem gozdov uvršča v tretjo najbolj gozdnato državo v Evropi. Vloga gozda in gozdarstva pri prilagajanju podnebn</w:t>
      </w:r>
      <w:r w:rsidR="001F5900" w:rsidRPr="007944FA">
        <w:rPr>
          <w:rFonts w:ascii="Arial" w:eastAsia="Calibri" w:hAnsi="Arial" w:cs="Arial"/>
        </w:rPr>
        <w:t>im</w:t>
      </w:r>
      <w:r w:rsidRPr="007944FA">
        <w:rPr>
          <w:rFonts w:ascii="Arial" w:eastAsia="Calibri" w:hAnsi="Arial" w:cs="Arial"/>
        </w:rPr>
        <w:t xml:space="preserve"> sprememb</w:t>
      </w:r>
      <w:r w:rsidR="001F5900" w:rsidRPr="007944FA">
        <w:rPr>
          <w:rFonts w:ascii="Arial" w:eastAsia="Calibri" w:hAnsi="Arial" w:cs="Arial"/>
        </w:rPr>
        <w:t>am</w:t>
      </w:r>
      <w:r w:rsidRPr="007944FA">
        <w:rPr>
          <w:rFonts w:ascii="Arial" w:eastAsia="Calibri" w:hAnsi="Arial" w:cs="Arial"/>
        </w:rPr>
        <w:t xml:space="preserve"> in </w:t>
      </w:r>
      <w:r w:rsidR="00263D80" w:rsidRPr="007944FA">
        <w:rPr>
          <w:rFonts w:ascii="Arial" w:eastAsia="Calibri" w:hAnsi="Arial" w:cs="Arial"/>
        </w:rPr>
        <w:t>blaženju podnebnih sprememb</w:t>
      </w:r>
      <w:r w:rsidRPr="007944FA">
        <w:rPr>
          <w:rFonts w:ascii="Arial" w:eastAsia="Calibri" w:hAnsi="Arial" w:cs="Arial"/>
        </w:rPr>
        <w:t xml:space="preserve"> ima več vidikov. Prvi je </w:t>
      </w:r>
      <w:r w:rsidR="00AF4F9F" w:rsidRPr="007944FA">
        <w:rPr>
          <w:rFonts w:ascii="Arial" w:hAnsi="Arial" w:cs="Arial"/>
        </w:rPr>
        <w:t>"</w:t>
      </w:r>
      <w:r w:rsidR="00AF4F9F" w:rsidRPr="007944FA" w:rsidDel="00AF4F9F">
        <w:rPr>
          <w:rFonts w:ascii="Arial" w:eastAsia="Calibri" w:hAnsi="Arial" w:cs="Arial"/>
        </w:rPr>
        <w:t xml:space="preserve"> </w:t>
      </w:r>
      <w:r w:rsidRPr="007944FA">
        <w:rPr>
          <w:rFonts w:ascii="Arial" w:eastAsia="Calibri" w:hAnsi="Arial" w:cs="Arial"/>
        </w:rPr>
        <w:t>zaščitno gospodarjenje</w:t>
      </w:r>
      <w:r w:rsidR="00AF4F9F" w:rsidRPr="007944FA">
        <w:rPr>
          <w:rFonts w:ascii="Arial" w:hAnsi="Arial" w:cs="Arial"/>
        </w:rPr>
        <w:t>"</w:t>
      </w:r>
      <w:r w:rsidRPr="007944FA">
        <w:rPr>
          <w:rFonts w:ascii="Arial" w:eastAsia="Calibri" w:hAnsi="Arial" w:cs="Arial"/>
        </w:rPr>
        <w:t>, ki vključuje zmanjševanje izpustov CO</w:t>
      </w:r>
      <w:r w:rsidRPr="007944FA">
        <w:rPr>
          <w:rFonts w:ascii="Arial" w:eastAsia="Calibri" w:hAnsi="Arial" w:cs="Arial"/>
          <w:vertAlign w:val="subscript"/>
        </w:rPr>
        <w:t>2</w:t>
      </w:r>
      <w:r w:rsidRPr="007944FA">
        <w:rPr>
          <w:rFonts w:ascii="Arial" w:eastAsia="Calibri" w:hAnsi="Arial" w:cs="Arial"/>
        </w:rPr>
        <w:t xml:space="preserve"> v ozračje, drugi je </w:t>
      </w:r>
      <w:r w:rsidR="00AF4F9F" w:rsidRPr="007944FA">
        <w:rPr>
          <w:rFonts w:ascii="Arial" w:hAnsi="Arial" w:cs="Arial"/>
        </w:rPr>
        <w:t>"</w:t>
      </w:r>
      <w:r w:rsidR="00AF4F9F" w:rsidRPr="007944FA" w:rsidDel="00AF4F9F">
        <w:rPr>
          <w:rFonts w:ascii="Arial" w:eastAsia="Calibri" w:hAnsi="Arial" w:cs="Arial"/>
        </w:rPr>
        <w:t xml:space="preserve"> </w:t>
      </w:r>
      <w:r w:rsidRPr="007944FA">
        <w:rPr>
          <w:rFonts w:ascii="Arial" w:eastAsia="Calibri" w:hAnsi="Arial" w:cs="Arial"/>
        </w:rPr>
        <w:t>skladiščno gospodarjenje</w:t>
      </w:r>
      <w:r w:rsidR="00AF4F9F" w:rsidRPr="007944FA">
        <w:rPr>
          <w:rFonts w:ascii="Arial" w:hAnsi="Arial" w:cs="Arial"/>
        </w:rPr>
        <w:t>"</w:t>
      </w:r>
      <w:r w:rsidRPr="007944FA">
        <w:rPr>
          <w:rFonts w:ascii="Arial" w:eastAsia="Calibri" w:hAnsi="Arial" w:cs="Arial"/>
        </w:rPr>
        <w:t xml:space="preserve">, ki zajema povečevanje količine ogljika v rastlinstvu in tleh, in tretji vidik je </w:t>
      </w:r>
      <w:r w:rsidR="00AF4F9F" w:rsidRPr="007944FA">
        <w:rPr>
          <w:rFonts w:ascii="Arial" w:hAnsi="Arial" w:cs="Arial"/>
        </w:rPr>
        <w:t>"</w:t>
      </w:r>
      <w:r w:rsidR="00AF4F9F" w:rsidRPr="007944FA" w:rsidDel="00AF4F9F">
        <w:rPr>
          <w:rFonts w:ascii="Arial" w:eastAsia="Calibri" w:hAnsi="Arial" w:cs="Arial"/>
        </w:rPr>
        <w:t xml:space="preserve"> </w:t>
      </w:r>
      <w:r w:rsidRPr="007944FA">
        <w:rPr>
          <w:rFonts w:ascii="Arial" w:eastAsia="Calibri" w:hAnsi="Arial" w:cs="Arial"/>
        </w:rPr>
        <w:t>nadomestno gospodarjenje</w:t>
      </w:r>
      <w:r w:rsidR="00AF4F9F" w:rsidRPr="007944FA">
        <w:rPr>
          <w:rFonts w:ascii="Arial" w:hAnsi="Arial" w:cs="Arial"/>
        </w:rPr>
        <w:t>"</w:t>
      </w:r>
      <w:r w:rsidRPr="007944FA">
        <w:rPr>
          <w:rFonts w:ascii="Arial" w:eastAsia="Calibri" w:hAnsi="Arial" w:cs="Arial"/>
        </w:rPr>
        <w:t xml:space="preserve">, ki predvideva nadomeščanje neobnovljivih materialov in goriva z lesom. </w:t>
      </w:r>
    </w:p>
    <w:p w14:paraId="287EF1EB" w14:textId="77777777" w:rsidR="00DD1BEB" w:rsidRPr="007944FA" w:rsidRDefault="00DD1BEB" w:rsidP="00DD1BEB">
      <w:pPr>
        <w:rPr>
          <w:rFonts w:ascii="Arial" w:eastAsia="Calibri" w:hAnsi="Arial" w:cs="Arial"/>
        </w:rPr>
      </w:pPr>
      <w:r w:rsidRPr="007944FA">
        <w:rPr>
          <w:rFonts w:ascii="Arial" w:eastAsia="Calibri" w:hAnsi="Arial" w:cs="Arial"/>
        </w:rPr>
        <w:t>Strategija prilagajanja iz leta 2008 vsebuje pet temeljnih gradnikov, stebrov ali usmeritev:</w:t>
      </w:r>
    </w:p>
    <w:p w14:paraId="29137FF1" w14:textId="77777777" w:rsidR="00DD1BEB" w:rsidRPr="007944FA" w:rsidRDefault="00DD1BEB" w:rsidP="0038553C">
      <w:pPr>
        <w:pStyle w:val="ListParagraph"/>
        <w:numPr>
          <w:ilvl w:val="0"/>
          <w:numId w:val="23"/>
        </w:numPr>
        <w:spacing w:after="0" w:line="240" w:lineRule="auto"/>
        <w:rPr>
          <w:rFonts w:ascii="Arial" w:eastAsia="Calibri" w:hAnsi="Arial" w:cs="Arial"/>
        </w:rPr>
      </w:pPr>
      <w:r w:rsidRPr="007944FA">
        <w:rPr>
          <w:rFonts w:ascii="Arial" w:eastAsia="Calibri" w:hAnsi="Arial" w:cs="Arial"/>
        </w:rPr>
        <w:t>krepitev zmogljivosti za obvladovanje prilagajanja kmetijstva in gozdarstva;</w:t>
      </w:r>
    </w:p>
    <w:p w14:paraId="6C200389" w14:textId="77777777" w:rsidR="00DD1BEB" w:rsidRPr="007944FA" w:rsidRDefault="00DD1BEB" w:rsidP="0038553C">
      <w:pPr>
        <w:pStyle w:val="ListParagraph"/>
        <w:numPr>
          <w:ilvl w:val="0"/>
          <w:numId w:val="23"/>
        </w:numPr>
        <w:spacing w:after="0" w:line="240" w:lineRule="auto"/>
        <w:rPr>
          <w:rFonts w:ascii="Arial" w:eastAsia="Calibri" w:hAnsi="Arial" w:cs="Arial"/>
        </w:rPr>
      </w:pPr>
      <w:r w:rsidRPr="007944FA">
        <w:rPr>
          <w:rFonts w:ascii="Arial" w:eastAsia="Calibri" w:hAnsi="Arial" w:cs="Arial"/>
        </w:rPr>
        <w:t>izobraževanje, ozaveščanje in svetovanje;</w:t>
      </w:r>
    </w:p>
    <w:p w14:paraId="23348772" w14:textId="77777777" w:rsidR="00DD1BEB" w:rsidRPr="007944FA" w:rsidRDefault="00DD1BEB" w:rsidP="0038553C">
      <w:pPr>
        <w:pStyle w:val="ListParagraph"/>
        <w:numPr>
          <w:ilvl w:val="0"/>
          <w:numId w:val="23"/>
        </w:numPr>
        <w:spacing w:after="0" w:line="240" w:lineRule="auto"/>
        <w:rPr>
          <w:rFonts w:ascii="Arial" w:eastAsia="Calibri" w:hAnsi="Arial" w:cs="Arial"/>
        </w:rPr>
      </w:pPr>
      <w:r w:rsidRPr="007944FA">
        <w:rPr>
          <w:rFonts w:ascii="Arial" w:eastAsia="Calibri" w:hAnsi="Arial" w:cs="Arial"/>
        </w:rPr>
        <w:t>vzdrževanje in pridobivanje novega znanja na področju podnebnih sprememb in prilagajanja nanje;</w:t>
      </w:r>
    </w:p>
    <w:p w14:paraId="313CF0D0" w14:textId="77777777" w:rsidR="00DD1BEB" w:rsidRPr="007944FA" w:rsidRDefault="00DD1BEB" w:rsidP="0038553C">
      <w:pPr>
        <w:pStyle w:val="ListParagraph"/>
        <w:numPr>
          <w:ilvl w:val="0"/>
          <w:numId w:val="23"/>
        </w:numPr>
        <w:spacing w:after="0" w:line="240" w:lineRule="auto"/>
        <w:rPr>
          <w:rFonts w:ascii="Arial" w:eastAsia="Calibri" w:hAnsi="Arial" w:cs="Arial"/>
        </w:rPr>
      </w:pPr>
      <w:r w:rsidRPr="007944FA">
        <w:rPr>
          <w:rFonts w:ascii="Arial" w:eastAsia="Calibri" w:hAnsi="Arial" w:cs="Arial"/>
        </w:rPr>
        <w:t>ukrepi kmetijske in gozdarske politike ter spremembe obstoječih predpisov;</w:t>
      </w:r>
    </w:p>
    <w:p w14:paraId="09EF3195" w14:textId="77777777" w:rsidR="00DD1BEB" w:rsidRPr="007944FA" w:rsidRDefault="00DD1BEB" w:rsidP="0038553C">
      <w:pPr>
        <w:pStyle w:val="ListParagraph"/>
        <w:numPr>
          <w:ilvl w:val="0"/>
          <w:numId w:val="23"/>
        </w:numPr>
        <w:spacing w:after="0" w:line="240" w:lineRule="auto"/>
        <w:rPr>
          <w:rFonts w:ascii="Arial" w:eastAsia="Calibri" w:hAnsi="Arial" w:cs="Arial"/>
        </w:rPr>
      </w:pPr>
      <w:r w:rsidRPr="007944FA">
        <w:rPr>
          <w:rFonts w:ascii="Arial" w:eastAsia="Calibri" w:hAnsi="Arial" w:cs="Arial"/>
        </w:rPr>
        <w:t>krepitev mednarodnega sodelovanja in partnerstva pri prilagajanju kmetijstva in gozdarstva podnebnim spremembam, zlasti v okviru EU.</w:t>
      </w:r>
    </w:p>
    <w:p w14:paraId="384DE8B0" w14:textId="77777777"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 xml:space="preserve"> </w:t>
      </w:r>
    </w:p>
    <w:p w14:paraId="1FE46D53" w14:textId="617F168C" w:rsidR="00DD1BEB" w:rsidRPr="007944FA" w:rsidRDefault="00DD1BEB" w:rsidP="00DD1BEB">
      <w:pPr>
        <w:jc w:val="both"/>
        <w:rPr>
          <w:rFonts w:ascii="Arial" w:eastAsia="Calibri" w:hAnsi="Arial" w:cs="Arial"/>
        </w:rPr>
      </w:pPr>
      <w:r w:rsidRPr="007944FA">
        <w:rPr>
          <w:rFonts w:ascii="Arial" w:eastAsia="Calibri" w:hAnsi="Arial" w:cs="Arial"/>
        </w:rPr>
        <w:t>Vsak od pet temeljnih gradnikov zajema tudi primere konkretnih ukrepov prilagajanja. Na podlagi strategije prilagajanja kmetijstva 2008 je Ministrstvo za kmetijstvo, gozdarstvo in prehrano Republike Slovenije</w:t>
      </w:r>
      <w:r w:rsidR="00465193" w:rsidRPr="007944FA">
        <w:rPr>
          <w:rFonts w:ascii="Arial" w:eastAsia="Calibri" w:hAnsi="Arial" w:cs="Arial"/>
        </w:rPr>
        <w:t xml:space="preserve"> (MKGP)</w:t>
      </w:r>
      <w:r w:rsidRPr="007944FA">
        <w:rPr>
          <w:rFonts w:ascii="Arial" w:eastAsia="Calibri" w:hAnsi="Arial" w:cs="Arial"/>
        </w:rPr>
        <w:t xml:space="preserve"> sprejelo Akcijski načrt Strategije prilagajanja </w:t>
      </w:r>
      <w:r w:rsidRPr="007944FA">
        <w:rPr>
          <w:rFonts w:ascii="Arial" w:eastAsia="Calibri" w:hAnsi="Arial" w:cs="Arial"/>
        </w:rPr>
        <w:lastRenderedPageBreak/>
        <w:t>slovenskega kmetijstva in gozdarstva podnebnim spremembam za leti 2010 in 2011. Ta je zajemal ukrepe, ki so se že izvajali za pet temeljnih stebrov oziroma usmeritev strategije prilagajanja kmetijstva 2008 – navedeni ukrepi so se izvajali s Programom razvoja podeželja Republike Slovenije za obdobje 2007–2013 ter tudi v okviru rednih del in nalog, ki jih izvajajo službe na področju kmetijstva. Poleg tega je zajemal tudi nove ukrepe, ki naj bi se šele začeli izvajati in lahko služijo kot primeri ukrepov, ki bi jih bilo mogoče izvajati za prilagajanje kmetijstva. Nadaljnji akcijski načrti niso bili pripravljeni, so se pa še naprej izvajali ukrepi, ki so bili vključeni v veljavni program razvoja podeželja. Podnebne spremembe so sicer postale eden od osrednjih ciljev Skupne kmetijske politike v obdobju 2014–2020, in tako je tudi v obdobju 2021–2027.</w:t>
      </w:r>
    </w:p>
    <w:p w14:paraId="1942C446" w14:textId="77777777" w:rsidR="00DD1BEB" w:rsidRPr="007944FA" w:rsidRDefault="00DD1BEB" w:rsidP="00DD1BEB">
      <w:pPr>
        <w:jc w:val="both"/>
        <w:rPr>
          <w:rFonts w:ascii="Arial" w:eastAsia="Calibri" w:hAnsi="Arial" w:cs="Arial"/>
        </w:rPr>
      </w:pPr>
      <w:r w:rsidRPr="007944FA">
        <w:rPr>
          <w:rFonts w:ascii="Arial" w:eastAsia="Calibri" w:hAnsi="Arial" w:cs="Arial"/>
        </w:rPr>
        <w:t>V letu 2016 je vlada na predlog tedanjega Ministrstva za okolje in prostor Republike Slovenije sprejela strateški okvir prilagajanja 2016. Splošni cilj strateškega okvira prilagajanja 2016 je zmanjšanje izpostavljenosti vplivom podnebnih sprememb, občutljivosti in ranljivosti Slovenije zanje ter povečevanje odpornosti in prilagoditvene sposobnosti družbe. Strateški okvir prilagajanja 2016 ne zajema konkretnih ukrepov, temveč za štiri področja navaja splošne usmeritve in korake za njihovo doseganje:</w:t>
      </w:r>
    </w:p>
    <w:p w14:paraId="317070F8" w14:textId="77777777" w:rsidR="00DD1BEB" w:rsidRPr="007944FA" w:rsidRDefault="00DD1BEB" w:rsidP="0038553C">
      <w:pPr>
        <w:pStyle w:val="ListParagraph"/>
        <w:numPr>
          <w:ilvl w:val="0"/>
          <w:numId w:val="17"/>
        </w:numPr>
        <w:spacing w:after="0" w:line="240" w:lineRule="auto"/>
        <w:jc w:val="both"/>
        <w:rPr>
          <w:rFonts w:ascii="Arial" w:eastAsia="Calibri" w:hAnsi="Arial" w:cs="Arial"/>
        </w:rPr>
      </w:pPr>
      <w:r w:rsidRPr="007944FA">
        <w:rPr>
          <w:rFonts w:ascii="Arial" w:eastAsia="Calibri" w:hAnsi="Arial" w:cs="Arial"/>
        </w:rPr>
        <w:t>Vplivi podnebnih sprememb so celovito vključeni v snovanje in izvajanje vseh politik, ukrepov in dejavnosti, tako na ravni države kot na ravni regij in lokalnih skupnosti, gospodarskih subjektov in posameznikov. Posebej pomembno je upoštevati vplive podnebnih sprememb pri razvojnem in prostorskem načrtovanju.</w:t>
      </w:r>
    </w:p>
    <w:p w14:paraId="41AAB522" w14:textId="77777777" w:rsidR="00DD1BEB" w:rsidRPr="007944FA" w:rsidRDefault="00DD1BEB" w:rsidP="0038553C">
      <w:pPr>
        <w:pStyle w:val="ListParagraph"/>
        <w:numPr>
          <w:ilvl w:val="0"/>
          <w:numId w:val="17"/>
        </w:numPr>
        <w:spacing w:after="0" w:line="240" w:lineRule="auto"/>
        <w:jc w:val="both"/>
        <w:rPr>
          <w:rFonts w:ascii="Arial" w:eastAsia="Calibri" w:hAnsi="Arial" w:cs="Arial"/>
        </w:rPr>
      </w:pPr>
      <w:r w:rsidRPr="007944FA">
        <w:rPr>
          <w:rFonts w:ascii="Arial" w:eastAsia="Calibri" w:hAnsi="Arial" w:cs="Arial"/>
        </w:rPr>
        <w:t xml:space="preserve">Širše sodelovanje, povezovanje ter izmenjava izkušenj in dobrih praks. </w:t>
      </w:r>
    </w:p>
    <w:p w14:paraId="4CF3A76D" w14:textId="77777777" w:rsidR="00DD1BEB" w:rsidRPr="007944FA" w:rsidRDefault="00DD1BEB" w:rsidP="0038553C">
      <w:pPr>
        <w:pStyle w:val="ListParagraph"/>
        <w:numPr>
          <w:ilvl w:val="0"/>
          <w:numId w:val="17"/>
        </w:numPr>
        <w:spacing w:after="0" w:line="240" w:lineRule="auto"/>
        <w:jc w:val="both"/>
        <w:rPr>
          <w:rFonts w:ascii="Arial" w:eastAsia="Calibri" w:hAnsi="Arial" w:cs="Arial"/>
        </w:rPr>
      </w:pPr>
      <w:r w:rsidRPr="007944FA">
        <w:rPr>
          <w:rFonts w:ascii="Arial" w:eastAsia="Calibri" w:hAnsi="Arial" w:cs="Arial"/>
        </w:rPr>
        <w:t>Nenehna krepitev znanja o vplivih podnebnih sprememb in načinih prilagajanja podnebnim spremembam.</w:t>
      </w:r>
    </w:p>
    <w:p w14:paraId="3A6AE4C7" w14:textId="77777777" w:rsidR="00DD1BEB" w:rsidRPr="007944FA" w:rsidRDefault="00DD1BEB" w:rsidP="0038553C">
      <w:pPr>
        <w:pStyle w:val="ListParagraph"/>
        <w:numPr>
          <w:ilvl w:val="0"/>
          <w:numId w:val="17"/>
        </w:numPr>
        <w:spacing w:after="0" w:line="240" w:lineRule="auto"/>
        <w:jc w:val="both"/>
        <w:rPr>
          <w:rFonts w:ascii="Arial" w:eastAsia="Calibri" w:hAnsi="Arial" w:cs="Arial"/>
        </w:rPr>
      </w:pPr>
      <w:r w:rsidRPr="007944FA">
        <w:rPr>
          <w:rFonts w:ascii="Arial" w:eastAsia="Calibri" w:hAnsi="Arial" w:cs="Arial"/>
        </w:rPr>
        <w:t>Dosegata se ustrezna raven in kakovost izobraženosti, usposobljenosti, ozaveščenosti, informiranosti in širšega komuniciranja o vplivih podnebnih sprememb. Ciljne javnosti so seznanjene z vplivi podnebnih sprememb na družbo.</w:t>
      </w:r>
    </w:p>
    <w:p w14:paraId="31D77A83" w14:textId="77777777" w:rsidR="00DD1BEB" w:rsidRPr="007944FA" w:rsidRDefault="00DD1BEB" w:rsidP="00DD1BEB">
      <w:pPr>
        <w:jc w:val="both"/>
        <w:rPr>
          <w:rFonts w:ascii="Arial" w:eastAsia="Calibri" w:hAnsi="Arial" w:cs="Arial"/>
        </w:rPr>
      </w:pPr>
      <w:r w:rsidRPr="007944FA">
        <w:rPr>
          <w:rFonts w:ascii="Arial" w:eastAsia="Calibri" w:hAnsi="Arial" w:cs="Arial"/>
        </w:rPr>
        <w:t xml:space="preserve"> </w:t>
      </w:r>
    </w:p>
    <w:p w14:paraId="3283D3B9" w14:textId="77777777" w:rsidR="00DD1BEB" w:rsidRPr="007944FA" w:rsidRDefault="00DD1BEB" w:rsidP="00DD1BEB">
      <w:pPr>
        <w:jc w:val="both"/>
        <w:rPr>
          <w:rFonts w:ascii="Arial" w:eastAsia="Calibri" w:hAnsi="Arial" w:cs="Arial"/>
        </w:rPr>
      </w:pPr>
      <w:r w:rsidRPr="007944FA">
        <w:rPr>
          <w:rFonts w:ascii="Arial" w:eastAsia="Calibri" w:hAnsi="Arial" w:cs="Arial"/>
        </w:rPr>
        <w:t xml:space="preserve">Sprejetju strateškega okvira prilagajanja 2016 bi moralo slediti sprejetje izvedbenega načrta ukrepov po sektorjih, vendar se to ni zgodilo.  </w:t>
      </w:r>
    </w:p>
    <w:p w14:paraId="065E3BC6" w14:textId="77777777" w:rsidR="00DD1BEB" w:rsidRPr="007944FA" w:rsidRDefault="00DD1BEB" w:rsidP="00DD1BEB">
      <w:pPr>
        <w:jc w:val="both"/>
        <w:rPr>
          <w:rFonts w:ascii="Arial" w:eastAsia="Calibri" w:hAnsi="Arial" w:cs="Arial"/>
        </w:rPr>
      </w:pPr>
      <w:r w:rsidRPr="007944FA">
        <w:rPr>
          <w:rFonts w:ascii="Arial" w:eastAsia="Calibri" w:hAnsi="Arial" w:cs="Arial"/>
        </w:rPr>
        <w:t xml:space="preserve">Osnutek poročila o izvajanju strateškega okvira prilagajanja 2016 v obdobju 2016–2020 je pokazal različne stopnje uspešnosti pri izvajanju posameznih korakov, predvidenih v strategiji. Slovenija je bila najuspešnejša na področju vključevanja prilagajanja podnebnim spremembam v strateško načrtovanje, evropske in mednarodne aktivnosti, zagotavljanju podnebnih storitev in področju izobraževanja. Kot delno uspešne so se izkazale aktivnosti na področju okrepljene uporabe instrumentov presoje vplivov na okolje, medresorskega sodelovanja, povezovanja zbirk podatkov in komunikacijske dejavnosti. Nacionalna kontaktna točka za povezovanje z regionalno in lokalno ravnjo ni bila nikoli vzpostavljena, prav tako ne podnebni portal, redno sodelovanje med raziskovalci in odločevalci, niti niso bile pripravljene ocene podnebne ranljivosti in tveganj. Se je pa povečal delež sredstev, namenjenih za namene prilagajanja. </w:t>
      </w:r>
    </w:p>
    <w:p w14:paraId="6827CD0E" w14:textId="77777777" w:rsidR="00DD1BEB" w:rsidRPr="007944FA" w:rsidRDefault="00DD1BEB" w:rsidP="00DD1BEB">
      <w:pPr>
        <w:jc w:val="both"/>
        <w:rPr>
          <w:rFonts w:ascii="Arial" w:eastAsia="Calibri" w:hAnsi="Arial" w:cs="Arial"/>
        </w:rPr>
      </w:pPr>
      <w:r w:rsidRPr="007944FA">
        <w:rPr>
          <w:rFonts w:ascii="Arial" w:eastAsia="Calibri" w:hAnsi="Arial" w:cs="Arial"/>
        </w:rPr>
        <w:t>Slovenija je leta 2021 sprejela Dolgoročno podnebno strategijo Republike Slovenije do leta 2050.</w:t>
      </w:r>
      <w:r w:rsidRPr="007944FA">
        <w:rPr>
          <w:rStyle w:val="FootnoteReference"/>
          <w:rFonts w:ascii="Arial" w:eastAsia="Calibri" w:hAnsi="Arial" w:cs="Arial"/>
        </w:rPr>
        <w:footnoteReference w:id="117"/>
      </w:r>
      <w:r w:rsidRPr="007944FA">
        <w:rPr>
          <w:rFonts w:ascii="Arial" w:eastAsia="Calibri" w:hAnsi="Arial" w:cs="Arial"/>
        </w:rPr>
        <w:t xml:space="preserve"> Podnebna strategija določa, da bo Slovenija do leta 2050 podnebno nevtralna in proti podnebnim spremembam odporna družba na temeljih trajnostnega razvoja. Strategija stremi k učinkovitosti ravnanja z energijo in naravnimi viri, hkrati pa k ohranjanju visoke stopnje konkurenčnosti nizkoogljičnega krožnega gospodarstva. Strategija snuje pot družbi, ki bo temeljila na:</w:t>
      </w:r>
    </w:p>
    <w:p w14:paraId="59F27FC8"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lastRenderedPageBreak/>
        <w:t>ohranjeni naravi,</w:t>
      </w:r>
    </w:p>
    <w:p w14:paraId="471CF27F"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t>krožnem gospodarstvu,</w:t>
      </w:r>
    </w:p>
    <w:p w14:paraId="3C8FDFFB"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t>obnovljivih in nizkoogljičnih virih energije,</w:t>
      </w:r>
    </w:p>
    <w:p w14:paraId="769084F6"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t>trajnostni mobilnosti in</w:t>
      </w:r>
    </w:p>
    <w:p w14:paraId="2149B6F9"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t>lokalno pridelani zdravi hrani ter</w:t>
      </w:r>
    </w:p>
    <w:p w14:paraId="23FD2DA0" w14:textId="77777777" w:rsidR="00DD1BEB" w:rsidRPr="007944FA" w:rsidRDefault="00DD1BEB" w:rsidP="0038553C">
      <w:pPr>
        <w:pStyle w:val="ListParagraph"/>
        <w:numPr>
          <w:ilvl w:val="0"/>
          <w:numId w:val="24"/>
        </w:numPr>
        <w:spacing w:after="0" w:line="240" w:lineRule="auto"/>
        <w:jc w:val="both"/>
        <w:rPr>
          <w:rFonts w:ascii="Arial" w:eastAsia="Calibri" w:hAnsi="Arial" w:cs="Arial"/>
        </w:rPr>
      </w:pPr>
      <w:r w:rsidRPr="007944FA">
        <w:rPr>
          <w:rFonts w:ascii="Arial" w:eastAsia="Calibri" w:hAnsi="Arial" w:cs="Arial"/>
        </w:rPr>
        <w:t>bo prilagojena na vplive podnebnih sprememb in odporna proti njim.</w:t>
      </w:r>
    </w:p>
    <w:p w14:paraId="42CC0B52" w14:textId="77777777" w:rsidR="00DD1BEB" w:rsidRPr="007944FA" w:rsidRDefault="00DD1BEB" w:rsidP="00DD1BEB">
      <w:pPr>
        <w:spacing w:after="0" w:line="240" w:lineRule="auto"/>
        <w:ind w:left="360"/>
        <w:jc w:val="both"/>
        <w:rPr>
          <w:rFonts w:ascii="Arial" w:eastAsia="Calibri" w:hAnsi="Arial" w:cs="Arial"/>
        </w:rPr>
      </w:pPr>
    </w:p>
    <w:p w14:paraId="28DB2B79" w14:textId="77777777" w:rsidR="00DD1BEB" w:rsidRPr="007944FA" w:rsidRDefault="00DD1BEB" w:rsidP="00DD1BEB">
      <w:pPr>
        <w:jc w:val="both"/>
        <w:rPr>
          <w:rFonts w:ascii="Arial" w:eastAsia="Calibri" w:hAnsi="Arial" w:cs="Arial"/>
        </w:rPr>
      </w:pPr>
      <w:r w:rsidRPr="007944FA">
        <w:rPr>
          <w:rFonts w:ascii="Arial" w:eastAsia="Calibri" w:hAnsi="Arial" w:cs="Arial"/>
        </w:rPr>
        <w:t>Slovenija bo družba, v kateri bosta kakovost in varnost življenja visoki, izkoriščala pa bo tudi priložnosti v razmerah spremenjenega podnebja, prehod v podnebno nevtralno družbo bo vključujoč, upoštevala se bodo načela podnebne pravičnosti, stroški in koristi prehoda bodo porazdeljeni pravično, saj bo tudi najranljivejšim skupinam prebivalstva omogočeno izvajanje ukrepov blaženja in prilagajanja. Do leta 2050 bo Slovenija zmanjšala emisije toplogrednih plinov (TGP) za 80–90 % glede na leto 2005 in izboljšala ponore, hkrati pa bo pospešila izvajanja politik prilagajanja na podnebne spremembe in zagotavljanje podnebne varnosti prebivalcev.</w:t>
      </w:r>
    </w:p>
    <w:p w14:paraId="7B1F7CE5" w14:textId="77777777" w:rsidR="00DD1BEB" w:rsidRPr="007944FA" w:rsidRDefault="00DD1BEB" w:rsidP="00DD1BEB">
      <w:pPr>
        <w:jc w:val="both"/>
        <w:rPr>
          <w:rFonts w:ascii="Arial" w:eastAsia="Calibri" w:hAnsi="Arial" w:cs="Arial"/>
        </w:rPr>
      </w:pPr>
      <w:r w:rsidRPr="007944FA">
        <w:rPr>
          <w:rFonts w:ascii="Arial" w:eastAsia="Calibri" w:hAnsi="Arial" w:cs="Arial"/>
        </w:rPr>
        <w:t>Izvedbeni dokument dolgoročne podnebne strategije je nacionalni energetski in podnebni načrt. Slovenija z njim opredeljuje energetske in podnebne cilje ter politike in ukrepe, kako te cilje doseči do leta 2030, ter predvidevanja še za nadaljnjih deset let. Vlada Republike Slovenije je decembra 2024 sprejela posodobljeni Celoviti nacionalni energetski in podnebni načrt Republike Slovenije za obdobje do leta 2030 (s pogledom do leta 2040) (NEPN 2024). NEPN 2024 vključuje tudi 13 ukrepov s področja prilagajanja, ki so uvrščeni v pet sklopov:</w:t>
      </w:r>
    </w:p>
    <w:p w14:paraId="02076963" w14:textId="368BB02E" w:rsidR="00DD1BEB" w:rsidRPr="007944FA" w:rsidRDefault="00DD1BEB" w:rsidP="0038553C">
      <w:pPr>
        <w:pStyle w:val="ListParagraph"/>
        <w:numPr>
          <w:ilvl w:val="0"/>
          <w:numId w:val="25"/>
        </w:numPr>
        <w:spacing w:after="0" w:line="240" w:lineRule="auto"/>
        <w:jc w:val="both"/>
        <w:rPr>
          <w:rFonts w:ascii="Arial" w:eastAsia="Calibri" w:hAnsi="Arial" w:cs="Arial"/>
        </w:rPr>
      </w:pPr>
      <w:r w:rsidRPr="007944FA">
        <w:rPr>
          <w:rFonts w:ascii="Arial" w:eastAsia="Calibri" w:hAnsi="Arial" w:cs="Arial"/>
        </w:rPr>
        <w:t>priprava ustreznih strokovnih podlag, podatkov in posodobitev projekcij;</w:t>
      </w:r>
    </w:p>
    <w:p w14:paraId="7162A8BE" w14:textId="77777777" w:rsidR="00DD1BEB" w:rsidRPr="007944FA" w:rsidRDefault="00DD1BEB" w:rsidP="0038553C">
      <w:pPr>
        <w:pStyle w:val="ListParagraph"/>
        <w:numPr>
          <w:ilvl w:val="0"/>
          <w:numId w:val="25"/>
        </w:numPr>
        <w:spacing w:after="0" w:line="240" w:lineRule="auto"/>
        <w:jc w:val="both"/>
        <w:rPr>
          <w:rFonts w:ascii="Arial" w:eastAsia="Calibri" w:hAnsi="Arial" w:cs="Arial"/>
        </w:rPr>
      </w:pPr>
      <w:r w:rsidRPr="007944FA">
        <w:rPr>
          <w:rFonts w:ascii="Arial" w:eastAsia="Calibri" w:hAnsi="Arial" w:cs="Arial"/>
        </w:rPr>
        <w:t>priprava nacionalne strategije prilagajanja podnebnim spremembam in akcijskega načrta;</w:t>
      </w:r>
    </w:p>
    <w:p w14:paraId="70F0808D" w14:textId="77777777" w:rsidR="00DD1BEB" w:rsidRPr="007944FA" w:rsidRDefault="00DD1BEB" w:rsidP="0038553C">
      <w:pPr>
        <w:pStyle w:val="ListParagraph"/>
        <w:numPr>
          <w:ilvl w:val="0"/>
          <w:numId w:val="25"/>
        </w:numPr>
        <w:spacing w:after="0" w:line="240" w:lineRule="auto"/>
        <w:jc w:val="both"/>
        <w:rPr>
          <w:rFonts w:ascii="Arial" w:eastAsia="Calibri" w:hAnsi="Arial" w:cs="Arial"/>
        </w:rPr>
      </w:pPr>
      <w:r w:rsidRPr="007944FA">
        <w:rPr>
          <w:rFonts w:ascii="Arial" w:eastAsia="Calibri" w:hAnsi="Arial" w:cs="Arial"/>
        </w:rPr>
        <w:t>vzpostavitev podporne pisarne za prilagajanje in podnebno odpornost na lokalni in regionalni ravni;</w:t>
      </w:r>
    </w:p>
    <w:p w14:paraId="558097FC" w14:textId="3FB9728E" w:rsidR="00DD1BEB" w:rsidRPr="007944FA" w:rsidRDefault="00DD1BEB" w:rsidP="0038553C">
      <w:pPr>
        <w:pStyle w:val="ListParagraph"/>
        <w:numPr>
          <w:ilvl w:val="0"/>
          <w:numId w:val="25"/>
        </w:numPr>
        <w:spacing w:after="0" w:line="240" w:lineRule="auto"/>
        <w:jc w:val="both"/>
        <w:rPr>
          <w:rFonts w:ascii="Arial" w:eastAsia="Calibri" w:hAnsi="Arial" w:cs="Arial"/>
        </w:rPr>
      </w:pPr>
      <w:r w:rsidRPr="007944FA">
        <w:rPr>
          <w:rFonts w:ascii="Arial" w:eastAsia="Calibri" w:hAnsi="Arial" w:cs="Arial"/>
        </w:rPr>
        <w:t xml:space="preserve">program prilagajanja podnebnim spremembam v mestih: </w:t>
      </w:r>
      <w:r w:rsidR="007946B3" w:rsidRPr="007944FA">
        <w:rPr>
          <w:rFonts w:ascii="Arial" w:eastAsia="Calibri" w:hAnsi="Arial" w:cs="Arial"/>
        </w:rPr>
        <w:t>reševanje</w:t>
      </w:r>
      <w:r w:rsidRPr="007944FA">
        <w:rPr>
          <w:rFonts w:ascii="Arial" w:eastAsia="Calibri" w:hAnsi="Arial" w:cs="Arial"/>
        </w:rPr>
        <w:t xml:space="preserve"> toplotnih otokov;</w:t>
      </w:r>
    </w:p>
    <w:p w14:paraId="415374A4" w14:textId="77777777" w:rsidR="00DD1BEB" w:rsidRPr="007944FA" w:rsidRDefault="00DD1BEB" w:rsidP="0038553C">
      <w:pPr>
        <w:pStyle w:val="ListParagraph"/>
        <w:numPr>
          <w:ilvl w:val="0"/>
          <w:numId w:val="25"/>
        </w:numPr>
        <w:spacing w:after="0" w:line="240" w:lineRule="auto"/>
        <w:jc w:val="both"/>
        <w:rPr>
          <w:rFonts w:ascii="Arial" w:eastAsia="Calibri" w:hAnsi="Arial" w:cs="Arial"/>
        </w:rPr>
      </w:pPr>
      <w:r w:rsidRPr="007944FA">
        <w:rPr>
          <w:rFonts w:ascii="Arial" w:eastAsia="Calibri" w:hAnsi="Arial" w:cs="Arial"/>
        </w:rPr>
        <w:t>spodbude za naložbe v osnovna sredstva v kmetijstvu, ki prispevajo k prilagajanju na negativne vplive podnebnih sprememb za povečanje odpornosti kmetijstva.</w:t>
      </w:r>
    </w:p>
    <w:p w14:paraId="39AE861B" w14:textId="77777777"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 xml:space="preserve"> </w:t>
      </w:r>
    </w:p>
    <w:p w14:paraId="775B7B11" w14:textId="77777777" w:rsidR="00DD1BEB" w:rsidRPr="007944FA" w:rsidRDefault="00DD1BEB" w:rsidP="00DD1BEB">
      <w:pPr>
        <w:spacing w:line="257" w:lineRule="auto"/>
        <w:jc w:val="both"/>
        <w:rPr>
          <w:rFonts w:ascii="Arial" w:eastAsia="Palatino Linotype" w:hAnsi="Arial" w:cs="Arial"/>
        </w:rPr>
      </w:pPr>
      <w:r w:rsidRPr="007944FA">
        <w:rPr>
          <w:rFonts w:ascii="Arial" w:eastAsia="Calibri" w:hAnsi="Arial" w:cs="Arial"/>
        </w:rPr>
        <w:t>Kot je bilo navedeno, bosta močnejša zaveza in ureditev prilagajanja podnebnim spremembam sistemsko urejeni šele v podnebnem zakonu. Predlog podnebnega zakona na področju prilagajanja podnebnim spremembam predpisuje pripravo nacionalne strategije prilagajanja najpozneje na deset let. Strategija mora vsebovati usmeritve in cilje za deset prednostnih sektorjev: upravljanje voda, ohranjanje narave, ohranjanje kulturne dediščine, kmetijstvo, gozdarstvo, energetika, infrastruktura in stavbe, javno zdravje, gospodarstvo in poselitev – mesta in druga urbana naselja. Pri pripravi strategije</w:t>
      </w:r>
      <w:r w:rsidRPr="007944FA">
        <w:rPr>
          <w:rFonts w:ascii="Calibri" w:eastAsia="Calibri" w:hAnsi="Calibri" w:cs="Calibri"/>
        </w:rPr>
        <w:t xml:space="preserve"> </w:t>
      </w:r>
      <w:r w:rsidRPr="007944FA">
        <w:rPr>
          <w:rFonts w:ascii="Arial" w:eastAsia="Calibri" w:hAnsi="Arial" w:cs="Arial"/>
        </w:rPr>
        <w:t>sodelujejo vsi prednostni sektorji, ki so</w:t>
      </w:r>
      <w:r w:rsidRPr="007944FA">
        <w:rPr>
          <w:rFonts w:ascii="Calibri" w:eastAsia="Calibri" w:hAnsi="Calibri" w:cs="Calibri"/>
        </w:rPr>
        <w:t xml:space="preserve"> </w:t>
      </w:r>
      <w:r w:rsidRPr="007944FA">
        <w:rPr>
          <w:rFonts w:ascii="Arial" w:eastAsia="Calibri" w:hAnsi="Arial" w:cs="Arial"/>
        </w:rPr>
        <w:t xml:space="preserve">zadolženi tudi za pripravo sektorskih ocen podnebne ranljivosti in tveganj. </w:t>
      </w:r>
    </w:p>
    <w:p w14:paraId="0B8D4366"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MOPE je, ne glede na status podnebnega zakona, že v letu 2024 začelo pripravljati nove nacionalne strategije prilagajanja. V prvem koraku so bila izvedena spoznavna srečanja z vsemi prednostnimi sektorji in ključnimi deležniki (regije, lokalne skupnosti, NVO, Podnebni svet in varuh človekovih pravic). Na spoznavnih srečanjih so bili udeležencem pojasnjeni proces priprave strategije in pričakovanja glede lastništva tveganj. Za vse prednostne sektorje je MOPE v sodelovanju z ARSOM in Evropsko okoljsko agencijo izvedlo strokovno izobraževanje na temo podnebnih sprememb in delavnice za pripravo sektorskih ocen podnebne ranljivosti in tveganj. V novembru 2024 so vsi prednostni sektorji prejeli tudi podrobnejša navodila za pripravo sektorskih ocen podnebne ranljivosti in tveganj. </w:t>
      </w:r>
    </w:p>
    <w:p w14:paraId="455F5C39"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lastRenderedPageBreak/>
        <w:t>Ocena podnebne ranljivosti in tveganj je kvalitativna in/ali kvantitativna znanstvena ocena, ki se pripravi v skladu z usmeritvami Medvladnega panela za podnebne spremembe (IPCC) in terminologijo AR5. Pri pripravi navodil so bili upoštevani tudi priročnika Do it yourself – Assessing climate change risks and vulnerabilities (Smithers in Dworak, 2023) in Risk Supplement to the Vulnerability ourcebook (GIZ in EURAC, 2017) ter zadnje poročilo Evropske okoljske agencije (EEA, 2023), ki ocenjuje podnebna tveganja v Evropi (EUCRA).</w:t>
      </w:r>
    </w:p>
    <w:p w14:paraId="7661CB13"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Pri pripravi ocene sektorji sledijo šestim korakom. Ti koraki so:</w:t>
      </w:r>
    </w:p>
    <w:p w14:paraId="20B885F9" w14:textId="77777777" w:rsidR="00DD1BEB" w:rsidRPr="007944FA" w:rsidRDefault="00DD1BEB" w:rsidP="00DD1BEB">
      <w:pPr>
        <w:spacing w:after="0" w:line="257" w:lineRule="auto"/>
        <w:jc w:val="both"/>
        <w:rPr>
          <w:rFonts w:ascii="Arial" w:hAnsi="Arial" w:cs="Arial"/>
        </w:rPr>
      </w:pPr>
      <w:r w:rsidRPr="007944FA">
        <w:rPr>
          <w:rFonts w:ascii="Arial" w:eastAsia="Calibri" w:hAnsi="Arial" w:cs="Arial"/>
        </w:rPr>
        <w:t>1. priprava podlag (izbira nevarnosti in tveganj),</w:t>
      </w:r>
    </w:p>
    <w:p w14:paraId="61F874DA" w14:textId="77777777" w:rsidR="00DD1BEB" w:rsidRPr="007944FA" w:rsidRDefault="00DD1BEB" w:rsidP="00DD1BEB">
      <w:pPr>
        <w:spacing w:after="0" w:line="257" w:lineRule="auto"/>
        <w:jc w:val="both"/>
        <w:rPr>
          <w:rFonts w:ascii="Arial" w:hAnsi="Arial" w:cs="Arial"/>
        </w:rPr>
      </w:pPr>
      <w:r w:rsidRPr="007944FA">
        <w:rPr>
          <w:rFonts w:ascii="Arial" w:eastAsia="Calibri" w:hAnsi="Arial" w:cs="Arial"/>
        </w:rPr>
        <w:t>2. ocena podnebne ranljivosti,</w:t>
      </w:r>
    </w:p>
    <w:p w14:paraId="13A7AF68" w14:textId="77777777" w:rsidR="00DD1BEB" w:rsidRPr="007944FA" w:rsidRDefault="00DD1BEB" w:rsidP="00DD1BEB">
      <w:pPr>
        <w:spacing w:after="0" w:line="257" w:lineRule="auto"/>
        <w:jc w:val="both"/>
        <w:rPr>
          <w:rFonts w:ascii="Arial" w:hAnsi="Arial" w:cs="Arial"/>
        </w:rPr>
      </w:pPr>
      <w:r w:rsidRPr="007944FA">
        <w:rPr>
          <w:rFonts w:ascii="Arial" w:eastAsia="Calibri" w:hAnsi="Arial" w:cs="Arial"/>
        </w:rPr>
        <w:t>3. opredelitev scenarijev podnebnih sprememb,</w:t>
      </w:r>
    </w:p>
    <w:p w14:paraId="2300E4F3" w14:textId="6817DFF1" w:rsidR="00DD1BEB" w:rsidRPr="007944FA" w:rsidRDefault="00DD1BEB" w:rsidP="00DD1BEB">
      <w:pPr>
        <w:spacing w:after="0" w:line="257" w:lineRule="auto"/>
        <w:jc w:val="both"/>
        <w:rPr>
          <w:rFonts w:ascii="Arial" w:hAnsi="Arial" w:cs="Arial"/>
        </w:rPr>
      </w:pPr>
      <w:r w:rsidRPr="007944FA">
        <w:rPr>
          <w:rFonts w:ascii="Arial" w:eastAsia="Calibri" w:hAnsi="Arial" w:cs="Arial"/>
        </w:rPr>
        <w:t xml:space="preserve">4. ocena izpostavljenosti in </w:t>
      </w:r>
      <w:r w:rsidR="007946B3" w:rsidRPr="007944FA">
        <w:rPr>
          <w:rFonts w:ascii="Arial" w:eastAsia="Calibri" w:hAnsi="Arial" w:cs="Arial"/>
        </w:rPr>
        <w:t>mogočih</w:t>
      </w:r>
      <w:r w:rsidRPr="007944FA">
        <w:rPr>
          <w:rFonts w:ascii="Arial" w:eastAsia="Calibri" w:hAnsi="Arial" w:cs="Arial"/>
        </w:rPr>
        <w:t xml:space="preserve"> vplivov, povezanih s podnebjem,</w:t>
      </w:r>
    </w:p>
    <w:p w14:paraId="745C12A5" w14:textId="77777777" w:rsidR="00DD1BEB" w:rsidRPr="007944FA" w:rsidRDefault="00DD1BEB" w:rsidP="00DD1BEB">
      <w:pPr>
        <w:spacing w:after="0" w:line="257" w:lineRule="auto"/>
        <w:jc w:val="both"/>
        <w:rPr>
          <w:rFonts w:ascii="Arial" w:hAnsi="Arial" w:cs="Arial"/>
        </w:rPr>
      </w:pPr>
      <w:r w:rsidRPr="007944FA">
        <w:rPr>
          <w:rFonts w:ascii="Arial" w:eastAsia="Calibri" w:hAnsi="Arial" w:cs="Arial"/>
        </w:rPr>
        <w:t>5. ocena podnebnih tveganj (in priložnosti),</w:t>
      </w:r>
    </w:p>
    <w:p w14:paraId="0B443204" w14:textId="77777777" w:rsidR="00DD1BEB" w:rsidRPr="007944FA" w:rsidRDefault="00DD1BEB" w:rsidP="00DD1BEB">
      <w:pPr>
        <w:spacing w:after="0" w:line="257" w:lineRule="auto"/>
        <w:jc w:val="both"/>
        <w:rPr>
          <w:rFonts w:ascii="Arial" w:eastAsia="Calibri" w:hAnsi="Arial" w:cs="Arial"/>
        </w:rPr>
      </w:pPr>
      <w:r w:rsidRPr="007944FA">
        <w:rPr>
          <w:rFonts w:ascii="Arial" w:eastAsia="Calibri" w:hAnsi="Arial" w:cs="Arial"/>
        </w:rPr>
        <w:t>6. obravnavanje negotovosti.</w:t>
      </w:r>
    </w:p>
    <w:p w14:paraId="523F707C" w14:textId="77777777" w:rsidR="00DD1BEB" w:rsidRPr="007944FA" w:rsidRDefault="00DD1BEB" w:rsidP="00DD1BEB">
      <w:pPr>
        <w:spacing w:after="0" w:line="257" w:lineRule="auto"/>
        <w:jc w:val="both"/>
        <w:rPr>
          <w:rFonts w:ascii="Arial" w:hAnsi="Arial" w:cs="Arial"/>
        </w:rPr>
      </w:pPr>
    </w:p>
    <w:p w14:paraId="66CB2541" w14:textId="765A487C"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Zaželeno je, da priprava poročila poteka v širšem strokovnem krogu, s participativnim načinom, na primer v obliki delavnic. Priprava ocene temelji na matričnem vrednotenju, podprtem s </w:t>
      </w:r>
      <w:r w:rsidR="001F5900" w:rsidRPr="007944FA">
        <w:rPr>
          <w:rFonts w:ascii="Arial" w:eastAsia="Calibri" w:hAnsi="Arial" w:cs="Arial"/>
        </w:rPr>
        <w:t>kazalci</w:t>
      </w:r>
      <w:r w:rsidRPr="007944FA">
        <w:rPr>
          <w:rFonts w:ascii="Arial" w:eastAsia="Calibri" w:hAnsi="Arial" w:cs="Arial"/>
        </w:rPr>
        <w:t xml:space="preserve">, torej je v osnovi kvantitativna. </w:t>
      </w:r>
      <w:r w:rsidR="001F5900" w:rsidRPr="007944FA">
        <w:rPr>
          <w:rFonts w:ascii="Arial" w:eastAsia="Calibri" w:hAnsi="Arial" w:cs="Arial"/>
        </w:rPr>
        <w:t>Kazalci</w:t>
      </w:r>
      <w:r w:rsidRPr="007944FA">
        <w:rPr>
          <w:rFonts w:ascii="Arial" w:eastAsia="Calibri" w:hAnsi="Arial" w:cs="Arial"/>
        </w:rPr>
        <w:t xml:space="preserve"> se črpajo iz že obstoječih zbirk, kot so SI-STAT, Prostorsko-informacijski sistem, </w:t>
      </w:r>
      <w:r w:rsidR="001F5900" w:rsidRPr="007944FA">
        <w:rPr>
          <w:rFonts w:ascii="Arial" w:eastAsia="Calibri" w:hAnsi="Arial" w:cs="Arial"/>
        </w:rPr>
        <w:t>kazalci</w:t>
      </w:r>
      <w:r w:rsidRPr="007944FA">
        <w:rPr>
          <w:rFonts w:ascii="Arial" w:eastAsia="Calibri" w:hAnsi="Arial" w:cs="Arial"/>
        </w:rPr>
        <w:t xml:space="preserve"> okolja, sistem NARCIS in druge ustrezne zbirke. Če je smiselno in potrebno, se lahko dodatni </w:t>
      </w:r>
      <w:r w:rsidR="001F5900" w:rsidRPr="007944FA">
        <w:rPr>
          <w:rFonts w:ascii="Arial" w:eastAsia="Calibri" w:hAnsi="Arial" w:cs="Arial"/>
        </w:rPr>
        <w:t>kazalci</w:t>
      </w:r>
      <w:r w:rsidRPr="007944FA">
        <w:rPr>
          <w:rFonts w:ascii="Arial" w:eastAsia="Calibri" w:hAnsi="Arial" w:cs="Arial"/>
        </w:rPr>
        <w:t xml:space="preserve"> ustvarijo z GIS ali drugo analizo. Zaželeno je, da se podatki spremljajo kontinuirano, saj se ocene posodabljajo na pet let. Priporočljivo je tudi, da se vsi </w:t>
      </w:r>
      <w:r w:rsidR="001F5900" w:rsidRPr="007944FA">
        <w:rPr>
          <w:rFonts w:ascii="Arial" w:eastAsia="Calibri" w:hAnsi="Arial" w:cs="Arial"/>
        </w:rPr>
        <w:t>kazalci</w:t>
      </w:r>
      <w:r w:rsidRPr="007944FA">
        <w:rPr>
          <w:rFonts w:ascii="Arial" w:eastAsia="Calibri" w:hAnsi="Arial" w:cs="Arial"/>
        </w:rPr>
        <w:t xml:space="preserve"> kvantificirajo, potem pa uvrstijo na lestvico ocen od ena do pet, saj gre za podatke, merjene na različnih merskih lestvicah, na primer temperatura v °C, padavine v mm. </w:t>
      </w:r>
    </w:p>
    <w:p w14:paraId="1A611126" w14:textId="7CA3D1F6"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Sektorji v prvem koraku določijo nevarnosti in ovrednotijo zanje pomembne </w:t>
      </w:r>
      <w:r w:rsidR="001F5900" w:rsidRPr="007944FA">
        <w:rPr>
          <w:rFonts w:ascii="Arial" w:eastAsia="Calibri" w:hAnsi="Arial" w:cs="Arial"/>
        </w:rPr>
        <w:t>kazalce</w:t>
      </w:r>
      <w:r w:rsidRPr="007944FA">
        <w:rPr>
          <w:rFonts w:ascii="Arial" w:eastAsia="Calibri" w:hAnsi="Arial" w:cs="Arial"/>
        </w:rPr>
        <w:t xml:space="preserve"> nevarnosti. Nevarnost ni nujno izredni vremenski dogodek (na primer neurje), ampak je lahko tudi počasen trend (na primer manj vode zaradi taljenja snega, dvig morske gladine in tako dalje). Pomisliti je treba tudi na mogoča nova tveganja/nevarnosti v prihodnosti. Sektorjem je v pomoč vnaprej pripravljen seznam nevarnosti. Na podlagi prvega koraka sektor opredeli tri do pet tveganj za sektor. Pri tem lahko ena od nevarnosti povzroči več tveganj oziroma eno tveganje lahko nastane kot posledica več nevarnosti.</w:t>
      </w:r>
    </w:p>
    <w:p w14:paraId="18DB8CD0"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V drugem koraku sektorji določijo ranljivost, in sicer iz ocene občutljivosti in prilagoditvene sposobnosti. Pomembno je upoštevati tako neposredne kot posredne vidike občutljivosti. Prihodnja podnebna tveganja ne bodo odvisna le od prihodnjega podnebja, temveč tudi od prihodnjih družbenogospodarskih razmer. V tem koraku se opredelijo tudi ranljivejše družbene skupine, ki jih lahko podnebne spremembe še posebej prizadenejo. Med takšne skupine se uvrščajo starejši, otroci, osebe z zdravstvenimi težavami (še posebej ranljivi so posamezniki, ki imajo kardiovaskularne ali respiratorne bolezni) in osebe, ki se srečujejo s socialno-ekonomskimi stiskami, kot so revščina in neustrezni bivanjski pogoji. Ranljivejši so tudi posamezniki, ki so zaradi okolja, v katerem bivajo, bolj izpostavljeni podnebnim nevarnostim, na primer živijo na poplavnem območju. Pozornost je treba nameniti tudi določenim družbenim skupinam, na primer vročinski valovi verjetneje prizadenejo starejše in fizične delavce, ki delajo na prostem.</w:t>
      </w:r>
    </w:p>
    <w:p w14:paraId="39B5CF45"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V tretjem koraku sektorji pregledajo scenarije podnebnih sprememb, s pomočjo katerih opredelijo, v kolikšni meri se bodo podnebne nevarnosti predvidoma spreminjale v prihodnosti. Sektorji upoštevajo scenarije RCP, za katere ima ARSO že pripravljene projekcije podnebnih sprememb. Za pravilno upoštevanje negotovosti je pomembno izbrati več kot en scenarij </w:t>
      </w:r>
      <w:r w:rsidRPr="007944FA">
        <w:rPr>
          <w:rFonts w:ascii="Arial" w:eastAsia="Calibri" w:hAnsi="Arial" w:cs="Arial"/>
        </w:rPr>
        <w:lastRenderedPageBreak/>
        <w:t>podnebnih sprememb – scenarij RCP4.5 za sredino stoletja (2041–2070) in scenarija RCP4.5 in RCP8.5 za konec stoletja (2071–2100) v primerjavi s primerjalnim obdobjem (1981–2010).</w:t>
      </w:r>
    </w:p>
    <w:p w14:paraId="0EDD5D64" w14:textId="77777777"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Četrti korak vsebuje oceno izpostavljenost nevarnostim za vsak scenarij in časovni okvir. Sektorji ocenjujejo izpostavljenost glede na trenutno stanje in tri prihodnje scenarije.</w:t>
      </w:r>
    </w:p>
    <w:p w14:paraId="5D547834" w14:textId="299E2771" w:rsidR="00DD1BEB" w:rsidRPr="007944FA" w:rsidRDefault="00DD1BEB" w:rsidP="00DD1BEB">
      <w:pPr>
        <w:jc w:val="both"/>
        <w:rPr>
          <w:rFonts w:ascii="Arial" w:hAnsi="Arial" w:cs="Arial"/>
        </w:rPr>
      </w:pPr>
      <w:r w:rsidRPr="007944FA">
        <w:rPr>
          <w:rFonts w:ascii="Arial" w:eastAsia="Calibri" w:hAnsi="Arial" w:cs="Arial"/>
        </w:rPr>
        <w:t xml:space="preserve">Združitev ocen ranljivosti in izpostavljenosti privede do ocene </w:t>
      </w:r>
      <w:r w:rsidR="007946B3" w:rsidRPr="007944FA">
        <w:rPr>
          <w:rFonts w:ascii="Arial" w:eastAsia="Calibri" w:hAnsi="Arial" w:cs="Arial"/>
        </w:rPr>
        <w:t>mogočih</w:t>
      </w:r>
      <w:r w:rsidRPr="007944FA">
        <w:rPr>
          <w:rFonts w:ascii="Arial" w:eastAsia="Calibri" w:hAnsi="Arial" w:cs="Arial"/>
        </w:rPr>
        <w:t xml:space="preserve"> vplivov, povezanih s podnebjem. V petem koraku sektorji ocenijo verjetnost posameznega </w:t>
      </w:r>
      <w:r w:rsidR="007946B3" w:rsidRPr="007944FA">
        <w:rPr>
          <w:rFonts w:ascii="Arial" w:eastAsia="Calibri" w:hAnsi="Arial" w:cs="Arial"/>
        </w:rPr>
        <w:t>mogočega</w:t>
      </w:r>
      <w:r w:rsidRPr="007944FA">
        <w:rPr>
          <w:rFonts w:ascii="Arial" w:eastAsia="Calibri" w:hAnsi="Arial" w:cs="Arial"/>
        </w:rPr>
        <w:t xml:space="preserve"> vpliva. Po IPCC (O'Neill in sod., 2022) med velika tveganja </w:t>
      </w:r>
      <w:r w:rsidR="007946B3" w:rsidRPr="007944FA">
        <w:rPr>
          <w:rFonts w:ascii="Arial" w:eastAsia="Calibri" w:hAnsi="Arial" w:cs="Arial"/>
        </w:rPr>
        <w:t>spadajo</w:t>
      </w:r>
      <w:r w:rsidRPr="007944FA">
        <w:rPr>
          <w:rFonts w:ascii="Arial" w:eastAsia="Calibri" w:hAnsi="Arial" w:cs="Arial"/>
        </w:rPr>
        <w:t xml:space="preserve"> tista, ki imajo:</w:t>
      </w:r>
    </w:p>
    <w:p w14:paraId="0C94498C" w14:textId="77777777" w:rsidR="00DD1BEB" w:rsidRPr="007944FA" w:rsidRDefault="00DD1BEB" w:rsidP="0038553C">
      <w:pPr>
        <w:pStyle w:val="ListParagraph"/>
        <w:numPr>
          <w:ilvl w:val="0"/>
          <w:numId w:val="26"/>
        </w:numPr>
        <w:jc w:val="both"/>
        <w:rPr>
          <w:rFonts w:ascii="Arial" w:hAnsi="Arial" w:cs="Arial"/>
        </w:rPr>
      </w:pPr>
      <w:r w:rsidRPr="007944FA">
        <w:rPr>
          <w:rFonts w:ascii="Arial" w:eastAsia="Calibri" w:hAnsi="Arial" w:cs="Arial"/>
        </w:rPr>
        <w:t>velik obseg posledic danes in v prihodnosti;</w:t>
      </w:r>
    </w:p>
    <w:p w14:paraId="2FD62D7E" w14:textId="77777777" w:rsidR="00DD1BEB" w:rsidRPr="007944FA" w:rsidRDefault="00DD1BEB" w:rsidP="0038553C">
      <w:pPr>
        <w:pStyle w:val="ListParagraph"/>
        <w:numPr>
          <w:ilvl w:val="0"/>
          <w:numId w:val="26"/>
        </w:numPr>
        <w:jc w:val="both"/>
        <w:rPr>
          <w:rFonts w:ascii="Arial" w:hAnsi="Arial" w:cs="Arial"/>
        </w:rPr>
      </w:pPr>
      <w:r w:rsidRPr="007944FA">
        <w:rPr>
          <w:rFonts w:ascii="Arial" w:eastAsia="Calibri" w:hAnsi="Arial" w:cs="Arial"/>
        </w:rPr>
        <w:t>verjetnost hudih posledic;</w:t>
      </w:r>
    </w:p>
    <w:p w14:paraId="469C0600" w14:textId="77777777" w:rsidR="00DD1BEB" w:rsidRPr="007944FA" w:rsidRDefault="00DD1BEB" w:rsidP="0038553C">
      <w:pPr>
        <w:pStyle w:val="ListParagraph"/>
        <w:numPr>
          <w:ilvl w:val="0"/>
          <w:numId w:val="26"/>
        </w:numPr>
        <w:jc w:val="both"/>
        <w:rPr>
          <w:rFonts w:ascii="Arial" w:hAnsi="Arial" w:cs="Arial"/>
        </w:rPr>
      </w:pPr>
      <w:r w:rsidRPr="007944FA">
        <w:rPr>
          <w:rFonts w:ascii="Arial" w:eastAsia="Calibri" w:hAnsi="Arial" w:cs="Arial"/>
        </w:rPr>
        <w:t>visoko nepopravljivost posledic (točke preloma – angl. tipping points);</w:t>
      </w:r>
    </w:p>
    <w:p w14:paraId="6A9F15EC" w14:textId="23A33A3C" w:rsidR="00DD1BEB" w:rsidRPr="007944FA" w:rsidRDefault="007946B3" w:rsidP="0038553C">
      <w:pPr>
        <w:pStyle w:val="ListParagraph"/>
        <w:numPr>
          <w:ilvl w:val="0"/>
          <w:numId w:val="26"/>
        </w:numPr>
        <w:jc w:val="both"/>
        <w:rPr>
          <w:rFonts w:ascii="Arial" w:hAnsi="Arial" w:cs="Arial"/>
        </w:rPr>
      </w:pPr>
      <w:r w:rsidRPr="007944FA">
        <w:rPr>
          <w:rFonts w:ascii="Arial" w:eastAsia="Calibri" w:hAnsi="Arial" w:cs="Arial"/>
        </w:rPr>
        <w:t>veliko možnost</w:t>
      </w:r>
      <w:r w:rsidR="00DD1BEB" w:rsidRPr="007944FA">
        <w:rPr>
          <w:rFonts w:ascii="Arial" w:eastAsia="Calibri" w:hAnsi="Arial" w:cs="Arial"/>
        </w:rPr>
        <w:t>l za kaskadne učinke (geografsko ali iz enega sektorja/sistema v drugega);</w:t>
      </w:r>
    </w:p>
    <w:p w14:paraId="7418FC76" w14:textId="77777777" w:rsidR="00DD1BEB" w:rsidRPr="007944FA" w:rsidRDefault="00DD1BEB" w:rsidP="0038553C">
      <w:pPr>
        <w:pStyle w:val="ListParagraph"/>
        <w:numPr>
          <w:ilvl w:val="0"/>
          <w:numId w:val="26"/>
        </w:numPr>
        <w:jc w:val="both"/>
        <w:rPr>
          <w:rFonts w:ascii="Arial" w:hAnsi="Arial" w:cs="Arial"/>
        </w:rPr>
      </w:pPr>
      <w:r w:rsidRPr="007944FA">
        <w:rPr>
          <w:rFonts w:ascii="Arial" w:eastAsia="Calibri" w:hAnsi="Arial" w:cs="Arial"/>
        </w:rPr>
        <w:t>stopnjevalni učinek skozi čas.</w:t>
      </w:r>
    </w:p>
    <w:p w14:paraId="7D9A3320" w14:textId="525694A5"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Navodila vsebujejo tudi šesti korak – obravnavanje negotovosti. Pri razlagi rezultatov je pomembno, da sektorji upoštevajo in v poročilu oz</w:t>
      </w:r>
      <w:r w:rsidRPr="007944FA">
        <w:rPr>
          <w:rFonts w:ascii="Arial" w:eastAsia="Palatino Linotype" w:hAnsi="Arial" w:cs="Arial"/>
        </w:rPr>
        <w:t>iroma</w:t>
      </w:r>
      <w:r w:rsidRPr="007944FA">
        <w:rPr>
          <w:rFonts w:ascii="Arial" w:eastAsia="Calibri" w:hAnsi="Arial" w:cs="Arial"/>
        </w:rPr>
        <w:t xml:space="preserve"> </w:t>
      </w:r>
      <w:r w:rsidR="007946B3" w:rsidRPr="007944FA">
        <w:rPr>
          <w:rFonts w:ascii="Arial" w:eastAsia="Calibri" w:hAnsi="Arial" w:cs="Arial"/>
        </w:rPr>
        <w:t>mogočih</w:t>
      </w:r>
      <w:r w:rsidRPr="007944FA">
        <w:rPr>
          <w:rFonts w:ascii="Arial" w:eastAsia="Calibri" w:hAnsi="Arial" w:cs="Arial"/>
        </w:rPr>
        <w:t xml:space="preserve"> predstavitvah </w:t>
      </w:r>
      <w:r w:rsidR="007816B8" w:rsidRPr="007944FA">
        <w:rPr>
          <w:rFonts w:ascii="Arial" w:eastAsia="Calibri" w:hAnsi="Arial" w:cs="Arial"/>
        </w:rPr>
        <w:t>izpostavijo</w:t>
      </w:r>
      <w:r w:rsidRPr="007944FA">
        <w:rPr>
          <w:rFonts w:ascii="Arial" w:eastAsia="Calibri" w:hAnsi="Arial" w:cs="Arial"/>
        </w:rPr>
        <w:t xml:space="preserve"> negotovosti v povezavi s podatki, ki se uporabljajo za določanje občutljivosti, prilagoditvene sposobnosti, izpostavljenosti nevarnostim, verjetnosti podnebno povezanih vplivov ter časovne in prostorske porazdelitve podnebnih tveganj (in priložnosti).</w:t>
      </w:r>
    </w:p>
    <w:p w14:paraId="3F1E715C" w14:textId="0DEFAB8B" w:rsidR="00DD1BEB" w:rsidRPr="007944FA" w:rsidRDefault="00DD1BEB" w:rsidP="00DD1BEB">
      <w:pPr>
        <w:spacing w:line="257" w:lineRule="auto"/>
        <w:jc w:val="center"/>
        <w:rPr>
          <w:rFonts w:ascii="Arial" w:hAnsi="Arial" w:cs="Arial"/>
        </w:rPr>
      </w:pPr>
      <w:r w:rsidRPr="007944FA">
        <w:rPr>
          <w:noProof/>
          <w:lang w:eastAsia="sl-SI"/>
        </w:rPr>
        <w:drawing>
          <wp:inline distT="0" distB="0" distL="0" distR="0" wp14:anchorId="3E94B429" wp14:editId="69D0595E">
            <wp:extent cx="4295775" cy="3996355"/>
            <wp:effectExtent l="0" t="0" r="0" b="4445"/>
            <wp:docPr id="584340452" name="Slika 584340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4308167" cy="4007883"/>
                    </a:xfrm>
                    <a:prstGeom prst="rect">
                      <a:avLst/>
                    </a:prstGeom>
                  </pic:spPr>
                </pic:pic>
              </a:graphicData>
            </a:graphic>
          </wp:inline>
        </w:drawing>
      </w:r>
    </w:p>
    <w:p w14:paraId="62CC7CF6" w14:textId="65B43D88" w:rsidR="00DD1BEB" w:rsidRPr="007944FA" w:rsidRDefault="00DD1BEB" w:rsidP="0091142E">
      <w:pPr>
        <w:pStyle w:val="NIKASLIKE"/>
      </w:pPr>
      <w:bookmarkStart w:id="195" w:name="_Toc193194013"/>
      <w:r w:rsidRPr="007944FA">
        <w:t>Slika 40: Shematični prikaz zaporedja korakov pri izdelavi ocene ranljivosti in tveganja (Smithers in Dworak, 2023)</w:t>
      </w:r>
      <w:bookmarkEnd w:id="195"/>
    </w:p>
    <w:p w14:paraId="4F6C8539"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V pripravo ocen ranljivosti in tveganj je s podatki in podnebnimi projekcijami močno vpeta tudi ARSO. Pripravi sektorskih ocen podnebne ranljivosti in tveganj v letu 2025 bo v letu 2026 sledila širša javna razprava na temo določanja usmeritev in ciljev prilagajanja.</w:t>
      </w:r>
    </w:p>
    <w:p w14:paraId="539A93BD" w14:textId="41483B70" w:rsidR="00DD1BEB" w:rsidRPr="007944FA" w:rsidRDefault="00DD1BEB" w:rsidP="00263D80">
      <w:pPr>
        <w:spacing w:line="257" w:lineRule="auto"/>
        <w:jc w:val="both"/>
        <w:rPr>
          <w:rFonts w:ascii="Arial" w:hAnsi="Arial" w:cs="Arial"/>
        </w:rPr>
      </w:pPr>
      <w:r w:rsidRPr="007944FA">
        <w:rPr>
          <w:rFonts w:ascii="Arial" w:eastAsia="Calibri" w:hAnsi="Arial" w:cs="Arial"/>
        </w:rPr>
        <w:lastRenderedPageBreak/>
        <w:t>Nacionalni strategiji prilagajanja bosta nato sledila še priprava in sprejetje 12 regionalnih akcijskih načrtov prilagajanja podnebnim spremembam, ki bodo pomagali prepoznati potrebne naložbe in druge ukrepe za povečanje odpornosti določene regije. MOPE je v sodelovanju z Ministrstvom za kohezijo in regionalni razvoj Republike Slovenije naročilo dvoletni ciljni raziskovalni projekt Ranljivost na podnebne spremembe in prilagajanje nanje v razvojnih regijah. Izhodiščna stanja posameznih slovenskih razvojnih regij na področju podnebnih sprememb, na podlagi katerih bi bilo mogoče oblikovati ustrezne ukrepe prilagajanja podnebnim spremembam, namreč niso znana in sistematično opredeljena. Naloga obravnava naslednja vprašanja:</w:t>
      </w:r>
    </w:p>
    <w:p w14:paraId="6C22990B" w14:textId="2F2F6879" w:rsidR="00DD1BEB" w:rsidRPr="007944FA" w:rsidRDefault="00DD1BEB" w:rsidP="00DD1BEB">
      <w:pPr>
        <w:spacing w:line="257" w:lineRule="auto"/>
        <w:jc w:val="both"/>
        <w:rPr>
          <w:rFonts w:ascii="Arial" w:hAnsi="Arial" w:cs="Arial"/>
        </w:rPr>
      </w:pPr>
      <w:r w:rsidRPr="007944FA">
        <w:rPr>
          <w:rFonts w:ascii="Arial" w:eastAsia="Calibri" w:hAnsi="Arial" w:cs="Arial"/>
        </w:rPr>
        <w:t>1.</w:t>
      </w:r>
      <w:r w:rsidRPr="007944FA">
        <w:rPr>
          <w:rFonts w:ascii="Arial" w:hAnsi="Arial" w:cs="Arial"/>
        </w:rPr>
        <w:t xml:space="preserve"> </w:t>
      </w:r>
      <w:r w:rsidRPr="007944FA">
        <w:rPr>
          <w:rFonts w:ascii="Arial" w:eastAsia="Calibri" w:hAnsi="Arial" w:cs="Arial"/>
        </w:rPr>
        <w:t>Katere so in bodo za posamezno regijo bolj ali manj specifične posledice podnebnih sprememb?</w:t>
      </w:r>
    </w:p>
    <w:p w14:paraId="06561D9B" w14:textId="2EAFE8D3" w:rsidR="00DD1BEB" w:rsidRPr="007944FA" w:rsidRDefault="00DD1BEB" w:rsidP="00DD1BEB">
      <w:pPr>
        <w:spacing w:line="257" w:lineRule="auto"/>
        <w:jc w:val="both"/>
        <w:rPr>
          <w:rFonts w:ascii="Arial" w:hAnsi="Arial" w:cs="Arial"/>
        </w:rPr>
      </w:pPr>
      <w:r w:rsidRPr="007944FA">
        <w:rPr>
          <w:rFonts w:ascii="Arial" w:eastAsia="Calibri" w:hAnsi="Arial" w:cs="Arial"/>
        </w:rPr>
        <w:t>2.</w:t>
      </w:r>
      <w:r w:rsidRPr="007944FA">
        <w:rPr>
          <w:rFonts w:ascii="Arial" w:hAnsi="Arial" w:cs="Arial"/>
        </w:rPr>
        <w:t xml:space="preserve"> </w:t>
      </w:r>
      <w:r w:rsidRPr="007944FA">
        <w:rPr>
          <w:rFonts w:ascii="Arial" w:eastAsia="Calibri" w:hAnsi="Arial" w:cs="Arial"/>
        </w:rPr>
        <w:t>Na katere sektorje imajo in bodo imele identificirane posledice podnebnih sprememb v regiji največje vplive (opredelitev podnebnih tveganj in ranljivosti za vsako slovensko razvojno regijo)?</w:t>
      </w:r>
    </w:p>
    <w:p w14:paraId="30BA7849" w14:textId="2E0FE667" w:rsidR="00DD1BEB" w:rsidRPr="007944FA" w:rsidRDefault="00DD1BEB" w:rsidP="00DD1BEB">
      <w:pPr>
        <w:spacing w:line="257" w:lineRule="auto"/>
        <w:jc w:val="both"/>
        <w:rPr>
          <w:rFonts w:ascii="Arial" w:hAnsi="Arial" w:cs="Arial"/>
        </w:rPr>
      </w:pPr>
      <w:r w:rsidRPr="007944FA">
        <w:rPr>
          <w:rFonts w:ascii="Arial" w:eastAsia="Calibri" w:hAnsi="Arial" w:cs="Arial"/>
        </w:rPr>
        <w:t>3.</w:t>
      </w:r>
      <w:r w:rsidRPr="007944FA">
        <w:rPr>
          <w:rFonts w:ascii="Arial" w:hAnsi="Arial" w:cs="Arial"/>
        </w:rPr>
        <w:t xml:space="preserve"> </w:t>
      </w:r>
      <w:r w:rsidRPr="007944FA">
        <w:rPr>
          <w:rFonts w:ascii="Arial" w:eastAsia="Calibri" w:hAnsi="Arial" w:cs="Arial"/>
        </w:rPr>
        <w:t>Kakšna je stopnja ozaveščenosti in znanja na področju prilagajanja podnebnim spremembam med nosilci regionalnega razvoja na regionalni ravni (RRA, člani razvojnih svetov regij in svetov regij, izbrani regijski odbori) in nosilci lokalnega razvoja (župani, občinske uprave)?</w:t>
      </w:r>
    </w:p>
    <w:p w14:paraId="7CA54C1A" w14:textId="3BBC3DD5" w:rsidR="00DD1BEB" w:rsidRPr="007944FA" w:rsidRDefault="00DD1BEB" w:rsidP="00DD1BEB">
      <w:pPr>
        <w:jc w:val="both"/>
        <w:rPr>
          <w:rFonts w:ascii="Arial" w:eastAsia="Calibri" w:hAnsi="Arial" w:cs="Arial"/>
        </w:rPr>
      </w:pPr>
      <w:r w:rsidRPr="007944FA">
        <w:rPr>
          <w:rFonts w:ascii="Arial" w:eastAsia="Calibri" w:hAnsi="Arial" w:cs="Arial"/>
        </w:rPr>
        <w:t>Prilagajanje podnebnim spremembam se vedno pogosteje vključuje tudi v sektorske dokumente. Ministrstvo za naravne vire in prostor Republike Slovenije</w:t>
      </w:r>
      <w:r w:rsidR="00EF35F6" w:rsidRPr="007944FA">
        <w:rPr>
          <w:rFonts w:ascii="Arial" w:eastAsia="Calibri" w:hAnsi="Arial" w:cs="Arial"/>
        </w:rPr>
        <w:t xml:space="preserve"> (MNVP)</w:t>
      </w:r>
      <w:r w:rsidRPr="007944FA">
        <w:rPr>
          <w:rFonts w:ascii="Arial" w:eastAsia="Calibri" w:hAnsi="Arial" w:cs="Arial"/>
        </w:rPr>
        <w:t xml:space="preserve"> je na primer pripravilo predlog Načrta za izvajanje Strategije prostorskega razvoja Slovenije. Načrt vsebuje nabor aktivnosti, ki izhajajo iz dolgoročnih ciljev in prednostnih nalog strategije. Ena od prednostnih nalog strategije je tudi krepitev odpornosti naselij na podnebne spremembe. Podnebne spremembe, njihove posledice in prilagajanje nanje so eden ključnih izzivov tako prostorskega načrtovanja kot izvajanja dejavnosti v prostoru. Izvedba načrtovanih aktivnosti bo okrepila odpornost naselij proti podnebnim spremembam, spodbujala ohranjanje kulturne dediščine ter povečala njihovo privlačnost in kakovost bivanja. Načrt za izvajanje strategije obravnava upravljanje padavinskih voda, zagotavljanje zadostnih, povezanih in kakovostnih zelenih površin, blaženje toplotnih otokov v naseljih ter druge podobne tematike in podaja nabor aktivnosti za zagotavljanje varnosti naselij pred nevarnostmi, ki izhajajo iz podnebnih sprememb, ter oskrbo naselij s pitno vodo. Izvedba analiz, priprava predpisov, smernic, priporočil in standardov za projektiranje objektov in načrtovanje urejanja prostora ter na njihovi podlagi izvedena izobraževanja bodo prispeval</w:t>
      </w:r>
      <w:r w:rsidR="0023796D" w:rsidRPr="007944FA">
        <w:rPr>
          <w:rFonts w:ascii="Arial" w:eastAsia="Calibri" w:hAnsi="Arial" w:cs="Arial"/>
        </w:rPr>
        <w:t>i</w:t>
      </w:r>
      <w:r w:rsidRPr="007944FA">
        <w:rPr>
          <w:rFonts w:ascii="Arial" w:eastAsia="Calibri" w:hAnsi="Arial" w:cs="Arial"/>
        </w:rPr>
        <w:t xml:space="preserve"> k učinkoviti uporabi naravnih virov in krepitvi odpornosti. Poseben poudarek je dan izboljšanju modeliranja poplavnih, erozijskih in plazljivih območij, ki so temelj smotrnega in učinkovitega prostorskega načrtovanja, ter izboljšanju upravljanja in trajnostne rabe vodnih virov.</w:t>
      </w:r>
    </w:p>
    <w:p w14:paraId="3213D7E9" w14:textId="3F7E3B1A" w:rsidR="00263D80" w:rsidRPr="007944FA" w:rsidRDefault="00EF35F6" w:rsidP="00263D80">
      <w:pPr>
        <w:spacing w:line="257" w:lineRule="auto"/>
        <w:jc w:val="both"/>
        <w:rPr>
          <w:rFonts w:ascii="Arial" w:hAnsi="Arial" w:cs="Arial"/>
        </w:rPr>
      </w:pPr>
      <w:r w:rsidRPr="007944FA">
        <w:rPr>
          <w:rFonts w:ascii="Arial" w:eastAsia="Calibri" w:hAnsi="Arial" w:cs="Arial"/>
        </w:rPr>
        <w:t>MNVP</w:t>
      </w:r>
      <w:r w:rsidR="00DD1BEB" w:rsidRPr="007944FA">
        <w:rPr>
          <w:rFonts w:ascii="Arial" w:eastAsia="Calibri" w:hAnsi="Arial" w:cs="Arial"/>
        </w:rPr>
        <w:t xml:space="preserve"> je pripravilo osnutek Uredbe o pogojih in omejitvah za poseganje v prostor in izvajanje dejavnosti na območjih, ogroženih zaradi poplav in z njimi povezane erozije celinskih voda in morja (poplavna uredba), dokument Predhodna ocena poplavne ogroženosti Republike Slovenije 2024 skupaj s posodobljenim predlogom oz</w:t>
      </w:r>
      <w:r w:rsidR="00DD1BEB" w:rsidRPr="007944FA">
        <w:rPr>
          <w:rFonts w:ascii="Arial" w:eastAsia="Palatino Linotype" w:hAnsi="Arial" w:cs="Arial"/>
        </w:rPr>
        <w:t>iroma</w:t>
      </w:r>
      <w:r w:rsidR="00DD1BEB" w:rsidRPr="007944FA">
        <w:rPr>
          <w:rFonts w:ascii="Arial" w:eastAsia="Calibri" w:hAnsi="Arial" w:cs="Arial"/>
        </w:rPr>
        <w:t xml:space="preserve"> naborom območij pomembnega vpliva poplav ter ustanovilo strokovno recenzijsko komisijo, ki bo pregledala usklajenost poplavnih kart s predpisi ter strokovno pregledala, nadzorovala in potrjevala karte poplavne nevarnosti in njihovih razredov v primerih, ko izdelovalci kart ne soglašajo s pripombami zunanjih recenzentov.</w:t>
      </w:r>
    </w:p>
    <w:p w14:paraId="766DB46D" w14:textId="2A29A007" w:rsidR="006E07EE" w:rsidRPr="007944FA" w:rsidRDefault="006E07EE" w:rsidP="000F19F4">
      <w:pPr>
        <w:pStyle w:val="Heading2"/>
      </w:pPr>
      <w:bookmarkStart w:id="196" w:name="_Toc196300842"/>
      <w:r w:rsidRPr="007944FA">
        <w:lastRenderedPageBreak/>
        <w:t>III.E. Napredek pri izvajanju prilagajanja</w:t>
      </w:r>
      <w:bookmarkEnd w:id="196"/>
    </w:p>
    <w:p w14:paraId="426E4DCC"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Style w:val="Strong"/>
          <w:rFonts w:ascii="Arial" w:eastAsiaTheme="majorEastAsia" w:hAnsi="Arial" w:cs="Arial"/>
          <w:b w:val="0"/>
          <w:bCs w:val="0"/>
          <w:sz w:val="20"/>
          <w:szCs w:val="20"/>
        </w:rPr>
        <w:t>110</w:t>
      </w:r>
      <w:r w:rsidRPr="007944FA">
        <w:rPr>
          <w:rStyle w:val="Strong"/>
          <w:rFonts w:ascii="Arial" w:eastAsiaTheme="majorEastAsia" w:hAnsi="Arial" w:cs="Arial"/>
          <w:sz w:val="20"/>
          <w:szCs w:val="20"/>
        </w:rPr>
        <w:t>.</w:t>
      </w:r>
      <w:r w:rsidRPr="007944FA">
        <w:rPr>
          <w:rFonts w:ascii="Arial" w:hAnsi="Arial" w:cs="Arial"/>
          <w:b/>
          <w:bCs/>
          <w:sz w:val="20"/>
          <w:szCs w:val="20"/>
        </w:rPr>
        <w:t xml:space="preserve"> </w:t>
      </w:r>
      <w:r w:rsidRPr="007944FA">
        <w:rPr>
          <w:rFonts w:ascii="Arial" w:hAnsi="Arial" w:cs="Arial"/>
          <w:sz w:val="20"/>
          <w:szCs w:val="20"/>
        </w:rPr>
        <w:t>Vsaka pogodbenica bi morala, kjer je primerno, zagotoviti naslednje informacije o napredku pri:</w:t>
      </w:r>
    </w:p>
    <w:p w14:paraId="1CAB549E"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Fonts w:ascii="Arial" w:hAnsi="Arial" w:cs="Arial"/>
          <w:sz w:val="20"/>
          <w:szCs w:val="20"/>
        </w:rPr>
        <w:t xml:space="preserve">a) </w:t>
      </w:r>
      <w:r w:rsidRPr="007944FA">
        <w:rPr>
          <w:rStyle w:val="Strong"/>
          <w:rFonts w:ascii="Arial" w:eastAsiaTheme="majorEastAsia" w:hAnsi="Arial" w:cs="Arial"/>
          <w:b w:val="0"/>
          <w:bCs w:val="0"/>
          <w:sz w:val="20"/>
          <w:szCs w:val="20"/>
        </w:rPr>
        <w:t>izvajanju ukrepov, opredeljenih v poglavju IV.Dj;</w:t>
      </w:r>
      <w:r w:rsidRPr="007944FA">
        <w:rPr>
          <w:rFonts w:ascii="Arial" w:hAnsi="Arial" w:cs="Arial"/>
          <w:sz w:val="20"/>
          <w:szCs w:val="20"/>
        </w:rPr>
        <w:t xml:space="preserve"> </w:t>
      </w:r>
    </w:p>
    <w:p w14:paraId="73D9EC24"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b/>
          <w:bCs/>
          <w:sz w:val="20"/>
          <w:szCs w:val="20"/>
        </w:rPr>
      </w:pPr>
      <w:r w:rsidRPr="007944FA">
        <w:rPr>
          <w:rFonts w:ascii="Arial" w:hAnsi="Arial" w:cs="Arial"/>
          <w:sz w:val="20"/>
          <w:szCs w:val="20"/>
        </w:rPr>
        <w:t xml:space="preserve">b) </w:t>
      </w:r>
      <w:r w:rsidRPr="007944FA">
        <w:rPr>
          <w:rStyle w:val="Strong"/>
          <w:rFonts w:ascii="Arial" w:eastAsiaTheme="majorEastAsia" w:hAnsi="Arial" w:cs="Arial"/>
          <w:b w:val="0"/>
          <w:bCs w:val="0"/>
          <w:sz w:val="20"/>
          <w:szCs w:val="20"/>
        </w:rPr>
        <w:t>korakih, sprejetih za oblikovanje, izvajanje, objavo in posodobitev nacionalnih in regionalnih programov, strategij in ukrepov, političnih okvirov</w:t>
      </w:r>
      <w:r w:rsidRPr="007944FA">
        <w:rPr>
          <w:rFonts w:ascii="Arial" w:hAnsi="Arial" w:cs="Arial"/>
          <w:sz w:val="20"/>
          <w:szCs w:val="20"/>
        </w:rPr>
        <w:t xml:space="preserve"> (na primer nacionalni načrti prilagajanja) </w:t>
      </w:r>
      <w:r w:rsidRPr="007944FA">
        <w:rPr>
          <w:rStyle w:val="Strong"/>
          <w:rFonts w:ascii="Arial" w:eastAsiaTheme="majorEastAsia" w:hAnsi="Arial" w:cs="Arial"/>
          <w:b w:val="0"/>
          <w:bCs w:val="0"/>
          <w:sz w:val="20"/>
          <w:szCs w:val="20"/>
        </w:rPr>
        <w:t>ter drugih pomembnih informacij;</w:t>
      </w:r>
      <w:r w:rsidRPr="007944FA">
        <w:rPr>
          <w:rFonts w:ascii="Arial" w:hAnsi="Arial" w:cs="Arial"/>
          <w:b/>
          <w:bCs/>
          <w:sz w:val="20"/>
          <w:szCs w:val="20"/>
        </w:rPr>
        <w:t xml:space="preserve"> </w:t>
      </w:r>
    </w:p>
    <w:p w14:paraId="0A450A81"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Fonts w:ascii="Arial" w:hAnsi="Arial" w:cs="Arial"/>
          <w:sz w:val="20"/>
          <w:szCs w:val="20"/>
        </w:rPr>
        <w:t xml:space="preserve">c) </w:t>
      </w:r>
      <w:r w:rsidRPr="007944FA">
        <w:rPr>
          <w:rStyle w:val="Strong"/>
          <w:rFonts w:ascii="Arial" w:eastAsiaTheme="majorEastAsia" w:hAnsi="Arial" w:cs="Arial"/>
          <w:b w:val="0"/>
          <w:bCs w:val="0"/>
          <w:sz w:val="20"/>
          <w:szCs w:val="20"/>
        </w:rPr>
        <w:t>izvajanju ukrepov prilagajanja, opredeljenih v sedanjih in preteklih komunikacijah o prilagajanju</w:t>
      </w:r>
      <w:r w:rsidRPr="007944FA">
        <w:rPr>
          <w:rFonts w:ascii="Arial" w:hAnsi="Arial" w:cs="Arial"/>
          <w:b/>
          <w:bCs/>
          <w:sz w:val="20"/>
          <w:szCs w:val="20"/>
        </w:rPr>
        <w:t>,</w:t>
      </w:r>
      <w:r w:rsidRPr="007944FA">
        <w:rPr>
          <w:rFonts w:ascii="Arial" w:hAnsi="Arial" w:cs="Arial"/>
          <w:sz w:val="20"/>
          <w:szCs w:val="20"/>
        </w:rPr>
        <w:t xml:space="preserve"> vključno s prizadevanji za izpolnjevanje potreb po prilagajanju, kjer je to primerno;</w:t>
      </w:r>
    </w:p>
    <w:p w14:paraId="15B0C039"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Fonts w:ascii="Arial" w:hAnsi="Arial" w:cs="Arial"/>
          <w:sz w:val="20"/>
          <w:szCs w:val="20"/>
        </w:rPr>
        <w:t xml:space="preserve">d) </w:t>
      </w:r>
      <w:r w:rsidRPr="007944FA">
        <w:rPr>
          <w:rStyle w:val="Strong"/>
          <w:rFonts w:ascii="Arial" w:eastAsiaTheme="majorEastAsia" w:hAnsi="Arial" w:cs="Arial"/>
          <w:b w:val="0"/>
          <w:bCs w:val="0"/>
          <w:sz w:val="20"/>
          <w:szCs w:val="20"/>
        </w:rPr>
        <w:t>izvajanju ukrepov prilagajanja, opredeljenih v prilagoditveni komponenti NDC</w:t>
      </w:r>
      <w:r w:rsidRPr="007944FA">
        <w:rPr>
          <w:rFonts w:ascii="Arial" w:hAnsi="Arial" w:cs="Arial"/>
          <w:sz w:val="20"/>
          <w:szCs w:val="20"/>
        </w:rPr>
        <w:t>, kjer je to ustrezno;</w:t>
      </w:r>
    </w:p>
    <w:p w14:paraId="38CAF784"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Fonts w:ascii="Arial" w:hAnsi="Arial" w:cs="Arial"/>
          <w:sz w:val="20"/>
          <w:szCs w:val="20"/>
        </w:rPr>
        <w:t xml:space="preserve">e) </w:t>
      </w:r>
      <w:r w:rsidRPr="007944FA">
        <w:rPr>
          <w:rStyle w:val="Strong"/>
          <w:rFonts w:ascii="Arial" w:eastAsiaTheme="majorEastAsia" w:hAnsi="Arial" w:cs="Arial"/>
          <w:b w:val="0"/>
          <w:bCs w:val="0"/>
          <w:sz w:val="20"/>
          <w:szCs w:val="20"/>
        </w:rPr>
        <w:t>koordinacijskih dejavnostih ter spremembah predpisov, politik in načrtovanja.</w:t>
      </w:r>
    </w:p>
    <w:p w14:paraId="5D864E41"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F2F2F2" w:themeFill="background1" w:themeFillShade="F2"/>
        <w:contextualSpacing/>
        <w:jc w:val="both"/>
        <w:rPr>
          <w:rFonts w:ascii="Arial" w:hAnsi="Arial" w:cs="Arial"/>
          <w:sz w:val="20"/>
          <w:szCs w:val="20"/>
        </w:rPr>
      </w:pPr>
      <w:r w:rsidRPr="007944FA">
        <w:rPr>
          <w:rStyle w:val="Strong"/>
          <w:rFonts w:ascii="Arial" w:eastAsiaTheme="majorEastAsia" w:hAnsi="Arial" w:cs="Arial"/>
          <w:b w:val="0"/>
          <w:bCs w:val="0"/>
          <w:sz w:val="20"/>
          <w:szCs w:val="20"/>
        </w:rPr>
        <w:t>111</w:t>
      </w:r>
      <w:r w:rsidRPr="007944FA">
        <w:rPr>
          <w:rStyle w:val="Strong"/>
          <w:rFonts w:ascii="Arial" w:eastAsiaTheme="majorEastAsia" w:hAnsi="Arial" w:cs="Arial"/>
          <w:sz w:val="20"/>
          <w:szCs w:val="20"/>
        </w:rPr>
        <w:t>.</w:t>
      </w:r>
      <w:r w:rsidRPr="007944FA">
        <w:rPr>
          <w:rFonts w:ascii="Arial" w:hAnsi="Arial" w:cs="Arial"/>
          <w:b/>
          <w:bCs/>
          <w:sz w:val="20"/>
          <w:szCs w:val="20"/>
        </w:rPr>
        <w:t xml:space="preserve"> </w:t>
      </w:r>
      <w:r w:rsidRPr="007944FA">
        <w:rPr>
          <w:rFonts w:ascii="Arial" w:hAnsi="Arial" w:cs="Arial"/>
          <w:sz w:val="20"/>
          <w:szCs w:val="20"/>
        </w:rPr>
        <w:t>Pogodbenice iz držav v razvoju lahko po potrebi vključijo tudi informacije o izvajanju podprtih ukrepov prilagajanja in učinkovitosti že izvedenih ukrepov prilagajanja.</w:t>
      </w:r>
    </w:p>
    <w:p w14:paraId="04750283" w14:textId="77777777"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Za financiranje ukrepov blaženja podnebnih sprememb in prilagajanja nanje je Slovenija vzpostavila Sklad za podnebne spremembe. Poraba sredstev sklada se načrtuje v Odloku o Programu porabe sredstev Sklada za podnebne spremembe, zadnji veljavni odlok velja za obdobje 2023–2026. V letu 2022 je bilo sicer iz Sklada za podnebne spremembe od skupno dobrih 182 milijonov evrov 23 milijonov porabljenih za prilagajanje. V letu 2023 pa je bilo od skupno dobrih 154 milijonov evrov namenjenih 19 milijonov za prilagajanje. Podnebni sklad je v upravljanju MOPE, ki v veljavnem odloku namenja do 270 milijonov evrov sredstev za prilagajanje podnebnim spremembam.</w:t>
      </w:r>
      <w:r w:rsidRPr="007944FA">
        <w:rPr>
          <w:rStyle w:val="FootnoteReference"/>
          <w:rFonts w:ascii="Arial" w:eastAsia="Calibri" w:hAnsi="Arial" w:cs="Arial"/>
        </w:rPr>
        <w:footnoteReference w:id="118"/>
      </w:r>
      <w:r w:rsidRPr="007944FA">
        <w:rPr>
          <w:rFonts w:ascii="Arial" w:eastAsia="Calibri" w:hAnsi="Arial" w:cs="Arial"/>
        </w:rPr>
        <w:t xml:space="preserve"> </w:t>
      </w:r>
    </w:p>
    <w:p w14:paraId="17EE087A"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Maja 2024 je Vlada Republike Slovenije sprejela petletni sanacijski program, vreden 2,33 milijarde evrov; več kot polovica tega zneska – to je kar 1,36 milijarde evrov – bo namenjenega sanaciji poškodovanih vodotokov in vodne infrastrukture po poplavah leta 2023. S sanacijo se struge in brežine povrnejo v ustrezno funkcionalno stanje ob upoštevanju podnebnih sprememb in z na naravi temelječimi rešitvami, kjer je to smiselno in mogoče. Namen sanacije je zagotoviti odpornejše rešitve in zmanjšati škodo v primeru ponovitve podobnih dogodkov, hkrati pa varovati biotsko raznovrstnost ob vodotokih in v njih.</w:t>
      </w:r>
    </w:p>
    <w:p w14:paraId="21C7DC3B" w14:textId="32089F60"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Na področju izboljšanja protipožarne varnosti je </w:t>
      </w:r>
      <w:r w:rsidR="00465193" w:rsidRPr="007944FA">
        <w:rPr>
          <w:rFonts w:ascii="Arial" w:eastAsia="Calibri" w:hAnsi="Arial" w:cs="Arial"/>
        </w:rPr>
        <w:t xml:space="preserve">MKGP </w:t>
      </w:r>
      <w:r w:rsidRPr="007944FA">
        <w:rPr>
          <w:rFonts w:ascii="Arial" w:eastAsia="Calibri" w:hAnsi="Arial" w:cs="Arial"/>
        </w:rPr>
        <w:t>že v okviru Programa razvoja podeželja Republike Slovenije za obdobje 2014–2020 zagotovilo 2,8 milijona evrov nepovratnih sredstev, ki omogočajo 100-odstotno financiranje upravičenih stroškov za projekte, namenjene izboljšanju protipožarne varnosti. Doslej so bili izvedeni številni ukrepi, med drugim gradnja 2,4 km protipožarnih gozdnih cest, 1,6 km protipožarnih poti in namestitev štirih hidrantov. Kljub tem dosežkom ostaja še veliko dela, saj potekajo številni novi projekti, kot so izgradnja 1,2 km protipožarnih gozdnih cest, 40,4 km protipožarnih poti, štirih prostorov za izvenletališko pristajanje helikopterjev, 31 hidrantov, poleg tega bo rekonstruiranih še 12,5 km protipožarnih poti ter protipožarno vzdrževanih 30,5 km protipožarnih poti.</w:t>
      </w:r>
    </w:p>
    <w:p w14:paraId="0B5887D9"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V pomoč regijam in občinam pri dolgoročni krepitvi podnebne odpornosti je MOPE skupaj s Skupnostjo občin Slovenije jeseni 2024 vzpostavilo Podnebno pisarno. Med pomembnejšimi cilji javno-javnega partnerstva je krepitev zmogljivosti občinskih uprav, ki bodo po zaslugi Podnebne pisarne bolje opremljene za načrtovanje prilagoditvenih ukrepov, kot sta usmerjanje poselitve stran od ogroženih območij in povečanje odpornosti infrastrukture proti poplavam, vročinskim valovom in drugim vremenskim ekstremom. Projekt bo omogočil tudi aktivno obveščanje občin o nacionalnih in evropskih ukrepih za podporo prilagajanju, s čimer se bo izboljšala pripravljenost občin na izvajanje ukrepov na lokalni ravni.</w:t>
      </w:r>
    </w:p>
    <w:p w14:paraId="5E603D16"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lastRenderedPageBreak/>
        <w:t>Sočasno s sprejemanjem podnebnega zakona in pripravo nove nacionalne strategije prilagajanja Slovenija začenja ambiciozen sedemletni LIFE strateški projekt LIFE4ADAPT. S projektom, vrednim 26,6 milijona evrov, od katerih 14,2 milijona evrov prispeva Evropska unija, bo država razvijala rešitve za učinkovito prilagajanje na vse pogostejše ekstremne vremenske pojave in dolgoročne okoljske spremembe. V času projekta bodo projektni partnerji tesno sodelovali s ključnimi deležniki, od občin in regij do gospodarstva in civilne družbe. Projekt obeta tudi okrepitev medresorskega sodelovanja za usklajenost politik in ukrepov na področju prilagajanja, vključno s srečanji strokovnih delovnih skupin in visokih predstavnikov države ter lokalnih oblasti.</w:t>
      </w:r>
    </w:p>
    <w:p w14:paraId="2D146A1B"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Med pomembnejše rezultate projekta LIFE4ADAPT spada tudi vzpostavitev nacionalnega centra za podnebne analize in projekcije na Agenciji Republike Slovenije za okolje, ki bo zagotavljal ažurne podatke in usmeritve za prilagajanje na podnebne spremembe ter podpiral občine, regije in različne sektorje.</w:t>
      </w:r>
    </w:p>
    <w:p w14:paraId="033763FB"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V okviru projekta bo konzorcij partnerjev izvedel tudi 14 pilotnih projektov, katerih rezultati bodo služili kot vzorčni primeri dobre prakse za nadaljnje širjenje po vsej Sloveniji, in sicer z namenom zaščite biodiverzitete, zmanjšanja tveganj zaradi podnebnih ekstremov in izboljšanja kakovosti življenja v skupnostih.</w:t>
      </w:r>
    </w:p>
    <w:p w14:paraId="7F03434F"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Univerza v Ljubljani bo v okviru projekta razvila in izvedla izobraževalne programe za učitelje, študente, strokovnjake, praktične izvajalce v najbolj prizadetih sektorjih in javno upravo. Poudarek bo na usposabljanju učiteljev in odločevalcev ter prenosu znanja v prakso. </w:t>
      </w:r>
    </w:p>
    <w:p w14:paraId="3B3A3792" w14:textId="77777777" w:rsidR="00DD1BEB" w:rsidRPr="007944FA" w:rsidRDefault="00DD1BEB" w:rsidP="00DD1BEB">
      <w:pPr>
        <w:spacing w:line="257" w:lineRule="auto"/>
        <w:jc w:val="both"/>
        <w:rPr>
          <w:rFonts w:ascii="Arial" w:eastAsia="Calibri" w:hAnsi="Arial" w:cs="Arial"/>
        </w:rPr>
      </w:pPr>
      <w:r w:rsidRPr="007944FA">
        <w:rPr>
          <w:rFonts w:ascii="Arial" w:eastAsia="Calibri" w:hAnsi="Arial" w:cs="Arial"/>
        </w:rPr>
        <w:t>Slovenija s projektom LIFE4ADAPT dobiva tudi enotni podnebni portal, ki bo odslej poleg informacij o blaženju podnebnih sprememb vseboval tudi informacije in orodja za prilagajanje nanje. Portal Samo1planet bo tako postal osrednje stičišče znanja in izmenjave dobrih praks na področju podnebne odpornosti.</w:t>
      </w:r>
    </w:p>
    <w:p w14:paraId="53100F59" w14:textId="77777777" w:rsidR="00DD1BEB" w:rsidRPr="007944FA" w:rsidRDefault="00DD1BEB" w:rsidP="00DD1BEB"/>
    <w:p w14:paraId="25285B7D" w14:textId="4D05744C" w:rsidR="006E07EE" w:rsidRPr="007944FA" w:rsidRDefault="006E07EE" w:rsidP="000F19F4">
      <w:pPr>
        <w:pStyle w:val="Heading2"/>
      </w:pPr>
      <w:bookmarkStart w:id="197" w:name="_Toc196300843"/>
      <w:r w:rsidRPr="007944FA">
        <w:lastRenderedPageBreak/>
        <w:t>III.F. Spremljanje in ocenjevanje ukrepov in procesov prilagajanja</w:t>
      </w:r>
      <w:bookmarkEnd w:id="197"/>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31"/>
      </w:tblGrid>
      <w:tr w:rsidR="00DD1BEB" w:rsidRPr="0093506F" w14:paraId="01A0F60E" w14:textId="77777777" w:rsidTr="00DD1BEB">
        <w:trPr>
          <w:trHeight w:val="5536"/>
        </w:trPr>
        <w:tc>
          <w:tcPr>
            <w:tcW w:w="8931" w:type="dxa"/>
            <w:shd w:val="clear" w:color="auto" w:fill="E8E8E8" w:themeFill="background2"/>
          </w:tcPr>
          <w:p w14:paraId="654B63D8"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b/>
                <w:bCs/>
                <w:sz w:val="20"/>
                <w:szCs w:val="20"/>
                <w:lang w:eastAsia="sl-SI"/>
              </w:rPr>
            </w:pPr>
            <w:r w:rsidRPr="007944FA">
              <w:rPr>
                <w:rFonts w:ascii="Arial" w:eastAsia="Times New Roman" w:hAnsi="Arial" w:cs="Arial"/>
                <w:sz w:val="20"/>
                <w:szCs w:val="20"/>
                <w:lang w:eastAsia="sl-SI"/>
              </w:rPr>
              <w:t>112</w:t>
            </w:r>
            <w:r w:rsidRPr="007944FA">
              <w:rPr>
                <w:rFonts w:ascii="Arial" w:eastAsia="Times New Roman" w:hAnsi="Arial" w:cs="Arial"/>
                <w:bCs/>
                <w:sz w:val="20"/>
                <w:szCs w:val="20"/>
                <w:lang w:eastAsia="sl-SI"/>
              </w:rPr>
              <w:t xml:space="preserve">. </w:t>
            </w:r>
            <w:r w:rsidRPr="007944FA">
              <w:rPr>
                <w:rFonts w:ascii="Arial" w:eastAsia="Times New Roman" w:hAnsi="Arial" w:cs="Arial"/>
                <w:sz w:val="20"/>
                <w:szCs w:val="20"/>
                <w:lang w:eastAsia="sl-SI"/>
              </w:rPr>
              <w:t>Za izboljšanje svojih ukrepov prilagajanja in olajšanje poročanja bi morala vsaka pogodbenica, kjer je to ustrezno, poročati o vzpostavitvi ali uporabi domačih sistemov za spremljanje in ocenjevanje izvajanja ukrepov prilagajanja. Pogodbenice bi morale poročati o načinih in sistemih za spremljanje in ocenjevanje, vključno s tistimi, ki so že vzpostavljeni ali v razvoju.</w:t>
            </w:r>
          </w:p>
          <w:p w14:paraId="18424650"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113.</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Vsaka pogodbenica bi morala, kjer je primerno, zagotoviti naslednje informacije v zvezi s spremljanjem in ocenjevanjem:</w:t>
            </w:r>
          </w:p>
          <w:p w14:paraId="419033AB"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a) dosežki, vplivi, odpornost, pregled, učinkovitost in rezultati; </w:t>
            </w:r>
          </w:p>
          <w:p w14:paraId="541B0155"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b) načini in uporabljeni sistemi ter njihovi rezultati;</w:t>
            </w:r>
          </w:p>
          <w:p w14:paraId="2B0F0E65" w14:textId="1C305DEF"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c) ocena in </w:t>
            </w:r>
            <w:r w:rsidR="007816B8" w:rsidRPr="007944FA">
              <w:rPr>
                <w:rFonts w:ascii="Arial" w:eastAsia="Times New Roman" w:hAnsi="Arial" w:cs="Arial"/>
                <w:sz w:val="20"/>
                <w:szCs w:val="20"/>
                <w:lang w:eastAsia="sl-SI"/>
              </w:rPr>
              <w:t>kazalci</w:t>
            </w:r>
            <w:r w:rsidRPr="007944FA">
              <w:rPr>
                <w:rFonts w:ascii="Arial" w:eastAsia="Times New Roman" w:hAnsi="Arial" w:cs="Arial"/>
                <w:sz w:val="20"/>
                <w:szCs w:val="20"/>
                <w:lang w:eastAsia="sl-SI"/>
              </w:rPr>
              <w:t xml:space="preserve"> za:</w:t>
            </w:r>
          </w:p>
          <w:p w14:paraId="7BA7FD79" w14:textId="77777777" w:rsidR="00DD1BEB" w:rsidRPr="007944FA" w:rsidRDefault="00DD1BEB" w:rsidP="0038553C">
            <w:pPr>
              <w:numPr>
                <w:ilvl w:val="0"/>
                <w:numId w:val="27"/>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kako je prilagajanje povečalo odpornost in zmanjšalo vplive;</w:t>
            </w:r>
          </w:p>
          <w:p w14:paraId="76B4016A" w14:textId="77777777" w:rsidR="00DD1BEB" w:rsidRPr="007944FA" w:rsidRDefault="00DD1BEB" w:rsidP="0038553C">
            <w:pPr>
              <w:numPr>
                <w:ilvl w:val="0"/>
                <w:numId w:val="27"/>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kdaj prilagajanje ni zadostno za preprečitev vplivov;</w:t>
            </w:r>
          </w:p>
          <w:p w14:paraId="72A74673" w14:textId="77777777" w:rsidR="00DD1BEB" w:rsidRPr="007944FA" w:rsidRDefault="00DD1BEB" w:rsidP="0038553C">
            <w:pPr>
              <w:numPr>
                <w:ilvl w:val="0"/>
                <w:numId w:val="27"/>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kako učinkoviti so izvedeni ukrepi prilagajanja;</w:t>
            </w:r>
          </w:p>
          <w:p w14:paraId="1646AF3A"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d) izvajanje, zlasti glede:</w:t>
            </w:r>
          </w:p>
          <w:p w14:paraId="30BD0AE1" w14:textId="77777777" w:rsidR="00DD1BEB" w:rsidRPr="007944FA" w:rsidRDefault="00DD1BEB" w:rsidP="0038553C">
            <w:pPr>
              <w:numPr>
                <w:ilvl w:val="0"/>
                <w:numId w:val="28"/>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preglednosti načrtovanja in izvajanja;</w:t>
            </w:r>
          </w:p>
          <w:p w14:paraId="5F57262A" w14:textId="77777777" w:rsidR="00DD1BEB" w:rsidRPr="007944FA" w:rsidRDefault="00DD1BEB" w:rsidP="0038553C">
            <w:pPr>
              <w:numPr>
                <w:ilvl w:val="0"/>
                <w:numId w:val="28"/>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kako podporni programi izpolnjujejo specifične ranljivosti in potrebe po prilagajanju;</w:t>
            </w:r>
          </w:p>
          <w:p w14:paraId="2D5FFD97" w14:textId="77777777" w:rsidR="00DD1BEB" w:rsidRPr="007944FA" w:rsidRDefault="00DD1BEB" w:rsidP="0038553C">
            <w:pPr>
              <w:numPr>
                <w:ilvl w:val="0"/>
                <w:numId w:val="28"/>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kako ukrepi prilagajanja vplivajo na druge razvojne cilje;</w:t>
            </w:r>
          </w:p>
          <w:p w14:paraId="569045A6" w14:textId="77777777" w:rsidR="00DD1BEB" w:rsidRPr="007944FA" w:rsidRDefault="00DD1BEB" w:rsidP="0038553C">
            <w:pPr>
              <w:numPr>
                <w:ilvl w:val="0"/>
                <w:numId w:val="28"/>
              </w:numPr>
              <w:spacing w:before="100" w:beforeAutospacing="1" w:after="100" w:afterAutospacing="1" w:line="240" w:lineRule="auto"/>
              <w:ind w:left="86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dobre prakse, izkušnje in pridobljene lekcije iz sprememb politik in predpisov, ukrepov in mehanizmov za koordinacijo.</w:t>
            </w:r>
          </w:p>
          <w:p w14:paraId="77CCC931"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114.</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Vsaka pogodbenica bi morala, kjer je primerno, zagotoviti informacije o učinkovitosti in trajnosti ukrepov prilagajanja, vključno z:</w:t>
            </w:r>
          </w:p>
          <w:p w14:paraId="064F5F7B"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a) lastništvom, vključevanjem deležnikov, usklajenostjo ukrepov prilagajanja z nacionalnimi in podnacionalnimi politikami ter možnostjo njihove ponovne uporabe; </w:t>
            </w:r>
          </w:p>
          <w:p w14:paraId="2E0E9CC5" w14:textId="77777777" w:rsidR="00DD1BEB" w:rsidRPr="007944FA" w:rsidRDefault="00DD1BEB" w:rsidP="006D46D8">
            <w:pPr>
              <w:spacing w:before="100" w:beforeAutospacing="1" w:after="100" w:afterAutospacing="1" w:line="240" w:lineRule="auto"/>
              <w:ind w:left="142"/>
              <w:contextualSpacing/>
              <w:jc w:val="both"/>
              <w:rPr>
                <w:rFonts w:ascii="Arial" w:eastAsia="Times New Roman" w:hAnsi="Arial" w:cs="Arial"/>
                <w:b/>
                <w:bCs/>
                <w:lang w:eastAsia="sl-SI"/>
              </w:rPr>
            </w:pPr>
            <w:r w:rsidRPr="007944FA">
              <w:rPr>
                <w:rFonts w:ascii="Arial" w:eastAsia="Times New Roman" w:hAnsi="Arial" w:cs="Arial"/>
                <w:sz w:val="20"/>
                <w:szCs w:val="20"/>
                <w:lang w:eastAsia="sl-SI"/>
              </w:rPr>
              <w:t>b) rezultati ukrepov prilagajanja in trajnostjo teh rezultatov.</w:t>
            </w:r>
          </w:p>
        </w:tc>
      </w:tr>
    </w:tbl>
    <w:p w14:paraId="170C2B50" w14:textId="77777777" w:rsidR="00DD1BEB" w:rsidRPr="007944FA" w:rsidRDefault="00DD1BEB" w:rsidP="00DD1BEB">
      <w:pPr>
        <w:spacing w:line="257" w:lineRule="auto"/>
        <w:jc w:val="both"/>
        <w:rPr>
          <w:rFonts w:ascii="Arial" w:eastAsia="Calibri" w:hAnsi="Arial" w:cs="Arial"/>
          <w:lang w:val="en-GB"/>
        </w:rPr>
      </w:pPr>
    </w:p>
    <w:p w14:paraId="0817DF4C" w14:textId="4D069020" w:rsidR="00002690" w:rsidRDefault="00002690" w:rsidP="00DD1BEB">
      <w:pPr>
        <w:pStyle w:val="Heading2"/>
        <w:jc w:val="both"/>
        <w:rPr>
          <w:rFonts w:ascii="Arial" w:eastAsia="Calibri" w:hAnsi="Arial" w:cs="Arial"/>
          <w:color w:val="auto"/>
          <w:sz w:val="22"/>
          <w:szCs w:val="22"/>
        </w:rPr>
      </w:pPr>
      <w:bookmarkStart w:id="198" w:name="_Toc192499433"/>
      <w:bookmarkStart w:id="199" w:name="_Toc196300844"/>
      <w:r w:rsidRPr="00002690">
        <w:rPr>
          <w:rFonts w:ascii="Arial" w:eastAsia="Calibri" w:hAnsi="Arial" w:cs="Arial"/>
          <w:color w:val="auto"/>
          <w:sz w:val="22"/>
          <w:szCs w:val="22"/>
        </w:rPr>
        <w:t xml:space="preserve">Slovenija še ni vzpostavila </w:t>
      </w:r>
      <w:r>
        <w:rPr>
          <w:rFonts w:ascii="Arial" w:eastAsia="Calibri" w:hAnsi="Arial" w:cs="Arial"/>
          <w:color w:val="auto"/>
          <w:sz w:val="22"/>
          <w:szCs w:val="22"/>
        </w:rPr>
        <w:t>nacionalnih</w:t>
      </w:r>
      <w:r w:rsidRPr="00002690">
        <w:rPr>
          <w:rFonts w:ascii="Arial" w:eastAsia="Calibri" w:hAnsi="Arial" w:cs="Arial"/>
          <w:color w:val="auto"/>
          <w:sz w:val="22"/>
          <w:szCs w:val="22"/>
        </w:rPr>
        <w:t xml:space="preserve"> sistemov za spremljanje in vrednotenje izvajanja ukrepov prilagajanja. </w:t>
      </w:r>
      <w:r>
        <w:rPr>
          <w:rFonts w:ascii="Arial" w:eastAsia="Calibri" w:hAnsi="Arial" w:cs="Arial"/>
          <w:color w:val="auto"/>
          <w:sz w:val="22"/>
          <w:szCs w:val="22"/>
        </w:rPr>
        <w:t>MOPE</w:t>
      </w:r>
      <w:r w:rsidRPr="00002690">
        <w:rPr>
          <w:rFonts w:ascii="Arial" w:eastAsia="Calibri" w:hAnsi="Arial" w:cs="Arial"/>
          <w:color w:val="auto"/>
          <w:sz w:val="22"/>
          <w:szCs w:val="22"/>
        </w:rPr>
        <w:t xml:space="preserve"> je že leta 2024 začelo s pripravo nove nacionalne strategije prilagajanja. V letu 2025 bodo izvedene sektorske ocene podnebne ranljivosti in tveganj za deset prednostnih sektorjev: upravljanje voda, varstvo narave, ohranjanje kulturne dediščine, kmetijstvo, gozdarstvo, energetika, infrastruktura in stavbe, javno zdravje, gospodarstvo ter naselja – mesta in druga urbana območja. V letu 2026 bodo sledili razvoj usklajenih usmeritev, določitev ciljev ter vzpostavitev kazalnikov uspešnosti.</w:t>
      </w:r>
    </w:p>
    <w:p w14:paraId="73AAEFD0" w14:textId="7E57C46F" w:rsidR="006E07EE" w:rsidRPr="007944FA" w:rsidRDefault="00DD1BEB" w:rsidP="00DD1BEB">
      <w:pPr>
        <w:pStyle w:val="Heading2"/>
        <w:jc w:val="both"/>
        <w:rPr>
          <w:b/>
          <w:bCs/>
        </w:rPr>
      </w:pPr>
      <w:r w:rsidRPr="007944FA">
        <w:rPr>
          <w:rStyle w:val="Strong"/>
          <w:b w:val="0"/>
          <w:bCs w:val="0"/>
        </w:rPr>
        <w:t>III.G Informacije v zvezi s preprečevanjem, zmanjševanjem in obravnavanjem izgube in škode, povezane z vplivi podnebnih sprememb</w:t>
      </w:r>
      <w:bookmarkEnd w:id="198"/>
      <w:bookmarkEnd w:id="199"/>
    </w:p>
    <w:p w14:paraId="6CDBC2BD"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Style w:val="Strong"/>
          <w:rFonts w:ascii="Arial" w:eastAsiaTheme="majorEastAsia" w:hAnsi="Arial" w:cs="Arial"/>
          <w:b w:val="0"/>
          <w:bCs w:val="0"/>
          <w:sz w:val="20"/>
          <w:szCs w:val="20"/>
        </w:rPr>
        <w:t>115</w:t>
      </w:r>
      <w:r w:rsidRPr="007944FA">
        <w:rPr>
          <w:rStyle w:val="Strong"/>
          <w:rFonts w:ascii="Arial" w:eastAsiaTheme="majorEastAsia" w:hAnsi="Arial" w:cs="Arial"/>
          <w:sz w:val="20"/>
          <w:szCs w:val="20"/>
        </w:rPr>
        <w:t>.</w:t>
      </w:r>
      <w:r w:rsidRPr="007944FA">
        <w:rPr>
          <w:rFonts w:ascii="Arial" w:hAnsi="Arial" w:cs="Arial"/>
          <w:sz w:val="20"/>
          <w:szCs w:val="20"/>
        </w:rPr>
        <w:t xml:space="preserve"> Vsaka zainteresirana pogodbenica lahko, kjer je to ustrezno, zagotovi informacije o izboljšanju razumevanja, ukrepov in podpore na sodelovalen in omogočitveni način, da bi preprečila, zmanjšala in obravnavala izgubo in škodo, povezano z vplivi podnebnih sprememb, pri čemer upošteva predvidene spremembe podnebnih tveganj, ranljivosti, prilagoditvenih zmogljivosti in izpostavljenosti, vključno z naslednjimi vidiki, kjer je to primerno:</w:t>
      </w:r>
    </w:p>
    <w:p w14:paraId="45CABBDB" w14:textId="5267B0A2"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a) </w:t>
      </w:r>
      <w:r w:rsidRPr="007944FA">
        <w:rPr>
          <w:rStyle w:val="Strong"/>
          <w:rFonts w:ascii="Arial" w:eastAsiaTheme="majorEastAsia" w:hAnsi="Arial" w:cs="Arial"/>
          <w:b w:val="0"/>
          <w:bCs w:val="0"/>
          <w:sz w:val="20"/>
          <w:szCs w:val="20"/>
        </w:rPr>
        <w:t xml:space="preserve">opazovani in </w:t>
      </w:r>
      <w:r w:rsidR="0023796D" w:rsidRPr="007944FA">
        <w:rPr>
          <w:rStyle w:val="Strong"/>
          <w:rFonts w:ascii="Arial" w:eastAsiaTheme="majorEastAsia" w:hAnsi="Arial" w:cs="Arial"/>
          <w:b w:val="0"/>
          <w:bCs w:val="0"/>
          <w:sz w:val="20"/>
          <w:szCs w:val="20"/>
        </w:rPr>
        <w:t>mogoči</w:t>
      </w:r>
      <w:r w:rsidRPr="007944FA">
        <w:rPr>
          <w:rStyle w:val="Strong"/>
          <w:rFonts w:ascii="Arial" w:eastAsiaTheme="majorEastAsia" w:hAnsi="Arial" w:cs="Arial"/>
          <w:b w:val="0"/>
          <w:bCs w:val="0"/>
          <w:sz w:val="20"/>
          <w:szCs w:val="20"/>
        </w:rPr>
        <w:t xml:space="preserve"> vplivi podnebnih sprememb</w:t>
      </w:r>
      <w:r w:rsidRPr="007944FA">
        <w:rPr>
          <w:rFonts w:ascii="Arial" w:hAnsi="Arial" w:cs="Arial"/>
          <w:sz w:val="20"/>
          <w:szCs w:val="20"/>
        </w:rPr>
        <w:t>, vključno s tistimi, povezanimi z ekstremnimi vremenskimi dogodki in počasnimi procesi, pri čemer se upošteva najboljša razpoložljiva znanost;</w:t>
      </w:r>
    </w:p>
    <w:p w14:paraId="0D958951"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b) </w:t>
      </w:r>
      <w:r w:rsidRPr="007944FA">
        <w:rPr>
          <w:rStyle w:val="Strong"/>
          <w:rFonts w:ascii="Arial" w:eastAsiaTheme="majorEastAsia" w:hAnsi="Arial" w:cs="Arial"/>
          <w:b w:val="0"/>
          <w:bCs w:val="0"/>
          <w:sz w:val="20"/>
          <w:szCs w:val="20"/>
        </w:rPr>
        <w:t>dejavnosti, povezane s preprečevanjem, zmanjševanjem in obravnavanjem izgube in škode</w:t>
      </w:r>
      <w:r w:rsidRPr="007944FA">
        <w:rPr>
          <w:rFonts w:ascii="Arial" w:hAnsi="Arial" w:cs="Arial"/>
          <w:sz w:val="20"/>
          <w:szCs w:val="20"/>
        </w:rPr>
        <w:t>, ki so posledica negativnih učinkov podnebnih sprememb;</w:t>
      </w:r>
    </w:p>
    <w:p w14:paraId="3CC1AA37" w14:textId="77777777" w:rsidR="00DD1BEB" w:rsidRPr="007944FA" w:rsidRDefault="00DD1BEB" w:rsidP="00DD1BEB">
      <w:pPr>
        <w:pStyle w:val="NormalWeb"/>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 xml:space="preserve">c) </w:t>
      </w:r>
      <w:r w:rsidRPr="007944FA">
        <w:rPr>
          <w:rStyle w:val="Strong"/>
          <w:rFonts w:ascii="Arial" w:eastAsiaTheme="majorEastAsia" w:hAnsi="Arial" w:cs="Arial"/>
          <w:b w:val="0"/>
          <w:bCs w:val="0"/>
          <w:sz w:val="20"/>
          <w:szCs w:val="20"/>
        </w:rPr>
        <w:t>institucionalne ureditve za olajšanje izvajanja dejavnosti</w:t>
      </w:r>
      <w:r w:rsidRPr="007944FA">
        <w:rPr>
          <w:rFonts w:ascii="Arial" w:hAnsi="Arial" w:cs="Arial"/>
          <w:sz w:val="20"/>
          <w:szCs w:val="20"/>
        </w:rPr>
        <w:t>, navedenih v točki b stopetnajstega odstavka.</w:t>
      </w:r>
    </w:p>
    <w:p w14:paraId="6CABC5E3" w14:textId="4DAEACE2"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Podnebne projekcije kažejo, da bo južna Evropa, in s tem tudi Slovenija, bolj prizadeta zaradi podnebnih sprememb kot drugi deli Evrope. Evropska okoljska agencija ugotavlja, da je v obdobju 1980–2023 ekonomska škoda zaradi vremenskih in podnebnih izjemnih dogodkov v </w:t>
      </w:r>
      <w:r w:rsidRPr="007944FA">
        <w:rPr>
          <w:rFonts w:ascii="Arial" w:eastAsia="Calibri" w:hAnsi="Arial" w:cs="Arial"/>
        </w:rPr>
        <w:lastRenderedPageBreak/>
        <w:t xml:space="preserve">Sloveniji znašala 17,5 milijarde </w:t>
      </w:r>
      <w:r w:rsidR="0023796D" w:rsidRPr="007944FA">
        <w:rPr>
          <w:rFonts w:ascii="Arial" w:eastAsia="Calibri" w:hAnsi="Arial" w:cs="Arial"/>
        </w:rPr>
        <w:t>evrov</w:t>
      </w:r>
      <w:r w:rsidRPr="007944FA">
        <w:rPr>
          <w:rFonts w:ascii="Arial" w:eastAsia="Calibri" w:hAnsi="Arial" w:cs="Arial"/>
        </w:rPr>
        <w:t>. Preračunano na prebivalca je Slovenija po tem kriteriju prva med državami članicami EU. Razlike med državami članicami so velike: Slovenija 8</w:t>
      </w:r>
      <w:r w:rsidR="0023796D" w:rsidRPr="007944FA">
        <w:rPr>
          <w:rFonts w:ascii="Arial" w:eastAsia="Calibri" w:hAnsi="Arial" w:cs="Arial"/>
        </w:rPr>
        <w:t>.</w:t>
      </w:r>
      <w:r w:rsidRPr="007944FA">
        <w:rPr>
          <w:rFonts w:ascii="Arial" w:eastAsia="Calibri" w:hAnsi="Arial" w:cs="Arial"/>
        </w:rPr>
        <w:t xml:space="preserve">700 </w:t>
      </w:r>
      <w:r w:rsidR="0023796D" w:rsidRPr="007944FA">
        <w:rPr>
          <w:rFonts w:ascii="Arial" w:eastAsia="Calibri" w:hAnsi="Arial" w:cs="Arial"/>
        </w:rPr>
        <w:t>evrov</w:t>
      </w:r>
      <w:r w:rsidRPr="007944FA">
        <w:rPr>
          <w:rFonts w:ascii="Arial" w:eastAsia="Calibri" w:hAnsi="Arial" w:cs="Arial"/>
        </w:rPr>
        <w:t>/prebivalca, drugouvrščeni Luksemburg 2</w:t>
      </w:r>
      <w:r w:rsidR="0023796D" w:rsidRPr="007944FA">
        <w:rPr>
          <w:rFonts w:ascii="Arial" w:eastAsia="Calibri" w:hAnsi="Arial" w:cs="Arial"/>
        </w:rPr>
        <w:t>.</w:t>
      </w:r>
      <w:r w:rsidRPr="007944FA">
        <w:rPr>
          <w:rFonts w:ascii="Arial" w:eastAsia="Calibri" w:hAnsi="Arial" w:cs="Arial"/>
        </w:rPr>
        <w:t xml:space="preserve">700 </w:t>
      </w:r>
      <w:r w:rsidR="0023796D" w:rsidRPr="007944FA">
        <w:rPr>
          <w:rFonts w:ascii="Arial" w:eastAsia="Calibri" w:hAnsi="Arial" w:cs="Arial"/>
        </w:rPr>
        <w:t>evrov</w:t>
      </w:r>
      <w:r w:rsidRPr="007944FA">
        <w:rPr>
          <w:rFonts w:ascii="Arial" w:eastAsia="Calibri" w:hAnsi="Arial" w:cs="Arial"/>
        </w:rPr>
        <w:t xml:space="preserve">/prebivalca. </w:t>
      </w:r>
    </w:p>
    <w:p w14:paraId="14D3815D"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Študija Agencije za zavarovalni nadzor glede zavarovalne vrzeli na področju premoženjskih zavarovanj je pokazala, da je ta velika. Pri poplavah je vrzeli za okoli 70 %, kar pomeni, da je le 30 % objektov primerno zavarovanih. Še slabše je na področju potresov, kjer je zavarovalna vrzel med 80 in 85 %. V letu 2024 je tako začela delati Delovna skupina za premostitev zavarovalne vrzeli pri gospodinjstvih. Njen glavni cilj je poiskati najprimernejše ukrepe za slovenski prostor, ki bodo prispevali k zmanjševanju zavarovalne vrzeli. </w:t>
      </w:r>
    </w:p>
    <w:p w14:paraId="53A3B96F" w14:textId="70A724CE" w:rsidR="00DD1BEB" w:rsidRPr="007944FA" w:rsidRDefault="00DD1BEB" w:rsidP="00263D80">
      <w:pPr>
        <w:spacing w:line="257" w:lineRule="auto"/>
        <w:jc w:val="both"/>
        <w:rPr>
          <w:rFonts w:ascii="Arial" w:hAnsi="Arial" w:cs="Arial"/>
        </w:rPr>
      </w:pPr>
      <w:r w:rsidRPr="007944FA">
        <w:rPr>
          <w:rFonts w:ascii="Arial" w:eastAsia="Calibri" w:hAnsi="Arial" w:cs="Arial"/>
        </w:rPr>
        <w:t>MOPE je v sodelovanju z Ministrstvom za gospodarstvo, turizem in šport Republike Slovenije v okviru razpisa Javne agencije za znanstvenoraziskovalno in inovacijsko dejavnost Republike Slovenije prijavilo raziskovalni projekt na temo izboljšanja zavarovanj mikro, malih in srednjih podjetij. Trenutni modeli zavarovalniških produktov namreč ne zadovoljijo vseh potreb oziroma so premije za mikro, mala in srednja podjetja pogosto predrage. Zato se ta podjetja ne odločajo za zavarovanje ali se odločajo za prilagojene pakete, ki sicer nudijo ugodno zavarovanje, žal pa v primeru dejanske škode povrnejo minimalno višino škode (dostikrat celo fiksni znesek) in v primerih višje škode ne pokrijejo zadostnega deleža škode. Namen projekta bo razvoj optimalnega hibridnega modela zavarovanja, ki bo združeval javno podporo in zasebne zavarovalniške produkte ter okrepil zavarovalno vključenost mikro, malih in srednjih podjetij.</w:t>
      </w:r>
    </w:p>
    <w:p w14:paraId="6BDEE059" w14:textId="7560BB34" w:rsidR="006E07EE" w:rsidRPr="007944FA" w:rsidRDefault="006E07EE" w:rsidP="000F19F4">
      <w:pPr>
        <w:pStyle w:val="Heading2"/>
      </w:pPr>
      <w:bookmarkStart w:id="200" w:name="_Toc196300845"/>
      <w:r w:rsidRPr="007944FA">
        <w:t>III.H. Sodelovanje, dobre prakse, izkušnje in pridobljene lekcije</w:t>
      </w:r>
      <w:bookmarkEnd w:id="200"/>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9"/>
      </w:tblGrid>
      <w:tr w:rsidR="00DD1BEB" w:rsidRPr="0093506F" w14:paraId="1851B157" w14:textId="77777777" w:rsidTr="00DD1BEB">
        <w:trPr>
          <w:trHeight w:val="3960"/>
        </w:trPr>
        <w:tc>
          <w:tcPr>
            <w:tcW w:w="8789" w:type="dxa"/>
            <w:shd w:val="clear" w:color="auto" w:fill="E8E8E8" w:themeFill="background2"/>
          </w:tcPr>
          <w:p w14:paraId="1AFA9D66" w14:textId="77777777" w:rsidR="00DD1BEB" w:rsidRPr="007944FA" w:rsidRDefault="00DD1BEB" w:rsidP="006D46D8">
            <w:pPr>
              <w:spacing w:before="100" w:beforeAutospacing="1" w:after="100" w:afterAutospacing="1" w:line="240" w:lineRule="auto"/>
              <w:ind w:left="15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116</w:t>
            </w:r>
            <w:r w:rsidRPr="007944FA">
              <w:rPr>
                <w:rFonts w:ascii="Arial" w:eastAsia="Times New Roman" w:hAnsi="Arial" w:cs="Arial"/>
                <w:b/>
                <w:bCs/>
                <w:sz w:val="20"/>
                <w:szCs w:val="20"/>
                <w:lang w:eastAsia="sl-SI"/>
              </w:rPr>
              <w:t>.</w:t>
            </w:r>
            <w:r w:rsidRPr="007944FA">
              <w:rPr>
                <w:rFonts w:ascii="Arial" w:eastAsia="Times New Roman" w:hAnsi="Arial" w:cs="Arial"/>
                <w:sz w:val="20"/>
                <w:szCs w:val="20"/>
                <w:lang w:eastAsia="sl-SI"/>
              </w:rPr>
              <w:t xml:space="preserve"> Vsaka pogodbenica bi morala, kjer je to ustrezno, zagotoviti naslednje informacije v zvezi s sodelovanjem, dobrimi praksami, izkušnjami in pridobljenimi lekcijami:</w:t>
            </w:r>
          </w:p>
          <w:p w14:paraId="1B750DED" w14:textId="77777777" w:rsidR="00DD1BEB" w:rsidRPr="007944FA" w:rsidRDefault="00DD1BEB" w:rsidP="006D46D8">
            <w:pPr>
              <w:spacing w:before="100" w:beforeAutospacing="1" w:after="100" w:afterAutospacing="1" w:line="240" w:lineRule="auto"/>
              <w:ind w:left="15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a) prizadevanja za izmenjavo informacij, dobrih praks, izkušenj in pridobljenih lekcij, vključno z vidiki, ki se nanašajo na:</w:t>
            </w:r>
          </w:p>
          <w:p w14:paraId="74A3F597"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znanost, načrtovanje in politike, povezane s prilagajanjem,</w:t>
            </w:r>
          </w:p>
          <w:p w14:paraId="5111A069"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inovacije v politikah ter pilotni in demonstracijski projekti,</w:t>
            </w:r>
          </w:p>
          <w:p w14:paraId="2C43AE0B"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vključevanje ukrepov prilagajanja v načrtovanje na različnih ravneh,</w:t>
            </w:r>
          </w:p>
          <w:p w14:paraId="3B78A3EE"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sodelovanje pri izmenjavi informacij ter krepitvi znanosti, institucij in prilagajanja,</w:t>
            </w:r>
          </w:p>
          <w:p w14:paraId="1E35A353"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področje, obseg in vrste sodelovanja ter dobre prakse,</w:t>
            </w:r>
          </w:p>
          <w:p w14:paraId="0AC77408"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izboljšanje trajnosti in učinkovitosti ukrepov prilagajanja,</w:t>
            </w:r>
          </w:p>
          <w:p w14:paraId="20BB1852" w14:textId="77777777" w:rsidR="00DD1BEB" w:rsidRPr="007944FA" w:rsidRDefault="00DD1BEB" w:rsidP="0038553C">
            <w:pPr>
              <w:numPr>
                <w:ilvl w:val="0"/>
                <w:numId w:val="29"/>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pomoč državam v razvoju pri prepoznavanju učinkovitih praks prilagajanja, potreb, prednostnih nalog ter izzivov in vrzeli na način, ki spodbuja dobre prakse;</w:t>
            </w:r>
          </w:p>
          <w:p w14:paraId="44A0CB38" w14:textId="77777777" w:rsidR="00DD1BEB" w:rsidRPr="007944FA" w:rsidRDefault="00DD1BEB" w:rsidP="006D46D8">
            <w:pPr>
              <w:spacing w:before="100" w:beforeAutospacing="1" w:after="100" w:afterAutospacing="1" w:line="240" w:lineRule="auto"/>
              <w:ind w:left="15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b) krepitev znanstvenih raziskav in znanja, povezanih s:</w:t>
            </w:r>
          </w:p>
          <w:p w14:paraId="67A0FD7B" w14:textId="77777777" w:rsidR="00DD1BEB" w:rsidRPr="007944FA" w:rsidRDefault="00DD1BEB" w:rsidP="0038553C">
            <w:pPr>
              <w:numPr>
                <w:ilvl w:val="0"/>
                <w:numId w:val="30"/>
              </w:numPr>
              <w:spacing w:before="100" w:beforeAutospacing="1" w:after="100" w:afterAutospacing="1" w:line="240" w:lineRule="auto"/>
              <w:ind w:left="877" w:hanging="157"/>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podnebjem, vključno z raziskavami, sistematičnim opazovanjem in sistemi zgodnjega opozarjanja, za obveščanje podnebnih storitev in podporo pri odločanju,</w:t>
            </w:r>
          </w:p>
          <w:p w14:paraId="2629453B" w14:textId="77777777" w:rsidR="00DD1BEB" w:rsidRPr="007944FA" w:rsidRDefault="00DD1BEB" w:rsidP="0038553C">
            <w:pPr>
              <w:numPr>
                <w:ilvl w:val="0"/>
                <w:numId w:val="30"/>
              </w:numPr>
              <w:spacing w:before="100" w:beforeAutospacing="1" w:after="100" w:afterAutospacing="1" w:line="240" w:lineRule="auto"/>
              <w:ind w:left="877" w:hanging="157"/>
              <w:contextualSpacing/>
              <w:jc w:val="both"/>
              <w:rPr>
                <w:rFonts w:ascii="Arial" w:eastAsia="Times New Roman" w:hAnsi="Arial" w:cs="Arial"/>
                <w:lang w:eastAsia="sl-SI"/>
              </w:rPr>
            </w:pPr>
            <w:r w:rsidRPr="007944FA">
              <w:rPr>
                <w:rFonts w:ascii="Arial" w:eastAsia="Times New Roman" w:hAnsi="Arial" w:cs="Arial"/>
                <w:sz w:val="20"/>
                <w:szCs w:val="20"/>
                <w:lang w:eastAsia="sl-SI"/>
              </w:rPr>
              <w:t>ranljivostjo in prilagajanjem, spremljanjem in ocenjevanjem.</w:t>
            </w:r>
          </w:p>
        </w:tc>
      </w:tr>
    </w:tbl>
    <w:p w14:paraId="110D2655" w14:textId="77777777" w:rsidR="00DD1BEB" w:rsidRPr="007944FA" w:rsidRDefault="00DD1BEB" w:rsidP="00DD1BEB">
      <w:pPr>
        <w:jc w:val="both"/>
        <w:rPr>
          <w:rFonts w:ascii="Arial" w:eastAsia="Palatino Linotype" w:hAnsi="Arial" w:cs="Arial"/>
          <w:lang w:val="en-GB"/>
        </w:rPr>
      </w:pPr>
    </w:p>
    <w:p w14:paraId="4084488C"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Podnebne spremembe so postale ena največjih groženj prihodnosti, še posebej v jugovzhodni Evropi, ki se segreva dvakrat hitreje od svetovnega povprečja. Da bi okrepili odpornost regije in oblikovali konkretne rešitve, je Slovenija februarja 2025 gostila ministrsko in tehnično konferenco Izzivi prilagajanja na podnebne spremembe v jugovzhodni Evropi, ki sta jo organizirala MOPE in ARSO. Na ministrski konferenci so se prvič na enem mestu srečali okoljski ministri in vodje hidrometeoroloških služb jugovzhodne Evrope ter predstavniki mednarodnih organizacij z namenom izmenjave dobrih praks prilagajanja na podnebne spremembe in krepitve regionalnega sodelovanja. V razpravah so se udeleženci osredotočili na tri ključna področja prilagajanja – vlogo meteoroloških in hidroloških služb pri spremljanju in napovedovanju podnebnih sprememb ter zgodnjem opozarjanju na ekstremne vremenske pojave, regionalno sodelovanje – brez meja pri prilagajanju, ter pripravo nacionalnih strategij </w:t>
      </w:r>
      <w:r w:rsidRPr="007944FA">
        <w:rPr>
          <w:rFonts w:ascii="Arial" w:eastAsia="Calibri" w:hAnsi="Arial" w:cs="Arial"/>
        </w:rPr>
        <w:lastRenderedPageBreak/>
        <w:t>prilagajanja. Slovenija s to konferenco ne le spremlja dogajanje, temveč prevzema aktivno vlogo pri oblikovanju in vodenju procesov prilagajanja na podnebne spremembe v regiji.</w:t>
      </w:r>
    </w:p>
    <w:p w14:paraId="2DDFE925" w14:textId="063FC084" w:rsidR="00DD1BEB" w:rsidRPr="007944FA" w:rsidRDefault="00DD1BEB" w:rsidP="00DD1BEB">
      <w:pPr>
        <w:spacing w:line="257" w:lineRule="auto"/>
        <w:jc w:val="both"/>
        <w:rPr>
          <w:rFonts w:ascii="Arial" w:hAnsi="Arial" w:cs="Arial"/>
        </w:rPr>
      </w:pPr>
      <w:r w:rsidRPr="007944FA">
        <w:rPr>
          <w:rFonts w:ascii="Arial" w:eastAsia="Calibri" w:hAnsi="Arial" w:cs="Arial"/>
        </w:rPr>
        <w:t xml:space="preserve">V letu 2024 je </w:t>
      </w:r>
      <w:r w:rsidR="00465193" w:rsidRPr="007944FA">
        <w:rPr>
          <w:rFonts w:ascii="Arial" w:eastAsia="Calibri" w:hAnsi="Arial" w:cs="Arial"/>
        </w:rPr>
        <w:t>MKGP</w:t>
      </w:r>
      <w:r w:rsidRPr="007944FA">
        <w:rPr>
          <w:rFonts w:ascii="Arial" w:eastAsia="Calibri" w:hAnsi="Arial" w:cs="Arial"/>
        </w:rPr>
        <w:t xml:space="preserve"> ustanovilo Sektor za podnebno politiko ter sistem znanja in inovacij v kmetijstvu. </w:t>
      </w:r>
      <w:r w:rsidR="0023796D" w:rsidRPr="007944FA">
        <w:rPr>
          <w:rFonts w:ascii="Arial" w:eastAsia="Calibri" w:hAnsi="Arial" w:cs="Arial"/>
        </w:rPr>
        <w:t>Tako</w:t>
      </w:r>
      <w:r w:rsidRPr="007944FA">
        <w:rPr>
          <w:rFonts w:ascii="Arial" w:eastAsia="Calibri" w:hAnsi="Arial" w:cs="Arial"/>
        </w:rPr>
        <w:t xml:space="preserve"> ministrstvo daje večji poudarek blaženju podnebnih sprememb in prilagajanju nanje ter na drugi strani krepitvi sistema znanja in inovacij v kmetijstvu. Oddelek za podnebno politiko v kmetijstvu spremlja stanje, sodeluje pri pripravi sistemskih rešitev na področju prilagajanja  podnebn</w:t>
      </w:r>
      <w:r w:rsidR="007816B8" w:rsidRPr="007944FA">
        <w:rPr>
          <w:rFonts w:ascii="Arial" w:eastAsia="Calibri" w:hAnsi="Arial" w:cs="Arial"/>
        </w:rPr>
        <w:t>im</w:t>
      </w:r>
      <w:r w:rsidRPr="007944FA">
        <w:rPr>
          <w:rFonts w:ascii="Arial" w:eastAsia="Calibri" w:hAnsi="Arial" w:cs="Arial"/>
        </w:rPr>
        <w:t xml:space="preserve"> sprememb</w:t>
      </w:r>
      <w:r w:rsidR="007816B8" w:rsidRPr="007944FA">
        <w:rPr>
          <w:rFonts w:ascii="Arial" w:eastAsia="Calibri" w:hAnsi="Arial" w:cs="Arial"/>
        </w:rPr>
        <w:t>am</w:t>
      </w:r>
      <w:r w:rsidRPr="007944FA">
        <w:rPr>
          <w:rFonts w:ascii="Arial" w:eastAsia="Calibri" w:hAnsi="Arial" w:cs="Arial"/>
        </w:rPr>
        <w:t xml:space="preserve"> v kmetijstvu in njihovega blaženja, vključno s področjem energije v kmetijstvu, rabe vode v kmetijstvu in uvajanja na naravi temelječih rešitev, ter krepi sinergije z biodiverziteto, ogljičnim kmetovanjem, krožnim gospodarstvom in biogospodarstvom. Oddelek je aktiven tudi na področju preobrazbe v trajnostne prehranske sisteme, prehranske varnosti in prehranske suverenosti, na področju uvajanja digitalizacije in robotizacije z vidika podnebnih vsebin, sodeluje pri iskanju sistemskih rešitev na področju obračunavanja emisij toplogrednih plinov, ki nastanejo pri dejavnostih v zvezi z rabo zemljišč, spremembo rabe zemljišč in kmetijske proizvodnje (LULUCF), in drugih aktivnostih, ki se navezujejo na področje podnebnih sprememb v kmetijstvu.</w:t>
      </w:r>
    </w:p>
    <w:p w14:paraId="01FFF275" w14:textId="77777777" w:rsidR="00DD1BEB" w:rsidRPr="007944FA" w:rsidRDefault="00DD1BEB" w:rsidP="00DD1BEB">
      <w:pPr>
        <w:spacing w:line="257" w:lineRule="auto"/>
        <w:jc w:val="both"/>
        <w:rPr>
          <w:rFonts w:ascii="Arial" w:hAnsi="Arial" w:cs="Arial"/>
        </w:rPr>
      </w:pPr>
      <w:r w:rsidRPr="007944FA">
        <w:rPr>
          <w:rFonts w:ascii="Arial" w:eastAsia="Calibri" w:hAnsi="Arial" w:cs="Arial"/>
        </w:rPr>
        <w:t>Podnebne spremembe so vse večja grožnja tudi za zdravje ljudi, saj povečujejo pogostost in intenzivnost vročinskih valov ter onesnaženost zraka in s tem povezano višjo stopnjo umrljivosti. Prav tako spodbujajo širitev okužb, ki jih povzročajo patogeni, saj višje temperature zagotavljajo ugodnejše razmere za njihov razvoj. Poleg tega pa izpostavljanje ultravijoličnemu (UV) sevanju povečuje tveganje za razvoj vseh vrst kožnega raka. Breme bolezni zaradi podnebnih sprememb se iz leta v leto povečuje, najbolj pa je obremenjujoče za starejše, za kronične bolnike, nosečnice, otroke in druge posebej ranljive skupine prebivalstva. Ministrstvo za zdravje Republike Slovenije in MOPE sta s partnerji, Nacionalnim inštitutom za javno zdravje, Inštitutom za zdravje in okolje ter Institutom Jožef Stefan, junija 2024 pripravili prvo nacionalno konferenco Zdravstvo po zeleni poti. Domači in tuji strokovnjaki so razpravljali o mogočih rešitvah za razogljičenje zdravstvenega sistema ter se seznanili z domačimi in tujimi primeri dobrih praks.</w:t>
      </w:r>
    </w:p>
    <w:p w14:paraId="468EF52E" w14:textId="77777777" w:rsidR="00DD1BEB" w:rsidRPr="007944FA" w:rsidRDefault="00DD1BEB" w:rsidP="00DD1BEB"/>
    <w:p w14:paraId="37AF7025" w14:textId="29086CF5" w:rsidR="006E07EE" w:rsidRPr="007944FA" w:rsidRDefault="006E07EE" w:rsidP="00D54E1B">
      <w:pPr>
        <w:pStyle w:val="Heading2"/>
        <w:jc w:val="both"/>
      </w:pPr>
      <w:bookmarkStart w:id="201" w:name="_Toc196300846"/>
      <w:r w:rsidRPr="007944FA">
        <w:t>III.I. Kakršne koli druge informacije v zvezi z vplivi podnebnih sprememb in prilagajanjem v skladu s 7. členom Pariškega sporazuma</w:t>
      </w:r>
      <w:bookmarkEnd w:id="201"/>
    </w:p>
    <w:p w14:paraId="6F5C4BD3" w14:textId="77777777" w:rsidR="00D54E1B" w:rsidRPr="007944FA" w:rsidRDefault="00D54E1B" w:rsidP="00D54E1B">
      <w:pPr>
        <w:pStyle w:val="NormalWeb"/>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007944FA">
        <w:rPr>
          <w:rStyle w:val="Strong"/>
          <w:rFonts w:ascii="Arial" w:eastAsiaTheme="majorEastAsia" w:hAnsi="Arial" w:cs="Arial"/>
          <w:b w:val="0"/>
          <w:bCs w:val="0"/>
          <w:sz w:val="20"/>
          <w:szCs w:val="20"/>
        </w:rPr>
        <w:t>117.</w:t>
      </w:r>
      <w:r w:rsidRPr="007944FA">
        <w:rPr>
          <w:rFonts w:ascii="Arial" w:hAnsi="Arial" w:cs="Arial"/>
          <w:sz w:val="20"/>
          <w:szCs w:val="20"/>
        </w:rPr>
        <w:t xml:space="preserve"> Vsaka pogodbenica lahko, kjer je to ustrezno, zagotovi kakršne koli druge informacije v zvezi z vplivi podnebnih sprememb in prilagajanjem nanje v skladu s 7. členom.</w:t>
      </w:r>
    </w:p>
    <w:p w14:paraId="594F1E81" w14:textId="4B68DAB7" w:rsidR="00D54E1B" w:rsidRPr="007944FA" w:rsidRDefault="00D54E1B" w:rsidP="00D54E1B">
      <w:pPr>
        <w:rPr>
          <w:rFonts w:ascii="Arial" w:hAnsi="Arial" w:cs="Arial"/>
        </w:rPr>
      </w:pPr>
      <w:r w:rsidRPr="007944FA">
        <w:rPr>
          <w:rFonts w:ascii="Arial" w:hAnsi="Arial" w:cs="Arial"/>
        </w:rPr>
        <w:t>Ni na voljo.</w:t>
      </w:r>
    </w:p>
    <w:p w14:paraId="40DBB37F" w14:textId="38DF2264" w:rsidR="000F19F4" w:rsidRPr="007944FA" w:rsidRDefault="00D54E1B" w:rsidP="006E07EE">
      <w:pPr>
        <w:rPr>
          <w:rFonts w:ascii="Arial" w:hAnsi="Arial" w:cs="Arial"/>
        </w:rPr>
      </w:pPr>
      <w:r w:rsidRPr="007944FA">
        <w:rPr>
          <w:rFonts w:ascii="Arial" w:hAnsi="Arial" w:cs="Arial"/>
        </w:rPr>
        <w:br w:type="page"/>
      </w:r>
    </w:p>
    <w:p w14:paraId="0AD9945B" w14:textId="77777777" w:rsidR="00D54E1B" w:rsidRPr="007944FA" w:rsidRDefault="00D54E1B" w:rsidP="00D54E1B">
      <w:pPr>
        <w:pStyle w:val="Heading1"/>
        <w:jc w:val="both"/>
      </w:pPr>
      <w:bookmarkStart w:id="202" w:name="_Toc192499436"/>
      <w:bookmarkStart w:id="203" w:name="_Toc196300847"/>
      <w:r w:rsidRPr="007944FA">
        <w:lastRenderedPageBreak/>
        <w:t>IV Informacije o finančni podpori, razvoju in prenosu tehnologij ter krepitvi zmogljivosti, zagotovljeni in mobilizirani v skladu z 9.–11. členom Pariškega sporazuma</w:t>
      </w:r>
      <w:bookmarkEnd w:id="202"/>
      <w:bookmarkEnd w:id="203"/>
    </w:p>
    <w:p w14:paraId="104F332B" w14:textId="7918B3B9" w:rsidR="00FB4DC5"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jc w:val="both"/>
        <w:rPr>
          <w:rFonts w:ascii="Arial" w:hAnsi="Arial" w:cs="Arial"/>
          <w:sz w:val="20"/>
          <w:szCs w:val="20"/>
        </w:rPr>
      </w:pPr>
      <w:r w:rsidRPr="007944FA">
        <w:rPr>
          <w:rFonts w:ascii="Arial" w:hAnsi="Arial" w:cs="Arial"/>
          <w:sz w:val="20"/>
          <w:szCs w:val="20"/>
        </w:rPr>
        <w:t>118</w:t>
      </w:r>
      <w:r w:rsidRPr="007944FA">
        <w:rPr>
          <w:rFonts w:ascii="Arial" w:hAnsi="Arial" w:cs="Arial"/>
          <w:bCs/>
          <w:sz w:val="20"/>
          <w:szCs w:val="20"/>
        </w:rPr>
        <w:t>.</w:t>
      </w:r>
      <w:r w:rsidRPr="007944FA">
        <w:rPr>
          <w:rFonts w:ascii="Arial" w:hAnsi="Arial" w:cs="Arial"/>
          <w:sz w:val="20"/>
          <w:szCs w:val="20"/>
        </w:rPr>
        <w:t xml:space="preserve"> Razvite države pogodbenice morajo zagotoviti informacije v skladu z devetim odstavkom 13. člena Pariškega sporazuma ter v skladu z MPG, določenimi v tem poglavju. Druge pogodbenice, ki nudijo podporo, bi morale zagotoviti takšne informacije in so pri tem spodbujene k uporabi MPG, določenih v tem poglavju.</w:t>
      </w:r>
    </w:p>
    <w:p w14:paraId="137FE63B" w14:textId="4E80012A" w:rsidR="00FB4DC5" w:rsidRPr="007944FA" w:rsidRDefault="00FB4DC5" w:rsidP="00FB4DC5">
      <w:pPr>
        <w:pStyle w:val="Heading2"/>
      </w:pPr>
      <w:bookmarkStart w:id="204" w:name="_Toc196300848"/>
      <w:r w:rsidRPr="007944FA">
        <w:t>IV.A. Nacionalne okoliščine in institucionalne ureditve</w:t>
      </w:r>
      <w:bookmarkEnd w:id="204"/>
    </w:p>
    <w:p w14:paraId="13B33418" w14:textId="6EF0243F" w:rsidR="00D54E1B" w:rsidRPr="007944FA" w:rsidRDefault="00D54E1B" w:rsidP="00D54E1B">
      <w:pPr>
        <w:jc w:val="both"/>
        <w:rPr>
          <w:rFonts w:ascii="Arial" w:hAnsi="Arial" w:cs="Arial"/>
        </w:rPr>
      </w:pPr>
      <w:r w:rsidRPr="007944FA">
        <w:rPr>
          <w:rFonts w:ascii="Arial" w:hAnsi="Arial" w:cs="Arial"/>
        </w:rPr>
        <w:t xml:space="preserve">Slovenija ni med državami, navedenimi v Prilogi II UNFCCC, zato ni zavezana k zagotavljanju finančne ali tehnične podpore gospodarstvom v tranziciji in državam v razvoju pri njihovih prizadevanjih za </w:t>
      </w:r>
      <w:r w:rsidR="002C59CB" w:rsidRPr="007944FA">
        <w:rPr>
          <w:rFonts w:ascii="Arial" w:hAnsi="Arial" w:cs="Arial"/>
        </w:rPr>
        <w:t>blaženje</w:t>
      </w:r>
      <w:r w:rsidRPr="007944FA">
        <w:rPr>
          <w:rFonts w:ascii="Arial" w:hAnsi="Arial" w:cs="Arial"/>
        </w:rPr>
        <w:t xml:space="preserve"> podnebnih sprememb in prilagajanje nanje v skladu s členi 4.3, 4.4 in 4.5 Konvencije. Kljub temu se je Slovenija prostovoljno odločila prispevati k podnebnemu financiranju. Slovenska vlada ostaja zavezana reševanju svetovnih podnebnih izzivov, pri čemer posebno pozornost namenja podpori najranljivejšim državam, vključno z najmanj razvitimi državami, in državam v svoji soseščini.</w:t>
      </w:r>
    </w:p>
    <w:p w14:paraId="5CE231FE"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119. Informacije o nacionalnih okoliščinah in institucionalnih ureditvah, pomembnih za poročanje o zagotavljanju in mobilizaciji podpore, vključno z:</w:t>
      </w:r>
      <w:r w:rsidRPr="007944FA">
        <w:rPr>
          <w:rFonts w:ascii="Arial" w:eastAsia="Times New Roman" w:hAnsi="Arial" w:cs="Arial"/>
          <w:sz w:val="20"/>
          <w:szCs w:val="20"/>
          <w:lang w:eastAsia="sl-SI"/>
        </w:rPr>
        <w:br/>
        <w:t>(a) opisom sistemov in procesov, uporabljenih za prepoznavanje in sledenje podpori, zagotovljeni in mobilizirani z javno intervencijo ter poročanje o njej;</w:t>
      </w:r>
    </w:p>
    <w:p w14:paraId="6CA4BCBB" w14:textId="117C6F42" w:rsidR="00D54E1B" w:rsidRPr="007944FA" w:rsidRDefault="00D54E1B" w:rsidP="00D54E1B">
      <w:pPr>
        <w:pStyle w:val="NormalWeb"/>
        <w:jc w:val="both"/>
        <w:rPr>
          <w:rFonts w:ascii="Arial" w:hAnsi="Arial" w:cs="Arial"/>
          <w:sz w:val="22"/>
          <w:szCs w:val="22"/>
        </w:rPr>
      </w:pPr>
      <w:r w:rsidRPr="007944FA">
        <w:rPr>
          <w:rFonts w:ascii="Arial" w:eastAsiaTheme="minorHAnsi" w:hAnsi="Arial" w:cs="Arial"/>
          <w:sz w:val="22"/>
          <w:szCs w:val="22"/>
          <w:lang w:eastAsia="en-US"/>
        </w:rPr>
        <w:t>Finančna podpora, podpora razvoju in prenosu tehnologij ter krepitev zmogljivosti v skladu z 9.–11. členom Pariškega sporazuma so del mednarodnega razvojnega sodelovanja in imajo pravno podlago v Zakonu o mednarodnem razvojnem sodelovanju in humanitarni pomoči Republike Slovenije ter na njegovi podlagi v Uredbi o izvajanju mednarodnega razvojnega sodelovanja in humanitarne pomoči Republike Slovenije (v nadaljnjem besedilu: uredba). Glavni strateški dokumenti, ki usmerjajo zagotavljanje (bilateralne) podpore državam v razvoju, so Resolucija o mednarodnem razvojnem sodelovanju in humanitarni pomoči Republike Slovenije (ReMRSHP, 2017</w:t>
      </w:r>
      <w:r w:rsidRPr="007944FA">
        <w:rPr>
          <w:rFonts w:ascii="Arial" w:eastAsiaTheme="minorHAnsi" w:hAnsi="Arial" w:cs="Arial"/>
          <w:sz w:val="22"/>
          <w:szCs w:val="22"/>
          <w:lang w:eastAsia="en-US"/>
        </w:rPr>
        <w:footnoteReference w:id="119"/>
      </w:r>
      <w:r w:rsidRPr="007944FA">
        <w:rPr>
          <w:rFonts w:ascii="Arial" w:eastAsiaTheme="minorHAnsi" w:hAnsi="Arial" w:cs="Arial"/>
          <w:sz w:val="22"/>
          <w:szCs w:val="22"/>
          <w:lang w:eastAsia="en-US"/>
        </w:rPr>
        <w:t>) (v nadaljnjem besedilu: resolucija) ter na bolj operativni ravni Strategija mednarodnega razvojnega sodelovanja in humanitarne pomoči Republike Slovenije</w:t>
      </w:r>
      <w:r w:rsidR="008F56B0" w:rsidRPr="007944FA">
        <w:rPr>
          <w:rFonts w:ascii="Arial" w:eastAsiaTheme="minorHAnsi" w:hAnsi="Arial" w:cs="Arial"/>
          <w:sz w:val="22"/>
          <w:szCs w:val="22"/>
          <w:lang w:eastAsia="en-US"/>
        </w:rPr>
        <w:t xml:space="preserve"> do leta 2030</w:t>
      </w:r>
      <w:r w:rsidR="008F56B0" w:rsidRPr="007944FA">
        <w:rPr>
          <w:rStyle w:val="FootnoteReference"/>
          <w:rFonts w:ascii="Arial" w:eastAsiaTheme="minorHAnsi" w:hAnsi="Arial" w:cs="Arial"/>
          <w:sz w:val="22"/>
          <w:szCs w:val="22"/>
          <w:lang w:eastAsia="en-US"/>
        </w:rPr>
        <w:footnoteReference w:id="120"/>
      </w:r>
      <w:r w:rsidRPr="007944FA">
        <w:rPr>
          <w:rFonts w:ascii="Arial" w:eastAsiaTheme="minorHAnsi" w:hAnsi="Arial" w:cs="Arial"/>
          <w:sz w:val="22"/>
          <w:szCs w:val="22"/>
          <w:lang w:eastAsia="en-US"/>
        </w:rPr>
        <w:t xml:space="preserve"> (v nadaljnjem besedilu: strategija). Ti dokumenti skupaj opredeljujejo cilje, usmeritve in načela mednarodnega razvojnega sodelovanja in humanitarne pomoči Republike Slovenije, tematske in geografske prednostne naloge, kvantificirane ciljne kazalnike do leta 2030 ter organizacijsko strukturo in ključne </w:t>
      </w:r>
      <w:r w:rsidRPr="007944FA">
        <w:rPr>
          <w:rFonts w:ascii="Arial" w:hAnsi="Arial" w:cs="Arial"/>
          <w:sz w:val="22"/>
          <w:szCs w:val="22"/>
        </w:rPr>
        <w:t xml:space="preserve">organizacije, pooblaščene za razvojno sodelovanje v državi. Podnebno financiranje ima pomembno vlogo v strategiji. Kot je navedeno v strategiji, sta </w:t>
      </w:r>
      <w:r w:rsidR="002C59CB" w:rsidRPr="007944FA">
        <w:rPr>
          <w:rFonts w:ascii="Arial" w:hAnsi="Arial" w:cs="Arial"/>
          <w:sz w:val="22"/>
          <w:szCs w:val="22"/>
        </w:rPr>
        <w:t>blaženje</w:t>
      </w:r>
      <w:r w:rsidRPr="007944FA">
        <w:rPr>
          <w:rFonts w:ascii="Arial" w:hAnsi="Arial" w:cs="Arial"/>
          <w:sz w:val="22"/>
          <w:szCs w:val="22"/>
        </w:rPr>
        <w:t xml:space="preserve"> podnebnih sprememb in prilagajanje nanje ("podpora dejavnostim za zmanjšanje emisij toplogrednih plinov in prilagajanje podnebnim spremembam v partnerskih državah") eno od štirih tematskih prednostnih področij slovenskega razvojnega sodelovanja. Drugo prednostno področje, ki prav tako vključuje podnebno financiranje, je trajnostno upravljanje naravnih virov in krožno gospodarstvo. Poleg tega je varstvo okolja, skupaj z enakostjo spolov, ena od dveh </w:t>
      </w:r>
      <w:r w:rsidR="007E6722" w:rsidRPr="007944FA">
        <w:rPr>
          <w:rFonts w:ascii="Arial" w:hAnsi="Arial" w:cs="Arial"/>
          <w:sz w:val="22"/>
          <w:szCs w:val="22"/>
        </w:rPr>
        <w:t>presečnih</w:t>
      </w:r>
      <w:r w:rsidRPr="007944FA">
        <w:rPr>
          <w:rFonts w:ascii="Arial" w:hAnsi="Arial" w:cs="Arial"/>
          <w:sz w:val="22"/>
          <w:szCs w:val="22"/>
        </w:rPr>
        <w:t xml:space="preserve"> tem slovenskega razvojnega sodelovanja. </w:t>
      </w:r>
      <w:r w:rsidR="007E6722" w:rsidRPr="007944FA">
        <w:rPr>
          <w:rFonts w:ascii="Arial" w:hAnsi="Arial" w:cs="Arial"/>
          <w:sz w:val="22"/>
          <w:szCs w:val="22"/>
        </w:rPr>
        <w:t xml:space="preserve">Od 2024 so v veljavi Smernice za vključevanje varstva okolja v mednarodno razvojno sodelovanje in humanitarno </w:t>
      </w:r>
      <w:r w:rsidR="007E6722" w:rsidRPr="007944FA">
        <w:rPr>
          <w:rFonts w:ascii="Arial" w:hAnsi="Arial" w:cs="Arial"/>
          <w:sz w:val="22"/>
          <w:szCs w:val="22"/>
        </w:rPr>
        <w:lastRenderedPageBreak/>
        <w:t>pomoč Republike Slovenije, na podlagi katerih se izvaja sistematično vključevanje varstva okolja v analizo potreb, načrtovanje, izbor, izvajanje, spremljanje in evalvacijo dejavnosti mednarodnega razvojnega sodelovanja ter humanitarne pomoči Republike Slovenije.</w:t>
      </w:r>
      <w:r w:rsidR="00EF35F6" w:rsidRPr="007944FA">
        <w:rPr>
          <w:rFonts w:ascii="Arial" w:hAnsi="Arial" w:cs="Arial"/>
          <w:sz w:val="22"/>
          <w:szCs w:val="22"/>
        </w:rPr>
        <w:t xml:space="preserve"> </w:t>
      </w:r>
      <w:r w:rsidRPr="007944FA">
        <w:rPr>
          <w:rFonts w:ascii="Arial" w:hAnsi="Arial" w:cs="Arial"/>
          <w:sz w:val="22"/>
          <w:szCs w:val="22"/>
        </w:rPr>
        <w:t>Projekti, ki jasno izkazujejo svoj pozitivni vpliv na okolje, prejmejo tudi več točk v fazi izbire projektov</w:t>
      </w:r>
      <w:r w:rsidR="00216698" w:rsidRPr="007944FA">
        <w:rPr>
          <w:rFonts w:ascii="Arial" w:hAnsi="Arial" w:cs="Arial"/>
          <w:sz w:val="22"/>
          <w:szCs w:val="22"/>
        </w:rPr>
        <w:t>, prav tako pa je od 2025 obvezna priloga k vsebinskemu načrtov projektnih predlogov MRS tudi Ocena vpliva projekta na okolje.</w:t>
      </w:r>
    </w:p>
    <w:p w14:paraId="3FEE2607" w14:textId="7184823E" w:rsidR="00D54E1B" w:rsidRPr="007944FA" w:rsidRDefault="00633A86" w:rsidP="00D54E1B">
      <w:pPr>
        <w:pStyle w:val="NormalWeb"/>
        <w:jc w:val="both"/>
        <w:rPr>
          <w:rFonts w:ascii="Arial" w:hAnsi="Arial" w:cs="Arial"/>
          <w:sz w:val="22"/>
          <w:szCs w:val="22"/>
        </w:rPr>
      </w:pPr>
      <w:r w:rsidRPr="007944FA">
        <w:rPr>
          <w:rFonts w:ascii="Arial" w:hAnsi="Arial" w:cs="Arial"/>
          <w:sz w:val="22"/>
          <w:szCs w:val="22"/>
        </w:rPr>
        <w:t>Nacionalni koordinator mednarodnega razvojnega sodelovanja in uradne</w:t>
      </w:r>
      <w:r w:rsidR="00EF35F6" w:rsidRPr="007944FA">
        <w:rPr>
          <w:rFonts w:ascii="Arial" w:hAnsi="Arial" w:cs="Arial"/>
          <w:sz w:val="22"/>
          <w:szCs w:val="22"/>
        </w:rPr>
        <w:t xml:space="preserve"> </w:t>
      </w:r>
      <w:r w:rsidR="00D54E1B" w:rsidRPr="007944FA">
        <w:rPr>
          <w:rFonts w:ascii="Arial" w:hAnsi="Arial" w:cs="Arial"/>
          <w:sz w:val="22"/>
          <w:szCs w:val="22"/>
        </w:rPr>
        <w:t>razvojn</w:t>
      </w:r>
      <w:r w:rsidRPr="007944FA">
        <w:rPr>
          <w:rFonts w:ascii="Arial" w:hAnsi="Arial" w:cs="Arial"/>
          <w:sz w:val="22"/>
          <w:szCs w:val="22"/>
        </w:rPr>
        <w:t>e</w:t>
      </w:r>
      <w:r w:rsidR="00D54E1B" w:rsidRPr="007944FA">
        <w:rPr>
          <w:rFonts w:ascii="Arial" w:hAnsi="Arial" w:cs="Arial"/>
          <w:sz w:val="22"/>
          <w:szCs w:val="22"/>
        </w:rPr>
        <w:t xml:space="preserve"> pomoč</w:t>
      </w:r>
      <w:r w:rsidRPr="007944FA">
        <w:rPr>
          <w:rFonts w:ascii="Arial" w:hAnsi="Arial" w:cs="Arial"/>
          <w:sz w:val="22"/>
          <w:szCs w:val="22"/>
        </w:rPr>
        <w:t>i</w:t>
      </w:r>
      <w:r w:rsidR="00D54E1B" w:rsidRPr="007944FA">
        <w:rPr>
          <w:rFonts w:ascii="Arial" w:hAnsi="Arial" w:cs="Arial"/>
          <w:sz w:val="22"/>
          <w:szCs w:val="22"/>
        </w:rPr>
        <w:t xml:space="preserve"> (ODA), v kater</w:t>
      </w:r>
      <w:r w:rsidRPr="007944FA">
        <w:rPr>
          <w:rFonts w:ascii="Arial" w:hAnsi="Arial" w:cs="Arial"/>
          <w:sz w:val="22"/>
          <w:szCs w:val="22"/>
        </w:rPr>
        <w:t>o</w:t>
      </w:r>
      <w:r w:rsidR="00D54E1B" w:rsidRPr="007944FA">
        <w:rPr>
          <w:rFonts w:ascii="Arial" w:hAnsi="Arial" w:cs="Arial"/>
          <w:sz w:val="22"/>
          <w:szCs w:val="22"/>
        </w:rPr>
        <w:t xml:space="preserve"> spada dvostransko podnebno financiranje, </w:t>
      </w:r>
      <w:r w:rsidR="00EF35F6" w:rsidRPr="007944FA">
        <w:rPr>
          <w:rFonts w:ascii="Arial" w:hAnsi="Arial" w:cs="Arial"/>
          <w:sz w:val="22"/>
          <w:szCs w:val="22"/>
        </w:rPr>
        <w:t>j</w:t>
      </w:r>
      <w:r w:rsidR="00D54E1B" w:rsidRPr="007944FA">
        <w:rPr>
          <w:rFonts w:ascii="Arial" w:hAnsi="Arial" w:cs="Arial"/>
          <w:sz w:val="22"/>
          <w:szCs w:val="22"/>
        </w:rPr>
        <w:t>e MZEZ. Drugi vladni organi, vključeni v podnebno financiranje, so MOPE, MF ter Ministrstvo za gospodarstvo, turizem in šport</w:t>
      </w:r>
      <w:r w:rsidR="00D54E1B" w:rsidRPr="007944FA">
        <w:rPr>
          <w:rFonts w:ascii="Arial" w:eastAsia="Calibri" w:hAnsi="Arial" w:cs="Arial"/>
        </w:rPr>
        <w:t xml:space="preserve"> Republike Slovenije</w:t>
      </w:r>
      <w:r w:rsidR="00D54E1B" w:rsidRPr="007944FA">
        <w:rPr>
          <w:rFonts w:ascii="Arial" w:hAnsi="Arial" w:cs="Arial"/>
          <w:sz w:val="22"/>
          <w:szCs w:val="22"/>
        </w:rPr>
        <w:t xml:space="preserve"> (MGTŠ). Med njimi je MOPE edini organ, ki zagotavlja večstransko podnebno financiranje. Skrbniki projektov pri posameznih odgovornih javnih subjektih so zadolženi za spremljanje izvajanja projektov in poročanje MZEZ, ki nato združi podatke. </w:t>
      </w:r>
      <w:r w:rsidR="00D541CF" w:rsidRPr="007944FA">
        <w:rPr>
          <w:rFonts w:ascii="Arial" w:hAnsi="Arial" w:cs="Arial"/>
          <w:sz w:val="22"/>
          <w:szCs w:val="22"/>
        </w:rPr>
        <w:t>Za sledenje projektom ODA</w:t>
      </w:r>
      <w:r w:rsidR="00EF35F6" w:rsidRPr="007944FA">
        <w:rPr>
          <w:rFonts w:ascii="Arial" w:hAnsi="Arial" w:cs="Arial"/>
          <w:sz w:val="22"/>
          <w:szCs w:val="22"/>
        </w:rPr>
        <w:t xml:space="preserve"> </w:t>
      </w:r>
      <w:r w:rsidR="00D54E1B" w:rsidRPr="007944FA">
        <w:rPr>
          <w:rFonts w:ascii="Arial" w:hAnsi="Arial" w:cs="Arial"/>
          <w:sz w:val="22"/>
          <w:szCs w:val="22"/>
        </w:rPr>
        <w:t>in poročanje o njih se Slovenija opira na Sistem poročanja upnikov (CRS)</w:t>
      </w:r>
      <w:r w:rsidR="00D54E1B" w:rsidRPr="007944FA">
        <w:rPr>
          <w:rStyle w:val="FootnoteReference"/>
          <w:rFonts w:ascii="Arial" w:hAnsi="Arial" w:cs="Arial"/>
          <w:sz w:val="22"/>
          <w:szCs w:val="22"/>
        </w:rPr>
        <w:footnoteReference w:id="121"/>
      </w:r>
      <w:r w:rsidR="00D54E1B" w:rsidRPr="007944FA">
        <w:rPr>
          <w:rFonts w:ascii="Arial" w:hAnsi="Arial" w:cs="Arial"/>
          <w:sz w:val="22"/>
          <w:szCs w:val="22"/>
        </w:rPr>
        <w:t xml:space="preserve"> Odbora za razvojno pomoč (DAC) OECD. Rio označevalci</w:t>
      </w:r>
      <w:r w:rsidR="00D54E1B" w:rsidRPr="007944FA">
        <w:rPr>
          <w:rStyle w:val="FootnoteReference"/>
          <w:rFonts w:ascii="Arial" w:hAnsi="Arial" w:cs="Arial"/>
          <w:sz w:val="22"/>
          <w:szCs w:val="22"/>
        </w:rPr>
        <w:footnoteReference w:id="122"/>
      </w:r>
      <w:r w:rsidR="00D54E1B" w:rsidRPr="007944FA">
        <w:rPr>
          <w:rFonts w:ascii="Arial" w:hAnsi="Arial" w:cs="Arial"/>
          <w:sz w:val="22"/>
          <w:szCs w:val="22"/>
        </w:rPr>
        <w:t xml:space="preserve"> OECD DAC se uporabljajo za razlikovanje med vplivi na </w:t>
      </w:r>
      <w:r w:rsidR="002C59CB" w:rsidRPr="007944FA">
        <w:rPr>
          <w:rFonts w:ascii="Arial" w:hAnsi="Arial" w:cs="Arial"/>
          <w:sz w:val="22"/>
          <w:szCs w:val="22"/>
        </w:rPr>
        <w:t>blaženje</w:t>
      </w:r>
      <w:r w:rsidR="00D54E1B" w:rsidRPr="007944FA">
        <w:rPr>
          <w:rFonts w:ascii="Arial" w:hAnsi="Arial" w:cs="Arial"/>
          <w:sz w:val="22"/>
          <w:szCs w:val="22"/>
        </w:rPr>
        <w:t xml:space="preserve"> podnebnih sprememb in prilagajanje nanje ter za druge kategorije poročanja, kot so datum zaveze, znesek, namenjen celotnemu trajanju projekta, znesek, izplačan v posameznem koledarskem letu, ime sofinancerskih subjektov, sektor, morebitna vključenost prenosa tehnologije ali krepitve zmogljivosti in tako dalje. Nazadnje, posebej za mobilizacijo zasebnega financiranja, se nepovratna sredstva ugotavljajo v celotnem znesku, vendar le od komercialnih subjektov.</w:t>
      </w:r>
    </w:p>
    <w:p w14:paraId="2E35B4AF"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hAnsi="Arial" w:cs="Arial"/>
          <w:sz w:val="20"/>
          <w:szCs w:val="20"/>
        </w:rPr>
      </w:pPr>
      <w:r w:rsidRPr="007944FA">
        <w:rPr>
          <w:rFonts w:ascii="Arial" w:hAnsi="Arial" w:cs="Arial"/>
          <w:sz w:val="20"/>
          <w:szCs w:val="20"/>
        </w:rPr>
        <w:t>(</w:t>
      </w:r>
      <w:r w:rsidRPr="007944FA">
        <w:rPr>
          <w:rFonts w:ascii="Arial" w:hAnsi="Arial" w:cs="Arial"/>
          <w:sz w:val="20"/>
          <w:szCs w:val="20"/>
          <w:shd w:val="clear" w:color="auto" w:fill="E8E8E8" w:themeFill="background2"/>
        </w:rPr>
        <w:t>b) opis izzivov in omejitev;</w:t>
      </w:r>
    </w:p>
    <w:p w14:paraId="5D6164C1" w14:textId="77777777" w:rsidR="00D54E1B" w:rsidRPr="007944FA" w:rsidRDefault="00D54E1B" w:rsidP="00D54E1B">
      <w:pPr>
        <w:jc w:val="both"/>
        <w:rPr>
          <w:rFonts w:ascii="Arial" w:hAnsi="Arial" w:cs="Arial"/>
          <w:i/>
          <w:iCs/>
          <w:color w:val="3A7C22" w:themeColor="accent6" w:themeShade="BF"/>
          <w:lang w:val="en-GB"/>
        </w:rPr>
      </w:pPr>
      <w:r w:rsidRPr="007944FA">
        <w:rPr>
          <w:rFonts w:ascii="Arial" w:hAnsi="Arial" w:cs="Arial"/>
        </w:rPr>
        <w:t>Eden ključnih izzivov, s katerimi se Slovenija sooča pri poročanju o zagotavljanju in mobilizaciji podpore, je spremljanje in merjenje razvoja in prenosa tehnologije ter podpore pri krepitvi zmogljivosti in poročanje o njih. Medtem ko obstajajo uveljavljene metodologije za poročanje o različnih komponentah projektov, kot so kanali, vrste podpore in sektorji, trenutni sistemi poročanja, kot je zbirka podatkov CRS Odbora za razvojno pomoč (DAC) OECD, ne omogočajo sistematičnega sledenja vplivom, povezanim s krepitvijo zmogljivosti ter razvojem in prenosom tehnologije. V odsotnosti takšnih sistemov so informacije, predstavljene v tem poročilu, osnovane na kvalitativni oceni. Prav tako ne spremljamo ali merimo razvoja in prenosa tehnologije na ravni podrobnosti, ki jo zahteva to poročilo; informacije o tehnološkem ciklu, endogenem razvoju tehnologije, prizadevanjih za spodbujanje inovacij in sodelovanju pri raziskavah in razvoju ter ustvarjenem znanju so zato samo ocenjene. Podobna težava se pojavlja tudi pri spremljanju in merjenju podpore za krepitev zmogljivosti.</w:t>
      </w:r>
    </w:p>
    <w:p w14:paraId="7C632F61" w14:textId="77777777" w:rsidR="00D54E1B" w:rsidRPr="007944FA" w:rsidRDefault="00D54E1B" w:rsidP="00D54E1B">
      <w:pPr>
        <w:pBdr>
          <w:top w:val="single" w:sz="4" w:space="0"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hAnsi="Arial" w:cs="Arial"/>
          <w:sz w:val="20"/>
          <w:szCs w:val="20"/>
        </w:rPr>
      </w:pPr>
      <w:r w:rsidRPr="007944FA">
        <w:rPr>
          <w:rFonts w:ascii="Arial" w:hAnsi="Arial" w:cs="Arial"/>
          <w:sz w:val="20"/>
          <w:szCs w:val="20"/>
        </w:rPr>
        <w:t>(c) informacije o izkušnjah in dobrih praksah v zvezi z javnimi politikami in zakonodajnimi okviri za spodbujanje nadaljnjega zasebnega podnebnega financiranja in investicij;</w:t>
      </w:r>
    </w:p>
    <w:p w14:paraId="041D9254" w14:textId="0A486AC4" w:rsidR="00D54E1B" w:rsidRPr="007944FA" w:rsidRDefault="00D54E1B" w:rsidP="00D54E1B">
      <w:pPr>
        <w:spacing w:before="100" w:beforeAutospacing="1" w:after="100" w:afterAutospacing="1" w:line="240" w:lineRule="auto"/>
        <w:jc w:val="both"/>
        <w:rPr>
          <w:rFonts w:ascii="Arial" w:hAnsi="Arial" w:cs="Arial"/>
        </w:rPr>
      </w:pPr>
      <w:r w:rsidRPr="007944FA">
        <w:rPr>
          <w:rFonts w:ascii="Arial" w:hAnsi="Arial" w:cs="Arial"/>
        </w:rPr>
        <w:t>Potreba po močnejši mobilizaciji zasebnega podnebnega financiranja in investicij je prepoznana, pri čemer je bilo izvedenih več razprav med vladnimi in nevladnimi institucijami ter znotraj njih, z namenom pomnožitve obstoječih in prepoznavanja dodatnih inovativnih finančnih virov za podnebno financiranje. Strategija določa nekatere dejavnosti za nacionalnega koordinatorja (MZEZ) za povečanje vključevanja zasebnega sektorja, vendar se te dejavnosti osredotočajo predvsem na izvajanje projektov, prenos tehnologije in krepitev zmogljivosti, manj pa na mobilizacijo zasebnega financiranja.</w:t>
      </w:r>
      <w:r w:rsidR="00F276E5" w:rsidRPr="007944FA">
        <w:rPr>
          <w:rFonts w:ascii="Arial" w:hAnsi="Arial" w:cs="Arial"/>
        </w:rPr>
        <w:t xml:space="preserve"> MZEZ si bo za boljše </w:t>
      </w:r>
      <w:r w:rsidR="00F276E5" w:rsidRPr="007944FA">
        <w:rPr>
          <w:rFonts w:ascii="Arial" w:hAnsi="Arial" w:cs="Arial"/>
        </w:rPr>
        <w:lastRenderedPageBreak/>
        <w:t>vključevanje zasebnega sektorja v MRS prizadeval tudi z organizacijo tematskih dogodkov, ozaveščanjem javnosti o tej temi ter razpravami na nivoju političnih odločevalcev.</w:t>
      </w:r>
    </w:p>
    <w:p w14:paraId="7D835E2E"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hAnsi="Arial" w:cs="Arial"/>
          <w:sz w:val="20"/>
          <w:szCs w:val="20"/>
        </w:rPr>
      </w:pPr>
      <w:r w:rsidRPr="007944FA">
        <w:rPr>
          <w:rFonts w:ascii="Arial" w:hAnsi="Arial" w:cs="Arial"/>
          <w:sz w:val="20"/>
          <w:szCs w:val="20"/>
        </w:rPr>
        <w:t>(d) prizadevanja za izboljšanje primerljivosti in natančnosti informacij o finančni podpori, zagotovljeni in mobilizirani z javnimi ukrepi, na primer z uporabo mednarodnih standardov ali usklajevanjem z drugimi državami, institucijami in mednarodnimi sistemi.</w:t>
      </w:r>
    </w:p>
    <w:p w14:paraId="33C0F75C" w14:textId="77777777" w:rsidR="00D54E1B" w:rsidRPr="007944FA" w:rsidRDefault="00D54E1B" w:rsidP="00D54E1B">
      <w:pPr>
        <w:spacing w:before="100" w:beforeAutospacing="1" w:after="100" w:afterAutospacing="1" w:line="240" w:lineRule="auto"/>
        <w:jc w:val="both"/>
        <w:rPr>
          <w:rFonts w:ascii="Arial" w:hAnsi="Arial" w:cs="Arial"/>
        </w:rPr>
      </w:pPr>
      <w:r w:rsidRPr="007944FA">
        <w:rPr>
          <w:rFonts w:ascii="Arial" w:hAnsi="Arial" w:cs="Arial"/>
        </w:rPr>
        <w:t>Za ohranjanje skladnosti in kontinuitete pri našem poročanju so informacije usklajene s poročilom Slovenije o podnebnem financiranju Evropski komisiji ter ga nadgrajujejo, kot je določeno v 19. členu Uredbe (EU) 2018/1999 o upravljanju energetske unije in podnebnih ukrepov ter v oblikah, določenih z Izvedbeno uredbo (EU) 2020/1208. To prav tako omogoča usklajenost poročanja z drugimi državami EU.</w:t>
      </w:r>
    </w:p>
    <w:p w14:paraId="0CDE4696"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hAnsi="Arial" w:cs="Arial"/>
          <w:sz w:val="20"/>
          <w:szCs w:val="20"/>
        </w:rPr>
      </w:pPr>
      <w:r w:rsidRPr="007944FA">
        <w:rPr>
          <w:rFonts w:ascii="Arial" w:hAnsi="Arial" w:cs="Arial"/>
          <w:sz w:val="20"/>
          <w:szCs w:val="20"/>
        </w:rPr>
        <w:t>120. Informacije, če so na voljo, o nacionalnih okoliščinah in institucionalnih ureditvah za zagotavljanje podpore pri razvoju in prenosu tehnologije ter krepitvi zmogljivosti.</w:t>
      </w:r>
    </w:p>
    <w:p w14:paraId="612E765F" w14:textId="69D7E88D" w:rsidR="00D54E1B" w:rsidRPr="007944FA" w:rsidRDefault="00D54E1B" w:rsidP="00D54E1B">
      <w:pPr>
        <w:spacing w:before="100" w:beforeAutospacing="1" w:after="100" w:afterAutospacing="1" w:line="240" w:lineRule="auto"/>
        <w:jc w:val="both"/>
        <w:rPr>
          <w:rFonts w:ascii="Arial" w:hAnsi="Arial" w:cs="Arial"/>
        </w:rPr>
      </w:pPr>
      <w:r w:rsidRPr="007944FA">
        <w:rPr>
          <w:rFonts w:ascii="Arial" w:hAnsi="Arial" w:cs="Arial"/>
        </w:rPr>
        <w:t>Obe obliki sodelovanja sta priznani v strategiji. V tematskem prednostnem področju, povezanem s 13. ciljem trajnostnega razvoja (SDG) Združenih narodov, Sprejeti nujne ukrepe za boj proti podnebnim spremembam in njihovim posledicam, strategija opredeljuje naslednji cilj mednarodnega razvojnega sodelovanja: "Kot del razvitega sveta bo Slovenija v skladu z načelom skupnih, vendar različne odgovornosti in posameznih zmožnosti prispevala ustrezno finančno podporo mednarodnim podnebnim ukrepom na področju zmanjšanja emisij toplogrednih plinov in prilagajanja na podnebne spremembe v partnerskih državah, vključno s prenosom ustreznih tehnologij in krepitvijo administrativnih zmogljivosti na tem področju. V ta namen bo uporabila tudi sredstva Sklada za podnebne spremembe Republike Slovenije za podporo izvajanju podnebnih ukrepov v partnerskih državah." (Str. 15.) Prenos tehnologij je naveden tudi v tematskem prednostnem področju Trajnostna in vključujoča gospodarska rast ("Slovenija bo prenesla dobre prakse, znanje in tehnologijo od slovenskih razvojnih partnerjev, pri čemer bo glavno vodilo uporabnost projektov za trajnostni razvoj partnerske države." – str. 14).</w:t>
      </w:r>
    </w:p>
    <w:p w14:paraId="376CB6A8" w14:textId="03D03410" w:rsidR="00FB4DC5" w:rsidRPr="007944FA" w:rsidRDefault="00FB4DC5" w:rsidP="00FB4DC5">
      <w:pPr>
        <w:pStyle w:val="Heading2"/>
      </w:pPr>
      <w:bookmarkStart w:id="205" w:name="_Toc196300849"/>
      <w:r w:rsidRPr="007944FA">
        <w:t>IV.B. Osnovne predpostavke, opredelitve in metodologije</w:t>
      </w:r>
      <w:bookmarkEnd w:id="205"/>
    </w:p>
    <w:p w14:paraId="331E025E" w14:textId="77777777" w:rsidR="00D54E1B" w:rsidRPr="007944FA" w:rsidRDefault="00D54E1B" w:rsidP="00D54E1B">
      <w:pPr>
        <w:jc w:val="both"/>
        <w:rPr>
          <w:rFonts w:ascii="Arial" w:hAnsi="Arial" w:cs="Arial"/>
          <w:b/>
          <w:bCs/>
        </w:rPr>
      </w:pPr>
      <w:r w:rsidRPr="007944FA">
        <w:rPr>
          <w:rFonts w:ascii="Arial" w:hAnsi="Arial" w:cs="Arial"/>
          <w:b/>
          <w:bCs/>
        </w:rPr>
        <w:t>Opis osnovnih predpostavk, metodologij in opredelitev</w:t>
      </w:r>
    </w:p>
    <w:tbl>
      <w:tblPr>
        <w:tblStyle w:val="Tabela-SLOG2"/>
        <w:tblW w:w="0" w:type="dxa"/>
        <w:tblLook w:val="04A0" w:firstRow="1" w:lastRow="0" w:firstColumn="1" w:lastColumn="0" w:noHBand="0" w:noVBand="1"/>
      </w:tblPr>
      <w:tblGrid>
        <w:gridCol w:w="4531"/>
        <w:gridCol w:w="4531"/>
      </w:tblGrid>
      <w:tr w:rsidR="00D54E1B" w:rsidRPr="0093506F" w14:paraId="119B5B8B" w14:textId="77777777" w:rsidTr="006D46D8">
        <w:trPr>
          <w:trHeight w:val="644"/>
        </w:trPr>
        <w:tc>
          <w:tcPr>
            <w:tcW w:w="4531" w:type="dxa"/>
          </w:tcPr>
          <w:p w14:paraId="214D9828" w14:textId="77777777" w:rsidR="00D54E1B" w:rsidRPr="007944FA" w:rsidRDefault="00D54E1B" w:rsidP="00D54E1B">
            <w:pPr>
              <w:jc w:val="both"/>
              <w:rPr>
                <w:rFonts w:ascii="Arial" w:hAnsi="Arial" w:cs="Arial"/>
                <w:b/>
                <w:bCs/>
                <w:sz w:val="18"/>
                <w:szCs w:val="18"/>
              </w:rPr>
            </w:pPr>
            <w:r w:rsidRPr="007944FA">
              <w:rPr>
                <w:rFonts w:ascii="Arial" w:hAnsi="Arial" w:cs="Arial"/>
                <w:b/>
                <w:bCs/>
                <w:sz w:val="18"/>
                <w:szCs w:val="18"/>
              </w:rPr>
              <w:t>Stoenaindvajseti odstavek modalitet, postopkov in smernic (MPGs) (18.CMA/1)</w:t>
            </w:r>
          </w:p>
        </w:tc>
        <w:tc>
          <w:tcPr>
            <w:tcW w:w="4531" w:type="dxa"/>
          </w:tcPr>
          <w:p w14:paraId="38D2FF5D" w14:textId="77777777" w:rsidR="00D54E1B" w:rsidRPr="007944FA" w:rsidRDefault="00D54E1B" w:rsidP="00D54E1B">
            <w:pPr>
              <w:jc w:val="both"/>
              <w:rPr>
                <w:rFonts w:ascii="Arial" w:hAnsi="Arial" w:cs="Arial"/>
                <w:b/>
                <w:bCs/>
                <w:sz w:val="18"/>
                <w:szCs w:val="18"/>
              </w:rPr>
            </w:pPr>
            <w:r w:rsidRPr="007944FA">
              <w:rPr>
                <w:rFonts w:ascii="Arial" w:hAnsi="Arial" w:cs="Arial"/>
                <w:b/>
                <w:bCs/>
                <w:sz w:val="18"/>
                <w:szCs w:val="18"/>
              </w:rPr>
              <w:t>Opis</w:t>
            </w:r>
          </w:p>
        </w:tc>
      </w:tr>
      <w:tr w:rsidR="00D54E1B" w:rsidRPr="0093506F" w14:paraId="32FBEC7F" w14:textId="77777777" w:rsidTr="006D46D8">
        <w:tc>
          <w:tcPr>
            <w:tcW w:w="4531" w:type="dxa"/>
            <w:shd w:val="clear" w:color="auto" w:fill="E8E8E8" w:themeFill="background2"/>
          </w:tcPr>
          <w:p w14:paraId="1013A549"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(a) izbrano poročevalsko leto (koledarsko leto, fiskalno leto)</w:t>
            </w:r>
          </w:p>
        </w:tc>
        <w:tc>
          <w:tcPr>
            <w:tcW w:w="4531" w:type="dxa"/>
          </w:tcPr>
          <w:p w14:paraId="5CB8A76D"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Poročamo na podlagi koledarskih let.</w:t>
            </w:r>
          </w:p>
        </w:tc>
      </w:tr>
      <w:tr w:rsidR="00D54E1B" w:rsidRPr="0093506F" w14:paraId="7CE780A7" w14:textId="77777777" w:rsidTr="006D46D8">
        <w:tc>
          <w:tcPr>
            <w:tcW w:w="4531" w:type="dxa"/>
            <w:shd w:val="clear" w:color="auto" w:fill="E8E8E8" w:themeFill="background2"/>
          </w:tcPr>
          <w:p w14:paraId="05AC8D32"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(b) pretvorba med domačo valuto in ameriškimi dolarji</w:t>
            </w:r>
          </w:p>
        </w:tc>
        <w:tc>
          <w:tcPr>
            <w:tcW w:w="4531" w:type="dxa"/>
          </w:tcPr>
          <w:p w14:paraId="47B16E76"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Uporabljamo uradne menjalne tečaje EUR-USD OECD DAC za dano poročevalsko leto.</w:t>
            </w:r>
          </w:p>
        </w:tc>
      </w:tr>
      <w:tr w:rsidR="00D54E1B" w:rsidRPr="0093506F" w14:paraId="629F4268" w14:textId="77777777" w:rsidTr="006D46D8">
        <w:tc>
          <w:tcPr>
            <w:tcW w:w="4531" w:type="dxa"/>
            <w:shd w:val="clear" w:color="auto" w:fill="E8E8E8" w:themeFill="background2"/>
          </w:tcPr>
          <w:p w14:paraId="583F7410" w14:textId="77777777" w:rsidR="00D54E1B" w:rsidRPr="007944FA" w:rsidRDefault="00D54E1B" w:rsidP="00D54E1B">
            <w:pPr>
              <w:jc w:val="both"/>
              <w:rPr>
                <w:rFonts w:ascii="Arial" w:hAnsi="Arial" w:cs="Arial"/>
                <w:sz w:val="18"/>
                <w:szCs w:val="18"/>
              </w:rPr>
            </w:pPr>
            <w:r w:rsidRPr="007944FA">
              <w:rPr>
                <w:rFonts w:ascii="Arial" w:hAnsi="Arial" w:cs="Arial"/>
                <w:sz w:val="18"/>
                <w:szCs w:val="18"/>
              </w:rPr>
              <w:t>(c) status (odobreno, izplačano)</w:t>
            </w:r>
          </w:p>
        </w:tc>
        <w:tc>
          <w:tcPr>
            <w:tcW w:w="4531" w:type="dxa"/>
          </w:tcPr>
          <w:p w14:paraId="15546B26"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Slovenija zbira oboje, vendar običajno zagotavlja in sporoča podatke o zneskih, izplačanih v ustreznem koledarskem letu.</w:t>
            </w:r>
          </w:p>
        </w:tc>
      </w:tr>
      <w:tr w:rsidR="00D54E1B" w:rsidRPr="0093506F" w14:paraId="0585FBF1" w14:textId="77777777" w:rsidTr="006D46D8">
        <w:tc>
          <w:tcPr>
            <w:tcW w:w="4531" w:type="dxa"/>
            <w:shd w:val="clear" w:color="auto" w:fill="E8E8E8" w:themeFill="background2"/>
          </w:tcPr>
          <w:p w14:paraId="12C37310" w14:textId="77777777" w:rsidR="00D54E1B" w:rsidRPr="007944FA" w:rsidRDefault="00D54E1B" w:rsidP="00D54E1B">
            <w:pPr>
              <w:jc w:val="both"/>
              <w:rPr>
                <w:rFonts w:ascii="Arial" w:hAnsi="Arial" w:cs="Arial"/>
                <w:sz w:val="18"/>
                <w:szCs w:val="18"/>
              </w:rPr>
            </w:pPr>
            <w:r w:rsidRPr="007944FA">
              <w:rPr>
                <w:rFonts w:ascii="Arial" w:hAnsi="Arial" w:cs="Arial"/>
                <w:sz w:val="18"/>
                <w:szCs w:val="18"/>
              </w:rPr>
              <w:t>(d) kanal (dvostranski, regionalni, večstransko-dvostranski, večstranski)</w:t>
            </w:r>
          </w:p>
        </w:tc>
        <w:tc>
          <w:tcPr>
            <w:tcW w:w="4531" w:type="dxa"/>
          </w:tcPr>
          <w:p w14:paraId="6F21FA23"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Kanal je opredeljen z uporabo dogovorjene metodologije OECD DAC.</w:t>
            </w:r>
            <w:r w:rsidRPr="007944FA">
              <w:rPr>
                <w:rFonts w:ascii="Arial" w:hAnsi="Arial" w:cs="Arial"/>
                <w:sz w:val="18"/>
                <w:szCs w:val="18"/>
                <w:vertAlign w:val="superscript"/>
              </w:rPr>
              <w:footnoteReference w:id="123"/>
            </w:r>
          </w:p>
        </w:tc>
      </w:tr>
      <w:tr w:rsidR="00D54E1B" w:rsidRPr="0093506F" w14:paraId="7782D94E" w14:textId="77777777" w:rsidTr="006D46D8">
        <w:tc>
          <w:tcPr>
            <w:tcW w:w="4531" w:type="dxa"/>
            <w:shd w:val="clear" w:color="auto" w:fill="E8E8E8" w:themeFill="background2"/>
          </w:tcPr>
          <w:p w14:paraId="001EFD55" w14:textId="77777777" w:rsidR="00D54E1B" w:rsidRPr="007944FA" w:rsidRDefault="00D54E1B" w:rsidP="00D54E1B">
            <w:pPr>
              <w:jc w:val="both"/>
              <w:rPr>
                <w:rFonts w:ascii="Arial" w:hAnsi="Arial" w:cs="Arial"/>
                <w:sz w:val="18"/>
                <w:szCs w:val="18"/>
              </w:rPr>
            </w:pPr>
            <w:r w:rsidRPr="007944FA">
              <w:rPr>
                <w:rFonts w:ascii="Arial" w:hAnsi="Arial" w:cs="Arial"/>
                <w:sz w:val="18"/>
                <w:szCs w:val="18"/>
              </w:rPr>
              <w:t>(e) vir financiranja (uradna razvojna pomoč (ODA), drugi uradni tokovi (OOF), drugo)</w:t>
            </w:r>
          </w:p>
        </w:tc>
        <w:tc>
          <w:tcPr>
            <w:tcW w:w="4531" w:type="dxa"/>
          </w:tcPr>
          <w:p w14:paraId="3FE962DF"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Vir financiranja je opredeljen z uporabo dogovorjene metodologije OECD DAC.</w:t>
            </w:r>
          </w:p>
        </w:tc>
      </w:tr>
      <w:tr w:rsidR="00D54E1B" w:rsidRPr="0093506F" w14:paraId="104421F0" w14:textId="77777777" w:rsidTr="006D46D8">
        <w:tc>
          <w:tcPr>
            <w:tcW w:w="4531" w:type="dxa"/>
            <w:shd w:val="clear" w:color="auto" w:fill="E8E8E8" w:themeFill="background2"/>
          </w:tcPr>
          <w:p w14:paraId="71D77AD2" w14:textId="77777777" w:rsidR="00D54E1B" w:rsidRPr="007944FA" w:rsidRDefault="00D54E1B" w:rsidP="00D54E1B">
            <w:pPr>
              <w:jc w:val="both"/>
              <w:rPr>
                <w:rFonts w:ascii="Arial" w:hAnsi="Arial" w:cs="Arial"/>
                <w:sz w:val="18"/>
                <w:szCs w:val="18"/>
              </w:rPr>
            </w:pPr>
            <w:r w:rsidRPr="007944FA">
              <w:rPr>
                <w:rFonts w:ascii="Arial" w:hAnsi="Arial" w:cs="Arial"/>
                <w:sz w:val="18"/>
                <w:szCs w:val="18"/>
              </w:rPr>
              <w:t>(f) finančni instrument (na primer nepovratna sredstva, koncesijsko posojilo, nekoncesijsko posojilo, lastniški kapital, jamstvo, zavarovanje, drugo (navedite))</w:t>
            </w:r>
          </w:p>
        </w:tc>
        <w:tc>
          <w:tcPr>
            <w:tcW w:w="4531" w:type="dxa"/>
          </w:tcPr>
          <w:p w14:paraId="728FC34C"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Finančni instrument je opredeljen z uporabo dogovorjene metodologije OECD DAC. Vsa podpora, zagotovljena in mobilizirana v obdobju 2021–2022, je bila v obliki nepovratnih sredstev.</w:t>
            </w:r>
          </w:p>
        </w:tc>
      </w:tr>
      <w:tr w:rsidR="00D54E1B" w:rsidRPr="0093506F" w14:paraId="5633483C" w14:textId="77777777" w:rsidTr="006D46D8">
        <w:tc>
          <w:tcPr>
            <w:tcW w:w="4531" w:type="dxa"/>
            <w:shd w:val="clear" w:color="auto" w:fill="E8E8E8" w:themeFill="background2"/>
          </w:tcPr>
          <w:p w14:paraId="20D6BA3F" w14:textId="0D21AAC0" w:rsidR="00D54E1B" w:rsidRPr="007944FA" w:rsidRDefault="00D54E1B" w:rsidP="00D54E1B">
            <w:pPr>
              <w:jc w:val="both"/>
              <w:rPr>
                <w:rFonts w:ascii="Arial" w:hAnsi="Arial" w:cs="Arial"/>
                <w:sz w:val="18"/>
                <w:szCs w:val="18"/>
              </w:rPr>
            </w:pPr>
            <w:r w:rsidRPr="007944FA">
              <w:rPr>
                <w:rFonts w:ascii="Arial" w:hAnsi="Arial" w:cs="Arial"/>
                <w:sz w:val="18"/>
                <w:szCs w:val="18"/>
              </w:rPr>
              <w:lastRenderedPageBreak/>
              <w:t xml:space="preserve">(g) informacije o poročanih instrumentih in virih financiranja, vključno s tem, kako je pogodbenica določila, da je financiranje koncesijsko in/ali ODA, pri čemer so uporabljene informacije, kot so enakovrednost nepovratnih sredstev, </w:t>
            </w:r>
            <w:r w:rsidR="0023796D" w:rsidRPr="007944FA">
              <w:rPr>
                <w:rFonts w:ascii="Arial" w:hAnsi="Arial" w:cs="Arial"/>
                <w:sz w:val="18"/>
                <w:szCs w:val="18"/>
              </w:rPr>
              <w:t>načini</w:t>
            </w:r>
            <w:r w:rsidRPr="007944FA">
              <w:rPr>
                <w:rFonts w:ascii="Arial" w:hAnsi="Arial" w:cs="Arial"/>
                <w:sz w:val="18"/>
                <w:szCs w:val="18"/>
              </w:rPr>
              <w:t>, ki temeljijo na institucijah in/ali instrumentih</w:t>
            </w:r>
          </w:p>
        </w:tc>
        <w:tc>
          <w:tcPr>
            <w:tcW w:w="4531" w:type="dxa"/>
          </w:tcPr>
          <w:p w14:paraId="68B3D65B"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Informacije o poročanih instrumentih in virih financiranja so opredeljene z uporabo dogovorjene metodologije OECD DAC.</w:t>
            </w:r>
          </w:p>
        </w:tc>
      </w:tr>
      <w:tr w:rsidR="00D54E1B" w:rsidRPr="0093506F" w14:paraId="29D2D630" w14:textId="77777777" w:rsidTr="006D46D8">
        <w:tc>
          <w:tcPr>
            <w:tcW w:w="4531" w:type="dxa"/>
            <w:shd w:val="clear" w:color="auto" w:fill="E8E8E8" w:themeFill="background2"/>
          </w:tcPr>
          <w:p w14:paraId="08670436" w14:textId="3A7DB5EB" w:rsidR="00D54E1B" w:rsidRPr="007944FA" w:rsidRDefault="00D54E1B" w:rsidP="00D54E1B">
            <w:pPr>
              <w:jc w:val="both"/>
              <w:rPr>
                <w:rFonts w:ascii="Arial" w:hAnsi="Arial" w:cs="Arial"/>
                <w:sz w:val="18"/>
                <w:szCs w:val="18"/>
              </w:rPr>
            </w:pPr>
            <w:r w:rsidRPr="007944FA">
              <w:rPr>
                <w:rFonts w:ascii="Arial" w:hAnsi="Arial" w:cs="Arial"/>
                <w:sz w:val="18"/>
                <w:szCs w:val="18"/>
              </w:rPr>
              <w:t xml:space="preserve">(h) vrsta podpore (na primer prilagajanje, </w:t>
            </w:r>
            <w:r w:rsidR="002C59CB" w:rsidRPr="007944FA">
              <w:rPr>
                <w:rFonts w:ascii="Arial" w:hAnsi="Arial" w:cs="Arial"/>
                <w:sz w:val="18"/>
                <w:szCs w:val="18"/>
              </w:rPr>
              <w:t>blaženje</w:t>
            </w:r>
            <w:r w:rsidRPr="007944FA">
              <w:rPr>
                <w:rFonts w:ascii="Arial" w:hAnsi="Arial" w:cs="Arial"/>
                <w:sz w:val="18"/>
                <w:szCs w:val="18"/>
              </w:rPr>
              <w:t>, horizontalna področja)</w:t>
            </w:r>
          </w:p>
        </w:tc>
        <w:tc>
          <w:tcPr>
            <w:tcW w:w="4531" w:type="dxa"/>
          </w:tcPr>
          <w:p w14:paraId="731939FF" w14:textId="575D4D3F" w:rsidR="00D54E1B" w:rsidRPr="007944FA" w:rsidRDefault="00D54E1B" w:rsidP="00D54E1B">
            <w:pPr>
              <w:jc w:val="both"/>
              <w:rPr>
                <w:rFonts w:ascii="Arial" w:hAnsi="Arial" w:cs="Arial"/>
                <w:b/>
                <w:bCs/>
                <w:sz w:val="18"/>
                <w:szCs w:val="18"/>
              </w:rPr>
            </w:pPr>
            <w:r w:rsidRPr="007944FA">
              <w:rPr>
                <w:rFonts w:ascii="Arial" w:hAnsi="Arial" w:cs="Arial"/>
                <w:sz w:val="18"/>
                <w:szCs w:val="18"/>
              </w:rPr>
              <w:t>Vrsta podpore je opredeljena z uporabo Rio označevalcev</w:t>
            </w:r>
            <w:r w:rsidRPr="007944FA">
              <w:rPr>
                <w:rFonts w:ascii="Arial" w:hAnsi="Arial" w:cs="Arial"/>
                <w:sz w:val="18"/>
                <w:szCs w:val="18"/>
                <w:vertAlign w:val="superscript"/>
              </w:rPr>
              <w:footnoteReference w:id="124"/>
            </w:r>
            <w:r w:rsidRPr="007944FA">
              <w:rPr>
                <w:rFonts w:ascii="Arial" w:hAnsi="Arial" w:cs="Arial"/>
                <w:sz w:val="18"/>
                <w:szCs w:val="18"/>
              </w:rPr>
              <w:t xml:space="preserve"> OECD DAC: projekt z Rio označevalcem za </w:t>
            </w:r>
            <w:r w:rsidR="002C59CB" w:rsidRPr="007944FA">
              <w:rPr>
                <w:rFonts w:ascii="Arial" w:hAnsi="Arial" w:cs="Arial"/>
                <w:sz w:val="18"/>
                <w:szCs w:val="18"/>
              </w:rPr>
              <w:t>blaženje</w:t>
            </w:r>
            <w:r w:rsidRPr="007944FA">
              <w:rPr>
                <w:rFonts w:ascii="Arial" w:hAnsi="Arial" w:cs="Arial"/>
                <w:sz w:val="18"/>
                <w:szCs w:val="18"/>
              </w:rPr>
              <w:t xml:space="preserve">, višjim od 1 ali enakim 1, in označevalcem za prilagajanje 0 je opredeljen kot projekt, ki podpira </w:t>
            </w:r>
            <w:r w:rsidR="002C59CB" w:rsidRPr="007944FA">
              <w:rPr>
                <w:rFonts w:ascii="Arial" w:hAnsi="Arial" w:cs="Arial"/>
                <w:sz w:val="18"/>
                <w:szCs w:val="18"/>
              </w:rPr>
              <w:t>blaženje</w:t>
            </w:r>
            <w:r w:rsidRPr="007944FA">
              <w:rPr>
                <w:rFonts w:ascii="Arial" w:hAnsi="Arial" w:cs="Arial"/>
                <w:sz w:val="18"/>
                <w:szCs w:val="18"/>
              </w:rPr>
              <w:t xml:space="preserve">; projekt z Rio označevalcem za </w:t>
            </w:r>
            <w:r w:rsidR="002C59CB" w:rsidRPr="007944FA">
              <w:rPr>
                <w:rFonts w:ascii="Arial" w:hAnsi="Arial" w:cs="Arial"/>
                <w:sz w:val="18"/>
                <w:szCs w:val="18"/>
              </w:rPr>
              <w:t>blaženje</w:t>
            </w:r>
            <w:r w:rsidRPr="007944FA">
              <w:rPr>
                <w:rFonts w:ascii="Arial" w:hAnsi="Arial" w:cs="Arial"/>
                <w:sz w:val="18"/>
                <w:szCs w:val="18"/>
              </w:rPr>
              <w:t xml:space="preserve"> 0 in označevalcem za prilagajanje, višjim od 1 ali enakim 1, je opredeljen kot projekt, ki podpira prilagajanje; projekt, pri katerem sta tako Rio označevalec za </w:t>
            </w:r>
            <w:r w:rsidR="002C59CB" w:rsidRPr="007944FA">
              <w:rPr>
                <w:rFonts w:ascii="Arial" w:hAnsi="Arial" w:cs="Arial"/>
                <w:sz w:val="18"/>
                <w:szCs w:val="18"/>
              </w:rPr>
              <w:t>blaženje</w:t>
            </w:r>
            <w:r w:rsidRPr="007944FA">
              <w:rPr>
                <w:rFonts w:ascii="Arial" w:hAnsi="Arial" w:cs="Arial"/>
                <w:sz w:val="18"/>
                <w:szCs w:val="18"/>
              </w:rPr>
              <w:t xml:space="preserve"> kot označevalec za prilagajanje višja od 1 ali enaka 1, pa je opredeljen kot horizontalni.</w:t>
            </w:r>
          </w:p>
        </w:tc>
      </w:tr>
      <w:tr w:rsidR="00D54E1B" w:rsidRPr="0093506F" w14:paraId="092717FC" w14:textId="77777777" w:rsidTr="006D46D8">
        <w:tc>
          <w:tcPr>
            <w:tcW w:w="4531" w:type="dxa"/>
            <w:shd w:val="clear" w:color="auto" w:fill="E8E8E8" w:themeFill="background2"/>
          </w:tcPr>
          <w:p w14:paraId="186FAE4E" w14:textId="04E3598F" w:rsidR="00D54E1B" w:rsidRPr="007944FA" w:rsidRDefault="00D54E1B" w:rsidP="00D54E1B">
            <w:pPr>
              <w:jc w:val="both"/>
              <w:rPr>
                <w:rFonts w:ascii="Arial" w:hAnsi="Arial" w:cs="Arial"/>
                <w:sz w:val="18"/>
                <w:szCs w:val="18"/>
              </w:rPr>
            </w:pPr>
            <w:r w:rsidRPr="007944FA">
              <w:rPr>
                <w:rFonts w:ascii="Arial" w:hAnsi="Arial" w:cs="Arial"/>
                <w:sz w:val="18"/>
                <w:szCs w:val="18"/>
              </w:rPr>
              <w:t xml:space="preserve">(i) </w:t>
            </w:r>
            <w:r w:rsidR="0023796D" w:rsidRPr="007944FA">
              <w:rPr>
                <w:rFonts w:ascii="Arial" w:hAnsi="Arial" w:cs="Arial"/>
                <w:sz w:val="18"/>
                <w:szCs w:val="18"/>
              </w:rPr>
              <w:t>S</w:t>
            </w:r>
            <w:r w:rsidRPr="007944FA">
              <w:rPr>
                <w:rFonts w:ascii="Arial" w:hAnsi="Arial" w:cs="Arial"/>
                <w:sz w:val="18"/>
                <w:szCs w:val="18"/>
              </w:rPr>
              <w:t>ektor</w:t>
            </w:r>
          </w:p>
        </w:tc>
        <w:tc>
          <w:tcPr>
            <w:tcW w:w="4531" w:type="dxa"/>
          </w:tcPr>
          <w:p w14:paraId="0F7EA907"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Sektor se nanaša na specifično področje gospodarske ali socialne strukture prejemnika, ki mu je finančna podpora namenjena za razvoj. Podobno kot celotna EU Slovenija uporablja nekoliko zmanjšano različico DAC CRS kod, pri čemer je koda 313 Ribištvo premaknjena pod kodo 311 Kmetijstvo, kodi 322</w:t>
            </w:r>
          </w:p>
        </w:tc>
      </w:tr>
    </w:tbl>
    <w:p w14:paraId="3BCFD8FE" w14:textId="77777777" w:rsidR="00D54E1B" w:rsidRPr="007944FA" w:rsidRDefault="00D54E1B" w:rsidP="00D54E1B">
      <w:pPr>
        <w:jc w:val="both"/>
        <w:rPr>
          <w:rFonts w:ascii="Arial" w:hAnsi="Arial" w:cs="Arial"/>
          <w:b/>
          <w:bCs/>
          <w:sz w:val="18"/>
          <w:szCs w:val="18"/>
        </w:rPr>
      </w:pPr>
    </w:p>
    <w:tbl>
      <w:tblPr>
        <w:tblStyle w:val="Tabela-SLOG2"/>
        <w:tblW w:w="0" w:type="auto"/>
        <w:tblLook w:val="04A0" w:firstRow="1" w:lastRow="0" w:firstColumn="1" w:lastColumn="0" w:noHBand="0" w:noVBand="1"/>
      </w:tblPr>
      <w:tblGrid>
        <w:gridCol w:w="4531"/>
        <w:gridCol w:w="4531"/>
      </w:tblGrid>
      <w:tr w:rsidR="00D54E1B" w:rsidRPr="0093506F" w14:paraId="72FC2892" w14:textId="77777777" w:rsidTr="006D46D8">
        <w:trPr>
          <w:trHeight w:val="992"/>
        </w:trPr>
        <w:tc>
          <w:tcPr>
            <w:tcW w:w="4531" w:type="dxa"/>
            <w:shd w:val="clear" w:color="auto" w:fill="E8E8E8" w:themeFill="background2"/>
          </w:tcPr>
          <w:p w14:paraId="2FC455D3" w14:textId="77777777" w:rsidR="00D54E1B" w:rsidRPr="007944FA" w:rsidRDefault="00D54E1B" w:rsidP="00D54E1B">
            <w:pPr>
              <w:jc w:val="both"/>
              <w:rPr>
                <w:rFonts w:ascii="Arial" w:hAnsi="Arial" w:cs="Arial"/>
                <w:b/>
                <w:bCs/>
                <w:sz w:val="18"/>
                <w:szCs w:val="18"/>
              </w:rPr>
            </w:pPr>
          </w:p>
        </w:tc>
        <w:tc>
          <w:tcPr>
            <w:tcW w:w="4531" w:type="dxa"/>
          </w:tcPr>
          <w:p w14:paraId="1A1D596B"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Mineralni viri in rudarstvo ter Gradbeništvo sta premaknjeni pod Industrijo (koda 321), medtem ko je koda 410 Splošno varstvo okolja premaknjena v Horizontalna področja. Slovenija tako poroča o naslednjih osmih sektorjih: Energija, Voda in sanitarna oskrba, Promet, Industrija, Kmetijstvo, Gozdarstvo, Horizontalna področja in Drugo.</w:t>
            </w:r>
          </w:p>
        </w:tc>
      </w:tr>
      <w:tr w:rsidR="00D54E1B" w:rsidRPr="0093506F" w14:paraId="796B3931" w14:textId="77777777" w:rsidTr="006D46D8">
        <w:tc>
          <w:tcPr>
            <w:tcW w:w="4531" w:type="dxa"/>
            <w:shd w:val="clear" w:color="auto" w:fill="E8E8E8" w:themeFill="background2"/>
          </w:tcPr>
          <w:p w14:paraId="4EAD6CEA"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(j) podsektor</w:t>
            </w:r>
          </w:p>
        </w:tc>
        <w:tc>
          <w:tcPr>
            <w:tcW w:w="4531" w:type="dxa"/>
          </w:tcPr>
          <w:p w14:paraId="6E381ADB"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Pri poročanju o podsektorskih informacijah se uporabljajo petmestne namenske kode OECD-DAC CRS.</w:t>
            </w:r>
          </w:p>
        </w:tc>
      </w:tr>
      <w:tr w:rsidR="00D54E1B" w:rsidRPr="0093506F" w14:paraId="0B766D79" w14:textId="77777777" w:rsidTr="006D46D8">
        <w:tc>
          <w:tcPr>
            <w:tcW w:w="4531" w:type="dxa"/>
            <w:shd w:val="clear" w:color="auto" w:fill="E8E8E8" w:themeFill="background2"/>
          </w:tcPr>
          <w:p w14:paraId="217E13E6"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(k) ali je podpiralo cilje krepitve zmogljivosti in/ali razvoja ter prenosa tehnologije</w:t>
            </w:r>
          </w:p>
        </w:tc>
        <w:tc>
          <w:tcPr>
            <w:tcW w:w="4531" w:type="dxa"/>
          </w:tcPr>
          <w:p w14:paraId="7CCE2535"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Subjektivna ocena na podlagi opredelitev krepitve zmogljivosti in prenosa tehnologije, kot je predstavljeno v točki 122 spodaj.</w:t>
            </w:r>
          </w:p>
        </w:tc>
      </w:tr>
      <w:tr w:rsidR="00D54E1B" w:rsidRPr="0093506F" w14:paraId="2AC3214F" w14:textId="77777777" w:rsidTr="006D46D8">
        <w:trPr>
          <w:trHeight w:val="2090"/>
        </w:trPr>
        <w:tc>
          <w:tcPr>
            <w:tcW w:w="4531" w:type="dxa"/>
            <w:shd w:val="clear" w:color="auto" w:fill="E8E8E8" w:themeFill="background2"/>
          </w:tcPr>
          <w:p w14:paraId="59528150" w14:textId="77777777" w:rsidR="00D54E1B" w:rsidRPr="007944FA" w:rsidRDefault="00D54E1B" w:rsidP="00D54E1B">
            <w:pPr>
              <w:jc w:val="both"/>
              <w:rPr>
                <w:rFonts w:ascii="Arial" w:hAnsi="Arial" w:cs="Arial"/>
                <w:b/>
                <w:bCs/>
                <w:sz w:val="18"/>
                <w:szCs w:val="18"/>
              </w:rPr>
            </w:pPr>
            <w:r w:rsidRPr="007944FA">
              <w:rPr>
                <w:rFonts w:ascii="Arial" w:hAnsi="Arial" w:cs="Arial"/>
                <w:sz w:val="18"/>
                <w:szCs w:val="18"/>
              </w:rPr>
              <w:t>(l) podpora kot podnebno specifična</w:t>
            </w:r>
          </w:p>
        </w:tc>
        <w:tc>
          <w:tcPr>
            <w:tcW w:w="4531" w:type="dxa"/>
          </w:tcPr>
          <w:p w14:paraId="4D37C968" w14:textId="088D87AF" w:rsidR="00D54E1B" w:rsidRPr="007944FA" w:rsidRDefault="00D54E1B" w:rsidP="0038553C">
            <w:pPr>
              <w:numPr>
                <w:ilvl w:val="0"/>
                <w:numId w:val="20"/>
              </w:numPr>
              <w:spacing w:before="100" w:beforeAutospacing="1" w:after="100" w:afterAutospacing="1"/>
              <w:ind w:left="0" w:firstLine="0"/>
              <w:jc w:val="both"/>
              <w:rPr>
                <w:rFonts w:ascii="Arial" w:eastAsia="Times New Roman" w:hAnsi="Arial" w:cs="Arial"/>
                <w:sz w:val="18"/>
                <w:szCs w:val="18"/>
              </w:rPr>
            </w:pPr>
            <w:r w:rsidRPr="007944FA">
              <w:rPr>
                <w:rFonts w:ascii="Arial" w:eastAsia="Times New Roman" w:hAnsi="Arial" w:cs="Arial"/>
                <w:sz w:val="18"/>
                <w:szCs w:val="18"/>
              </w:rPr>
              <w:t xml:space="preserve">Za dvostranske projekte, če ima vsaj eden od Rio označevalcev OECD DAC za </w:t>
            </w:r>
            <w:r w:rsidR="002C59CB" w:rsidRPr="007944FA">
              <w:rPr>
                <w:rFonts w:ascii="Arial" w:eastAsia="Times New Roman" w:hAnsi="Arial" w:cs="Arial"/>
                <w:sz w:val="18"/>
                <w:szCs w:val="18"/>
              </w:rPr>
              <w:t>blaženje</w:t>
            </w:r>
            <w:r w:rsidRPr="007944FA">
              <w:rPr>
                <w:rFonts w:ascii="Arial" w:eastAsia="Times New Roman" w:hAnsi="Arial" w:cs="Arial"/>
                <w:sz w:val="18"/>
                <w:szCs w:val="18"/>
              </w:rPr>
              <w:t xml:space="preserve"> ali prilagajanje vrednost 1 ali višjo.</w:t>
            </w:r>
          </w:p>
          <w:p w14:paraId="70367178" w14:textId="77777777" w:rsidR="00D54E1B" w:rsidRPr="007944FA" w:rsidRDefault="00D54E1B" w:rsidP="0038553C">
            <w:pPr>
              <w:numPr>
                <w:ilvl w:val="0"/>
                <w:numId w:val="20"/>
              </w:numPr>
              <w:spacing w:before="100" w:beforeAutospacing="1" w:after="100" w:afterAutospacing="1"/>
              <w:ind w:left="0" w:firstLine="0"/>
              <w:jc w:val="both"/>
              <w:rPr>
                <w:rFonts w:ascii="Arial" w:eastAsia="Times New Roman" w:hAnsi="Arial" w:cs="Arial"/>
                <w:sz w:val="18"/>
                <w:szCs w:val="18"/>
              </w:rPr>
            </w:pPr>
            <w:r w:rsidRPr="007944FA">
              <w:rPr>
                <w:rFonts w:ascii="Arial" w:eastAsia="Times New Roman" w:hAnsi="Arial" w:cs="Arial"/>
                <w:sz w:val="18"/>
                <w:szCs w:val="18"/>
              </w:rPr>
              <w:t>Pri večstranskih projektih uporabljamo pripisane deleže osnovnih prispevkov večstranskim organizacijam (IDA, IBRD, FAO, GEF in tako dalje), kot o njih poroča OECD DAC.</w:t>
            </w:r>
          </w:p>
          <w:p w14:paraId="73AC0EDD" w14:textId="77777777" w:rsidR="00D54E1B" w:rsidRPr="007944FA" w:rsidRDefault="00D54E1B" w:rsidP="00D54E1B">
            <w:pPr>
              <w:jc w:val="both"/>
              <w:rPr>
                <w:rFonts w:ascii="Arial" w:hAnsi="Arial" w:cs="Arial"/>
                <w:b/>
                <w:bCs/>
                <w:sz w:val="18"/>
                <w:szCs w:val="18"/>
              </w:rPr>
            </w:pPr>
          </w:p>
        </w:tc>
      </w:tr>
    </w:tbl>
    <w:p w14:paraId="1AE19244" w14:textId="77777777" w:rsidR="00D54E1B" w:rsidRPr="007944FA" w:rsidRDefault="00D54E1B" w:rsidP="00D54E1B">
      <w:pPr>
        <w:jc w:val="both"/>
        <w:rPr>
          <w:rFonts w:ascii="Arial" w:hAnsi="Arial" w:cs="Arial"/>
          <w:b/>
          <w:bCs/>
          <w:sz w:val="23"/>
          <w:szCs w:val="23"/>
        </w:rPr>
      </w:pPr>
    </w:p>
    <w:p w14:paraId="5AB507E1" w14:textId="77777777" w:rsidR="00D54E1B" w:rsidRPr="007944FA" w:rsidRDefault="00D54E1B" w:rsidP="00F704E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b/>
          <w:bCs/>
          <w:sz w:val="20"/>
          <w:szCs w:val="20"/>
          <w:lang w:eastAsia="sl-SI"/>
        </w:rPr>
      </w:pPr>
      <w:r w:rsidRPr="007944FA">
        <w:rPr>
          <w:rFonts w:ascii="Arial" w:eastAsiaTheme="majorEastAsia" w:hAnsi="Arial" w:cs="Arial"/>
          <w:sz w:val="20"/>
          <w:szCs w:val="20"/>
          <w:lang w:eastAsia="sl-SI"/>
        </w:rPr>
        <w:t>(m) informacije o prizadevanjih za preprečevanje dvojnega štetja, vključno s tem:</w:t>
      </w:r>
    </w:p>
    <w:p w14:paraId="6DFC2006" w14:textId="77777777" w:rsidR="00D54E1B" w:rsidRPr="007944FA" w:rsidRDefault="00D54E1B" w:rsidP="00F704E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heme="majorEastAsia" w:hAnsi="Arial" w:cs="Arial"/>
          <w:sz w:val="20"/>
          <w:szCs w:val="20"/>
          <w:lang w:eastAsia="sl-SI"/>
        </w:rPr>
        <w:t>(i)</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kako je bilo preprečeno dvojno štetje med več pogodbenicami, vključenimi v zagotavljanje podpore;</w:t>
      </w:r>
    </w:p>
    <w:p w14:paraId="7C65657C" w14:textId="77777777" w:rsidR="00D54E1B" w:rsidRPr="007944FA" w:rsidRDefault="00D54E1B" w:rsidP="00F704E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heme="majorEastAsia" w:hAnsi="Arial" w:cs="Arial"/>
          <w:sz w:val="20"/>
          <w:szCs w:val="20"/>
          <w:lang w:eastAsia="sl-SI"/>
        </w:rPr>
        <w:t>(ii)</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kako je bilo preprečeno dvojno štetje med več pogodbenicami, vključenimi v mobilizacijo zasebnega financiranja prek javnih ukrepov, vključno z metodologijami in predpostavkami, uporabljenimi za pripis mobiliziranih virov z javnimi ukrepi pogodbenici, ki o njih poroča, če je mogoče, glede na vrsto instrumenta, uporabljenega za mobilizacijo;</w:t>
      </w:r>
    </w:p>
    <w:p w14:paraId="58F3480C" w14:textId="77777777" w:rsidR="00D54E1B" w:rsidRPr="007944FA" w:rsidRDefault="00D54E1B" w:rsidP="00F704E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heme="majorEastAsia" w:hAnsi="Arial" w:cs="Arial"/>
          <w:sz w:val="20"/>
          <w:szCs w:val="20"/>
          <w:lang w:eastAsia="sl-SI"/>
        </w:rPr>
        <w:t>(iii)</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kako je bilo preprečeno dvojno štetje med viri, ki so poročani kot zagotovljeni ali mobilizirani, in viri, uporabljenimi v skladu s 6. členom Pariškega sporazuma, s strani pogodbenice, ki jih pridobi za dosego svojih nacionalno določenih prispevkov (NDC);</w:t>
      </w:r>
    </w:p>
    <w:p w14:paraId="081FD3E6" w14:textId="77777777" w:rsidR="00D54E1B" w:rsidRPr="007944FA" w:rsidRDefault="00D54E1B" w:rsidP="00F704E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heme="majorEastAsia" w:hAnsi="Arial" w:cs="Arial"/>
          <w:sz w:val="20"/>
          <w:szCs w:val="20"/>
          <w:lang w:eastAsia="sl-SI"/>
        </w:rPr>
        <w:t>(iv)</w:t>
      </w:r>
      <w:r w:rsidRPr="007944FA">
        <w:rPr>
          <w:rFonts w:ascii="Arial" w:eastAsia="Times New Roman" w:hAnsi="Arial" w:cs="Arial"/>
          <w:b/>
          <w:bCs/>
          <w:sz w:val="20"/>
          <w:szCs w:val="20"/>
          <w:lang w:eastAsia="sl-SI"/>
        </w:rPr>
        <w:t xml:space="preserve"> </w:t>
      </w:r>
      <w:r w:rsidRPr="007944FA">
        <w:rPr>
          <w:rFonts w:ascii="Arial" w:eastAsia="Times New Roman" w:hAnsi="Arial" w:cs="Arial"/>
          <w:sz w:val="20"/>
          <w:szCs w:val="20"/>
          <w:lang w:eastAsia="sl-SI"/>
        </w:rPr>
        <w:t>kako je podpora razdeljena med več prejemniških držav v primerih, ko projekt vključuje več prejemniških držav in kadar je o teh informacijah poročano za vsako državo posebej.</w:t>
      </w:r>
    </w:p>
    <w:p w14:paraId="4810C25F" w14:textId="77777777" w:rsidR="00D54E1B" w:rsidRPr="007944FA" w:rsidRDefault="00D54E1B" w:rsidP="00D54E1B">
      <w:pPr>
        <w:spacing w:before="100" w:beforeAutospacing="1" w:after="100" w:afterAutospacing="1" w:line="240" w:lineRule="auto"/>
        <w:rPr>
          <w:rFonts w:ascii="Arial" w:eastAsia="Times New Roman" w:hAnsi="Arial" w:cs="Arial"/>
          <w:lang w:eastAsia="sl-SI"/>
        </w:rPr>
      </w:pPr>
      <w:r w:rsidRPr="007944FA">
        <w:rPr>
          <w:rFonts w:ascii="Arial" w:eastAsia="Times New Roman" w:hAnsi="Arial" w:cs="Arial"/>
          <w:lang w:eastAsia="sl-SI"/>
        </w:rPr>
        <w:lastRenderedPageBreak/>
        <w:t>Slovenija si, da bi se izognila dvojnemu štetju, prizadeva za naslednje ukrepe:</w:t>
      </w:r>
    </w:p>
    <w:p w14:paraId="45FD899B" w14:textId="77777777" w:rsidR="00D54E1B" w:rsidRPr="007944FA" w:rsidRDefault="00D54E1B" w:rsidP="0038553C">
      <w:pPr>
        <w:numPr>
          <w:ilvl w:val="0"/>
          <w:numId w:val="20"/>
        </w:numPr>
        <w:spacing w:before="100" w:beforeAutospacing="1" w:after="100" w:afterAutospacing="1" w:line="240" w:lineRule="auto"/>
        <w:rPr>
          <w:rFonts w:ascii="Arial" w:eastAsia="Times New Roman" w:hAnsi="Arial" w:cs="Arial"/>
          <w:lang w:eastAsia="sl-SI"/>
        </w:rPr>
      </w:pPr>
      <w:r w:rsidRPr="007944FA">
        <w:rPr>
          <w:rFonts w:ascii="Arial" w:eastAsia="Times New Roman" w:hAnsi="Arial" w:cs="Arial"/>
          <w:lang w:eastAsia="sl-SI"/>
        </w:rPr>
        <w:t>pri dvostranskih projektih smo vključili samo vire financiranja iz Slovenije;</w:t>
      </w:r>
    </w:p>
    <w:p w14:paraId="2A94EA02" w14:textId="77777777" w:rsidR="00D54E1B" w:rsidRPr="007944FA" w:rsidRDefault="00D54E1B" w:rsidP="0038553C">
      <w:pPr>
        <w:numPr>
          <w:ilvl w:val="0"/>
          <w:numId w:val="20"/>
        </w:numPr>
        <w:spacing w:before="100" w:beforeAutospacing="1" w:after="100" w:afterAutospacing="1" w:line="240" w:lineRule="auto"/>
        <w:rPr>
          <w:rFonts w:ascii="Arial" w:eastAsia="Times New Roman" w:hAnsi="Arial" w:cs="Arial"/>
          <w:lang w:eastAsia="sl-SI"/>
        </w:rPr>
      </w:pPr>
      <w:r w:rsidRPr="007944FA">
        <w:rPr>
          <w:rFonts w:ascii="Arial" w:eastAsia="Times New Roman" w:hAnsi="Arial" w:cs="Arial"/>
          <w:lang w:eastAsia="sl-SI"/>
        </w:rPr>
        <w:t>projekti, ki vključujejo več držav prejemnic, se obravnavajo kot en sam projekt in se obračunajo in sporočijo samo enkrat;</w:t>
      </w:r>
    </w:p>
    <w:p w14:paraId="2DE21B61" w14:textId="77777777" w:rsidR="00D54E1B" w:rsidRPr="007944FA" w:rsidRDefault="00D54E1B" w:rsidP="0038553C">
      <w:pPr>
        <w:numPr>
          <w:ilvl w:val="0"/>
          <w:numId w:val="20"/>
        </w:numPr>
        <w:spacing w:before="100" w:beforeAutospacing="1" w:after="100" w:afterAutospacing="1" w:line="240" w:lineRule="auto"/>
        <w:rPr>
          <w:rFonts w:ascii="Arial" w:eastAsia="Times New Roman" w:hAnsi="Arial" w:cs="Arial"/>
          <w:lang w:eastAsia="sl-SI"/>
        </w:rPr>
      </w:pPr>
      <w:r w:rsidRPr="007944FA">
        <w:rPr>
          <w:rFonts w:ascii="Arial" w:eastAsia="Times New Roman" w:hAnsi="Arial" w:cs="Arial"/>
          <w:lang w:eastAsia="sl-SI"/>
        </w:rPr>
        <w:t>pri večstranskih projektih se o financiranju podnebnih sprememb poroča takoj, ko opravimo plačilo mednarodni organizaciji, in ne takrat, ko organizacija izvede nadaljnja plačila za posamezne projekte;</w:t>
      </w:r>
    </w:p>
    <w:p w14:paraId="56412B1C" w14:textId="77777777" w:rsidR="00D54E1B" w:rsidRPr="007944FA" w:rsidRDefault="00D54E1B" w:rsidP="0038553C">
      <w:pPr>
        <w:numPr>
          <w:ilvl w:val="0"/>
          <w:numId w:val="20"/>
        </w:numPr>
        <w:spacing w:before="100" w:beforeAutospacing="1" w:after="100" w:afterAutospacing="1" w:line="240" w:lineRule="auto"/>
        <w:rPr>
          <w:rFonts w:ascii="Arial" w:eastAsia="Times New Roman" w:hAnsi="Arial" w:cs="Arial"/>
          <w:lang w:eastAsia="sl-SI"/>
        </w:rPr>
      </w:pPr>
      <w:r w:rsidRPr="007944FA">
        <w:rPr>
          <w:rFonts w:ascii="Arial" w:eastAsia="Times New Roman" w:hAnsi="Arial" w:cs="Arial"/>
          <w:lang w:eastAsia="sl-SI"/>
        </w:rPr>
        <w:t>Slovenija ne uporablja nobenih mehanizmov, pomembnih za 6. člen Pariškega sporazuma.</w:t>
      </w:r>
    </w:p>
    <w:p w14:paraId="1D1FA6F8"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(n) opredelitev javnega in zasebnega financiranja, zlasti kadar gre za mešane subjekte ali sklade; </w:t>
      </w:r>
    </w:p>
    <w:p w14:paraId="62552ABE"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hAnsi="Arial" w:cs="Arial"/>
          <w:sz w:val="20"/>
          <w:szCs w:val="20"/>
        </w:rPr>
        <w:t>(o) kako je bilo zasebno financiranje ocenjeno kot mobilizirano zaradi javnih intervencij, vključno z […]:</w:t>
      </w:r>
    </w:p>
    <w:p w14:paraId="660B6F74" w14:textId="77777777" w:rsidR="00620899" w:rsidRDefault="00620899" w:rsidP="00620899">
      <w:pPr>
        <w:spacing w:after="100" w:afterAutospacing="1" w:line="240" w:lineRule="auto"/>
        <w:contextualSpacing/>
        <w:jc w:val="both"/>
        <w:rPr>
          <w:rFonts w:ascii="Arial" w:eastAsia="Times New Roman" w:hAnsi="Arial" w:cs="Arial"/>
          <w:lang w:eastAsia="sl-SI"/>
        </w:rPr>
      </w:pPr>
    </w:p>
    <w:p w14:paraId="7855B321" w14:textId="6C8C865C" w:rsidR="00D54E1B" w:rsidRDefault="00D54E1B" w:rsidP="00620899">
      <w:pPr>
        <w:spacing w:after="100" w:afterAutospacing="1" w:line="240" w:lineRule="auto"/>
        <w:contextualSpacing/>
        <w:jc w:val="both"/>
        <w:rPr>
          <w:rFonts w:ascii="Arial" w:eastAsia="Times New Roman" w:hAnsi="Arial" w:cs="Arial"/>
          <w:lang w:eastAsia="sl-SI"/>
        </w:rPr>
      </w:pPr>
      <w:r w:rsidRPr="007944FA">
        <w:rPr>
          <w:rFonts w:ascii="Arial" w:eastAsia="Times New Roman" w:hAnsi="Arial" w:cs="Arial"/>
          <w:lang w:eastAsia="sl-SI"/>
        </w:rPr>
        <w:t>Uporabljamo opredelitve zasebnega in javnega financiranja iz metodologije OECD DAC. Informacije so na voljo ob zavezi (podpis pogodbe, ki določa znesek komercialnega sofinanciranja). Poročano je bilo le o komercialnem financiranju kot "mobiliziranem zasebnem financiranju". Lastna sredstva nevladnih organizacij (kot vodilnih ali podizvajalcev), vložena v projekt, niso bila vključena v ta okvir. Zasebna (komercialna) sredstva se lahko zagotovijo v denarju ali v naravi kot strokovno znanje ali čas, vložen v projekt, ali kot material/storitve/oprema.</w:t>
      </w:r>
    </w:p>
    <w:p w14:paraId="58914328" w14:textId="77777777" w:rsidR="00620899" w:rsidRPr="007944FA" w:rsidRDefault="00620899" w:rsidP="00620899">
      <w:pPr>
        <w:spacing w:after="100" w:afterAutospacing="1" w:line="240" w:lineRule="auto"/>
        <w:contextualSpacing/>
        <w:jc w:val="both"/>
        <w:rPr>
          <w:rFonts w:ascii="Arial" w:eastAsia="Times New Roman" w:hAnsi="Arial" w:cs="Arial"/>
          <w:lang w:eastAsia="sl-SI"/>
        </w:rPr>
      </w:pPr>
    </w:p>
    <w:p w14:paraId="0AC5FFB7"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(p) kako se zagotavlja, da podpora, zagotovljena in mobilizirana z javnimi intervencijami, učinkovito obravnava potrebe in prednostne naloge držav v razvoju za izvajanje Pariškega sporazuma, kot je opredeljeno v strategijah in instrumentih, ki jih vodijo države, kot so dvoletna poročila o preglednosti, nacionalno določeni prispevki (NDC) in nacionalni načrti prilagajanja:</w:t>
      </w:r>
    </w:p>
    <w:p w14:paraId="68EFB35E"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Lastništvo je eno od načel učinkovitosti razvojnega sodelovanja, ki je vtkano v jedro naših razvojnih dejavnosti. Že na samem začetku, ko se oceni in določi prednostni seznam projektov, se usklajenost s potrebami partnerske države, regije ali lokalne skupnosti (s primerno dokumentacijo kot dokazom) ne obravnava le kot merilo, temveč kot predpogoj za izbor. Izvajalec projekta mora v projektni predlog vključiti vsaj eno lokalno organizacijo v partnerski državi. Med izpopolnjevanjem projektnega predloga ter izvajanjem in spremljanjem projekta si vedno prizadevamo za odprt dialog s prejemnikom, kar omogoča najučinkovitejše rezultate in uporabo virov.</w:t>
      </w:r>
    </w:p>
    <w:p w14:paraId="4EC11D93"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(q) kako se zagotavlja, da je podpora, zagotovljena in mobilizirana z javnimi intervencijami, v skladu z dolgoročnimi cilji Pariškega sporazuma:</w:t>
      </w:r>
    </w:p>
    <w:p w14:paraId="619876FA"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Slovenija je pri upoštevala opredelitve, priporočila in druge politike večstranskih organizacij, kot so Evropska unija, Združeni narodi in njihove agencije ter OECD DAC.</w:t>
      </w:r>
    </w:p>
    <w:p w14:paraId="31194836"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(r) navedba, katera nova in dodatna finančna sredstva so bila zagotovljena in kako je bilo ugotovljeno, da so ta sredstva nova in dodatna:</w:t>
      </w:r>
    </w:p>
    <w:p w14:paraId="31F40EF8"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Vsa sredstva, izplačana v obdobju 2021–2022, so nova in dodatna glede na sredstva, izplačana v prejšnjem poročevalnem obdobju.</w:t>
      </w:r>
    </w:p>
    <w:p w14:paraId="7AEF0147"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(s) kako informacije odražajo napredek v primerjavi s preteklimi ravnmi zagotavljanja in mobilizacije financiranja v okviru Pariškega sporazuma:</w:t>
      </w:r>
    </w:p>
    <w:p w14:paraId="3E11020B" w14:textId="76DE5D09"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Vključevanje varstva okolja, vključno s podnebnimi spremembami, se je v zadnjih nekaj letih okrepilo, še posebej po sprejetju nove Strategije razvojnega sodelovanja in humanitarne </w:t>
      </w:r>
      <w:r w:rsidRPr="007944FA">
        <w:rPr>
          <w:rFonts w:ascii="Arial" w:eastAsia="Times New Roman" w:hAnsi="Arial" w:cs="Arial"/>
          <w:lang w:eastAsia="sl-SI"/>
        </w:rPr>
        <w:lastRenderedPageBreak/>
        <w:t>pomoči leta 2018</w:t>
      </w:r>
      <w:r w:rsidR="001541C8" w:rsidRPr="007944FA">
        <w:rPr>
          <w:rFonts w:ascii="Arial" w:eastAsia="Times New Roman" w:hAnsi="Arial" w:cs="Arial"/>
          <w:lang w:eastAsia="sl-SI"/>
        </w:rPr>
        <w:t xml:space="preserve"> in v luči priprav Smernic za vključevanje varstva okolja, mednarodno razvojno sodelovanje in humanitarno pomoč</w:t>
      </w:r>
      <w:r w:rsidRPr="007944FA">
        <w:rPr>
          <w:rFonts w:ascii="Arial" w:eastAsia="Times New Roman" w:hAnsi="Arial" w:cs="Arial"/>
          <w:lang w:eastAsia="sl-SI"/>
        </w:rPr>
        <w:t>. Vključevanje zahteva celovito spremembo miselnosti, bodisi na strani finančnih institucij in izvajalskih agencij držav donatorjev bodisi na strani prejemniških institucij</w:t>
      </w:r>
      <w:r w:rsidR="001541C8" w:rsidRPr="007944FA">
        <w:rPr>
          <w:rFonts w:ascii="Arial" w:hAnsi="Arial" w:cs="Arial"/>
        </w:rPr>
        <w:t>.</w:t>
      </w:r>
      <w:r w:rsidR="00BA6BCF" w:rsidRPr="007944FA">
        <w:rPr>
          <w:rStyle w:val="FootnoteReference"/>
          <w:rFonts w:ascii="Arial" w:eastAsia="Times New Roman" w:hAnsi="Arial" w:cs="Arial"/>
          <w:lang w:eastAsia="sl-SI"/>
        </w:rPr>
        <w:footnoteReference w:id="125"/>
      </w:r>
    </w:p>
    <w:p w14:paraId="2D884693"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(t) informacije o poročanju o večstranskem financiranju, vključno s tem:</w:t>
      </w:r>
    </w:p>
    <w:p w14:paraId="6008426D"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 ali je poročanje o večstranskem financiranju osnovano na prispevku stranke v prilivih k večstranski instituciji in/ali na deležu stranke pri odlivu večstranske institucije,</w:t>
      </w:r>
    </w:p>
    <w:p w14:paraId="37E94550"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(ii) ali in kako je o večstranskem financiranju poročano kot o podnebno specifičnem in kako je bil izračunan podnebno specifični delež, vključno z uporabo obstoječih mednarodnih standardov,</w:t>
      </w:r>
    </w:p>
    <w:p w14:paraId="0B14CF41" w14:textId="77777777" w:rsidR="00D54E1B" w:rsidRPr="007944FA" w:rsidRDefault="00D54E1B" w:rsidP="00D54E1B">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(iii) ali je o večstranskem financiranju poročano kot o osnovnem/splošnem, pri čemer je treba razumeti, da je dejanski znesek podnebnega financiranja, v katerega se bo organizacija preoblikovala, odvisen od strateških prednostnih nalog, o katerih je bilo dogovorjeno z upravnimi organi, in od programskih izbir večstranskih institucij;</w:t>
      </w:r>
    </w:p>
    <w:p w14:paraId="4B0E7330" w14:textId="4E206C6C" w:rsidR="00BA6BCF" w:rsidRPr="007944FA" w:rsidRDefault="00D54E1B" w:rsidP="00BA6BCF">
      <w:pPr>
        <w:pBdr>
          <w:top w:val="single" w:sz="4" w:space="1" w:color="auto"/>
          <w:left w:val="single" w:sz="4" w:space="0" w:color="auto"/>
          <w:bottom w:val="single" w:sz="4" w:space="1" w:color="auto"/>
          <w:right w:val="single" w:sz="4" w:space="4" w:color="auto"/>
        </w:pBdr>
        <w:shd w:val="clear" w:color="auto" w:fill="E8E8E8" w:themeFill="background2"/>
        <w:spacing w:before="100" w:beforeAutospacing="1" w:after="100" w:afterAutospacing="1" w:line="240" w:lineRule="auto"/>
        <w:contextualSpacing/>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(iv) ali in kako je bilo večstransko financiranje pripisano poročevalski stranki.</w:t>
      </w:r>
    </w:p>
    <w:p w14:paraId="72B2372B" w14:textId="77777777" w:rsidR="00BA6BCF" w:rsidRPr="007944FA" w:rsidRDefault="00BA6BCF" w:rsidP="00D54E1B">
      <w:pPr>
        <w:spacing w:before="100" w:beforeAutospacing="1" w:after="100" w:afterAutospacing="1" w:line="240" w:lineRule="auto"/>
        <w:jc w:val="both"/>
        <w:rPr>
          <w:rFonts w:ascii="Arial" w:eastAsia="Times New Roman" w:hAnsi="Arial" w:cs="Arial"/>
          <w:lang w:eastAsia="sl-SI"/>
        </w:rPr>
      </w:pPr>
    </w:p>
    <w:p w14:paraId="484F1637" w14:textId="10DC68EE"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O večstranskem financiranju je bilo poročano na podlagi prispevka Slovenije v prilivih večstranskim institucijam. Podnebno specifični delež se izračuna z uporabo vloženih večstranskih deležev, o katerih poroča OECD DAC. Podobno se večstransko financiranje pripisuje Sloveniji na podlagi izračuna prilivov iz Slovenije in odlivi iz prejšnjih let, kot jih konsolidira OECD DAC.</w:t>
      </w:r>
    </w:p>
    <w:p w14:paraId="1D142867"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O večstranskem financiranju je bilo poročano kot o osnovnem/splošnem, pri čemer je treba razumeti, da je dejanski znesek podnebnega financiranja, v katerega bi se organizacija preoblikovala, odvisen od strateških prednostnih nalog, o katerih je bilo dogovorjeno z upravnimi organi, in programskih izbir večstranskih institucij.</w:t>
      </w:r>
    </w:p>
    <w:p w14:paraId="295ECAE4" w14:textId="77777777" w:rsidR="00D54E1B" w:rsidRPr="007944FA" w:rsidRDefault="00D54E1B" w:rsidP="00D54E1B">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jc w:val="both"/>
        <w:rPr>
          <w:rFonts w:ascii="Arial" w:eastAsia="Times New Roman" w:hAnsi="Arial" w:cs="Arial"/>
          <w:sz w:val="20"/>
          <w:szCs w:val="20"/>
          <w:lang w:eastAsia="sl-SI"/>
        </w:rPr>
      </w:pPr>
      <w:r w:rsidRPr="007944FA">
        <w:rPr>
          <w:rFonts w:ascii="Arial" w:eastAsia="Times New Roman" w:hAnsi="Arial" w:cs="Arial"/>
          <w:sz w:val="20"/>
          <w:szCs w:val="20"/>
          <w:lang w:eastAsia="sl-SI"/>
        </w:rPr>
        <w:t>122. Opis osnovnih predvidevanj, opredelitev in metodologij, uporabljenih za zagotavljanje informacij o razvoju tehnologij in prenosu ter podpori za krepitev zmogljivosti.</w:t>
      </w:r>
    </w:p>
    <w:p w14:paraId="349A4DA4"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Za razliko od dodeljevanja ciljev blaženja ali prilagajanja projektu, kjer se uporabljajo Rio markerji, ni podobnega sistema za prepoznavanje komponent prenosa tehnologije ali krepitve zmogljivosti znotraj projekta. Zato se zanašamo na kvalitativne ocene, ki temeljijo na opredelitvah, ki jih uporablja EU:</w:t>
      </w:r>
    </w:p>
    <w:p w14:paraId="1EA16AFD" w14:textId="77777777" w:rsidR="00D54E1B" w:rsidRPr="007944FA" w:rsidRDefault="00D54E1B" w:rsidP="00D54E1B">
      <w:pPr>
        <w:spacing w:before="100" w:beforeAutospacing="1" w:after="100" w:afterAutospacing="1" w:line="240" w:lineRule="auto"/>
        <w:jc w:val="both"/>
        <w:rPr>
          <w:rFonts w:ascii="Arial" w:eastAsia="Times New Roman" w:hAnsi="Arial" w:cs="Arial"/>
          <w:lang w:eastAsia="sl-SI"/>
        </w:rPr>
      </w:pPr>
      <w:r w:rsidRPr="007944FA">
        <w:rPr>
          <w:rFonts w:ascii="Arial" w:eastAsiaTheme="majorEastAsia" w:hAnsi="Arial" w:cs="Arial"/>
          <w:i/>
          <w:iCs/>
          <w:lang w:eastAsia="sl-SI"/>
        </w:rPr>
        <w:t>Razvoj in prenos tehnologije</w:t>
      </w:r>
      <w:r w:rsidRPr="007944FA">
        <w:rPr>
          <w:rFonts w:ascii="Arial" w:eastAsiaTheme="majorEastAsia" w:hAnsi="Arial" w:cs="Arial"/>
          <w:bCs/>
          <w:lang w:eastAsia="sl-SI"/>
        </w:rPr>
        <w:t>:</w:t>
      </w:r>
      <w:r w:rsidRPr="007944FA">
        <w:rPr>
          <w:rFonts w:ascii="Arial" w:eastAsia="Times New Roman" w:hAnsi="Arial" w:cs="Arial"/>
          <w:b/>
          <w:lang w:eastAsia="sl-SI"/>
        </w:rPr>
        <w:t xml:space="preserve"> </w:t>
      </w:r>
      <w:r w:rsidRPr="007944FA">
        <w:rPr>
          <w:rFonts w:ascii="Arial" w:eastAsia="Times New Roman" w:hAnsi="Arial" w:cs="Arial"/>
          <w:lang w:eastAsia="sl-SI"/>
        </w:rPr>
        <w:t>Gre za širok spekter procesov, ki vključujejo izmenjavo znanja in strokovnega znanja ter zagotavljanje opreme za pomoč pri blaženju podnebnih sprememb in prilagajanju nanje. Prenos tehnologije lahko poteka med različnimi deležniki, vključno z vladami, organizacijami zasebnega sektorja, finančnimi institucijami, nevladnimi organizacijami (NVO) ter raziskovalnimi ali izobraževalnimi institucijami. Izraz prenos zajema proces učenja za razumevanje, uporabo in repliciranje tehnologije, kar zagotavlja sposobnost sprejemanja najprimernejših tehnologij, prilagajanja lokalnim razmeram ter integracije z lokalnimi (avtohtonimi) tehnologijami (prilagojeno po opredelitvi IPCC o prenosu tehnologije, povezane s podnebjem).</w:t>
      </w:r>
    </w:p>
    <w:p w14:paraId="6A4A6610" w14:textId="38C27994" w:rsidR="00620899" w:rsidRPr="00620899" w:rsidRDefault="00D54E1B" w:rsidP="00620899">
      <w:pPr>
        <w:spacing w:before="100" w:beforeAutospacing="1" w:after="100" w:afterAutospacing="1" w:line="240" w:lineRule="auto"/>
        <w:jc w:val="both"/>
        <w:rPr>
          <w:rFonts w:ascii="Arial" w:eastAsia="Times New Roman" w:hAnsi="Arial" w:cs="Arial"/>
          <w:lang w:eastAsia="sl-SI"/>
        </w:rPr>
      </w:pPr>
      <w:r w:rsidRPr="007944FA">
        <w:rPr>
          <w:rFonts w:ascii="Arial" w:eastAsiaTheme="majorEastAsia" w:hAnsi="Arial" w:cs="Arial"/>
          <w:i/>
          <w:iCs/>
          <w:lang w:eastAsia="sl-SI"/>
        </w:rPr>
        <w:t>Krepitev zmogljivosti</w:t>
      </w:r>
      <w:r w:rsidRPr="007944FA">
        <w:rPr>
          <w:rFonts w:ascii="Arial" w:eastAsiaTheme="majorEastAsia" w:hAnsi="Arial" w:cs="Arial"/>
          <w:bCs/>
          <w:lang w:eastAsia="sl-SI"/>
        </w:rPr>
        <w:t>:</w:t>
      </w:r>
      <w:r w:rsidRPr="007944FA">
        <w:rPr>
          <w:rFonts w:ascii="Arial" w:eastAsia="Times New Roman" w:hAnsi="Arial" w:cs="Arial"/>
          <w:b/>
          <w:lang w:eastAsia="sl-SI"/>
        </w:rPr>
        <w:t xml:space="preserve"> </w:t>
      </w:r>
      <w:r w:rsidRPr="007944FA">
        <w:rPr>
          <w:rFonts w:ascii="Arial" w:eastAsia="Times New Roman" w:hAnsi="Arial" w:cs="Arial"/>
          <w:lang w:eastAsia="sl-SI"/>
        </w:rPr>
        <w:t xml:space="preserve">Krepitev zmogljivosti vključuje prizadevanja za razvijanje, krepitev in izboljšanje obstoječih znanstvenih in tehničnih veščin, zmogljivosti in institucij, zlasti v državah v razvoju. To jim omogoča učinkovito ocenjevanje, prilagajanje, upravljanje in razvoj tehnologij. Aktivnosti morajo biti usmerjene v posamezno državo ter morajo upoštevati specifične potrebe in okoliščine vsake države, hkrati pa se usklajevati z njihovimi strategijami, prednostnimi </w:t>
      </w:r>
      <w:r w:rsidRPr="007944FA">
        <w:rPr>
          <w:rFonts w:ascii="Arial" w:eastAsia="Times New Roman" w:hAnsi="Arial" w:cs="Arial"/>
          <w:lang w:eastAsia="sl-SI"/>
        </w:rPr>
        <w:lastRenderedPageBreak/>
        <w:t>nalogami in pobudami za trajnostni razvoj (prilagojeno po opredelitvi UNFCCC o aktivnostih krepitve zmogljivosti).</w:t>
      </w:r>
    </w:p>
    <w:p w14:paraId="21E4BBBA" w14:textId="4473D52F" w:rsidR="00FB4DC5" w:rsidRPr="007944FA" w:rsidRDefault="00FB4DC5" w:rsidP="00FB4DC5">
      <w:pPr>
        <w:pStyle w:val="Heading2"/>
      </w:pPr>
      <w:bookmarkStart w:id="206" w:name="_Toc196300850"/>
      <w:r w:rsidRPr="007944FA">
        <w:t>IV.C. Informacije o zagotovljeni in mobilizirani finančni podpori v skladu s členom 9 Pariškega sporazuma</w:t>
      </w:r>
      <w:bookmarkEnd w:id="206"/>
    </w:p>
    <w:p w14:paraId="246F74D0" w14:textId="563457DE"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123. Ustrezne informacije v tabelarni obliki za pretekli dve poročevalski leti, brez prekrivanja s preteklimi poročevalskimi obdobji, o zagotovljeni dvostranski in regionalni finančni podpori, pri čemer se navede:</w:t>
      </w:r>
    </w:p>
    <w:p w14:paraId="62E1273A"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(a) Leto (koledarsko leto, fiskalno leto);</w:t>
      </w:r>
    </w:p>
    <w:p w14:paraId="72AAC9D6"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(b) Znesek (v ameriških dolarjih in domači valuti) (nominalna vrednost in, na prostovoljni osnovi, vrednost v obliki nepovratnih sredstev);</w:t>
      </w:r>
    </w:p>
    <w:p w14:paraId="1D0E1AEB"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(c) Prejemnik, vključno s podatki o regiji ali državi prejemnici, če so na voljo, ter naslovom projekta, programa, dejavnosti ali drugega (navedite);</w:t>
      </w:r>
    </w:p>
    <w:p w14:paraId="412B6CBB"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(d) Status (izplačano, dodeljeno);</w:t>
      </w:r>
    </w:p>
    <w:p w14:paraId="39F72716"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(e) Kanal (dvostranski, regionalni, večstranski dvostranski, drugo (navedite));</w:t>
      </w:r>
    </w:p>
    <w:p w14:paraId="59A35912"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(f) Vir financiranja (ODA – uradna razvojna pomoč, OOF – drugi uradni tokovi, drugo (navedite));</w:t>
      </w:r>
    </w:p>
    <w:p w14:paraId="6A9CFED3"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(g) Finančni instrument (npr. nepovratna sredstva, posojilo s subvencionirano obrestno mero, posojilo s tržno obrestno mero, lastniški kapital, jamstvo, zavarovanje, drugo (navedite));</w:t>
      </w:r>
    </w:p>
    <w:p w14:paraId="23E8C516"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(h) Vrsta podpore (npr. prilagajanje, blaženje podnebnih sprememb ali prečno področje);</w:t>
      </w:r>
    </w:p>
    <w:p w14:paraId="33DDAE11"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(i) Sektor (npr. energetika, transport, industrija, kmetijstvo, gozdarstvo, voda in sanitarne storitve, prečno področje, drugo (navedite));</w:t>
      </w:r>
    </w:p>
    <w:p w14:paraId="5A6B8A2E"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(j) Podsektor, če je na voljo;</w:t>
      </w:r>
    </w:p>
    <w:p w14:paraId="6AA0F5E7"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(k) Dodatne informacije, če so na voljo (kot so podrobnosti o projektu/programu, izvajalska agencija in, če je mogoče, povezava do ustrezne projektne/programske dokumentacije);</w:t>
      </w:r>
    </w:p>
    <w:p w14:paraId="3C068E0A"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(l) Ali prispeva k ciljem krepitev zmogljivosti in/ali razvoju ter prenosu tehnologij, če so na voljo.</w:t>
      </w:r>
    </w:p>
    <w:p w14:paraId="76EC1024" w14:textId="52747B6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124. Ustrezne informacije v tabelarni obliki za pretekli dve poročevalski leti, brez prekrivanja s preteklimi poročevalskimi obdobji, o finančni podpori, zagotovljeni prek večstranskih kanalov, pri čemer se navede:</w:t>
      </w:r>
    </w:p>
    <w:p w14:paraId="593420F9"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(a) Leto (koledarsko leto, fiskalno leto);</w:t>
      </w:r>
    </w:p>
    <w:p w14:paraId="3FE1DFE0"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(b) Institucija (npr. večstranski sklad, operativni subjekti finančnega mehanizma, subjekti tehnološkega mehanizma, večstranska finančna institucija, mednarodna organizacija, drugo (navedite));</w:t>
      </w:r>
    </w:p>
    <w:p w14:paraId="57567209"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(c) Znesek (v ameriških dolarjih in domači valuti) (nominalna vrednost in, na prostovoljni osnovi, vrednost v obliki nepovratnih sredstev);</w:t>
      </w:r>
    </w:p>
    <w:p w14:paraId="2A619F0F"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(d) Splošno-jedrni ali podnebno specifični namen, če je ustrezno;</w:t>
      </w:r>
    </w:p>
    <w:p w14:paraId="7E1FC97A"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(e) Prilivi in/ali odlivi, če je ustrezno;</w:t>
      </w:r>
    </w:p>
    <w:p w14:paraId="24815504"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(f) Prejemnik (npr. država, regija, globalni projekt, program, dejavnost, drugo (navedite)), če je ustrezno in na voljo;</w:t>
      </w:r>
    </w:p>
    <w:p w14:paraId="10A7527F"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(g) Status (izplačano, dodeljeno);</w:t>
      </w:r>
    </w:p>
    <w:p w14:paraId="7E149605"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(h) Kanal (večstranski, večstranski dvostranski);</w:t>
      </w:r>
    </w:p>
    <w:p w14:paraId="76CC2D62"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(i) Vir financiranja (ODA, OOF, drugo (navedite));</w:t>
      </w:r>
    </w:p>
    <w:p w14:paraId="11F5F447"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(j) Finančni instrument (npr. nepovratna sredstva, posojilo s subvencionirano obrestno mero, posojilo s tržno obrestno mero, lastniški kapital, jamstvo, zavarovanje, drugo (navedite));</w:t>
      </w:r>
    </w:p>
    <w:p w14:paraId="23A8FC05"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(k) Vrsta podpore (npr. prilagajanje, blaženje podnebnih sprememb ali prečno področje), če je na voljo;</w:t>
      </w:r>
    </w:p>
    <w:p w14:paraId="24D91672"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(l) Sektor (npr. energetika, transport, industrija, kmetijstvo, gozdarstvo, voda in sanitarne storitve, prečno področje, drugo (navedite)), če je na voljo;</w:t>
      </w:r>
    </w:p>
    <w:p w14:paraId="373EE9F5"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(m) Podsektor, če je na voljo;</w:t>
      </w:r>
    </w:p>
    <w:p w14:paraId="03A22DFB"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(n) Ali prispeva k ciljem krepitev zmogljivosti in/ali razvoju ter prenosu tehnologij, če je ustrezno in na voljo.</w:t>
      </w:r>
    </w:p>
    <w:p w14:paraId="1B37DCF3" w14:textId="28187E3F"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125. Ustrezne informacije v besedilni in/ali tabelarni obliki za pretekli dve poročevalski leti, brez prekrivanja s preteklimi poročevalskimi obdobji, o finančni podpori, pridobljeni prek javnih intervencij prek dvostranskih, regionalnih in večstranskih kanalov, vključno z operativnimi subjekti finančnega mehanizma in subjekti tehnološkega mehanizma, če je ustrezno in kolikor je mogoče, pri čemer se navede:</w:t>
      </w:r>
    </w:p>
    <w:p w14:paraId="49242387"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(a) Leto (koledarsko leto, fiskalno leto);</w:t>
      </w:r>
    </w:p>
    <w:p w14:paraId="0A73D64D"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lastRenderedPageBreak/>
        <w:t>(b) Znesek (v ameriških dolarjih in domači valuti) (nominalna vrednost in, na prostovoljni osnovi, vrednost v obliki nepovratnih sredstev, če je ustrezno);</w:t>
      </w:r>
    </w:p>
    <w:p w14:paraId="18F0FCCD"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(c) Višina sredstev, uporabljenih za pridobitev podpore (v ameriških dolarjih in domači valuti);</w:t>
      </w:r>
    </w:p>
    <w:p w14:paraId="701EFA1E"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(d) Vrsta uporabljene javne intervencije (npr. nepovratna sredstva, posojilo s subvencionirano obrestno mero, posojilo s tržno obrestno mero, lastniški kapital, jamstvo, zavarovanje, politična intervencija, krepitev zmogljivosti, razvoj in prenos tehnologij, tehnična pomoč);</w:t>
      </w:r>
    </w:p>
    <w:p w14:paraId="6F6E5332"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(e) Prejemnik (država, regija, globalni projekt, program, dejavnost, drugo (navedite));</w:t>
      </w:r>
    </w:p>
    <w:p w14:paraId="767AA091"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(f) Kanal (dvostranski, regionalni, večstranski);</w:t>
      </w:r>
    </w:p>
    <w:p w14:paraId="596EE12C"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(g) Vrsta podpore (npr. prilagajanje, blaženje podnebnih sprememb ali prečno področje);</w:t>
      </w:r>
    </w:p>
    <w:p w14:paraId="0DC130A0"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(h) Sektor (npr. energetika, transport, industrija, kmetijstvo, gozdarstvo, voda in sanitarne storitve, prečno področje, drugo (navedite));</w:t>
      </w:r>
    </w:p>
    <w:p w14:paraId="47732338" w14:textId="77777777" w:rsidR="00D54E1B" w:rsidRPr="007944FA" w:rsidRDefault="00D54E1B" w:rsidP="00CD6518">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(i) Podsektor;</w:t>
      </w:r>
    </w:p>
    <w:p w14:paraId="0B02F27E" w14:textId="25DB1488" w:rsidR="00CD6518" w:rsidRPr="007944FA" w:rsidRDefault="00D54E1B" w:rsidP="00CD714B">
      <w:pPr>
        <w:pBdr>
          <w:top w:val="single" w:sz="4" w:space="1" w:color="auto"/>
          <w:left w:val="single" w:sz="4" w:space="4" w:color="auto"/>
          <w:bottom w:val="single" w:sz="4" w:space="1" w:color="auto"/>
          <w:right w:val="single" w:sz="4" w:space="4" w:color="auto"/>
        </w:pBdr>
        <w:shd w:val="clear" w:color="auto" w:fill="E8E8E8" w:themeFill="background2"/>
        <w:contextualSpacing/>
        <w:jc w:val="both"/>
        <w:rPr>
          <w:rFonts w:ascii="Arial" w:hAnsi="Arial" w:cs="Arial"/>
          <w:sz w:val="20"/>
          <w:szCs w:val="20"/>
        </w:rPr>
      </w:pPr>
      <w:r w:rsidRPr="007944FA">
        <w:rPr>
          <w:rFonts w:ascii="Arial" w:hAnsi="Arial" w:cs="Arial"/>
          <w:sz w:val="20"/>
          <w:szCs w:val="20"/>
        </w:rPr>
        <w:t>(j) Dodatne informacije.</w:t>
      </w:r>
    </w:p>
    <w:p w14:paraId="660692F6" w14:textId="4C0D77FF" w:rsidR="00CD6518" w:rsidRPr="007944FA" w:rsidRDefault="00CD6518" w:rsidP="00CD6518">
      <w:pPr>
        <w:pStyle w:val="NormalWeb"/>
        <w:jc w:val="both"/>
        <w:rPr>
          <w:rFonts w:ascii="Arial" w:hAnsi="Arial" w:cs="Arial"/>
          <w:sz w:val="22"/>
          <w:szCs w:val="22"/>
        </w:rPr>
      </w:pPr>
      <w:r w:rsidRPr="007944FA">
        <w:rPr>
          <w:rFonts w:ascii="Arial" w:hAnsi="Arial" w:cs="Arial"/>
          <w:sz w:val="22"/>
          <w:szCs w:val="22"/>
        </w:rPr>
        <w:t xml:space="preserve">Slovensko podnebno financiranje je v poročevalnem obdobju iz vseh javnih virov znašalo 9,70 milijona </w:t>
      </w:r>
      <w:r w:rsidR="0023796D" w:rsidRPr="007944FA">
        <w:rPr>
          <w:rFonts w:ascii="Arial" w:hAnsi="Arial" w:cs="Arial"/>
          <w:sz w:val="22"/>
          <w:szCs w:val="22"/>
        </w:rPr>
        <w:t>evrov</w:t>
      </w:r>
      <w:r w:rsidRPr="007944FA">
        <w:rPr>
          <w:rFonts w:ascii="Arial" w:hAnsi="Arial" w:cs="Arial"/>
          <w:sz w:val="22"/>
          <w:szCs w:val="22"/>
        </w:rPr>
        <w:t xml:space="preserve"> (slika 39). Slovenija je v letu 2021 zagotovila 4,94 milijona </w:t>
      </w:r>
      <w:r w:rsidR="0023796D" w:rsidRPr="007944FA">
        <w:rPr>
          <w:rFonts w:ascii="Arial" w:hAnsi="Arial" w:cs="Arial"/>
          <w:sz w:val="22"/>
          <w:szCs w:val="22"/>
        </w:rPr>
        <w:t>evrov</w:t>
      </w:r>
      <w:r w:rsidRPr="007944FA">
        <w:rPr>
          <w:rFonts w:ascii="Arial" w:hAnsi="Arial" w:cs="Arial"/>
          <w:sz w:val="22"/>
          <w:szCs w:val="22"/>
        </w:rPr>
        <w:t xml:space="preserve"> in v letu 2022 4,76 milijona evrov (</w:t>
      </w:r>
      <w:r w:rsidR="00BE6A10" w:rsidRPr="007944FA">
        <w:rPr>
          <w:rFonts w:ascii="Arial" w:hAnsi="Arial" w:cs="Arial"/>
          <w:sz w:val="22"/>
          <w:szCs w:val="22"/>
        </w:rPr>
        <w:t xml:space="preserve">preglednici </w:t>
      </w:r>
      <w:r w:rsidR="00BA6BCF" w:rsidRPr="007944FA">
        <w:rPr>
          <w:rFonts w:ascii="Arial" w:hAnsi="Arial" w:cs="Arial"/>
          <w:sz w:val="22"/>
          <w:szCs w:val="22"/>
        </w:rPr>
        <w:t>19</w:t>
      </w:r>
      <w:r w:rsidR="00BE6A10" w:rsidRPr="007944FA">
        <w:rPr>
          <w:rFonts w:ascii="Arial" w:hAnsi="Arial" w:cs="Arial"/>
          <w:sz w:val="22"/>
          <w:szCs w:val="22"/>
        </w:rPr>
        <w:t xml:space="preserve"> in 2</w:t>
      </w:r>
      <w:r w:rsidR="00BA6BCF" w:rsidRPr="007944FA">
        <w:rPr>
          <w:rFonts w:ascii="Arial" w:hAnsi="Arial" w:cs="Arial"/>
          <w:sz w:val="22"/>
          <w:szCs w:val="22"/>
        </w:rPr>
        <w:t>0</w:t>
      </w:r>
      <w:r w:rsidRPr="007944FA">
        <w:rPr>
          <w:rFonts w:ascii="Arial" w:hAnsi="Arial" w:cs="Arial"/>
          <w:sz w:val="22"/>
          <w:szCs w:val="22"/>
        </w:rPr>
        <w:t xml:space="preserve">). V letu 2021 je bilo 1,56 milijona </w:t>
      </w:r>
      <w:r w:rsidR="00BE6A10" w:rsidRPr="007944FA">
        <w:rPr>
          <w:rFonts w:ascii="Arial" w:hAnsi="Arial" w:cs="Arial"/>
          <w:sz w:val="22"/>
          <w:szCs w:val="22"/>
        </w:rPr>
        <w:t>evrov</w:t>
      </w:r>
      <w:r w:rsidRPr="007944FA">
        <w:rPr>
          <w:rFonts w:ascii="Arial" w:hAnsi="Arial" w:cs="Arial"/>
          <w:sz w:val="22"/>
          <w:szCs w:val="22"/>
        </w:rPr>
        <w:t xml:space="preserve"> (31,5 %) tega financiranja izvedenega prek bilateralnih kanalov, 3,4 milijona </w:t>
      </w:r>
      <w:r w:rsidR="00BE6A10" w:rsidRPr="007944FA">
        <w:rPr>
          <w:rFonts w:ascii="Arial" w:hAnsi="Arial" w:cs="Arial"/>
          <w:sz w:val="22"/>
          <w:szCs w:val="22"/>
        </w:rPr>
        <w:t>evrov</w:t>
      </w:r>
      <w:r w:rsidRPr="007944FA">
        <w:rPr>
          <w:rFonts w:ascii="Arial" w:hAnsi="Arial" w:cs="Arial"/>
          <w:sz w:val="22"/>
          <w:szCs w:val="22"/>
        </w:rPr>
        <w:t xml:space="preserve"> (68,5 %) pa prek multilateralnih kanalov. V letu 2022 se je bilateralno podnebno financiranje povečalo na 2,35 milijona </w:t>
      </w:r>
      <w:r w:rsidR="00BE6A10" w:rsidRPr="007944FA">
        <w:rPr>
          <w:rFonts w:ascii="Arial" w:hAnsi="Arial" w:cs="Arial"/>
          <w:sz w:val="22"/>
          <w:szCs w:val="22"/>
        </w:rPr>
        <w:t>evrov</w:t>
      </w:r>
      <w:r w:rsidRPr="007944FA">
        <w:rPr>
          <w:rFonts w:ascii="Arial" w:hAnsi="Arial" w:cs="Arial"/>
          <w:sz w:val="22"/>
          <w:szCs w:val="22"/>
        </w:rPr>
        <w:t xml:space="preserve"> (49,3 % celotnega zneska), medtem ko se je multilateralno podnebno financiranje zmanjšalo na 2,41 milijona </w:t>
      </w:r>
      <w:r w:rsidR="00BE6A10" w:rsidRPr="007944FA">
        <w:rPr>
          <w:rFonts w:ascii="Arial" w:hAnsi="Arial" w:cs="Arial"/>
          <w:sz w:val="22"/>
          <w:szCs w:val="22"/>
        </w:rPr>
        <w:t>evrov</w:t>
      </w:r>
      <w:r w:rsidRPr="007944FA">
        <w:rPr>
          <w:rFonts w:ascii="Arial" w:hAnsi="Arial" w:cs="Arial"/>
          <w:sz w:val="22"/>
          <w:szCs w:val="22"/>
        </w:rPr>
        <w:t>.</w:t>
      </w:r>
    </w:p>
    <w:p w14:paraId="2540E626" w14:textId="6EEEB823" w:rsidR="00CD6518" w:rsidRPr="007944FA" w:rsidRDefault="00CD6518" w:rsidP="00CD6518">
      <w:pPr>
        <w:pStyle w:val="NormalWeb"/>
        <w:jc w:val="both"/>
        <w:rPr>
          <w:rFonts w:ascii="Arial" w:hAnsi="Arial" w:cs="Arial"/>
          <w:sz w:val="22"/>
          <w:szCs w:val="22"/>
        </w:rPr>
      </w:pPr>
      <w:r w:rsidRPr="007944FA">
        <w:rPr>
          <w:rFonts w:ascii="Arial" w:hAnsi="Arial" w:cs="Arial"/>
          <w:sz w:val="22"/>
          <w:szCs w:val="22"/>
        </w:rPr>
        <w:t>204.000 dodatnih evrov je bilo mobiliziranih prek zasebnih kanalov (</w:t>
      </w:r>
      <w:r w:rsidR="00BE6A10" w:rsidRPr="007944FA">
        <w:rPr>
          <w:rFonts w:ascii="Arial" w:hAnsi="Arial" w:cs="Arial"/>
          <w:sz w:val="22"/>
          <w:szCs w:val="22"/>
        </w:rPr>
        <w:t>preglednica 2</w:t>
      </w:r>
      <w:r w:rsidR="00BA6BCF" w:rsidRPr="007944FA">
        <w:rPr>
          <w:rFonts w:ascii="Arial" w:hAnsi="Arial" w:cs="Arial"/>
          <w:sz w:val="22"/>
          <w:szCs w:val="22"/>
        </w:rPr>
        <w:t>3)</w:t>
      </w:r>
      <w:r w:rsidRPr="007944FA">
        <w:rPr>
          <w:rFonts w:ascii="Arial" w:hAnsi="Arial" w:cs="Arial"/>
          <w:sz w:val="22"/>
          <w:szCs w:val="22"/>
        </w:rPr>
        <w:t>.</w:t>
      </w:r>
    </w:p>
    <w:p w14:paraId="45CA002B" w14:textId="77777777" w:rsidR="00CD6518" w:rsidRPr="007944FA" w:rsidRDefault="00CD6518" w:rsidP="00CD6518">
      <w:pPr>
        <w:pStyle w:val="NormalWeb"/>
        <w:jc w:val="both"/>
        <w:rPr>
          <w:rFonts w:ascii="Arial" w:hAnsi="Arial" w:cs="Arial"/>
          <w:sz w:val="22"/>
          <w:szCs w:val="22"/>
        </w:rPr>
      </w:pPr>
      <w:r w:rsidRPr="007944FA">
        <w:rPr>
          <w:rFonts w:ascii="Arial" w:hAnsi="Arial" w:cs="Arial"/>
          <w:sz w:val="22"/>
          <w:szCs w:val="22"/>
        </w:rPr>
        <w:t>Povzetek informacij o bilateralni in multilateralni finančni podpori je predstavljen v spodnjih tabelah. Podrobne informacije so na voljo v tabeli CTF III.1, ki je bila predložena ločeno.</w:t>
      </w:r>
    </w:p>
    <w:p w14:paraId="07465884" w14:textId="3455BAE1" w:rsidR="00CD6518" w:rsidRPr="007944FA" w:rsidRDefault="00CD6518" w:rsidP="00CD6518">
      <w:pPr>
        <w:pStyle w:val="NormalWeb"/>
        <w:jc w:val="center"/>
        <w:rPr>
          <w:rFonts w:ascii="Arial" w:hAnsi="Arial" w:cs="Arial"/>
          <w:sz w:val="22"/>
          <w:szCs w:val="22"/>
        </w:rPr>
      </w:pPr>
      <w:r w:rsidRPr="007944FA">
        <w:rPr>
          <w:noProof/>
        </w:rPr>
        <w:drawing>
          <wp:inline distT="0" distB="0" distL="0" distR="0" wp14:anchorId="57EF0BAD" wp14:editId="4BC2A2DA">
            <wp:extent cx="4438650" cy="2724150"/>
            <wp:effectExtent l="0" t="0" r="0" b="0"/>
            <wp:docPr id="1513607728" name="Grafikon 1">
              <a:extLst xmlns:a="http://schemas.openxmlformats.org/drawingml/2006/main">
                <a:ext uri="{FF2B5EF4-FFF2-40B4-BE49-F238E27FC236}">
                  <a16:creationId xmlns:a16="http://schemas.microsoft.com/office/drawing/2014/main" id="{210BE02A-B625-3F09-422B-919422BFE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7F12D5A6" w14:textId="5A5618AE" w:rsidR="00CD6518" w:rsidRPr="007944FA" w:rsidRDefault="00CD6518" w:rsidP="0091142E">
      <w:pPr>
        <w:pStyle w:val="NIKASLIKE"/>
      </w:pPr>
      <w:bookmarkStart w:id="207" w:name="_Toc193194014"/>
      <w:r w:rsidRPr="007944FA">
        <w:t>Slika 41: Skupno podnebno financiranje po kanalih in vrsti podpore, 2021–2022</w:t>
      </w:r>
      <w:bookmarkEnd w:id="207"/>
    </w:p>
    <w:p w14:paraId="43CED24E" w14:textId="77777777" w:rsidR="00CD714B" w:rsidRPr="007944FA" w:rsidRDefault="00CD714B" w:rsidP="0091142E">
      <w:pPr>
        <w:pStyle w:val="NIKASLIKE"/>
      </w:pPr>
    </w:p>
    <w:tbl>
      <w:tblPr>
        <w:tblW w:w="7020" w:type="dxa"/>
        <w:tblInd w:w="988" w:type="dxa"/>
        <w:tblCellMar>
          <w:left w:w="70" w:type="dxa"/>
          <w:right w:w="70" w:type="dxa"/>
        </w:tblCellMar>
        <w:tblLook w:val="04A0" w:firstRow="1" w:lastRow="0" w:firstColumn="1" w:lastColumn="0" w:noHBand="0" w:noVBand="1"/>
      </w:tblPr>
      <w:tblGrid>
        <w:gridCol w:w="1620"/>
        <w:gridCol w:w="900"/>
        <w:gridCol w:w="900"/>
        <w:gridCol w:w="900"/>
        <w:gridCol w:w="900"/>
        <w:gridCol w:w="900"/>
        <w:gridCol w:w="900"/>
      </w:tblGrid>
      <w:tr w:rsidR="00CD6518" w:rsidRPr="0093506F" w14:paraId="7229E052" w14:textId="77777777" w:rsidTr="00CD6518">
        <w:trPr>
          <w:trHeight w:val="290"/>
        </w:trPr>
        <w:tc>
          <w:tcPr>
            <w:tcW w:w="1620" w:type="dxa"/>
            <w:vMerge w:val="restart"/>
            <w:tcBorders>
              <w:top w:val="single" w:sz="4" w:space="0" w:color="auto"/>
              <w:left w:val="single" w:sz="4" w:space="0" w:color="auto"/>
              <w:bottom w:val="single" w:sz="4" w:space="0" w:color="auto"/>
              <w:right w:val="single" w:sz="4" w:space="0" w:color="auto"/>
            </w:tcBorders>
            <w:shd w:val="clear" w:color="auto" w:fill="529DBA"/>
            <w:vAlign w:val="bottom"/>
            <w:hideMark/>
          </w:tcPr>
          <w:p w14:paraId="72CF061B"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Vrsta zagotovljene podpore</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0B2A2E7A"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Dvostransko</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6C45AAC0"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Večstransko</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47B47CF0"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r>
      <w:tr w:rsidR="00CD6518" w:rsidRPr="0093506F" w14:paraId="636CAD63" w14:textId="77777777" w:rsidTr="00CD6518">
        <w:trPr>
          <w:trHeight w:val="290"/>
        </w:trPr>
        <w:tc>
          <w:tcPr>
            <w:tcW w:w="1620" w:type="dxa"/>
            <w:vMerge/>
            <w:tcBorders>
              <w:top w:val="single" w:sz="4" w:space="0" w:color="auto"/>
              <w:left w:val="single" w:sz="4" w:space="0" w:color="auto"/>
              <w:bottom w:val="single" w:sz="4" w:space="0" w:color="auto"/>
              <w:right w:val="single" w:sz="4" w:space="0" w:color="auto"/>
            </w:tcBorders>
            <w:shd w:val="clear" w:color="auto" w:fill="529DBA"/>
            <w:vAlign w:val="center"/>
            <w:hideMark/>
          </w:tcPr>
          <w:p w14:paraId="4B8FA186"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p>
        </w:tc>
        <w:tc>
          <w:tcPr>
            <w:tcW w:w="900" w:type="dxa"/>
            <w:tcBorders>
              <w:top w:val="nil"/>
              <w:left w:val="nil"/>
              <w:bottom w:val="single" w:sz="4" w:space="0" w:color="auto"/>
              <w:right w:val="single" w:sz="4" w:space="0" w:color="auto"/>
            </w:tcBorders>
            <w:shd w:val="clear" w:color="auto" w:fill="529DBA"/>
            <w:noWrap/>
            <w:vAlign w:val="bottom"/>
            <w:hideMark/>
          </w:tcPr>
          <w:p w14:paraId="603475B5"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57948D66"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79016A6D"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465CD8C6"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72F50376"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3C92B669" w14:textId="77777777" w:rsidR="00CD6518" w:rsidRPr="007944FA" w:rsidRDefault="00CD6518" w:rsidP="00CD651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r>
      <w:tr w:rsidR="00CD6518" w:rsidRPr="0093506F" w14:paraId="63F197B3"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B44A799"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Blaženje</w:t>
            </w:r>
          </w:p>
        </w:tc>
        <w:tc>
          <w:tcPr>
            <w:tcW w:w="900" w:type="dxa"/>
            <w:tcBorders>
              <w:top w:val="nil"/>
              <w:left w:val="nil"/>
              <w:bottom w:val="single" w:sz="4" w:space="0" w:color="auto"/>
              <w:right w:val="single" w:sz="4" w:space="0" w:color="auto"/>
            </w:tcBorders>
            <w:shd w:val="clear" w:color="auto" w:fill="auto"/>
            <w:noWrap/>
            <w:vAlign w:val="bottom"/>
            <w:hideMark/>
          </w:tcPr>
          <w:p w14:paraId="73DE835A"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622,9</w:t>
            </w:r>
          </w:p>
        </w:tc>
        <w:tc>
          <w:tcPr>
            <w:tcW w:w="900" w:type="dxa"/>
            <w:tcBorders>
              <w:top w:val="nil"/>
              <w:left w:val="nil"/>
              <w:bottom w:val="single" w:sz="4" w:space="0" w:color="auto"/>
              <w:right w:val="single" w:sz="4" w:space="0" w:color="auto"/>
            </w:tcBorders>
            <w:shd w:val="clear" w:color="auto" w:fill="auto"/>
            <w:noWrap/>
            <w:vAlign w:val="bottom"/>
            <w:hideMark/>
          </w:tcPr>
          <w:p w14:paraId="3A620DAE"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737,2</w:t>
            </w:r>
          </w:p>
        </w:tc>
        <w:tc>
          <w:tcPr>
            <w:tcW w:w="900" w:type="dxa"/>
            <w:tcBorders>
              <w:top w:val="nil"/>
              <w:left w:val="nil"/>
              <w:bottom w:val="single" w:sz="4" w:space="0" w:color="auto"/>
              <w:right w:val="single" w:sz="4" w:space="0" w:color="auto"/>
            </w:tcBorders>
            <w:shd w:val="clear" w:color="auto" w:fill="auto"/>
            <w:noWrap/>
            <w:vAlign w:val="bottom"/>
            <w:hideMark/>
          </w:tcPr>
          <w:p w14:paraId="5EB39AF6"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2B4CA589"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36774E43"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622,9</w:t>
            </w:r>
          </w:p>
        </w:tc>
        <w:tc>
          <w:tcPr>
            <w:tcW w:w="900" w:type="dxa"/>
            <w:tcBorders>
              <w:top w:val="nil"/>
              <w:left w:val="nil"/>
              <w:bottom w:val="single" w:sz="4" w:space="0" w:color="auto"/>
              <w:right w:val="single" w:sz="4" w:space="0" w:color="auto"/>
            </w:tcBorders>
            <w:shd w:val="clear" w:color="auto" w:fill="auto"/>
            <w:noWrap/>
            <w:vAlign w:val="bottom"/>
            <w:hideMark/>
          </w:tcPr>
          <w:p w14:paraId="1A0243D9"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737,2</w:t>
            </w:r>
          </w:p>
        </w:tc>
      </w:tr>
      <w:tr w:rsidR="00CD6518" w:rsidRPr="0093506F" w14:paraId="25FEF66A"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6558CE3"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Prilagajanje</w:t>
            </w:r>
          </w:p>
        </w:tc>
        <w:tc>
          <w:tcPr>
            <w:tcW w:w="900" w:type="dxa"/>
            <w:tcBorders>
              <w:top w:val="nil"/>
              <w:left w:val="nil"/>
              <w:bottom w:val="single" w:sz="4" w:space="0" w:color="auto"/>
              <w:right w:val="single" w:sz="4" w:space="0" w:color="auto"/>
            </w:tcBorders>
            <w:shd w:val="clear" w:color="auto" w:fill="auto"/>
            <w:noWrap/>
            <w:vAlign w:val="bottom"/>
            <w:hideMark/>
          </w:tcPr>
          <w:p w14:paraId="5B0AB8A7"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568,8</w:t>
            </w:r>
          </w:p>
        </w:tc>
        <w:tc>
          <w:tcPr>
            <w:tcW w:w="900" w:type="dxa"/>
            <w:tcBorders>
              <w:top w:val="nil"/>
              <w:left w:val="nil"/>
              <w:bottom w:val="single" w:sz="4" w:space="0" w:color="auto"/>
              <w:right w:val="single" w:sz="4" w:space="0" w:color="auto"/>
            </w:tcBorders>
            <w:shd w:val="clear" w:color="auto" w:fill="auto"/>
            <w:noWrap/>
            <w:vAlign w:val="bottom"/>
            <w:hideMark/>
          </w:tcPr>
          <w:p w14:paraId="455AD6DA"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673,2</w:t>
            </w:r>
          </w:p>
        </w:tc>
        <w:tc>
          <w:tcPr>
            <w:tcW w:w="900" w:type="dxa"/>
            <w:tcBorders>
              <w:top w:val="nil"/>
              <w:left w:val="nil"/>
              <w:bottom w:val="single" w:sz="4" w:space="0" w:color="auto"/>
              <w:right w:val="single" w:sz="4" w:space="0" w:color="auto"/>
            </w:tcBorders>
            <w:shd w:val="clear" w:color="auto" w:fill="auto"/>
            <w:noWrap/>
            <w:vAlign w:val="bottom"/>
            <w:hideMark/>
          </w:tcPr>
          <w:p w14:paraId="48F15085"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6CAAEAA9"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73F94842"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568,8</w:t>
            </w:r>
          </w:p>
        </w:tc>
        <w:tc>
          <w:tcPr>
            <w:tcW w:w="900" w:type="dxa"/>
            <w:tcBorders>
              <w:top w:val="nil"/>
              <w:left w:val="nil"/>
              <w:bottom w:val="single" w:sz="4" w:space="0" w:color="auto"/>
              <w:right w:val="single" w:sz="4" w:space="0" w:color="auto"/>
            </w:tcBorders>
            <w:shd w:val="clear" w:color="auto" w:fill="auto"/>
            <w:noWrap/>
            <w:vAlign w:val="bottom"/>
            <w:hideMark/>
          </w:tcPr>
          <w:p w14:paraId="3D55F759"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673,2</w:t>
            </w:r>
          </w:p>
        </w:tc>
      </w:tr>
      <w:tr w:rsidR="00CD6518" w:rsidRPr="0093506F" w14:paraId="468470C5"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13FF542"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lastRenderedPageBreak/>
              <w:t>Horizontalne vsebine</w:t>
            </w:r>
          </w:p>
        </w:tc>
        <w:tc>
          <w:tcPr>
            <w:tcW w:w="900" w:type="dxa"/>
            <w:tcBorders>
              <w:top w:val="nil"/>
              <w:left w:val="nil"/>
              <w:bottom w:val="single" w:sz="4" w:space="0" w:color="auto"/>
              <w:right w:val="single" w:sz="4" w:space="0" w:color="auto"/>
            </w:tcBorders>
            <w:shd w:val="clear" w:color="auto" w:fill="auto"/>
            <w:noWrap/>
            <w:vAlign w:val="bottom"/>
            <w:hideMark/>
          </w:tcPr>
          <w:p w14:paraId="4DB0BA05"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365,8</w:t>
            </w:r>
          </w:p>
        </w:tc>
        <w:tc>
          <w:tcPr>
            <w:tcW w:w="900" w:type="dxa"/>
            <w:tcBorders>
              <w:top w:val="nil"/>
              <w:left w:val="nil"/>
              <w:bottom w:val="single" w:sz="4" w:space="0" w:color="auto"/>
              <w:right w:val="single" w:sz="4" w:space="0" w:color="auto"/>
            </w:tcBorders>
            <w:shd w:val="clear" w:color="auto" w:fill="auto"/>
            <w:noWrap/>
            <w:vAlign w:val="bottom"/>
            <w:hideMark/>
          </w:tcPr>
          <w:p w14:paraId="0FDD31E1"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432,9</w:t>
            </w:r>
          </w:p>
        </w:tc>
        <w:tc>
          <w:tcPr>
            <w:tcW w:w="900" w:type="dxa"/>
            <w:tcBorders>
              <w:top w:val="nil"/>
              <w:left w:val="nil"/>
              <w:bottom w:val="single" w:sz="4" w:space="0" w:color="auto"/>
              <w:right w:val="single" w:sz="4" w:space="0" w:color="auto"/>
            </w:tcBorders>
            <w:shd w:val="clear" w:color="auto" w:fill="auto"/>
            <w:noWrap/>
            <w:vAlign w:val="bottom"/>
            <w:hideMark/>
          </w:tcPr>
          <w:p w14:paraId="33CF32F8"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3.380,9</w:t>
            </w:r>
          </w:p>
        </w:tc>
        <w:tc>
          <w:tcPr>
            <w:tcW w:w="900" w:type="dxa"/>
            <w:tcBorders>
              <w:top w:val="nil"/>
              <w:left w:val="nil"/>
              <w:bottom w:val="single" w:sz="4" w:space="0" w:color="auto"/>
              <w:right w:val="single" w:sz="4" w:space="0" w:color="auto"/>
            </w:tcBorders>
            <w:shd w:val="clear" w:color="auto" w:fill="auto"/>
            <w:noWrap/>
            <w:vAlign w:val="bottom"/>
            <w:hideMark/>
          </w:tcPr>
          <w:p w14:paraId="2EE330B5"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4.001,0</w:t>
            </w:r>
          </w:p>
        </w:tc>
        <w:tc>
          <w:tcPr>
            <w:tcW w:w="900" w:type="dxa"/>
            <w:tcBorders>
              <w:top w:val="nil"/>
              <w:left w:val="nil"/>
              <w:bottom w:val="single" w:sz="4" w:space="0" w:color="auto"/>
              <w:right w:val="single" w:sz="4" w:space="0" w:color="auto"/>
            </w:tcBorders>
            <w:shd w:val="clear" w:color="auto" w:fill="auto"/>
            <w:noWrap/>
            <w:vAlign w:val="bottom"/>
            <w:hideMark/>
          </w:tcPr>
          <w:p w14:paraId="5CD056B6"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3.746,7</w:t>
            </w:r>
          </w:p>
        </w:tc>
        <w:tc>
          <w:tcPr>
            <w:tcW w:w="900" w:type="dxa"/>
            <w:tcBorders>
              <w:top w:val="nil"/>
              <w:left w:val="nil"/>
              <w:bottom w:val="single" w:sz="4" w:space="0" w:color="auto"/>
              <w:right w:val="single" w:sz="4" w:space="0" w:color="auto"/>
            </w:tcBorders>
            <w:shd w:val="clear" w:color="auto" w:fill="auto"/>
            <w:noWrap/>
            <w:vAlign w:val="bottom"/>
            <w:hideMark/>
          </w:tcPr>
          <w:p w14:paraId="3F9B5E7B" w14:textId="77777777" w:rsidR="00CD6518" w:rsidRPr="007944FA" w:rsidRDefault="00CD6518" w:rsidP="00CD6518">
            <w:pPr>
              <w:spacing w:after="0" w:line="240" w:lineRule="auto"/>
              <w:jc w:val="center"/>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4.434,0</w:t>
            </w:r>
          </w:p>
        </w:tc>
      </w:tr>
      <w:tr w:rsidR="00CD6518" w:rsidRPr="0093506F" w14:paraId="169C4394"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529DBA"/>
            <w:noWrap/>
            <w:vAlign w:val="bottom"/>
            <w:hideMark/>
          </w:tcPr>
          <w:p w14:paraId="61E71878"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c>
          <w:tcPr>
            <w:tcW w:w="900" w:type="dxa"/>
            <w:tcBorders>
              <w:top w:val="nil"/>
              <w:left w:val="nil"/>
              <w:bottom w:val="single" w:sz="4" w:space="0" w:color="auto"/>
              <w:right w:val="single" w:sz="4" w:space="0" w:color="auto"/>
            </w:tcBorders>
            <w:shd w:val="clear" w:color="auto" w:fill="529DBA"/>
            <w:noWrap/>
            <w:vAlign w:val="bottom"/>
            <w:hideMark/>
          </w:tcPr>
          <w:p w14:paraId="79A2AACD"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1.557,6</w:t>
            </w:r>
          </w:p>
        </w:tc>
        <w:tc>
          <w:tcPr>
            <w:tcW w:w="900" w:type="dxa"/>
            <w:tcBorders>
              <w:top w:val="nil"/>
              <w:left w:val="nil"/>
              <w:bottom w:val="single" w:sz="4" w:space="0" w:color="auto"/>
              <w:right w:val="single" w:sz="4" w:space="0" w:color="auto"/>
            </w:tcBorders>
            <w:shd w:val="clear" w:color="auto" w:fill="529DBA"/>
            <w:noWrap/>
            <w:vAlign w:val="bottom"/>
            <w:hideMark/>
          </w:tcPr>
          <w:p w14:paraId="707F7A4C"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1.843,3</w:t>
            </w:r>
          </w:p>
        </w:tc>
        <w:tc>
          <w:tcPr>
            <w:tcW w:w="900" w:type="dxa"/>
            <w:tcBorders>
              <w:top w:val="nil"/>
              <w:left w:val="nil"/>
              <w:bottom w:val="single" w:sz="4" w:space="0" w:color="auto"/>
              <w:right w:val="single" w:sz="4" w:space="0" w:color="auto"/>
            </w:tcBorders>
            <w:shd w:val="clear" w:color="auto" w:fill="529DBA"/>
            <w:noWrap/>
            <w:vAlign w:val="bottom"/>
            <w:hideMark/>
          </w:tcPr>
          <w:p w14:paraId="6583B150"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3.380,9</w:t>
            </w:r>
          </w:p>
        </w:tc>
        <w:tc>
          <w:tcPr>
            <w:tcW w:w="900" w:type="dxa"/>
            <w:tcBorders>
              <w:top w:val="nil"/>
              <w:left w:val="nil"/>
              <w:bottom w:val="single" w:sz="4" w:space="0" w:color="auto"/>
              <w:right w:val="single" w:sz="4" w:space="0" w:color="auto"/>
            </w:tcBorders>
            <w:shd w:val="clear" w:color="auto" w:fill="529DBA"/>
            <w:noWrap/>
            <w:vAlign w:val="bottom"/>
            <w:hideMark/>
          </w:tcPr>
          <w:p w14:paraId="08364613"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4.001,0</w:t>
            </w:r>
          </w:p>
        </w:tc>
        <w:tc>
          <w:tcPr>
            <w:tcW w:w="900" w:type="dxa"/>
            <w:tcBorders>
              <w:top w:val="nil"/>
              <w:left w:val="nil"/>
              <w:bottom w:val="single" w:sz="4" w:space="0" w:color="auto"/>
              <w:right w:val="single" w:sz="4" w:space="0" w:color="auto"/>
            </w:tcBorders>
            <w:shd w:val="clear" w:color="auto" w:fill="529DBA"/>
            <w:noWrap/>
            <w:vAlign w:val="bottom"/>
            <w:hideMark/>
          </w:tcPr>
          <w:p w14:paraId="252AEB9F"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4.938,5</w:t>
            </w:r>
          </w:p>
        </w:tc>
        <w:tc>
          <w:tcPr>
            <w:tcW w:w="900" w:type="dxa"/>
            <w:tcBorders>
              <w:top w:val="nil"/>
              <w:left w:val="nil"/>
              <w:bottom w:val="single" w:sz="4" w:space="0" w:color="auto"/>
              <w:right w:val="single" w:sz="4" w:space="0" w:color="auto"/>
            </w:tcBorders>
            <w:shd w:val="clear" w:color="auto" w:fill="529DBA"/>
            <w:noWrap/>
            <w:vAlign w:val="bottom"/>
            <w:hideMark/>
          </w:tcPr>
          <w:p w14:paraId="7A9DE662" w14:textId="77777777" w:rsidR="00CD6518" w:rsidRPr="007944FA" w:rsidRDefault="00CD6518" w:rsidP="00CD651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5.844,3</w:t>
            </w:r>
          </w:p>
        </w:tc>
      </w:tr>
    </w:tbl>
    <w:p w14:paraId="3B48B28E" w14:textId="5EB14B57" w:rsidR="00CD6518" w:rsidRPr="007944FA" w:rsidRDefault="002F38E7" w:rsidP="00BA6BCF">
      <w:pPr>
        <w:pStyle w:val="nikatabelee"/>
      </w:pPr>
      <w:bookmarkStart w:id="208" w:name="_Toc193195404"/>
      <w:r w:rsidRPr="007944FA">
        <w:t>Preglednica 19</w:t>
      </w:r>
      <w:r w:rsidR="00CD6518" w:rsidRPr="007944FA">
        <w:t>: Finančna podpora, zagotovljena v letu 2021</w:t>
      </w:r>
      <w:bookmarkEnd w:id="208"/>
    </w:p>
    <w:tbl>
      <w:tblPr>
        <w:tblW w:w="7020" w:type="dxa"/>
        <w:tblInd w:w="988" w:type="dxa"/>
        <w:tblCellMar>
          <w:left w:w="70" w:type="dxa"/>
          <w:right w:w="70" w:type="dxa"/>
        </w:tblCellMar>
        <w:tblLook w:val="04A0" w:firstRow="1" w:lastRow="0" w:firstColumn="1" w:lastColumn="0" w:noHBand="0" w:noVBand="1"/>
      </w:tblPr>
      <w:tblGrid>
        <w:gridCol w:w="1620"/>
        <w:gridCol w:w="900"/>
        <w:gridCol w:w="900"/>
        <w:gridCol w:w="900"/>
        <w:gridCol w:w="900"/>
        <w:gridCol w:w="900"/>
        <w:gridCol w:w="900"/>
      </w:tblGrid>
      <w:tr w:rsidR="00CD6518" w:rsidRPr="0093506F" w14:paraId="310B7AB6" w14:textId="77777777" w:rsidTr="00CD6518">
        <w:trPr>
          <w:trHeight w:val="290"/>
        </w:trPr>
        <w:tc>
          <w:tcPr>
            <w:tcW w:w="1620" w:type="dxa"/>
            <w:vMerge w:val="restart"/>
            <w:tcBorders>
              <w:top w:val="single" w:sz="4" w:space="0" w:color="auto"/>
              <w:left w:val="single" w:sz="4" w:space="0" w:color="auto"/>
              <w:bottom w:val="single" w:sz="4" w:space="0" w:color="auto"/>
              <w:right w:val="single" w:sz="4" w:space="0" w:color="auto"/>
            </w:tcBorders>
            <w:shd w:val="clear" w:color="auto" w:fill="529DBA"/>
            <w:vAlign w:val="bottom"/>
            <w:hideMark/>
          </w:tcPr>
          <w:p w14:paraId="6EF6C833" w14:textId="77777777" w:rsidR="00CD6518" w:rsidRPr="007944FA" w:rsidRDefault="00CD6518" w:rsidP="006D46D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Vrsta zagotovljene podpore</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0C6B4BD6" w14:textId="77777777" w:rsidR="00CD6518" w:rsidRPr="007944FA" w:rsidRDefault="00CD6518"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Dvostransko</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0B48F53C" w14:textId="77777777" w:rsidR="00CD6518" w:rsidRPr="007944FA" w:rsidRDefault="00CD6518"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Večstransko</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08F4C3E2" w14:textId="77777777" w:rsidR="00CD6518" w:rsidRPr="007944FA" w:rsidRDefault="00CD6518" w:rsidP="006D46D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r>
      <w:tr w:rsidR="00CD6518" w:rsidRPr="0093506F" w14:paraId="4647A385" w14:textId="77777777" w:rsidTr="00CD6518">
        <w:trPr>
          <w:trHeight w:val="290"/>
        </w:trPr>
        <w:tc>
          <w:tcPr>
            <w:tcW w:w="1620" w:type="dxa"/>
            <w:vMerge/>
            <w:tcBorders>
              <w:top w:val="single" w:sz="4" w:space="0" w:color="auto"/>
              <w:left w:val="single" w:sz="4" w:space="0" w:color="auto"/>
              <w:bottom w:val="single" w:sz="4" w:space="0" w:color="auto"/>
              <w:right w:val="single" w:sz="4" w:space="0" w:color="auto"/>
            </w:tcBorders>
            <w:shd w:val="clear" w:color="auto" w:fill="529DBA"/>
            <w:vAlign w:val="center"/>
            <w:hideMark/>
          </w:tcPr>
          <w:p w14:paraId="206F6825"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val="en-GB" w:eastAsia="sl-SI"/>
              </w:rPr>
            </w:pPr>
          </w:p>
        </w:tc>
        <w:tc>
          <w:tcPr>
            <w:tcW w:w="900" w:type="dxa"/>
            <w:tcBorders>
              <w:top w:val="nil"/>
              <w:left w:val="nil"/>
              <w:bottom w:val="single" w:sz="4" w:space="0" w:color="auto"/>
              <w:right w:val="single" w:sz="4" w:space="0" w:color="auto"/>
            </w:tcBorders>
            <w:shd w:val="clear" w:color="auto" w:fill="529DBA"/>
            <w:noWrap/>
            <w:vAlign w:val="bottom"/>
            <w:hideMark/>
          </w:tcPr>
          <w:p w14:paraId="6CFB069D"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7539B78F"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4243D2F9"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3F017532"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35F9D7BB"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4CD5EF3C"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r>
      <w:tr w:rsidR="00CD6518" w:rsidRPr="0093506F" w14:paraId="24E92D83"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558ED2C"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Blaženje</w:t>
            </w:r>
          </w:p>
        </w:tc>
        <w:tc>
          <w:tcPr>
            <w:tcW w:w="900" w:type="dxa"/>
            <w:tcBorders>
              <w:top w:val="nil"/>
              <w:left w:val="nil"/>
              <w:bottom w:val="single" w:sz="4" w:space="0" w:color="auto"/>
              <w:right w:val="single" w:sz="4" w:space="0" w:color="auto"/>
            </w:tcBorders>
            <w:shd w:val="clear" w:color="auto" w:fill="auto"/>
            <w:noWrap/>
            <w:vAlign w:val="bottom"/>
            <w:hideMark/>
          </w:tcPr>
          <w:p w14:paraId="7F8F923D"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999,9</w:t>
            </w:r>
          </w:p>
        </w:tc>
        <w:tc>
          <w:tcPr>
            <w:tcW w:w="900" w:type="dxa"/>
            <w:tcBorders>
              <w:top w:val="nil"/>
              <w:left w:val="nil"/>
              <w:bottom w:val="single" w:sz="4" w:space="0" w:color="auto"/>
              <w:right w:val="single" w:sz="4" w:space="0" w:color="auto"/>
            </w:tcBorders>
            <w:shd w:val="clear" w:color="auto" w:fill="auto"/>
            <w:noWrap/>
            <w:vAlign w:val="bottom"/>
            <w:hideMark/>
          </w:tcPr>
          <w:p w14:paraId="41EA2585"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1.052,5</w:t>
            </w:r>
          </w:p>
        </w:tc>
        <w:tc>
          <w:tcPr>
            <w:tcW w:w="900" w:type="dxa"/>
            <w:tcBorders>
              <w:top w:val="nil"/>
              <w:left w:val="nil"/>
              <w:bottom w:val="single" w:sz="4" w:space="0" w:color="auto"/>
              <w:right w:val="single" w:sz="4" w:space="0" w:color="auto"/>
            </w:tcBorders>
            <w:shd w:val="clear" w:color="auto" w:fill="auto"/>
            <w:noWrap/>
            <w:vAlign w:val="bottom"/>
            <w:hideMark/>
          </w:tcPr>
          <w:p w14:paraId="4EAE46C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0EDEADA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0FB93D62"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999,9</w:t>
            </w:r>
          </w:p>
        </w:tc>
        <w:tc>
          <w:tcPr>
            <w:tcW w:w="900" w:type="dxa"/>
            <w:tcBorders>
              <w:top w:val="nil"/>
              <w:left w:val="nil"/>
              <w:bottom w:val="single" w:sz="4" w:space="0" w:color="auto"/>
              <w:right w:val="single" w:sz="4" w:space="0" w:color="auto"/>
            </w:tcBorders>
            <w:shd w:val="clear" w:color="auto" w:fill="auto"/>
            <w:noWrap/>
            <w:vAlign w:val="bottom"/>
            <w:hideMark/>
          </w:tcPr>
          <w:p w14:paraId="50749E49"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1.052,5</w:t>
            </w:r>
          </w:p>
        </w:tc>
      </w:tr>
      <w:tr w:rsidR="00CD6518" w:rsidRPr="0093506F" w14:paraId="3A861ACC"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083D003"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Prilagajanje</w:t>
            </w:r>
          </w:p>
        </w:tc>
        <w:tc>
          <w:tcPr>
            <w:tcW w:w="900" w:type="dxa"/>
            <w:tcBorders>
              <w:top w:val="nil"/>
              <w:left w:val="nil"/>
              <w:bottom w:val="single" w:sz="4" w:space="0" w:color="auto"/>
              <w:right w:val="single" w:sz="4" w:space="0" w:color="auto"/>
            </w:tcBorders>
            <w:shd w:val="clear" w:color="auto" w:fill="auto"/>
            <w:noWrap/>
            <w:vAlign w:val="bottom"/>
            <w:hideMark/>
          </w:tcPr>
          <w:p w14:paraId="7BCFB942"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560,4</w:t>
            </w:r>
          </w:p>
        </w:tc>
        <w:tc>
          <w:tcPr>
            <w:tcW w:w="900" w:type="dxa"/>
            <w:tcBorders>
              <w:top w:val="nil"/>
              <w:left w:val="nil"/>
              <w:bottom w:val="single" w:sz="4" w:space="0" w:color="auto"/>
              <w:right w:val="single" w:sz="4" w:space="0" w:color="auto"/>
            </w:tcBorders>
            <w:shd w:val="clear" w:color="auto" w:fill="auto"/>
            <w:noWrap/>
            <w:vAlign w:val="bottom"/>
            <w:hideMark/>
          </w:tcPr>
          <w:p w14:paraId="6B0325B1"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589,9</w:t>
            </w:r>
          </w:p>
        </w:tc>
        <w:tc>
          <w:tcPr>
            <w:tcW w:w="900" w:type="dxa"/>
            <w:tcBorders>
              <w:top w:val="nil"/>
              <w:left w:val="nil"/>
              <w:bottom w:val="single" w:sz="4" w:space="0" w:color="auto"/>
              <w:right w:val="single" w:sz="4" w:space="0" w:color="auto"/>
            </w:tcBorders>
            <w:shd w:val="clear" w:color="auto" w:fill="auto"/>
            <w:noWrap/>
            <w:vAlign w:val="bottom"/>
            <w:hideMark/>
          </w:tcPr>
          <w:p w14:paraId="72C9D5EF"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33,3</w:t>
            </w:r>
          </w:p>
        </w:tc>
        <w:tc>
          <w:tcPr>
            <w:tcW w:w="900" w:type="dxa"/>
            <w:tcBorders>
              <w:top w:val="nil"/>
              <w:left w:val="nil"/>
              <w:bottom w:val="single" w:sz="4" w:space="0" w:color="auto"/>
              <w:right w:val="single" w:sz="4" w:space="0" w:color="auto"/>
            </w:tcBorders>
            <w:shd w:val="clear" w:color="auto" w:fill="auto"/>
            <w:noWrap/>
            <w:vAlign w:val="bottom"/>
            <w:hideMark/>
          </w:tcPr>
          <w:p w14:paraId="44211B8C"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35,1</w:t>
            </w:r>
          </w:p>
        </w:tc>
        <w:tc>
          <w:tcPr>
            <w:tcW w:w="900" w:type="dxa"/>
            <w:tcBorders>
              <w:top w:val="nil"/>
              <w:left w:val="nil"/>
              <w:bottom w:val="single" w:sz="4" w:space="0" w:color="auto"/>
              <w:right w:val="single" w:sz="4" w:space="0" w:color="auto"/>
            </w:tcBorders>
            <w:shd w:val="clear" w:color="auto" w:fill="auto"/>
            <w:noWrap/>
            <w:vAlign w:val="bottom"/>
            <w:hideMark/>
          </w:tcPr>
          <w:p w14:paraId="452AAF16"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593,7</w:t>
            </w:r>
          </w:p>
        </w:tc>
        <w:tc>
          <w:tcPr>
            <w:tcW w:w="900" w:type="dxa"/>
            <w:tcBorders>
              <w:top w:val="nil"/>
              <w:left w:val="nil"/>
              <w:bottom w:val="single" w:sz="4" w:space="0" w:color="auto"/>
              <w:right w:val="single" w:sz="4" w:space="0" w:color="auto"/>
            </w:tcBorders>
            <w:shd w:val="clear" w:color="auto" w:fill="auto"/>
            <w:noWrap/>
            <w:vAlign w:val="bottom"/>
            <w:hideMark/>
          </w:tcPr>
          <w:p w14:paraId="118BC80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625,0</w:t>
            </w:r>
          </w:p>
        </w:tc>
      </w:tr>
      <w:tr w:rsidR="00CD6518" w:rsidRPr="0093506F" w14:paraId="22483157"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45BEE4EB"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Horizontalne vsebine</w:t>
            </w:r>
          </w:p>
        </w:tc>
        <w:tc>
          <w:tcPr>
            <w:tcW w:w="900" w:type="dxa"/>
            <w:tcBorders>
              <w:top w:val="nil"/>
              <w:left w:val="nil"/>
              <w:bottom w:val="single" w:sz="4" w:space="0" w:color="auto"/>
              <w:right w:val="single" w:sz="4" w:space="0" w:color="auto"/>
            </w:tcBorders>
            <w:shd w:val="clear" w:color="auto" w:fill="auto"/>
            <w:noWrap/>
            <w:vAlign w:val="bottom"/>
            <w:hideMark/>
          </w:tcPr>
          <w:p w14:paraId="4760D8EC"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787,7</w:t>
            </w:r>
          </w:p>
        </w:tc>
        <w:tc>
          <w:tcPr>
            <w:tcW w:w="900" w:type="dxa"/>
            <w:tcBorders>
              <w:top w:val="nil"/>
              <w:left w:val="nil"/>
              <w:bottom w:val="single" w:sz="4" w:space="0" w:color="auto"/>
              <w:right w:val="single" w:sz="4" w:space="0" w:color="auto"/>
            </w:tcBorders>
            <w:shd w:val="clear" w:color="auto" w:fill="auto"/>
            <w:noWrap/>
            <w:vAlign w:val="bottom"/>
            <w:hideMark/>
          </w:tcPr>
          <w:p w14:paraId="696EAF7F"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829,1</w:t>
            </w:r>
          </w:p>
        </w:tc>
        <w:tc>
          <w:tcPr>
            <w:tcW w:w="900" w:type="dxa"/>
            <w:tcBorders>
              <w:top w:val="nil"/>
              <w:left w:val="nil"/>
              <w:bottom w:val="single" w:sz="4" w:space="0" w:color="auto"/>
              <w:right w:val="single" w:sz="4" w:space="0" w:color="auto"/>
            </w:tcBorders>
            <w:shd w:val="clear" w:color="auto" w:fill="auto"/>
            <w:noWrap/>
            <w:vAlign w:val="bottom"/>
            <w:hideMark/>
          </w:tcPr>
          <w:p w14:paraId="564F8C34"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2.378,2</w:t>
            </w:r>
          </w:p>
        </w:tc>
        <w:tc>
          <w:tcPr>
            <w:tcW w:w="900" w:type="dxa"/>
            <w:tcBorders>
              <w:top w:val="nil"/>
              <w:left w:val="nil"/>
              <w:bottom w:val="single" w:sz="4" w:space="0" w:color="auto"/>
              <w:right w:val="single" w:sz="4" w:space="0" w:color="auto"/>
            </w:tcBorders>
            <w:shd w:val="clear" w:color="auto" w:fill="auto"/>
            <w:noWrap/>
            <w:vAlign w:val="bottom"/>
            <w:hideMark/>
          </w:tcPr>
          <w:p w14:paraId="44C28467"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2.503,3</w:t>
            </w:r>
          </w:p>
        </w:tc>
        <w:tc>
          <w:tcPr>
            <w:tcW w:w="900" w:type="dxa"/>
            <w:tcBorders>
              <w:top w:val="nil"/>
              <w:left w:val="nil"/>
              <w:bottom w:val="single" w:sz="4" w:space="0" w:color="auto"/>
              <w:right w:val="single" w:sz="4" w:space="0" w:color="auto"/>
            </w:tcBorders>
            <w:shd w:val="clear" w:color="auto" w:fill="auto"/>
            <w:noWrap/>
            <w:vAlign w:val="bottom"/>
            <w:hideMark/>
          </w:tcPr>
          <w:p w14:paraId="755E3144"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3.165,8</w:t>
            </w:r>
          </w:p>
        </w:tc>
        <w:tc>
          <w:tcPr>
            <w:tcW w:w="900" w:type="dxa"/>
            <w:tcBorders>
              <w:top w:val="nil"/>
              <w:left w:val="nil"/>
              <w:bottom w:val="single" w:sz="4" w:space="0" w:color="auto"/>
              <w:right w:val="single" w:sz="4" w:space="0" w:color="auto"/>
            </w:tcBorders>
            <w:shd w:val="clear" w:color="auto" w:fill="auto"/>
            <w:noWrap/>
            <w:vAlign w:val="bottom"/>
            <w:hideMark/>
          </w:tcPr>
          <w:p w14:paraId="3994F357"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3.332,4</w:t>
            </w:r>
          </w:p>
        </w:tc>
      </w:tr>
      <w:tr w:rsidR="00CD6518" w:rsidRPr="0093506F" w14:paraId="32423B85" w14:textId="77777777" w:rsidTr="00CD6518">
        <w:trPr>
          <w:trHeight w:val="290"/>
        </w:trPr>
        <w:tc>
          <w:tcPr>
            <w:tcW w:w="1620" w:type="dxa"/>
            <w:tcBorders>
              <w:top w:val="nil"/>
              <w:left w:val="single" w:sz="4" w:space="0" w:color="auto"/>
              <w:bottom w:val="single" w:sz="4" w:space="0" w:color="auto"/>
              <w:right w:val="single" w:sz="4" w:space="0" w:color="auto"/>
            </w:tcBorders>
            <w:shd w:val="clear" w:color="auto" w:fill="529DBA"/>
            <w:noWrap/>
            <w:vAlign w:val="bottom"/>
            <w:hideMark/>
          </w:tcPr>
          <w:p w14:paraId="46999D30"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c>
          <w:tcPr>
            <w:tcW w:w="900" w:type="dxa"/>
            <w:tcBorders>
              <w:top w:val="nil"/>
              <w:left w:val="nil"/>
              <w:bottom w:val="single" w:sz="4" w:space="0" w:color="auto"/>
              <w:right w:val="single" w:sz="4" w:space="0" w:color="auto"/>
            </w:tcBorders>
            <w:shd w:val="clear" w:color="auto" w:fill="529DBA"/>
            <w:noWrap/>
            <w:vAlign w:val="bottom"/>
            <w:hideMark/>
          </w:tcPr>
          <w:p w14:paraId="0E301853"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2.347,9</w:t>
            </w:r>
          </w:p>
        </w:tc>
        <w:tc>
          <w:tcPr>
            <w:tcW w:w="900" w:type="dxa"/>
            <w:tcBorders>
              <w:top w:val="nil"/>
              <w:left w:val="nil"/>
              <w:bottom w:val="single" w:sz="4" w:space="0" w:color="auto"/>
              <w:right w:val="single" w:sz="4" w:space="0" w:color="auto"/>
            </w:tcBorders>
            <w:shd w:val="clear" w:color="auto" w:fill="529DBA"/>
            <w:noWrap/>
            <w:vAlign w:val="bottom"/>
            <w:hideMark/>
          </w:tcPr>
          <w:p w14:paraId="6621F27B"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2.471,5</w:t>
            </w:r>
          </w:p>
        </w:tc>
        <w:tc>
          <w:tcPr>
            <w:tcW w:w="900" w:type="dxa"/>
            <w:tcBorders>
              <w:top w:val="nil"/>
              <w:left w:val="nil"/>
              <w:bottom w:val="single" w:sz="4" w:space="0" w:color="auto"/>
              <w:right w:val="single" w:sz="4" w:space="0" w:color="auto"/>
            </w:tcBorders>
            <w:shd w:val="clear" w:color="auto" w:fill="529DBA"/>
            <w:noWrap/>
            <w:vAlign w:val="bottom"/>
            <w:hideMark/>
          </w:tcPr>
          <w:p w14:paraId="3F6039B7"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2.411,5</w:t>
            </w:r>
          </w:p>
        </w:tc>
        <w:tc>
          <w:tcPr>
            <w:tcW w:w="900" w:type="dxa"/>
            <w:tcBorders>
              <w:top w:val="nil"/>
              <w:left w:val="nil"/>
              <w:bottom w:val="single" w:sz="4" w:space="0" w:color="auto"/>
              <w:right w:val="single" w:sz="4" w:space="0" w:color="auto"/>
            </w:tcBorders>
            <w:shd w:val="clear" w:color="auto" w:fill="529DBA"/>
            <w:noWrap/>
            <w:vAlign w:val="bottom"/>
            <w:hideMark/>
          </w:tcPr>
          <w:p w14:paraId="699303EF"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2.538.4</w:t>
            </w:r>
          </w:p>
        </w:tc>
        <w:tc>
          <w:tcPr>
            <w:tcW w:w="900" w:type="dxa"/>
            <w:tcBorders>
              <w:top w:val="nil"/>
              <w:left w:val="nil"/>
              <w:bottom w:val="single" w:sz="4" w:space="0" w:color="auto"/>
              <w:right w:val="single" w:sz="4" w:space="0" w:color="auto"/>
            </w:tcBorders>
            <w:shd w:val="clear" w:color="auto" w:fill="529DBA"/>
            <w:noWrap/>
            <w:vAlign w:val="bottom"/>
            <w:hideMark/>
          </w:tcPr>
          <w:p w14:paraId="480ADB97"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4.759.4</w:t>
            </w:r>
          </w:p>
        </w:tc>
        <w:tc>
          <w:tcPr>
            <w:tcW w:w="900" w:type="dxa"/>
            <w:tcBorders>
              <w:top w:val="nil"/>
              <w:left w:val="nil"/>
              <w:bottom w:val="single" w:sz="4" w:space="0" w:color="auto"/>
              <w:right w:val="single" w:sz="4" w:space="0" w:color="auto"/>
            </w:tcBorders>
            <w:shd w:val="clear" w:color="auto" w:fill="529DBA"/>
            <w:noWrap/>
            <w:vAlign w:val="bottom"/>
            <w:hideMark/>
          </w:tcPr>
          <w:p w14:paraId="6396FBAE"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5.009,9</w:t>
            </w:r>
          </w:p>
        </w:tc>
      </w:tr>
    </w:tbl>
    <w:p w14:paraId="157A2B97" w14:textId="3C74FDEA" w:rsidR="00CD6518" w:rsidRPr="007944FA" w:rsidRDefault="002F38E7" w:rsidP="002C59CB">
      <w:pPr>
        <w:pStyle w:val="nikatabelee"/>
        <w:rPr>
          <w:lang w:val="en-GB"/>
        </w:rPr>
      </w:pPr>
      <w:bookmarkStart w:id="209" w:name="_Toc193195405"/>
      <w:r w:rsidRPr="007944FA">
        <w:t>Preglednica 20</w:t>
      </w:r>
      <w:r w:rsidR="00CD6518" w:rsidRPr="007944FA">
        <w:t>: Finančna podpora, zagotovljena v letu 2022</w:t>
      </w:r>
      <w:bookmarkEnd w:id="209"/>
    </w:p>
    <w:tbl>
      <w:tblPr>
        <w:tblW w:w="5560" w:type="dxa"/>
        <w:tblInd w:w="1560" w:type="dxa"/>
        <w:tblCellMar>
          <w:left w:w="70" w:type="dxa"/>
          <w:right w:w="70" w:type="dxa"/>
        </w:tblCellMar>
        <w:tblLook w:val="04A0" w:firstRow="1" w:lastRow="0" w:firstColumn="1" w:lastColumn="0" w:noHBand="0" w:noVBand="1"/>
      </w:tblPr>
      <w:tblGrid>
        <w:gridCol w:w="1960"/>
        <w:gridCol w:w="900"/>
        <w:gridCol w:w="900"/>
        <w:gridCol w:w="900"/>
        <w:gridCol w:w="900"/>
      </w:tblGrid>
      <w:tr w:rsidR="00CD6518" w:rsidRPr="0093506F" w14:paraId="0C7204AB" w14:textId="77777777" w:rsidTr="002C59CB">
        <w:trPr>
          <w:trHeight w:val="290"/>
        </w:trPr>
        <w:tc>
          <w:tcPr>
            <w:tcW w:w="1960" w:type="dxa"/>
            <w:tcBorders>
              <w:top w:val="single" w:sz="4" w:space="0" w:color="auto"/>
              <w:left w:val="single" w:sz="4" w:space="0" w:color="auto"/>
              <w:bottom w:val="single" w:sz="4" w:space="0" w:color="auto"/>
              <w:right w:val="single" w:sz="4" w:space="0" w:color="auto"/>
            </w:tcBorders>
            <w:shd w:val="clear" w:color="auto" w:fill="529DBA"/>
            <w:noWrap/>
            <w:vAlign w:val="bottom"/>
            <w:hideMark/>
          </w:tcPr>
          <w:p w14:paraId="0AE6F37C" w14:textId="77777777" w:rsidR="00CD6518" w:rsidRPr="007944FA" w:rsidRDefault="00CD6518" w:rsidP="006D46D8">
            <w:pPr>
              <w:spacing w:after="0" w:line="240" w:lineRule="auto"/>
              <w:rPr>
                <w:rFonts w:ascii="Arial" w:eastAsia="Times New Roman" w:hAnsi="Arial" w:cs="Arial"/>
                <w:sz w:val="18"/>
                <w:szCs w:val="18"/>
                <w:lang w:val="en-GB" w:eastAsia="sl-SI"/>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529DBA"/>
            <w:noWrap/>
            <w:vAlign w:val="bottom"/>
            <w:hideMark/>
          </w:tcPr>
          <w:p w14:paraId="5917954A" w14:textId="77777777" w:rsidR="00CD6518" w:rsidRPr="007944FA" w:rsidRDefault="00CD6518"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2021</w:t>
            </w:r>
          </w:p>
        </w:tc>
        <w:tc>
          <w:tcPr>
            <w:tcW w:w="1800" w:type="dxa"/>
            <w:gridSpan w:val="2"/>
            <w:tcBorders>
              <w:top w:val="single" w:sz="4" w:space="0" w:color="auto"/>
              <w:left w:val="single" w:sz="4" w:space="0" w:color="auto"/>
              <w:bottom w:val="single" w:sz="4" w:space="0" w:color="auto"/>
              <w:right w:val="single" w:sz="4" w:space="0" w:color="000000"/>
            </w:tcBorders>
            <w:shd w:val="clear" w:color="auto" w:fill="529DBA"/>
            <w:noWrap/>
            <w:vAlign w:val="bottom"/>
            <w:hideMark/>
          </w:tcPr>
          <w:p w14:paraId="78C72F64" w14:textId="77777777" w:rsidR="00CD6518" w:rsidRPr="007944FA" w:rsidRDefault="00CD6518"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2022</w:t>
            </w:r>
          </w:p>
        </w:tc>
      </w:tr>
      <w:tr w:rsidR="00CD6518" w:rsidRPr="0093506F" w14:paraId="5B48BBF1" w14:textId="77777777" w:rsidTr="002C59CB">
        <w:trPr>
          <w:trHeight w:val="290"/>
        </w:trPr>
        <w:tc>
          <w:tcPr>
            <w:tcW w:w="1960" w:type="dxa"/>
            <w:tcBorders>
              <w:top w:val="single" w:sz="4" w:space="0" w:color="auto"/>
              <w:left w:val="single" w:sz="4" w:space="0" w:color="auto"/>
              <w:bottom w:val="single" w:sz="4" w:space="0" w:color="auto"/>
              <w:right w:val="single" w:sz="4" w:space="0" w:color="auto"/>
            </w:tcBorders>
            <w:shd w:val="clear" w:color="auto" w:fill="529DBA"/>
            <w:noWrap/>
            <w:vAlign w:val="bottom"/>
            <w:hideMark/>
          </w:tcPr>
          <w:p w14:paraId="0D29D8FC"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Sector</w:t>
            </w:r>
          </w:p>
        </w:tc>
        <w:tc>
          <w:tcPr>
            <w:tcW w:w="900" w:type="dxa"/>
            <w:tcBorders>
              <w:top w:val="single" w:sz="4" w:space="0" w:color="auto"/>
              <w:left w:val="nil"/>
              <w:bottom w:val="single" w:sz="4" w:space="0" w:color="auto"/>
              <w:right w:val="single" w:sz="4" w:space="0" w:color="auto"/>
            </w:tcBorders>
            <w:shd w:val="clear" w:color="auto" w:fill="529DBA"/>
            <w:noWrap/>
            <w:vAlign w:val="bottom"/>
            <w:hideMark/>
          </w:tcPr>
          <w:p w14:paraId="1975EC41"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single" w:sz="4" w:space="0" w:color="auto"/>
              <w:left w:val="nil"/>
              <w:bottom w:val="single" w:sz="4" w:space="0" w:color="auto"/>
              <w:right w:val="single" w:sz="4" w:space="0" w:color="auto"/>
            </w:tcBorders>
            <w:shd w:val="clear" w:color="auto" w:fill="529DBA"/>
            <w:noWrap/>
            <w:vAlign w:val="bottom"/>
            <w:hideMark/>
          </w:tcPr>
          <w:p w14:paraId="5BF52FA3"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683158A1"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4821FF37" w14:textId="77777777" w:rsidR="00CD6518" w:rsidRPr="007944FA" w:rsidRDefault="00CD6518"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r>
      <w:tr w:rsidR="00CD6518" w:rsidRPr="0093506F" w14:paraId="4B0EE8D0"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05EFA06"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Energija</w:t>
            </w:r>
          </w:p>
        </w:tc>
        <w:tc>
          <w:tcPr>
            <w:tcW w:w="900" w:type="dxa"/>
            <w:tcBorders>
              <w:top w:val="nil"/>
              <w:left w:val="nil"/>
              <w:bottom w:val="single" w:sz="4" w:space="0" w:color="auto"/>
              <w:right w:val="single" w:sz="4" w:space="0" w:color="auto"/>
            </w:tcBorders>
            <w:shd w:val="clear" w:color="auto" w:fill="auto"/>
            <w:noWrap/>
            <w:vAlign w:val="bottom"/>
            <w:hideMark/>
          </w:tcPr>
          <w:p w14:paraId="26AA7A1E"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751BA4BE"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408BF0AE"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550,1</w:t>
            </w:r>
          </w:p>
        </w:tc>
        <w:tc>
          <w:tcPr>
            <w:tcW w:w="900" w:type="dxa"/>
            <w:tcBorders>
              <w:top w:val="nil"/>
              <w:left w:val="nil"/>
              <w:bottom w:val="single" w:sz="4" w:space="0" w:color="auto"/>
              <w:right w:val="single" w:sz="4" w:space="0" w:color="auto"/>
            </w:tcBorders>
            <w:shd w:val="clear" w:color="auto" w:fill="auto"/>
            <w:noWrap/>
            <w:vAlign w:val="bottom"/>
            <w:hideMark/>
          </w:tcPr>
          <w:p w14:paraId="539D0D2A"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579,1</w:t>
            </w:r>
          </w:p>
        </w:tc>
      </w:tr>
      <w:tr w:rsidR="00CD6518" w:rsidRPr="0093506F" w14:paraId="24551E85"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6064443"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Promet</w:t>
            </w:r>
          </w:p>
        </w:tc>
        <w:tc>
          <w:tcPr>
            <w:tcW w:w="900" w:type="dxa"/>
            <w:tcBorders>
              <w:top w:val="nil"/>
              <w:left w:val="nil"/>
              <w:bottom w:val="single" w:sz="4" w:space="0" w:color="auto"/>
              <w:right w:val="single" w:sz="4" w:space="0" w:color="auto"/>
            </w:tcBorders>
            <w:shd w:val="clear" w:color="auto" w:fill="auto"/>
            <w:noWrap/>
            <w:vAlign w:val="bottom"/>
            <w:hideMark/>
          </w:tcPr>
          <w:p w14:paraId="097589DF"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7D36E715"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3E4BFDE0"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04574DED"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r>
      <w:tr w:rsidR="00CD6518" w:rsidRPr="0093506F" w14:paraId="71781131"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080883D"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Idustrija</w:t>
            </w:r>
          </w:p>
        </w:tc>
        <w:tc>
          <w:tcPr>
            <w:tcW w:w="900" w:type="dxa"/>
            <w:tcBorders>
              <w:top w:val="nil"/>
              <w:left w:val="nil"/>
              <w:bottom w:val="single" w:sz="4" w:space="0" w:color="auto"/>
              <w:right w:val="single" w:sz="4" w:space="0" w:color="auto"/>
            </w:tcBorders>
            <w:shd w:val="clear" w:color="auto" w:fill="auto"/>
            <w:noWrap/>
            <w:vAlign w:val="bottom"/>
            <w:hideMark/>
          </w:tcPr>
          <w:p w14:paraId="0DF787A5"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6C1B859A"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76E15BC7"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100,0</w:t>
            </w:r>
          </w:p>
        </w:tc>
        <w:tc>
          <w:tcPr>
            <w:tcW w:w="900" w:type="dxa"/>
            <w:tcBorders>
              <w:top w:val="nil"/>
              <w:left w:val="nil"/>
              <w:bottom w:val="single" w:sz="4" w:space="0" w:color="auto"/>
              <w:right w:val="single" w:sz="4" w:space="0" w:color="auto"/>
            </w:tcBorders>
            <w:shd w:val="clear" w:color="auto" w:fill="auto"/>
            <w:noWrap/>
            <w:vAlign w:val="bottom"/>
            <w:hideMark/>
          </w:tcPr>
          <w:p w14:paraId="3E8AE4C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105,3</w:t>
            </w:r>
          </w:p>
        </w:tc>
      </w:tr>
      <w:tr w:rsidR="00CD6518" w:rsidRPr="0093506F" w14:paraId="5C730555"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6386FA7"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Kmetijstvo</w:t>
            </w:r>
          </w:p>
        </w:tc>
        <w:tc>
          <w:tcPr>
            <w:tcW w:w="900" w:type="dxa"/>
            <w:tcBorders>
              <w:top w:val="nil"/>
              <w:left w:val="nil"/>
              <w:bottom w:val="single" w:sz="4" w:space="0" w:color="auto"/>
              <w:right w:val="single" w:sz="4" w:space="0" w:color="auto"/>
            </w:tcBorders>
            <w:shd w:val="clear" w:color="auto" w:fill="auto"/>
            <w:noWrap/>
            <w:vAlign w:val="bottom"/>
            <w:hideMark/>
          </w:tcPr>
          <w:p w14:paraId="5E200E0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45,0</w:t>
            </w:r>
          </w:p>
        </w:tc>
        <w:tc>
          <w:tcPr>
            <w:tcW w:w="900" w:type="dxa"/>
            <w:tcBorders>
              <w:top w:val="nil"/>
              <w:left w:val="nil"/>
              <w:bottom w:val="single" w:sz="4" w:space="0" w:color="auto"/>
              <w:right w:val="single" w:sz="4" w:space="0" w:color="auto"/>
            </w:tcBorders>
            <w:shd w:val="clear" w:color="auto" w:fill="auto"/>
            <w:noWrap/>
            <w:vAlign w:val="bottom"/>
            <w:hideMark/>
          </w:tcPr>
          <w:p w14:paraId="0EC79491"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53,3</w:t>
            </w:r>
          </w:p>
        </w:tc>
        <w:tc>
          <w:tcPr>
            <w:tcW w:w="900" w:type="dxa"/>
            <w:tcBorders>
              <w:top w:val="nil"/>
              <w:left w:val="nil"/>
              <w:bottom w:val="single" w:sz="4" w:space="0" w:color="auto"/>
              <w:right w:val="single" w:sz="4" w:space="0" w:color="auto"/>
            </w:tcBorders>
            <w:shd w:val="clear" w:color="auto" w:fill="auto"/>
            <w:noWrap/>
            <w:vAlign w:val="bottom"/>
            <w:hideMark/>
          </w:tcPr>
          <w:p w14:paraId="199B269E"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56,7</w:t>
            </w:r>
          </w:p>
        </w:tc>
        <w:tc>
          <w:tcPr>
            <w:tcW w:w="900" w:type="dxa"/>
            <w:tcBorders>
              <w:top w:val="nil"/>
              <w:left w:val="nil"/>
              <w:bottom w:val="single" w:sz="4" w:space="0" w:color="auto"/>
              <w:right w:val="single" w:sz="4" w:space="0" w:color="auto"/>
            </w:tcBorders>
            <w:shd w:val="clear" w:color="auto" w:fill="auto"/>
            <w:noWrap/>
            <w:vAlign w:val="bottom"/>
            <w:hideMark/>
          </w:tcPr>
          <w:p w14:paraId="702527C1"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59,7</w:t>
            </w:r>
          </w:p>
        </w:tc>
      </w:tr>
      <w:tr w:rsidR="00CD6518" w:rsidRPr="0093506F" w14:paraId="324FA6E2"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3A06F36"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Gozdarstvo</w:t>
            </w:r>
          </w:p>
        </w:tc>
        <w:tc>
          <w:tcPr>
            <w:tcW w:w="900" w:type="dxa"/>
            <w:tcBorders>
              <w:top w:val="nil"/>
              <w:left w:val="nil"/>
              <w:bottom w:val="single" w:sz="4" w:space="0" w:color="auto"/>
              <w:right w:val="single" w:sz="4" w:space="0" w:color="auto"/>
            </w:tcBorders>
            <w:shd w:val="clear" w:color="auto" w:fill="auto"/>
            <w:noWrap/>
            <w:vAlign w:val="bottom"/>
            <w:hideMark/>
          </w:tcPr>
          <w:p w14:paraId="7CD74294"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157,0</w:t>
            </w:r>
          </w:p>
        </w:tc>
        <w:tc>
          <w:tcPr>
            <w:tcW w:w="900" w:type="dxa"/>
            <w:tcBorders>
              <w:top w:val="nil"/>
              <w:left w:val="nil"/>
              <w:bottom w:val="single" w:sz="4" w:space="0" w:color="auto"/>
              <w:right w:val="single" w:sz="4" w:space="0" w:color="auto"/>
            </w:tcBorders>
            <w:shd w:val="clear" w:color="auto" w:fill="auto"/>
            <w:noWrap/>
            <w:vAlign w:val="bottom"/>
            <w:hideMark/>
          </w:tcPr>
          <w:p w14:paraId="69223168"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185,8</w:t>
            </w:r>
          </w:p>
        </w:tc>
        <w:tc>
          <w:tcPr>
            <w:tcW w:w="900" w:type="dxa"/>
            <w:tcBorders>
              <w:top w:val="nil"/>
              <w:left w:val="nil"/>
              <w:bottom w:val="single" w:sz="4" w:space="0" w:color="auto"/>
              <w:right w:val="single" w:sz="4" w:space="0" w:color="auto"/>
            </w:tcBorders>
            <w:shd w:val="clear" w:color="auto" w:fill="auto"/>
            <w:noWrap/>
            <w:vAlign w:val="bottom"/>
            <w:hideMark/>
          </w:tcPr>
          <w:p w14:paraId="5FCE568B"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142,5</w:t>
            </w:r>
          </w:p>
        </w:tc>
        <w:tc>
          <w:tcPr>
            <w:tcW w:w="900" w:type="dxa"/>
            <w:tcBorders>
              <w:top w:val="nil"/>
              <w:left w:val="nil"/>
              <w:bottom w:val="single" w:sz="4" w:space="0" w:color="auto"/>
              <w:right w:val="single" w:sz="4" w:space="0" w:color="auto"/>
            </w:tcBorders>
            <w:shd w:val="clear" w:color="auto" w:fill="auto"/>
            <w:noWrap/>
            <w:vAlign w:val="bottom"/>
            <w:hideMark/>
          </w:tcPr>
          <w:p w14:paraId="09DB04B1"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150,0</w:t>
            </w:r>
          </w:p>
        </w:tc>
      </w:tr>
      <w:tr w:rsidR="00CD6518" w:rsidRPr="0093506F" w14:paraId="73BD8256"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4C208DD"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Voda in sanitarne storitve</w:t>
            </w:r>
          </w:p>
        </w:tc>
        <w:tc>
          <w:tcPr>
            <w:tcW w:w="900" w:type="dxa"/>
            <w:tcBorders>
              <w:top w:val="nil"/>
              <w:left w:val="nil"/>
              <w:bottom w:val="single" w:sz="4" w:space="0" w:color="auto"/>
              <w:right w:val="single" w:sz="4" w:space="0" w:color="auto"/>
            </w:tcBorders>
            <w:shd w:val="clear" w:color="auto" w:fill="auto"/>
            <w:noWrap/>
            <w:vAlign w:val="bottom"/>
            <w:hideMark/>
          </w:tcPr>
          <w:p w14:paraId="12DADB2F"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1.112,6</w:t>
            </w:r>
          </w:p>
        </w:tc>
        <w:tc>
          <w:tcPr>
            <w:tcW w:w="900" w:type="dxa"/>
            <w:tcBorders>
              <w:top w:val="nil"/>
              <w:left w:val="nil"/>
              <w:bottom w:val="single" w:sz="4" w:space="0" w:color="auto"/>
              <w:right w:val="single" w:sz="4" w:space="0" w:color="auto"/>
            </w:tcBorders>
            <w:shd w:val="clear" w:color="auto" w:fill="auto"/>
            <w:noWrap/>
            <w:vAlign w:val="bottom"/>
            <w:hideMark/>
          </w:tcPr>
          <w:p w14:paraId="711745D4"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1.316,7</w:t>
            </w:r>
          </w:p>
        </w:tc>
        <w:tc>
          <w:tcPr>
            <w:tcW w:w="900" w:type="dxa"/>
            <w:tcBorders>
              <w:top w:val="nil"/>
              <w:left w:val="nil"/>
              <w:bottom w:val="single" w:sz="4" w:space="0" w:color="auto"/>
              <w:right w:val="single" w:sz="4" w:space="0" w:color="auto"/>
            </w:tcBorders>
            <w:shd w:val="clear" w:color="auto" w:fill="auto"/>
            <w:noWrap/>
            <w:vAlign w:val="bottom"/>
            <w:hideMark/>
          </w:tcPr>
          <w:p w14:paraId="24DED938"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1.200,1</w:t>
            </w:r>
          </w:p>
        </w:tc>
        <w:tc>
          <w:tcPr>
            <w:tcW w:w="900" w:type="dxa"/>
            <w:tcBorders>
              <w:top w:val="nil"/>
              <w:left w:val="nil"/>
              <w:bottom w:val="single" w:sz="4" w:space="0" w:color="auto"/>
              <w:right w:val="single" w:sz="4" w:space="0" w:color="auto"/>
            </w:tcBorders>
            <w:shd w:val="clear" w:color="auto" w:fill="auto"/>
            <w:noWrap/>
            <w:vAlign w:val="bottom"/>
            <w:hideMark/>
          </w:tcPr>
          <w:p w14:paraId="143FEEEC"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1.263,3</w:t>
            </w:r>
          </w:p>
        </w:tc>
      </w:tr>
      <w:tr w:rsidR="00CD6518" w:rsidRPr="0093506F" w14:paraId="049B29DA"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83E1CB2"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Horizontalne vsebine</w:t>
            </w:r>
          </w:p>
        </w:tc>
        <w:tc>
          <w:tcPr>
            <w:tcW w:w="900" w:type="dxa"/>
            <w:tcBorders>
              <w:top w:val="nil"/>
              <w:left w:val="nil"/>
              <w:bottom w:val="single" w:sz="4" w:space="0" w:color="auto"/>
              <w:right w:val="single" w:sz="4" w:space="0" w:color="auto"/>
            </w:tcBorders>
            <w:shd w:val="clear" w:color="auto" w:fill="auto"/>
            <w:noWrap/>
            <w:vAlign w:val="bottom"/>
            <w:hideMark/>
          </w:tcPr>
          <w:p w14:paraId="11DFB175"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231,1</w:t>
            </w:r>
          </w:p>
        </w:tc>
        <w:tc>
          <w:tcPr>
            <w:tcW w:w="900" w:type="dxa"/>
            <w:tcBorders>
              <w:top w:val="nil"/>
              <w:left w:val="nil"/>
              <w:bottom w:val="single" w:sz="4" w:space="0" w:color="auto"/>
              <w:right w:val="single" w:sz="4" w:space="0" w:color="auto"/>
            </w:tcBorders>
            <w:shd w:val="clear" w:color="auto" w:fill="auto"/>
            <w:noWrap/>
            <w:vAlign w:val="bottom"/>
            <w:hideMark/>
          </w:tcPr>
          <w:p w14:paraId="4DA79258"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273,4</w:t>
            </w:r>
          </w:p>
        </w:tc>
        <w:tc>
          <w:tcPr>
            <w:tcW w:w="900" w:type="dxa"/>
            <w:tcBorders>
              <w:top w:val="nil"/>
              <w:left w:val="nil"/>
              <w:bottom w:val="single" w:sz="4" w:space="0" w:color="auto"/>
              <w:right w:val="single" w:sz="4" w:space="0" w:color="auto"/>
            </w:tcBorders>
            <w:shd w:val="clear" w:color="auto" w:fill="auto"/>
            <w:noWrap/>
            <w:vAlign w:val="bottom"/>
            <w:hideMark/>
          </w:tcPr>
          <w:p w14:paraId="30A626B1"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190,6</w:t>
            </w:r>
          </w:p>
        </w:tc>
        <w:tc>
          <w:tcPr>
            <w:tcW w:w="900" w:type="dxa"/>
            <w:tcBorders>
              <w:top w:val="nil"/>
              <w:left w:val="nil"/>
              <w:bottom w:val="single" w:sz="4" w:space="0" w:color="auto"/>
              <w:right w:val="single" w:sz="4" w:space="0" w:color="auto"/>
            </w:tcBorders>
            <w:shd w:val="clear" w:color="auto" w:fill="auto"/>
            <w:noWrap/>
            <w:vAlign w:val="bottom"/>
            <w:hideMark/>
          </w:tcPr>
          <w:p w14:paraId="71271D47"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200,6</w:t>
            </w:r>
          </w:p>
        </w:tc>
      </w:tr>
      <w:tr w:rsidR="00CD6518" w:rsidRPr="0093506F" w14:paraId="4D49C375"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FA149D1"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Drugo</w:t>
            </w:r>
          </w:p>
        </w:tc>
        <w:tc>
          <w:tcPr>
            <w:tcW w:w="900" w:type="dxa"/>
            <w:tcBorders>
              <w:top w:val="nil"/>
              <w:left w:val="nil"/>
              <w:bottom w:val="single" w:sz="4" w:space="0" w:color="auto"/>
              <w:right w:val="single" w:sz="4" w:space="0" w:color="auto"/>
            </w:tcBorders>
            <w:shd w:val="clear" w:color="auto" w:fill="auto"/>
            <w:noWrap/>
            <w:vAlign w:val="bottom"/>
            <w:hideMark/>
          </w:tcPr>
          <w:p w14:paraId="7999A48C"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11,9</w:t>
            </w:r>
          </w:p>
        </w:tc>
        <w:tc>
          <w:tcPr>
            <w:tcW w:w="900" w:type="dxa"/>
            <w:tcBorders>
              <w:top w:val="nil"/>
              <w:left w:val="nil"/>
              <w:bottom w:val="single" w:sz="4" w:space="0" w:color="auto"/>
              <w:right w:val="single" w:sz="4" w:space="0" w:color="auto"/>
            </w:tcBorders>
            <w:shd w:val="clear" w:color="auto" w:fill="auto"/>
            <w:noWrap/>
            <w:vAlign w:val="bottom"/>
            <w:hideMark/>
          </w:tcPr>
          <w:p w14:paraId="164A95F5"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14,1</w:t>
            </w:r>
          </w:p>
        </w:tc>
        <w:tc>
          <w:tcPr>
            <w:tcW w:w="900" w:type="dxa"/>
            <w:tcBorders>
              <w:top w:val="nil"/>
              <w:left w:val="nil"/>
              <w:bottom w:val="single" w:sz="4" w:space="0" w:color="auto"/>
              <w:right w:val="single" w:sz="4" w:space="0" w:color="auto"/>
            </w:tcBorders>
            <w:shd w:val="clear" w:color="auto" w:fill="auto"/>
            <w:noWrap/>
            <w:vAlign w:val="bottom"/>
            <w:hideMark/>
          </w:tcPr>
          <w:p w14:paraId="46679EA9"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107,8</w:t>
            </w:r>
          </w:p>
        </w:tc>
        <w:tc>
          <w:tcPr>
            <w:tcW w:w="900" w:type="dxa"/>
            <w:tcBorders>
              <w:top w:val="nil"/>
              <w:left w:val="nil"/>
              <w:bottom w:val="single" w:sz="4" w:space="0" w:color="auto"/>
              <w:right w:val="single" w:sz="4" w:space="0" w:color="auto"/>
            </w:tcBorders>
            <w:shd w:val="clear" w:color="auto" w:fill="auto"/>
            <w:noWrap/>
            <w:vAlign w:val="bottom"/>
            <w:hideMark/>
          </w:tcPr>
          <w:p w14:paraId="103E9E40" w14:textId="77777777" w:rsidR="00CD6518" w:rsidRPr="007944FA" w:rsidRDefault="00CD6518"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113,5</w:t>
            </w:r>
          </w:p>
        </w:tc>
      </w:tr>
      <w:tr w:rsidR="00CD6518" w:rsidRPr="0093506F" w14:paraId="52821106" w14:textId="77777777" w:rsidTr="00CD6518">
        <w:trPr>
          <w:trHeight w:val="290"/>
        </w:trPr>
        <w:tc>
          <w:tcPr>
            <w:tcW w:w="1960" w:type="dxa"/>
            <w:tcBorders>
              <w:top w:val="nil"/>
              <w:left w:val="single" w:sz="4" w:space="0" w:color="auto"/>
              <w:bottom w:val="single" w:sz="4" w:space="0" w:color="auto"/>
              <w:right w:val="single" w:sz="4" w:space="0" w:color="auto"/>
            </w:tcBorders>
            <w:shd w:val="clear" w:color="auto" w:fill="529DBA"/>
            <w:noWrap/>
            <w:vAlign w:val="bottom"/>
            <w:hideMark/>
          </w:tcPr>
          <w:p w14:paraId="21DC40EA"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c>
          <w:tcPr>
            <w:tcW w:w="900" w:type="dxa"/>
            <w:tcBorders>
              <w:top w:val="nil"/>
              <w:left w:val="nil"/>
              <w:bottom w:val="single" w:sz="4" w:space="0" w:color="auto"/>
              <w:right w:val="single" w:sz="4" w:space="0" w:color="auto"/>
            </w:tcBorders>
            <w:shd w:val="clear" w:color="auto" w:fill="529DBA"/>
            <w:noWrap/>
            <w:vAlign w:val="bottom"/>
            <w:hideMark/>
          </w:tcPr>
          <w:p w14:paraId="19B30995"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1.557,6</w:t>
            </w:r>
          </w:p>
        </w:tc>
        <w:tc>
          <w:tcPr>
            <w:tcW w:w="900" w:type="dxa"/>
            <w:tcBorders>
              <w:top w:val="nil"/>
              <w:left w:val="nil"/>
              <w:bottom w:val="single" w:sz="4" w:space="0" w:color="auto"/>
              <w:right w:val="single" w:sz="4" w:space="0" w:color="auto"/>
            </w:tcBorders>
            <w:shd w:val="clear" w:color="auto" w:fill="529DBA"/>
            <w:noWrap/>
            <w:vAlign w:val="bottom"/>
            <w:hideMark/>
          </w:tcPr>
          <w:p w14:paraId="048351EE"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1.843,3</w:t>
            </w:r>
          </w:p>
        </w:tc>
        <w:tc>
          <w:tcPr>
            <w:tcW w:w="900" w:type="dxa"/>
            <w:tcBorders>
              <w:top w:val="nil"/>
              <w:left w:val="nil"/>
              <w:bottom w:val="single" w:sz="4" w:space="0" w:color="auto"/>
              <w:right w:val="single" w:sz="4" w:space="0" w:color="auto"/>
            </w:tcBorders>
            <w:shd w:val="clear" w:color="auto" w:fill="529DBA"/>
            <w:noWrap/>
            <w:vAlign w:val="bottom"/>
            <w:hideMark/>
          </w:tcPr>
          <w:p w14:paraId="3CEABECC"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2.347,9</w:t>
            </w:r>
          </w:p>
        </w:tc>
        <w:tc>
          <w:tcPr>
            <w:tcW w:w="900" w:type="dxa"/>
            <w:tcBorders>
              <w:top w:val="nil"/>
              <w:left w:val="nil"/>
              <w:bottom w:val="single" w:sz="4" w:space="0" w:color="auto"/>
              <w:right w:val="single" w:sz="4" w:space="0" w:color="auto"/>
            </w:tcBorders>
            <w:shd w:val="clear" w:color="auto" w:fill="529DBA"/>
            <w:noWrap/>
            <w:vAlign w:val="bottom"/>
            <w:hideMark/>
          </w:tcPr>
          <w:p w14:paraId="14A67FD0"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2.471,5</w:t>
            </w:r>
          </w:p>
        </w:tc>
      </w:tr>
    </w:tbl>
    <w:p w14:paraId="0C9724F6" w14:textId="7108508C" w:rsidR="00C23A2A" w:rsidRPr="007944FA" w:rsidRDefault="002F38E7" w:rsidP="002F38E7">
      <w:pPr>
        <w:pStyle w:val="nikatabelee"/>
      </w:pPr>
      <w:bookmarkStart w:id="210" w:name="_Toc193195406"/>
      <w:r w:rsidRPr="007944FA">
        <w:t>Preglednica 21</w:t>
      </w:r>
      <w:r w:rsidR="00CD6518" w:rsidRPr="007944FA">
        <w:t>: Dvostranska finančna podpora, zagotovljena po sektorjih</w:t>
      </w:r>
      <w:bookmarkEnd w:id="210"/>
    </w:p>
    <w:tbl>
      <w:tblPr>
        <w:tblW w:w="7655" w:type="dxa"/>
        <w:tblInd w:w="567" w:type="dxa"/>
        <w:tblCellMar>
          <w:left w:w="70" w:type="dxa"/>
          <w:right w:w="70" w:type="dxa"/>
        </w:tblCellMar>
        <w:tblLook w:val="04A0" w:firstRow="1" w:lastRow="0" w:firstColumn="1" w:lastColumn="0" w:noHBand="0" w:noVBand="1"/>
      </w:tblPr>
      <w:tblGrid>
        <w:gridCol w:w="3402"/>
        <w:gridCol w:w="1134"/>
        <w:gridCol w:w="1134"/>
        <w:gridCol w:w="993"/>
        <w:gridCol w:w="992"/>
      </w:tblGrid>
      <w:tr w:rsidR="00CD6518" w:rsidRPr="0093506F" w14:paraId="581D2109" w14:textId="77777777" w:rsidTr="002C59CB">
        <w:trPr>
          <w:trHeight w:val="290"/>
        </w:trPr>
        <w:tc>
          <w:tcPr>
            <w:tcW w:w="3402" w:type="dxa"/>
            <w:tcBorders>
              <w:top w:val="single" w:sz="4" w:space="0" w:color="auto"/>
              <w:left w:val="single" w:sz="4" w:space="0" w:color="auto"/>
              <w:bottom w:val="single" w:sz="4" w:space="0" w:color="auto"/>
              <w:right w:val="nil"/>
            </w:tcBorders>
            <w:shd w:val="clear" w:color="auto" w:fill="529DBA"/>
            <w:noWrap/>
            <w:vAlign w:val="bottom"/>
            <w:hideMark/>
          </w:tcPr>
          <w:p w14:paraId="4A01B92C" w14:textId="77777777" w:rsidR="00CD6518" w:rsidRPr="007944FA" w:rsidRDefault="00CD6518" w:rsidP="006D46D8">
            <w:pPr>
              <w:spacing w:after="0" w:line="240" w:lineRule="auto"/>
              <w:rPr>
                <w:rFonts w:ascii="Arial" w:eastAsia="Times New Roman" w:hAnsi="Arial" w:cs="Arial"/>
                <w:color w:val="FFFFFF" w:themeColor="background1"/>
                <w:sz w:val="18"/>
                <w:szCs w:val="18"/>
                <w:lang w:eastAsia="sl-SI"/>
              </w:rPr>
            </w:pPr>
          </w:p>
        </w:tc>
        <w:tc>
          <w:tcPr>
            <w:tcW w:w="2268" w:type="dxa"/>
            <w:gridSpan w:val="2"/>
            <w:tcBorders>
              <w:top w:val="single" w:sz="4" w:space="0" w:color="auto"/>
              <w:left w:val="single" w:sz="4" w:space="0" w:color="auto"/>
              <w:bottom w:val="single" w:sz="4" w:space="0" w:color="auto"/>
              <w:right w:val="single" w:sz="4" w:space="0" w:color="auto"/>
            </w:tcBorders>
            <w:shd w:val="clear" w:color="auto" w:fill="529DBA"/>
            <w:noWrap/>
            <w:vAlign w:val="bottom"/>
            <w:hideMark/>
          </w:tcPr>
          <w:p w14:paraId="3F299AD6" w14:textId="77777777" w:rsidR="00CD6518" w:rsidRPr="007944FA" w:rsidRDefault="00CD6518" w:rsidP="006D46D8">
            <w:pPr>
              <w:spacing w:after="0" w:line="240" w:lineRule="auto"/>
              <w:jc w:val="center"/>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2021</w:t>
            </w:r>
          </w:p>
        </w:tc>
        <w:tc>
          <w:tcPr>
            <w:tcW w:w="1985" w:type="dxa"/>
            <w:gridSpan w:val="2"/>
            <w:tcBorders>
              <w:top w:val="single" w:sz="4" w:space="0" w:color="auto"/>
              <w:left w:val="nil"/>
              <w:bottom w:val="single" w:sz="4" w:space="0" w:color="auto"/>
              <w:right w:val="single" w:sz="4" w:space="0" w:color="auto"/>
            </w:tcBorders>
            <w:shd w:val="clear" w:color="auto" w:fill="529DBA"/>
            <w:noWrap/>
            <w:vAlign w:val="bottom"/>
            <w:hideMark/>
          </w:tcPr>
          <w:p w14:paraId="3A25D304" w14:textId="77777777" w:rsidR="00CD6518" w:rsidRPr="007944FA" w:rsidRDefault="00CD6518" w:rsidP="006D46D8">
            <w:pPr>
              <w:spacing w:after="0" w:line="240" w:lineRule="auto"/>
              <w:jc w:val="center"/>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2022</w:t>
            </w:r>
          </w:p>
        </w:tc>
      </w:tr>
      <w:tr w:rsidR="00CD6518" w:rsidRPr="0093506F" w14:paraId="219667AD" w14:textId="77777777" w:rsidTr="002C59CB">
        <w:trPr>
          <w:trHeight w:val="290"/>
        </w:trPr>
        <w:tc>
          <w:tcPr>
            <w:tcW w:w="3402" w:type="dxa"/>
            <w:tcBorders>
              <w:top w:val="single" w:sz="4" w:space="0" w:color="auto"/>
              <w:left w:val="single" w:sz="4" w:space="0" w:color="auto"/>
              <w:bottom w:val="single" w:sz="4" w:space="0" w:color="auto"/>
              <w:right w:val="single" w:sz="4" w:space="0" w:color="auto"/>
            </w:tcBorders>
            <w:shd w:val="clear" w:color="auto" w:fill="529DBA"/>
            <w:noWrap/>
            <w:vAlign w:val="bottom"/>
            <w:hideMark/>
          </w:tcPr>
          <w:p w14:paraId="70893547"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eastAsia="sl-SI"/>
              </w:rPr>
            </w:pPr>
          </w:p>
        </w:tc>
        <w:tc>
          <w:tcPr>
            <w:tcW w:w="1134" w:type="dxa"/>
            <w:tcBorders>
              <w:top w:val="single" w:sz="4" w:space="0" w:color="auto"/>
              <w:left w:val="nil"/>
              <w:bottom w:val="single" w:sz="4" w:space="0" w:color="auto"/>
              <w:right w:val="single" w:sz="4" w:space="0" w:color="auto"/>
            </w:tcBorders>
            <w:shd w:val="clear" w:color="auto" w:fill="529DBA"/>
            <w:noWrap/>
            <w:vAlign w:val="bottom"/>
            <w:hideMark/>
          </w:tcPr>
          <w:p w14:paraId="5ACDCAEB" w14:textId="77777777" w:rsidR="00CD6518" w:rsidRPr="007944FA" w:rsidRDefault="00CD6518" w:rsidP="006D46D8">
            <w:pPr>
              <w:spacing w:after="0" w:line="240" w:lineRule="auto"/>
              <w:rPr>
                <w:rFonts w:ascii="Arial" w:eastAsia="Times New Roman" w:hAnsi="Arial" w:cs="Arial"/>
                <w:color w:val="FFFFFF" w:themeColor="background1"/>
                <w:sz w:val="18"/>
                <w:szCs w:val="18"/>
                <w:lang w:eastAsia="sl-SI"/>
              </w:rPr>
            </w:pPr>
            <w:r w:rsidRPr="007944FA">
              <w:rPr>
                <w:rFonts w:ascii="Arial" w:eastAsia="Times New Roman" w:hAnsi="Arial" w:cs="Arial"/>
                <w:color w:val="FFFFFF" w:themeColor="background1"/>
                <w:sz w:val="18"/>
                <w:szCs w:val="18"/>
                <w:lang w:eastAsia="sl-SI"/>
              </w:rPr>
              <w:t>T EUR</w:t>
            </w:r>
          </w:p>
        </w:tc>
        <w:tc>
          <w:tcPr>
            <w:tcW w:w="1134" w:type="dxa"/>
            <w:tcBorders>
              <w:top w:val="single" w:sz="4" w:space="0" w:color="auto"/>
              <w:left w:val="nil"/>
              <w:bottom w:val="single" w:sz="4" w:space="0" w:color="auto"/>
              <w:right w:val="single" w:sz="4" w:space="0" w:color="auto"/>
            </w:tcBorders>
            <w:shd w:val="clear" w:color="auto" w:fill="529DBA"/>
            <w:noWrap/>
            <w:vAlign w:val="bottom"/>
            <w:hideMark/>
          </w:tcPr>
          <w:p w14:paraId="23EE8964" w14:textId="77777777" w:rsidR="00CD6518" w:rsidRPr="007944FA" w:rsidRDefault="00CD6518" w:rsidP="006D46D8">
            <w:pPr>
              <w:spacing w:after="0" w:line="240" w:lineRule="auto"/>
              <w:rPr>
                <w:rFonts w:ascii="Arial" w:eastAsia="Times New Roman" w:hAnsi="Arial" w:cs="Arial"/>
                <w:color w:val="FFFFFF" w:themeColor="background1"/>
                <w:sz w:val="18"/>
                <w:szCs w:val="18"/>
                <w:lang w:eastAsia="sl-SI"/>
              </w:rPr>
            </w:pPr>
            <w:r w:rsidRPr="007944FA">
              <w:rPr>
                <w:rFonts w:ascii="Arial" w:eastAsia="Times New Roman" w:hAnsi="Arial" w:cs="Arial"/>
                <w:color w:val="FFFFFF" w:themeColor="background1"/>
                <w:sz w:val="18"/>
                <w:szCs w:val="18"/>
                <w:lang w:eastAsia="sl-SI"/>
              </w:rPr>
              <w:t>T USD</w:t>
            </w:r>
          </w:p>
        </w:tc>
        <w:tc>
          <w:tcPr>
            <w:tcW w:w="993" w:type="dxa"/>
            <w:tcBorders>
              <w:top w:val="nil"/>
              <w:left w:val="nil"/>
              <w:bottom w:val="single" w:sz="4" w:space="0" w:color="auto"/>
              <w:right w:val="single" w:sz="4" w:space="0" w:color="auto"/>
            </w:tcBorders>
            <w:shd w:val="clear" w:color="auto" w:fill="529DBA"/>
            <w:noWrap/>
            <w:vAlign w:val="bottom"/>
            <w:hideMark/>
          </w:tcPr>
          <w:p w14:paraId="11198A03" w14:textId="77777777" w:rsidR="00CD6518" w:rsidRPr="007944FA" w:rsidRDefault="00CD6518" w:rsidP="006D46D8">
            <w:pPr>
              <w:spacing w:after="0" w:line="240" w:lineRule="auto"/>
              <w:rPr>
                <w:rFonts w:ascii="Arial" w:eastAsia="Times New Roman" w:hAnsi="Arial" w:cs="Arial"/>
                <w:color w:val="FFFFFF" w:themeColor="background1"/>
                <w:sz w:val="18"/>
                <w:szCs w:val="18"/>
                <w:lang w:eastAsia="sl-SI"/>
              </w:rPr>
            </w:pPr>
            <w:r w:rsidRPr="007944FA">
              <w:rPr>
                <w:rFonts w:ascii="Arial" w:eastAsia="Times New Roman" w:hAnsi="Arial" w:cs="Arial"/>
                <w:color w:val="FFFFFF" w:themeColor="background1"/>
                <w:sz w:val="18"/>
                <w:szCs w:val="18"/>
                <w:lang w:eastAsia="sl-SI"/>
              </w:rPr>
              <w:t>T EUR</w:t>
            </w:r>
          </w:p>
        </w:tc>
        <w:tc>
          <w:tcPr>
            <w:tcW w:w="992" w:type="dxa"/>
            <w:tcBorders>
              <w:top w:val="nil"/>
              <w:left w:val="nil"/>
              <w:bottom w:val="single" w:sz="4" w:space="0" w:color="auto"/>
              <w:right w:val="single" w:sz="4" w:space="0" w:color="auto"/>
            </w:tcBorders>
            <w:shd w:val="clear" w:color="auto" w:fill="529DBA"/>
            <w:noWrap/>
            <w:vAlign w:val="bottom"/>
            <w:hideMark/>
          </w:tcPr>
          <w:p w14:paraId="1BD04FE9" w14:textId="77777777" w:rsidR="00CD6518" w:rsidRPr="007944FA" w:rsidRDefault="00CD6518" w:rsidP="006D46D8">
            <w:pPr>
              <w:spacing w:after="0" w:line="240" w:lineRule="auto"/>
              <w:rPr>
                <w:rFonts w:ascii="Arial" w:eastAsia="Times New Roman" w:hAnsi="Arial" w:cs="Arial"/>
                <w:color w:val="FFFFFF" w:themeColor="background1"/>
                <w:sz w:val="18"/>
                <w:szCs w:val="18"/>
                <w:lang w:eastAsia="sl-SI"/>
              </w:rPr>
            </w:pPr>
            <w:r w:rsidRPr="007944FA">
              <w:rPr>
                <w:rFonts w:ascii="Arial" w:eastAsia="Times New Roman" w:hAnsi="Arial" w:cs="Arial"/>
                <w:color w:val="FFFFFF" w:themeColor="background1"/>
                <w:sz w:val="18"/>
                <w:szCs w:val="18"/>
                <w:lang w:eastAsia="sl-SI"/>
              </w:rPr>
              <w:t>T USD</w:t>
            </w:r>
          </w:p>
        </w:tc>
      </w:tr>
      <w:tr w:rsidR="00CD6518" w:rsidRPr="0093506F" w14:paraId="14317CA8"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22141D02"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Skupina Svetovne banke</w:t>
            </w:r>
          </w:p>
        </w:tc>
        <w:tc>
          <w:tcPr>
            <w:tcW w:w="1134" w:type="dxa"/>
            <w:tcBorders>
              <w:top w:val="nil"/>
              <w:left w:val="nil"/>
              <w:bottom w:val="single" w:sz="4" w:space="0" w:color="auto"/>
              <w:right w:val="single" w:sz="4" w:space="0" w:color="auto"/>
            </w:tcBorders>
            <w:shd w:val="clear" w:color="auto" w:fill="auto"/>
            <w:noWrap/>
            <w:vAlign w:val="bottom"/>
            <w:hideMark/>
          </w:tcPr>
          <w:p w14:paraId="78A9A24D"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925,5</w:t>
            </w:r>
          </w:p>
        </w:tc>
        <w:tc>
          <w:tcPr>
            <w:tcW w:w="1134" w:type="dxa"/>
            <w:tcBorders>
              <w:top w:val="nil"/>
              <w:left w:val="nil"/>
              <w:bottom w:val="single" w:sz="4" w:space="0" w:color="auto"/>
              <w:right w:val="single" w:sz="4" w:space="0" w:color="auto"/>
            </w:tcBorders>
            <w:shd w:val="clear" w:color="auto" w:fill="auto"/>
            <w:noWrap/>
            <w:vAlign w:val="bottom"/>
            <w:hideMark/>
          </w:tcPr>
          <w:p w14:paraId="1EC4563E"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1.095,2</w:t>
            </w:r>
          </w:p>
        </w:tc>
        <w:tc>
          <w:tcPr>
            <w:tcW w:w="993" w:type="dxa"/>
            <w:tcBorders>
              <w:top w:val="nil"/>
              <w:left w:val="nil"/>
              <w:bottom w:val="single" w:sz="4" w:space="0" w:color="auto"/>
              <w:right w:val="single" w:sz="4" w:space="0" w:color="auto"/>
            </w:tcBorders>
            <w:shd w:val="clear" w:color="auto" w:fill="auto"/>
            <w:noWrap/>
            <w:vAlign w:val="bottom"/>
            <w:hideMark/>
          </w:tcPr>
          <w:p w14:paraId="6D2D3C26"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988,1</w:t>
            </w:r>
          </w:p>
        </w:tc>
        <w:tc>
          <w:tcPr>
            <w:tcW w:w="992" w:type="dxa"/>
            <w:tcBorders>
              <w:top w:val="nil"/>
              <w:left w:val="nil"/>
              <w:bottom w:val="single" w:sz="4" w:space="0" w:color="auto"/>
              <w:right w:val="single" w:sz="4" w:space="0" w:color="auto"/>
            </w:tcBorders>
            <w:shd w:val="clear" w:color="auto" w:fill="auto"/>
            <w:noWrap/>
            <w:vAlign w:val="bottom"/>
            <w:hideMark/>
          </w:tcPr>
          <w:p w14:paraId="7B695D69"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1.040,1</w:t>
            </w:r>
          </w:p>
        </w:tc>
      </w:tr>
      <w:tr w:rsidR="00CD6518" w:rsidRPr="0093506F" w14:paraId="1AB2E719"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9880815"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Globalni okoljski sklad (GEF)</w:t>
            </w:r>
          </w:p>
        </w:tc>
        <w:tc>
          <w:tcPr>
            <w:tcW w:w="1134" w:type="dxa"/>
            <w:tcBorders>
              <w:top w:val="nil"/>
              <w:left w:val="nil"/>
              <w:bottom w:val="single" w:sz="4" w:space="0" w:color="auto"/>
              <w:right w:val="single" w:sz="4" w:space="0" w:color="auto"/>
            </w:tcBorders>
            <w:shd w:val="clear" w:color="auto" w:fill="auto"/>
            <w:noWrap/>
            <w:vAlign w:val="bottom"/>
            <w:hideMark/>
          </w:tcPr>
          <w:p w14:paraId="02AAD950"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1.998,4</w:t>
            </w:r>
          </w:p>
        </w:tc>
        <w:tc>
          <w:tcPr>
            <w:tcW w:w="1134" w:type="dxa"/>
            <w:tcBorders>
              <w:top w:val="nil"/>
              <w:left w:val="nil"/>
              <w:bottom w:val="single" w:sz="4" w:space="0" w:color="auto"/>
              <w:right w:val="single" w:sz="4" w:space="0" w:color="auto"/>
            </w:tcBorders>
            <w:shd w:val="clear" w:color="auto" w:fill="auto"/>
            <w:noWrap/>
            <w:vAlign w:val="bottom"/>
            <w:hideMark/>
          </w:tcPr>
          <w:p w14:paraId="6F5F70B5"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2.364,9</w:t>
            </w:r>
          </w:p>
        </w:tc>
        <w:tc>
          <w:tcPr>
            <w:tcW w:w="993" w:type="dxa"/>
            <w:tcBorders>
              <w:top w:val="nil"/>
              <w:left w:val="nil"/>
              <w:bottom w:val="single" w:sz="4" w:space="0" w:color="auto"/>
              <w:right w:val="single" w:sz="4" w:space="0" w:color="auto"/>
            </w:tcBorders>
            <w:shd w:val="clear" w:color="auto" w:fill="auto"/>
            <w:noWrap/>
            <w:vAlign w:val="bottom"/>
            <w:hideMark/>
          </w:tcPr>
          <w:p w14:paraId="3B73B4C3"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1.063,1</w:t>
            </w:r>
          </w:p>
        </w:tc>
        <w:tc>
          <w:tcPr>
            <w:tcW w:w="992" w:type="dxa"/>
            <w:tcBorders>
              <w:top w:val="nil"/>
              <w:left w:val="nil"/>
              <w:bottom w:val="single" w:sz="4" w:space="0" w:color="auto"/>
              <w:right w:val="single" w:sz="4" w:space="0" w:color="auto"/>
            </w:tcBorders>
            <w:shd w:val="clear" w:color="auto" w:fill="auto"/>
            <w:noWrap/>
            <w:vAlign w:val="bottom"/>
            <w:hideMark/>
          </w:tcPr>
          <w:p w14:paraId="60EA61B2"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1.119,1</w:t>
            </w:r>
          </w:p>
        </w:tc>
      </w:tr>
      <w:tr w:rsidR="00CD6518" w:rsidRPr="0093506F" w14:paraId="43A67949"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5C58601B"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hAnsi="Arial" w:cs="Arial"/>
                <w:sz w:val="18"/>
                <w:szCs w:val="18"/>
              </w:rPr>
              <w:t>Specializirani organi Združenih narodov (UNFCCC in Montrealski protokol)</w:t>
            </w:r>
          </w:p>
        </w:tc>
        <w:tc>
          <w:tcPr>
            <w:tcW w:w="1134" w:type="dxa"/>
            <w:tcBorders>
              <w:top w:val="nil"/>
              <w:left w:val="nil"/>
              <w:bottom w:val="single" w:sz="4" w:space="0" w:color="auto"/>
              <w:right w:val="single" w:sz="4" w:space="0" w:color="auto"/>
            </w:tcBorders>
            <w:shd w:val="clear" w:color="auto" w:fill="auto"/>
            <w:noWrap/>
            <w:vAlign w:val="bottom"/>
            <w:hideMark/>
          </w:tcPr>
          <w:p w14:paraId="456BC439"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179,5</w:t>
            </w:r>
          </w:p>
        </w:tc>
        <w:tc>
          <w:tcPr>
            <w:tcW w:w="1134" w:type="dxa"/>
            <w:tcBorders>
              <w:top w:val="nil"/>
              <w:left w:val="nil"/>
              <w:bottom w:val="single" w:sz="4" w:space="0" w:color="auto"/>
              <w:right w:val="single" w:sz="4" w:space="0" w:color="auto"/>
            </w:tcBorders>
            <w:shd w:val="clear" w:color="auto" w:fill="auto"/>
            <w:noWrap/>
            <w:vAlign w:val="bottom"/>
            <w:hideMark/>
          </w:tcPr>
          <w:p w14:paraId="5253A56F"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212,4</w:t>
            </w:r>
          </w:p>
        </w:tc>
        <w:tc>
          <w:tcPr>
            <w:tcW w:w="993" w:type="dxa"/>
            <w:tcBorders>
              <w:top w:val="nil"/>
              <w:left w:val="nil"/>
              <w:bottom w:val="single" w:sz="4" w:space="0" w:color="auto"/>
              <w:right w:val="single" w:sz="4" w:space="0" w:color="auto"/>
            </w:tcBorders>
            <w:shd w:val="clear" w:color="auto" w:fill="auto"/>
            <w:noWrap/>
            <w:vAlign w:val="bottom"/>
            <w:hideMark/>
          </w:tcPr>
          <w:p w14:paraId="6DFE6E49"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210,5</w:t>
            </w:r>
          </w:p>
        </w:tc>
        <w:tc>
          <w:tcPr>
            <w:tcW w:w="992" w:type="dxa"/>
            <w:tcBorders>
              <w:top w:val="nil"/>
              <w:left w:val="nil"/>
              <w:bottom w:val="single" w:sz="4" w:space="0" w:color="auto"/>
              <w:right w:val="single" w:sz="4" w:space="0" w:color="auto"/>
            </w:tcBorders>
            <w:shd w:val="clear" w:color="auto" w:fill="auto"/>
            <w:noWrap/>
            <w:vAlign w:val="bottom"/>
            <w:hideMark/>
          </w:tcPr>
          <w:p w14:paraId="54D9D3FD"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221,6</w:t>
            </w:r>
          </w:p>
        </w:tc>
      </w:tr>
      <w:tr w:rsidR="00CD6518" w:rsidRPr="0093506F" w14:paraId="394912F6"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6487C055"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 xml:space="preserve">FAO </w:t>
            </w:r>
            <w:r w:rsidRPr="007944FA">
              <w:rPr>
                <w:rStyle w:val="Strong"/>
                <w:rFonts w:ascii="Arial" w:hAnsi="Arial" w:cs="Arial"/>
                <w:b w:val="0"/>
                <w:bCs w:val="0"/>
                <w:sz w:val="18"/>
                <w:szCs w:val="18"/>
              </w:rPr>
              <w:t>(Organizacija Združenih narodov za prehrano in kmetijstvo)</w:t>
            </w:r>
          </w:p>
        </w:tc>
        <w:tc>
          <w:tcPr>
            <w:tcW w:w="1134" w:type="dxa"/>
            <w:tcBorders>
              <w:top w:val="nil"/>
              <w:left w:val="nil"/>
              <w:bottom w:val="single" w:sz="4" w:space="0" w:color="auto"/>
              <w:right w:val="single" w:sz="4" w:space="0" w:color="auto"/>
            </w:tcBorders>
            <w:shd w:val="clear" w:color="auto" w:fill="auto"/>
            <w:noWrap/>
            <w:vAlign w:val="bottom"/>
            <w:hideMark/>
          </w:tcPr>
          <w:p w14:paraId="46EA5C6A"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170,5</w:t>
            </w:r>
          </w:p>
        </w:tc>
        <w:tc>
          <w:tcPr>
            <w:tcW w:w="1134" w:type="dxa"/>
            <w:tcBorders>
              <w:top w:val="nil"/>
              <w:left w:val="nil"/>
              <w:bottom w:val="single" w:sz="4" w:space="0" w:color="auto"/>
              <w:right w:val="single" w:sz="4" w:space="0" w:color="auto"/>
            </w:tcBorders>
            <w:shd w:val="clear" w:color="auto" w:fill="auto"/>
            <w:noWrap/>
            <w:vAlign w:val="bottom"/>
            <w:hideMark/>
          </w:tcPr>
          <w:p w14:paraId="27E818B0"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201,8</w:t>
            </w:r>
          </w:p>
        </w:tc>
        <w:tc>
          <w:tcPr>
            <w:tcW w:w="993" w:type="dxa"/>
            <w:tcBorders>
              <w:top w:val="nil"/>
              <w:left w:val="nil"/>
              <w:bottom w:val="single" w:sz="4" w:space="0" w:color="auto"/>
              <w:right w:val="single" w:sz="4" w:space="0" w:color="auto"/>
            </w:tcBorders>
            <w:shd w:val="clear" w:color="auto" w:fill="auto"/>
            <w:noWrap/>
            <w:vAlign w:val="bottom"/>
            <w:hideMark/>
          </w:tcPr>
          <w:p w14:paraId="0E07EB09"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25,3</w:t>
            </w:r>
          </w:p>
        </w:tc>
        <w:tc>
          <w:tcPr>
            <w:tcW w:w="992" w:type="dxa"/>
            <w:tcBorders>
              <w:top w:val="nil"/>
              <w:left w:val="nil"/>
              <w:bottom w:val="single" w:sz="4" w:space="0" w:color="auto"/>
              <w:right w:val="single" w:sz="4" w:space="0" w:color="auto"/>
            </w:tcBorders>
            <w:shd w:val="clear" w:color="auto" w:fill="auto"/>
            <w:noWrap/>
            <w:vAlign w:val="bottom"/>
            <w:hideMark/>
          </w:tcPr>
          <w:p w14:paraId="60D07C9A"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26,7</w:t>
            </w:r>
          </w:p>
        </w:tc>
      </w:tr>
      <w:tr w:rsidR="00CD6518" w:rsidRPr="0093506F" w14:paraId="0B8FF0C7"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43693A3D" w14:textId="77777777" w:rsidR="00CD6518" w:rsidRPr="007944FA" w:rsidRDefault="00CD6518"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Svet Evrope</w:t>
            </w:r>
          </w:p>
        </w:tc>
        <w:tc>
          <w:tcPr>
            <w:tcW w:w="1134" w:type="dxa"/>
            <w:tcBorders>
              <w:top w:val="nil"/>
              <w:left w:val="nil"/>
              <w:bottom w:val="single" w:sz="4" w:space="0" w:color="auto"/>
              <w:right w:val="single" w:sz="4" w:space="0" w:color="auto"/>
            </w:tcBorders>
            <w:shd w:val="clear" w:color="auto" w:fill="auto"/>
            <w:noWrap/>
            <w:vAlign w:val="bottom"/>
            <w:hideMark/>
          </w:tcPr>
          <w:p w14:paraId="36EC0BF4"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107,1</w:t>
            </w:r>
          </w:p>
        </w:tc>
        <w:tc>
          <w:tcPr>
            <w:tcW w:w="1134" w:type="dxa"/>
            <w:tcBorders>
              <w:top w:val="nil"/>
              <w:left w:val="nil"/>
              <w:bottom w:val="single" w:sz="4" w:space="0" w:color="auto"/>
              <w:right w:val="single" w:sz="4" w:space="0" w:color="auto"/>
            </w:tcBorders>
            <w:shd w:val="clear" w:color="auto" w:fill="auto"/>
            <w:noWrap/>
            <w:vAlign w:val="bottom"/>
            <w:hideMark/>
          </w:tcPr>
          <w:p w14:paraId="189368A8"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126,8</w:t>
            </w:r>
          </w:p>
        </w:tc>
        <w:tc>
          <w:tcPr>
            <w:tcW w:w="993" w:type="dxa"/>
            <w:tcBorders>
              <w:top w:val="nil"/>
              <w:left w:val="nil"/>
              <w:bottom w:val="single" w:sz="4" w:space="0" w:color="auto"/>
              <w:right w:val="single" w:sz="4" w:space="0" w:color="auto"/>
            </w:tcBorders>
            <w:shd w:val="clear" w:color="auto" w:fill="auto"/>
            <w:noWrap/>
            <w:vAlign w:val="bottom"/>
            <w:hideMark/>
          </w:tcPr>
          <w:p w14:paraId="6A22C6C7"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124,5</w:t>
            </w:r>
          </w:p>
        </w:tc>
        <w:tc>
          <w:tcPr>
            <w:tcW w:w="992" w:type="dxa"/>
            <w:tcBorders>
              <w:top w:val="nil"/>
              <w:left w:val="nil"/>
              <w:bottom w:val="single" w:sz="4" w:space="0" w:color="auto"/>
              <w:right w:val="single" w:sz="4" w:space="0" w:color="auto"/>
            </w:tcBorders>
            <w:shd w:val="clear" w:color="auto" w:fill="auto"/>
            <w:noWrap/>
            <w:vAlign w:val="bottom"/>
            <w:hideMark/>
          </w:tcPr>
          <w:p w14:paraId="5330A0A6" w14:textId="77777777" w:rsidR="00CD6518" w:rsidRPr="007944FA" w:rsidRDefault="00CD6518" w:rsidP="006D46D8">
            <w:pPr>
              <w:spacing w:after="0" w:line="240" w:lineRule="auto"/>
              <w:jc w:val="right"/>
              <w:rPr>
                <w:rFonts w:ascii="Arial" w:eastAsia="Times New Roman" w:hAnsi="Arial" w:cs="Arial"/>
                <w:color w:val="000000"/>
                <w:sz w:val="18"/>
                <w:szCs w:val="18"/>
                <w:lang w:eastAsia="sl-SI"/>
              </w:rPr>
            </w:pPr>
            <w:r w:rsidRPr="007944FA">
              <w:rPr>
                <w:rFonts w:ascii="Arial" w:eastAsia="Times New Roman" w:hAnsi="Arial" w:cs="Arial"/>
                <w:color w:val="000000"/>
                <w:sz w:val="18"/>
                <w:szCs w:val="18"/>
                <w:lang w:eastAsia="sl-SI"/>
              </w:rPr>
              <w:t>131,0</w:t>
            </w:r>
          </w:p>
        </w:tc>
      </w:tr>
      <w:tr w:rsidR="00CD6518" w:rsidRPr="0093506F" w14:paraId="31D11482" w14:textId="77777777" w:rsidTr="00C23A2A">
        <w:trPr>
          <w:trHeight w:val="290"/>
        </w:trPr>
        <w:tc>
          <w:tcPr>
            <w:tcW w:w="3402" w:type="dxa"/>
            <w:tcBorders>
              <w:top w:val="nil"/>
              <w:left w:val="single" w:sz="4" w:space="0" w:color="auto"/>
              <w:bottom w:val="single" w:sz="4" w:space="0" w:color="auto"/>
              <w:right w:val="single" w:sz="4" w:space="0" w:color="auto"/>
            </w:tcBorders>
            <w:shd w:val="clear" w:color="auto" w:fill="529DBA"/>
            <w:noWrap/>
            <w:vAlign w:val="bottom"/>
            <w:hideMark/>
          </w:tcPr>
          <w:p w14:paraId="2C14A80F" w14:textId="77777777" w:rsidR="00CD6518" w:rsidRPr="007944FA" w:rsidRDefault="00CD6518" w:rsidP="006D46D8">
            <w:pPr>
              <w:spacing w:after="0" w:line="240" w:lineRule="auto"/>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SKUPAJ</w:t>
            </w:r>
          </w:p>
        </w:tc>
        <w:tc>
          <w:tcPr>
            <w:tcW w:w="1134" w:type="dxa"/>
            <w:tcBorders>
              <w:top w:val="nil"/>
              <w:left w:val="nil"/>
              <w:bottom w:val="single" w:sz="4" w:space="0" w:color="auto"/>
              <w:right w:val="single" w:sz="4" w:space="0" w:color="auto"/>
            </w:tcBorders>
            <w:shd w:val="clear" w:color="auto" w:fill="529DBA"/>
            <w:noWrap/>
            <w:vAlign w:val="bottom"/>
            <w:hideMark/>
          </w:tcPr>
          <w:p w14:paraId="2F800FE8"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3.380,9</w:t>
            </w:r>
          </w:p>
        </w:tc>
        <w:tc>
          <w:tcPr>
            <w:tcW w:w="1134" w:type="dxa"/>
            <w:tcBorders>
              <w:top w:val="nil"/>
              <w:left w:val="nil"/>
              <w:bottom w:val="single" w:sz="4" w:space="0" w:color="auto"/>
              <w:right w:val="single" w:sz="4" w:space="0" w:color="auto"/>
            </w:tcBorders>
            <w:shd w:val="clear" w:color="auto" w:fill="529DBA"/>
            <w:noWrap/>
            <w:vAlign w:val="bottom"/>
            <w:hideMark/>
          </w:tcPr>
          <w:p w14:paraId="5EEF038F"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4.001.0</w:t>
            </w:r>
          </w:p>
        </w:tc>
        <w:tc>
          <w:tcPr>
            <w:tcW w:w="993" w:type="dxa"/>
            <w:tcBorders>
              <w:top w:val="nil"/>
              <w:left w:val="nil"/>
              <w:bottom w:val="single" w:sz="4" w:space="0" w:color="auto"/>
              <w:right w:val="single" w:sz="4" w:space="0" w:color="auto"/>
            </w:tcBorders>
            <w:shd w:val="clear" w:color="auto" w:fill="529DBA"/>
            <w:noWrap/>
            <w:vAlign w:val="bottom"/>
            <w:hideMark/>
          </w:tcPr>
          <w:p w14:paraId="12685B58"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2.411.5</w:t>
            </w:r>
          </w:p>
        </w:tc>
        <w:tc>
          <w:tcPr>
            <w:tcW w:w="992" w:type="dxa"/>
            <w:tcBorders>
              <w:top w:val="nil"/>
              <w:left w:val="nil"/>
              <w:bottom w:val="single" w:sz="4" w:space="0" w:color="auto"/>
              <w:right w:val="single" w:sz="4" w:space="0" w:color="auto"/>
            </w:tcBorders>
            <w:shd w:val="clear" w:color="auto" w:fill="529DBA"/>
            <w:noWrap/>
            <w:vAlign w:val="bottom"/>
            <w:hideMark/>
          </w:tcPr>
          <w:p w14:paraId="48850301" w14:textId="77777777" w:rsidR="00CD6518" w:rsidRPr="007944FA" w:rsidRDefault="00CD6518" w:rsidP="006D46D8">
            <w:pPr>
              <w:spacing w:after="0" w:line="240" w:lineRule="auto"/>
              <w:jc w:val="right"/>
              <w:rPr>
                <w:rFonts w:ascii="Arial" w:eastAsia="Times New Roman" w:hAnsi="Arial" w:cs="Arial"/>
                <w:b/>
                <w:bCs/>
                <w:color w:val="FFFFFF" w:themeColor="background1"/>
                <w:sz w:val="18"/>
                <w:szCs w:val="18"/>
                <w:lang w:eastAsia="sl-SI"/>
              </w:rPr>
            </w:pPr>
            <w:r w:rsidRPr="007944FA">
              <w:rPr>
                <w:rFonts w:ascii="Arial" w:eastAsia="Times New Roman" w:hAnsi="Arial" w:cs="Arial"/>
                <w:b/>
                <w:bCs/>
                <w:color w:val="FFFFFF" w:themeColor="background1"/>
                <w:sz w:val="18"/>
                <w:szCs w:val="18"/>
                <w:lang w:eastAsia="sl-SI"/>
              </w:rPr>
              <w:t>2.538.4</w:t>
            </w:r>
          </w:p>
        </w:tc>
      </w:tr>
    </w:tbl>
    <w:p w14:paraId="59968C9B" w14:textId="36F42C92" w:rsidR="00C23A2A" w:rsidRPr="007944FA" w:rsidRDefault="002F38E7" w:rsidP="00CD714B">
      <w:pPr>
        <w:pStyle w:val="nikatabelee"/>
      </w:pPr>
      <w:bookmarkStart w:id="211" w:name="_Toc193195407"/>
      <w:bookmarkStart w:id="212" w:name="_Hlk193275965"/>
      <w:r w:rsidRPr="007944FA">
        <w:t>Preglednica 22</w:t>
      </w:r>
      <w:r w:rsidR="00C23A2A" w:rsidRPr="007944FA">
        <w:t xml:space="preserve">: </w:t>
      </w:r>
      <w:r w:rsidR="00CD3ED7" w:rsidRPr="007944FA">
        <w:t>Večstranska finančna podpora, zagotovljena</w:t>
      </w:r>
      <w:r w:rsidR="00C23A2A" w:rsidRPr="007944FA">
        <w:t xml:space="preserve"> v letih 2021 in 2022</w:t>
      </w:r>
      <w:bookmarkEnd w:id="211"/>
    </w:p>
    <w:bookmarkEnd w:id="212"/>
    <w:p w14:paraId="5EDF130E" w14:textId="77777777" w:rsidR="00C23A2A" w:rsidRPr="007944FA" w:rsidRDefault="00C23A2A" w:rsidP="00C23A2A">
      <w:pPr>
        <w:contextualSpacing/>
        <w:jc w:val="center"/>
        <w:rPr>
          <w:rFonts w:ascii="Arial" w:hAnsi="Arial" w:cs="Arial"/>
          <w:b/>
          <w:bCs/>
          <w:i/>
          <w:iCs/>
          <w:sz w:val="18"/>
          <w:szCs w:val="18"/>
        </w:rPr>
      </w:pPr>
    </w:p>
    <w:p w14:paraId="032D34C5" w14:textId="1DA9604E" w:rsidR="00C23A2A" w:rsidRPr="007944FA" w:rsidRDefault="00C23A2A" w:rsidP="00C23A2A">
      <w:pPr>
        <w:jc w:val="both"/>
        <w:rPr>
          <w:rFonts w:ascii="Arial" w:hAnsi="Arial" w:cs="Arial"/>
        </w:rPr>
      </w:pPr>
      <w:r w:rsidRPr="007944FA">
        <w:rPr>
          <w:rFonts w:ascii="Arial" w:hAnsi="Arial" w:cs="Arial"/>
        </w:rPr>
        <w:t xml:space="preserve">Povzetek informacij o mobilizirani bilateralni podpori je na voljo v spodnji </w:t>
      </w:r>
      <w:r w:rsidR="00BE6A10" w:rsidRPr="007944FA">
        <w:rPr>
          <w:rFonts w:ascii="Arial" w:hAnsi="Arial" w:cs="Arial"/>
        </w:rPr>
        <w:t>preglednici</w:t>
      </w:r>
      <w:r w:rsidRPr="007944FA">
        <w:rPr>
          <w:rFonts w:ascii="Arial" w:hAnsi="Arial" w:cs="Arial"/>
        </w:rPr>
        <w:t xml:space="preserve">. V letu 2022 Slovenija ni mobilizirala nove podpore za podnebno financiranje. Opozoriti je treba, da </w:t>
      </w:r>
      <w:r w:rsidR="00847919" w:rsidRPr="007944FA">
        <w:rPr>
          <w:rFonts w:ascii="Arial" w:hAnsi="Arial" w:cs="Arial"/>
        </w:rPr>
        <w:t xml:space="preserve">vladni </w:t>
      </w:r>
      <w:r w:rsidR="00BE6A10" w:rsidRPr="007944FA">
        <w:rPr>
          <w:rFonts w:ascii="Arial" w:hAnsi="Arial" w:cs="Arial"/>
        </w:rPr>
        <w:t>resorji pri</w:t>
      </w:r>
      <w:r w:rsidRPr="007944FA">
        <w:rPr>
          <w:rFonts w:ascii="Arial" w:hAnsi="Arial" w:cs="Arial"/>
        </w:rPr>
        <w:t xml:space="preserve"> poročanju nacionalnemu koordinatorju uradne razvojne pomoči (ODA) upošteva</w:t>
      </w:r>
      <w:r w:rsidR="00BD4C80" w:rsidRPr="007944FA">
        <w:rPr>
          <w:rFonts w:ascii="Arial" w:hAnsi="Arial" w:cs="Arial"/>
        </w:rPr>
        <w:t>jo</w:t>
      </w:r>
      <w:r w:rsidRPr="007944FA">
        <w:rPr>
          <w:rFonts w:ascii="Arial" w:hAnsi="Arial" w:cs="Arial"/>
        </w:rPr>
        <w:t xml:space="preserve"> mobilizirano zasebno financiranje na začetku izvajanja projekta. Zato je za projekte, katerih izvedba je že potekala, o mobiliziranem zasebnem financiranju že bilo poročano.</w:t>
      </w:r>
    </w:p>
    <w:p w14:paraId="34CC89AD" w14:textId="77777777" w:rsidR="00CD714B" w:rsidRPr="007944FA" w:rsidRDefault="00CD714B" w:rsidP="00C23A2A">
      <w:pPr>
        <w:jc w:val="both"/>
        <w:rPr>
          <w:rFonts w:ascii="Arial" w:hAnsi="Arial" w:cs="Arial"/>
        </w:rPr>
      </w:pPr>
    </w:p>
    <w:tbl>
      <w:tblPr>
        <w:tblW w:w="7020" w:type="dxa"/>
        <w:tblInd w:w="988" w:type="dxa"/>
        <w:tblCellMar>
          <w:left w:w="70" w:type="dxa"/>
          <w:right w:w="70" w:type="dxa"/>
        </w:tblCellMar>
        <w:tblLook w:val="04A0" w:firstRow="1" w:lastRow="0" w:firstColumn="1" w:lastColumn="0" w:noHBand="0" w:noVBand="1"/>
      </w:tblPr>
      <w:tblGrid>
        <w:gridCol w:w="1620"/>
        <w:gridCol w:w="785"/>
        <w:gridCol w:w="1015"/>
        <w:gridCol w:w="900"/>
        <w:gridCol w:w="900"/>
        <w:gridCol w:w="785"/>
        <w:gridCol w:w="1015"/>
      </w:tblGrid>
      <w:tr w:rsidR="00C23A2A" w:rsidRPr="0093506F" w14:paraId="49835A41" w14:textId="77777777" w:rsidTr="00300914">
        <w:trPr>
          <w:trHeight w:val="290"/>
        </w:trPr>
        <w:tc>
          <w:tcPr>
            <w:tcW w:w="1620" w:type="dxa"/>
            <w:vMerge w:val="restart"/>
            <w:tcBorders>
              <w:top w:val="single" w:sz="4" w:space="0" w:color="auto"/>
              <w:left w:val="single" w:sz="4" w:space="0" w:color="auto"/>
              <w:bottom w:val="single" w:sz="4" w:space="0" w:color="auto"/>
              <w:right w:val="single" w:sz="4" w:space="0" w:color="auto"/>
            </w:tcBorders>
            <w:shd w:val="clear" w:color="auto" w:fill="529DBA"/>
            <w:vAlign w:val="bottom"/>
            <w:hideMark/>
          </w:tcPr>
          <w:p w14:paraId="021C5829" w14:textId="77777777" w:rsidR="00C23A2A" w:rsidRPr="007944FA" w:rsidRDefault="00C23A2A" w:rsidP="006D46D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Vrsta zagotovljene podpore</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146ECF06" w14:textId="77777777" w:rsidR="00C23A2A" w:rsidRPr="007944FA" w:rsidRDefault="00C23A2A"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2021</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7A08E083" w14:textId="77777777" w:rsidR="00C23A2A" w:rsidRPr="007944FA" w:rsidRDefault="00C23A2A" w:rsidP="006D46D8">
            <w:pPr>
              <w:spacing w:after="0" w:line="240" w:lineRule="auto"/>
              <w:jc w:val="center"/>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2022</w:t>
            </w:r>
          </w:p>
        </w:tc>
        <w:tc>
          <w:tcPr>
            <w:tcW w:w="1800" w:type="dxa"/>
            <w:gridSpan w:val="2"/>
            <w:tcBorders>
              <w:top w:val="single" w:sz="4" w:space="0" w:color="auto"/>
              <w:left w:val="nil"/>
              <w:bottom w:val="single" w:sz="4" w:space="0" w:color="auto"/>
              <w:right w:val="single" w:sz="4" w:space="0" w:color="000000"/>
            </w:tcBorders>
            <w:shd w:val="clear" w:color="auto" w:fill="529DBA"/>
            <w:noWrap/>
            <w:vAlign w:val="bottom"/>
            <w:hideMark/>
          </w:tcPr>
          <w:p w14:paraId="4199EF6F" w14:textId="77777777" w:rsidR="00C23A2A" w:rsidRPr="007944FA" w:rsidRDefault="00C23A2A" w:rsidP="006D46D8">
            <w:pPr>
              <w:spacing w:after="0" w:line="240" w:lineRule="auto"/>
              <w:jc w:val="center"/>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TOTAL</w:t>
            </w:r>
          </w:p>
        </w:tc>
      </w:tr>
      <w:tr w:rsidR="00C23A2A" w:rsidRPr="0093506F" w14:paraId="2906281F" w14:textId="77777777" w:rsidTr="00300914">
        <w:trPr>
          <w:trHeight w:val="290"/>
        </w:trPr>
        <w:tc>
          <w:tcPr>
            <w:tcW w:w="1620" w:type="dxa"/>
            <w:vMerge/>
            <w:tcBorders>
              <w:top w:val="single" w:sz="4" w:space="0" w:color="auto"/>
              <w:left w:val="single" w:sz="4" w:space="0" w:color="auto"/>
              <w:bottom w:val="single" w:sz="4" w:space="0" w:color="auto"/>
              <w:right w:val="single" w:sz="4" w:space="0" w:color="auto"/>
            </w:tcBorders>
            <w:shd w:val="clear" w:color="auto" w:fill="529DBA"/>
            <w:vAlign w:val="center"/>
            <w:hideMark/>
          </w:tcPr>
          <w:p w14:paraId="4F2A3CCA" w14:textId="77777777" w:rsidR="00C23A2A" w:rsidRPr="007944FA" w:rsidRDefault="00C23A2A" w:rsidP="006D46D8">
            <w:pPr>
              <w:spacing w:after="0" w:line="240" w:lineRule="auto"/>
              <w:rPr>
                <w:rFonts w:ascii="Arial" w:eastAsia="Times New Roman" w:hAnsi="Arial" w:cs="Arial"/>
                <w:b/>
                <w:bCs/>
                <w:color w:val="FFFFFF" w:themeColor="background1"/>
                <w:sz w:val="18"/>
                <w:szCs w:val="18"/>
                <w:lang w:val="en-GB" w:eastAsia="sl-SI"/>
              </w:rPr>
            </w:pPr>
          </w:p>
        </w:tc>
        <w:tc>
          <w:tcPr>
            <w:tcW w:w="785" w:type="dxa"/>
            <w:tcBorders>
              <w:top w:val="nil"/>
              <w:left w:val="nil"/>
              <w:bottom w:val="single" w:sz="4" w:space="0" w:color="auto"/>
              <w:right w:val="single" w:sz="4" w:space="0" w:color="auto"/>
            </w:tcBorders>
            <w:shd w:val="clear" w:color="auto" w:fill="529DBA"/>
            <w:noWrap/>
            <w:vAlign w:val="bottom"/>
            <w:hideMark/>
          </w:tcPr>
          <w:p w14:paraId="226AEEAC"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1015" w:type="dxa"/>
            <w:tcBorders>
              <w:top w:val="nil"/>
              <w:left w:val="nil"/>
              <w:bottom w:val="single" w:sz="4" w:space="0" w:color="auto"/>
              <w:right w:val="single" w:sz="4" w:space="0" w:color="auto"/>
            </w:tcBorders>
            <w:shd w:val="clear" w:color="auto" w:fill="529DBA"/>
            <w:noWrap/>
            <w:vAlign w:val="bottom"/>
            <w:hideMark/>
          </w:tcPr>
          <w:p w14:paraId="7B52F56D"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900" w:type="dxa"/>
            <w:tcBorders>
              <w:top w:val="nil"/>
              <w:left w:val="nil"/>
              <w:bottom w:val="single" w:sz="4" w:space="0" w:color="auto"/>
              <w:right w:val="single" w:sz="4" w:space="0" w:color="auto"/>
            </w:tcBorders>
            <w:shd w:val="clear" w:color="auto" w:fill="529DBA"/>
            <w:noWrap/>
            <w:vAlign w:val="bottom"/>
            <w:hideMark/>
          </w:tcPr>
          <w:p w14:paraId="389E5899"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900" w:type="dxa"/>
            <w:tcBorders>
              <w:top w:val="nil"/>
              <w:left w:val="nil"/>
              <w:bottom w:val="single" w:sz="4" w:space="0" w:color="auto"/>
              <w:right w:val="single" w:sz="4" w:space="0" w:color="auto"/>
            </w:tcBorders>
            <w:shd w:val="clear" w:color="auto" w:fill="529DBA"/>
            <w:noWrap/>
            <w:vAlign w:val="bottom"/>
            <w:hideMark/>
          </w:tcPr>
          <w:p w14:paraId="2DB9C51E"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c>
          <w:tcPr>
            <w:tcW w:w="785" w:type="dxa"/>
            <w:tcBorders>
              <w:top w:val="nil"/>
              <w:left w:val="nil"/>
              <w:bottom w:val="single" w:sz="4" w:space="0" w:color="auto"/>
              <w:right w:val="single" w:sz="4" w:space="0" w:color="auto"/>
            </w:tcBorders>
            <w:shd w:val="clear" w:color="auto" w:fill="529DBA"/>
            <w:noWrap/>
            <w:vAlign w:val="bottom"/>
            <w:hideMark/>
          </w:tcPr>
          <w:p w14:paraId="4ACBDA14"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EUR</w:t>
            </w:r>
          </w:p>
        </w:tc>
        <w:tc>
          <w:tcPr>
            <w:tcW w:w="1015" w:type="dxa"/>
            <w:tcBorders>
              <w:top w:val="nil"/>
              <w:left w:val="nil"/>
              <w:bottom w:val="single" w:sz="4" w:space="0" w:color="auto"/>
              <w:right w:val="single" w:sz="4" w:space="0" w:color="auto"/>
            </w:tcBorders>
            <w:shd w:val="clear" w:color="auto" w:fill="529DBA"/>
            <w:noWrap/>
            <w:vAlign w:val="bottom"/>
            <w:hideMark/>
          </w:tcPr>
          <w:p w14:paraId="097A045D" w14:textId="77777777" w:rsidR="00C23A2A" w:rsidRPr="007944FA" w:rsidRDefault="00C23A2A" w:rsidP="006D46D8">
            <w:pPr>
              <w:spacing w:after="0" w:line="240" w:lineRule="auto"/>
              <w:rPr>
                <w:rFonts w:ascii="Arial" w:eastAsia="Times New Roman" w:hAnsi="Arial" w:cs="Arial"/>
                <w:color w:val="FFFFFF" w:themeColor="background1"/>
                <w:sz w:val="18"/>
                <w:szCs w:val="18"/>
                <w:lang w:val="en-GB" w:eastAsia="sl-SI"/>
              </w:rPr>
            </w:pPr>
            <w:r w:rsidRPr="007944FA">
              <w:rPr>
                <w:rFonts w:ascii="Arial" w:eastAsia="Times New Roman" w:hAnsi="Arial" w:cs="Arial"/>
                <w:color w:val="FFFFFF" w:themeColor="background1"/>
                <w:sz w:val="18"/>
                <w:szCs w:val="18"/>
                <w:lang w:val="en-GB" w:eastAsia="sl-SI"/>
              </w:rPr>
              <w:t>T USD</w:t>
            </w:r>
          </w:p>
        </w:tc>
      </w:tr>
      <w:tr w:rsidR="00C23A2A" w:rsidRPr="0093506F" w14:paraId="0C3D6BE4" w14:textId="77777777" w:rsidTr="00300914">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6C3DF9E9" w14:textId="77777777" w:rsidR="00C23A2A" w:rsidRPr="007944FA" w:rsidRDefault="00C23A2A"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Blaženje</w:t>
            </w:r>
          </w:p>
        </w:tc>
        <w:tc>
          <w:tcPr>
            <w:tcW w:w="785" w:type="dxa"/>
            <w:tcBorders>
              <w:top w:val="nil"/>
              <w:left w:val="nil"/>
              <w:bottom w:val="single" w:sz="4" w:space="0" w:color="auto"/>
              <w:right w:val="single" w:sz="4" w:space="0" w:color="auto"/>
            </w:tcBorders>
            <w:shd w:val="clear" w:color="auto" w:fill="auto"/>
            <w:noWrap/>
            <w:vAlign w:val="bottom"/>
            <w:hideMark/>
          </w:tcPr>
          <w:p w14:paraId="20A958E1"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1015" w:type="dxa"/>
            <w:tcBorders>
              <w:top w:val="nil"/>
              <w:left w:val="nil"/>
              <w:bottom w:val="single" w:sz="4" w:space="0" w:color="auto"/>
              <w:right w:val="single" w:sz="4" w:space="0" w:color="auto"/>
            </w:tcBorders>
            <w:shd w:val="clear" w:color="auto" w:fill="auto"/>
            <w:noWrap/>
            <w:vAlign w:val="bottom"/>
            <w:hideMark/>
          </w:tcPr>
          <w:p w14:paraId="1BC385AF"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36EC4B2A"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220C53C4"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785" w:type="dxa"/>
            <w:tcBorders>
              <w:top w:val="nil"/>
              <w:left w:val="nil"/>
              <w:bottom w:val="single" w:sz="4" w:space="0" w:color="auto"/>
              <w:right w:val="single" w:sz="4" w:space="0" w:color="auto"/>
            </w:tcBorders>
            <w:shd w:val="clear" w:color="auto" w:fill="auto"/>
            <w:noWrap/>
            <w:vAlign w:val="bottom"/>
            <w:hideMark/>
          </w:tcPr>
          <w:p w14:paraId="4DF640F2"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1015" w:type="dxa"/>
            <w:tcBorders>
              <w:top w:val="nil"/>
              <w:left w:val="nil"/>
              <w:bottom w:val="single" w:sz="4" w:space="0" w:color="auto"/>
              <w:right w:val="single" w:sz="4" w:space="0" w:color="auto"/>
            </w:tcBorders>
            <w:shd w:val="clear" w:color="auto" w:fill="auto"/>
            <w:noWrap/>
            <w:vAlign w:val="bottom"/>
            <w:hideMark/>
          </w:tcPr>
          <w:p w14:paraId="7B266D56"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r>
      <w:tr w:rsidR="00C23A2A" w:rsidRPr="0093506F" w14:paraId="214AF064" w14:textId="77777777" w:rsidTr="00300914">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2B60AFD1" w14:textId="77777777" w:rsidR="00C23A2A" w:rsidRPr="007944FA" w:rsidRDefault="00C23A2A"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Prilagajanje</w:t>
            </w:r>
          </w:p>
        </w:tc>
        <w:tc>
          <w:tcPr>
            <w:tcW w:w="785" w:type="dxa"/>
            <w:tcBorders>
              <w:top w:val="nil"/>
              <w:left w:val="nil"/>
              <w:bottom w:val="single" w:sz="4" w:space="0" w:color="auto"/>
              <w:right w:val="single" w:sz="4" w:space="0" w:color="auto"/>
            </w:tcBorders>
            <w:shd w:val="clear" w:color="auto" w:fill="auto"/>
            <w:noWrap/>
            <w:vAlign w:val="bottom"/>
            <w:hideMark/>
          </w:tcPr>
          <w:p w14:paraId="3745C24A" w14:textId="4313E409"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49,7</w:t>
            </w:r>
          </w:p>
        </w:tc>
        <w:tc>
          <w:tcPr>
            <w:tcW w:w="1015" w:type="dxa"/>
            <w:tcBorders>
              <w:top w:val="nil"/>
              <w:left w:val="nil"/>
              <w:bottom w:val="single" w:sz="4" w:space="0" w:color="auto"/>
              <w:right w:val="single" w:sz="4" w:space="0" w:color="auto"/>
            </w:tcBorders>
            <w:shd w:val="clear" w:color="auto" w:fill="auto"/>
            <w:noWrap/>
            <w:vAlign w:val="bottom"/>
            <w:hideMark/>
          </w:tcPr>
          <w:p w14:paraId="0A3B50CD" w14:textId="61F35EC5"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 xml:space="preserve">      </w:t>
            </w:r>
            <w:r w:rsidR="00D30845" w:rsidRPr="007944FA">
              <w:rPr>
                <w:rFonts w:ascii="Arial" w:eastAsia="Times New Roman" w:hAnsi="Arial" w:cs="Arial"/>
                <w:color w:val="000000"/>
                <w:sz w:val="18"/>
                <w:szCs w:val="18"/>
                <w:lang w:val="en-GB" w:eastAsia="sl-SI"/>
              </w:rPr>
              <w:t>58,8</w:t>
            </w:r>
          </w:p>
        </w:tc>
        <w:tc>
          <w:tcPr>
            <w:tcW w:w="900" w:type="dxa"/>
            <w:tcBorders>
              <w:top w:val="nil"/>
              <w:left w:val="nil"/>
              <w:bottom w:val="single" w:sz="4" w:space="0" w:color="auto"/>
              <w:right w:val="single" w:sz="4" w:space="0" w:color="auto"/>
            </w:tcBorders>
            <w:shd w:val="clear" w:color="auto" w:fill="auto"/>
            <w:noWrap/>
            <w:vAlign w:val="bottom"/>
            <w:hideMark/>
          </w:tcPr>
          <w:p w14:paraId="209779A1"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6E21CEF5"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785" w:type="dxa"/>
            <w:tcBorders>
              <w:top w:val="nil"/>
              <w:left w:val="nil"/>
              <w:bottom w:val="single" w:sz="4" w:space="0" w:color="auto"/>
              <w:right w:val="single" w:sz="4" w:space="0" w:color="auto"/>
            </w:tcBorders>
            <w:shd w:val="clear" w:color="auto" w:fill="auto"/>
            <w:noWrap/>
            <w:vAlign w:val="bottom"/>
            <w:hideMark/>
          </w:tcPr>
          <w:p w14:paraId="220D730F" w14:textId="2530BA69"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49,7</w:t>
            </w:r>
          </w:p>
        </w:tc>
        <w:tc>
          <w:tcPr>
            <w:tcW w:w="1015" w:type="dxa"/>
            <w:tcBorders>
              <w:top w:val="nil"/>
              <w:left w:val="nil"/>
              <w:bottom w:val="single" w:sz="4" w:space="0" w:color="auto"/>
              <w:right w:val="single" w:sz="4" w:space="0" w:color="auto"/>
            </w:tcBorders>
            <w:shd w:val="clear" w:color="auto" w:fill="auto"/>
            <w:noWrap/>
            <w:vAlign w:val="bottom"/>
            <w:hideMark/>
          </w:tcPr>
          <w:p w14:paraId="7903C935" w14:textId="6D74A942"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 xml:space="preserve">      </w:t>
            </w:r>
            <w:r w:rsidR="00D30845" w:rsidRPr="007944FA">
              <w:rPr>
                <w:rFonts w:ascii="Arial" w:eastAsia="Times New Roman" w:hAnsi="Arial" w:cs="Arial"/>
                <w:color w:val="000000"/>
                <w:sz w:val="18"/>
                <w:szCs w:val="18"/>
                <w:lang w:val="en-GB" w:eastAsia="sl-SI"/>
              </w:rPr>
              <w:t>58,8</w:t>
            </w:r>
          </w:p>
        </w:tc>
      </w:tr>
      <w:tr w:rsidR="00C23A2A" w:rsidRPr="0093506F" w14:paraId="588A203A" w14:textId="77777777" w:rsidTr="00300914">
        <w:trPr>
          <w:trHeight w:val="29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14:paraId="52F4E2CD" w14:textId="77777777" w:rsidR="00C23A2A" w:rsidRPr="007944FA" w:rsidRDefault="00C23A2A" w:rsidP="006D46D8">
            <w:pPr>
              <w:spacing w:after="0" w:line="240" w:lineRule="auto"/>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Horizontalne vsebine</w:t>
            </w:r>
          </w:p>
        </w:tc>
        <w:tc>
          <w:tcPr>
            <w:tcW w:w="785" w:type="dxa"/>
            <w:tcBorders>
              <w:top w:val="nil"/>
              <w:left w:val="nil"/>
              <w:bottom w:val="single" w:sz="4" w:space="0" w:color="auto"/>
              <w:right w:val="single" w:sz="4" w:space="0" w:color="auto"/>
            </w:tcBorders>
            <w:shd w:val="clear" w:color="auto" w:fill="auto"/>
            <w:noWrap/>
            <w:vAlign w:val="bottom"/>
            <w:hideMark/>
          </w:tcPr>
          <w:p w14:paraId="17ADAE56" w14:textId="6F706E5D"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27,21</w:t>
            </w:r>
          </w:p>
        </w:tc>
        <w:tc>
          <w:tcPr>
            <w:tcW w:w="1015" w:type="dxa"/>
            <w:tcBorders>
              <w:top w:val="nil"/>
              <w:left w:val="nil"/>
              <w:bottom w:val="single" w:sz="4" w:space="0" w:color="auto"/>
              <w:right w:val="single" w:sz="4" w:space="0" w:color="auto"/>
            </w:tcBorders>
            <w:shd w:val="clear" w:color="auto" w:fill="auto"/>
            <w:noWrap/>
            <w:vAlign w:val="bottom"/>
            <w:hideMark/>
          </w:tcPr>
          <w:p w14:paraId="7D05E73D" w14:textId="7573CFA1"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32,2</w:t>
            </w:r>
          </w:p>
        </w:tc>
        <w:tc>
          <w:tcPr>
            <w:tcW w:w="900" w:type="dxa"/>
            <w:tcBorders>
              <w:top w:val="nil"/>
              <w:left w:val="nil"/>
              <w:bottom w:val="single" w:sz="4" w:space="0" w:color="auto"/>
              <w:right w:val="single" w:sz="4" w:space="0" w:color="auto"/>
            </w:tcBorders>
            <w:shd w:val="clear" w:color="auto" w:fill="auto"/>
            <w:noWrap/>
            <w:vAlign w:val="bottom"/>
            <w:hideMark/>
          </w:tcPr>
          <w:p w14:paraId="668512BB"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900" w:type="dxa"/>
            <w:tcBorders>
              <w:top w:val="nil"/>
              <w:left w:val="nil"/>
              <w:bottom w:val="single" w:sz="4" w:space="0" w:color="auto"/>
              <w:right w:val="single" w:sz="4" w:space="0" w:color="auto"/>
            </w:tcBorders>
            <w:shd w:val="clear" w:color="auto" w:fill="auto"/>
            <w:noWrap/>
            <w:vAlign w:val="bottom"/>
            <w:hideMark/>
          </w:tcPr>
          <w:p w14:paraId="1A2C8EA4" w14:textId="77777777" w:rsidR="00C23A2A" w:rsidRPr="007944FA" w:rsidRDefault="00C23A2A"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0,0</w:t>
            </w:r>
          </w:p>
        </w:tc>
        <w:tc>
          <w:tcPr>
            <w:tcW w:w="785" w:type="dxa"/>
            <w:tcBorders>
              <w:top w:val="nil"/>
              <w:left w:val="nil"/>
              <w:bottom w:val="single" w:sz="4" w:space="0" w:color="auto"/>
              <w:right w:val="single" w:sz="4" w:space="0" w:color="auto"/>
            </w:tcBorders>
            <w:shd w:val="clear" w:color="auto" w:fill="auto"/>
            <w:noWrap/>
            <w:vAlign w:val="bottom"/>
            <w:hideMark/>
          </w:tcPr>
          <w:p w14:paraId="3A68E2F9" w14:textId="1B4D06FF"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27,21</w:t>
            </w:r>
          </w:p>
        </w:tc>
        <w:tc>
          <w:tcPr>
            <w:tcW w:w="1015" w:type="dxa"/>
            <w:tcBorders>
              <w:top w:val="nil"/>
              <w:left w:val="nil"/>
              <w:bottom w:val="single" w:sz="4" w:space="0" w:color="auto"/>
              <w:right w:val="single" w:sz="4" w:space="0" w:color="auto"/>
            </w:tcBorders>
            <w:shd w:val="clear" w:color="auto" w:fill="auto"/>
            <w:noWrap/>
            <w:vAlign w:val="bottom"/>
            <w:hideMark/>
          </w:tcPr>
          <w:p w14:paraId="64D8498A" w14:textId="0C2F86E4" w:rsidR="00C23A2A" w:rsidRPr="007944FA" w:rsidRDefault="00D30845" w:rsidP="006D46D8">
            <w:pPr>
              <w:spacing w:after="0" w:line="240" w:lineRule="auto"/>
              <w:jc w:val="right"/>
              <w:rPr>
                <w:rFonts w:ascii="Arial" w:eastAsia="Times New Roman" w:hAnsi="Arial" w:cs="Arial"/>
                <w:color w:val="000000"/>
                <w:sz w:val="18"/>
                <w:szCs w:val="18"/>
                <w:lang w:val="en-GB" w:eastAsia="sl-SI"/>
              </w:rPr>
            </w:pPr>
            <w:r w:rsidRPr="007944FA">
              <w:rPr>
                <w:rFonts w:ascii="Arial" w:eastAsia="Times New Roman" w:hAnsi="Arial" w:cs="Arial"/>
                <w:color w:val="000000"/>
                <w:sz w:val="18"/>
                <w:szCs w:val="18"/>
                <w:lang w:val="en-GB" w:eastAsia="sl-SI"/>
              </w:rPr>
              <w:t>32,2</w:t>
            </w:r>
          </w:p>
        </w:tc>
      </w:tr>
      <w:tr w:rsidR="00C23A2A" w:rsidRPr="0093506F" w14:paraId="36A876CE" w14:textId="77777777" w:rsidTr="00300914">
        <w:trPr>
          <w:trHeight w:val="290"/>
        </w:trPr>
        <w:tc>
          <w:tcPr>
            <w:tcW w:w="1620" w:type="dxa"/>
            <w:tcBorders>
              <w:top w:val="nil"/>
              <w:left w:val="single" w:sz="4" w:space="0" w:color="auto"/>
              <w:bottom w:val="single" w:sz="4" w:space="0" w:color="auto"/>
              <w:right w:val="single" w:sz="4" w:space="0" w:color="auto"/>
            </w:tcBorders>
            <w:shd w:val="clear" w:color="auto" w:fill="529DBA"/>
            <w:noWrap/>
            <w:vAlign w:val="bottom"/>
            <w:hideMark/>
          </w:tcPr>
          <w:p w14:paraId="46033CE4" w14:textId="77777777" w:rsidR="00C23A2A" w:rsidRPr="007944FA" w:rsidRDefault="00C23A2A" w:rsidP="006D46D8">
            <w:pPr>
              <w:spacing w:after="0" w:line="240" w:lineRule="auto"/>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SKUPAJ</w:t>
            </w:r>
          </w:p>
        </w:tc>
        <w:tc>
          <w:tcPr>
            <w:tcW w:w="785" w:type="dxa"/>
            <w:tcBorders>
              <w:top w:val="nil"/>
              <w:left w:val="nil"/>
              <w:bottom w:val="single" w:sz="4" w:space="0" w:color="auto"/>
              <w:right w:val="single" w:sz="4" w:space="0" w:color="auto"/>
            </w:tcBorders>
            <w:shd w:val="clear" w:color="auto" w:fill="529DBA"/>
            <w:noWrap/>
            <w:vAlign w:val="bottom"/>
            <w:hideMark/>
          </w:tcPr>
          <w:p w14:paraId="0543DF48" w14:textId="4C8847E2" w:rsidR="00C23A2A" w:rsidRPr="007944FA" w:rsidRDefault="00D30845"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76,91</w:t>
            </w:r>
          </w:p>
        </w:tc>
        <w:tc>
          <w:tcPr>
            <w:tcW w:w="1015" w:type="dxa"/>
            <w:tcBorders>
              <w:top w:val="nil"/>
              <w:left w:val="nil"/>
              <w:bottom w:val="single" w:sz="4" w:space="0" w:color="auto"/>
              <w:right w:val="single" w:sz="4" w:space="0" w:color="auto"/>
            </w:tcBorders>
            <w:shd w:val="clear" w:color="auto" w:fill="529DBA"/>
            <w:noWrap/>
            <w:vAlign w:val="bottom"/>
            <w:hideMark/>
          </w:tcPr>
          <w:p w14:paraId="17D98894" w14:textId="0F31F4C6" w:rsidR="00C23A2A" w:rsidRPr="007944FA" w:rsidRDefault="00D30845"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91,02</w:t>
            </w:r>
          </w:p>
        </w:tc>
        <w:tc>
          <w:tcPr>
            <w:tcW w:w="900" w:type="dxa"/>
            <w:tcBorders>
              <w:top w:val="nil"/>
              <w:left w:val="nil"/>
              <w:bottom w:val="single" w:sz="4" w:space="0" w:color="auto"/>
              <w:right w:val="single" w:sz="4" w:space="0" w:color="auto"/>
            </w:tcBorders>
            <w:shd w:val="clear" w:color="auto" w:fill="529DBA"/>
            <w:noWrap/>
            <w:vAlign w:val="bottom"/>
            <w:hideMark/>
          </w:tcPr>
          <w:p w14:paraId="0F594AD1" w14:textId="77777777" w:rsidR="00C23A2A" w:rsidRPr="007944FA" w:rsidRDefault="00C23A2A"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0,0</w:t>
            </w:r>
          </w:p>
        </w:tc>
        <w:tc>
          <w:tcPr>
            <w:tcW w:w="900" w:type="dxa"/>
            <w:tcBorders>
              <w:top w:val="nil"/>
              <w:left w:val="nil"/>
              <w:bottom w:val="single" w:sz="4" w:space="0" w:color="auto"/>
              <w:right w:val="single" w:sz="4" w:space="0" w:color="auto"/>
            </w:tcBorders>
            <w:shd w:val="clear" w:color="auto" w:fill="529DBA"/>
            <w:noWrap/>
            <w:vAlign w:val="bottom"/>
            <w:hideMark/>
          </w:tcPr>
          <w:p w14:paraId="6F97FE7A" w14:textId="77777777" w:rsidR="00C23A2A" w:rsidRPr="007944FA" w:rsidRDefault="00C23A2A"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0,0</w:t>
            </w:r>
          </w:p>
        </w:tc>
        <w:tc>
          <w:tcPr>
            <w:tcW w:w="785" w:type="dxa"/>
            <w:tcBorders>
              <w:top w:val="nil"/>
              <w:left w:val="nil"/>
              <w:bottom w:val="single" w:sz="4" w:space="0" w:color="auto"/>
              <w:right w:val="single" w:sz="4" w:space="0" w:color="auto"/>
            </w:tcBorders>
            <w:shd w:val="clear" w:color="auto" w:fill="529DBA"/>
            <w:noWrap/>
            <w:vAlign w:val="bottom"/>
            <w:hideMark/>
          </w:tcPr>
          <w:p w14:paraId="350A8442" w14:textId="5DBE7B14" w:rsidR="00C23A2A" w:rsidRPr="007944FA" w:rsidRDefault="00F31E14"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76,91</w:t>
            </w:r>
          </w:p>
        </w:tc>
        <w:tc>
          <w:tcPr>
            <w:tcW w:w="1015" w:type="dxa"/>
            <w:tcBorders>
              <w:top w:val="nil"/>
              <w:left w:val="nil"/>
              <w:bottom w:val="single" w:sz="4" w:space="0" w:color="auto"/>
              <w:right w:val="single" w:sz="4" w:space="0" w:color="auto"/>
            </w:tcBorders>
            <w:shd w:val="clear" w:color="auto" w:fill="529DBA"/>
            <w:noWrap/>
            <w:vAlign w:val="bottom"/>
            <w:hideMark/>
          </w:tcPr>
          <w:p w14:paraId="13FA7E41" w14:textId="77777777" w:rsidR="00385CB1" w:rsidRPr="007944FA" w:rsidRDefault="00F31E14" w:rsidP="006D46D8">
            <w:pPr>
              <w:spacing w:after="0" w:line="240" w:lineRule="auto"/>
              <w:jc w:val="right"/>
              <w:rPr>
                <w:rFonts w:ascii="Arial" w:eastAsia="Times New Roman" w:hAnsi="Arial" w:cs="Arial"/>
                <w:b/>
                <w:bCs/>
                <w:color w:val="FFFFFF" w:themeColor="background1"/>
                <w:sz w:val="18"/>
                <w:szCs w:val="18"/>
                <w:lang w:val="en-GB" w:eastAsia="sl-SI"/>
              </w:rPr>
            </w:pPr>
            <w:r w:rsidRPr="007944FA">
              <w:rPr>
                <w:rFonts w:ascii="Arial" w:eastAsia="Times New Roman" w:hAnsi="Arial" w:cs="Arial"/>
                <w:b/>
                <w:bCs/>
                <w:color w:val="FFFFFF" w:themeColor="background1"/>
                <w:sz w:val="18"/>
                <w:szCs w:val="18"/>
                <w:lang w:val="en-GB" w:eastAsia="sl-SI"/>
              </w:rPr>
              <w:t>91,02</w:t>
            </w:r>
          </w:p>
          <w:p w14:paraId="6F80AE37" w14:textId="4D40E1C6" w:rsidR="00C23A2A" w:rsidRPr="007944FA" w:rsidRDefault="00C23A2A" w:rsidP="006D46D8">
            <w:pPr>
              <w:spacing w:after="0" w:line="240" w:lineRule="auto"/>
              <w:jc w:val="right"/>
              <w:rPr>
                <w:rFonts w:ascii="Arial" w:eastAsia="Times New Roman" w:hAnsi="Arial" w:cs="Arial"/>
                <w:b/>
                <w:bCs/>
                <w:color w:val="FFFFFF" w:themeColor="background1"/>
                <w:sz w:val="18"/>
                <w:szCs w:val="18"/>
                <w:lang w:val="en-GB" w:eastAsia="sl-SI"/>
              </w:rPr>
            </w:pPr>
          </w:p>
        </w:tc>
      </w:tr>
    </w:tbl>
    <w:p w14:paraId="2F17B0EC" w14:textId="75058AB4" w:rsidR="00C23A2A" w:rsidRPr="007944FA" w:rsidRDefault="002F38E7" w:rsidP="00CD714B">
      <w:pPr>
        <w:pStyle w:val="nikatabelee"/>
        <w:rPr>
          <w:lang w:val="en-GB"/>
        </w:rPr>
      </w:pPr>
      <w:bookmarkStart w:id="213" w:name="_Toc193195408"/>
      <w:r w:rsidRPr="007944FA">
        <w:t>Preglednica 23</w:t>
      </w:r>
      <w:r w:rsidR="00C23A2A" w:rsidRPr="007944FA">
        <w:t>: Finančna podpora, mobilizirana v letih 2021 in 2022</w:t>
      </w:r>
      <w:bookmarkEnd w:id="213"/>
    </w:p>
    <w:p w14:paraId="032D0579" w14:textId="77777777" w:rsidR="00C23A2A" w:rsidRPr="007944FA" w:rsidRDefault="00C23A2A" w:rsidP="00C23A2A">
      <w:pPr>
        <w:contextualSpacing/>
        <w:jc w:val="center"/>
        <w:rPr>
          <w:rFonts w:ascii="Arial" w:hAnsi="Arial" w:cs="Arial"/>
          <w:b/>
          <w:bCs/>
          <w:i/>
          <w:iCs/>
          <w:sz w:val="18"/>
          <w:szCs w:val="18"/>
        </w:rPr>
      </w:pPr>
    </w:p>
    <w:p w14:paraId="593F23B1" w14:textId="5A2560AF" w:rsidR="00FB4DC5" w:rsidRPr="007944FA" w:rsidRDefault="00C23A2A" w:rsidP="00C23A2A">
      <w:pPr>
        <w:pStyle w:val="Heading2"/>
        <w:jc w:val="both"/>
      </w:pPr>
      <w:bookmarkStart w:id="214" w:name="_Toc192499440"/>
      <w:bookmarkStart w:id="215" w:name="_Toc196300851"/>
      <w:r w:rsidRPr="007944FA">
        <w:t>IV.D Informacije o podpori za razvoj in prenos tehnologij, zagotovljeni v skladu z 10. členom Pariškega sporazuma</w:t>
      </w:r>
      <w:bookmarkEnd w:id="214"/>
      <w:bookmarkEnd w:id="215"/>
    </w:p>
    <w:p w14:paraId="18221D81"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126. Informacije v besedilni obliki o podpori za razvoj tehnologij in prenos, zagotovljeni v skladu z 10. členom Pariškega sporazuma, vključno s čim več informacijami, po možnosti kvalitativnimi in/ali kvantitativnimi, o: </w:t>
      </w:r>
    </w:p>
    <w:p w14:paraId="6FD2A0FF"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(a) strategijah, uporabljenih za podporo razvoju tehnologij in prenosa, vključno s študijami primerov, </w:t>
      </w:r>
    </w:p>
    <w:p w14:paraId="7E7758BF"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(b) podpori, zagotovljeni v različnih fazah tehnološkega cikla, </w:t>
      </w:r>
    </w:p>
    <w:p w14:paraId="43949498"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(c) podpori za razvoj in izboljšanje endogenih zmogljivosti in tehnologij držav v razvoju, </w:t>
      </w:r>
    </w:p>
    <w:p w14:paraId="361552C7"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(d) naporih za spodbujanje dejavnosti zasebnega sektorja, povezanih z razvojem in prenosom tehnologij, ter kako te dejavnosti podpirajo države v razvoju, </w:t>
      </w:r>
    </w:p>
    <w:p w14:paraId="6B1561AD" w14:textId="3C0C4D14"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 xml:space="preserve">(e) naporih za pospeševanje, spodbujanje in omogočanje inovacij, vključno z raziskavami, razvojem in uvajanjem, ter </w:t>
      </w:r>
      <w:r w:rsidR="001706F8" w:rsidRPr="007944FA">
        <w:rPr>
          <w:rFonts w:ascii="Arial" w:eastAsia="Times New Roman" w:hAnsi="Arial" w:cs="Arial"/>
          <w:sz w:val="20"/>
          <w:szCs w:val="20"/>
          <w:lang w:eastAsia="sl-SI"/>
        </w:rPr>
        <w:t>sodelovanju pri raziskavah in</w:t>
      </w:r>
      <w:r w:rsidRPr="007944FA">
        <w:rPr>
          <w:rFonts w:ascii="Arial" w:eastAsia="Times New Roman" w:hAnsi="Arial" w:cs="Arial"/>
          <w:sz w:val="20"/>
          <w:szCs w:val="20"/>
          <w:lang w:eastAsia="sl-SI"/>
        </w:rPr>
        <w:t xml:space="preserve"> razvoju, </w:t>
      </w:r>
    </w:p>
    <w:p w14:paraId="2E510B55" w14:textId="77777777"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after="0" w:line="240" w:lineRule="auto"/>
        <w:rPr>
          <w:rFonts w:ascii="Arial" w:eastAsia="Times New Roman" w:hAnsi="Arial" w:cs="Arial"/>
          <w:sz w:val="20"/>
          <w:szCs w:val="20"/>
          <w:lang w:eastAsia="sl-SI"/>
        </w:rPr>
      </w:pPr>
      <w:r w:rsidRPr="007944FA">
        <w:rPr>
          <w:rFonts w:ascii="Arial" w:eastAsia="Times New Roman" w:hAnsi="Arial" w:cs="Arial"/>
          <w:sz w:val="20"/>
          <w:szCs w:val="20"/>
          <w:lang w:eastAsia="sl-SI"/>
        </w:rPr>
        <w:t>(f) znanju, ustvarjenem.</w:t>
      </w:r>
    </w:p>
    <w:p w14:paraId="762C7B7D" w14:textId="3B5F832A" w:rsidR="00C23A2A" w:rsidRPr="007944FA" w:rsidRDefault="00C23A2A" w:rsidP="00C23A2A">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Slovenija sprejema aktivne ukrepe za vključitev razvoja tehnologij in</w:t>
      </w:r>
      <w:r w:rsidR="00BD4C80" w:rsidRPr="007944FA">
        <w:rPr>
          <w:rFonts w:ascii="Arial" w:eastAsia="Times New Roman" w:hAnsi="Arial" w:cs="Arial"/>
          <w:lang w:eastAsia="sl-SI"/>
        </w:rPr>
        <w:t xml:space="preserve"> njihovega</w:t>
      </w:r>
      <w:r w:rsidRPr="007944FA">
        <w:rPr>
          <w:rFonts w:ascii="Arial" w:eastAsia="Times New Roman" w:hAnsi="Arial" w:cs="Arial"/>
          <w:lang w:eastAsia="sl-SI"/>
        </w:rPr>
        <w:t xml:space="preserve"> prenosa v svoje dvostranske projekte podnebnega financiranja. Že v fazi izbire projektov enemu od kriterijev za ocenjevanje infrastrukturnih projektov razvoj tehnologij ali prenos, ki vključujejo te komponente, dodeli več točk. Te dejavnosti lahko vključujejo prenos mehkih tehnologij (kot so krepitev zmogljivosti, raziskave in usposabljanje, razvoj informacijskih omrežij in tako dalje) in trdih tehnologij; mnoge dejavnosti imajo lastnosti obeh.</w:t>
      </w:r>
    </w:p>
    <w:p w14:paraId="238A72C8" w14:textId="61F85399" w:rsidR="00C23A2A" w:rsidRPr="007944FA" w:rsidRDefault="00C23A2A" w:rsidP="00C23A2A">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Pri zagotavljanju zunanje podpore za podnebne finance se Slovenija specializira za tehnologije na področju vode in sanitarij, zato večina projektov za razvoj tehnologij in prenos poteka v tem sektorju. Tehnologije, kot so razvoj satelitskih slik za boljše upravljanje poplav, aplikacije za 3D vizualizacijo in sisteme za spremljanje vodnih virov, so bile uspešno uvedene tudi v okviru mednarodnega razvojnega sodelovanja (glejte </w:t>
      </w:r>
      <w:r w:rsidR="00263D80" w:rsidRPr="007944FA">
        <w:rPr>
          <w:rFonts w:ascii="Arial" w:eastAsia="Times New Roman" w:hAnsi="Arial" w:cs="Arial"/>
          <w:lang w:eastAsia="sl-SI"/>
        </w:rPr>
        <w:t>Preglednica 24 in Preglednica 25).</w:t>
      </w:r>
    </w:p>
    <w:p w14:paraId="11622C9D" w14:textId="5960D4EA" w:rsidR="00C23A2A" w:rsidRPr="007944FA" w:rsidRDefault="00D541CF" w:rsidP="00C23A2A">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Vezano na tehnološki cikel projektov je večina podpore zagotovljene v</w:t>
      </w:r>
      <w:r w:rsidR="001706F8" w:rsidRPr="007944FA">
        <w:rPr>
          <w:rFonts w:ascii="Arial" w:eastAsia="Times New Roman" w:hAnsi="Arial" w:cs="Arial"/>
          <w:lang w:eastAsia="sl-SI"/>
        </w:rPr>
        <w:t xml:space="preserve"> </w:t>
      </w:r>
      <w:r w:rsidR="00C23A2A" w:rsidRPr="007944FA">
        <w:rPr>
          <w:rFonts w:ascii="Arial" w:eastAsia="Times New Roman" w:hAnsi="Arial" w:cs="Arial"/>
          <w:lang w:eastAsia="sl-SI"/>
        </w:rPr>
        <w:t>fazah rasti in zrelosti. V poročevalnem obdobju ni bilo projektov, ki bi podpirali raziskave v podnebno pomembnih tehnologijah v državah v razvoju ali endogene zmogljivosti in tehnologije.</w:t>
      </w:r>
    </w:p>
    <w:p w14:paraId="4E111EC4" w14:textId="6DF315F9" w:rsidR="00C23A2A" w:rsidRPr="007944FA" w:rsidRDefault="00C23A2A" w:rsidP="00C23A2A">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Nekatere iniciative zasebnega sektorja, povezane z razvojem tehnologij in prenosom, so bile uspešno mobilizirane (glejte </w:t>
      </w:r>
      <w:r w:rsidR="00263D80" w:rsidRPr="007944FA">
        <w:rPr>
          <w:rFonts w:ascii="Arial" w:eastAsia="Times New Roman" w:hAnsi="Arial" w:cs="Arial"/>
          <w:lang w:eastAsia="sl-SI"/>
        </w:rPr>
        <w:t xml:space="preserve"> študijo primera v Preglednici 24 in Preglednici 25</w:t>
      </w:r>
      <w:r w:rsidRPr="007944FA">
        <w:rPr>
          <w:rFonts w:ascii="Arial" w:eastAsia="Times New Roman" w:hAnsi="Arial" w:cs="Arial"/>
          <w:lang w:eastAsia="sl-SI"/>
        </w:rPr>
        <w:t>). Vendar pa Slovenija načrtuje širitev in krepitev teh prizadevanj v prihodnosti.</w:t>
      </w:r>
    </w:p>
    <w:tbl>
      <w:tblPr>
        <w:tblStyle w:val="Tabela-SLOG3"/>
        <w:tblW w:w="0" w:type="auto"/>
        <w:tblLook w:val="04A0" w:firstRow="1" w:lastRow="0" w:firstColumn="1" w:lastColumn="0" w:noHBand="0" w:noVBand="1"/>
      </w:tblPr>
      <w:tblGrid>
        <w:gridCol w:w="2265"/>
        <w:gridCol w:w="2266"/>
        <w:gridCol w:w="1985"/>
        <w:gridCol w:w="2546"/>
      </w:tblGrid>
      <w:tr w:rsidR="00C23A2A" w:rsidRPr="0093506F" w14:paraId="120F5107" w14:textId="77777777" w:rsidTr="006D46D8">
        <w:tc>
          <w:tcPr>
            <w:tcW w:w="9062" w:type="dxa"/>
            <w:gridSpan w:val="4"/>
          </w:tcPr>
          <w:p w14:paraId="01D6372C" w14:textId="77777777" w:rsidR="00C23A2A" w:rsidRPr="007944FA" w:rsidRDefault="00C23A2A" w:rsidP="00C23A2A">
            <w:pPr>
              <w:ind w:firstLine="708"/>
              <w:jc w:val="both"/>
              <w:rPr>
                <w:rFonts w:ascii="Arial" w:hAnsi="Arial" w:cs="Arial"/>
                <w:sz w:val="18"/>
                <w:szCs w:val="18"/>
                <w:lang w:val="en-GB"/>
              </w:rPr>
            </w:pPr>
            <w:r w:rsidRPr="007944FA">
              <w:rPr>
                <w:rFonts w:ascii="Arial" w:hAnsi="Arial" w:cs="Arial"/>
                <w:b/>
                <w:bCs/>
                <w:sz w:val="18"/>
                <w:szCs w:val="18"/>
              </w:rPr>
              <w:t>Ime programa</w:t>
            </w:r>
            <w:r w:rsidRPr="007944FA">
              <w:rPr>
                <w:rFonts w:ascii="Arial" w:hAnsi="Arial" w:cs="Arial"/>
                <w:sz w:val="18"/>
                <w:szCs w:val="18"/>
              </w:rPr>
              <w:t>: Ganga – satelitske slike in modeliranje poplav reke</w:t>
            </w:r>
          </w:p>
        </w:tc>
      </w:tr>
      <w:tr w:rsidR="00C23A2A" w:rsidRPr="0093506F" w14:paraId="6A904A31" w14:textId="77777777" w:rsidTr="006D46D8">
        <w:trPr>
          <w:trHeight w:val="276"/>
        </w:trPr>
        <w:tc>
          <w:tcPr>
            <w:tcW w:w="2265" w:type="dxa"/>
          </w:tcPr>
          <w:p w14:paraId="70A43C4E"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Prejemnik</w:t>
            </w:r>
            <w:r w:rsidRPr="007944FA">
              <w:rPr>
                <w:rFonts w:ascii="Arial" w:hAnsi="Arial" w:cs="Arial"/>
                <w:sz w:val="18"/>
                <w:szCs w:val="18"/>
              </w:rPr>
              <w:t>: Indija, Indijski tehnološki inštitut Kanpur</w:t>
            </w:r>
          </w:p>
        </w:tc>
        <w:tc>
          <w:tcPr>
            <w:tcW w:w="2266" w:type="dxa"/>
          </w:tcPr>
          <w:p w14:paraId="67AA671B"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Sektor:</w:t>
            </w:r>
            <w:r w:rsidRPr="007944FA">
              <w:rPr>
                <w:rFonts w:ascii="Arial" w:hAnsi="Arial" w:cs="Arial"/>
                <w:sz w:val="18"/>
                <w:szCs w:val="18"/>
              </w:rPr>
              <w:t xml:space="preserve"> Voda in sanitarne storitve</w:t>
            </w:r>
          </w:p>
        </w:tc>
        <w:tc>
          <w:tcPr>
            <w:tcW w:w="1985" w:type="dxa"/>
          </w:tcPr>
          <w:p w14:paraId="0F4270DF" w14:textId="4BF32BAC" w:rsidR="00C23A2A" w:rsidRPr="007944FA" w:rsidRDefault="00C23A2A" w:rsidP="00C23A2A">
            <w:pPr>
              <w:rPr>
                <w:rFonts w:ascii="Arial" w:hAnsi="Arial" w:cs="Arial"/>
                <w:sz w:val="18"/>
                <w:szCs w:val="18"/>
                <w:lang w:val="en-GB"/>
              </w:rPr>
            </w:pPr>
            <w:r w:rsidRPr="007944FA">
              <w:rPr>
                <w:rFonts w:ascii="Arial" w:hAnsi="Arial" w:cs="Arial"/>
                <w:b/>
                <w:bCs/>
                <w:sz w:val="18"/>
                <w:szCs w:val="18"/>
              </w:rPr>
              <w:t>Skupni znesek</w:t>
            </w:r>
            <w:r w:rsidRPr="007944FA">
              <w:rPr>
                <w:rFonts w:ascii="Arial" w:hAnsi="Arial" w:cs="Arial"/>
                <w:sz w:val="18"/>
                <w:szCs w:val="18"/>
              </w:rPr>
              <w:t xml:space="preserve"> </w:t>
            </w:r>
            <w:r w:rsidRPr="007944FA">
              <w:rPr>
                <w:rFonts w:ascii="Arial" w:hAnsi="Arial" w:cs="Arial"/>
                <w:b/>
                <w:bCs/>
                <w:sz w:val="18"/>
                <w:szCs w:val="18"/>
              </w:rPr>
              <w:t>podpore</w:t>
            </w:r>
            <w:r w:rsidRPr="007944FA">
              <w:rPr>
                <w:rFonts w:ascii="Arial" w:hAnsi="Arial" w:cs="Arial"/>
                <w:sz w:val="18"/>
                <w:szCs w:val="18"/>
              </w:rPr>
              <w:t xml:space="preserve">: 108.675,00 </w:t>
            </w:r>
            <w:r w:rsidR="0018317A" w:rsidRPr="007944FA">
              <w:rPr>
                <w:rFonts w:ascii="Arial" w:hAnsi="Arial" w:cs="Arial"/>
                <w:sz w:val="18"/>
                <w:szCs w:val="18"/>
              </w:rPr>
              <w:t>evra</w:t>
            </w:r>
          </w:p>
        </w:tc>
        <w:tc>
          <w:tcPr>
            <w:tcW w:w="2546" w:type="dxa"/>
          </w:tcPr>
          <w:p w14:paraId="02F0CA5F"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Obdobje:</w:t>
            </w:r>
            <w:r w:rsidRPr="007944FA">
              <w:rPr>
                <w:rFonts w:ascii="Arial" w:hAnsi="Arial" w:cs="Arial"/>
                <w:sz w:val="18"/>
                <w:szCs w:val="18"/>
              </w:rPr>
              <w:br/>
              <w:t>2022–2023</w:t>
            </w:r>
          </w:p>
        </w:tc>
      </w:tr>
      <w:tr w:rsidR="00C23A2A" w:rsidRPr="0093506F" w14:paraId="5DD4C7E4" w14:textId="77777777" w:rsidTr="006D46D8">
        <w:trPr>
          <w:trHeight w:val="276"/>
        </w:trPr>
        <w:tc>
          <w:tcPr>
            <w:tcW w:w="9062" w:type="dxa"/>
            <w:gridSpan w:val="4"/>
          </w:tcPr>
          <w:p w14:paraId="3C7B3609"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lastRenderedPageBreak/>
              <w:t>Razvita in/ali prenesena tehnologija: model poplav in aplikacija za 3D vizualizacijo</w:t>
            </w:r>
          </w:p>
        </w:tc>
      </w:tr>
      <w:tr w:rsidR="00C23A2A" w:rsidRPr="0093506F" w14:paraId="345D874F" w14:textId="77777777" w:rsidTr="006D46D8">
        <w:trPr>
          <w:trHeight w:val="276"/>
        </w:trPr>
        <w:tc>
          <w:tcPr>
            <w:tcW w:w="9062" w:type="dxa"/>
            <w:gridSpan w:val="4"/>
          </w:tcPr>
          <w:p w14:paraId="470560C0" w14:textId="77777777" w:rsidR="00C23A2A" w:rsidRPr="007944FA" w:rsidRDefault="00C23A2A" w:rsidP="00C23A2A">
            <w:pPr>
              <w:jc w:val="both"/>
              <w:rPr>
                <w:rFonts w:ascii="Arial" w:hAnsi="Arial" w:cs="Arial"/>
                <w:sz w:val="18"/>
                <w:szCs w:val="18"/>
                <w:lang w:val="en-GB"/>
              </w:rPr>
            </w:pPr>
            <w:r w:rsidRPr="007944FA">
              <w:rPr>
                <w:rFonts w:ascii="Arial" w:hAnsi="Arial" w:cs="Arial"/>
                <w:b/>
                <w:bCs/>
                <w:sz w:val="18"/>
                <w:szCs w:val="18"/>
              </w:rPr>
              <w:t>Cilj in opis</w:t>
            </w:r>
            <w:r w:rsidRPr="007944FA">
              <w:rPr>
                <w:rFonts w:ascii="Arial" w:hAnsi="Arial" w:cs="Arial"/>
                <w:sz w:val="18"/>
                <w:szCs w:val="18"/>
              </w:rPr>
              <w:t>: GangaSat je pilotski projekt, ki je nudil osnovo za prikazovanje socialno-ekonomskih in okoljskih koristi kartiranja poplavnih ravnic. Projekt je kartiral poplavno ogrožena območja okoli dveh mest, Delhija ob Gangesu in Varanasija ob Jamuni, z uporabo satelitskih slik. Opravljena je bila ocena zgodovine poplav na podlagi podatkov, dostopnih za zadnjih tri do pet let, rezultati pa so bili na voljo v digitalni obliki, kar omogoča numerično analizo in obdelavo s pomočjo umetne inteligence za situacijsko zavedanje. Za ta namen so bile uporabljene radarske in optične slike s satelitov Sentinel ter optične slike s satelita Nemo-HD.</w:t>
            </w:r>
          </w:p>
        </w:tc>
      </w:tr>
      <w:tr w:rsidR="00C23A2A" w:rsidRPr="0093506F" w14:paraId="7D6DD02B" w14:textId="77777777" w:rsidTr="006D46D8">
        <w:trPr>
          <w:trHeight w:val="276"/>
        </w:trPr>
        <w:tc>
          <w:tcPr>
            <w:tcW w:w="9062" w:type="dxa"/>
            <w:gridSpan w:val="4"/>
          </w:tcPr>
          <w:p w14:paraId="031CA836" w14:textId="77777777" w:rsidR="00C23A2A" w:rsidRPr="007944FA" w:rsidRDefault="00C23A2A" w:rsidP="00C23A2A">
            <w:pPr>
              <w:jc w:val="both"/>
              <w:rPr>
                <w:rFonts w:ascii="Arial" w:hAnsi="Arial" w:cs="Arial"/>
                <w:sz w:val="18"/>
                <w:szCs w:val="18"/>
                <w:lang w:val="en-GB"/>
              </w:rPr>
            </w:pPr>
            <w:r w:rsidRPr="007944FA">
              <w:rPr>
                <w:rFonts w:ascii="Arial" w:hAnsi="Arial" w:cs="Arial"/>
                <w:b/>
                <w:bCs/>
                <w:sz w:val="18"/>
                <w:szCs w:val="18"/>
              </w:rPr>
              <w:t>Rezultati</w:t>
            </w:r>
            <w:r w:rsidRPr="007944FA">
              <w:rPr>
                <w:rFonts w:ascii="Arial" w:hAnsi="Arial" w:cs="Arial"/>
                <w:sz w:val="18"/>
                <w:szCs w:val="18"/>
              </w:rPr>
              <w:t>: Na podlagi teh slik sta bila razvita model poplav in aplikacija za 3D vizualizacijo, ki ju je mogoče uporabiti tudi za druga poplavna območja. Ta tehnologija omogoča boljše upravljanje in preprečevanje poplav.</w:t>
            </w:r>
          </w:p>
        </w:tc>
      </w:tr>
    </w:tbl>
    <w:p w14:paraId="78D7F66F" w14:textId="77777777" w:rsidR="00C23A2A" w:rsidRPr="007944FA" w:rsidRDefault="00C23A2A" w:rsidP="00C23A2A">
      <w:pPr>
        <w:jc w:val="both"/>
        <w:rPr>
          <w:rFonts w:ascii="Times New Roman" w:hAnsi="Times New Roman" w:cs="Times New Roman"/>
          <w:lang w:val="en-GB"/>
        </w:rPr>
      </w:pPr>
    </w:p>
    <w:p w14:paraId="1015F7FD" w14:textId="5758B7F3" w:rsidR="00C23A2A" w:rsidRPr="007944FA" w:rsidRDefault="002F38E7" w:rsidP="002F38E7">
      <w:pPr>
        <w:pStyle w:val="nikatabelee"/>
        <w:rPr>
          <w:lang w:eastAsia="sl-SI"/>
        </w:rPr>
      </w:pPr>
      <w:bookmarkStart w:id="216" w:name="_Toc193195409"/>
      <w:r w:rsidRPr="007944FA">
        <w:rPr>
          <w:lang w:eastAsia="sl-SI"/>
        </w:rPr>
        <w:t>Preglednica 24</w:t>
      </w:r>
      <w:r w:rsidR="00C23A2A" w:rsidRPr="007944FA">
        <w:rPr>
          <w:lang w:eastAsia="sl-SI"/>
        </w:rPr>
        <w:t>: Študija primera 1 – Satelitske slike in modeliranje poplav reke v Indiji</w:t>
      </w:r>
      <w:bookmarkEnd w:id="216"/>
    </w:p>
    <w:tbl>
      <w:tblPr>
        <w:tblStyle w:val="Tabela-SLOG3"/>
        <w:tblW w:w="0" w:type="auto"/>
        <w:tblLook w:val="04A0" w:firstRow="1" w:lastRow="0" w:firstColumn="1" w:lastColumn="0" w:noHBand="0" w:noVBand="1"/>
      </w:tblPr>
      <w:tblGrid>
        <w:gridCol w:w="2265"/>
        <w:gridCol w:w="2266"/>
        <w:gridCol w:w="2265"/>
        <w:gridCol w:w="2266"/>
      </w:tblGrid>
      <w:tr w:rsidR="00C23A2A" w:rsidRPr="0093506F" w14:paraId="21DF5A35" w14:textId="77777777" w:rsidTr="006D46D8">
        <w:tc>
          <w:tcPr>
            <w:tcW w:w="9062" w:type="dxa"/>
            <w:gridSpan w:val="4"/>
          </w:tcPr>
          <w:p w14:paraId="35D75B89" w14:textId="77777777" w:rsidR="00C23A2A" w:rsidRPr="007944FA" w:rsidRDefault="00C23A2A" w:rsidP="00C23A2A">
            <w:pPr>
              <w:jc w:val="both"/>
              <w:rPr>
                <w:rFonts w:ascii="Arial" w:hAnsi="Arial" w:cs="Arial"/>
                <w:sz w:val="18"/>
                <w:szCs w:val="18"/>
                <w:lang w:val="en-GB"/>
              </w:rPr>
            </w:pPr>
            <w:r w:rsidRPr="007944FA">
              <w:rPr>
                <w:rFonts w:ascii="Arial" w:hAnsi="Arial" w:cs="Arial"/>
                <w:b/>
                <w:bCs/>
                <w:sz w:val="18"/>
                <w:szCs w:val="18"/>
              </w:rPr>
              <w:t>Ime programa</w:t>
            </w:r>
            <w:r w:rsidRPr="007944FA">
              <w:rPr>
                <w:rFonts w:ascii="Arial" w:hAnsi="Arial" w:cs="Arial"/>
                <w:sz w:val="18"/>
                <w:szCs w:val="18"/>
              </w:rPr>
              <w:t>: Trajnostno upravljanje vode in drugih virov za boljše zdravje in preživetje v okrožju Karongi, Ruanda</w:t>
            </w:r>
          </w:p>
        </w:tc>
      </w:tr>
      <w:tr w:rsidR="00C23A2A" w:rsidRPr="0093506F" w14:paraId="6681A066" w14:textId="77777777" w:rsidTr="006D46D8">
        <w:tc>
          <w:tcPr>
            <w:tcW w:w="2265" w:type="dxa"/>
          </w:tcPr>
          <w:p w14:paraId="10946904"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Prejemnik:</w:t>
            </w:r>
            <w:r w:rsidRPr="007944FA">
              <w:rPr>
                <w:rFonts w:ascii="Arial" w:hAnsi="Arial" w:cs="Arial"/>
                <w:sz w:val="18"/>
                <w:szCs w:val="18"/>
              </w:rPr>
              <w:t xml:space="preserve"> Ruanda</w:t>
            </w:r>
          </w:p>
        </w:tc>
        <w:tc>
          <w:tcPr>
            <w:tcW w:w="2266" w:type="dxa"/>
          </w:tcPr>
          <w:p w14:paraId="288D760D"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Sektor:</w:t>
            </w:r>
            <w:r w:rsidRPr="007944FA">
              <w:rPr>
                <w:rFonts w:ascii="Arial" w:hAnsi="Arial" w:cs="Arial"/>
                <w:sz w:val="18"/>
                <w:szCs w:val="18"/>
              </w:rPr>
              <w:t xml:space="preserve"> Voda in sanitarne storitve</w:t>
            </w:r>
          </w:p>
        </w:tc>
        <w:tc>
          <w:tcPr>
            <w:tcW w:w="2265" w:type="dxa"/>
          </w:tcPr>
          <w:p w14:paraId="55F6A205" w14:textId="023F14B0" w:rsidR="00C23A2A" w:rsidRPr="007944FA" w:rsidRDefault="00C23A2A" w:rsidP="00C23A2A">
            <w:pPr>
              <w:rPr>
                <w:rFonts w:ascii="Arial" w:hAnsi="Arial" w:cs="Arial"/>
                <w:sz w:val="18"/>
                <w:szCs w:val="18"/>
                <w:lang w:val="en-GB"/>
              </w:rPr>
            </w:pPr>
            <w:r w:rsidRPr="007944FA">
              <w:rPr>
                <w:rFonts w:ascii="Arial" w:hAnsi="Arial" w:cs="Arial"/>
                <w:b/>
                <w:bCs/>
                <w:sz w:val="18"/>
                <w:szCs w:val="18"/>
              </w:rPr>
              <w:t>Skupni znesek</w:t>
            </w:r>
            <w:r w:rsidRPr="007944FA">
              <w:rPr>
                <w:rFonts w:ascii="Arial" w:hAnsi="Arial" w:cs="Arial"/>
                <w:sz w:val="18"/>
                <w:szCs w:val="18"/>
              </w:rPr>
              <w:t xml:space="preserve"> </w:t>
            </w:r>
            <w:r w:rsidRPr="007944FA">
              <w:rPr>
                <w:rFonts w:ascii="Arial" w:hAnsi="Arial" w:cs="Arial"/>
                <w:b/>
                <w:bCs/>
                <w:sz w:val="18"/>
                <w:szCs w:val="18"/>
              </w:rPr>
              <w:t xml:space="preserve">podpore: </w:t>
            </w:r>
            <w:r w:rsidRPr="007944FA">
              <w:rPr>
                <w:rFonts w:ascii="Arial" w:hAnsi="Arial" w:cs="Arial"/>
                <w:sz w:val="18"/>
                <w:szCs w:val="18"/>
              </w:rPr>
              <w:t xml:space="preserve">301.296,10 </w:t>
            </w:r>
            <w:r w:rsidR="0018317A" w:rsidRPr="007944FA">
              <w:rPr>
                <w:rFonts w:ascii="Arial" w:hAnsi="Arial" w:cs="Arial"/>
                <w:sz w:val="18"/>
                <w:szCs w:val="18"/>
              </w:rPr>
              <w:t>evra</w:t>
            </w:r>
          </w:p>
        </w:tc>
        <w:tc>
          <w:tcPr>
            <w:tcW w:w="2266" w:type="dxa"/>
          </w:tcPr>
          <w:p w14:paraId="71B276BA" w14:textId="77777777" w:rsidR="00C23A2A" w:rsidRPr="007944FA" w:rsidRDefault="00C23A2A" w:rsidP="00C23A2A">
            <w:pPr>
              <w:rPr>
                <w:rFonts w:ascii="Arial" w:hAnsi="Arial" w:cs="Arial"/>
                <w:sz w:val="18"/>
                <w:szCs w:val="18"/>
                <w:lang w:val="en-GB"/>
              </w:rPr>
            </w:pPr>
            <w:r w:rsidRPr="007944FA">
              <w:rPr>
                <w:rFonts w:ascii="Arial" w:hAnsi="Arial" w:cs="Arial"/>
                <w:b/>
                <w:bCs/>
                <w:sz w:val="18"/>
                <w:szCs w:val="18"/>
              </w:rPr>
              <w:t>Obdobje:</w:t>
            </w:r>
            <w:r w:rsidRPr="007944FA">
              <w:rPr>
                <w:rFonts w:ascii="Arial" w:hAnsi="Arial" w:cs="Arial"/>
                <w:b/>
                <w:bCs/>
                <w:sz w:val="18"/>
                <w:szCs w:val="18"/>
              </w:rPr>
              <w:br/>
            </w:r>
            <w:r w:rsidRPr="007944FA">
              <w:rPr>
                <w:rFonts w:ascii="Arial" w:hAnsi="Arial" w:cs="Arial"/>
                <w:sz w:val="18"/>
                <w:szCs w:val="18"/>
              </w:rPr>
              <w:t>2021–2023</w:t>
            </w:r>
          </w:p>
        </w:tc>
      </w:tr>
      <w:tr w:rsidR="00C23A2A" w:rsidRPr="0093506F" w14:paraId="33B87611" w14:textId="77777777" w:rsidTr="006D46D8">
        <w:tc>
          <w:tcPr>
            <w:tcW w:w="9062" w:type="dxa"/>
            <w:gridSpan w:val="4"/>
          </w:tcPr>
          <w:p w14:paraId="15F35960"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Razvita in/ali prenesena tehnologija: infrastruktura za oskrbo z vodo</w:t>
            </w:r>
          </w:p>
        </w:tc>
      </w:tr>
      <w:tr w:rsidR="00C23A2A" w:rsidRPr="0093506F" w14:paraId="0C5D6EE8" w14:textId="77777777" w:rsidTr="006D46D8">
        <w:tc>
          <w:tcPr>
            <w:tcW w:w="9062" w:type="dxa"/>
            <w:gridSpan w:val="4"/>
          </w:tcPr>
          <w:p w14:paraId="46963AE0" w14:textId="51047E31" w:rsidR="00C23A2A" w:rsidRPr="007944FA" w:rsidRDefault="00C23A2A" w:rsidP="00C23A2A">
            <w:pPr>
              <w:jc w:val="both"/>
              <w:rPr>
                <w:rFonts w:ascii="Arial" w:hAnsi="Arial" w:cs="Arial"/>
                <w:sz w:val="18"/>
                <w:szCs w:val="18"/>
                <w:lang w:val="en-GB"/>
              </w:rPr>
            </w:pPr>
            <w:r w:rsidRPr="007944FA">
              <w:rPr>
                <w:rFonts w:ascii="Arial" w:hAnsi="Arial" w:cs="Arial"/>
                <w:b/>
                <w:bCs/>
                <w:sz w:val="18"/>
                <w:szCs w:val="18"/>
              </w:rPr>
              <w:t>Cilj in opis</w:t>
            </w:r>
            <w:r w:rsidRPr="007944FA">
              <w:rPr>
                <w:rFonts w:ascii="Arial" w:hAnsi="Arial" w:cs="Arial"/>
                <w:sz w:val="18"/>
                <w:szCs w:val="18"/>
              </w:rPr>
              <w:t xml:space="preserve">: Projekt se ukvarja s pomanjkanjem dostopa do vode in drugih virov in trajnostnega upravljanja vode in drugih virov, ki jih imajo prebivalci hribovskih </w:t>
            </w:r>
            <w:r w:rsidR="0018317A" w:rsidRPr="007944FA">
              <w:rPr>
                <w:rFonts w:ascii="Arial" w:hAnsi="Arial" w:cs="Arial"/>
                <w:sz w:val="18"/>
                <w:szCs w:val="18"/>
              </w:rPr>
              <w:t>območij</w:t>
            </w:r>
            <w:r w:rsidRPr="007944FA">
              <w:rPr>
                <w:rFonts w:ascii="Arial" w:hAnsi="Arial" w:cs="Arial"/>
                <w:sz w:val="18"/>
                <w:szCs w:val="18"/>
              </w:rPr>
              <w:t xml:space="preserve"> Mutuntu, Gashari, Rugabano in Rwankuba v okrožju Karongi v zahodni Ruandi, kjer 45,3 % prebivalcev živi pod pragom revščine, 85,2 % je odvisnih od kmetijstva, možnosti za zaslužek pa skoraj ni, zlasti za ženske in mladino. Na izčrpanih tleh, ki so podvržena eroziji, sušam in slabemu dostopu do vode, je težko pridelati dovolj hrane. 17,2 % gospodinjstev pije nevarno vodo (33 % vodnih sistemov je uničenih), kar v kombinaciji s slabo higieno poslabšuje zdravje in povečuje širjenje covida-19. Specifičen cilj je bil izboljšati dostop do vode in okoljskih virov ter njihovo trajnostno upravljanje </w:t>
            </w:r>
            <w:r w:rsidR="0018317A" w:rsidRPr="007944FA">
              <w:rPr>
                <w:rFonts w:ascii="Arial" w:hAnsi="Arial" w:cs="Arial"/>
                <w:sz w:val="18"/>
                <w:szCs w:val="18"/>
              </w:rPr>
              <w:t>na</w:t>
            </w:r>
            <w:r w:rsidRPr="007944FA">
              <w:rPr>
                <w:rFonts w:ascii="Arial" w:hAnsi="Arial" w:cs="Arial"/>
                <w:sz w:val="18"/>
                <w:szCs w:val="18"/>
              </w:rPr>
              <w:t xml:space="preserve"> štirih </w:t>
            </w:r>
            <w:r w:rsidR="0018317A" w:rsidRPr="007944FA">
              <w:rPr>
                <w:rFonts w:ascii="Arial" w:hAnsi="Arial" w:cs="Arial"/>
                <w:sz w:val="18"/>
                <w:szCs w:val="18"/>
              </w:rPr>
              <w:t>območjih</w:t>
            </w:r>
            <w:r w:rsidRPr="007944FA">
              <w:rPr>
                <w:rFonts w:ascii="Arial" w:hAnsi="Arial" w:cs="Arial"/>
                <w:sz w:val="18"/>
                <w:szCs w:val="18"/>
              </w:rPr>
              <w:t xml:space="preserve"> v Karongi do septembra 2023 ter omogočiti 1450 ranljivim ljudem, da izboljšajo svoje življenje in zdravje. GeoCodis je želel omogočiti nadaljnji razvoj z vzpostavitvijo sistema za spremljanje oskrbe z vodo </w:t>
            </w:r>
            <w:r w:rsidR="0018317A" w:rsidRPr="007944FA">
              <w:rPr>
                <w:rFonts w:ascii="Arial" w:hAnsi="Arial" w:cs="Arial"/>
                <w:sz w:val="18"/>
                <w:szCs w:val="18"/>
              </w:rPr>
              <w:t>na</w:t>
            </w:r>
            <w:r w:rsidRPr="007944FA">
              <w:rPr>
                <w:rFonts w:ascii="Arial" w:hAnsi="Arial" w:cs="Arial"/>
                <w:sz w:val="18"/>
                <w:szCs w:val="18"/>
              </w:rPr>
              <w:t xml:space="preserve"> štirih </w:t>
            </w:r>
            <w:r w:rsidR="0018317A" w:rsidRPr="007944FA">
              <w:rPr>
                <w:rFonts w:ascii="Arial" w:hAnsi="Arial" w:cs="Arial"/>
                <w:sz w:val="18"/>
                <w:szCs w:val="18"/>
              </w:rPr>
              <w:t>območjih</w:t>
            </w:r>
            <w:r w:rsidRPr="007944FA">
              <w:rPr>
                <w:rFonts w:ascii="Arial" w:hAnsi="Arial" w:cs="Arial"/>
                <w:sz w:val="18"/>
                <w:szCs w:val="18"/>
              </w:rPr>
              <w:t>, z wi-fi strežniki za dostop do informacij in analizo.</w:t>
            </w:r>
          </w:p>
        </w:tc>
      </w:tr>
      <w:tr w:rsidR="00C23A2A" w:rsidRPr="0093506F" w14:paraId="492D76F1" w14:textId="77777777" w:rsidTr="006D46D8">
        <w:tc>
          <w:tcPr>
            <w:tcW w:w="9062" w:type="dxa"/>
            <w:gridSpan w:val="4"/>
          </w:tcPr>
          <w:p w14:paraId="7774715A" w14:textId="77777777" w:rsidR="00C23A2A" w:rsidRPr="007944FA" w:rsidRDefault="00C23A2A" w:rsidP="00BD4C80">
            <w:pPr>
              <w:jc w:val="both"/>
              <w:rPr>
                <w:rFonts w:ascii="Arial" w:hAnsi="Arial" w:cs="Arial"/>
                <w:sz w:val="18"/>
                <w:szCs w:val="18"/>
                <w:lang w:val="en-GB"/>
              </w:rPr>
            </w:pPr>
            <w:r w:rsidRPr="007944FA">
              <w:rPr>
                <w:rFonts w:ascii="Arial" w:hAnsi="Arial" w:cs="Arial"/>
                <w:b/>
                <w:bCs/>
                <w:sz w:val="18"/>
                <w:szCs w:val="18"/>
              </w:rPr>
              <w:t>Rezultati:</w:t>
            </w:r>
            <w:r w:rsidRPr="007944FA">
              <w:rPr>
                <w:rFonts w:ascii="Arial" w:hAnsi="Arial" w:cs="Arial"/>
                <w:sz w:val="18"/>
                <w:szCs w:val="18"/>
              </w:rPr>
              <w:br/>
              <w:t>• Zgrajenih 20 vodnih postaj za dostop do čiste vode, dva obnovljena vodna sistema in šest vodnih kioskov za boj proti covidu-19; šest novih ali obnovljenih vodnjakov;</w:t>
            </w:r>
            <w:r w:rsidRPr="007944FA">
              <w:rPr>
                <w:rFonts w:ascii="Arial" w:hAnsi="Arial" w:cs="Arial"/>
                <w:sz w:val="18"/>
                <w:szCs w:val="18"/>
              </w:rPr>
              <w:br/>
              <w:t>• 1450 družinam iz 29 ranljivih skupnosti so bile zagotovljene domače živali, semena, sadna drevesa in higienični paketi;</w:t>
            </w:r>
            <w:r w:rsidRPr="007944FA">
              <w:rPr>
                <w:rFonts w:ascii="Arial" w:hAnsi="Arial" w:cs="Arial"/>
                <w:sz w:val="18"/>
                <w:szCs w:val="18"/>
              </w:rPr>
              <w:br/>
              <w:t>• Izobraževanje za trajnostno upravljanje (255 ljudi usposobljenih za upravljanje vodnih virov, 266 ljudi usposobljenih za pripravo poslovnih načrtov in 1450 družin naučenih boljših kmetijskih praks);</w:t>
            </w:r>
            <w:r w:rsidRPr="007944FA">
              <w:rPr>
                <w:rFonts w:ascii="Arial" w:hAnsi="Arial" w:cs="Arial"/>
                <w:sz w:val="18"/>
                <w:szCs w:val="18"/>
              </w:rPr>
              <w:br/>
              <w:t>• Ustanovljenih 58 skupin za varčevanje in kreditiranje;</w:t>
            </w:r>
            <w:r w:rsidRPr="007944FA">
              <w:rPr>
                <w:rFonts w:ascii="Arial" w:hAnsi="Arial" w:cs="Arial"/>
                <w:sz w:val="18"/>
                <w:szCs w:val="18"/>
              </w:rPr>
              <w:br/>
              <w:t>• Dva wi-fi strežnika za informacije o oskrbi z vodo so bila nastavljena.</w:t>
            </w:r>
          </w:p>
        </w:tc>
      </w:tr>
    </w:tbl>
    <w:p w14:paraId="7EF17D8F" w14:textId="77777777" w:rsidR="00C23A2A" w:rsidRPr="007944FA" w:rsidRDefault="00C23A2A" w:rsidP="00C23A2A">
      <w:pPr>
        <w:jc w:val="both"/>
        <w:rPr>
          <w:rFonts w:ascii="Arial" w:hAnsi="Arial" w:cs="Arial"/>
          <w:i/>
          <w:iCs/>
          <w:sz w:val="18"/>
          <w:szCs w:val="18"/>
        </w:rPr>
      </w:pPr>
    </w:p>
    <w:p w14:paraId="5BF226C8" w14:textId="063D7591" w:rsidR="00C23A2A" w:rsidRPr="007944FA" w:rsidRDefault="002F38E7" w:rsidP="002F38E7">
      <w:pPr>
        <w:pStyle w:val="nikatabelee"/>
        <w:rPr>
          <w:lang w:val="en-GB"/>
        </w:rPr>
      </w:pPr>
      <w:bookmarkStart w:id="217" w:name="_Toc193195410"/>
      <w:r w:rsidRPr="007944FA">
        <w:t>Preglednica 25</w:t>
      </w:r>
      <w:r w:rsidR="00C23A2A" w:rsidRPr="007944FA">
        <w:t>: Študija primera 2 – Trajnostno upravljanje vode in drugih virov za boljše zdravje in preživetje v Ruandi</w:t>
      </w:r>
      <w:bookmarkEnd w:id="217"/>
    </w:p>
    <w:p w14:paraId="7038CF18" w14:textId="33C3070C" w:rsidR="00C23A2A" w:rsidRPr="007944FA" w:rsidRDefault="00C23A2A" w:rsidP="00C23A2A">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Razvoj in prenos tehnologij sta prisotna tudi v dejavnostih večstranskih mednarodnih organizacij (na primer IBRD) in podnebnih skladov (kot sta GCF in GEF), ki jim Slovenija zagotavlja finančno podporo. Ti projekti vključujejo namestitev opreme za obnovljive vire energije, tehnologijo prilagoditve podnebnih sprememb (kot je poplavno odporna gradnja) ter inovativno kmetijsko tehnologijo in metode.</w:t>
      </w:r>
    </w:p>
    <w:p w14:paraId="4E6DB9DD" w14:textId="388CA1C0" w:rsidR="00C23A2A" w:rsidRPr="007944FA" w:rsidRDefault="00C23A2A" w:rsidP="00C23A2A">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rPr>
          <w:rFonts w:ascii="Arial" w:eastAsia="Times New Roman" w:hAnsi="Arial" w:cs="Arial"/>
          <w:b/>
          <w:bCs/>
          <w:sz w:val="20"/>
          <w:szCs w:val="20"/>
          <w:lang w:eastAsia="sl-SI"/>
        </w:rPr>
        <w:sectPr w:rsidR="00C23A2A" w:rsidRPr="007944FA" w:rsidSect="00C23A2A">
          <w:footerReference w:type="default" r:id="rId78"/>
          <w:pgSz w:w="11906" w:h="16838"/>
          <w:pgMar w:top="1417" w:right="1417" w:bottom="1417" w:left="1417" w:header="708" w:footer="708" w:gutter="0"/>
          <w:cols w:space="708"/>
          <w:docGrid w:linePitch="360"/>
        </w:sectPr>
      </w:pPr>
      <w:r w:rsidRPr="007944FA">
        <w:rPr>
          <w:rFonts w:ascii="Arial" w:eastAsia="Times New Roman" w:hAnsi="Arial" w:cs="Arial"/>
          <w:sz w:val="20"/>
          <w:szCs w:val="20"/>
          <w:lang w:eastAsia="sl-SI"/>
        </w:rPr>
        <w:t>127</w:t>
      </w:r>
      <w:r w:rsidRPr="007944FA">
        <w:rPr>
          <w:rFonts w:ascii="Arial" w:eastAsia="Times New Roman" w:hAnsi="Arial" w:cs="Arial"/>
          <w:bCs/>
          <w:sz w:val="20"/>
          <w:szCs w:val="20"/>
          <w:lang w:eastAsia="sl-SI"/>
        </w:rPr>
        <w:t xml:space="preserve">. </w:t>
      </w:r>
      <w:r w:rsidRPr="007944FA">
        <w:rPr>
          <w:rFonts w:ascii="Arial" w:eastAsia="Times New Roman" w:hAnsi="Arial" w:cs="Arial"/>
          <w:sz w:val="20"/>
          <w:szCs w:val="20"/>
          <w:lang w:eastAsia="sl-SI"/>
        </w:rPr>
        <w:t xml:space="preserve">Količinske in/ali kvalitativne informacije v skupnem </w:t>
      </w:r>
      <w:r w:rsidR="002019F5" w:rsidRPr="007944FA">
        <w:rPr>
          <w:rFonts w:ascii="Arial" w:eastAsia="Times New Roman" w:hAnsi="Arial" w:cs="Arial"/>
          <w:sz w:val="20"/>
          <w:szCs w:val="20"/>
          <w:lang w:eastAsia="sl-SI"/>
        </w:rPr>
        <w:t xml:space="preserve">pregledničnem </w:t>
      </w:r>
      <w:r w:rsidRPr="007944FA">
        <w:rPr>
          <w:rFonts w:ascii="Arial" w:eastAsia="Times New Roman" w:hAnsi="Arial" w:cs="Arial"/>
          <w:sz w:val="20"/>
          <w:szCs w:val="20"/>
          <w:lang w:eastAsia="sl-SI"/>
        </w:rPr>
        <w:t>formatu o ukrepih ali dejavnostih, povezanih s podporo za razvoj in prenos tehnologij, izvedenih ali načrtovanih od zadnjega poročila, vključno z naslednjimi, kjer je to mogoče in ustrezno:</w:t>
      </w:r>
      <w:r w:rsidRPr="007944FA">
        <w:rPr>
          <w:rFonts w:ascii="Arial" w:eastAsia="Times New Roman" w:hAnsi="Arial" w:cs="Arial"/>
          <w:sz w:val="20"/>
          <w:szCs w:val="20"/>
          <w:lang w:eastAsia="sl-SI"/>
        </w:rPr>
        <w:br/>
        <w:t>(a) naslov,</w:t>
      </w:r>
      <w:r w:rsidRPr="007944FA">
        <w:rPr>
          <w:rFonts w:ascii="Arial" w:eastAsia="Times New Roman" w:hAnsi="Arial" w:cs="Arial"/>
          <w:sz w:val="20"/>
          <w:szCs w:val="20"/>
          <w:lang w:eastAsia="sl-SI"/>
        </w:rPr>
        <w:br/>
        <w:t>(b) prejemniški subjekt,</w:t>
      </w:r>
      <w:r w:rsidRPr="007944FA">
        <w:rPr>
          <w:rFonts w:ascii="Arial" w:eastAsia="Times New Roman" w:hAnsi="Arial" w:cs="Arial"/>
          <w:sz w:val="20"/>
          <w:szCs w:val="20"/>
          <w:lang w:eastAsia="sl-SI"/>
        </w:rPr>
        <w:br/>
        <w:t>(c) opis in cilji,</w:t>
      </w:r>
      <w:r w:rsidRPr="007944FA">
        <w:rPr>
          <w:rFonts w:ascii="Arial" w:eastAsia="Times New Roman" w:hAnsi="Arial" w:cs="Arial"/>
          <w:sz w:val="20"/>
          <w:szCs w:val="20"/>
          <w:lang w:eastAsia="sl-SI"/>
        </w:rPr>
        <w:br/>
        <w:t>(d) vrsta podpore (omilitev, prilagoditev ali prečno delovanje),</w:t>
      </w:r>
      <w:r w:rsidRPr="007944FA">
        <w:rPr>
          <w:rFonts w:ascii="Arial" w:eastAsia="Times New Roman" w:hAnsi="Arial" w:cs="Arial"/>
          <w:sz w:val="20"/>
          <w:szCs w:val="20"/>
          <w:lang w:eastAsia="sl-SI"/>
        </w:rPr>
        <w:br/>
        <w:t>(e) sektor,</w:t>
      </w:r>
      <w:r w:rsidRPr="007944FA">
        <w:rPr>
          <w:rFonts w:ascii="Arial" w:eastAsia="Times New Roman" w:hAnsi="Arial" w:cs="Arial"/>
          <w:sz w:val="20"/>
          <w:szCs w:val="20"/>
          <w:lang w:eastAsia="sl-SI"/>
        </w:rPr>
        <w:br/>
        <w:t>(f) vrsta tehnologije,</w:t>
      </w:r>
      <w:r w:rsidRPr="007944FA">
        <w:rPr>
          <w:rFonts w:ascii="Arial" w:eastAsia="Times New Roman" w:hAnsi="Arial" w:cs="Arial"/>
          <w:sz w:val="20"/>
          <w:szCs w:val="20"/>
          <w:lang w:eastAsia="sl-SI"/>
        </w:rPr>
        <w:br/>
        <w:t>(g) status ukrepa ali dejavnosti,</w:t>
      </w:r>
      <w:r w:rsidRPr="007944FA">
        <w:rPr>
          <w:rFonts w:ascii="Arial" w:eastAsia="Times New Roman" w:hAnsi="Arial" w:cs="Arial"/>
          <w:sz w:val="20"/>
          <w:szCs w:val="20"/>
          <w:lang w:eastAsia="sl-SI"/>
        </w:rPr>
        <w:br/>
        <w:t>(h) ali je dejavnost izvedel javni in/ali zasebni sektor.</w:t>
      </w:r>
    </w:p>
    <w:p w14:paraId="62802DB9" w14:textId="2BA28A38" w:rsidR="00C23A2A" w:rsidRPr="007944FA" w:rsidRDefault="00C23A2A" w:rsidP="00C23A2A">
      <w:pPr>
        <w:spacing w:before="100" w:beforeAutospacing="1" w:after="100" w:afterAutospacing="1" w:line="240" w:lineRule="auto"/>
        <w:rPr>
          <w:rFonts w:ascii="Arial" w:hAnsi="Arial" w:cs="Arial"/>
          <w:b/>
          <w:bCs/>
          <w:sz w:val="18"/>
          <w:szCs w:val="18"/>
        </w:rPr>
      </w:pPr>
    </w:p>
    <w:tbl>
      <w:tblPr>
        <w:tblStyle w:val="Tabela-SLOG3"/>
        <w:tblW w:w="0" w:type="auto"/>
        <w:tblLook w:val="04A0" w:firstRow="1" w:lastRow="0" w:firstColumn="1" w:lastColumn="0" w:noHBand="0" w:noVBand="1"/>
      </w:tblPr>
      <w:tblGrid>
        <w:gridCol w:w="2972"/>
        <w:gridCol w:w="1411"/>
        <w:gridCol w:w="2524"/>
        <w:gridCol w:w="831"/>
        <w:gridCol w:w="1227"/>
        <w:gridCol w:w="2803"/>
        <w:gridCol w:w="927"/>
        <w:gridCol w:w="1145"/>
      </w:tblGrid>
      <w:tr w:rsidR="00C23A2A" w:rsidRPr="0093506F" w14:paraId="68BDC11A" w14:textId="77777777" w:rsidTr="006D46D8">
        <w:tc>
          <w:tcPr>
            <w:tcW w:w="2972" w:type="dxa"/>
          </w:tcPr>
          <w:p w14:paraId="6A66F54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Naslov</w:t>
            </w:r>
          </w:p>
        </w:tc>
        <w:tc>
          <w:tcPr>
            <w:tcW w:w="1411" w:type="dxa"/>
          </w:tcPr>
          <w:p w14:paraId="0ADBEA2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Prejemniški subjekt</w:t>
            </w:r>
          </w:p>
        </w:tc>
        <w:tc>
          <w:tcPr>
            <w:tcW w:w="2524" w:type="dxa"/>
          </w:tcPr>
          <w:p w14:paraId="31B19ED9"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Cilji projekta</w:t>
            </w:r>
          </w:p>
        </w:tc>
        <w:tc>
          <w:tcPr>
            <w:tcW w:w="831" w:type="dxa"/>
          </w:tcPr>
          <w:p w14:paraId="0627C0C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Vrsta 1</w:t>
            </w:r>
          </w:p>
        </w:tc>
        <w:tc>
          <w:tcPr>
            <w:tcW w:w="1220" w:type="dxa"/>
          </w:tcPr>
          <w:p w14:paraId="3E1B52E2"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Sektor</w:t>
            </w:r>
          </w:p>
        </w:tc>
        <w:tc>
          <w:tcPr>
            <w:tcW w:w="2803" w:type="dxa"/>
          </w:tcPr>
          <w:p w14:paraId="3947719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Vrsta tehnologije</w:t>
            </w:r>
          </w:p>
        </w:tc>
        <w:tc>
          <w:tcPr>
            <w:tcW w:w="236" w:type="dxa"/>
          </w:tcPr>
          <w:p w14:paraId="04DE286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Status</w:t>
            </w:r>
          </w:p>
        </w:tc>
        <w:tc>
          <w:tcPr>
            <w:tcW w:w="1145" w:type="dxa"/>
          </w:tcPr>
          <w:p w14:paraId="59C153EE"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Izvedena dejavnost</w:t>
            </w:r>
          </w:p>
        </w:tc>
      </w:tr>
      <w:tr w:rsidR="00C23A2A" w:rsidRPr="0093506F" w14:paraId="2E591F9F" w14:textId="77777777" w:rsidTr="006D46D8">
        <w:tc>
          <w:tcPr>
            <w:tcW w:w="2972" w:type="dxa"/>
          </w:tcPr>
          <w:p w14:paraId="52A5F50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Trajnostno upravljanje vode in drugih virov za boljše zdravje in preživetje v okrožju Karongi</w:t>
            </w:r>
          </w:p>
        </w:tc>
        <w:tc>
          <w:tcPr>
            <w:tcW w:w="1411" w:type="dxa"/>
          </w:tcPr>
          <w:p w14:paraId="43B5438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Ruanda</w:t>
            </w:r>
          </w:p>
        </w:tc>
        <w:tc>
          <w:tcPr>
            <w:tcW w:w="2524" w:type="dxa"/>
          </w:tcPr>
          <w:p w14:paraId="1BEBE71D"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Izboljšati dostop do vode in okoljskih virov ter njihovo trajnostno upravljanje; omogočiti 1450 ranljivim ljudem izboljšati njihovo življenje in zdravje</w:t>
            </w:r>
          </w:p>
        </w:tc>
        <w:tc>
          <w:tcPr>
            <w:tcW w:w="831" w:type="dxa"/>
          </w:tcPr>
          <w:p w14:paraId="440DF3F0" w14:textId="185E5272"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h</w:t>
            </w:r>
          </w:p>
        </w:tc>
        <w:tc>
          <w:tcPr>
            <w:tcW w:w="1220" w:type="dxa"/>
          </w:tcPr>
          <w:p w14:paraId="66542510"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451EBFB6"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Infrastruktura za oskrbo z vodo, sistem za spremljanje oskrbe z vodo, wi-fi strežniki za dostop do informacij in analizo</w:t>
            </w:r>
          </w:p>
        </w:tc>
        <w:tc>
          <w:tcPr>
            <w:tcW w:w="236" w:type="dxa"/>
          </w:tcPr>
          <w:p w14:paraId="47AD8E5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683AAF0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33FFE7FD" w14:textId="77777777" w:rsidTr="006D46D8">
        <w:tc>
          <w:tcPr>
            <w:tcW w:w="2972" w:type="dxa"/>
          </w:tcPr>
          <w:p w14:paraId="2C1ED135"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Obnova hidrosistema Zletovica</w:t>
            </w:r>
          </w:p>
        </w:tc>
        <w:tc>
          <w:tcPr>
            <w:tcW w:w="1411" w:type="dxa"/>
          </w:tcPr>
          <w:p w14:paraId="354CABCE"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Severna Makedonija</w:t>
            </w:r>
          </w:p>
        </w:tc>
        <w:tc>
          <w:tcPr>
            <w:tcW w:w="2524" w:type="dxa"/>
          </w:tcPr>
          <w:p w14:paraId="5967D799"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Zagotoviti neprekinjeno oskrbo s kakovostno pitno vodo za prebivalce občin</w:t>
            </w:r>
          </w:p>
        </w:tc>
        <w:tc>
          <w:tcPr>
            <w:tcW w:w="831" w:type="dxa"/>
          </w:tcPr>
          <w:p w14:paraId="7FC6F9A5" w14:textId="6232AFF3"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h</w:t>
            </w:r>
          </w:p>
        </w:tc>
        <w:tc>
          <w:tcPr>
            <w:tcW w:w="1220" w:type="dxa"/>
          </w:tcPr>
          <w:p w14:paraId="0F6432D2"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11FE49C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Elektronska in hidromehanska oprema za hidrosistem</w:t>
            </w:r>
          </w:p>
        </w:tc>
        <w:tc>
          <w:tcPr>
            <w:tcW w:w="236" w:type="dxa"/>
          </w:tcPr>
          <w:p w14:paraId="6361269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2111694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sektor</w:t>
            </w:r>
          </w:p>
        </w:tc>
      </w:tr>
      <w:tr w:rsidR="00C23A2A" w:rsidRPr="0093506F" w14:paraId="05DEC9D8" w14:textId="77777777" w:rsidTr="006D46D8">
        <w:tc>
          <w:tcPr>
            <w:tcW w:w="2972" w:type="dxa"/>
          </w:tcPr>
          <w:p w14:paraId="7B7394A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Ganga – satelitske slike in modeliranje poplav reke</w:t>
            </w:r>
          </w:p>
        </w:tc>
        <w:tc>
          <w:tcPr>
            <w:tcW w:w="1411" w:type="dxa"/>
          </w:tcPr>
          <w:p w14:paraId="1C1B7A6E"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Indija, Indijski tehnološki inštitut Kanpur</w:t>
            </w:r>
          </w:p>
        </w:tc>
        <w:tc>
          <w:tcPr>
            <w:tcW w:w="2524" w:type="dxa"/>
          </w:tcPr>
          <w:p w14:paraId="65348FD2"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Kartiranje poplavno ogroženih območij za boljše upravljanje poplav</w:t>
            </w:r>
          </w:p>
        </w:tc>
        <w:tc>
          <w:tcPr>
            <w:tcW w:w="831" w:type="dxa"/>
          </w:tcPr>
          <w:p w14:paraId="2C7E5E88" w14:textId="3C4A9D7E"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h</w:t>
            </w:r>
          </w:p>
        </w:tc>
        <w:tc>
          <w:tcPr>
            <w:tcW w:w="1220" w:type="dxa"/>
          </w:tcPr>
          <w:p w14:paraId="06FD48D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3DDF69B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Model poplav in aplikacija za 3D vizualizacijo</w:t>
            </w:r>
          </w:p>
        </w:tc>
        <w:tc>
          <w:tcPr>
            <w:tcW w:w="236" w:type="dxa"/>
          </w:tcPr>
          <w:p w14:paraId="3EE791F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54D837BA"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46CC33FD" w14:textId="77777777" w:rsidTr="006D46D8">
        <w:tc>
          <w:tcPr>
            <w:tcW w:w="2972" w:type="dxa"/>
          </w:tcPr>
          <w:p w14:paraId="4EF20CD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Obnova in posodobitev čistilne naprave v Žitomirju</w:t>
            </w:r>
          </w:p>
        </w:tc>
        <w:tc>
          <w:tcPr>
            <w:tcW w:w="1411" w:type="dxa"/>
          </w:tcPr>
          <w:p w14:paraId="36E3050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Ukrajina</w:t>
            </w:r>
          </w:p>
        </w:tc>
        <w:tc>
          <w:tcPr>
            <w:tcW w:w="2524" w:type="dxa"/>
          </w:tcPr>
          <w:p w14:paraId="3E4563A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Zagotoviti sodobne objekte za obdelavo vseh odpadnih voda v skladu z nacionalnimi zakonodajnimi zahtevami in Direktivo 91/271/ EEC</w:t>
            </w:r>
          </w:p>
        </w:tc>
        <w:tc>
          <w:tcPr>
            <w:tcW w:w="831" w:type="dxa"/>
          </w:tcPr>
          <w:p w14:paraId="070C72F5" w14:textId="57EE5361"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h</w:t>
            </w:r>
          </w:p>
        </w:tc>
        <w:tc>
          <w:tcPr>
            <w:tcW w:w="1220" w:type="dxa"/>
          </w:tcPr>
          <w:p w14:paraId="03A2D575"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18E3A2AD"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Samodejni nadzorni sistem, črpalna postaja</w:t>
            </w:r>
          </w:p>
        </w:tc>
        <w:tc>
          <w:tcPr>
            <w:tcW w:w="236" w:type="dxa"/>
          </w:tcPr>
          <w:p w14:paraId="6FE49106" w14:textId="391C2731" w:rsidR="00C23A2A" w:rsidRPr="007944FA" w:rsidRDefault="00465193"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2E9C8CA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06C605B3" w14:textId="77777777" w:rsidTr="006D46D8">
        <w:tc>
          <w:tcPr>
            <w:tcW w:w="2972" w:type="dxa"/>
          </w:tcPr>
          <w:p w14:paraId="22F3448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Obnova javne razsvetljave v občini Gradiška</w:t>
            </w:r>
          </w:p>
        </w:tc>
        <w:tc>
          <w:tcPr>
            <w:tcW w:w="1411" w:type="dxa"/>
          </w:tcPr>
          <w:p w14:paraId="6998E42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Bosna in Hercegovina</w:t>
            </w:r>
          </w:p>
        </w:tc>
        <w:tc>
          <w:tcPr>
            <w:tcW w:w="2524" w:type="dxa"/>
          </w:tcPr>
          <w:p w14:paraId="2975A8B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Posodobiti javno razsvetljavo, zmanjšati porabo električne energije in svetlobno onesnaževanje ter povečati varnost v prometu</w:t>
            </w:r>
          </w:p>
        </w:tc>
        <w:tc>
          <w:tcPr>
            <w:tcW w:w="831" w:type="dxa"/>
          </w:tcPr>
          <w:p w14:paraId="21D5B086" w14:textId="5FF29B34"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b</w:t>
            </w:r>
          </w:p>
        </w:tc>
        <w:tc>
          <w:tcPr>
            <w:tcW w:w="1220" w:type="dxa"/>
          </w:tcPr>
          <w:p w14:paraId="1DE1C1D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Energija</w:t>
            </w:r>
          </w:p>
        </w:tc>
        <w:tc>
          <w:tcPr>
            <w:tcW w:w="2803" w:type="dxa"/>
          </w:tcPr>
          <w:p w14:paraId="78D5778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LED žarnice</w:t>
            </w:r>
          </w:p>
        </w:tc>
        <w:tc>
          <w:tcPr>
            <w:tcW w:w="236" w:type="dxa"/>
          </w:tcPr>
          <w:p w14:paraId="3057082D"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15E17EB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sektor</w:t>
            </w:r>
          </w:p>
        </w:tc>
      </w:tr>
      <w:tr w:rsidR="00C23A2A" w:rsidRPr="0093506F" w14:paraId="3F4B7A8D" w14:textId="77777777" w:rsidTr="006D46D8">
        <w:tc>
          <w:tcPr>
            <w:tcW w:w="2972" w:type="dxa"/>
          </w:tcPr>
          <w:p w14:paraId="75D55CBF"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Javna razsvetljava v Vrnjački Banji</w:t>
            </w:r>
          </w:p>
        </w:tc>
        <w:tc>
          <w:tcPr>
            <w:tcW w:w="1411" w:type="dxa"/>
          </w:tcPr>
          <w:p w14:paraId="1553F87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Srbija</w:t>
            </w:r>
          </w:p>
        </w:tc>
        <w:tc>
          <w:tcPr>
            <w:tcW w:w="2524" w:type="dxa"/>
          </w:tcPr>
          <w:p w14:paraId="5170728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Posodobiti javno razsvetljavo, zmanjšati porabo električne energije in svetlobno onesnaževanje ter povečati varnost v prometu</w:t>
            </w:r>
          </w:p>
        </w:tc>
        <w:tc>
          <w:tcPr>
            <w:tcW w:w="831" w:type="dxa"/>
          </w:tcPr>
          <w:p w14:paraId="61E5A750" w14:textId="5D63A00C"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b</w:t>
            </w:r>
          </w:p>
        </w:tc>
        <w:tc>
          <w:tcPr>
            <w:tcW w:w="1220" w:type="dxa"/>
          </w:tcPr>
          <w:p w14:paraId="425089D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Energija</w:t>
            </w:r>
          </w:p>
        </w:tc>
        <w:tc>
          <w:tcPr>
            <w:tcW w:w="2803" w:type="dxa"/>
          </w:tcPr>
          <w:p w14:paraId="26C4FEE2"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LED žarnice</w:t>
            </w:r>
          </w:p>
        </w:tc>
        <w:tc>
          <w:tcPr>
            <w:tcW w:w="236" w:type="dxa"/>
          </w:tcPr>
          <w:p w14:paraId="6E72EEA7" w14:textId="0B655184" w:rsidR="00C23A2A" w:rsidRPr="007944FA" w:rsidRDefault="006112FC" w:rsidP="00C23A2A">
            <w:pPr>
              <w:jc w:val="both"/>
              <w:rPr>
                <w:rFonts w:ascii="Arial" w:hAnsi="Arial" w:cs="Arial"/>
                <w:sz w:val="18"/>
                <w:szCs w:val="18"/>
                <w:lang w:val="en-GB"/>
              </w:rPr>
            </w:pPr>
            <w:r w:rsidRPr="007944FA">
              <w:rPr>
                <w:rFonts w:ascii="Arial" w:hAnsi="Arial" w:cs="Arial"/>
                <w:sz w:val="18"/>
                <w:szCs w:val="18"/>
              </w:rPr>
              <w:t>V teku</w:t>
            </w:r>
          </w:p>
        </w:tc>
        <w:tc>
          <w:tcPr>
            <w:tcW w:w="1145" w:type="dxa"/>
          </w:tcPr>
          <w:p w14:paraId="4A3A729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sektor</w:t>
            </w:r>
          </w:p>
        </w:tc>
      </w:tr>
      <w:tr w:rsidR="00C23A2A" w:rsidRPr="0093506F" w14:paraId="2DCD267D" w14:textId="77777777" w:rsidTr="006D46D8">
        <w:tc>
          <w:tcPr>
            <w:tcW w:w="2972" w:type="dxa"/>
          </w:tcPr>
          <w:p w14:paraId="4DA94FAF"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higiena, hrana za dostojno življenje v Darfurju</w:t>
            </w:r>
          </w:p>
        </w:tc>
        <w:tc>
          <w:tcPr>
            <w:tcW w:w="1411" w:type="dxa"/>
          </w:tcPr>
          <w:p w14:paraId="7362CBF5"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Sudan</w:t>
            </w:r>
          </w:p>
        </w:tc>
        <w:tc>
          <w:tcPr>
            <w:tcW w:w="2524" w:type="dxa"/>
          </w:tcPr>
          <w:p w14:paraId="3037589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Zagotoviti dostop do pitne vode, sanitarnih storitev, znanja, irigacijske vode in semen za kmetijstvo</w:t>
            </w:r>
          </w:p>
        </w:tc>
        <w:tc>
          <w:tcPr>
            <w:tcW w:w="831" w:type="dxa"/>
          </w:tcPr>
          <w:p w14:paraId="564F3402" w14:textId="165171CC"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p</w:t>
            </w:r>
          </w:p>
        </w:tc>
        <w:tc>
          <w:tcPr>
            <w:tcW w:w="1220" w:type="dxa"/>
          </w:tcPr>
          <w:p w14:paraId="378B1AAD"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6E8B328A"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Irigacijski sistem s solarnim napajanjem</w:t>
            </w:r>
          </w:p>
        </w:tc>
        <w:tc>
          <w:tcPr>
            <w:tcW w:w="236" w:type="dxa"/>
          </w:tcPr>
          <w:p w14:paraId="6D1ED436"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52C0140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sektor</w:t>
            </w:r>
          </w:p>
        </w:tc>
      </w:tr>
      <w:tr w:rsidR="00C23A2A" w:rsidRPr="0093506F" w14:paraId="6FCFF791" w14:textId="77777777" w:rsidTr="006D46D8">
        <w:tc>
          <w:tcPr>
            <w:tcW w:w="2972" w:type="dxa"/>
          </w:tcPr>
          <w:p w14:paraId="324A4A00"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Razvoj vključujoče in trajnostne svetovne dobavne verige za predelavo paradižnika</w:t>
            </w:r>
          </w:p>
        </w:tc>
        <w:tc>
          <w:tcPr>
            <w:tcW w:w="1411" w:type="dxa"/>
          </w:tcPr>
          <w:p w14:paraId="6705AB8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Egipt</w:t>
            </w:r>
          </w:p>
        </w:tc>
        <w:tc>
          <w:tcPr>
            <w:tcW w:w="2524" w:type="dxa"/>
          </w:tcPr>
          <w:p w14:paraId="5F9154F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Izboljšati kakovost in varnost hrane v dobavni verigi in uvajati nove izdelke, nove proizvodne tehnike</w:t>
            </w:r>
          </w:p>
        </w:tc>
        <w:tc>
          <w:tcPr>
            <w:tcW w:w="831" w:type="dxa"/>
          </w:tcPr>
          <w:p w14:paraId="65759784" w14:textId="19B4FBA5"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p</w:t>
            </w:r>
          </w:p>
        </w:tc>
        <w:tc>
          <w:tcPr>
            <w:tcW w:w="1220" w:type="dxa"/>
          </w:tcPr>
          <w:p w14:paraId="6B42929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Industrija</w:t>
            </w:r>
          </w:p>
        </w:tc>
        <w:tc>
          <w:tcPr>
            <w:tcW w:w="2803" w:type="dxa"/>
          </w:tcPr>
          <w:p w14:paraId="73FEC3C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Sistem za spremljanje rastlinjakov</w:t>
            </w:r>
          </w:p>
        </w:tc>
        <w:tc>
          <w:tcPr>
            <w:tcW w:w="236" w:type="dxa"/>
          </w:tcPr>
          <w:p w14:paraId="0FA9C586"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7F0B4E8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5240224C" w14:textId="77777777" w:rsidTr="006D46D8">
        <w:tc>
          <w:tcPr>
            <w:tcW w:w="2972" w:type="dxa"/>
          </w:tcPr>
          <w:p w14:paraId="185958CF"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lastRenderedPageBreak/>
              <w:t>Prostovoljni prispevek za decentralizirane sisteme za obvladovanje odpadnih voda</w:t>
            </w:r>
          </w:p>
        </w:tc>
        <w:tc>
          <w:tcPr>
            <w:tcW w:w="1411" w:type="dxa"/>
          </w:tcPr>
          <w:p w14:paraId="36B0BCAA"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Razvijajoče se države, natančno ni določeno</w:t>
            </w:r>
          </w:p>
        </w:tc>
        <w:tc>
          <w:tcPr>
            <w:tcW w:w="2524" w:type="dxa"/>
          </w:tcPr>
          <w:p w14:paraId="354299D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Izboljšati obvladovanje odpadnih voda</w:t>
            </w:r>
          </w:p>
        </w:tc>
        <w:tc>
          <w:tcPr>
            <w:tcW w:w="831" w:type="dxa"/>
          </w:tcPr>
          <w:p w14:paraId="57142C36" w14:textId="118A9E0D"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p</w:t>
            </w:r>
          </w:p>
        </w:tc>
        <w:tc>
          <w:tcPr>
            <w:tcW w:w="1220" w:type="dxa"/>
          </w:tcPr>
          <w:p w14:paraId="3BF0F76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2650C1FA"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Decentralizirani sistemi za obdelavo odpadnih voda</w:t>
            </w:r>
          </w:p>
        </w:tc>
        <w:tc>
          <w:tcPr>
            <w:tcW w:w="236" w:type="dxa"/>
          </w:tcPr>
          <w:p w14:paraId="032E6233" w14:textId="7186B4B5" w:rsidR="00C23A2A" w:rsidRPr="007944FA" w:rsidRDefault="006112FC" w:rsidP="00C23A2A">
            <w:pPr>
              <w:jc w:val="both"/>
              <w:rPr>
                <w:rFonts w:ascii="Arial" w:hAnsi="Arial" w:cs="Arial"/>
                <w:sz w:val="18"/>
                <w:szCs w:val="18"/>
                <w:lang w:val="en-GB"/>
              </w:rPr>
            </w:pPr>
            <w:r w:rsidRPr="007944FA">
              <w:rPr>
                <w:rFonts w:ascii="Arial" w:hAnsi="Arial" w:cs="Arial"/>
                <w:sz w:val="18"/>
                <w:szCs w:val="18"/>
              </w:rPr>
              <w:t>V teku</w:t>
            </w:r>
          </w:p>
        </w:tc>
        <w:tc>
          <w:tcPr>
            <w:tcW w:w="1145" w:type="dxa"/>
          </w:tcPr>
          <w:p w14:paraId="2579F1D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6EA232A2" w14:textId="77777777" w:rsidTr="006D46D8">
        <w:tc>
          <w:tcPr>
            <w:tcW w:w="2972" w:type="dxa"/>
          </w:tcPr>
          <w:p w14:paraId="01708FE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Razvoj ženskega podjetništva v kmetijstvu v jugovzhodni Srbiji</w:t>
            </w:r>
          </w:p>
        </w:tc>
        <w:tc>
          <w:tcPr>
            <w:tcW w:w="1411" w:type="dxa"/>
          </w:tcPr>
          <w:p w14:paraId="564C9583"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Srbija</w:t>
            </w:r>
          </w:p>
        </w:tc>
        <w:tc>
          <w:tcPr>
            <w:tcW w:w="2524" w:type="dxa"/>
          </w:tcPr>
          <w:p w14:paraId="53109636"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Razviti podjetništvo žensk v kmetijstvu na podeželju</w:t>
            </w:r>
          </w:p>
        </w:tc>
        <w:tc>
          <w:tcPr>
            <w:tcW w:w="831" w:type="dxa"/>
          </w:tcPr>
          <w:p w14:paraId="3E5F6FD5" w14:textId="19C412CC" w:rsidR="00263D80" w:rsidRPr="007944FA" w:rsidRDefault="00263D80" w:rsidP="00C23A2A">
            <w:pPr>
              <w:jc w:val="both"/>
              <w:rPr>
                <w:rFonts w:ascii="Arial" w:hAnsi="Arial" w:cs="Arial"/>
                <w:sz w:val="18"/>
                <w:szCs w:val="18"/>
              </w:rPr>
            </w:pPr>
            <w:r w:rsidRPr="007944FA">
              <w:rPr>
                <w:rFonts w:ascii="Arial" w:hAnsi="Arial" w:cs="Arial"/>
                <w:sz w:val="18"/>
                <w:szCs w:val="18"/>
              </w:rPr>
              <w:t>h</w:t>
            </w:r>
          </w:p>
        </w:tc>
        <w:tc>
          <w:tcPr>
            <w:tcW w:w="1220" w:type="dxa"/>
          </w:tcPr>
          <w:p w14:paraId="6E520C8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Kmetijstvo</w:t>
            </w:r>
          </w:p>
        </w:tc>
        <w:tc>
          <w:tcPr>
            <w:tcW w:w="2803" w:type="dxa"/>
          </w:tcPr>
          <w:p w14:paraId="5CB78230"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Stroj za predelavo domače hrane</w:t>
            </w:r>
          </w:p>
        </w:tc>
        <w:tc>
          <w:tcPr>
            <w:tcW w:w="236" w:type="dxa"/>
          </w:tcPr>
          <w:p w14:paraId="070A620E"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346054CE"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647EA571" w14:textId="77777777" w:rsidTr="006D46D8">
        <w:tc>
          <w:tcPr>
            <w:tcW w:w="2972" w:type="dxa"/>
          </w:tcPr>
          <w:p w14:paraId="5F7D5BD9"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Obnova tovarne fenola na območju industrijske cone Lukavac</w:t>
            </w:r>
          </w:p>
        </w:tc>
        <w:tc>
          <w:tcPr>
            <w:tcW w:w="1411" w:type="dxa"/>
          </w:tcPr>
          <w:p w14:paraId="67397C5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Bosna in Hercegovina</w:t>
            </w:r>
          </w:p>
        </w:tc>
        <w:tc>
          <w:tcPr>
            <w:tcW w:w="2524" w:type="dxa"/>
          </w:tcPr>
          <w:p w14:paraId="236497CF"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Sanacija onesnaženega industrijskega območja za zmanjšanje onesnaženja vode in tal ter izboljšanje zdravja ljudi</w:t>
            </w:r>
          </w:p>
        </w:tc>
        <w:tc>
          <w:tcPr>
            <w:tcW w:w="831" w:type="dxa"/>
          </w:tcPr>
          <w:p w14:paraId="6520B77D" w14:textId="533DFDAB"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h</w:t>
            </w:r>
          </w:p>
        </w:tc>
        <w:tc>
          <w:tcPr>
            <w:tcW w:w="1220" w:type="dxa"/>
          </w:tcPr>
          <w:p w14:paraId="332C27B4"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Horizontalno</w:t>
            </w:r>
          </w:p>
        </w:tc>
        <w:tc>
          <w:tcPr>
            <w:tcW w:w="2803" w:type="dxa"/>
          </w:tcPr>
          <w:p w14:paraId="3FFBF07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Sodobna tehnologija za sanacijo</w:t>
            </w:r>
          </w:p>
        </w:tc>
        <w:tc>
          <w:tcPr>
            <w:tcW w:w="236" w:type="dxa"/>
          </w:tcPr>
          <w:p w14:paraId="3F4406E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2FC99C51"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2FE5FA4D" w14:textId="77777777" w:rsidTr="006D46D8">
        <w:tc>
          <w:tcPr>
            <w:tcW w:w="2972" w:type="dxa"/>
          </w:tcPr>
          <w:p w14:paraId="699DCDF8"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Pretvorba deževnice v pitno vodo</w:t>
            </w:r>
          </w:p>
        </w:tc>
        <w:tc>
          <w:tcPr>
            <w:tcW w:w="1411" w:type="dxa"/>
          </w:tcPr>
          <w:p w14:paraId="65F38ED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Komori</w:t>
            </w:r>
          </w:p>
        </w:tc>
        <w:tc>
          <w:tcPr>
            <w:tcW w:w="2524" w:type="dxa"/>
          </w:tcPr>
          <w:p w14:paraId="4BBBAF96"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Razviti odpornost proti podnebnim spremembam in dostop do osnovnih socialnih potrebščin, zlasti samozadostnost pri vodi in hrani</w:t>
            </w:r>
          </w:p>
        </w:tc>
        <w:tc>
          <w:tcPr>
            <w:tcW w:w="831" w:type="dxa"/>
          </w:tcPr>
          <w:p w14:paraId="7A4BF364" w14:textId="361202B9"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p</w:t>
            </w:r>
          </w:p>
        </w:tc>
        <w:tc>
          <w:tcPr>
            <w:tcW w:w="1220" w:type="dxa"/>
          </w:tcPr>
          <w:p w14:paraId="4EC544B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00EA881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Sistem za zbiranje deževnice</w:t>
            </w:r>
          </w:p>
        </w:tc>
        <w:tc>
          <w:tcPr>
            <w:tcW w:w="236" w:type="dxa"/>
          </w:tcPr>
          <w:p w14:paraId="407378C7"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28ED3A65"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in zasebni sektor</w:t>
            </w:r>
          </w:p>
        </w:tc>
      </w:tr>
      <w:tr w:rsidR="00C23A2A" w:rsidRPr="0093506F" w14:paraId="36E70A89" w14:textId="77777777" w:rsidTr="006D46D8">
        <w:tc>
          <w:tcPr>
            <w:tcW w:w="2972" w:type="dxa"/>
          </w:tcPr>
          <w:p w14:paraId="24C02C00"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Obnova in nadgradnja čistilne naprave za pitno vodo v občini Nevesinje</w:t>
            </w:r>
          </w:p>
        </w:tc>
        <w:tc>
          <w:tcPr>
            <w:tcW w:w="1411" w:type="dxa"/>
          </w:tcPr>
          <w:p w14:paraId="7B64AF2C"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Bosna in Hercegovina</w:t>
            </w:r>
          </w:p>
        </w:tc>
        <w:tc>
          <w:tcPr>
            <w:tcW w:w="2524" w:type="dxa"/>
          </w:tcPr>
          <w:p w14:paraId="60A12D82"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Zagotoviti zadostno količino pitne vode ustrezne kakovosti</w:t>
            </w:r>
          </w:p>
        </w:tc>
        <w:tc>
          <w:tcPr>
            <w:tcW w:w="831" w:type="dxa"/>
          </w:tcPr>
          <w:p w14:paraId="225BBE41" w14:textId="3CC590D3" w:rsidR="00C23A2A" w:rsidRPr="007944FA" w:rsidRDefault="00263D80" w:rsidP="00C23A2A">
            <w:pPr>
              <w:jc w:val="both"/>
              <w:rPr>
                <w:rFonts w:ascii="Arial" w:hAnsi="Arial" w:cs="Arial"/>
                <w:sz w:val="18"/>
                <w:szCs w:val="18"/>
                <w:lang w:val="en-GB"/>
              </w:rPr>
            </w:pPr>
            <w:r w:rsidRPr="007944FA">
              <w:rPr>
                <w:rFonts w:ascii="Arial" w:hAnsi="Arial" w:cs="Arial"/>
                <w:sz w:val="18"/>
                <w:szCs w:val="18"/>
                <w:lang w:val="en-GB"/>
              </w:rPr>
              <w:t>p</w:t>
            </w:r>
          </w:p>
        </w:tc>
        <w:tc>
          <w:tcPr>
            <w:tcW w:w="1220" w:type="dxa"/>
          </w:tcPr>
          <w:p w14:paraId="349E77EA"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Voda in sanitarne storitve</w:t>
            </w:r>
          </w:p>
        </w:tc>
        <w:tc>
          <w:tcPr>
            <w:tcW w:w="2803" w:type="dxa"/>
          </w:tcPr>
          <w:p w14:paraId="3E6B1D9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Nadgradnja čistilne naprave za pitno vodo</w:t>
            </w:r>
          </w:p>
        </w:tc>
        <w:tc>
          <w:tcPr>
            <w:tcW w:w="236" w:type="dxa"/>
          </w:tcPr>
          <w:p w14:paraId="2E5B95BB"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Končano</w:t>
            </w:r>
          </w:p>
        </w:tc>
        <w:tc>
          <w:tcPr>
            <w:tcW w:w="1145" w:type="dxa"/>
          </w:tcPr>
          <w:p w14:paraId="0A8BF949" w14:textId="77777777" w:rsidR="00C23A2A" w:rsidRPr="007944FA" w:rsidRDefault="00C23A2A" w:rsidP="00C23A2A">
            <w:pPr>
              <w:jc w:val="both"/>
              <w:rPr>
                <w:rFonts w:ascii="Arial" w:hAnsi="Arial" w:cs="Arial"/>
                <w:sz w:val="18"/>
                <w:szCs w:val="18"/>
                <w:lang w:val="en-GB"/>
              </w:rPr>
            </w:pPr>
            <w:r w:rsidRPr="007944FA">
              <w:rPr>
                <w:rFonts w:ascii="Arial" w:hAnsi="Arial" w:cs="Arial"/>
                <w:sz w:val="18"/>
                <w:szCs w:val="18"/>
              </w:rPr>
              <w:t>Javni sektor</w:t>
            </w:r>
          </w:p>
        </w:tc>
      </w:tr>
    </w:tbl>
    <w:p w14:paraId="588BF944" w14:textId="77777777" w:rsidR="00C23A2A" w:rsidRPr="007944FA" w:rsidRDefault="00C23A2A" w:rsidP="00C23A2A">
      <w:pPr>
        <w:jc w:val="both"/>
        <w:rPr>
          <w:rFonts w:ascii="Times New Roman" w:hAnsi="Times New Roman" w:cs="Times New Roman"/>
          <w:lang w:val="en-GB"/>
        </w:rPr>
      </w:pPr>
    </w:p>
    <w:p w14:paraId="140382CC" w14:textId="10FF8ADD" w:rsidR="00C23A2A" w:rsidRPr="007944FA" w:rsidRDefault="002F38E7" w:rsidP="002F38E7">
      <w:pPr>
        <w:pStyle w:val="nikatabelee"/>
      </w:pPr>
      <w:bookmarkStart w:id="218" w:name="_Toc193195411"/>
      <w:r w:rsidRPr="007944FA">
        <w:t>Preglednica 26</w:t>
      </w:r>
      <w:r w:rsidR="00C23A2A" w:rsidRPr="007944FA">
        <w:t>: Ukrepi in dejavnosti, povezani s podporo za razvoj in prenos tehnologij, 2021–2022</w:t>
      </w:r>
      <w:bookmarkEnd w:id="218"/>
    </w:p>
    <w:p w14:paraId="05DC7973" w14:textId="17BEEED2" w:rsidR="00C23A2A" w:rsidRPr="007944FA" w:rsidRDefault="00C23A2A" w:rsidP="00C23A2A">
      <w:pPr>
        <w:jc w:val="both"/>
        <w:rPr>
          <w:rFonts w:ascii="Arial" w:hAnsi="Arial" w:cs="Arial"/>
          <w:i/>
          <w:iCs/>
          <w:sz w:val="20"/>
          <w:szCs w:val="20"/>
        </w:rPr>
        <w:sectPr w:rsidR="00C23A2A" w:rsidRPr="007944FA" w:rsidSect="00C23A2A">
          <w:pgSz w:w="16838" w:h="11906" w:orient="landscape"/>
          <w:pgMar w:top="1417" w:right="1417" w:bottom="1417" w:left="1417" w:header="708" w:footer="708" w:gutter="0"/>
          <w:cols w:space="708"/>
          <w:docGrid w:linePitch="360"/>
        </w:sectPr>
      </w:pPr>
      <w:r w:rsidRPr="007944FA">
        <w:rPr>
          <w:rFonts w:ascii="Arial" w:hAnsi="Arial" w:cs="Arial"/>
          <w:i/>
          <w:iCs/>
          <w:sz w:val="20"/>
          <w:szCs w:val="20"/>
        </w:rPr>
        <w:t xml:space="preserve">1 Vrsta: </w:t>
      </w:r>
      <w:r w:rsidR="00263D80" w:rsidRPr="007944FA">
        <w:rPr>
          <w:rFonts w:ascii="Arial" w:hAnsi="Arial" w:cs="Arial"/>
          <w:i/>
          <w:iCs/>
          <w:sz w:val="20"/>
          <w:szCs w:val="20"/>
        </w:rPr>
        <w:t>h</w:t>
      </w:r>
      <w:r w:rsidRPr="007944FA">
        <w:rPr>
          <w:rFonts w:ascii="Arial" w:hAnsi="Arial" w:cs="Arial"/>
          <w:i/>
          <w:iCs/>
          <w:sz w:val="20"/>
          <w:szCs w:val="20"/>
        </w:rPr>
        <w:t xml:space="preserve"> = horizontalno,  </w:t>
      </w:r>
      <w:r w:rsidR="00263D80" w:rsidRPr="007944FA">
        <w:rPr>
          <w:rFonts w:ascii="Arial" w:hAnsi="Arial" w:cs="Arial"/>
          <w:i/>
          <w:iCs/>
          <w:sz w:val="20"/>
          <w:szCs w:val="20"/>
        </w:rPr>
        <w:t>b</w:t>
      </w:r>
      <w:r w:rsidRPr="007944FA">
        <w:rPr>
          <w:rFonts w:ascii="Arial" w:hAnsi="Arial" w:cs="Arial"/>
          <w:i/>
          <w:iCs/>
          <w:sz w:val="20"/>
          <w:szCs w:val="20"/>
        </w:rPr>
        <w:t xml:space="preserve"> = blaženje,  </w:t>
      </w:r>
      <w:r w:rsidR="00263D80" w:rsidRPr="007944FA">
        <w:rPr>
          <w:rFonts w:ascii="Arial" w:hAnsi="Arial" w:cs="Arial"/>
          <w:i/>
          <w:iCs/>
          <w:sz w:val="20"/>
          <w:szCs w:val="20"/>
        </w:rPr>
        <w:t>p</w:t>
      </w:r>
      <w:r w:rsidRPr="007944FA">
        <w:rPr>
          <w:rFonts w:ascii="Arial" w:hAnsi="Arial" w:cs="Arial"/>
          <w:i/>
          <w:iCs/>
          <w:sz w:val="20"/>
          <w:szCs w:val="20"/>
        </w:rPr>
        <w:t xml:space="preserve"> = prilagajanje</w:t>
      </w:r>
    </w:p>
    <w:p w14:paraId="0B2D0BAB" w14:textId="77777777" w:rsidR="00C23A2A" w:rsidRPr="007944FA" w:rsidRDefault="00C23A2A" w:rsidP="00C23A2A"/>
    <w:p w14:paraId="20C9A68F" w14:textId="1CF02E1A" w:rsidR="00FB4DC5" w:rsidRPr="007944FA" w:rsidRDefault="00FB4DC5" w:rsidP="00FB4DC5">
      <w:pPr>
        <w:pStyle w:val="Heading2"/>
      </w:pPr>
      <w:bookmarkStart w:id="219" w:name="_Toc196300852"/>
      <w:r w:rsidRPr="007944FA">
        <w:t>IV.E. Informacije o podpori za krepitev zmogljivosti, zagotovljeni v skladu s 11. členom Pariškega sporazuma</w:t>
      </w:r>
      <w:bookmarkEnd w:id="219"/>
    </w:p>
    <w:p w14:paraId="7138295C" w14:textId="77777777" w:rsidR="001A3E16" w:rsidRPr="007944FA" w:rsidRDefault="001A3E16" w:rsidP="001A3E16">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rPr>
          <w:rFonts w:ascii="Arial" w:eastAsia="Times New Roman" w:hAnsi="Arial" w:cs="Arial"/>
          <w:sz w:val="20"/>
          <w:szCs w:val="20"/>
          <w:lang w:eastAsia="sl-SI"/>
        </w:rPr>
      </w:pPr>
      <w:r w:rsidRPr="007944FA">
        <w:rPr>
          <w:rFonts w:ascii="Arial" w:eastAsia="Times New Roman" w:hAnsi="Arial" w:cs="Arial"/>
          <w:sz w:val="20"/>
          <w:szCs w:val="20"/>
          <w:lang w:eastAsia="sl-SI"/>
        </w:rPr>
        <w:t>128</w:t>
      </w:r>
      <w:r w:rsidRPr="007944FA">
        <w:rPr>
          <w:rFonts w:ascii="Arial" w:eastAsia="Times New Roman" w:hAnsi="Arial" w:cs="Arial"/>
          <w:bCs/>
          <w:sz w:val="20"/>
          <w:szCs w:val="20"/>
          <w:lang w:eastAsia="sl-SI"/>
        </w:rPr>
        <w:t xml:space="preserve">. </w:t>
      </w:r>
      <w:r w:rsidRPr="007944FA">
        <w:rPr>
          <w:rFonts w:ascii="Arial" w:eastAsia="Times New Roman" w:hAnsi="Arial" w:cs="Arial"/>
          <w:sz w:val="20"/>
          <w:szCs w:val="20"/>
          <w:lang w:eastAsia="sl-SI"/>
        </w:rPr>
        <w:t>Informacije v besedilnem formatu o podpori za krepitev zmogljivosti v okviru 11. člena Pariškega sporazuma, vključno z informacijami, kjer je to mogoče, kvalitativnimi in/ali kvantitativnimi informacijami o:</w:t>
      </w:r>
    </w:p>
    <w:p w14:paraId="1297ADCE" w14:textId="77777777" w:rsidR="001A3E16" w:rsidRPr="007944FA" w:rsidRDefault="001A3E16" w:rsidP="001A3E16">
      <w:pPr>
        <w:pBdr>
          <w:top w:val="single" w:sz="4" w:space="1"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rPr>
          <w:rFonts w:ascii="Arial" w:eastAsia="Times New Roman" w:hAnsi="Arial" w:cs="Arial"/>
          <w:sz w:val="20"/>
          <w:szCs w:val="20"/>
          <w:lang w:eastAsia="sl-SI"/>
        </w:rPr>
      </w:pPr>
      <w:r w:rsidRPr="007944FA">
        <w:rPr>
          <w:rFonts w:ascii="Arial" w:eastAsia="Times New Roman" w:hAnsi="Arial" w:cs="Arial"/>
          <w:sz w:val="20"/>
          <w:szCs w:val="20"/>
          <w:lang w:eastAsia="sl-SI"/>
        </w:rPr>
        <w:t>(a) strategijah, ki so bile uporabljene za zagotavljanje podpore za krepitev zmogljivosti, vključno s primeri študij,</w:t>
      </w:r>
      <w:r w:rsidRPr="007944FA">
        <w:rPr>
          <w:rFonts w:ascii="Arial" w:eastAsia="Times New Roman" w:hAnsi="Arial" w:cs="Arial"/>
          <w:sz w:val="20"/>
          <w:szCs w:val="20"/>
          <w:lang w:eastAsia="sl-SI"/>
        </w:rPr>
        <w:br/>
        <w:t>(b) kako podpora za krepitev zmogljivosti, ki je bila zagotovljena, odgovarja na obstoječe in nastajajoče potrebe, prednostne naloge in vrzeli, ki so jih identificirale države v razvoju, na področjih omilitve, prilagoditve in prenosa tehnologij,</w:t>
      </w:r>
      <w:r w:rsidRPr="007944FA">
        <w:rPr>
          <w:rFonts w:ascii="Arial" w:eastAsia="Times New Roman" w:hAnsi="Arial" w:cs="Arial"/>
          <w:sz w:val="20"/>
          <w:szCs w:val="20"/>
          <w:lang w:eastAsia="sl-SI"/>
        </w:rPr>
        <w:br/>
        <w:t>(c) politike, ki spodbujajo podporo za krepitev zmogljivosti,</w:t>
      </w:r>
      <w:r w:rsidRPr="007944FA">
        <w:rPr>
          <w:rFonts w:ascii="Arial" w:eastAsia="Times New Roman" w:hAnsi="Arial" w:cs="Arial"/>
          <w:sz w:val="20"/>
          <w:szCs w:val="20"/>
          <w:lang w:eastAsia="sl-SI"/>
        </w:rPr>
        <w:br/>
        <w:t>(d) vključevanje deležnikov,</w:t>
      </w:r>
      <w:r w:rsidRPr="007944FA">
        <w:rPr>
          <w:rFonts w:ascii="Arial" w:eastAsia="Times New Roman" w:hAnsi="Arial" w:cs="Arial"/>
          <w:sz w:val="20"/>
          <w:szCs w:val="20"/>
          <w:lang w:eastAsia="sl-SI"/>
        </w:rPr>
        <w:br/>
        <w:t>(e) kako podpora za dejavnosti krepitve zmogljivosti v državah v razvoju spodbuja deljenje naučenih lekcij in najboljših praks.</w:t>
      </w:r>
    </w:p>
    <w:p w14:paraId="5FF36338" w14:textId="77777777" w:rsidR="001A3E16" w:rsidRPr="007944FA" w:rsidRDefault="001A3E16" w:rsidP="001A3E16">
      <w:pPr>
        <w:spacing w:before="100" w:beforeAutospacing="1" w:after="100" w:afterAutospacing="1" w:line="240" w:lineRule="auto"/>
        <w:jc w:val="both"/>
        <w:rPr>
          <w:rFonts w:ascii="Arial" w:eastAsia="Times New Roman" w:hAnsi="Arial" w:cs="Arial"/>
          <w:lang w:eastAsia="sl-SI"/>
        </w:rPr>
      </w:pPr>
    </w:p>
    <w:p w14:paraId="17323BB4" w14:textId="04E8EC8A" w:rsidR="001A3E16" w:rsidRPr="007944FA" w:rsidRDefault="001A3E16" w:rsidP="001A3E16">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Krepitev zmogljivosti je temelj skoraj vseh prizadevanj za razvojno sodelovanje. Povečuje sposobnost za delovanje v okviru lastnih sistemov države in postavlja temelje za trajnostne rezultate z dolgoročnim vplivom. Zato je pomembna oblika sodelovanja v slovenskem razvojnem sodelovanju, vključno z dvojnim podnebnim financiranjem. Ukrepi in dejavnosti, povezani s podporo za krepitev zmogljivosti, zagotovljeni v letih 2021 in 2022, so navedeni v </w:t>
      </w:r>
      <w:r w:rsidR="0018317A" w:rsidRPr="007944FA">
        <w:rPr>
          <w:rFonts w:ascii="Arial" w:eastAsia="Times New Roman" w:hAnsi="Arial" w:cs="Arial"/>
          <w:lang w:eastAsia="sl-SI"/>
        </w:rPr>
        <w:t>preglednici 2</w:t>
      </w:r>
      <w:r w:rsidR="00BA6BCF" w:rsidRPr="007944FA">
        <w:rPr>
          <w:rFonts w:ascii="Arial" w:eastAsia="Times New Roman" w:hAnsi="Arial" w:cs="Arial"/>
          <w:lang w:eastAsia="sl-SI"/>
        </w:rPr>
        <w:t>7</w:t>
      </w:r>
      <w:r w:rsidRPr="007944FA">
        <w:rPr>
          <w:rFonts w:ascii="Arial" w:eastAsia="Times New Roman" w:hAnsi="Arial" w:cs="Arial"/>
          <w:lang w:eastAsia="sl-SI"/>
        </w:rPr>
        <w:t>.</w:t>
      </w:r>
    </w:p>
    <w:p w14:paraId="7D29327E" w14:textId="0C458A4E" w:rsidR="001A3E16" w:rsidRPr="007944FA" w:rsidRDefault="001A3E16" w:rsidP="001A3E16">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Slovenija zagotavlja podporo za krepitev zmogljivosti tako na individualni kot na organizacijski ravni. Na individualni ravni je cilj krepitve zmogljivosti opolnomočiti ljudi z izboljšanjem njihovih spretnosti, znanja in sposobnosti. V tem kontekstu je Slovenija zagotovila podporo za krepitev zmogljivosti na področju znanj in spretnosti, ki segajo od praks upravljanja gozdov in sodobnih kmetijskih tehnik do podjetništva in razvoja poslovanja. Krepitev zmogljivosti na organizacijski ravni pa se osredotoča na izboljšanje sposobnosti regionalnih, nacionalnih in lokalnih organizacij pri izvajanju podnebnih strategij. Podpora, ki je bila zagotovljena na tem področju, vključuje tehnično pomoč in usposabljanja za vladne zaposlene. </w:t>
      </w:r>
      <w:r w:rsidR="00C574A0" w:rsidRPr="007944FA">
        <w:rPr>
          <w:rFonts w:ascii="Arial" w:eastAsia="Times New Roman" w:hAnsi="Arial" w:cs="Arial"/>
          <w:lang w:eastAsia="sl-SI"/>
        </w:rPr>
        <w:t>Preglednica 27</w:t>
      </w:r>
      <w:r w:rsidRPr="007944FA">
        <w:rPr>
          <w:rFonts w:ascii="Arial" w:eastAsia="Times New Roman" w:hAnsi="Arial" w:cs="Arial"/>
          <w:lang w:eastAsia="sl-SI"/>
        </w:rPr>
        <w:t xml:space="preserve"> prikazuje primer podpore za krepitev zmogljivosti, zagotovljene tako na individualni ravni (usposabljanje za podjetništvo) kot na organizacijski ravni (participativni proces v zvezi z ženskami podjetnicami in (samo)zaposlitvijo).</w:t>
      </w:r>
    </w:p>
    <w:p w14:paraId="3082FE44" w14:textId="3CC68785" w:rsidR="001A3E16" w:rsidRPr="007944FA" w:rsidRDefault="001A3E16" w:rsidP="001A3E16">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 xml:space="preserve">Podpora tako na individualni kot na organizacijski ravni je lahko zagotovljena kot samostojna iniciativa ali vključena v večji projekt. Ne glede na obliko Slovenija sledi načelu nacionalne lastnine v vseh svojih podporah za krepitev zmogljivosti. To vključuje vključevanje </w:t>
      </w:r>
      <w:r w:rsidR="00E457A5" w:rsidRPr="007944FA">
        <w:rPr>
          <w:rFonts w:ascii="Arial" w:eastAsia="Times New Roman" w:hAnsi="Arial" w:cs="Arial"/>
          <w:lang w:eastAsia="sl-SI"/>
        </w:rPr>
        <w:t>relevantnih deležnikov</w:t>
      </w:r>
      <w:r w:rsidR="0018317A" w:rsidRPr="007944FA">
        <w:rPr>
          <w:rFonts w:ascii="Arial" w:eastAsia="Times New Roman" w:hAnsi="Arial" w:cs="Arial"/>
          <w:lang w:eastAsia="sl-SI"/>
        </w:rPr>
        <w:t xml:space="preserve"> </w:t>
      </w:r>
      <w:r w:rsidRPr="007944FA">
        <w:rPr>
          <w:rFonts w:ascii="Arial" w:eastAsia="Times New Roman" w:hAnsi="Arial" w:cs="Arial"/>
          <w:lang w:eastAsia="sl-SI"/>
        </w:rPr>
        <w:t>iz partnerskih držav, kot so organizacije civilne družbe in lokalne oblasti, v pripravo, izvedbo in fazo spremljanja projektov.</w:t>
      </w:r>
    </w:p>
    <w:p w14:paraId="2C613F29" w14:textId="77777777" w:rsidR="001A3E16" w:rsidRPr="007944FA" w:rsidRDefault="001A3E16" w:rsidP="001A3E16">
      <w:pPr>
        <w:spacing w:before="100" w:beforeAutospacing="1" w:after="100" w:afterAutospacing="1" w:line="240" w:lineRule="auto"/>
        <w:jc w:val="both"/>
        <w:rPr>
          <w:rFonts w:ascii="Arial" w:eastAsia="Times New Roman" w:hAnsi="Arial" w:cs="Arial"/>
          <w:lang w:eastAsia="sl-SI"/>
        </w:rPr>
      </w:pPr>
      <w:r w:rsidRPr="007944FA">
        <w:rPr>
          <w:rFonts w:ascii="Arial" w:eastAsia="Times New Roman" w:hAnsi="Arial" w:cs="Arial"/>
          <w:lang w:eastAsia="sl-SI"/>
        </w:rPr>
        <w:t>Slovenija tudi prispeva k večstranskim podnebnim skladom in organizacijam, ki financirajo podnebne projekte (na primer GEF, Skupina Svetovne banke in tako dalje), ki vključujejo krepitev zmogljivosti v svojih dejavnostih. To lahko vključuje različne programe usposabljanja in izobraževanja za opolnomočenje deležnikov v državah v razvoju za ustvarjanje projektov omilitve in prilagoditve ali razvijanje zmogljivosti na specifičnih področjih podnebnih sprememb. Na splošno je krepitev zmogljivosti sestavni del večine projektov in programov sodelovanja, saj je ključnega pomena za zagotavljanje trajnosti dejavnosti.</w:t>
      </w:r>
    </w:p>
    <w:p w14:paraId="7ACA0E99" w14:textId="69350177" w:rsidR="001A3E16" w:rsidRPr="007944FA" w:rsidRDefault="001A3E16" w:rsidP="001A3E16">
      <w:pPr>
        <w:spacing w:before="100" w:beforeAutospacing="1" w:after="100" w:afterAutospacing="1" w:line="240" w:lineRule="auto"/>
        <w:jc w:val="both"/>
        <w:rPr>
          <w:i/>
          <w:iCs/>
          <w:sz w:val="18"/>
          <w:szCs w:val="18"/>
        </w:rPr>
      </w:pPr>
    </w:p>
    <w:tbl>
      <w:tblPr>
        <w:tblStyle w:val="Tabela-SLOG4"/>
        <w:tblW w:w="0" w:type="auto"/>
        <w:tblLook w:val="04A0" w:firstRow="1" w:lastRow="0" w:firstColumn="1" w:lastColumn="0" w:noHBand="0" w:noVBand="1"/>
      </w:tblPr>
      <w:tblGrid>
        <w:gridCol w:w="2265"/>
        <w:gridCol w:w="2266"/>
        <w:gridCol w:w="2265"/>
        <w:gridCol w:w="2266"/>
      </w:tblGrid>
      <w:tr w:rsidR="001A3E16" w:rsidRPr="0093506F" w14:paraId="53192B13" w14:textId="77777777" w:rsidTr="006D46D8">
        <w:tc>
          <w:tcPr>
            <w:tcW w:w="9062" w:type="dxa"/>
            <w:gridSpan w:val="4"/>
          </w:tcPr>
          <w:p w14:paraId="349F01E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lastRenderedPageBreak/>
              <w:t>Ime programa:</w:t>
            </w:r>
            <w:r w:rsidRPr="007944FA">
              <w:rPr>
                <w:rFonts w:ascii="Arial" w:hAnsi="Arial" w:cs="Arial"/>
                <w:sz w:val="18"/>
                <w:szCs w:val="18"/>
              </w:rPr>
              <w:t xml:space="preserve"> BiHUB – Podpora družbeno odgovornemu podjetništvu za ženske</w:t>
            </w:r>
          </w:p>
        </w:tc>
      </w:tr>
      <w:tr w:rsidR="001A3E16" w:rsidRPr="0093506F" w14:paraId="31A078D4" w14:textId="77777777" w:rsidTr="006D46D8">
        <w:tc>
          <w:tcPr>
            <w:tcW w:w="2265" w:type="dxa"/>
          </w:tcPr>
          <w:p w14:paraId="0796532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Prejemnik:</w:t>
            </w:r>
            <w:r w:rsidRPr="007944FA">
              <w:rPr>
                <w:rFonts w:ascii="Arial" w:hAnsi="Arial" w:cs="Arial"/>
                <w:sz w:val="18"/>
                <w:szCs w:val="18"/>
              </w:rPr>
              <w:t xml:space="preserve"> Bosna in Hercegovina</w:t>
            </w:r>
          </w:p>
        </w:tc>
        <w:tc>
          <w:tcPr>
            <w:tcW w:w="2266" w:type="dxa"/>
          </w:tcPr>
          <w:p w14:paraId="2D01553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Sektor:</w:t>
            </w:r>
            <w:r w:rsidRPr="007944FA">
              <w:rPr>
                <w:rFonts w:ascii="Arial" w:hAnsi="Arial" w:cs="Arial"/>
                <w:sz w:val="18"/>
                <w:szCs w:val="18"/>
              </w:rPr>
              <w:t xml:space="preserve"> Prekrižno</w:t>
            </w:r>
          </w:p>
        </w:tc>
        <w:tc>
          <w:tcPr>
            <w:tcW w:w="2265" w:type="dxa"/>
          </w:tcPr>
          <w:p w14:paraId="272FDCFA" w14:textId="0B9ACAF6"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Skupni znesek podpore:</w:t>
            </w:r>
            <w:r w:rsidRPr="007944FA">
              <w:rPr>
                <w:rFonts w:ascii="Arial" w:hAnsi="Arial" w:cs="Arial"/>
                <w:sz w:val="18"/>
                <w:szCs w:val="18"/>
              </w:rPr>
              <w:t xml:space="preserve"> 158.421,00 </w:t>
            </w:r>
            <w:r w:rsidR="0018317A" w:rsidRPr="007944FA">
              <w:rPr>
                <w:rFonts w:ascii="Arial" w:hAnsi="Arial" w:cs="Arial"/>
                <w:sz w:val="18"/>
                <w:szCs w:val="18"/>
              </w:rPr>
              <w:t>evra</w:t>
            </w:r>
          </w:p>
        </w:tc>
        <w:tc>
          <w:tcPr>
            <w:tcW w:w="2266" w:type="dxa"/>
          </w:tcPr>
          <w:p w14:paraId="723D3829"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Obdobje:</w:t>
            </w:r>
            <w:r w:rsidRPr="007944FA">
              <w:rPr>
                <w:rFonts w:ascii="Arial" w:hAnsi="Arial" w:cs="Arial"/>
                <w:sz w:val="18"/>
                <w:szCs w:val="18"/>
              </w:rPr>
              <w:t xml:space="preserve"> 2020–2022</w:t>
            </w:r>
          </w:p>
        </w:tc>
      </w:tr>
      <w:tr w:rsidR="001A3E16" w:rsidRPr="0093506F" w14:paraId="0E31667B" w14:textId="77777777" w:rsidTr="006D46D8">
        <w:tc>
          <w:tcPr>
            <w:tcW w:w="9062" w:type="dxa"/>
            <w:gridSpan w:val="4"/>
          </w:tcPr>
          <w:p w14:paraId="7448214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Podpora za krepitev zmogljivosti:</w:t>
            </w:r>
            <w:r w:rsidRPr="007944FA">
              <w:rPr>
                <w:rFonts w:ascii="Arial" w:hAnsi="Arial" w:cs="Arial"/>
                <w:sz w:val="18"/>
                <w:szCs w:val="18"/>
              </w:rPr>
              <w:t xml:space="preserve"> Usposabljanje za podjetništvo (start-up)</w:t>
            </w:r>
          </w:p>
        </w:tc>
      </w:tr>
      <w:tr w:rsidR="001A3E16" w:rsidRPr="0093506F" w14:paraId="4B1DEB39" w14:textId="77777777" w:rsidTr="006D46D8">
        <w:tc>
          <w:tcPr>
            <w:tcW w:w="9062" w:type="dxa"/>
            <w:gridSpan w:val="4"/>
          </w:tcPr>
          <w:p w14:paraId="18352D7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Cilj in opis:</w:t>
            </w:r>
            <w:r w:rsidRPr="007944FA">
              <w:rPr>
                <w:rFonts w:ascii="Arial" w:hAnsi="Arial" w:cs="Arial"/>
                <w:sz w:val="18"/>
                <w:szCs w:val="18"/>
              </w:rPr>
              <w:t xml:space="preserve"> Projekt si prizadeva opolnomočiti ženske v Srednjem bosferskem kantonu in Kantonu 10 s spodbujanjem družbeno odgovornega podjetništva za ženske ter zagotavljanjem njihove vključenosti v postopke odločanja. S programom HUB za družbeno odgovorno podjetništvo za ženske so ženske in moški opolnomočeni, da vstopijo v podjetniške vode z ustanovitvijo start-up podjetij. To bo zagotovilo vključevanje žensk na trg dela in v družbo ter jim omogočilo vodenje v gospodarskem življenju. Projekt si je tudi prizadeval razviti vključenost žensk v procese odločanja, da bi zagotovil trajnostno podporo za podjetništvo žensk. V ta namen je bila izvedena participativna zagovorniška kampanja z namenom oblikovanja in sprejetja vsaj enega ukrepa za podporo podjetništvu žensk, inovativnim oblikam zaposlovanja žensk ter njihovi redni vključitvi v procese odločanja. Tako ženske kot moški so bili aktivno vključeni v ukrepe in so imeli priložnost predlagati specifične sistemske ukrepe in odločati o njih. Poleg tega so bili ključni deležniki usposobljeni za participativne procese za podporo in spodbujanje podjetništva in (samo)zaposlovanja žensk.</w:t>
            </w:r>
          </w:p>
        </w:tc>
      </w:tr>
      <w:tr w:rsidR="001A3E16" w:rsidRPr="0093506F" w14:paraId="03E6ED1B" w14:textId="77777777" w:rsidTr="006D46D8">
        <w:tc>
          <w:tcPr>
            <w:tcW w:w="9062" w:type="dxa"/>
            <w:gridSpan w:val="4"/>
          </w:tcPr>
          <w:p w14:paraId="55D5BE0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b/>
                <w:bCs/>
                <w:sz w:val="18"/>
                <w:szCs w:val="18"/>
              </w:rPr>
              <w:t>Rezultati:</w:t>
            </w:r>
            <w:r w:rsidRPr="007944FA">
              <w:rPr>
                <w:rFonts w:ascii="Arial" w:hAnsi="Arial" w:cs="Arial"/>
                <w:sz w:val="18"/>
                <w:szCs w:val="18"/>
              </w:rPr>
              <w:t xml:space="preserve"> 15 start-up podjetij žensk je bilo ustanovljenih na različnih področjih, kot so turizem (potovalne agencije, razvoj inovativnih turističnih storitev in produktov in tako dalje), IT in visoke tehnologije, modna industrija, obrti (tesarstvo, tradicionalni izdelki in tako dalje), kmetijstvo (pridelava in prodaja lokalnih izdelkov) ter druge ideje, ki kažejo na inovativnost in družbeno odgovornost. Poleg tega so bile zaradi usposabljanja ključnih deležnikov v participativnih procesih sprejete tri akcije na področju podjetništva in (samo)zaposlovanja žensk.</w:t>
            </w:r>
          </w:p>
        </w:tc>
      </w:tr>
    </w:tbl>
    <w:p w14:paraId="4D22D5E3" w14:textId="27860E5B" w:rsidR="001A3E16" w:rsidRPr="007944FA" w:rsidRDefault="002F38E7" w:rsidP="002F38E7">
      <w:pPr>
        <w:pStyle w:val="nikatabelee"/>
      </w:pPr>
      <w:bookmarkStart w:id="220" w:name="_Toc193195412"/>
      <w:r w:rsidRPr="007944FA">
        <w:t>Preglednica 27</w:t>
      </w:r>
      <w:r w:rsidR="00C54542" w:rsidRPr="007944FA">
        <w:t>: Študija primera 1 – Podpora ženskemu družbeno odgovornem podjetništvu v Bosni in Hercegovini</w:t>
      </w:r>
      <w:bookmarkEnd w:id="220"/>
    </w:p>
    <w:p w14:paraId="4C743E54" w14:textId="218939FD" w:rsidR="001A3E16" w:rsidRPr="007944FA" w:rsidRDefault="001A3E16" w:rsidP="00C54542">
      <w:pPr>
        <w:pBdr>
          <w:top w:val="single" w:sz="4" w:space="0"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rPr>
          <w:rFonts w:ascii="Arial" w:eastAsia="Times New Roman" w:hAnsi="Arial" w:cs="Arial"/>
          <w:sz w:val="20"/>
          <w:szCs w:val="20"/>
          <w:lang w:eastAsia="sl-SI"/>
        </w:rPr>
      </w:pPr>
      <w:r w:rsidRPr="007944FA">
        <w:rPr>
          <w:rFonts w:ascii="Arial" w:eastAsiaTheme="majorEastAsia" w:hAnsi="Arial" w:cs="Arial"/>
          <w:sz w:val="20"/>
          <w:szCs w:val="20"/>
          <w:lang w:eastAsia="sl-SI"/>
        </w:rPr>
        <w:t>129</w:t>
      </w:r>
      <w:r w:rsidRPr="007944FA">
        <w:rPr>
          <w:rFonts w:ascii="Arial" w:eastAsiaTheme="majorEastAsia" w:hAnsi="Arial" w:cs="Arial"/>
          <w:bCs/>
          <w:sz w:val="20"/>
          <w:szCs w:val="20"/>
          <w:lang w:eastAsia="sl-SI"/>
        </w:rPr>
        <w:t xml:space="preserve">. </w:t>
      </w:r>
      <w:r w:rsidRPr="007944FA">
        <w:rPr>
          <w:rFonts w:ascii="Arial" w:eastAsiaTheme="majorEastAsia" w:hAnsi="Arial" w:cs="Arial"/>
          <w:sz w:val="20"/>
          <w:szCs w:val="20"/>
          <w:lang w:eastAsia="sl-SI"/>
        </w:rPr>
        <w:t xml:space="preserve">Količinske in/ali kvalitativne informacije v skupnem </w:t>
      </w:r>
      <w:r w:rsidR="0018317A" w:rsidRPr="007944FA">
        <w:rPr>
          <w:rFonts w:ascii="Arial" w:eastAsiaTheme="majorEastAsia" w:hAnsi="Arial" w:cs="Arial"/>
          <w:sz w:val="20"/>
          <w:szCs w:val="20"/>
          <w:lang w:eastAsia="sl-SI"/>
        </w:rPr>
        <w:t>pregledničnem</w:t>
      </w:r>
      <w:r w:rsidRPr="007944FA">
        <w:rPr>
          <w:rFonts w:ascii="Arial" w:eastAsiaTheme="majorEastAsia" w:hAnsi="Arial" w:cs="Arial"/>
          <w:sz w:val="20"/>
          <w:szCs w:val="20"/>
          <w:lang w:eastAsia="sl-SI"/>
        </w:rPr>
        <w:t xml:space="preserve"> formatu o ukrepih ali dejavnostih, povezanih s podporo za krepitev zmogljivosti, izvedenih ali načrtovanih od zadnjega poročila, vključno z naslednjimi informacijami, kjer je to mogoče in ustrezno:</w:t>
      </w:r>
    </w:p>
    <w:p w14:paraId="228806B1" w14:textId="77777777" w:rsidR="001A3E16" w:rsidRPr="007944FA" w:rsidRDefault="001A3E16" w:rsidP="00C54542">
      <w:pPr>
        <w:pBdr>
          <w:top w:val="single" w:sz="4" w:space="0" w:color="auto"/>
          <w:left w:val="single" w:sz="4" w:space="4" w:color="auto"/>
          <w:bottom w:val="single" w:sz="4" w:space="1" w:color="auto"/>
          <w:right w:val="single" w:sz="4" w:space="4" w:color="auto"/>
        </w:pBdr>
        <w:shd w:val="clear" w:color="auto" w:fill="E8E8E8" w:themeFill="background2"/>
        <w:spacing w:before="100" w:beforeAutospacing="1" w:after="100" w:afterAutospacing="1" w:line="240" w:lineRule="auto"/>
        <w:contextualSpacing/>
        <w:rPr>
          <w:rFonts w:ascii="Arial" w:eastAsia="Times New Roman" w:hAnsi="Arial" w:cs="Arial"/>
          <w:sz w:val="20"/>
          <w:szCs w:val="20"/>
          <w:lang w:eastAsia="sl-SI"/>
        </w:rPr>
      </w:pPr>
      <w:r w:rsidRPr="007944FA">
        <w:rPr>
          <w:rFonts w:ascii="Arial" w:eastAsia="Times New Roman" w:hAnsi="Arial" w:cs="Arial"/>
          <w:sz w:val="20"/>
          <w:szCs w:val="20"/>
          <w:lang w:eastAsia="sl-SI"/>
        </w:rPr>
        <w:t>(a) naslov,</w:t>
      </w:r>
      <w:r w:rsidRPr="007944FA">
        <w:rPr>
          <w:rFonts w:ascii="Arial" w:eastAsia="Times New Roman" w:hAnsi="Arial" w:cs="Arial"/>
          <w:sz w:val="20"/>
          <w:szCs w:val="20"/>
          <w:lang w:eastAsia="sl-SI"/>
        </w:rPr>
        <w:br/>
        <w:t>(b) prejemniški subjekt,</w:t>
      </w:r>
      <w:r w:rsidRPr="007944FA">
        <w:rPr>
          <w:rFonts w:ascii="Arial" w:eastAsia="Times New Roman" w:hAnsi="Arial" w:cs="Arial"/>
          <w:sz w:val="20"/>
          <w:szCs w:val="20"/>
          <w:lang w:eastAsia="sl-SI"/>
        </w:rPr>
        <w:br/>
        <w:t>(c) opis in cilji,</w:t>
      </w:r>
      <w:r w:rsidRPr="007944FA">
        <w:rPr>
          <w:rFonts w:ascii="Arial" w:eastAsia="Times New Roman" w:hAnsi="Arial" w:cs="Arial"/>
          <w:sz w:val="20"/>
          <w:szCs w:val="20"/>
          <w:lang w:eastAsia="sl-SI"/>
        </w:rPr>
        <w:br/>
        <w:t>(d) vrsta podpore (omilitev, prilagoditev ali prekrižno),</w:t>
      </w:r>
      <w:r w:rsidRPr="007944FA">
        <w:rPr>
          <w:rFonts w:ascii="Arial" w:eastAsia="Times New Roman" w:hAnsi="Arial" w:cs="Arial"/>
          <w:sz w:val="20"/>
          <w:szCs w:val="20"/>
          <w:lang w:eastAsia="sl-SI"/>
        </w:rPr>
        <w:br/>
        <w:t>(e) status ukrepa/dejavnosti.</w:t>
      </w:r>
    </w:p>
    <w:p w14:paraId="57757689" w14:textId="77777777" w:rsidR="001A3E16" w:rsidRPr="007944FA" w:rsidRDefault="001A3E16" w:rsidP="001A3E16">
      <w:pPr>
        <w:spacing w:before="100" w:beforeAutospacing="1" w:after="100" w:afterAutospacing="1" w:line="240" w:lineRule="auto"/>
        <w:jc w:val="both"/>
        <w:rPr>
          <w:rFonts w:ascii="Arial" w:hAnsi="Arial" w:cs="Arial"/>
          <w:i/>
          <w:iCs/>
        </w:rPr>
        <w:sectPr w:rsidR="001A3E16" w:rsidRPr="007944FA" w:rsidSect="001A3E16">
          <w:pgSz w:w="11906" w:h="16838"/>
          <w:pgMar w:top="1417" w:right="1417" w:bottom="1417" w:left="1417" w:header="708" w:footer="708" w:gutter="0"/>
          <w:cols w:space="708"/>
          <w:docGrid w:linePitch="360"/>
        </w:sectPr>
      </w:pPr>
    </w:p>
    <w:p w14:paraId="5051557D" w14:textId="125900F4" w:rsidR="001A3E16" w:rsidRPr="007944FA" w:rsidRDefault="001A3E16" w:rsidP="001A3E16">
      <w:pPr>
        <w:spacing w:before="100" w:beforeAutospacing="1" w:after="100" w:afterAutospacing="1" w:line="240" w:lineRule="auto"/>
        <w:jc w:val="both"/>
        <w:rPr>
          <w:rFonts w:ascii="Arial" w:hAnsi="Arial" w:cs="Arial"/>
          <w:b/>
          <w:bCs/>
          <w:sz w:val="18"/>
          <w:szCs w:val="18"/>
        </w:rPr>
      </w:pPr>
    </w:p>
    <w:tbl>
      <w:tblPr>
        <w:tblStyle w:val="Tabela-SLOG4"/>
        <w:tblW w:w="0" w:type="auto"/>
        <w:tblLook w:val="04A0" w:firstRow="1" w:lastRow="0" w:firstColumn="1" w:lastColumn="0" w:noHBand="0" w:noVBand="1"/>
      </w:tblPr>
      <w:tblGrid>
        <w:gridCol w:w="2332"/>
        <w:gridCol w:w="2332"/>
        <w:gridCol w:w="2332"/>
        <w:gridCol w:w="2332"/>
        <w:gridCol w:w="2333"/>
        <w:gridCol w:w="2333"/>
      </w:tblGrid>
      <w:tr w:rsidR="001A3E16" w:rsidRPr="0093506F" w14:paraId="6B1CC6BF" w14:textId="77777777" w:rsidTr="006D46D8">
        <w:tc>
          <w:tcPr>
            <w:tcW w:w="2332" w:type="dxa"/>
          </w:tcPr>
          <w:p w14:paraId="5B496F94"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Naslov</w:t>
            </w:r>
          </w:p>
        </w:tc>
        <w:tc>
          <w:tcPr>
            <w:tcW w:w="2332" w:type="dxa"/>
          </w:tcPr>
          <w:p w14:paraId="2B4A726F"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Prejemniški subjekt</w:t>
            </w:r>
          </w:p>
        </w:tc>
        <w:tc>
          <w:tcPr>
            <w:tcW w:w="2332" w:type="dxa"/>
          </w:tcPr>
          <w:p w14:paraId="6214D4DA"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Opis in cilji krepitev zmogljivosti</w:t>
            </w:r>
          </w:p>
        </w:tc>
        <w:tc>
          <w:tcPr>
            <w:tcW w:w="2332" w:type="dxa"/>
          </w:tcPr>
          <w:p w14:paraId="5436A8CE"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Vrsta</w:t>
            </w:r>
          </w:p>
        </w:tc>
        <w:tc>
          <w:tcPr>
            <w:tcW w:w="2333" w:type="dxa"/>
          </w:tcPr>
          <w:p w14:paraId="4FF6B91B"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Sektor</w:t>
            </w:r>
          </w:p>
        </w:tc>
        <w:tc>
          <w:tcPr>
            <w:tcW w:w="2333" w:type="dxa"/>
          </w:tcPr>
          <w:p w14:paraId="47282B95" w14:textId="77777777" w:rsidR="001A3E16" w:rsidRPr="007944FA" w:rsidRDefault="001A3E16" w:rsidP="001A3E16">
            <w:pPr>
              <w:spacing w:before="100" w:beforeAutospacing="1" w:after="100" w:afterAutospacing="1"/>
              <w:jc w:val="both"/>
              <w:rPr>
                <w:rFonts w:ascii="Arial" w:eastAsia="Times New Roman" w:hAnsi="Arial" w:cs="Arial"/>
                <w:b/>
                <w:bCs/>
                <w:sz w:val="18"/>
                <w:szCs w:val="18"/>
              </w:rPr>
            </w:pPr>
            <w:r w:rsidRPr="007944FA">
              <w:rPr>
                <w:rFonts w:ascii="Arial" w:hAnsi="Arial" w:cs="Arial"/>
                <w:b/>
                <w:bCs/>
                <w:sz w:val="18"/>
                <w:szCs w:val="18"/>
              </w:rPr>
              <w:t>Status ukrepa/dejavnosti</w:t>
            </w:r>
          </w:p>
        </w:tc>
      </w:tr>
      <w:tr w:rsidR="001A3E16" w:rsidRPr="0093506F" w14:paraId="1B2521EF" w14:textId="77777777" w:rsidTr="006D46D8">
        <w:tc>
          <w:tcPr>
            <w:tcW w:w="2332" w:type="dxa"/>
          </w:tcPr>
          <w:p w14:paraId="4A01828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Ukrepi za trajnostno rabo gozdov v občini Adigeni</w:t>
            </w:r>
          </w:p>
        </w:tc>
        <w:tc>
          <w:tcPr>
            <w:tcW w:w="2332" w:type="dxa"/>
          </w:tcPr>
          <w:p w14:paraId="36F83EB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Gruzija</w:t>
            </w:r>
          </w:p>
        </w:tc>
        <w:tc>
          <w:tcPr>
            <w:tcW w:w="2332" w:type="dxa"/>
          </w:tcPr>
          <w:p w14:paraId="6C8BDB7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Usposabljanje za načrtovanje upravljanja gozdov, za varno delo v gozdovih, ohranjanje narave in razvoj vrednostnih verig</w:t>
            </w:r>
          </w:p>
        </w:tc>
        <w:tc>
          <w:tcPr>
            <w:tcW w:w="2332" w:type="dxa"/>
          </w:tcPr>
          <w:p w14:paraId="4C70036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004075A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Gozdarstvo</w:t>
            </w:r>
          </w:p>
        </w:tc>
        <w:tc>
          <w:tcPr>
            <w:tcW w:w="2333" w:type="dxa"/>
          </w:tcPr>
          <w:p w14:paraId="43EDF6E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573D620C" w14:textId="77777777" w:rsidTr="006D46D8">
        <w:tc>
          <w:tcPr>
            <w:tcW w:w="2332" w:type="dxa"/>
          </w:tcPr>
          <w:p w14:paraId="7A9389E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Obvladovanje korenin diskriminacije žensk v Albaniji</w:t>
            </w:r>
          </w:p>
        </w:tc>
        <w:tc>
          <w:tcPr>
            <w:tcW w:w="2332" w:type="dxa"/>
          </w:tcPr>
          <w:p w14:paraId="091EC9C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Albanija</w:t>
            </w:r>
          </w:p>
        </w:tc>
        <w:tc>
          <w:tcPr>
            <w:tcW w:w="2332" w:type="dxa"/>
          </w:tcPr>
          <w:p w14:paraId="7D2F7CD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Usposabljanje o neenakostih med spoloma</w:t>
            </w:r>
          </w:p>
        </w:tc>
        <w:tc>
          <w:tcPr>
            <w:tcW w:w="2332" w:type="dxa"/>
          </w:tcPr>
          <w:p w14:paraId="21D4D14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Blaženje</w:t>
            </w:r>
          </w:p>
        </w:tc>
        <w:tc>
          <w:tcPr>
            <w:tcW w:w="2333" w:type="dxa"/>
          </w:tcPr>
          <w:p w14:paraId="7C6E02E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237193B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3E17F5BC" w14:textId="77777777" w:rsidTr="006D46D8">
        <w:tc>
          <w:tcPr>
            <w:tcW w:w="2332" w:type="dxa"/>
          </w:tcPr>
          <w:p w14:paraId="68E73C8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BiHUB – Podpora družbeno odgovornemu podjetništvu žensk</w:t>
            </w:r>
          </w:p>
        </w:tc>
        <w:tc>
          <w:tcPr>
            <w:tcW w:w="2332" w:type="dxa"/>
          </w:tcPr>
          <w:p w14:paraId="0A09DC8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Bosna in Hercegovina</w:t>
            </w:r>
          </w:p>
        </w:tc>
        <w:tc>
          <w:tcPr>
            <w:tcW w:w="2332" w:type="dxa"/>
          </w:tcPr>
          <w:p w14:paraId="375E574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Opolnomočenje za podjetništvo, usposabljanje ključnih deležnikov v participativnih procesih za podporo in spodbujanje podjetništva žensk</w:t>
            </w:r>
          </w:p>
        </w:tc>
        <w:tc>
          <w:tcPr>
            <w:tcW w:w="2332" w:type="dxa"/>
          </w:tcPr>
          <w:p w14:paraId="3946FAA9"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Blaženje</w:t>
            </w:r>
          </w:p>
        </w:tc>
        <w:tc>
          <w:tcPr>
            <w:tcW w:w="2333" w:type="dxa"/>
          </w:tcPr>
          <w:p w14:paraId="730B044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08AF09C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5032C5BF" w14:textId="77777777" w:rsidTr="006D46D8">
        <w:trPr>
          <w:trHeight w:val="1488"/>
        </w:trPr>
        <w:tc>
          <w:tcPr>
            <w:tcW w:w="2332" w:type="dxa"/>
          </w:tcPr>
          <w:p w14:paraId="383AF53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Razvoj podjetništva žensk v kmetijstvu v jugovzhodni Srbiji</w:t>
            </w:r>
          </w:p>
        </w:tc>
        <w:tc>
          <w:tcPr>
            <w:tcW w:w="2332" w:type="dxa"/>
          </w:tcPr>
          <w:p w14:paraId="48DE9A4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Srbija</w:t>
            </w:r>
          </w:p>
        </w:tc>
        <w:tc>
          <w:tcPr>
            <w:tcW w:w="2332" w:type="dxa"/>
          </w:tcPr>
          <w:p w14:paraId="1ED2227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Razvoj podjetništva žensk v kmetijstvu na podeželju</w:t>
            </w:r>
          </w:p>
        </w:tc>
        <w:tc>
          <w:tcPr>
            <w:tcW w:w="2332" w:type="dxa"/>
          </w:tcPr>
          <w:p w14:paraId="7E81D6D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eastAsia="Times New Roman" w:hAnsi="Arial" w:cs="Arial"/>
                <w:sz w:val="18"/>
                <w:szCs w:val="18"/>
              </w:rPr>
              <w:t>Horizontalno</w:t>
            </w:r>
          </w:p>
        </w:tc>
        <w:tc>
          <w:tcPr>
            <w:tcW w:w="2333" w:type="dxa"/>
          </w:tcPr>
          <w:p w14:paraId="561B261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Kmetijstvo</w:t>
            </w:r>
          </w:p>
        </w:tc>
        <w:tc>
          <w:tcPr>
            <w:tcW w:w="2333" w:type="dxa"/>
          </w:tcPr>
          <w:p w14:paraId="6A90CDC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78A4D415" w14:textId="77777777" w:rsidTr="006D46D8">
        <w:tc>
          <w:tcPr>
            <w:tcW w:w="2332" w:type="dxa"/>
          </w:tcPr>
          <w:p w14:paraId="46D91FA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Obnova tovarne fenola na območju industrijske cone Lukavac</w:t>
            </w:r>
          </w:p>
        </w:tc>
        <w:tc>
          <w:tcPr>
            <w:tcW w:w="2332" w:type="dxa"/>
          </w:tcPr>
          <w:p w14:paraId="12A03FC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Bosna in Hercegovina</w:t>
            </w:r>
          </w:p>
        </w:tc>
        <w:tc>
          <w:tcPr>
            <w:tcW w:w="2332" w:type="dxa"/>
          </w:tcPr>
          <w:p w14:paraId="28BAB32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Sanacija onesnaženega industrijskega območja za zmanjšanje onesnaženja vode in tal, s tem pa izboljšanje zdravja ljudi</w:t>
            </w:r>
          </w:p>
        </w:tc>
        <w:tc>
          <w:tcPr>
            <w:tcW w:w="2332" w:type="dxa"/>
          </w:tcPr>
          <w:p w14:paraId="1D7758B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eastAsia="Times New Roman" w:hAnsi="Arial" w:cs="Arial"/>
                <w:sz w:val="18"/>
                <w:szCs w:val="18"/>
              </w:rPr>
              <w:t>Horizontalno</w:t>
            </w:r>
          </w:p>
        </w:tc>
        <w:tc>
          <w:tcPr>
            <w:tcW w:w="2333" w:type="dxa"/>
          </w:tcPr>
          <w:p w14:paraId="0693999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6777C3F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2A99D394" w14:textId="77777777" w:rsidTr="006D46D8">
        <w:tc>
          <w:tcPr>
            <w:tcW w:w="2332" w:type="dxa"/>
          </w:tcPr>
          <w:p w14:paraId="66691A2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Trajnostno upravljanje vode in drugih virov za boljše zdravje in preživetje v okrožju Karongi</w:t>
            </w:r>
          </w:p>
        </w:tc>
        <w:tc>
          <w:tcPr>
            <w:tcW w:w="2332" w:type="dxa"/>
          </w:tcPr>
          <w:p w14:paraId="691DDD3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Ruanda</w:t>
            </w:r>
          </w:p>
        </w:tc>
        <w:tc>
          <w:tcPr>
            <w:tcW w:w="2332" w:type="dxa"/>
          </w:tcPr>
          <w:p w14:paraId="39BCF2B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Učenje boljših kmetijskih praks, usposabljanje za pripravo poslovnih načrtov in za upravljanje vodnih virov</w:t>
            </w:r>
          </w:p>
        </w:tc>
        <w:tc>
          <w:tcPr>
            <w:tcW w:w="2332" w:type="dxa"/>
          </w:tcPr>
          <w:p w14:paraId="20B7CE2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466CF4E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5CFB2A7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53FB7C6C" w14:textId="77777777" w:rsidTr="006D46D8">
        <w:trPr>
          <w:trHeight w:val="4327"/>
        </w:trPr>
        <w:tc>
          <w:tcPr>
            <w:tcW w:w="2332" w:type="dxa"/>
          </w:tcPr>
          <w:p w14:paraId="6A56AA4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lastRenderedPageBreak/>
              <w:t>Voda za dostojno življenje</w:t>
            </w:r>
          </w:p>
        </w:tc>
        <w:tc>
          <w:tcPr>
            <w:tcW w:w="2332" w:type="dxa"/>
          </w:tcPr>
          <w:p w14:paraId="19CE897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Uganda</w:t>
            </w:r>
          </w:p>
        </w:tc>
        <w:tc>
          <w:tcPr>
            <w:tcW w:w="2332" w:type="dxa"/>
          </w:tcPr>
          <w:p w14:paraId="237D15E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Krepitev zmogljivosti za dejavnosti, povezane z vodo in sanitarno oskrbo, kot so zbiranje deževnice, desalinizacija, učinkovitost vode, obdelava odpadnih voda, recikliranje in tehnologije za ponovno uporabo</w:t>
            </w:r>
          </w:p>
        </w:tc>
        <w:tc>
          <w:tcPr>
            <w:tcW w:w="2332" w:type="dxa"/>
          </w:tcPr>
          <w:p w14:paraId="10BE90D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Prilagajanje</w:t>
            </w:r>
          </w:p>
        </w:tc>
        <w:tc>
          <w:tcPr>
            <w:tcW w:w="2333" w:type="dxa"/>
          </w:tcPr>
          <w:p w14:paraId="79C86CD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190445E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0A72C4C6" w14:textId="77777777" w:rsidTr="006D46D8">
        <w:tc>
          <w:tcPr>
            <w:tcW w:w="2332" w:type="dxa"/>
          </w:tcPr>
          <w:p w14:paraId="71E1279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Dejavnosti v okviru DPPI SEE</w:t>
            </w:r>
          </w:p>
        </w:tc>
        <w:tc>
          <w:tcPr>
            <w:tcW w:w="2332" w:type="dxa"/>
          </w:tcPr>
          <w:p w14:paraId="65B84BA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Zahodni Balkan</w:t>
            </w:r>
          </w:p>
        </w:tc>
        <w:tc>
          <w:tcPr>
            <w:tcW w:w="2332" w:type="dxa"/>
          </w:tcPr>
          <w:p w14:paraId="6A3A4AD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Pobuda za pripravljenost na nesreče in preprečevanje v SEE (DPPI SEE) je regionalna pobuda, namenjena krepitvi sodelovanja med državami v regiji na področju zaščite pred nesrečami, zlasti prenos znanja in izkušenj ter vključevanje regije v evropske mreže</w:t>
            </w:r>
          </w:p>
        </w:tc>
        <w:tc>
          <w:tcPr>
            <w:tcW w:w="2332" w:type="dxa"/>
          </w:tcPr>
          <w:p w14:paraId="5956BEE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Prilagajanje</w:t>
            </w:r>
          </w:p>
        </w:tc>
        <w:tc>
          <w:tcPr>
            <w:tcW w:w="2333" w:type="dxa"/>
          </w:tcPr>
          <w:p w14:paraId="6FE75E3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1A1749B1" w14:textId="1499A202" w:rsidR="001A3E16" w:rsidRPr="007944FA" w:rsidRDefault="006112FC"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 teku</w:t>
            </w:r>
          </w:p>
        </w:tc>
      </w:tr>
      <w:tr w:rsidR="001A3E16" w:rsidRPr="0093506F" w14:paraId="5F8C6E26" w14:textId="77777777" w:rsidTr="006D46D8">
        <w:tc>
          <w:tcPr>
            <w:tcW w:w="2332" w:type="dxa"/>
          </w:tcPr>
          <w:p w14:paraId="6FF39F9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higiena, hrana za dostojno življenje v Darfurju</w:t>
            </w:r>
          </w:p>
        </w:tc>
        <w:tc>
          <w:tcPr>
            <w:tcW w:w="2332" w:type="dxa"/>
          </w:tcPr>
          <w:p w14:paraId="703F595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Sudan</w:t>
            </w:r>
          </w:p>
        </w:tc>
        <w:tc>
          <w:tcPr>
            <w:tcW w:w="2332" w:type="dxa"/>
          </w:tcPr>
          <w:p w14:paraId="49547DC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Zagotovitev dostopa do pitne vode, sanitarnih storitev, znanja, irigacijske vode in semen za kmetijstvo</w:t>
            </w:r>
          </w:p>
        </w:tc>
        <w:tc>
          <w:tcPr>
            <w:tcW w:w="2332" w:type="dxa"/>
          </w:tcPr>
          <w:p w14:paraId="496A4DA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Prilagajanje</w:t>
            </w:r>
          </w:p>
        </w:tc>
        <w:tc>
          <w:tcPr>
            <w:tcW w:w="2333" w:type="dxa"/>
          </w:tcPr>
          <w:p w14:paraId="0E30E98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057B202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7DEDB29D" w14:textId="77777777" w:rsidTr="006D46D8">
        <w:tc>
          <w:tcPr>
            <w:tcW w:w="2332" w:type="dxa"/>
          </w:tcPr>
          <w:p w14:paraId="296A91A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Pretvorba deževnice v pitno vodo</w:t>
            </w:r>
          </w:p>
        </w:tc>
        <w:tc>
          <w:tcPr>
            <w:tcW w:w="2332" w:type="dxa"/>
          </w:tcPr>
          <w:p w14:paraId="78638CE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Komori</w:t>
            </w:r>
          </w:p>
        </w:tc>
        <w:tc>
          <w:tcPr>
            <w:tcW w:w="2332" w:type="dxa"/>
          </w:tcPr>
          <w:p w14:paraId="1E22AD0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 xml:space="preserve">Razvoj odpornosti proti podnebnim spremembam in dostop do osnovnih socialnih potrebščin, zlasti </w:t>
            </w:r>
            <w:r w:rsidRPr="007944FA">
              <w:rPr>
                <w:rFonts w:ascii="Arial" w:hAnsi="Arial" w:cs="Arial"/>
                <w:sz w:val="18"/>
                <w:szCs w:val="18"/>
              </w:rPr>
              <w:lastRenderedPageBreak/>
              <w:t>samozadostnosti pri vodi in hrani</w:t>
            </w:r>
          </w:p>
        </w:tc>
        <w:tc>
          <w:tcPr>
            <w:tcW w:w="2332" w:type="dxa"/>
          </w:tcPr>
          <w:p w14:paraId="3354B74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lastRenderedPageBreak/>
              <w:t>Prilagajanje</w:t>
            </w:r>
          </w:p>
        </w:tc>
        <w:tc>
          <w:tcPr>
            <w:tcW w:w="2333" w:type="dxa"/>
          </w:tcPr>
          <w:p w14:paraId="5408723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63137EA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4AFC8646" w14:textId="77777777" w:rsidTr="006D46D8">
        <w:tc>
          <w:tcPr>
            <w:tcW w:w="2332" w:type="dxa"/>
          </w:tcPr>
          <w:p w14:paraId="22EA1FD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Obnova in nadgradnja čistilne naprave za pitno vodo v občini Nevesinje</w:t>
            </w:r>
          </w:p>
        </w:tc>
        <w:tc>
          <w:tcPr>
            <w:tcW w:w="2332" w:type="dxa"/>
          </w:tcPr>
          <w:p w14:paraId="0AD4E0E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Bosna in Hercegovina</w:t>
            </w:r>
          </w:p>
        </w:tc>
        <w:tc>
          <w:tcPr>
            <w:tcW w:w="2332" w:type="dxa"/>
          </w:tcPr>
          <w:p w14:paraId="23C5280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Zagotoviti zadostno količino pitne vode ustrezne kakovosti</w:t>
            </w:r>
          </w:p>
        </w:tc>
        <w:tc>
          <w:tcPr>
            <w:tcW w:w="2332" w:type="dxa"/>
          </w:tcPr>
          <w:p w14:paraId="5D9C94A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Prilagajanje</w:t>
            </w:r>
          </w:p>
        </w:tc>
        <w:tc>
          <w:tcPr>
            <w:tcW w:w="2333" w:type="dxa"/>
          </w:tcPr>
          <w:p w14:paraId="5AFF2F1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0ABE8B8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4F09C723" w14:textId="77777777" w:rsidTr="006D46D8">
        <w:tc>
          <w:tcPr>
            <w:tcW w:w="2332" w:type="dxa"/>
          </w:tcPr>
          <w:p w14:paraId="54B8146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Obnova in nadgradnja čistilne naprave za odpadne vode v Žitomirju</w:t>
            </w:r>
          </w:p>
        </w:tc>
        <w:tc>
          <w:tcPr>
            <w:tcW w:w="2332" w:type="dxa"/>
          </w:tcPr>
          <w:p w14:paraId="34F39F9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Ukrajina</w:t>
            </w:r>
          </w:p>
        </w:tc>
        <w:tc>
          <w:tcPr>
            <w:tcW w:w="2332" w:type="dxa"/>
          </w:tcPr>
          <w:p w14:paraId="013F2EF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Zagotoviti moderne objekte za obdelavo vseh odpadnih voda, v skladu z nacionalnimi zakonodajnimi zahtevami in Direktivo 91/271/ EEC</w:t>
            </w:r>
          </w:p>
        </w:tc>
        <w:tc>
          <w:tcPr>
            <w:tcW w:w="2332" w:type="dxa"/>
          </w:tcPr>
          <w:p w14:paraId="6FF986E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52B94F9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2A2E589A" w14:textId="06652E38" w:rsidR="001A3E16" w:rsidRPr="007944FA" w:rsidRDefault="007D787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0D1DD3D0" w14:textId="77777777" w:rsidTr="006D46D8">
        <w:trPr>
          <w:trHeight w:val="2998"/>
        </w:trPr>
        <w:tc>
          <w:tcPr>
            <w:tcW w:w="2332" w:type="dxa"/>
          </w:tcPr>
          <w:p w14:paraId="4529769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Krepitev notranje javne mobilizacije prihodkov za trajnostni razvoj (MDJP)</w:t>
            </w:r>
          </w:p>
        </w:tc>
        <w:tc>
          <w:tcPr>
            <w:tcW w:w="2332" w:type="dxa"/>
          </w:tcPr>
          <w:p w14:paraId="62B72F6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Zahodni Balkan</w:t>
            </w:r>
          </w:p>
        </w:tc>
        <w:tc>
          <w:tcPr>
            <w:tcW w:w="2332" w:type="dxa"/>
          </w:tcPr>
          <w:p w14:paraId="28A29D99"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Usposabljanje, izmenjava izkušenj in mreženje za izboljšanje razumevanja, kako okrepiti mobilizacijo javnih prihodkov za dosego ciljev trajnostnega razvoja</w:t>
            </w:r>
          </w:p>
        </w:tc>
        <w:tc>
          <w:tcPr>
            <w:tcW w:w="2332" w:type="dxa"/>
          </w:tcPr>
          <w:p w14:paraId="0184B0E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5A82675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57C3C9B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670324A7" w14:textId="77777777" w:rsidTr="006D46D8">
        <w:tc>
          <w:tcPr>
            <w:tcW w:w="2332" w:type="dxa"/>
          </w:tcPr>
          <w:p w14:paraId="4C5388BC"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Trajnostno upravljanje gozdov in divjadi v Zahodnem Balkanu 2022–2023</w:t>
            </w:r>
          </w:p>
        </w:tc>
        <w:tc>
          <w:tcPr>
            <w:tcW w:w="2332" w:type="dxa"/>
          </w:tcPr>
          <w:p w14:paraId="3BB17AA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Zahodni Balkan</w:t>
            </w:r>
          </w:p>
        </w:tc>
        <w:tc>
          <w:tcPr>
            <w:tcW w:w="2332" w:type="dxa"/>
          </w:tcPr>
          <w:p w14:paraId="22BB10C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Ustanovitev regionalne strokovne svetovalne skupine za krepitev skupnega dialoga o gozdni politiki, izboljšanje sodelovanja in izmenjava dobrih praks za trajnostni razvoj na področju upravljanja naravnih virov</w:t>
            </w:r>
          </w:p>
        </w:tc>
        <w:tc>
          <w:tcPr>
            <w:tcW w:w="2332" w:type="dxa"/>
          </w:tcPr>
          <w:p w14:paraId="7D7FF117"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30510C2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Gozdarstvo</w:t>
            </w:r>
          </w:p>
        </w:tc>
        <w:tc>
          <w:tcPr>
            <w:tcW w:w="2333" w:type="dxa"/>
          </w:tcPr>
          <w:p w14:paraId="304BCCF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7B6AFB09" w14:textId="77777777" w:rsidTr="006D46D8">
        <w:tc>
          <w:tcPr>
            <w:tcW w:w="2332" w:type="dxa"/>
          </w:tcPr>
          <w:p w14:paraId="7EA1FD5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Podpora operativni strukturi programa predpristopne pomoči za ruralni razvoj IPARD III (2021–2027)</w:t>
            </w:r>
          </w:p>
        </w:tc>
        <w:tc>
          <w:tcPr>
            <w:tcW w:w="2332" w:type="dxa"/>
          </w:tcPr>
          <w:p w14:paraId="278121A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Srbija</w:t>
            </w:r>
          </w:p>
        </w:tc>
        <w:tc>
          <w:tcPr>
            <w:tcW w:w="2332" w:type="dxa"/>
          </w:tcPr>
          <w:p w14:paraId="1FF4500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Financiranje obiska srbske delegacije za svetovanje in izmenjavo izkušenj držav članic EU pri pripravi sekundarne nacionalne zakonodaje za ustanovitev ukrepa IPARD 4 Agri-</w:t>
            </w:r>
            <w:r w:rsidRPr="007944FA">
              <w:rPr>
                <w:rFonts w:ascii="Arial" w:hAnsi="Arial" w:cs="Arial"/>
                <w:sz w:val="18"/>
                <w:szCs w:val="18"/>
              </w:rPr>
              <w:lastRenderedPageBreak/>
              <w:t>okoljskih-podnebnih ukrepov</w:t>
            </w:r>
          </w:p>
        </w:tc>
        <w:tc>
          <w:tcPr>
            <w:tcW w:w="2332" w:type="dxa"/>
          </w:tcPr>
          <w:p w14:paraId="7AAF8A1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lastRenderedPageBreak/>
              <w:t>Horizontalno</w:t>
            </w:r>
          </w:p>
        </w:tc>
        <w:tc>
          <w:tcPr>
            <w:tcW w:w="2333" w:type="dxa"/>
          </w:tcPr>
          <w:p w14:paraId="3B50805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Kmetijstvo</w:t>
            </w:r>
          </w:p>
        </w:tc>
        <w:tc>
          <w:tcPr>
            <w:tcW w:w="2333" w:type="dxa"/>
          </w:tcPr>
          <w:p w14:paraId="1A59A06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4B8ECED7" w14:textId="77777777" w:rsidTr="006D46D8">
        <w:tc>
          <w:tcPr>
            <w:tcW w:w="2332" w:type="dxa"/>
          </w:tcPr>
          <w:p w14:paraId="522D78E3"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Usposabljanje: Pogojnosti administrativnih kontrol, Evropski kmetijski garancijski sklad – EAGF in Evropski kmetijski sklad za razvoj podeželja – EAFRD</w:t>
            </w:r>
          </w:p>
        </w:tc>
        <w:tc>
          <w:tcPr>
            <w:tcW w:w="2332" w:type="dxa"/>
          </w:tcPr>
          <w:p w14:paraId="3583769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Srbija</w:t>
            </w:r>
          </w:p>
        </w:tc>
        <w:tc>
          <w:tcPr>
            <w:tcW w:w="2332" w:type="dxa"/>
          </w:tcPr>
          <w:p w14:paraId="0F69DF7E"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Dvojno razvojno sodelovanje na podlagi sprejetega akcijskega načrta za tehnično pomoč Slovenije Srbiji</w:t>
            </w:r>
          </w:p>
        </w:tc>
        <w:tc>
          <w:tcPr>
            <w:tcW w:w="2332" w:type="dxa"/>
          </w:tcPr>
          <w:p w14:paraId="6BAFADAD"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4DA6BBE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Kmetijstvo</w:t>
            </w:r>
          </w:p>
        </w:tc>
        <w:tc>
          <w:tcPr>
            <w:tcW w:w="2333" w:type="dxa"/>
          </w:tcPr>
          <w:p w14:paraId="1084A3D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0317C0A1" w14:textId="77777777" w:rsidTr="006D46D8">
        <w:trPr>
          <w:trHeight w:val="2975"/>
        </w:trPr>
        <w:tc>
          <w:tcPr>
            <w:tcW w:w="2332" w:type="dxa"/>
          </w:tcPr>
          <w:p w14:paraId="40A1F67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Predstavitev izkušenj Agencije Republike Slovenije Kmetijski trgi in razvoj podeželja v računovodstvu in izvajanju plačil</w:t>
            </w:r>
          </w:p>
        </w:tc>
        <w:tc>
          <w:tcPr>
            <w:tcW w:w="2332" w:type="dxa"/>
          </w:tcPr>
          <w:p w14:paraId="2079A780"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Turčija</w:t>
            </w:r>
          </w:p>
        </w:tc>
        <w:tc>
          <w:tcPr>
            <w:tcW w:w="2332" w:type="dxa"/>
          </w:tcPr>
          <w:p w14:paraId="761B92AB"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Dvojno razvojno sodelovanje na podlagi sprejetega akcijskega načrta za tehnično pomoč Slovenije Turčiji</w:t>
            </w:r>
          </w:p>
        </w:tc>
        <w:tc>
          <w:tcPr>
            <w:tcW w:w="2332" w:type="dxa"/>
          </w:tcPr>
          <w:p w14:paraId="1AD69AA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35F83F01"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Kmetijstvo</w:t>
            </w:r>
          </w:p>
        </w:tc>
        <w:tc>
          <w:tcPr>
            <w:tcW w:w="2333" w:type="dxa"/>
          </w:tcPr>
          <w:p w14:paraId="0F95DBA3"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525504B3" w14:textId="77777777" w:rsidTr="006D46D8">
        <w:tc>
          <w:tcPr>
            <w:tcW w:w="2332" w:type="dxa"/>
          </w:tcPr>
          <w:p w14:paraId="41458DBF"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Poglavje 11 – Kmetijstvo in razvoj podeželja</w:t>
            </w:r>
          </w:p>
        </w:tc>
        <w:tc>
          <w:tcPr>
            <w:tcW w:w="2332" w:type="dxa"/>
          </w:tcPr>
          <w:p w14:paraId="245BA72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Zahodni Balkan</w:t>
            </w:r>
          </w:p>
        </w:tc>
        <w:tc>
          <w:tcPr>
            <w:tcW w:w="2332" w:type="dxa"/>
          </w:tcPr>
          <w:p w14:paraId="6B27D6E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Zagotovitev ciljnega svetovanja in prenosa dobrih praks državam kandidatkam EU v Zahodnem Balkanu pri oblikovanju in izbiri ukrepov za širitev in izboljšanje gozdnih virov, obnovo gozdov poškodovanih zaradi požarov, in vključitev trajnostnega upravljanja divjadi</w:t>
            </w:r>
          </w:p>
        </w:tc>
        <w:tc>
          <w:tcPr>
            <w:tcW w:w="2332" w:type="dxa"/>
          </w:tcPr>
          <w:p w14:paraId="726B8EE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2355A529"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Gozdarstvo</w:t>
            </w:r>
          </w:p>
        </w:tc>
        <w:tc>
          <w:tcPr>
            <w:tcW w:w="2333" w:type="dxa"/>
          </w:tcPr>
          <w:p w14:paraId="27ADD1C4"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r w:rsidR="001A3E16" w:rsidRPr="0093506F" w14:paraId="2FEA1A87" w14:textId="77777777" w:rsidTr="006D46D8">
        <w:tc>
          <w:tcPr>
            <w:tcW w:w="2332" w:type="dxa"/>
          </w:tcPr>
          <w:p w14:paraId="22A21F38"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Ganga – satelitske slike in modeliranje poplav reke</w:t>
            </w:r>
          </w:p>
        </w:tc>
        <w:tc>
          <w:tcPr>
            <w:tcW w:w="2332" w:type="dxa"/>
          </w:tcPr>
          <w:p w14:paraId="4094792A"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Indija</w:t>
            </w:r>
          </w:p>
        </w:tc>
        <w:tc>
          <w:tcPr>
            <w:tcW w:w="2332" w:type="dxa"/>
          </w:tcPr>
          <w:p w14:paraId="1AF92796"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Usposabljanje za uporabo opreme GangaSat za boljše upravljanje poplav</w:t>
            </w:r>
          </w:p>
        </w:tc>
        <w:tc>
          <w:tcPr>
            <w:tcW w:w="2332" w:type="dxa"/>
          </w:tcPr>
          <w:p w14:paraId="63706B79"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Horizontalno</w:t>
            </w:r>
          </w:p>
        </w:tc>
        <w:tc>
          <w:tcPr>
            <w:tcW w:w="2333" w:type="dxa"/>
          </w:tcPr>
          <w:p w14:paraId="6AD7F3D2"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Voda in sanitarne storitve</w:t>
            </w:r>
          </w:p>
        </w:tc>
        <w:tc>
          <w:tcPr>
            <w:tcW w:w="2333" w:type="dxa"/>
          </w:tcPr>
          <w:p w14:paraId="79B1AA95" w14:textId="77777777" w:rsidR="001A3E16" w:rsidRPr="007944FA" w:rsidRDefault="001A3E16" w:rsidP="001A3E16">
            <w:pPr>
              <w:spacing w:before="100" w:beforeAutospacing="1" w:after="100" w:afterAutospacing="1"/>
              <w:jc w:val="both"/>
              <w:rPr>
                <w:rFonts w:ascii="Arial" w:eastAsia="Times New Roman" w:hAnsi="Arial" w:cs="Arial"/>
                <w:sz w:val="18"/>
                <w:szCs w:val="18"/>
              </w:rPr>
            </w:pPr>
            <w:r w:rsidRPr="007944FA">
              <w:rPr>
                <w:rFonts w:ascii="Arial" w:hAnsi="Arial" w:cs="Arial"/>
                <w:sz w:val="18"/>
                <w:szCs w:val="18"/>
              </w:rPr>
              <w:t>Končano</w:t>
            </w:r>
          </w:p>
        </w:tc>
      </w:tr>
    </w:tbl>
    <w:p w14:paraId="2E5D526F" w14:textId="636FD644" w:rsidR="001A3E16" w:rsidRPr="007944FA" w:rsidRDefault="002F38E7" w:rsidP="001A3E16">
      <w:pPr>
        <w:jc w:val="both"/>
        <w:rPr>
          <w:rFonts w:ascii="Arial" w:hAnsi="Arial" w:cs="Arial"/>
          <w:lang w:val="en-GB"/>
        </w:rPr>
        <w:sectPr w:rsidR="001A3E16" w:rsidRPr="007944FA" w:rsidSect="001A3E16">
          <w:pgSz w:w="16838" w:h="11906" w:orient="landscape"/>
          <w:pgMar w:top="1417" w:right="1417" w:bottom="1417" w:left="1417" w:header="708" w:footer="708" w:gutter="0"/>
          <w:cols w:space="708"/>
          <w:docGrid w:linePitch="360"/>
        </w:sectPr>
      </w:pPr>
      <w:bookmarkStart w:id="221" w:name="_Toc193195413"/>
      <w:r w:rsidRPr="007944FA">
        <w:t>Preglednica 28</w:t>
      </w:r>
      <w:r w:rsidR="00C54542" w:rsidRPr="007944FA">
        <w:t>: Ukrepi in dejavnosti, povezani s podporo za krepitev zmogljivosti, 2021–20</w:t>
      </w:r>
      <w:bookmarkEnd w:id="221"/>
      <w:r w:rsidR="00620899">
        <w:t>22</w:t>
      </w:r>
    </w:p>
    <w:p w14:paraId="112C2252" w14:textId="77777777" w:rsidR="00C54542" w:rsidRPr="007944FA" w:rsidRDefault="00C54542" w:rsidP="00620899">
      <w:pPr>
        <w:pStyle w:val="Heading1"/>
        <w:spacing w:before="0"/>
        <w:jc w:val="both"/>
      </w:pPr>
      <w:bookmarkStart w:id="222" w:name="_Toc192499442"/>
      <w:bookmarkStart w:id="223" w:name="_Toc196300853"/>
      <w:r w:rsidRPr="007944FA">
        <w:lastRenderedPageBreak/>
        <w:t>V Informacije o potrebni in prejeti finančni podpori, podpori za razvoj in prenos tehnologij ter podpori za krepitev zmogljivosti v skladu z 9.–11. členom Pariškega sporazuma</w:t>
      </w:r>
      <w:bookmarkEnd w:id="222"/>
      <w:bookmarkEnd w:id="223"/>
    </w:p>
    <w:p w14:paraId="492B122E" w14:textId="77777777" w:rsidR="00FD5DC2" w:rsidRPr="007944FA" w:rsidRDefault="00FD5DC2" w:rsidP="00FB4DC5"/>
    <w:p w14:paraId="6F57FE15" w14:textId="6600D653" w:rsidR="00FB4DC5" w:rsidRPr="007944FA" w:rsidRDefault="00FB4DC5" w:rsidP="00FB4DC5">
      <w:r w:rsidRPr="007944FA">
        <w:t xml:space="preserve">Ni </w:t>
      </w:r>
      <w:r w:rsidR="00C574A0" w:rsidRPr="007944FA">
        <w:t>na voljo.</w:t>
      </w:r>
    </w:p>
    <w:p w14:paraId="3616EAE3" w14:textId="77777777" w:rsidR="00FB4DC5" w:rsidRPr="007944FA" w:rsidRDefault="00FB4DC5" w:rsidP="00FB4DC5"/>
    <w:p w14:paraId="69937957" w14:textId="15A8731C" w:rsidR="00FB4DC5" w:rsidRPr="007944FA" w:rsidRDefault="00FB4DC5" w:rsidP="00FB4DC5"/>
    <w:p w14:paraId="7A54C273" w14:textId="77777777" w:rsidR="00FB4DC5" w:rsidRPr="007944FA" w:rsidRDefault="00FB4DC5">
      <w:r w:rsidRPr="007944FA">
        <w:br w:type="page"/>
      </w:r>
    </w:p>
    <w:p w14:paraId="3455FB34" w14:textId="77777777" w:rsidR="00C54542" w:rsidRPr="007944FA" w:rsidRDefault="00C54542" w:rsidP="00C54542">
      <w:pPr>
        <w:pStyle w:val="Heading1"/>
        <w:jc w:val="both"/>
      </w:pPr>
      <w:bookmarkStart w:id="224" w:name="_Toc192499443"/>
      <w:bookmarkStart w:id="225" w:name="_Toc196300854"/>
      <w:r w:rsidRPr="007944FA">
        <w:lastRenderedPageBreak/>
        <w:t>VI Informacije, o katerih je treba poročati ob skupni predložitvi nacionalnih sporočil in dvoletnih poročil o preglednosti vsaka štiri leta</w:t>
      </w:r>
      <w:bookmarkEnd w:id="224"/>
      <w:bookmarkEnd w:id="225"/>
    </w:p>
    <w:p w14:paraId="4E402713" w14:textId="77777777" w:rsidR="00FD5DC2" w:rsidRPr="007944FA" w:rsidRDefault="00FD5DC2" w:rsidP="00FB4DC5"/>
    <w:p w14:paraId="51224A15" w14:textId="317E1D8B" w:rsidR="00FB4DC5" w:rsidRPr="007944FA" w:rsidRDefault="00FB4DC5" w:rsidP="00FB4DC5">
      <w:r w:rsidRPr="007944FA">
        <w:t xml:space="preserve">Ni </w:t>
      </w:r>
      <w:r w:rsidR="00C574A0" w:rsidRPr="007944FA">
        <w:t>na voljo.</w:t>
      </w:r>
    </w:p>
    <w:p w14:paraId="3B2B65F5" w14:textId="746B4EC9" w:rsidR="00C54542" w:rsidRPr="007944FA" w:rsidRDefault="00FB4DC5" w:rsidP="00C54542">
      <w:r w:rsidRPr="007944FA">
        <w:br w:type="page"/>
      </w:r>
    </w:p>
    <w:p w14:paraId="0AF32D3E" w14:textId="17536029" w:rsidR="00C54542" w:rsidRPr="007944FA" w:rsidRDefault="00C54542" w:rsidP="00C54542">
      <w:pPr>
        <w:pStyle w:val="Heading1"/>
      </w:pPr>
      <w:bookmarkStart w:id="226" w:name="_Toc192499444"/>
      <w:bookmarkStart w:id="227" w:name="_Toc196300855"/>
      <w:r w:rsidRPr="007944FA">
        <w:lastRenderedPageBreak/>
        <w:t>VII</w:t>
      </w:r>
      <w:r w:rsidR="002419BE" w:rsidRPr="007944FA">
        <w:t xml:space="preserve">    </w:t>
      </w:r>
      <w:r w:rsidRPr="007944FA">
        <w:t>Informacije o prilagodljivosti</w:t>
      </w:r>
      <w:bookmarkEnd w:id="226"/>
      <w:bookmarkEnd w:id="227"/>
    </w:p>
    <w:p w14:paraId="35F16230" w14:textId="77777777" w:rsidR="002419BE" w:rsidRPr="007944FA" w:rsidRDefault="002419BE" w:rsidP="00FB4DC5"/>
    <w:p w14:paraId="2492F8D7" w14:textId="66326248" w:rsidR="00FB4DC5" w:rsidRPr="007944FA" w:rsidRDefault="00FB4DC5" w:rsidP="00FB4DC5">
      <w:r w:rsidRPr="007944FA">
        <w:t xml:space="preserve">Ni </w:t>
      </w:r>
      <w:r w:rsidR="00C574A0" w:rsidRPr="007944FA">
        <w:t>na voljo.</w:t>
      </w:r>
    </w:p>
    <w:p w14:paraId="129F7EF1" w14:textId="77777777" w:rsidR="00FB4DC5" w:rsidRPr="007944FA" w:rsidRDefault="00FB4DC5">
      <w:r w:rsidRPr="007944FA">
        <w:br w:type="page"/>
      </w:r>
    </w:p>
    <w:p w14:paraId="40E9F6F2" w14:textId="77777777" w:rsidR="00C54542" w:rsidRPr="007944FA" w:rsidRDefault="00C54542" w:rsidP="00C54542">
      <w:pPr>
        <w:pStyle w:val="Heading1"/>
      </w:pPr>
      <w:bookmarkStart w:id="228" w:name="_Toc192499445"/>
      <w:bookmarkStart w:id="229" w:name="_Toc196300856"/>
      <w:r w:rsidRPr="007944FA">
        <w:lastRenderedPageBreak/>
        <w:t>VIII Izboljšave pri poročanju skozi čas</w:t>
      </w:r>
      <w:bookmarkEnd w:id="228"/>
      <w:bookmarkEnd w:id="229"/>
    </w:p>
    <w:p w14:paraId="1A45E51C" w14:textId="77777777" w:rsidR="002419BE" w:rsidRPr="007944FA" w:rsidRDefault="002419BE" w:rsidP="00FB4DC5"/>
    <w:p w14:paraId="45D43B94" w14:textId="7F8E89B5" w:rsidR="00FB4DC5" w:rsidRDefault="00FB4DC5" w:rsidP="00FB4DC5">
      <w:r w:rsidRPr="007944FA">
        <w:t xml:space="preserve">Ni </w:t>
      </w:r>
      <w:r w:rsidR="00C574A0" w:rsidRPr="007944FA">
        <w:t>na voljo</w:t>
      </w:r>
      <w:r w:rsidRPr="007944FA">
        <w:t xml:space="preserve"> za prvo BTR poročanje</w:t>
      </w:r>
      <w:r w:rsidR="00C54542" w:rsidRPr="007944FA">
        <w:t>.</w:t>
      </w:r>
    </w:p>
    <w:p w14:paraId="14709073" w14:textId="77777777" w:rsidR="00FB4DC5" w:rsidRDefault="00FB4DC5">
      <w:r>
        <w:br w:type="page"/>
      </w:r>
    </w:p>
    <w:p w14:paraId="589E27DA" w14:textId="4AA31C11" w:rsidR="00C54542" w:rsidRPr="00561353" w:rsidRDefault="00C54542" w:rsidP="00C54542">
      <w:pPr>
        <w:pStyle w:val="Heading1"/>
        <w:jc w:val="both"/>
      </w:pPr>
      <w:bookmarkStart w:id="230" w:name="_Toc192499446"/>
      <w:bookmarkStart w:id="231" w:name="_Toc196300857"/>
      <w:r>
        <w:lastRenderedPageBreak/>
        <w:t xml:space="preserve">IX </w:t>
      </w:r>
      <w:r w:rsidRPr="00561353">
        <w:t xml:space="preserve">Druge informacije, ki jih pogodbenica šteje za </w:t>
      </w:r>
      <w:r>
        <w:t xml:space="preserve">pomembne </w:t>
      </w:r>
      <w:r w:rsidRPr="00561353">
        <w:t>za dosego cilja Pariškega sporazuma in primerne za vključitev v dvoletno poročilo o preglednosti</w:t>
      </w:r>
      <w:bookmarkEnd w:id="230"/>
      <w:bookmarkEnd w:id="231"/>
    </w:p>
    <w:p w14:paraId="3C605927" w14:textId="77777777" w:rsidR="00702355" w:rsidRDefault="00702355" w:rsidP="00702355">
      <w:pPr>
        <w:jc w:val="both"/>
        <w:rPr>
          <w:rFonts w:ascii="Arial" w:hAnsi="Arial" w:cs="Arial"/>
        </w:rPr>
      </w:pPr>
    </w:p>
    <w:p w14:paraId="3EDA5629" w14:textId="3FA5E930" w:rsidR="00702355" w:rsidRPr="00702355" w:rsidRDefault="00702355" w:rsidP="00702355">
      <w:pPr>
        <w:jc w:val="both"/>
        <w:rPr>
          <w:rFonts w:ascii="Arial" w:hAnsi="Arial" w:cs="Arial"/>
        </w:rPr>
      </w:pPr>
      <w:r w:rsidRPr="00702355">
        <w:rPr>
          <w:rFonts w:ascii="Arial" w:hAnsi="Arial" w:cs="Arial"/>
        </w:rPr>
        <w:t xml:space="preserve">Slovenija že vrsto let aktivno promovira človekovo pravico do čistega, zdravega in trajnostnega okolja (HR2HE) na mednarodnem prizorišču. Pred desetletjem je bila ključna pri začetku razprave o tej temi </w:t>
      </w:r>
      <w:r w:rsidR="003C7CC4">
        <w:rPr>
          <w:rFonts w:ascii="Arial" w:hAnsi="Arial" w:cs="Arial"/>
        </w:rPr>
        <w:t xml:space="preserve">in </w:t>
      </w:r>
      <w:r w:rsidRPr="00702355">
        <w:rPr>
          <w:rFonts w:ascii="Arial" w:hAnsi="Arial" w:cs="Arial"/>
        </w:rPr>
        <w:t xml:space="preserve">je skupaj z drugimi državami spodbudila sprejetje resolucije o HR2HE najprej v Svetu za človekove pravice v Ženevi oktobra 2021 in nato v Generalni skupščini Združenih narodov julija 2022. Ta resolucija priznava tesno povezanost med degradacijo okolja, ogrožanjem biotske raznovrstnosti, onesnaževanjem naravnih virov, podnebnimi spremembami in uresničevanjem človekovih pravic. </w:t>
      </w:r>
      <w:r w:rsidR="003C7CC4" w:rsidRPr="00702355">
        <w:rPr>
          <w:rFonts w:ascii="Arial" w:hAnsi="Arial" w:cs="Arial"/>
        </w:rPr>
        <w:t>Spreje</w:t>
      </w:r>
      <w:r w:rsidR="003C7CC4">
        <w:rPr>
          <w:rFonts w:ascii="Arial" w:hAnsi="Arial" w:cs="Arial"/>
        </w:rPr>
        <w:t>tje</w:t>
      </w:r>
      <w:r w:rsidR="003C7CC4" w:rsidRPr="00702355">
        <w:rPr>
          <w:rFonts w:ascii="Arial" w:hAnsi="Arial" w:cs="Arial"/>
        </w:rPr>
        <w:t xml:space="preserve"> </w:t>
      </w:r>
      <w:r w:rsidRPr="00702355">
        <w:rPr>
          <w:rFonts w:ascii="Arial" w:hAnsi="Arial" w:cs="Arial"/>
        </w:rPr>
        <w:t xml:space="preserve">resolucije </w:t>
      </w:r>
      <w:r w:rsidR="003C7CC4">
        <w:rPr>
          <w:rFonts w:ascii="Arial" w:hAnsi="Arial" w:cs="Arial"/>
        </w:rPr>
        <w:t>je</w:t>
      </w:r>
      <w:r w:rsidR="003C7CC4" w:rsidRPr="00702355">
        <w:rPr>
          <w:rFonts w:ascii="Arial" w:hAnsi="Arial" w:cs="Arial"/>
        </w:rPr>
        <w:t xml:space="preserve"> </w:t>
      </w:r>
      <w:r w:rsidRPr="00702355">
        <w:rPr>
          <w:rFonts w:ascii="Arial" w:hAnsi="Arial" w:cs="Arial"/>
        </w:rPr>
        <w:t>pomemben mejnik v prizadevanjih Slovenije za povezovanje okolja s človekovimi pravicami ter krepi upanje in zaupanje prihodnjih generacij v trajnostno prihodnost planeta.</w:t>
      </w:r>
    </w:p>
    <w:p w14:paraId="59283F0E" w14:textId="36957920" w:rsidR="00702355" w:rsidRPr="00702355" w:rsidRDefault="00702355" w:rsidP="00702355">
      <w:pPr>
        <w:jc w:val="both"/>
        <w:rPr>
          <w:rFonts w:ascii="Arial" w:hAnsi="Arial" w:cs="Arial"/>
        </w:rPr>
      </w:pPr>
      <w:r w:rsidRPr="00702355">
        <w:rPr>
          <w:rFonts w:ascii="Arial" w:hAnsi="Arial" w:cs="Arial"/>
        </w:rPr>
        <w:t xml:space="preserve">V okviru 75. obletnice Splošne deklaracije človekovih pravic je Slovenija skupaj z drugimi državami decembra 2023 objavila skupinsko zavezo za normativni napredek in učinkovito izvajanje HR2HE na nacionalni in </w:t>
      </w:r>
      <w:r w:rsidR="003C7CC4">
        <w:rPr>
          <w:rFonts w:ascii="Arial" w:hAnsi="Arial" w:cs="Arial"/>
        </w:rPr>
        <w:t>svetov</w:t>
      </w:r>
      <w:r w:rsidR="003C7CC4" w:rsidRPr="00702355">
        <w:rPr>
          <w:rFonts w:ascii="Arial" w:hAnsi="Arial" w:cs="Arial"/>
        </w:rPr>
        <w:t xml:space="preserve">ni </w:t>
      </w:r>
      <w:r w:rsidRPr="00702355">
        <w:rPr>
          <w:rFonts w:ascii="Arial" w:hAnsi="Arial" w:cs="Arial"/>
        </w:rPr>
        <w:t xml:space="preserve">ravni, </w:t>
      </w:r>
      <w:r w:rsidR="00065628">
        <w:rPr>
          <w:rFonts w:ascii="Arial" w:hAnsi="Arial" w:cs="Arial"/>
        </w:rPr>
        <w:t xml:space="preserve">z namenom </w:t>
      </w:r>
      <w:r w:rsidRPr="00702355">
        <w:rPr>
          <w:rFonts w:ascii="Arial" w:hAnsi="Arial" w:cs="Arial"/>
        </w:rPr>
        <w:t>postaviti človekove pravice v središče globalnega okoljskega delovanja. Slovenija si prizadeva tudi za vključitev HR2HE v dokumente COP.</w:t>
      </w:r>
    </w:p>
    <w:p w14:paraId="7807E5F5" w14:textId="32CFE994" w:rsidR="00702355" w:rsidRPr="00702355" w:rsidRDefault="00702355" w:rsidP="00702355">
      <w:pPr>
        <w:jc w:val="both"/>
        <w:rPr>
          <w:rFonts w:ascii="Arial" w:hAnsi="Arial" w:cs="Arial"/>
        </w:rPr>
      </w:pPr>
      <w:r w:rsidRPr="00702355">
        <w:rPr>
          <w:rFonts w:ascii="Arial" w:hAnsi="Arial" w:cs="Arial"/>
        </w:rPr>
        <w:t xml:space="preserve">Povezovanje človekovih pravic s podnebnimi ukrepi je ključno za zagotavljanje učinkovitih in pravičnih rešitev. Podnebne spremembe nesorazmerno vplivajo na različne družbene skupine, kot so ženske, otroci, invalidi, starejši ter osebe in skupine v ranljivih razmerah. Spoštovanje načela vključenosti žensk v podnebno diplomacijo, okoljsko upravljanje in procese odločanja prinaša večjo učinkovitost podnebnih politik, krepi družbeno odpornost ter prispeva k varnosti in preprečevanju </w:t>
      </w:r>
      <w:r w:rsidR="003C7CC4">
        <w:rPr>
          <w:rFonts w:ascii="Arial" w:hAnsi="Arial" w:cs="Arial"/>
        </w:rPr>
        <w:t>spor</w:t>
      </w:r>
      <w:r w:rsidR="003C7CC4" w:rsidRPr="00702355">
        <w:rPr>
          <w:rFonts w:ascii="Arial" w:hAnsi="Arial" w:cs="Arial"/>
        </w:rPr>
        <w:t>ov</w:t>
      </w:r>
      <w:r w:rsidRPr="00702355">
        <w:rPr>
          <w:rFonts w:ascii="Arial" w:hAnsi="Arial" w:cs="Arial"/>
        </w:rPr>
        <w:t xml:space="preserve">. Slovenija </w:t>
      </w:r>
      <w:r w:rsidR="003C7CC4">
        <w:rPr>
          <w:rFonts w:ascii="Arial" w:hAnsi="Arial" w:cs="Arial"/>
        </w:rPr>
        <w:t>si še naprej prizadeva</w:t>
      </w:r>
      <w:r w:rsidRPr="00702355">
        <w:rPr>
          <w:rFonts w:ascii="Arial" w:hAnsi="Arial" w:cs="Arial"/>
        </w:rPr>
        <w:t xml:space="preserve"> za vključevanje vidika spola v podnebne politike, saj to ni le vprašanje enakosti, temveč tudi </w:t>
      </w:r>
      <w:r w:rsidR="00BF6F53" w:rsidRPr="00702355">
        <w:rPr>
          <w:rFonts w:ascii="Arial" w:hAnsi="Arial" w:cs="Arial"/>
        </w:rPr>
        <w:t>ključ</w:t>
      </w:r>
      <w:r w:rsidR="00BF6F53">
        <w:rPr>
          <w:rFonts w:ascii="Arial" w:hAnsi="Arial" w:cs="Arial"/>
        </w:rPr>
        <w:t>ni</w:t>
      </w:r>
      <w:r w:rsidR="00BF6F53" w:rsidRPr="00702355">
        <w:rPr>
          <w:rFonts w:ascii="Arial" w:hAnsi="Arial" w:cs="Arial"/>
        </w:rPr>
        <w:t xml:space="preserve"> </w:t>
      </w:r>
      <w:r w:rsidRPr="00702355">
        <w:rPr>
          <w:rFonts w:ascii="Arial" w:hAnsi="Arial" w:cs="Arial"/>
        </w:rPr>
        <w:t>dejavnik za dosego trajnostnih in dolgoročnih rešitev.</w:t>
      </w:r>
    </w:p>
    <w:p w14:paraId="620DDB18" w14:textId="728FCFD5" w:rsidR="00702355" w:rsidRPr="00702355" w:rsidRDefault="00702355" w:rsidP="00702355">
      <w:pPr>
        <w:jc w:val="both"/>
        <w:rPr>
          <w:rFonts w:ascii="Arial" w:hAnsi="Arial" w:cs="Arial"/>
        </w:rPr>
      </w:pPr>
      <w:r w:rsidRPr="00702355">
        <w:rPr>
          <w:rFonts w:ascii="Arial" w:hAnsi="Arial" w:cs="Arial"/>
        </w:rPr>
        <w:t xml:space="preserve">V svoji zunanji politiki Slovenija deluje </w:t>
      </w:r>
      <w:r w:rsidR="003C7CC4">
        <w:rPr>
          <w:rFonts w:ascii="Arial" w:hAnsi="Arial" w:cs="Arial"/>
        </w:rPr>
        <w:t xml:space="preserve">predvsem </w:t>
      </w:r>
      <w:r w:rsidRPr="00702355">
        <w:rPr>
          <w:rFonts w:ascii="Arial" w:hAnsi="Arial" w:cs="Arial"/>
        </w:rPr>
        <w:t xml:space="preserve">na področju podnebja, voda, opolnomočenja žensk in okolja. Kot članica skupine prijateljev za podnebno varnost v OZN med tematskimi </w:t>
      </w:r>
      <w:r w:rsidR="003C7CC4">
        <w:rPr>
          <w:rFonts w:ascii="Arial" w:hAnsi="Arial" w:cs="Arial"/>
        </w:rPr>
        <w:t>prednostnimi nalogami</w:t>
      </w:r>
      <w:r w:rsidR="003C7CC4" w:rsidRPr="00702355">
        <w:rPr>
          <w:rFonts w:ascii="Arial" w:hAnsi="Arial" w:cs="Arial"/>
        </w:rPr>
        <w:t xml:space="preserve"> </w:t>
      </w:r>
      <w:r w:rsidRPr="00702355">
        <w:rPr>
          <w:rFonts w:ascii="Arial" w:hAnsi="Arial" w:cs="Arial"/>
        </w:rPr>
        <w:t xml:space="preserve">v Varnostnem svetu OZN </w:t>
      </w:r>
      <w:r w:rsidR="003C7CC4">
        <w:rPr>
          <w:rFonts w:ascii="Arial" w:hAnsi="Arial" w:cs="Arial"/>
        </w:rPr>
        <w:t>poudarj</w:t>
      </w:r>
      <w:r w:rsidR="003C7CC4" w:rsidRPr="00702355">
        <w:rPr>
          <w:rFonts w:ascii="Arial" w:hAnsi="Arial" w:cs="Arial"/>
        </w:rPr>
        <w:t xml:space="preserve">a </w:t>
      </w:r>
      <w:r w:rsidRPr="00702355">
        <w:rPr>
          <w:rFonts w:ascii="Arial" w:hAnsi="Arial" w:cs="Arial"/>
        </w:rPr>
        <w:t xml:space="preserve">podnebje, mir in varnost, </w:t>
      </w:r>
      <w:r w:rsidR="003C7CC4">
        <w:rPr>
          <w:rFonts w:ascii="Arial" w:hAnsi="Arial" w:cs="Arial"/>
        </w:rPr>
        <w:t>še posebej</w:t>
      </w:r>
      <w:r w:rsidRPr="00702355">
        <w:rPr>
          <w:rFonts w:ascii="Arial" w:hAnsi="Arial" w:cs="Arial"/>
        </w:rPr>
        <w:t xml:space="preserve"> vodn</w:t>
      </w:r>
      <w:r w:rsidR="003C7CC4">
        <w:rPr>
          <w:rFonts w:ascii="Arial" w:hAnsi="Arial" w:cs="Arial"/>
        </w:rPr>
        <w:t>o</w:t>
      </w:r>
      <w:r w:rsidRPr="00702355">
        <w:rPr>
          <w:rFonts w:ascii="Arial" w:hAnsi="Arial" w:cs="Arial"/>
        </w:rPr>
        <w:t xml:space="preserve"> varnost, opolnomočenj</w:t>
      </w:r>
      <w:r w:rsidR="003C7CC4">
        <w:rPr>
          <w:rFonts w:ascii="Arial" w:hAnsi="Arial" w:cs="Arial"/>
        </w:rPr>
        <w:t>e</w:t>
      </w:r>
      <w:r w:rsidRPr="00702355">
        <w:rPr>
          <w:rFonts w:ascii="Arial" w:hAnsi="Arial" w:cs="Arial"/>
        </w:rPr>
        <w:t xml:space="preserve"> žensk in preprečevanj</w:t>
      </w:r>
      <w:r w:rsidR="003C7CC4">
        <w:rPr>
          <w:rFonts w:ascii="Arial" w:hAnsi="Arial" w:cs="Arial"/>
        </w:rPr>
        <w:t>e</w:t>
      </w:r>
      <w:r w:rsidRPr="00702355">
        <w:rPr>
          <w:rFonts w:ascii="Arial" w:hAnsi="Arial" w:cs="Arial"/>
        </w:rPr>
        <w:t xml:space="preserve"> </w:t>
      </w:r>
      <w:r w:rsidR="003C7CC4">
        <w:rPr>
          <w:rFonts w:ascii="Arial" w:hAnsi="Arial" w:cs="Arial"/>
        </w:rPr>
        <w:t>spor</w:t>
      </w:r>
      <w:r w:rsidR="003C7CC4" w:rsidRPr="00702355">
        <w:rPr>
          <w:rFonts w:ascii="Arial" w:hAnsi="Arial" w:cs="Arial"/>
        </w:rPr>
        <w:t>ov</w:t>
      </w:r>
      <w:r w:rsidRPr="00702355">
        <w:rPr>
          <w:rFonts w:ascii="Arial" w:hAnsi="Arial" w:cs="Arial"/>
        </w:rPr>
        <w:t xml:space="preserve">. Slovenija aktivno deluje za vključevanje teh vidikov v </w:t>
      </w:r>
      <w:r w:rsidR="00BF6F53">
        <w:rPr>
          <w:rFonts w:ascii="Arial" w:hAnsi="Arial" w:cs="Arial"/>
        </w:rPr>
        <w:t>delo</w:t>
      </w:r>
      <w:r w:rsidR="003C7CC4" w:rsidRPr="00702355">
        <w:rPr>
          <w:rFonts w:ascii="Arial" w:hAnsi="Arial" w:cs="Arial"/>
        </w:rPr>
        <w:t xml:space="preserve"> </w:t>
      </w:r>
      <w:r w:rsidRPr="00702355">
        <w:rPr>
          <w:rFonts w:ascii="Arial" w:hAnsi="Arial" w:cs="Arial"/>
        </w:rPr>
        <w:t>Varnostnega sveta OZN, organizira razprave (odprta razprava, Arria format) ter je leta 2025 članica neformalne ekspertne skupine za podnebje, mir in varnost Varnostnega sveta OZN.</w:t>
      </w:r>
    </w:p>
    <w:p w14:paraId="23D43E39" w14:textId="2B4C2BD9" w:rsidR="00FB4DC5" w:rsidRPr="00702355" w:rsidRDefault="00702355" w:rsidP="00702355">
      <w:pPr>
        <w:jc w:val="both"/>
        <w:rPr>
          <w:rFonts w:ascii="Arial" w:hAnsi="Arial" w:cs="Arial"/>
        </w:rPr>
      </w:pPr>
      <w:r w:rsidRPr="00702355">
        <w:rPr>
          <w:rFonts w:ascii="Arial" w:hAnsi="Arial" w:cs="Arial"/>
        </w:rPr>
        <w:t>Tematiko podnebnih sprememb, miru in varnosti Slovenija obravnava tudi na mednarodnih konferencah, kot je Dan Afrike. Center za izobraževanje in usposabljanje za sodelovanje v mirovnih operacijah in misijah (POTC), ki deluje v okviru Centra za evropsko sodelovanje (CEP), izvaja letno izobraževanje na temo podnebnih sprememb, miru in varnosti za pripadnike mirovnih misij iz tretjih držav.</w:t>
      </w:r>
    </w:p>
    <w:p w14:paraId="3852114C" w14:textId="77777777" w:rsidR="00FB4DC5" w:rsidRDefault="00FB4DC5">
      <w:r>
        <w:br w:type="page"/>
      </w:r>
    </w:p>
    <w:p w14:paraId="2ABD874C" w14:textId="77777777" w:rsidR="00C54542" w:rsidRPr="007944FA" w:rsidRDefault="00C54542" w:rsidP="00C54542">
      <w:pPr>
        <w:pStyle w:val="Heading1"/>
      </w:pPr>
      <w:bookmarkStart w:id="232" w:name="_Toc192499447"/>
      <w:bookmarkStart w:id="233" w:name="_Toc196300858"/>
      <w:r w:rsidRPr="007944FA">
        <w:lastRenderedPageBreak/>
        <w:t>Priloge</w:t>
      </w:r>
      <w:bookmarkEnd w:id="232"/>
      <w:bookmarkEnd w:id="233"/>
    </w:p>
    <w:p w14:paraId="43FC3F28" w14:textId="77777777" w:rsidR="00C54542" w:rsidRPr="007944FA" w:rsidRDefault="00C54542" w:rsidP="00C54542">
      <w:pPr>
        <w:jc w:val="both"/>
        <w:rPr>
          <w:rFonts w:ascii="Arial" w:hAnsi="Arial" w:cs="Arial"/>
        </w:rPr>
      </w:pPr>
      <w:r w:rsidRPr="007944FA">
        <w:rPr>
          <w:rFonts w:ascii="Arial" w:hAnsi="Arial" w:cs="Arial"/>
        </w:rPr>
        <w:t xml:space="preserve">Dvoletno poročilo o preglednosti vsebuje poročilo skupaj z informacijami, predloženimi v tabelarnem formatu v CRT in CTF preglednicah, zato so naslednji aneksi na voljo kot ločene oddaje na spletni strani UNFCCC: </w:t>
      </w:r>
    </w:p>
    <w:p w14:paraId="3F0FC57C" w14:textId="77777777" w:rsidR="00C54542" w:rsidRPr="007944FA" w:rsidRDefault="00C54542" w:rsidP="00C54542">
      <w:pPr>
        <w:ind w:left="360"/>
        <w:jc w:val="both"/>
        <w:rPr>
          <w:rFonts w:ascii="Arial" w:hAnsi="Arial" w:cs="Arial"/>
        </w:rPr>
      </w:pPr>
      <w:r w:rsidRPr="007944FA">
        <w:rPr>
          <w:rFonts w:ascii="Arial" w:hAnsi="Arial" w:cs="Arial"/>
        </w:rPr>
        <w:t xml:space="preserve">• Skupne preglednice za emisije in ponore toplogrednih plinov, </w:t>
      </w:r>
    </w:p>
    <w:p w14:paraId="5B180BB9" w14:textId="02FCFA06" w:rsidR="00C54542" w:rsidRPr="007944FA" w:rsidRDefault="00C54542" w:rsidP="00C54542">
      <w:pPr>
        <w:ind w:left="360"/>
        <w:jc w:val="both"/>
        <w:rPr>
          <w:rFonts w:ascii="Arial" w:hAnsi="Arial" w:cs="Arial"/>
        </w:rPr>
      </w:pPr>
      <w:r w:rsidRPr="007944FA">
        <w:rPr>
          <w:rFonts w:ascii="Arial" w:hAnsi="Arial" w:cs="Arial"/>
        </w:rPr>
        <w:t xml:space="preserve">• Skupni </w:t>
      </w:r>
      <w:r w:rsidR="0018317A" w:rsidRPr="007944FA">
        <w:rPr>
          <w:rFonts w:ascii="Arial" w:hAnsi="Arial" w:cs="Arial"/>
        </w:rPr>
        <w:t>preglednični</w:t>
      </w:r>
      <w:r w:rsidRPr="007944FA">
        <w:rPr>
          <w:rFonts w:ascii="Arial" w:hAnsi="Arial" w:cs="Arial"/>
        </w:rPr>
        <w:t xml:space="preserve"> formati za informacije, potrebne za spremljanje napredka, </w:t>
      </w:r>
    </w:p>
    <w:p w14:paraId="4486A4B4" w14:textId="170D3D10" w:rsidR="00C54542" w:rsidRPr="007944FA" w:rsidRDefault="00C54542" w:rsidP="00C54542">
      <w:pPr>
        <w:ind w:left="360"/>
        <w:jc w:val="both"/>
        <w:rPr>
          <w:rFonts w:ascii="Arial" w:hAnsi="Arial" w:cs="Arial"/>
        </w:rPr>
      </w:pPr>
      <w:r w:rsidRPr="007944FA">
        <w:rPr>
          <w:rFonts w:ascii="Arial" w:hAnsi="Arial" w:cs="Arial"/>
        </w:rPr>
        <w:t xml:space="preserve">• Skupni </w:t>
      </w:r>
      <w:r w:rsidR="0018317A" w:rsidRPr="007944FA">
        <w:rPr>
          <w:rFonts w:ascii="Arial" w:hAnsi="Arial" w:cs="Arial"/>
        </w:rPr>
        <w:t>preglednični</w:t>
      </w:r>
      <w:r w:rsidRPr="007944FA">
        <w:rPr>
          <w:rFonts w:ascii="Arial" w:hAnsi="Arial" w:cs="Arial"/>
        </w:rPr>
        <w:t xml:space="preserve"> formati za informacije o zagotovljeni in mobilizirani podpori. </w:t>
      </w:r>
    </w:p>
    <w:p w14:paraId="7C6967D3" w14:textId="77777777" w:rsidR="00C54542" w:rsidRPr="007944FA" w:rsidRDefault="00C54542" w:rsidP="00C54542">
      <w:pPr>
        <w:jc w:val="both"/>
        <w:rPr>
          <w:rFonts w:ascii="Arial" w:hAnsi="Arial" w:cs="Arial"/>
        </w:rPr>
      </w:pPr>
      <w:r w:rsidRPr="007944FA">
        <w:rPr>
          <w:rFonts w:ascii="Arial" w:hAnsi="Arial" w:cs="Arial"/>
        </w:rPr>
        <w:t>Dokument o nacionalnih evidencah se predloži kot samostojen dokument.</w:t>
      </w:r>
    </w:p>
    <w:p w14:paraId="3850E3EB" w14:textId="77777777" w:rsidR="00CC4C6D" w:rsidRPr="007944FA" w:rsidRDefault="00CC4C6D" w:rsidP="00C54542">
      <w:pPr>
        <w:rPr>
          <w:rFonts w:ascii="Arial" w:hAnsi="Arial" w:cs="Arial"/>
        </w:rPr>
      </w:pPr>
    </w:p>
    <w:p w14:paraId="6B1326D0" w14:textId="77777777" w:rsidR="00CC4C6D" w:rsidRPr="007944FA" w:rsidRDefault="00CC4C6D" w:rsidP="00C54542">
      <w:pPr>
        <w:rPr>
          <w:rFonts w:ascii="Arial" w:hAnsi="Arial" w:cs="Arial"/>
        </w:rPr>
      </w:pPr>
    </w:p>
    <w:p w14:paraId="5234ECBC" w14:textId="52DF032E" w:rsidR="00FB4DC5" w:rsidRPr="007944FA" w:rsidRDefault="00FB4DC5" w:rsidP="00CC4C6D">
      <w:pPr>
        <w:pStyle w:val="Standardtext"/>
        <w:rPr>
          <w:b/>
          <w:bCs/>
          <w:szCs w:val="24"/>
        </w:rPr>
      </w:pPr>
      <w:r w:rsidRPr="007944FA">
        <w:rPr>
          <w:rFonts w:ascii="Arial" w:hAnsi="Arial" w:cs="Arial"/>
        </w:rPr>
        <w:br w:type="page"/>
      </w:r>
    </w:p>
    <w:p w14:paraId="7FD2E8BF" w14:textId="58377072" w:rsidR="00FB4DC5" w:rsidRPr="007944FA" w:rsidRDefault="00FB4DC5" w:rsidP="003E4B53">
      <w:pPr>
        <w:pStyle w:val="Heading2"/>
        <w:pBdr>
          <w:left w:val="single" w:sz="24" w:space="4" w:color="529DBA"/>
        </w:pBdr>
      </w:pPr>
      <w:bookmarkStart w:id="234" w:name="_Toc196300859"/>
      <w:r w:rsidRPr="007944FA">
        <w:lastRenderedPageBreak/>
        <w:t xml:space="preserve">Priloga 1: </w:t>
      </w:r>
      <w:r w:rsidR="00C574A0" w:rsidRPr="007944FA">
        <w:t xml:space="preserve">Skupne </w:t>
      </w:r>
      <w:r w:rsidR="00825FC8" w:rsidRPr="007944FA">
        <w:t>preglednične oblike</w:t>
      </w:r>
      <w:r w:rsidR="00C574A0" w:rsidRPr="007944FA">
        <w:t xml:space="preserve"> informacij, potrebnih za spremljanje napredka</w:t>
      </w:r>
      <w:bookmarkEnd w:id="234"/>
    </w:p>
    <w:p w14:paraId="70FE579C" w14:textId="2C61EA97" w:rsidR="005C043B" w:rsidRPr="007944FA" w:rsidRDefault="005C043B" w:rsidP="0024256B">
      <w:pPr>
        <w:spacing w:line="240" w:lineRule="auto"/>
      </w:pPr>
    </w:p>
    <w:p w14:paraId="3F574497" w14:textId="77777777" w:rsidR="00CC4C6D" w:rsidRPr="007944FA" w:rsidRDefault="00CC4C6D" w:rsidP="0024256B">
      <w:pPr>
        <w:pStyle w:val="Standardtext"/>
        <w:keepNext/>
        <w:pBdr>
          <w:top w:val="single" w:sz="4" w:space="1" w:color="auto"/>
          <w:left w:val="single" w:sz="4" w:space="4" w:color="auto"/>
          <w:bottom w:val="single" w:sz="4" w:space="1" w:color="auto"/>
          <w:right w:val="single" w:sz="4" w:space="4" w:color="auto"/>
        </w:pBdr>
        <w:spacing w:line="240" w:lineRule="auto"/>
        <w:rPr>
          <w:rFonts w:ascii="Arial" w:hAnsi="Arial" w:cs="Arial"/>
          <w:b/>
          <w:sz w:val="22"/>
        </w:rPr>
      </w:pPr>
      <w:r w:rsidRPr="007944FA">
        <w:rPr>
          <w:rFonts w:ascii="Arial" w:hAnsi="Arial" w:cs="Arial"/>
          <w:b/>
          <w:sz w:val="22"/>
        </w:rPr>
        <w:t>Naslednje tabele vsebujejo skupne informacije za BTR za EU in države članice</w:t>
      </w:r>
    </w:p>
    <w:p w14:paraId="1FB9D605" w14:textId="77777777" w:rsidR="00CC4C6D" w:rsidRPr="003E4B53" w:rsidRDefault="00CC4C6D" w:rsidP="0024256B">
      <w:pPr>
        <w:spacing w:before="268" w:after="41" w:line="240" w:lineRule="auto"/>
        <w:ind w:left="132" w:right="1429"/>
        <w:jc w:val="both"/>
        <w:rPr>
          <w:rFonts w:ascii="Arial" w:hAnsi="Arial" w:cs="Arial"/>
          <w:b/>
          <w:i/>
          <w:sz w:val="18"/>
          <w:szCs w:val="18"/>
        </w:rPr>
      </w:pPr>
      <w:r w:rsidRPr="003E4B53">
        <w:rPr>
          <w:rFonts w:ascii="Arial" w:hAnsi="Arial" w:cs="Arial"/>
          <w:b/>
          <w:sz w:val="18"/>
          <w:szCs w:val="18"/>
        </w:rPr>
        <w:t xml:space="preserve">Opis nacionalno določenega prispevka pogodbenice v skladu s 4. členom Pariškega sporazuma, vključno s posodobitvami </w:t>
      </w:r>
      <w:r w:rsidRPr="003E4B53">
        <w:rPr>
          <w:rFonts w:ascii="Arial" w:hAnsi="Arial" w:cs="Arial"/>
          <w:b/>
          <w:i/>
          <w:sz w:val="18"/>
          <w:szCs w:val="18"/>
        </w:rPr>
        <w:t>a</w:t>
      </w:r>
    </w:p>
    <w:tbl>
      <w:tblPr>
        <w:tblStyle w:val="TableNormal1"/>
        <w:tblW w:w="0" w:type="auto"/>
        <w:tblInd w:w="133" w:type="dxa"/>
        <w:tblLayout w:type="fixed"/>
        <w:tblLook w:val="01E0" w:firstRow="1" w:lastRow="1" w:firstColumn="1" w:lastColumn="1" w:noHBand="0" w:noVBand="0"/>
      </w:tblPr>
      <w:tblGrid>
        <w:gridCol w:w="3128"/>
        <w:gridCol w:w="6237"/>
      </w:tblGrid>
      <w:tr w:rsidR="00CC4C6D" w:rsidRPr="003E4B53" w14:paraId="362A2271" w14:textId="77777777" w:rsidTr="006D46D8">
        <w:trPr>
          <w:trHeight w:val="258"/>
        </w:trPr>
        <w:tc>
          <w:tcPr>
            <w:tcW w:w="9365" w:type="dxa"/>
            <w:gridSpan w:val="2"/>
            <w:tcBorders>
              <w:top w:val="single" w:sz="4" w:space="0" w:color="000000" w:themeColor="text1"/>
              <w:bottom w:val="single" w:sz="12" w:space="0" w:color="000000" w:themeColor="text1"/>
            </w:tcBorders>
          </w:tcPr>
          <w:p w14:paraId="3754400E" w14:textId="77777777" w:rsidR="00CC4C6D" w:rsidRPr="003E4B53" w:rsidRDefault="00CC4C6D" w:rsidP="0024256B">
            <w:pPr>
              <w:pStyle w:val="TableParagraph"/>
              <w:spacing w:before="35"/>
              <w:ind w:left="4433" w:right="3286"/>
              <w:jc w:val="both"/>
              <w:rPr>
                <w:rFonts w:ascii="Arial" w:hAnsi="Arial" w:cs="Arial"/>
                <w:i/>
                <w:sz w:val="18"/>
                <w:szCs w:val="18"/>
                <w:lang w:val="sl-SI"/>
              </w:rPr>
            </w:pPr>
            <w:r w:rsidRPr="003E4B53">
              <w:rPr>
                <w:rFonts w:ascii="Arial" w:hAnsi="Arial" w:cs="Arial"/>
                <w:i/>
                <w:sz w:val="18"/>
                <w:szCs w:val="18"/>
              </w:rPr>
              <w:t>Opis</w:t>
            </w:r>
          </w:p>
        </w:tc>
      </w:tr>
      <w:tr w:rsidR="00CC4C6D" w:rsidRPr="003E4B53" w14:paraId="1207A700" w14:textId="77777777" w:rsidTr="006D46D8">
        <w:trPr>
          <w:trHeight w:val="540"/>
        </w:trPr>
        <w:tc>
          <w:tcPr>
            <w:tcW w:w="3128" w:type="dxa"/>
            <w:tcBorders>
              <w:top w:val="single" w:sz="12" w:space="0" w:color="000000" w:themeColor="text1"/>
              <w:bottom w:val="single" w:sz="4" w:space="0" w:color="auto"/>
            </w:tcBorders>
          </w:tcPr>
          <w:p w14:paraId="09781C3A" w14:textId="77777777" w:rsidR="00CC4C6D" w:rsidRPr="003E4B53" w:rsidRDefault="00CC4C6D" w:rsidP="0024256B">
            <w:pPr>
              <w:pStyle w:val="TableParagraph"/>
              <w:spacing w:before="38"/>
              <w:ind w:left="120" w:right="147"/>
              <w:jc w:val="both"/>
              <w:rPr>
                <w:rFonts w:ascii="Arial" w:hAnsi="Arial" w:cs="Arial"/>
                <w:i/>
                <w:sz w:val="18"/>
                <w:szCs w:val="18"/>
                <w:lang w:val="sl-SI"/>
              </w:rPr>
            </w:pPr>
            <w:r w:rsidRPr="003E4B53">
              <w:rPr>
                <w:rFonts w:ascii="Arial" w:hAnsi="Arial" w:cs="Arial"/>
                <w:sz w:val="18"/>
                <w:szCs w:val="18"/>
              </w:rPr>
              <w:t xml:space="preserve">Cilj(-i) in opis, vključno z vrsto(-ami) cilja, kot je primerno </w:t>
            </w:r>
            <w:r w:rsidRPr="003E4B53">
              <w:rPr>
                <w:rFonts w:ascii="Arial" w:hAnsi="Arial" w:cs="Arial"/>
                <w:i/>
                <w:sz w:val="18"/>
                <w:szCs w:val="18"/>
              </w:rPr>
              <w:t>b</w:t>
            </w:r>
            <w:r w:rsidRPr="003E4B53">
              <w:rPr>
                <w:rFonts w:ascii="Arial" w:hAnsi="Arial" w:cs="Arial"/>
                <w:sz w:val="18"/>
                <w:szCs w:val="18"/>
              </w:rPr>
              <w:t xml:space="preserve">,   </w:t>
            </w:r>
            <w:r w:rsidRPr="003E4B53">
              <w:rPr>
                <w:rFonts w:ascii="Arial" w:hAnsi="Arial" w:cs="Arial"/>
                <w:i/>
                <w:sz w:val="18"/>
                <w:szCs w:val="18"/>
              </w:rPr>
              <w:t>c</w:t>
            </w:r>
          </w:p>
        </w:tc>
        <w:tc>
          <w:tcPr>
            <w:tcW w:w="6237" w:type="dxa"/>
            <w:tcBorders>
              <w:top w:val="single" w:sz="12" w:space="0" w:color="000000" w:themeColor="text1"/>
              <w:bottom w:val="single" w:sz="4" w:space="0" w:color="auto"/>
            </w:tcBorders>
          </w:tcPr>
          <w:p w14:paraId="5FDF8202" w14:textId="77777777" w:rsidR="00CC4C6D" w:rsidRPr="003E4B53" w:rsidRDefault="00CC4C6D" w:rsidP="0024256B">
            <w:pPr>
              <w:pStyle w:val="TableParagraph"/>
              <w:spacing w:before="38"/>
              <w:ind w:left="120" w:right="147"/>
              <w:jc w:val="both"/>
              <w:rPr>
                <w:rFonts w:ascii="Arial" w:hAnsi="Arial" w:cs="Arial"/>
                <w:b/>
                <w:iCs/>
                <w:sz w:val="18"/>
                <w:szCs w:val="18"/>
                <w:lang w:val="sl-SI"/>
              </w:rPr>
            </w:pPr>
            <w:r w:rsidRPr="003E4B53">
              <w:rPr>
                <w:rFonts w:ascii="Arial" w:hAnsi="Arial" w:cs="Arial"/>
                <w:b/>
                <w:sz w:val="18"/>
                <w:szCs w:val="18"/>
              </w:rPr>
              <w:t xml:space="preserve">Neto domače zmanjšanje emisij toplogrednih plinov v celotnem gospodarstvu za vsaj 55 % do leta 2030 v primerjavi z letom 1990. </w:t>
            </w:r>
          </w:p>
          <w:p w14:paraId="1C8B759F" w14:textId="77777777" w:rsidR="00CC4C6D" w:rsidRPr="003E4B53" w:rsidRDefault="00CC4C6D" w:rsidP="0024256B">
            <w:pPr>
              <w:pStyle w:val="TableParagraph"/>
              <w:spacing w:before="38"/>
              <w:ind w:left="120" w:right="147"/>
              <w:jc w:val="both"/>
              <w:rPr>
                <w:rFonts w:ascii="Arial" w:hAnsi="Arial" w:cs="Arial"/>
                <w:b/>
                <w:iCs/>
                <w:sz w:val="18"/>
                <w:szCs w:val="18"/>
                <w:lang w:val="sl-SI"/>
              </w:rPr>
            </w:pPr>
            <w:r w:rsidRPr="003E4B53">
              <w:rPr>
                <w:rFonts w:ascii="Arial" w:hAnsi="Arial" w:cs="Arial"/>
                <w:b/>
                <w:sz w:val="18"/>
                <w:szCs w:val="18"/>
              </w:rPr>
              <w:t>Izraz „domači“ pomeni brez uporabe mednarodnih dobropisov.</w:t>
            </w:r>
          </w:p>
          <w:p w14:paraId="2D2C2802" w14:textId="77777777" w:rsidR="00CC4C6D" w:rsidRPr="003E4B53" w:rsidRDefault="00CC4C6D" w:rsidP="0024256B">
            <w:pPr>
              <w:pStyle w:val="TableParagraph"/>
              <w:spacing w:before="38"/>
              <w:ind w:left="120" w:right="147"/>
              <w:jc w:val="both"/>
              <w:rPr>
                <w:rFonts w:ascii="Arial" w:hAnsi="Arial" w:cs="Arial"/>
                <w:b/>
                <w:i/>
                <w:sz w:val="18"/>
                <w:szCs w:val="18"/>
                <w:lang w:val="sl-SI"/>
              </w:rPr>
            </w:pPr>
            <w:r w:rsidRPr="003E4B53">
              <w:rPr>
                <w:rFonts w:ascii="Arial" w:hAnsi="Arial" w:cs="Arial"/>
                <w:b/>
                <w:sz w:val="18"/>
                <w:szCs w:val="18"/>
              </w:rPr>
              <w:t>Ciljna vrsta: Absolutno zmanjšanje emisij v celotnem gospodarstvu.</w:t>
            </w:r>
          </w:p>
        </w:tc>
      </w:tr>
      <w:tr w:rsidR="00CC4C6D" w:rsidRPr="003E4B53" w14:paraId="050131D0" w14:textId="77777777" w:rsidTr="006D46D8">
        <w:trPr>
          <w:trHeight w:val="559"/>
        </w:trPr>
        <w:tc>
          <w:tcPr>
            <w:tcW w:w="3128" w:type="dxa"/>
            <w:tcBorders>
              <w:top w:val="single" w:sz="4" w:space="0" w:color="auto"/>
              <w:bottom w:val="single" w:sz="4" w:space="0" w:color="auto"/>
            </w:tcBorders>
          </w:tcPr>
          <w:p w14:paraId="4A9E6F69" w14:textId="77777777" w:rsidR="00CC4C6D" w:rsidRPr="003E4B53" w:rsidRDefault="00CC4C6D" w:rsidP="0024256B">
            <w:pPr>
              <w:pStyle w:val="TableParagraph"/>
              <w:spacing w:before="57"/>
              <w:ind w:left="120" w:right="147"/>
              <w:jc w:val="both"/>
              <w:rPr>
                <w:rFonts w:ascii="Arial" w:hAnsi="Arial" w:cs="Arial"/>
                <w:sz w:val="18"/>
                <w:szCs w:val="18"/>
                <w:lang w:val="sl-SI"/>
              </w:rPr>
            </w:pPr>
            <w:r w:rsidRPr="003E4B53">
              <w:rPr>
                <w:rFonts w:ascii="Arial" w:hAnsi="Arial" w:cs="Arial"/>
                <w:sz w:val="18"/>
                <w:szCs w:val="18"/>
              </w:rPr>
              <w:t>Ciljno leto(-a) ali obdobje(-a) in ali gre za enoletni ali večletni cilj(-a), kot je ustrezno</w:t>
            </w:r>
          </w:p>
        </w:tc>
        <w:tc>
          <w:tcPr>
            <w:tcW w:w="6237" w:type="dxa"/>
            <w:tcBorders>
              <w:top w:val="single" w:sz="4" w:space="0" w:color="auto"/>
              <w:bottom w:val="single" w:sz="4" w:space="0" w:color="auto"/>
            </w:tcBorders>
          </w:tcPr>
          <w:p w14:paraId="3B24E2C4"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Enoletni cilj, 2030.</w:t>
            </w:r>
          </w:p>
          <w:p w14:paraId="111C47F5" w14:textId="77777777" w:rsidR="00CC4C6D" w:rsidRPr="003E4B53" w:rsidRDefault="00CC4C6D" w:rsidP="0024256B">
            <w:pPr>
              <w:pStyle w:val="TableParagraph"/>
              <w:spacing w:before="38"/>
              <w:ind w:left="120" w:right="147"/>
              <w:jc w:val="both"/>
              <w:rPr>
                <w:rFonts w:ascii="Arial" w:hAnsi="Arial" w:cs="Arial"/>
                <w:b/>
                <w:iCs/>
                <w:sz w:val="18"/>
                <w:szCs w:val="18"/>
                <w:lang w:val="sl-SI"/>
              </w:rPr>
            </w:pPr>
          </w:p>
        </w:tc>
      </w:tr>
      <w:tr w:rsidR="00CC4C6D" w:rsidRPr="003E4B53" w14:paraId="1BC7FD76" w14:textId="77777777" w:rsidTr="006D46D8">
        <w:trPr>
          <w:trHeight w:val="780"/>
        </w:trPr>
        <w:tc>
          <w:tcPr>
            <w:tcW w:w="3128" w:type="dxa"/>
            <w:tcBorders>
              <w:top w:val="single" w:sz="4" w:space="0" w:color="auto"/>
              <w:bottom w:val="single" w:sz="4" w:space="0" w:color="auto"/>
            </w:tcBorders>
          </w:tcPr>
          <w:p w14:paraId="19E0A7B2" w14:textId="77777777" w:rsidR="00CC4C6D" w:rsidRPr="003E4B53" w:rsidRDefault="00CC4C6D" w:rsidP="0024256B">
            <w:pPr>
              <w:pStyle w:val="TableParagraph"/>
              <w:spacing w:before="57"/>
              <w:ind w:left="120" w:right="147"/>
              <w:jc w:val="both"/>
              <w:rPr>
                <w:rFonts w:ascii="Arial" w:hAnsi="Arial" w:cs="Arial"/>
                <w:sz w:val="18"/>
                <w:szCs w:val="18"/>
                <w:lang w:val="sl-SI"/>
              </w:rPr>
            </w:pPr>
            <w:r w:rsidRPr="003E4B53">
              <w:rPr>
                <w:rFonts w:ascii="Arial" w:hAnsi="Arial" w:cs="Arial"/>
                <w:sz w:val="18"/>
                <w:szCs w:val="18"/>
              </w:rPr>
              <w:t>Referenčna(-e) točka(-e), raven(-ni), izhodišče(-a), izhodiščno(-a) leto(-a) ali začetna(-e) točka(-e) in njihova(-e) zadevna(-e) vrednost(-i), kot je primerno</w:t>
            </w:r>
          </w:p>
        </w:tc>
        <w:tc>
          <w:tcPr>
            <w:tcW w:w="6237" w:type="dxa"/>
            <w:tcBorders>
              <w:top w:val="single" w:sz="4" w:space="0" w:color="auto"/>
              <w:bottom w:val="single" w:sz="4" w:space="0" w:color="auto"/>
            </w:tcBorders>
          </w:tcPr>
          <w:p w14:paraId="5A8E14CE"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Osnovno leto: 1990.</w:t>
            </w:r>
          </w:p>
          <w:p w14:paraId="17C10512"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 xml:space="preserve">Raven neto emisij toplogrednih plinov v letu 1990: </w:t>
            </w:r>
          </w:p>
          <w:p w14:paraId="62EC3C08" w14:textId="77777777" w:rsidR="00CC4C6D" w:rsidRPr="003E4B53" w:rsidRDefault="00CC4C6D" w:rsidP="0024256B">
            <w:pPr>
              <w:pStyle w:val="TableParagraph"/>
              <w:spacing w:before="57"/>
              <w:ind w:left="120" w:right="147"/>
              <w:jc w:val="both"/>
              <w:rPr>
                <w:rFonts w:ascii="Arial" w:hAnsi="Arial" w:cs="Arial"/>
                <w:b/>
                <w:sz w:val="18"/>
                <w:szCs w:val="18"/>
                <w:lang w:val="sl-SI"/>
              </w:rPr>
            </w:pPr>
            <w:r w:rsidRPr="003E4B53">
              <w:rPr>
                <w:rFonts w:ascii="Arial" w:hAnsi="Arial" w:cs="Arial"/>
                <w:b/>
                <w:sz w:val="18"/>
                <w:szCs w:val="18"/>
              </w:rPr>
              <w:t>4.699.405 kt CO</w:t>
            </w:r>
            <w:r w:rsidRPr="003E4B53">
              <w:rPr>
                <w:rFonts w:ascii="Arial" w:hAnsi="Arial" w:cs="Arial"/>
                <w:b/>
                <w:sz w:val="18"/>
                <w:szCs w:val="18"/>
                <w:vertAlign w:val="subscript"/>
              </w:rPr>
              <w:t>2</w:t>
            </w:r>
            <w:r w:rsidRPr="003E4B53">
              <w:rPr>
                <w:rFonts w:ascii="Arial" w:hAnsi="Arial" w:cs="Arial"/>
                <w:b/>
                <w:sz w:val="18"/>
                <w:szCs w:val="18"/>
              </w:rPr>
              <w:t xml:space="preserve"> ekv.</w:t>
            </w:r>
          </w:p>
        </w:tc>
      </w:tr>
      <w:tr w:rsidR="00CC4C6D" w:rsidRPr="003E4B53" w14:paraId="6BE832AF" w14:textId="77777777" w:rsidTr="006D46D8">
        <w:trPr>
          <w:trHeight w:val="561"/>
        </w:trPr>
        <w:tc>
          <w:tcPr>
            <w:tcW w:w="3128" w:type="dxa"/>
            <w:tcBorders>
              <w:top w:val="single" w:sz="4" w:space="0" w:color="auto"/>
              <w:bottom w:val="single" w:sz="4" w:space="0" w:color="auto"/>
            </w:tcBorders>
          </w:tcPr>
          <w:p w14:paraId="625369B0" w14:textId="77777777" w:rsidR="00CC4C6D" w:rsidRPr="003E4B53" w:rsidRDefault="00CC4C6D" w:rsidP="0024256B">
            <w:pPr>
              <w:pStyle w:val="TableParagraph"/>
              <w:spacing w:before="55"/>
              <w:ind w:left="120" w:right="147"/>
              <w:jc w:val="both"/>
              <w:rPr>
                <w:rFonts w:ascii="Arial" w:hAnsi="Arial" w:cs="Arial"/>
                <w:sz w:val="18"/>
                <w:szCs w:val="18"/>
                <w:lang w:val="sl-SI"/>
              </w:rPr>
            </w:pPr>
            <w:r w:rsidRPr="003E4B53">
              <w:rPr>
                <w:rFonts w:ascii="Arial" w:hAnsi="Arial" w:cs="Arial"/>
                <w:sz w:val="18"/>
                <w:szCs w:val="18"/>
              </w:rPr>
              <w:t>Časovni okvir(-i) in/ali obdobja za izvedbo, kot je ustrezno</w:t>
            </w:r>
          </w:p>
        </w:tc>
        <w:tc>
          <w:tcPr>
            <w:tcW w:w="6237" w:type="dxa"/>
            <w:tcBorders>
              <w:top w:val="single" w:sz="4" w:space="0" w:color="auto"/>
              <w:bottom w:val="single" w:sz="4" w:space="0" w:color="auto"/>
            </w:tcBorders>
          </w:tcPr>
          <w:p w14:paraId="350A6C44" w14:textId="77777777" w:rsidR="00CC4C6D" w:rsidRPr="003E4B53" w:rsidRDefault="00CC4C6D" w:rsidP="0024256B">
            <w:pPr>
              <w:pStyle w:val="TableParagraph"/>
              <w:spacing w:before="55"/>
              <w:ind w:left="120" w:right="147"/>
              <w:jc w:val="both"/>
              <w:rPr>
                <w:rFonts w:ascii="Arial" w:hAnsi="Arial" w:cs="Arial"/>
                <w:b/>
                <w:sz w:val="18"/>
                <w:szCs w:val="18"/>
                <w:lang w:val="sl-SI"/>
              </w:rPr>
            </w:pPr>
            <w:r w:rsidRPr="003E4B53">
              <w:rPr>
                <w:rFonts w:ascii="Arial" w:hAnsi="Arial" w:cs="Arial"/>
                <w:b/>
                <w:sz w:val="18"/>
                <w:szCs w:val="18"/>
              </w:rPr>
              <w:t>2021-2030</w:t>
            </w:r>
          </w:p>
        </w:tc>
      </w:tr>
      <w:tr w:rsidR="00CC4C6D" w:rsidRPr="003E4B53" w14:paraId="09DDCF0B" w14:textId="77777777" w:rsidTr="006D46D8">
        <w:trPr>
          <w:trHeight w:val="780"/>
        </w:trPr>
        <w:tc>
          <w:tcPr>
            <w:tcW w:w="3128" w:type="dxa"/>
            <w:tcBorders>
              <w:top w:val="single" w:sz="4" w:space="0" w:color="auto"/>
              <w:bottom w:val="single" w:sz="4" w:space="0" w:color="auto"/>
            </w:tcBorders>
          </w:tcPr>
          <w:p w14:paraId="45ED5670" w14:textId="77777777" w:rsidR="00CC4C6D" w:rsidRPr="003E4B53" w:rsidRDefault="00CC4C6D" w:rsidP="0024256B">
            <w:pPr>
              <w:pStyle w:val="TableParagraph"/>
              <w:spacing w:before="57"/>
              <w:ind w:left="120" w:right="147"/>
              <w:jc w:val="both"/>
              <w:rPr>
                <w:rFonts w:ascii="Arial" w:hAnsi="Arial" w:cs="Arial"/>
                <w:sz w:val="18"/>
                <w:szCs w:val="18"/>
                <w:lang w:val="sl-SI"/>
              </w:rPr>
            </w:pPr>
            <w:r w:rsidRPr="003E4B53">
              <w:rPr>
                <w:rFonts w:ascii="Arial" w:hAnsi="Arial" w:cs="Arial"/>
                <w:sz w:val="18"/>
                <w:szCs w:val="18"/>
              </w:rPr>
              <w:t>Področje uporabe in pokritost, vključno z ustreznimi sektorji, kategorijami, dejavnostmi, viri in ponori, bazeni in plini, kot je primerno</w:t>
            </w:r>
          </w:p>
        </w:tc>
        <w:tc>
          <w:tcPr>
            <w:tcW w:w="6237" w:type="dxa"/>
            <w:tcBorders>
              <w:top w:val="single" w:sz="4" w:space="0" w:color="auto"/>
              <w:bottom w:val="single" w:sz="4" w:space="0" w:color="auto"/>
            </w:tcBorders>
          </w:tcPr>
          <w:p w14:paraId="3D19F20F"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Geografski obseg: Države članice EU (Belgija, Bolgarija, Češka, Danska, Nemčija, Estonija, Irska, Grčija, Španija, Francija, Hrvaška, Italija, Ciper, Latvija, Litva, Luksemburg, Madžarska, Malta, Nizozemska, Avstrija, Poljska, Portugalska, Romunija, Slovenija, Slovaška, Finska, Švedska), vključno z najbolj oddaljenimi regijami EU (Gvadelupe, Francoska Gvajana, Martinik, Mayotte, Reunion, Saint Martin (Francija), Kanarski otoki (Španija), Azori in Madeira (Portugalska)).</w:t>
            </w:r>
          </w:p>
          <w:p w14:paraId="27680E74"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Zajeti sektorji,</w:t>
            </w:r>
            <w:r w:rsidRPr="003E4B53">
              <w:rPr>
                <w:rFonts w:ascii="Arial" w:hAnsi="Arial" w:cs="Arial"/>
                <w:sz w:val="18"/>
                <w:szCs w:val="18"/>
              </w:rPr>
              <w:t xml:space="preserve"> </w:t>
            </w:r>
            <w:r w:rsidRPr="003E4B53">
              <w:rPr>
                <w:rFonts w:ascii="Arial" w:hAnsi="Arial" w:cs="Arial"/>
                <w:b/>
                <w:sz w:val="18"/>
                <w:szCs w:val="18"/>
              </w:rPr>
              <w:t>kot je vsebovano v Prilogi I k sklepu 5/CMA.3:</w:t>
            </w:r>
          </w:p>
          <w:p w14:paraId="5DFF4C49"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energija</w:t>
            </w:r>
          </w:p>
          <w:p w14:paraId="261E65B0"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Industrijski procesi in uporaba izdelkov</w:t>
            </w:r>
          </w:p>
          <w:p w14:paraId="772FCA41"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Kmetijstvo</w:t>
            </w:r>
          </w:p>
          <w:p w14:paraId="7F6F1E17"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Raba zemljišč, spremembe rabe zemljišč in gozdarstvo (LULUCF)</w:t>
            </w:r>
          </w:p>
          <w:p w14:paraId="64E24992"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Odpadki</w:t>
            </w:r>
          </w:p>
          <w:p w14:paraId="582D518F"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Mednarodno letalstvo: Emisije iz dejavnosti civilnega letalstva, kot je za leto 2030 določeno v Prilogi I k Direktivi EU ETS, so vključene samo v zvezi z emisijami CO</w:t>
            </w:r>
            <w:r w:rsidRPr="003E4B53">
              <w:rPr>
                <w:rFonts w:ascii="Arial" w:hAnsi="Arial" w:cs="Arial"/>
                <w:b/>
                <w:sz w:val="18"/>
                <w:szCs w:val="18"/>
                <w:vertAlign w:val="subscript"/>
              </w:rPr>
              <w:t>2</w:t>
            </w:r>
            <w:r w:rsidRPr="003E4B53">
              <w:rPr>
                <w:rFonts w:ascii="Arial" w:hAnsi="Arial" w:cs="Arial"/>
                <w:b/>
                <w:sz w:val="18"/>
                <w:szCs w:val="18"/>
              </w:rPr>
              <w:t xml:space="preserve"> iz letov, za katere veljajo dejanske cene ogljika prek EU ETS. Glede na geografski obseg NDC ti obsegajo emisije v letih 2024–2026 iz</w:t>
            </w:r>
            <w:r w:rsidRPr="003E4B53">
              <w:rPr>
                <w:rFonts w:ascii="Arial" w:hAnsi="Arial" w:cs="Arial"/>
                <w:sz w:val="18"/>
                <w:szCs w:val="18"/>
              </w:rPr>
              <w:t xml:space="preserve"> </w:t>
            </w:r>
            <w:r w:rsidRPr="003E4B53">
              <w:rPr>
                <w:rFonts w:ascii="Arial" w:hAnsi="Arial" w:cs="Arial"/>
                <w:b/>
                <w:sz w:val="18"/>
                <w:szCs w:val="18"/>
              </w:rPr>
              <w:t>letov med državami članicami EU in odhodni leti na Norveško, Islandijo, Švico in Združeno kraljestvo.</w:t>
            </w:r>
          </w:p>
          <w:p w14:paraId="5D9ECDE3" w14:textId="77777777" w:rsidR="00CC4C6D" w:rsidRPr="003E4B53" w:rsidRDefault="00CC4C6D" w:rsidP="0024256B">
            <w:pPr>
              <w:pStyle w:val="TableParagraph"/>
              <w:spacing w:before="57"/>
              <w:ind w:left="142" w:right="147"/>
              <w:jc w:val="both"/>
              <w:rPr>
                <w:rFonts w:ascii="Arial" w:hAnsi="Arial" w:cs="Arial"/>
                <w:b/>
                <w:iCs/>
                <w:sz w:val="18"/>
                <w:szCs w:val="18"/>
                <w:lang w:val="sl-SI"/>
              </w:rPr>
            </w:pPr>
            <w:r w:rsidRPr="003E4B53">
              <w:rPr>
                <w:rFonts w:ascii="Arial" w:hAnsi="Arial" w:cs="Arial"/>
                <w:b/>
                <w:sz w:val="18"/>
                <w:szCs w:val="18"/>
              </w:rPr>
              <w:t>Mednarodna plovba: Plovba po vodi je vključena v zvezi z emisijami CO2, metana (CH</w:t>
            </w:r>
            <w:r w:rsidRPr="003E4B53">
              <w:rPr>
                <w:rFonts w:ascii="Arial" w:hAnsi="Arial" w:cs="Arial"/>
                <w:b/>
                <w:sz w:val="18"/>
                <w:szCs w:val="18"/>
                <w:vertAlign w:val="subscript"/>
              </w:rPr>
              <w:t>4</w:t>
            </w:r>
            <w:r w:rsidRPr="003E4B53">
              <w:rPr>
                <w:rFonts w:ascii="Arial" w:hAnsi="Arial" w:cs="Arial"/>
                <w:b/>
                <w:sz w:val="18"/>
                <w:szCs w:val="18"/>
              </w:rPr>
              <w:t>) in dušikovega oksida (N</w:t>
            </w:r>
            <w:r w:rsidRPr="003E4B53">
              <w:rPr>
                <w:rFonts w:ascii="Arial" w:hAnsi="Arial" w:cs="Arial"/>
                <w:b/>
                <w:sz w:val="18"/>
                <w:szCs w:val="18"/>
                <w:vertAlign w:val="subscript"/>
              </w:rPr>
              <w:t>2</w:t>
            </w:r>
            <w:r w:rsidRPr="003E4B53">
              <w:rPr>
                <w:rFonts w:ascii="Arial" w:hAnsi="Arial" w:cs="Arial"/>
                <w:b/>
                <w:sz w:val="18"/>
                <w:szCs w:val="18"/>
              </w:rPr>
              <w:t>O) iz pomorskega prometa med državami članicami EU.</w:t>
            </w:r>
          </w:p>
          <w:p w14:paraId="304D6FBB" w14:textId="77777777" w:rsidR="00CC4C6D" w:rsidRPr="003E4B53" w:rsidRDefault="00CC4C6D" w:rsidP="0024256B">
            <w:pPr>
              <w:pStyle w:val="TableParagraph"/>
              <w:spacing w:before="57"/>
              <w:ind w:left="120" w:right="147"/>
              <w:jc w:val="both"/>
              <w:rPr>
                <w:rFonts w:ascii="Arial" w:hAnsi="Arial" w:cs="Arial"/>
                <w:b/>
                <w:sz w:val="18"/>
                <w:szCs w:val="18"/>
                <w:lang w:val="sl-SI"/>
              </w:rPr>
            </w:pPr>
            <w:r w:rsidRPr="003E4B53">
              <w:rPr>
                <w:rFonts w:ascii="Arial" w:hAnsi="Arial" w:cs="Arial"/>
                <w:b/>
                <w:sz w:val="18"/>
                <w:szCs w:val="18"/>
              </w:rPr>
              <w:t>Plini:</w:t>
            </w:r>
          </w:p>
          <w:p w14:paraId="25C432D9" w14:textId="77777777" w:rsidR="00CC4C6D" w:rsidRPr="003E4B53" w:rsidRDefault="00CC4C6D" w:rsidP="0024256B">
            <w:pPr>
              <w:pStyle w:val="TableParagraph"/>
              <w:spacing w:before="57"/>
              <w:ind w:left="120" w:right="147"/>
              <w:jc w:val="both"/>
              <w:rPr>
                <w:rFonts w:ascii="Arial" w:hAnsi="Arial" w:cs="Arial"/>
                <w:b/>
                <w:sz w:val="18"/>
                <w:szCs w:val="18"/>
                <w:lang w:val="sl-SI"/>
              </w:rPr>
            </w:pPr>
            <w:r w:rsidRPr="003E4B53">
              <w:rPr>
                <w:rFonts w:ascii="Arial" w:hAnsi="Arial" w:cs="Arial"/>
                <w:b/>
                <w:sz w:val="18"/>
                <w:szCs w:val="18"/>
              </w:rPr>
              <w:t>Ogljikov dioksid (CO</w:t>
            </w:r>
            <w:r w:rsidRPr="003E4B53">
              <w:rPr>
                <w:rFonts w:ascii="Arial" w:hAnsi="Arial" w:cs="Arial"/>
                <w:b/>
                <w:sz w:val="18"/>
                <w:szCs w:val="18"/>
                <w:vertAlign w:val="subscript"/>
              </w:rPr>
              <w:t>2</w:t>
            </w:r>
            <w:r w:rsidRPr="003E4B53">
              <w:rPr>
                <w:rFonts w:ascii="Arial" w:hAnsi="Arial" w:cs="Arial"/>
                <w:b/>
                <w:sz w:val="18"/>
                <w:szCs w:val="18"/>
              </w:rPr>
              <w:t xml:space="preserve">) </w:t>
            </w:r>
          </w:p>
          <w:p w14:paraId="72DF8778" w14:textId="77777777" w:rsidR="00CC4C6D" w:rsidRPr="003E4B53" w:rsidRDefault="00CC4C6D" w:rsidP="0024256B">
            <w:pPr>
              <w:pStyle w:val="TableParagraph"/>
              <w:spacing w:before="57"/>
              <w:ind w:left="120" w:right="147"/>
              <w:jc w:val="both"/>
              <w:rPr>
                <w:rFonts w:ascii="Arial" w:hAnsi="Arial" w:cs="Arial"/>
                <w:b/>
                <w:sz w:val="18"/>
                <w:szCs w:val="18"/>
                <w:lang w:val="sl-SI"/>
              </w:rPr>
            </w:pPr>
            <w:r w:rsidRPr="003E4B53">
              <w:rPr>
                <w:rFonts w:ascii="Arial" w:hAnsi="Arial" w:cs="Arial"/>
                <w:b/>
                <w:sz w:val="18"/>
                <w:szCs w:val="18"/>
              </w:rPr>
              <w:t>Metan (CH</w:t>
            </w:r>
            <w:r w:rsidRPr="003E4B53">
              <w:rPr>
                <w:rFonts w:ascii="Arial" w:hAnsi="Arial" w:cs="Arial"/>
                <w:b/>
                <w:sz w:val="18"/>
                <w:szCs w:val="18"/>
                <w:vertAlign w:val="subscript"/>
              </w:rPr>
              <w:t>4</w:t>
            </w:r>
            <w:r w:rsidRPr="003E4B53">
              <w:rPr>
                <w:rFonts w:ascii="Arial" w:hAnsi="Arial" w:cs="Arial"/>
                <w:b/>
                <w:sz w:val="18"/>
                <w:szCs w:val="18"/>
              </w:rPr>
              <w:t xml:space="preserve">) </w:t>
            </w:r>
          </w:p>
          <w:p w14:paraId="045D023B" w14:textId="77777777" w:rsidR="00CC4C6D" w:rsidRPr="003E4B53" w:rsidRDefault="00CC4C6D" w:rsidP="0024256B">
            <w:pPr>
              <w:pStyle w:val="TableParagraph"/>
              <w:spacing w:before="57"/>
              <w:ind w:left="120" w:right="147"/>
              <w:jc w:val="both"/>
              <w:rPr>
                <w:rFonts w:ascii="Arial" w:hAnsi="Arial" w:cs="Arial"/>
                <w:b/>
                <w:bCs/>
                <w:sz w:val="18"/>
                <w:szCs w:val="18"/>
                <w:lang w:val="sl-SI"/>
              </w:rPr>
            </w:pPr>
            <w:r w:rsidRPr="003E4B53">
              <w:rPr>
                <w:rFonts w:ascii="Arial" w:hAnsi="Arial" w:cs="Arial"/>
                <w:b/>
                <w:sz w:val="18"/>
                <w:szCs w:val="18"/>
              </w:rPr>
              <w:t>Dušikov oksid (N</w:t>
            </w:r>
            <w:r w:rsidRPr="003E4B53">
              <w:rPr>
                <w:rFonts w:ascii="Arial" w:hAnsi="Arial" w:cs="Arial"/>
                <w:b/>
                <w:sz w:val="18"/>
                <w:szCs w:val="18"/>
                <w:vertAlign w:val="subscript"/>
              </w:rPr>
              <w:t>2</w:t>
            </w:r>
            <w:r w:rsidRPr="003E4B53">
              <w:rPr>
                <w:rFonts w:ascii="Arial" w:hAnsi="Arial" w:cs="Arial"/>
                <w:b/>
                <w:sz w:val="18"/>
                <w:szCs w:val="18"/>
              </w:rPr>
              <w:t>O)</w:t>
            </w:r>
          </w:p>
          <w:p w14:paraId="7F2B39D1" w14:textId="77777777" w:rsidR="00CC4C6D" w:rsidRPr="003E4B53" w:rsidRDefault="00CC4C6D" w:rsidP="0024256B">
            <w:pPr>
              <w:pStyle w:val="TableParagraph"/>
              <w:spacing w:before="57"/>
              <w:ind w:left="120" w:right="147"/>
              <w:jc w:val="both"/>
              <w:rPr>
                <w:rFonts w:ascii="Arial" w:hAnsi="Arial" w:cs="Arial"/>
                <w:b/>
                <w:bCs/>
                <w:sz w:val="18"/>
                <w:szCs w:val="18"/>
                <w:lang w:val="sl-SI"/>
              </w:rPr>
            </w:pPr>
            <w:r w:rsidRPr="003E4B53">
              <w:rPr>
                <w:rFonts w:ascii="Arial" w:hAnsi="Arial" w:cs="Arial"/>
                <w:b/>
                <w:sz w:val="18"/>
                <w:szCs w:val="18"/>
              </w:rPr>
              <w:t xml:space="preserve">Hidrofluoroogljikovodiki (HFC) </w:t>
            </w:r>
          </w:p>
          <w:p w14:paraId="38560375" w14:textId="77777777" w:rsidR="00CC4C6D" w:rsidRPr="003E4B53" w:rsidRDefault="00CC4C6D" w:rsidP="0024256B">
            <w:pPr>
              <w:pStyle w:val="TableParagraph"/>
              <w:spacing w:before="57"/>
              <w:ind w:left="120" w:right="147"/>
              <w:jc w:val="both"/>
              <w:rPr>
                <w:rFonts w:ascii="Arial" w:hAnsi="Arial" w:cs="Arial"/>
                <w:b/>
                <w:bCs/>
                <w:sz w:val="18"/>
                <w:szCs w:val="18"/>
                <w:lang w:val="sl-SI"/>
              </w:rPr>
            </w:pPr>
            <w:r w:rsidRPr="003E4B53">
              <w:rPr>
                <w:rFonts w:ascii="Arial" w:hAnsi="Arial" w:cs="Arial"/>
                <w:b/>
                <w:sz w:val="18"/>
                <w:szCs w:val="18"/>
              </w:rPr>
              <w:t xml:space="preserve">Perfluoroogljikovodiki (PFC) </w:t>
            </w:r>
          </w:p>
          <w:p w14:paraId="56CF7525" w14:textId="77777777" w:rsidR="00CC4C6D" w:rsidRPr="003E4B53" w:rsidRDefault="00CC4C6D" w:rsidP="0024256B">
            <w:pPr>
              <w:pStyle w:val="TableParagraph"/>
              <w:spacing w:before="57"/>
              <w:ind w:left="120" w:right="147"/>
              <w:jc w:val="both"/>
              <w:rPr>
                <w:rFonts w:ascii="Arial" w:hAnsi="Arial" w:cs="Arial"/>
                <w:b/>
                <w:bCs/>
                <w:sz w:val="18"/>
                <w:szCs w:val="18"/>
                <w:lang w:val="sl-SI"/>
              </w:rPr>
            </w:pPr>
            <w:r w:rsidRPr="003E4B53">
              <w:rPr>
                <w:rFonts w:ascii="Arial" w:hAnsi="Arial" w:cs="Arial"/>
                <w:b/>
                <w:sz w:val="18"/>
                <w:szCs w:val="18"/>
              </w:rPr>
              <w:t>Žveplov heksafluorid (SF</w:t>
            </w:r>
            <w:r w:rsidRPr="003E4B53">
              <w:rPr>
                <w:rFonts w:ascii="Arial" w:hAnsi="Arial" w:cs="Arial"/>
                <w:b/>
                <w:sz w:val="18"/>
                <w:szCs w:val="18"/>
                <w:vertAlign w:val="subscript"/>
              </w:rPr>
              <w:t>6</w:t>
            </w:r>
            <w:r w:rsidRPr="003E4B53">
              <w:rPr>
                <w:rFonts w:ascii="Arial" w:hAnsi="Arial" w:cs="Arial"/>
                <w:b/>
                <w:sz w:val="18"/>
                <w:szCs w:val="18"/>
              </w:rPr>
              <w:t xml:space="preserve">) </w:t>
            </w:r>
          </w:p>
          <w:p w14:paraId="6FCDFDE1"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Dušikov trifluorid (NF</w:t>
            </w:r>
            <w:r w:rsidRPr="003E4B53">
              <w:rPr>
                <w:rFonts w:ascii="Arial" w:hAnsi="Arial" w:cs="Arial"/>
                <w:b/>
                <w:sz w:val="18"/>
                <w:szCs w:val="18"/>
                <w:vertAlign w:val="subscript"/>
              </w:rPr>
              <w:t>3</w:t>
            </w:r>
            <w:r w:rsidRPr="003E4B53">
              <w:rPr>
                <w:rFonts w:ascii="Arial" w:hAnsi="Arial" w:cs="Arial"/>
                <w:b/>
                <w:sz w:val="18"/>
                <w:szCs w:val="18"/>
              </w:rPr>
              <w:t>)</w:t>
            </w:r>
          </w:p>
          <w:p w14:paraId="4C91A117"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 xml:space="preserve">Vključene kategorije in skupine LULUCF so opredeljene v sklepu 5/CMA.3. </w:t>
            </w:r>
          </w:p>
        </w:tc>
      </w:tr>
      <w:tr w:rsidR="00CC4C6D" w:rsidRPr="003E4B53" w14:paraId="5E9A4D4D" w14:textId="77777777" w:rsidTr="006D46D8">
        <w:trPr>
          <w:trHeight w:val="998"/>
        </w:trPr>
        <w:tc>
          <w:tcPr>
            <w:tcW w:w="3128" w:type="dxa"/>
            <w:tcBorders>
              <w:top w:val="single" w:sz="4" w:space="0" w:color="auto"/>
              <w:bottom w:val="single" w:sz="4" w:space="0" w:color="auto"/>
            </w:tcBorders>
          </w:tcPr>
          <w:p w14:paraId="1D5C8AC0" w14:textId="77777777" w:rsidR="00CC4C6D" w:rsidRPr="003E4B53" w:rsidRDefault="00CC4C6D" w:rsidP="0024256B">
            <w:pPr>
              <w:pStyle w:val="TableParagraph"/>
              <w:spacing w:before="57"/>
              <w:ind w:left="120" w:right="147"/>
              <w:jc w:val="both"/>
              <w:rPr>
                <w:rFonts w:ascii="Arial" w:hAnsi="Arial" w:cs="Arial"/>
                <w:sz w:val="18"/>
                <w:szCs w:val="18"/>
                <w:lang w:val="sl-SI"/>
              </w:rPr>
            </w:pPr>
            <w:r w:rsidRPr="003E4B53">
              <w:rPr>
                <w:rFonts w:ascii="Arial" w:hAnsi="Arial" w:cs="Arial"/>
                <w:sz w:val="18"/>
                <w:szCs w:val="18"/>
              </w:rPr>
              <w:lastRenderedPageBreak/>
              <w:t>Namera za uporabo kooperativnih pristopov, ki vključujejo uporabo ITMO v skladu s členom 6 za NDC v skladu s 4. členom Pariškega sporazuma, kot je primerno.</w:t>
            </w:r>
          </w:p>
        </w:tc>
        <w:tc>
          <w:tcPr>
            <w:tcW w:w="6237" w:type="dxa"/>
            <w:tcBorders>
              <w:top w:val="single" w:sz="4" w:space="0" w:color="auto"/>
              <w:bottom w:val="single" w:sz="4" w:space="0" w:color="auto"/>
            </w:tcBorders>
            <w:vAlign w:val="center"/>
          </w:tcPr>
          <w:p w14:paraId="0243B29C" w14:textId="77777777" w:rsidR="00CC4C6D" w:rsidRPr="003E4B53" w:rsidRDefault="00CC4C6D" w:rsidP="0024256B">
            <w:pPr>
              <w:pStyle w:val="TableParagraph"/>
              <w:spacing w:after="60"/>
              <w:ind w:left="144" w:right="147"/>
              <w:jc w:val="both"/>
              <w:rPr>
                <w:rFonts w:ascii="Arial" w:hAnsi="Arial" w:cs="Arial"/>
                <w:b/>
                <w:iCs/>
                <w:sz w:val="18"/>
                <w:szCs w:val="18"/>
                <w:lang w:val="sl-SI"/>
              </w:rPr>
            </w:pPr>
            <w:r w:rsidRPr="003E4B53">
              <w:rPr>
                <w:rFonts w:ascii="Arial" w:hAnsi="Arial" w:cs="Arial"/>
                <w:b/>
                <w:sz w:val="18"/>
                <w:szCs w:val="18"/>
              </w:rPr>
              <w:t>Cilj EU za najmanj 55-odstotno neto zmanjšanje do leta 2030 naj bi dosegli samo z domačimi ukrepi, brez prispevka iz mednarodnih dobropisov.</w:t>
            </w:r>
          </w:p>
          <w:p w14:paraId="7A27A964" w14:textId="77777777" w:rsidR="00CC4C6D" w:rsidRPr="003E4B53" w:rsidRDefault="00CC4C6D" w:rsidP="0024256B">
            <w:pPr>
              <w:pStyle w:val="TableParagraph"/>
              <w:spacing w:after="60"/>
              <w:ind w:left="144" w:right="147"/>
              <w:jc w:val="both"/>
              <w:rPr>
                <w:rFonts w:ascii="Arial" w:hAnsi="Arial" w:cs="Arial"/>
                <w:b/>
                <w:i/>
                <w:sz w:val="18"/>
                <w:szCs w:val="18"/>
                <w:lang w:val="sl-SI"/>
              </w:rPr>
            </w:pPr>
            <w:r w:rsidRPr="003E4B53">
              <w:rPr>
                <w:rFonts w:ascii="Arial" w:hAnsi="Arial" w:cs="Arial"/>
                <w:b/>
                <w:sz w:val="18"/>
                <w:szCs w:val="18"/>
              </w:rPr>
              <w:t>EU bo obračunala in poročala o svojem sodelovanju z drugimi pogodbenicami na način, ki je skladen s smernicami, ki jih je sprejel CMA1, in vsemi nadaljnjimi smernicami, o katerih se je strinjal CMA.</w:t>
            </w:r>
          </w:p>
        </w:tc>
      </w:tr>
      <w:tr w:rsidR="00CC4C6D" w:rsidRPr="003E4B53" w14:paraId="526FC8F1" w14:textId="77777777" w:rsidTr="006D46D8">
        <w:trPr>
          <w:trHeight w:val="581"/>
        </w:trPr>
        <w:tc>
          <w:tcPr>
            <w:tcW w:w="3128" w:type="dxa"/>
            <w:tcBorders>
              <w:top w:val="single" w:sz="4" w:space="0" w:color="auto"/>
              <w:bottom w:val="single" w:sz="12" w:space="0" w:color="000000" w:themeColor="text1"/>
            </w:tcBorders>
          </w:tcPr>
          <w:p w14:paraId="609469FF" w14:textId="77777777" w:rsidR="00CC4C6D" w:rsidRPr="003E4B53" w:rsidRDefault="00CC4C6D" w:rsidP="0024256B">
            <w:pPr>
              <w:pStyle w:val="TableParagraph"/>
              <w:spacing w:before="55"/>
              <w:ind w:left="120" w:right="147"/>
              <w:jc w:val="both"/>
              <w:rPr>
                <w:rFonts w:ascii="Arial" w:hAnsi="Arial" w:cs="Arial"/>
                <w:i/>
                <w:sz w:val="18"/>
                <w:szCs w:val="18"/>
                <w:lang w:val="sl-SI"/>
              </w:rPr>
            </w:pPr>
            <w:r w:rsidRPr="003E4B53">
              <w:rPr>
                <w:rFonts w:ascii="Arial" w:hAnsi="Arial" w:cs="Arial"/>
                <w:sz w:val="18"/>
                <w:szCs w:val="18"/>
              </w:rPr>
              <w:t xml:space="preserve">Vse posodobitve ali pojasnila predhodno sporočenih informacij, kot je primerno </w:t>
            </w:r>
            <w:r w:rsidRPr="003E4B53">
              <w:rPr>
                <w:rFonts w:ascii="Arial" w:hAnsi="Arial" w:cs="Arial"/>
                <w:i/>
                <w:sz w:val="18"/>
                <w:szCs w:val="18"/>
              </w:rPr>
              <w:t>d</w:t>
            </w:r>
          </w:p>
        </w:tc>
        <w:tc>
          <w:tcPr>
            <w:tcW w:w="6237" w:type="dxa"/>
            <w:tcBorders>
              <w:top w:val="single" w:sz="4" w:space="0" w:color="auto"/>
              <w:bottom w:val="single" w:sz="12" w:space="0" w:color="000000" w:themeColor="text1"/>
            </w:tcBorders>
          </w:tcPr>
          <w:p w14:paraId="38B35279" w14:textId="77777777" w:rsidR="00CC4C6D" w:rsidRPr="003E4B53" w:rsidRDefault="00CC4C6D" w:rsidP="0024256B">
            <w:pPr>
              <w:pStyle w:val="TableParagraph"/>
              <w:spacing w:before="55"/>
              <w:ind w:left="120" w:right="147"/>
              <w:jc w:val="both"/>
              <w:rPr>
                <w:rFonts w:ascii="Arial" w:hAnsi="Arial" w:cs="Arial"/>
                <w:b/>
                <w:i/>
                <w:sz w:val="18"/>
                <w:szCs w:val="18"/>
                <w:lang w:val="sl-SI"/>
              </w:rPr>
            </w:pPr>
            <w:r w:rsidRPr="003E4B53">
              <w:rPr>
                <w:rFonts w:ascii="Arial" w:hAnsi="Arial" w:cs="Arial"/>
                <w:b/>
                <w:sz w:val="18"/>
                <w:szCs w:val="18"/>
              </w:rPr>
              <w:t xml:space="preserve">Informacije o obsegu NDC vsebujejo pojasnila/nadaljnje podrobnosti v primerjavi z informacijami v posodobljenem NDC EU.  </w:t>
            </w:r>
          </w:p>
        </w:tc>
      </w:tr>
    </w:tbl>
    <w:p w14:paraId="257CAF5A" w14:textId="77777777" w:rsidR="00CC4C6D" w:rsidRPr="003E4B53" w:rsidRDefault="00CC4C6D" w:rsidP="0024256B">
      <w:pPr>
        <w:pStyle w:val="BodyText"/>
        <w:spacing w:line="240" w:lineRule="auto"/>
        <w:ind w:left="127"/>
        <w:rPr>
          <w:rFonts w:ascii="Arial" w:hAnsi="Arial" w:cs="Arial"/>
          <w:sz w:val="18"/>
          <w:szCs w:val="18"/>
        </w:rPr>
      </w:pPr>
      <w:r w:rsidRPr="003E4B53">
        <w:rPr>
          <w:rFonts w:ascii="Arial" w:hAnsi="Arial" w:cs="Arial"/>
          <w:noProof/>
          <w:sz w:val="18"/>
          <w:szCs w:val="18"/>
        </w:rPr>
        <mc:AlternateContent>
          <mc:Choice Requires="wpg">
            <w:drawing>
              <wp:inline distT="0" distB="0" distL="0" distR="0" wp14:anchorId="3216B85F" wp14:editId="2CABE0B7">
                <wp:extent cx="1829435" cy="6350"/>
                <wp:effectExtent l="10160" t="6985" r="8255" b="5715"/>
                <wp:docPr id="1445414588"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6350"/>
                          <a:chOff x="0" y="0"/>
                          <a:chExt cx="2881" cy="10"/>
                        </a:xfrm>
                      </wpg:grpSpPr>
                      <wps:wsp>
                        <wps:cNvPr id="910716056" name="Line 3"/>
                        <wps:cNvCnPr>
                          <a:cxnSpLocks noChangeShapeType="1"/>
                        </wps:cNvCnPr>
                        <wps:spPr bwMode="auto">
                          <a:xfrm>
                            <a:off x="0" y="5"/>
                            <a:ext cx="28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E6A8AF5" id="Group 1" o:spid="_x0000_s1026" style="width:144.05pt;height:.5pt;mso-position-horizontal-relative:char;mso-position-vertical-relative:line" coordsize="2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">
                <v:line id="Line 3" o:spid="_x0000_s1027" style="position:absolute;visibility:visible;mso-wrap-style:square" from="0,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" strokeweight=".48pt"/>
                <w10:anchorlock/>
              </v:group>
            </w:pict>
          </mc:Fallback>
        </mc:AlternateContent>
      </w:r>
    </w:p>
    <w:p w14:paraId="3B5FD574" w14:textId="77777777" w:rsidR="00CC4C6D" w:rsidRPr="003E4B53" w:rsidRDefault="00CC4C6D" w:rsidP="0024256B">
      <w:pPr>
        <w:spacing w:before="68" w:line="240" w:lineRule="auto"/>
        <w:ind w:left="274"/>
        <w:jc w:val="both"/>
        <w:rPr>
          <w:rFonts w:ascii="Arial" w:hAnsi="Arial" w:cs="Arial"/>
          <w:sz w:val="18"/>
          <w:szCs w:val="18"/>
        </w:rPr>
      </w:pPr>
      <w:r w:rsidRPr="003E4B53">
        <w:rPr>
          <w:rFonts w:ascii="Arial" w:hAnsi="Arial" w:cs="Arial"/>
          <w:i/>
          <w:sz w:val="18"/>
          <w:szCs w:val="18"/>
        </w:rPr>
        <w:t>Opomba</w:t>
      </w:r>
      <w:r w:rsidRPr="003E4B53">
        <w:rPr>
          <w:rFonts w:ascii="Arial" w:hAnsi="Arial" w:cs="Arial"/>
          <w:sz w:val="18"/>
          <w:szCs w:val="18"/>
        </w:rPr>
        <w:t>: To tabelo bodo pogodbenice uporabljale prostovoljno.</w:t>
      </w:r>
    </w:p>
    <w:p w14:paraId="668CA119" w14:textId="77777777" w:rsidR="00CC4C6D" w:rsidRPr="003E4B53" w:rsidRDefault="00CC4C6D" w:rsidP="0024256B">
      <w:pPr>
        <w:spacing w:before="2" w:line="240" w:lineRule="auto"/>
        <w:ind w:left="132" w:right="836" w:firstLine="10"/>
        <w:jc w:val="both"/>
        <w:rPr>
          <w:rFonts w:ascii="Arial" w:hAnsi="Arial" w:cs="Arial"/>
          <w:sz w:val="18"/>
          <w:szCs w:val="18"/>
        </w:rPr>
      </w:pPr>
      <w:r w:rsidRPr="003E4B53">
        <w:rPr>
          <w:rFonts w:ascii="Arial" w:hAnsi="Arial" w:cs="Arial"/>
          <w:i/>
          <w:sz w:val="18"/>
          <w:szCs w:val="18"/>
        </w:rPr>
        <w:t xml:space="preserve">a </w:t>
      </w:r>
      <w:r w:rsidRPr="003E4B53">
        <w:rPr>
          <w:rFonts w:ascii="Arial" w:hAnsi="Arial" w:cs="Arial"/>
          <w:sz w:val="18"/>
          <w:szCs w:val="18"/>
        </w:rPr>
        <w:t>Vsaka pogodbenica zagotovi opis svojega NDC v skladu s 4. členom, glede na katerega se bo spremljal napredek. Zagotovljene informacije vključujejo zahtevane informacije, kot je primerno, vključno z morebitnimi posodobitvami predhodno posredovanih informacij (odstavek 64 MPG).</w:t>
      </w:r>
    </w:p>
    <w:p w14:paraId="3C0D33BE" w14:textId="77777777" w:rsidR="00CC4C6D" w:rsidRPr="003E4B53" w:rsidRDefault="00CC4C6D" w:rsidP="0024256B">
      <w:pPr>
        <w:spacing w:before="1" w:line="240" w:lineRule="auto"/>
        <w:ind w:left="132" w:right="615" w:firstLine="10"/>
        <w:jc w:val="both"/>
        <w:rPr>
          <w:rFonts w:ascii="Arial" w:hAnsi="Arial" w:cs="Arial"/>
          <w:sz w:val="18"/>
          <w:szCs w:val="18"/>
        </w:rPr>
      </w:pPr>
      <w:r w:rsidRPr="003E4B53">
        <w:rPr>
          <w:rFonts w:ascii="Arial" w:hAnsi="Arial" w:cs="Arial"/>
          <w:i/>
          <w:sz w:val="18"/>
          <w:szCs w:val="18"/>
        </w:rPr>
        <w:t xml:space="preserve">b </w:t>
      </w:r>
      <w:r w:rsidRPr="003E4B53">
        <w:rPr>
          <w:rFonts w:ascii="Arial" w:hAnsi="Arial" w:cs="Arial"/>
          <w:sz w:val="18"/>
          <w:szCs w:val="18"/>
        </w:rPr>
        <w:t>Na primer: absolutno zmanjšanje emisij v celotnem gospodarstvu, zmanjšanje intenzivnosti emisij, zmanjšanje emisij pod predvideno izhodiščno vrednost, sočasne koristi blažitve prilagoditvenih ukrepov ali načrtov, politik in ukrepov za diverzifikacijo gospodarstva ter drugo (odstavek 64(a) MPG).</w:t>
      </w:r>
    </w:p>
    <w:p w14:paraId="6186DCEF" w14:textId="77777777" w:rsidR="00CC4C6D" w:rsidRPr="003E4B53" w:rsidRDefault="00CC4C6D" w:rsidP="0024256B">
      <w:pPr>
        <w:spacing w:line="240" w:lineRule="auto"/>
        <w:ind w:left="132" w:right="836" w:firstLine="10"/>
        <w:jc w:val="both"/>
        <w:rPr>
          <w:rFonts w:ascii="Arial" w:hAnsi="Arial" w:cs="Arial"/>
          <w:sz w:val="18"/>
          <w:szCs w:val="18"/>
        </w:rPr>
      </w:pPr>
      <w:r w:rsidRPr="003E4B53">
        <w:rPr>
          <w:rFonts w:ascii="Arial" w:hAnsi="Arial" w:cs="Arial"/>
          <w:i/>
          <w:sz w:val="18"/>
          <w:szCs w:val="18"/>
        </w:rPr>
        <w:t xml:space="preserve">c </w:t>
      </w:r>
      <w:r w:rsidRPr="003E4B53">
        <w:rPr>
          <w:rFonts w:ascii="Arial" w:hAnsi="Arial" w:cs="Arial"/>
          <w:sz w:val="18"/>
          <w:szCs w:val="18"/>
        </w:rPr>
        <w:t>Stranke z brezpogojnimi in pogojnimi cilji v svojih NDC lahko v tabelo dodajo vrstico za opis pogojnih ciljev.</w:t>
      </w:r>
    </w:p>
    <w:p w14:paraId="0DD69FA8" w14:textId="77777777" w:rsidR="00CC4C6D" w:rsidRPr="003E4B53" w:rsidRDefault="00CC4C6D" w:rsidP="0024256B">
      <w:pPr>
        <w:spacing w:line="240" w:lineRule="auto"/>
        <w:ind w:left="132" w:right="836" w:firstLine="10"/>
        <w:jc w:val="both"/>
        <w:rPr>
          <w:rFonts w:ascii="Arial" w:hAnsi="Arial" w:cs="Arial"/>
          <w:sz w:val="18"/>
          <w:szCs w:val="18"/>
        </w:rPr>
      </w:pPr>
      <w:r w:rsidRPr="003E4B53">
        <w:rPr>
          <w:rFonts w:ascii="Arial" w:hAnsi="Arial" w:cs="Arial"/>
          <w:i/>
          <w:sz w:val="18"/>
          <w:szCs w:val="18"/>
        </w:rPr>
        <w:t xml:space="preserve">d </w:t>
      </w:r>
      <w:r w:rsidRPr="003E4B53">
        <w:rPr>
          <w:rFonts w:ascii="Arial" w:hAnsi="Arial" w:cs="Arial"/>
          <w:sz w:val="18"/>
          <w:szCs w:val="18"/>
        </w:rPr>
        <w:t>Na primer: ponovni izračun predhodno sporočenih podatkov o evidenci ali več podrobnosti o metodologijah ali uporabi kooperativnih pristopov (odstavek 64(g) MPG).</w:t>
      </w:r>
    </w:p>
    <w:p w14:paraId="7DB7B9E8" w14:textId="77777777" w:rsidR="00CC4C6D" w:rsidRPr="007944FA" w:rsidRDefault="00CC4C6D" w:rsidP="0024256B">
      <w:pPr>
        <w:spacing w:line="240" w:lineRule="auto"/>
        <w:ind w:left="132" w:right="836" w:firstLine="141"/>
        <w:jc w:val="both"/>
        <w:rPr>
          <w:rFonts w:ascii="Arial" w:hAnsi="Arial" w:cs="Arial"/>
          <w:b/>
        </w:rPr>
      </w:pPr>
    </w:p>
    <w:p w14:paraId="0C63FD3C" w14:textId="77777777" w:rsidR="00CC4C6D" w:rsidRPr="007944FA" w:rsidRDefault="00CC4C6D" w:rsidP="0024256B">
      <w:pPr>
        <w:pStyle w:val="ListParagraph"/>
        <w:widowControl w:val="0"/>
        <w:numPr>
          <w:ilvl w:val="0"/>
          <w:numId w:val="32"/>
        </w:numPr>
        <w:tabs>
          <w:tab w:val="left" w:pos="315"/>
        </w:tabs>
        <w:autoSpaceDE w:val="0"/>
        <w:autoSpaceDN w:val="0"/>
        <w:spacing w:before="92" w:after="0" w:line="240" w:lineRule="auto"/>
        <w:ind w:hanging="183"/>
        <w:contextualSpacing w:val="0"/>
        <w:jc w:val="both"/>
        <w:rPr>
          <w:rFonts w:ascii="Arial" w:hAnsi="Arial" w:cs="Arial"/>
          <w:b/>
        </w:rPr>
      </w:pPr>
      <w:r w:rsidRPr="007944FA">
        <w:rPr>
          <w:rFonts w:ascii="Arial" w:hAnsi="Arial" w:cs="Arial"/>
          <w:b/>
        </w:rPr>
        <w:t>Strukturiran povzetek: Opis izbranih indikatorjev</w:t>
      </w:r>
    </w:p>
    <w:p w14:paraId="72F69553" w14:textId="77777777" w:rsidR="00CC4C6D" w:rsidRPr="007944FA" w:rsidRDefault="00CC4C6D" w:rsidP="0024256B">
      <w:pPr>
        <w:pStyle w:val="BodyText"/>
        <w:spacing w:before="3" w:line="240" w:lineRule="auto"/>
        <w:rPr>
          <w:rFonts w:ascii="Arial" w:hAnsi="Arial" w:cs="Arial"/>
          <w:b/>
          <w:szCs w:val="22"/>
        </w:rPr>
      </w:pPr>
    </w:p>
    <w:tbl>
      <w:tblPr>
        <w:tblStyle w:val="TableNormal1"/>
        <w:tblW w:w="0" w:type="auto"/>
        <w:tblInd w:w="131" w:type="dxa"/>
        <w:tblLayout w:type="fixed"/>
        <w:tblLook w:val="01E0" w:firstRow="1" w:lastRow="1" w:firstColumn="1" w:lastColumn="1" w:noHBand="0" w:noVBand="0"/>
      </w:tblPr>
      <w:tblGrid>
        <w:gridCol w:w="3413"/>
        <w:gridCol w:w="8"/>
        <w:gridCol w:w="5095"/>
      </w:tblGrid>
      <w:tr w:rsidR="00CC4C6D" w:rsidRPr="003E4B53" w14:paraId="538A41A9" w14:textId="77777777" w:rsidTr="006D46D8">
        <w:trPr>
          <w:trHeight w:val="260"/>
        </w:trPr>
        <w:tc>
          <w:tcPr>
            <w:tcW w:w="3421" w:type="dxa"/>
            <w:gridSpan w:val="2"/>
            <w:tcBorders>
              <w:top w:val="single" w:sz="4" w:space="0" w:color="000000"/>
              <w:bottom w:val="single" w:sz="12" w:space="0" w:color="000000"/>
            </w:tcBorders>
          </w:tcPr>
          <w:p w14:paraId="78CB89A2" w14:textId="77777777" w:rsidR="00CC4C6D" w:rsidRPr="003E4B53" w:rsidRDefault="00CC4C6D" w:rsidP="0024256B">
            <w:pPr>
              <w:pStyle w:val="TableParagraph"/>
              <w:spacing w:before="15"/>
              <w:ind w:left="9"/>
              <w:jc w:val="both"/>
              <w:rPr>
                <w:rFonts w:ascii="Arial" w:hAnsi="Arial" w:cs="Arial"/>
                <w:i/>
                <w:sz w:val="18"/>
                <w:szCs w:val="18"/>
                <w:lang w:val="sl-SI"/>
              </w:rPr>
            </w:pPr>
            <w:r w:rsidRPr="003E4B53">
              <w:rPr>
                <w:rFonts w:ascii="Arial" w:hAnsi="Arial" w:cs="Arial"/>
                <w:i/>
                <w:sz w:val="18"/>
                <w:szCs w:val="18"/>
              </w:rPr>
              <w:t>Kazalnik(i), izbran(i) za spremljanje napredka a</w:t>
            </w:r>
          </w:p>
        </w:tc>
        <w:tc>
          <w:tcPr>
            <w:tcW w:w="5095" w:type="dxa"/>
            <w:tcBorders>
              <w:top w:val="single" w:sz="4" w:space="0" w:color="000000"/>
              <w:bottom w:val="single" w:sz="12" w:space="0" w:color="000000"/>
            </w:tcBorders>
          </w:tcPr>
          <w:p w14:paraId="336C0F0D" w14:textId="77777777" w:rsidR="00CC4C6D" w:rsidRPr="003E4B53" w:rsidRDefault="00CC4C6D" w:rsidP="0024256B">
            <w:pPr>
              <w:pStyle w:val="TableParagraph"/>
              <w:spacing w:before="37"/>
              <w:ind w:left="899"/>
              <w:jc w:val="both"/>
              <w:rPr>
                <w:rFonts w:ascii="Arial" w:hAnsi="Arial" w:cs="Arial"/>
                <w:i/>
                <w:sz w:val="18"/>
                <w:szCs w:val="18"/>
                <w:lang w:val="sl-SI"/>
              </w:rPr>
            </w:pPr>
            <w:r w:rsidRPr="003E4B53">
              <w:rPr>
                <w:rFonts w:ascii="Arial" w:hAnsi="Arial" w:cs="Arial"/>
                <w:i/>
                <w:sz w:val="18"/>
                <w:szCs w:val="18"/>
              </w:rPr>
              <w:t>Opis</w:t>
            </w:r>
          </w:p>
        </w:tc>
      </w:tr>
      <w:tr w:rsidR="00CC4C6D" w:rsidRPr="003E4B53" w14:paraId="7991BF29" w14:textId="77777777" w:rsidTr="006D46D8">
        <w:trPr>
          <w:trHeight w:val="319"/>
        </w:trPr>
        <w:tc>
          <w:tcPr>
            <w:tcW w:w="3421" w:type="dxa"/>
            <w:gridSpan w:val="2"/>
            <w:tcBorders>
              <w:top w:val="single" w:sz="12" w:space="0" w:color="000000"/>
            </w:tcBorders>
          </w:tcPr>
          <w:p w14:paraId="7A05C55C" w14:textId="77777777" w:rsidR="00CC4C6D" w:rsidRPr="003E4B53" w:rsidRDefault="00CC4C6D" w:rsidP="0024256B">
            <w:pPr>
              <w:pStyle w:val="TableParagraph"/>
              <w:spacing w:before="31"/>
              <w:ind w:left="66"/>
              <w:jc w:val="both"/>
              <w:rPr>
                <w:rFonts w:ascii="Arial" w:hAnsi="Arial" w:cs="Arial"/>
                <w:sz w:val="18"/>
                <w:szCs w:val="18"/>
                <w:lang w:val="sl-SI"/>
              </w:rPr>
            </w:pPr>
            <w:r w:rsidRPr="003E4B53">
              <w:rPr>
                <w:rFonts w:ascii="Arial" w:hAnsi="Arial" w:cs="Arial"/>
                <w:sz w:val="18"/>
                <w:szCs w:val="18"/>
              </w:rPr>
              <w:t>{Indikator}</w:t>
            </w:r>
          </w:p>
        </w:tc>
        <w:tc>
          <w:tcPr>
            <w:tcW w:w="5095" w:type="dxa"/>
            <w:tcBorders>
              <w:top w:val="single" w:sz="12" w:space="0" w:color="000000"/>
            </w:tcBorders>
          </w:tcPr>
          <w:p w14:paraId="4A7159E0"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Skupne letne neto emisije toplogrednih plinov v skladu z obsegom NDC v CO</w:t>
            </w:r>
            <w:r w:rsidRPr="003E4B53">
              <w:rPr>
                <w:rFonts w:ascii="Arial" w:hAnsi="Arial" w:cs="Arial"/>
                <w:b/>
                <w:sz w:val="18"/>
                <w:szCs w:val="18"/>
                <w:vertAlign w:val="subscript"/>
              </w:rPr>
              <w:t>2</w:t>
            </w:r>
            <w:r w:rsidRPr="003E4B53">
              <w:rPr>
                <w:rFonts w:ascii="Arial" w:hAnsi="Arial" w:cs="Arial"/>
                <w:b/>
                <w:sz w:val="18"/>
                <w:szCs w:val="18"/>
              </w:rPr>
              <w:t xml:space="preserve"> ekv.</w:t>
            </w:r>
          </w:p>
        </w:tc>
      </w:tr>
      <w:tr w:rsidR="00CC4C6D" w:rsidRPr="003E4B53" w14:paraId="675991D5" w14:textId="77777777" w:rsidTr="006D46D8">
        <w:trPr>
          <w:trHeight w:val="780"/>
        </w:trPr>
        <w:tc>
          <w:tcPr>
            <w:tcW w:w="3413" w:type="dxa"/>
          </w:tcPr>
          <w:p w14:paraId="675F9176" w14:textId="77777777" w:rsidR="00CC4C6D" w:rsidRPr="003E4B53" w:rsidRDefault="00CC4C6D" w:rsidP="0024256B">
            <w:pPr>
              <w:pStyle w:val="TableParagraph"/>
              <w:spacing w:before="59"/>
              <w:ind w:left="179" w:right="5"/>
              <w:jc w:val="both"/>
              <w:rPr>
                <w:rFonts w:ascii="Arial" w:hAnsi="Arial" w:cs="Arial"/>
                <w:i/>
                <w:sz w:val="18"/>
                <w:szCs w:val="18"/>
                <w:lang w:val="sl-SI"/>
              </w:rPr>
            </w:pPr>
            <w:r w:rsidRPr="003E4B53">
              <w:rPr>
                <w:rFonts w:ascii="Arial" w:hAnsi="Arial" w:cs="Arial"/>
                <w:sz w:val="18"/>
                <w:szCs w:val="18"/>
              </w:rPr>
              <w:t>Informacije za referenčno(-e) točko(-e), raven(-e), izhodišče(-a), izhodiščno(-a) leto(-a) ali začetno(-a) točko(-a), kot je ustrezno</w:t>
            </w:r>
            <w:r w:rsidRPr="003E4B53">
              <w:rPr>
                <w:rFonts w:ascii="Arial" w:hAnsi="Arial" w:cs="Arial"/>
                <w:i/>
                <w:sz w:val="18"/>
                <w:szCs w:val="18"/>
              </w:rPr>
              <w:t xml:space="preserve"> b</w:t>
            </w:r>
          </w:p>
        </w:tc>
        <w:tc>
          <w:tcPr>
            <w:tcW w:w="5103" w:type="dxa"/>
            <w:gridSpan w:val="2"/>
          </w:tcPr>
          <w:p w14:paraId="585C4896"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Referenčna raven so skupne neto emisije toplogrednih plinov EU v osnovnem letu (1990). Referenčna vrednost ravni za EU je 4.699.405 kt CO</w:t>
            </w:r>
            <w:r w:rsidRPr="003E4B53">
              <w:rPr>
                <w:rFonts w:ascii="Arial" w:hAnsi="Arial" w:cs="Arial"/>
                <w:b/>
                <w:sz w:val="18"/>
                <w:szCs w:val="18"/>
                <w:vertAlign w:val="subscript"/>
              </w:rPr>
              <w:t xml:space="preserve">2 </w:t>
            </w:r>
            <w:r w:rsidRPr="003E4B53">
              <w:rPr>
                <w:rFonts w:ascii="Arial" w:hAnsi="Arial" w:cs="Arial"/>
                <w:b/>
                <w:sz w:val="18"/>
                <w:szCs w:val="18"/>
              </w:rPr>
              <w:t>ekv.</w:t>
            </w:r>
          </w:p>
        </w:tc>
      </w:tr>
      <w:tr w:rsidR="00CC4C6D" w:rsidRPr="003E4B53" w14:paraId="1CDA75FF" w14:textId="77777777" w:rsidTr="006D46D8">
        <w:trPr>
          <w:trHeight w:val="556"/>
        </w:trPr>
        <w:tc>
          <w:tcPr>
            <w:tcW w:w="3413" w:type="dxa"/>
          </w:tcPr>
          <w:p w14:paraId="723C956E" w14:textId="77777777" w:rsidR="00CC4C6D" w:rsidRPr="003E4B53" w:rsidRDefault="00CC4C6D" w:rsidP="0024256B">
            <w:pPr>
              <w:pStyle w:val="TableParagraph"/>
              <w:spacing w:before="61"/>
              <w:ind w:left="179"/>
              <w:jc w:val="both"/>
              <w:rPr>
                <w:rFonts w:ascii="Arial" w:hAnsi="Arial" w:cs="Arial"/>
                <w:i/>
                <w:sz w:val="18"/>
                <w:szCs w:val="18"/>
                <w:lang w:val="sl-SI"/>
              </w:rPr>
            </w:pPr>
            <w:r w:rsidRPr="003E4B53">
              <w:rPr>
                <w:rFonts w:ascii="Arial" w:hAnsi="Arial" w:cs="Arial"/>
                <w:sz w:val="18"/>
                <w:szCs w:val="18"/>
              </w:rPr>
              <w:t>Posodobitve v skladu s ponovnim izračunom evidence toplogrednih plinov, kot je primerno</w:t>
            </w:r>
          </w:p>
        </w:tc>
        <w:tc>
          <w:tcPr>
            <w:tcW w:w="5103" w:type="dxa"/>
            <w:gridSpan w:val="2"/>
          </w:tcPr>
          <w:p w14:paraId="193DA33C"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 xml:space="preserve">To je prvič, da je referenčna raven sporočena, zato ni nobenih posodobitev. </w:t>
            </w:r>
          </w:p>
          <w:p w14:paraId="6CABFB74"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Vrednost referenčne ravni bo morda v prihodnje posodobljena zaradi metodoloških izboljšav popisa toplogrednih plinov v EU in zaradi določanja emisij iz mednarodnega letalstva in navigacije v okviru NDC.</w:t>
            </w:r>
          </w:p>
        </w:tc>
      </w:tr>
      <w:tr w:rsidR="00CC4C6D" w:rsidRPr="003E4B53" w14:paraId="3C454C17" w14:textId="77777777" w:rsidTr="006D46D8">
        <w:trPr>
          <w:trHeight w:val="365"/>
        </w:trPr>
        <w:tc>
          <w:tcPr>
            <w:tcW w:w="3421" w:type="dxa"/>
            <w:gridSpan w:val="2"/>
            <w:tcBorders>
              <w:bottom w:val="single" w:sz="12" w:space="0" w:color="000000"/>
            </w:tcBorders>
          </w:tcPr>
          <w:p w14:paraId="03ED7E00" w14:textId="77777777" w:rsidR="00CC4C6D" w:rsidRPr="003E4B53" w:rsidRDefault="00CC4C6D" w:rsidP="0024256B">
            <w:pPr>
              <w:pStyle w:val="TableParagraph"/>
              <w:spacing w:before="50"/>
              <w:ind w:left="179" w:right="-5099"/>
              <w:jc w:val="both"/>
              <w:rPr>
                <w:rFonts w:ascii="Arial" w:hAnsi="Arial" w:cs="Arial"/>
                <w:i/>
                <w:sz w:val="18"/>
                <w:szCs w:val="18"/>
                <w:lang w:val="sl-SI"/>
              </w:rPr>
            </w:pPr>
            <w:r w:rsidRPr="003E4B53">
              <w:rPr>
                <w:rFonts w:ascii="Arial" w:hAnsi="Arial" w:cs="Arial"/>
                <w:sz w:val="18"/>
                <w:szCs w:val="18"/>
              </w:rPr>
              <w:t>Odnos do NDC</w:t>
            </w:r>
            <w:r w:rsidRPr="003E4B53">
              <w:rPr>
                <w:rFonts w:ascii="Arial" w:hAnsi="Arial" w:cs="Arial"/>
                <w:i/>
                <w:sz w:val="18"/>
                <w:szCs w:val="18"/>
              </w:rPr>
              <w:t xml:space="preserve"> c</w:t>
            </w:r>
          </w:p>
        </w:tc>
        <w:tc>
          <w:tcPr>
            <w:tcW w:w="5095" w:type="dxa"/>
            <w:tcBorders>
              <w:bottom w:val="single" w:sz="12" w:space="0" w:color="000000"/>
            </w:tcBorders>
          </w:tcPr>
          <w:p w14:paraId="4907689E" w14:textId="77777777" w:rsidR="00CC4C6D" w:rsidRPr="003E4B53" w:rsidRDefault="00CC4C6D" w:rsidP="0024256B">
            <w:pPr>
              <w:pStyle w:val="TableParagraph"/>
              <w:spacing w:before="57"/>
              <w:ind w:left="120" w:right="147"/>
              <w:jc w:val="both"/>
              <w:rPr>
                <w:rFonts w:ascii="Arial" w:hAnsi="Arial" w:cs="Arial"/>
                <w:b/>
                <w:iCs/>
                <w:sz w:val="18"/>
                <w:szCs w:val="18"/>
                <w:lang w:val="sl-SI"/>
              </w:rPr>
            </w:pPr>
            <w:r w:rsidRPr="003E4B53">
              <w:rPr>
                <w:rFonts w:ascii="Arial" w:hAnsi="Arial" w:cs="Arial"/>
                <w:b/>
                <w:sz w:val="18"/>
                <w:szCs w:val="18"/>
              </w:rPr>
              <w:t>Indikator je opredeljen v isti enoti in metriki kot cilj NDC. Zato se lahko uporablja neposredno za sledenje napredku pri izvajanju in doseganju cilja NDC.</w:t>
            </w:r>
          </w:p>
        </w:tc>
      </w:tr>
    </w:tbl>
    <w:p w14:paraId="4984EE43" w14:textId="77777777" w:rsidR="00CC4C6D" w:rsidRPr="003E4B53" w:rsidRDefault="00CC4C6D" w:rsidP="0024256B">
      <w:pPr>
        <w:pStyle w:val="BodyText"/>
        <w:spacing w:line="240" w:lineRule="auto"/>
        <w:ind w:left="127"/>
        <w:rPr>
          <w:rFonts w:ascii="Arial" w:hAnsi="Arial" w:cs="Arial"/>
          <w:sz w:val="18"/>
          <w:szCs w:val="18"/>
        </w:rPr>
      </w:pPr>
      <w:r w:rsidRPr="003E4B53">
        <w:rPr>
          <w:rFonts w:ascii="Arial" w:hAnsi="Arial" w:cs="Arial"/>
          <w:noProof/>
          <w:sz w:val="18"/>
          <w:szCs w:val="18"/>
        </w:rPr>
        <mc:AlternateContent>
          <mc:Choice Requires="wpg">
            <w:drawing>
              <wp:inline distT="0" distB="0" distL="0" distR="0" wp14:anchorId="58D89BE7" wp14:editId="08E1DB71">
                <wp:extent cx="1829435" cy="6350"/>
                <wp:effectExtent l="10160" t="10160" r="8255" b="2540"/>
                <wp:docPr id="4438956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6350"/>
                          <a:chOff x="0" y="0"/>
                          <a:chExt cx="2881" cy="10"/>
                        </a:xfrm>
                      </wpg:grpSpPr>
                      <wps:wsp>
                        <wps:cNvPr id="1341441092" name="Line 7"/>
                        <wps:cNvCnPr>
                          <a:cxnSpLocks noChangeShapeType="1"/>
                        </wps:cNvCnPr>
                        <wps:spPr bwMode="auto">
                          <a:xfrm>
                            <a:off x="0" y="5"/>
                            <a:ext cx="28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6F03D0B" id="Group 5" o:spid="_x0000_s1026" style="width:144.05pt;height:.5pt;mso-position-horizontal-relative:char;mso-position-vertical-relative:line" coordsize="2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">
                <v:line id="Line 7" o:spid="_x0000_s1027" style="position:absolute;visibility:visible;mso-wrap-style:square" from="0,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" strokeweight=".48pt"/>
                <w10:anchorlock/>
              </v:group>
            </w:pict>
          </mc:Fallback>
        </mc:AlternateContent>
      </w:r>
    </w:p>
    <w:p w14:paraId="0BB56D5D" w14:textId="77777777" w:rsidR="00CC4C6D" w:rsidRPr="003E4B53" w:rsidRDefault="00CC4C6D" w:rsidP="0024256B">
      <w:pPr>
        <w:tabs>
          <w:tab w:val="left" w:pos="8647"/>
        </w:tabs>
        <w:spacing w:before="73" w:line="240" w:lineRule="auto"/>
        <w:ind w:left="132" w:right="991" w:firstLine="141"/>
        <w:jc w:val="both"/>
        <w:rPr>
          <w:rFonts w:ascii="Arial" w:hAnsi="Arial" w:cs="Arial"/>
          <w:sz w:val="18"/>
          <w:szCs w:val="18"/>
        </w:rPr>
      </w:pPr>
      <w:r w:rsidRPr="003E4B53">
        <w:rPr>
          <w:rFonts w:ascii="Arial" w:hAnsi="Arial" w:cs="Arial"/>
          <w:i/>
          <w:sz w:val="18"/>
          <w:szCs w:val="18"/>
        </w:rPr>
        <w:t>Opombe</w:t>
      </w:r>
      <w:r w:rsidRPr="003E4B53">
        <w:rPr>
          <w:rFonts w:ascii="Arial" w:hAnsi="Arial" w:cs="Arial"/>
          <w:sz w:val="18"/>
          <w:szCs w:val="18"/>
        </w:rPr>
        <w:t>: (1) Na podlagi odstavka 79 MPG vsaka pogodbenica poroča informacije iz odstavkov 65–78 MPG v pripovedni in običajni obliki tabele, kot je primerno. (2) Pogodbenica lahko spremeni obliko poročanja (npr. datoteko Excel), da odstrani določene vrstice v tej tabeli, če informacije, ki jih je treba zagotoviti v teh vrsticah, ne veljajo za NDC pogodbenice v skladu s 4. členom Pariškega sporazuma v skladu z MPG. (3) Pogodbenica lahko doda vrstice za vsak dodatni izbrani indikator in povezane informacije.</w:t>
      </w:r>
    </w:p>
    <w:p w14:paraId="4A314746" w14:textId="77777777" w:rsidR="00CC4C6D" w:rsidRPr="003E4B53" w:rsidRDefault="00CC4C6D" w:rsidP="0024256B">
      <w:pPr>
        <w:tabs>
          <w:tab w:val="left" w:pos="8647"/>
        </w:tabs>
        <w:spacing w:line="240" w:lineRule="auto"/>
        <w:ind w:left="274" w:right="991"/>
        <w:jc w:val="both"/>
        <w:rPr>
          <w:rFonts w:ascii="Arial" w:hAnsi="Arial" w:cs="Arial"/>
          <w:sz w:val="18"/>
          <w:szCs w:val="18"/>
        </w:rPr>
      </w:pPr>
      <w:r w:rsidRPr="003E4B53">
        <w:rPr>
          <w:rFonts w:ascii="Arial" w:hAnsi="Arial" w:cs="Arial"/>
          <w:i/>
          <w:sz w:val="18"/>
          <w:szCs w:val="18"/>
        </w:rPr>
        <w:t xml:space="preserve">a </w:t>
      </w:r>
      <w:r w:rsidRPr="003E4B53">
        <w:rPr>
          <w:rFonts w:ascii="Arial" w:hAnsi="Arial" w:cs="Arial"/>
          <w:sz w:val="18"/>
          <w:szCs w:val="18"/>
        </w:rPr>
        <w:t>Vsaka pogodbenica opredeli kazalnike, ki jih je izbrala za sledenje napredku svojega NDC (odstavek 65 MPG).</w:t>
      </w:r>
    </w:p>
    <w:p w14:paraId="5F883500" w14:textId="77777777" w:rsidR="00CC4C6D" w:rsidRPr="003E4B53" w:rsidRDefault="00CC4C6D" w:rsidP="0024256B">
      <w:pPr>
        <w:tabs>
          <w:tab w:val="left" w:pos="8647"/>
        </w:tabs>
        <w:spacing w:line="240" w:lineRule="auto"/>
        <w:ind w:left="132" w:right="991" w:firstLine="141"/>
        <w:jc w:val="both"/>
        <w:rPr>
          <w:rFonts w:ascii="Arial" w:hAnsi="Arial" w:cs="Arial"/>
          <w:sz w:val="18"/>
          <w:szCs w:val="18"/>
        </w:rPr>
      </w:pPr>
      <w:r w:rsidRPr="003E4B53">
        <w:rPr>
          <w:rFonts w:ascii="Arial" w:hAnsi="Arial" w:cs="Arial"/>
          <w:i/>
          <w:sz w:val="18"/>
          <w:szCs w:val="18"/>
        </w:rPr>
        <w:t xml:space="preserve">b </w:t>
      </w:r>
      <w:r w:rsidRPr="003E4B53">
        <w:rPr>
          <w:rFonts w:ascii="Arial" w:hAnsi="Arial" w:cs="Arial"/>
          <w:sz w:val="18"/>
          <w:szCs w:val="18"/>
        </w:rPr>
        <w:t>Vsaka pogodbenica zagotovi informacije za vsak izbrani kazalnik za referenčno(-e) točko(-e), raven(-e), izhodiščno(-a), izhodiščno(-a) leto(-a) ali začetno(-a) točko(-a) in posodobi informacije v skladu s kakršnim koli ponovnim izračunom evidence toplogrednih plinov, kot je ustrezno (odstavek 67 MPG).</w:t>
      </w:r>
    </w:p>
    <w:p w14:paraId="07662269" w14:textId="77777777" w:rsidR="00CC4C6D" w:rsidRPr="003E4B53" w:rsidRDefault="00CC4C6D" w:rsidP="0024256B">
      <w:pPr>
        <w:tabs>
          <w:tab w:val="left" w:pos="8647"/>
        </w:tabs>
        <w:spacing w:line="240" w:lineRule="auto"/>
        <w:ind w:left="274" w:right="991"/>
        <w:jc w:val="both"/>
        <w:rPr>
          <w:rFonts w:ascii="Arial" w:hAnsi="Arial" w:cs="Arial"/>
          <w:b/>
          <w:bCs/>
          <w:sz w:val="18"/>
          <w:szCs w:val="18"/>
        </w:rPr>
      </w:pPr>
      <w:r w:rsidRPr="003E4B53">
        <w:rPr>
          <w:rFonts w:ascii="Arial" w:hAnsi="Arial" w:cs="Arial"/>
          <w:i/>
          <w:sz w:val="18"/>
          <w:szCs w:val="18"/>
        </w:rPr>
        <w:lastRenderedPageBreak/>
        <w:t xml:space="preserve">c </w:t>
      </w:r>
      <w:r w:rsidRPr="003E4B53">
        <w:rPr>
          <w:rFonts w:ascii="Arial" w:hAnsi="Arial" w:cs="Arial"/>
          <w:sz w:val="18"/>
          <w:szCs w:val="18"/>
        </w:rPr>
        <w:t>Vsaka pogodbenica za vsak opredeljeni kazalnik opiše, kako je povezan z njenim NDC (odstavek 76(a) MPG).</w:t>
      </w:r>
    </w:p>
    <w:p w14:paraId="7442CEB6" w14:textId="77777777" w:rsidR="00CC4C6D" w:rsidRPr="007944FA" w:rsidRDefault="00CC4C6D" w:rsidP="0024256B">
      <w:pPr>
        <w:spacing w:line="240" w:lineRule="auto"/>
        <w:jc w:val="both"/>
        <w:rPr>
          <w:rFonts w:ascii="Arial" w:hAnsi="Arial" w:cs="Arial"/>
          <w:b/>
        </w:rPr>
      </w:pPr>
    </w:p>
    <w:p w14:paraId="420121A4" w14:textId="655C07D0" w:rsidR="00CC4C6D" w:rsidRPr="007944FA" w:rsidRDefault="00CC4C6D" w:rsidP="0024256B">
      <w:pPr>
        <w:widowControl w:val="0"/>
        <w:tabs>
          <w:tab w:val="left" w:pos="315"/>
        </w:tabs>
        <w:autoSpaceDE w:val="0"/>
        <w:autoSpaceDN w:val="0"/>
        <w:spacing w:before="92" w:after="0" w:line="240" w:lineRule="auto"/>
        <w:ind w:left="132"/>
        <w:jc w:val="both"/>
        <w:rPr>
          <w:rFonts w:ascii="Arial" w:hAnsi="Arial" w:cs="Arial"/>
          <w:b/>
        </w:rPr>
      </w:pPr>
      <w:r w:rsidRPr="007944FA">
        <w:rPr>
          <w:rFonts w:ascii="Arial" w:hAnsi="Arial" w:cs="Arial"/>
          <w:b/>
        </w:rPr>
        <w:t>2.Strukturiran povzetek: Definicije, potrebne za razumevanje NDC</w:t>
      </w:r>
    </w:p>
    <w:p w14:paraId="40745E6E" w14:textId="77777777" w:rsidR="00CC4C6D" w:rsidRPr="007944FA" w:rsidRDefault="00CC4C6D" w:rsidP="0024256B">
      <w:pPr>
        <w:pStyle w:val="BodyText"/>
        <w:spacing w:before="2" w:after="1" w:line="240" w:lineRule="auto"/>
        <w:rPr>
          <w:rFonts w:ascii="Arial" w:hAnsi="Arial" w:cs="Arial"/>
          <w:b/>
          <w:szCs w:val="22"/>
        </w:rPr>
      </w:pPr>
    </w:p>
    <w:tbl>
      <w:tblPr>
        <w:tblStyle w:val="TableNormal1"/>
        <w:tblW w:w="0" w:type="auto"/>
        <w:tblInd w:w="133" w:type="dxa"/>
        <w:tblLayout w:type="fixed"/>
        <w:tblLook w:val="01E0" w:firstRow="1" w:lastRow="1" w:firstColumn="1" w:lastColumn="1" w:noHBand="0" w:noVBand="0"/>
      </w:tblPr>
      <w:tblGrid>
        <w:gridCol w:w="4120"/>
        <w:gridCol w:w="4392"/>
      </w:tblGrid>
      <w:tr w:rsidR="00CC4C6D" w:rsidRPr="003E4B53" w14:paraId="749FEB60" w14:textId="77777777" w:rsidTr="006D46D8">
        <w:trPr>
          <w:trHeight w:val="261"/>
        </w:trPr>
        <w:tc>
          <w:tcPr>
            <w:tcW w:w="8512" w:type="dxa"/>
            <w:gridSpan w:val="2"/>
            <w:tcBorders>
              <w:top w:val="single" w:sz="4" w:space="0" w:color="000000"/>
              <w:bottom w:val="single" w:sz="12" w:space="0" w:color="000000"/>
            </w:tcBorders>
          </w:tcPr>
          <w:p w14:paraId="4B57713C" w14:textId="77777777" w:rsidR="00CC4C6D" w:rsidRPr="003E4B53" w:rsidRDefault="00CC4C6D" w:rsidP="0024256B">
            <w:pPr>
              <w:pStyle w:val="TableParagraph"/>
              <w:spacing w:before="15"/>
              <w:ind w:left="4156" w:right="3544"/>
              <w:jc w:val="both"/>
              <w:rPr>
                <w:rFonts w:ascii="Arial" w:hAnsi="Arial" w:cs="Arial"/>
                <w:i/>
                <w:sz w:val="18"/>
                <w:szCs w:val="18"/>
                <w:lang w:val="sl-SI"/>
              </w:rPr>
            </w:pPr>
            <w:r w:rsidRPr="003E4B53">
              <w:rPr>
                <w:rFonts w:ascii="Arial" w:hAnsi="Arial" w:cs="Arial"/>
                <w:i/>
                <w:sz w:val="18"/>
                <w:szCs w:val="18"/>
              </w:rPr>
              <w:t>Definicije a</w:t>
            </w:r>
          </w:p>
        </w:tc>
      </w:tr>
      <w:tr w:rsidR="00CC4C6D" w:rsidRPr="003E4B53" w14:paraId="7C89A203" w14:textId="77777777" w:rsidTr="006D46D8">
        <w:trPr>
          <w:trHeight w:val="340"/>
        </w:trPr>
        <w:tc>
          <w:tcPr>
            <w:tcW w:w="8512" w:type="dxa"/>
            <w:gridSpan w:val="2"/>
            <w:tcBorders>
              <w:top w:val="single" w:sz="12" w:space="0" w:color="000000"/>
              <w:bottom w:val="single" w:sz="4" w:space="0" w:color="000000"/>
            </w:tcBorders>
          </w:tcPr>
          <w:p w14:paraId="3615C740" w14:textId="77777777" w:rsidR="00CC4C6D" w:rsidRPr="003E4B53" w:rsidRDefault="00CC4C6D" w:rsidP="0024256B">
            <w:pPr>
              <w:pStyle w:val="TableParagraph"/>
              <w:spacing w:before="31"/>
              <w:ind w:left="7"/>
              <w:jc w:val="both"/>
              <w:rPr>
                <w:rFonts w:ascii="Arial" w:hAnsi="Arial" w:cs="Arial"/>
                <w:i/>
                <w:sz w:val="18"/>
                <w:szCs w:val="18"/>
                <w:lang w:val="sl-SI"/>
              </w:rPr>
            </w:pPr>
            <w:r w:rsidRPr="003E4B53">
              <w:rPr>
                <w:rFonts w:ascii="Arial" w:hAnsi="Arial" w:cs="Arial"/>
                <w:i/>
                <w:sz w:val="18"/>
                <w:szCs w:val="18"/>
              </w:rPr>
              <w:t>Opredelitev, potrebna za razumevanje vsakega kazalnika:</w:t>
            </w:r>
          </w:p>
        </w:tc>
      </w:tr>
      <w:tr w:rsidR="00CC4C6D" w:rsidRPr="003E4B53" w14:paraId="47BC2DD9" w14:textId="77777777" w:rsidTr="006D46D8">
        <w:trPr>
          <w:trHeight w:val="558"/>
        </w:trPr>
        <w:tc>
          <w:tcPr>
            <w:tcW w:w="4120" w:type="dxa"/>
            <w:tcBorders>
              <w:top w:val="single" w:sz="4" w:space="0" w:color="000000"/>
              <w:bottom w:val="single" w:sz="4" w:space="0" w:color="000000"/>
            </w:tcBorders>
          </w:tcPr>
          <w:p w14:paraId="47193D08" w14:textId="77777777" w:rsidR="00CC4C6D" w:rsidRPr="003E4B53" w:rsidRDefault="00CC4C6D" w:rsidP="0024256B">
            <w:pPr>
              <w:pStyle w:val="TableParagraph"/>
              <w:spacing w:before="36"/>
              <w:ind w:left="7" w:right="285"/>
              <w:jc w:val="both"/>
              <w:rPr>
                <w:rFonts w:ascii="Arial" w:hAnsi="Arial" w:cs="Arial"/>
                <w:i/>
                <w:sz w:val="18"/>
                <w:szCs w:val="18"/>
                <w:lang w:val="sl-SI"/>
              </w:rPr>
            </w:pPr>
            <w:r w:rsidRPr="003E4B53">
              <w:rPr>
                <w:rFonts w:ascii="Arial" w:hAnsi="Arial" w:cs="Arial"/>
                <w:b/>
                <w:sz w:val="18"/>
                <w:szCs w:val="18"/>
              </w:rPr>
              <w:t>Skupne letne neto emisije TGP</w:t>
            </w:r>
          </w:p>
        </w:tc>
        <w:tc>
          <w:tcPr>
            <w:tcW w:w="4392" w:type="dxa"/>
            <w:tcBorders>
              <w:top w:val="single" w:sz="4" w:space="0" w:color="000000"/>
              <w:bottom w:val="single" w:sz="4" w:space="0" w:color="000000"/>
            </w:tcBorders>
          </w:tcPr>
          <w:p w14:paraId="2E474422" w14:textId="77777777" w:rsidR="00CC4C6D" w:rsidRPr="003E4B53" w:rsidRDefault="00CC4C6D" w:rsidP="0024256B">
            <w:pPr>
              <w:pStyle w:val="TableParagraph"/>
              <w:spacing w:before="36"/>
              <w:ind w:left="7" w:right="285"/>
              <w:jc w:val="both"/>
              <w:rPr>
                <w:rFonts w:ascii="Arial" w:hAnsi="Arial" w:cs="Arial"/>
                <w:b/>
                <w:iCs/>
                <w:sz w:val="18"/>
                <w:szCs w:val="18"/>
                <w:lang w:val="sl-SI"/>
              </w:rPr>
            </w:pPr>
            <w:r w:rsidRPr="003E4B53">
              <w:rPr>
                <w:rFonts w:ascii="Arial" w:hAnsi="Arial" w:cs="Arial"/>
                <w:b/>
                <w:sz w:val="18"/>
                <w:szCs w:val="18"/>
              </w:rPr>
              <w:t>Skupne neto emisije toplogrednih plinov ustrezajo skupnim letnim emisijam in odvzemom, prijavljenim v ekvivalentih CO</w:t>
            </w:r>
            <w:r w:rsidRPr="003E4B53">
              <w:rPr>
                <w:rFonts w:ascii="Arial" w:hAnsi="Arial" w:cs="Arial"/>
                <w:b/>
                <w:sz w:val="18"/>
                <w:szCs w:val="18"/>
                <w:vertAlign w:val="subscript"/>
              </w:rPr>
              <w:t>2</w:t>
            </w:r>
            <w:r w:rsidRPr="003E4B53">
              <w:rPr>
                <w:rFonts w:ascii="Arial" w:hAnsi="Arial" w:cs="Arial"/>
                <w:b/>
                <w:sz w:val="18"/>
                <w:szCs w:val="18"/>
              </w:rPr>
              <w:t xml:space="preserve"> v najnovejšem popisu toplogrednih plinov v EU. Skupne vrednosti zajemajo vse sektorje in pline, navedene v tabeli z naslovom ‘Oblika poročanja za opis nacionalno določenega prispevka pogodbenice v skladu s 4. členom Pariškega sporazuma, vključno s posodobitvami’. Vključene so posredne emisije CO2 iz tistih držav članic, ki poročajo o teh emisijah.</w:t>
            </w:r>
          </w:p>
          <w:p w14:paraId="7F0D9939" w14:textId="77777777" w:rsidR="00CC4C6D" w:rsidRPr="003E4B53" w:rsidRDefault="00CC4C6D" w:rsidP="0024256B">
            <w:pPr>
              <w:pStyle w:val="TableParagraph"/>
              <w:spacing w:before="36"/>
              <w:ind w:left="7" w:right="285"/>
              <w:jc w:val="both"/>
              <w:rPr>
                <w:rFonts w:ascii="Arial" w:hAnsi="Arial" w:cs="Arial"/>
                <w:i/>
                <w:sz w:val="18"/>
                <w:szCs w:val="18"/>
                <w:lang w:val="sl-SI"/>
              </w:rPr>
            </w:pPr>
          </w:p>
        </w:tc>
      </w:tr>
      <w:tr w:rsidR="00CC4C6D" w:rsidRPr="003E4B53" w14:paraId="071B6F5A" w14:textId="77777777" w:rsidTr="006D46D8">
        <w:trPr>
          <w:trHeight w:val="558"/>
        </w:trPr>
        <w:tc>
          <w:tcPr>
            <w:tcW w:w="8512" w:type="dxa"/>
            <w:gridSpan w:val="2"/>
            <w:tcBorders>
              <w:top w:val="single" w:sz="4" w:space="0" w:color="000000"/>
              <w:bottom w:val="single" w:sz="4" w:space="0" w:color="000000"/>
            </w:tcBorders>
          </w:tcPr>
          <w:p w14:paraId="1937A757" w14:textId="77777777" w:rsidR="00CC4C6D" w:rsidRPr="003E4B53" w:rsidRDefault="00CC4C6D" w:rsidP="0024256B">
            <w:pPr>
              <w:pStyle w:val="TableParagraph"/>
              <w:spacing w:before="36"/>
              <w:ind w:left="7" w:right="4535"/>
              <w:jc w:val="both"/>
              <w:rPr>
                <w:rFonts w:ascii="Arial" w:hAnsi="Arial" w:cs="Arial"/>
                <w:i/>
                <w:sz w:val="18"/>
                <w:szCs w:val="18"/>
                <w:lang w:val="sl-SI"/>
              </w:rPr>
            </w:pPr>
            <w:r w:rsidRPr="003E4B53">
              <w:rPr>
                <w:rFonts w:ascii="Arial" w:hAnsi="Arial" w:cs="Arial"/>
                <w:i/>
                <w:sz w:val="18"/>
                <w:szCs w:val="18"/>
              </w:rPr>
              <w:t>Vsak sektor ali kategorija, opredeljena drugače kot v poročilu o nacionalni evidenci:</w:t>
            </w:r>
          </w:p>
        </w:tc>
      </w:tr>
      <w:tr w:rsidR="00CC4C6D" w:rsidRPr="003E4B53" w14:paraId="7F89E5C1" w14:textId="77777777" w:rsidTr="006D46D8">
        <w:trPr>
          <w:trHeight w:val="340"/>
        </w:trPr>
        <w:tc>
          <w:tcPr>
            <w:tcW w:w="8512" w:type="dxa"/>
            <w:gridSpan w:val="2"/>
            <w:tcBorders>
              <w:top w:val="single" w:sz="4" w:space="0" w:color="000000"/>
              <w:bottom w:val="single" w:sz="4" w:space="0" w:color="000000"/>
            </w:tcBorders>
          </w:tcPr>
          <w:p w14:paraId="428B92C2" w14:textId="77777777" w:rsidR="00CC4C6D" w:rsidRPr="003E4B53" w:rsidRDefault="00CC4C6D" w:rsidP="0024256B">
            <w:pPr>
              <w:pStyle w:val="TableParagraph"/>
              <w:spacing w:before="34"/>
              <w:ind w:left="235"/>
              <w:jc w:val="both"/>
              <w:rPr>
                <w:rFonts w:ascii="Arial" w:hAnsi="Arial" w:cs="Arial"/>
                <w:sz w:val="18"/>
                <w:szCs w:val="18"/>
                <w:lang w:val="sl-SI"/>
              </w:rPr>
            </w:pPr>
            <w:r w:rsidRPr="003E4B53">
              <w:rPr>
                <w:rFonts w:ascii="Arial" w:hAnsi="Arial" w:cs="Arial"/>
                <w:sz w:val="18"/>
                <w:szCs w:val="18"/>
              </w:rPr>
              <w:t xml:space="preserve">{Sektor} </w:t>
            </w:r>
            <w:r w:rsidRPr="003E4B53">
              <w:rPr>
                <w:rFonts w:ascii="Arial" w:hAnsi="Arial" w:cs="Arial"/>
                <w:b/>
                <w:sz w:val="18"/>
                <w:szCs w:val="18"/>
              </w:rPr>
              <w:t xml:space="preserve">Ni primerno </w:t>
            </w:r>
          </w:p>
        </w:tc>
      </w:tr>
      <w:tr w:rsidR="00CC4C6D" w:rsidRPr="003E4B53" w14:paraId="7CA655B5" w14:textId="77777777" w:rsidTr="006D46D8">
        <w:trPr>
          <w:trHeight w:val="340"/>
        </w:trPr>
        <w:tc>
          <w:tcPr>
            <w:tcW w:w="8512" w:type="dxa"/>
            <w:gridSpan w:val="2"/>
            <w:tcBorders>
              <w:top w:val="single" w:sz="4" w:space="0" w:color="000000"/>
              <w:bottom w:val="single" w:sz="4" w:space="0" w:color="000000"/>
            </w:tcBorders>
          </w:tcPr>
          <w:p w14:paraId="68400FAD" w14:textId="77777777" w:rsidR="00CC4C6D" w:rsidRPr="003E4B53" w:rsidRDefault="00CC4C6D" w:rsidP="0024256B">
            <w:pPr>
              <w:pStyle w:val="TableParagraph"/>
              <w:spacing w:before="31"/>
              <w:ind w:left="235"/>
              <w:jc w:val="both"/>
              <w:rPr>
                <w:rFonts w:ascii="Arial" w:hAnsi="Arial" w:cs="Arial"/>
                <w:sz w:val="18"/>
                <w:szCs w:val="18"/>
                <w:lang w:val="sl-SI"/>
              </w:rPr>
            </w:pPr>
            <w:r w:rsidRPr="003E4B53">
              <w:rPr>
                <w:rFonts w:ascii="Arial" w:hAnsi="Arial" w:cs="Arial"/>
                <w:sz w:val="18"/>
                <w:szCs w:val="18"/>
              </w:rPr>
              <w:t xml:space="preserve">{Kategorija} </w:t>
            </w:r>
            <w:r w:rsidRPr="003E4B53">
              <w:rPr>
                <w:rFonts w:ascii="Arial" w:hAnsi="Arial" w:cs="Arial"/>
                <w:b/>
                <w:sz w:val="18"/>
                <w:szCs w:val="18"/>
              </w:rPr>
              <w:t>Ni primerno</w:t>
            </w:r>
          </w:p>
        </w:tc>
      </w:tr>
      <w:tr w:rsidR="00CC4C6D" w:rsidRPr="003E4B53" w14:paraId="021D7B2C" w14:textId="77777777" w:rsidTr="006D46D8">
        <w:trPr>
          <w:trHeight w:val="779"/>
        </w:trPr>
        <w:tc>
          <w:tcPr>
            <w:tcW w:w="8512" w:type="dxa"/>
            <w:gridSpan w:val="2"/>
            <w:tcBorders>
              <w:top w:val="single" w:sz="4" w:space="0" w:color="000000"/>
              <w:bottom w:val="single" w:sz="4" w:space="0" w:color="000000"/>
            </w:tcBorders>
          </w:tcPr>
          <w:p w14:paraId="1432F63F" w14:textId="77777777" w:rsidR="00CC4C6D" w:rsidRPr="003E4B53" w:rsidRDefault="00CC4C6D" w:rsidP="0024256B">
            <w:pPr>
              <w:pStyle w:val="TableParagraph"/>
              <w:spacing w:before="36"/>
              <w:ind w:left="7" w:right="4733"/>
              <w:jc w:val="both"/>
              <w:rPr>
                <w:rFonts w:ascii="Arial" w:hAnsi="Arial" w:cs="Arial"/>
                <w:i/>
                <w:sz w:val="18"/>
                <w:szCs w:val="18"/>
                <w:lang w:val="sl-SI"/>
              </w:rPr>
            </w:pPr>
            <w:r w:rsidRPr="003E4B53">
              <w:rPr>
                <w:rFonts w:ascii="Arial" w:hAnsi="Arial" w:cs="Arial"/>
                <w:i/>
                <w:sz w:val="18"/>
                <w:szCs w:val="18"/>
              </w:rPr>
              <w:t>Opredelitev, ki je potrebna za razumevanje sougodnosti ukrepov prilagajanja in/ali načrtov za gospodarsko diverzifikacijo pri ublažitvi:</w:t>
            </w:r>
          </w:p>
        </w:tc>
      </w:tr>
      <w:tr w:rsidR="00CC4C6D" w:rsidRPr="003E4B53" w14:paraId="0239DB65" w14:textId="77777777" w:rsidTr="006D46D8">
        <w:trPr>
          <w:trHeight w:val="340"/>
        </w:trPr>
        <w:tc>
          <w:tcPr>
            <w:tcW w:w="8512" w:type="dxa"/>
            <w:gridSpan w:val="2"/>
            <w:tcBorders>
              <w:top w:val="single" w:sz="4" w:space="0" w:color="000000"/>
              <w:bottom w:val="single" w:sz="4" w:space="0" w:color="000000"/>
            </w:tcBorders>
          </w:tcPr>
          <w:p w14:paraId="400B07DF" w14:textId="77777777" w:rsidR="00CC4C6D" w:rsidRPr="003E4B53" w:rsidRDefault="00CC4C6D" w:rsidP="0024256B">
            <w:pPr>
              <w:pStyle w:val="TableParagraph"/>
              <w:spacing w:before="31"/>
              <w:ind w:left="235"/>
              <w:jc w:val="both"/>
              <w:rPr>
                <w:rFonts w:ascii="Arial" w:hAnsi="Arial" w:cs="Arial"/>
                <w:sz w:val="18"/>
                <w:szCs w:val="18"/>
                <w:lang w:val="sl-SI"/>
              </w:rPr>
            </w:pPr>
            <w:r w:rsidRPr="003E4B53">
              <w:rPr>
                <w:rFonts w:ascii="Arial" w:hAnsi="Arial" w:cs="Arial"/>
                <w:sz w:val="18"/>
                <w:szCs w:val="18"/>
              </w:rPr>
              <w:t xml:space="preserve">{Sougodnosti ublažitve} </w:t>
            </w:r>
            <w:r w:rsidRPr="003E4B53">
              <w:rPr>
                <w:rFonts w:ascii="Arial" w:hAnsi="Arial" w:cs="Arial"/>
                <w:b/>
                <w:sz w:val="18"/>
                <w:szCs w:val="18"/>
              </w:rPr>
              <w:t>Ni primerno</w:t>
            </w:r>
          </w:p>
        </w:tc>
      </w:tr>
      <w:tr w:rsidR="00CC4C6D" w:rsidRPr="003E4B53" w14:paraId="7320DC7F" w14:textId="77777777" w:rsidTr="006D46D8">
        <w:trPr>
          <w:trHeight w:val="340"/>
        </w:trPr>
        <w:tc>
          <w:tcPr>
            <w:tcW w:w="8512" w:type="dxa"/>
            <w:gridSpan w:val="2"/>
            <w:tcBorders>
              <w:top w:val="single" w:sz="4" w:space="0" w:color="000000"/>
              <w:bottom w:val="single" w:sz="4" w:space="0" w:color="000000"/>
            </w:tcBorders>
          </w:tcPr>
          <w:p w14:paraId="00A272F5" w14:textId="77777777" w:rsidR="00CC4C6D" w:rsidRPr="003E4B53" w:rsidRDefault="00CC4C6D" w:rsidP="0024256B">
            <w:pPr>
              <w:pStyle w:val="TableParagraph"/>
              <w:spacing w:before="31"/>
              <w:ind w:left="7"/>
              <w:jc w:val="both"/>
              <w:rPr>
                <w:rFonts w:ascii="Arial" w:hAnsi="Arial" w:cs="Arial"/>
                <w:i/>
                <w:sz w:val="18"/>
                <w:szCs w:val="18"/>
                <w:lang w:val="sl-SI"/>
              </w:rPr>
            </w:pPr>
            <w:r w:rsidRPr="003E4B53">
              <w:rPr>
                <w:rFonts w:ascii="Arial" w:hAnsi="Arial" w:cs="Arial"/>
                <w:i/>
                <w:sz w:val="18"/>
                <w:szCs w:val="18"/>
              </w:rPr>
              <w:t>Vse druge ustrezne opredelitve:</w:t>
            </w:r>
          </w:p>
        </w:tc>
      </w:tr>
      <w:tr w:rsidR="00CC4C6D" w:rsidRPr="003E4B53" w14:paraId="011FB1A8" w14:textId="77777777" w:rsidTr="006D46D8">
        <w:trPr>
          <w:trHeight w:val="340"/>
        </w:trPr>
        <w:tc>
          <w:tcPr>
            <w:tcW w:w="8512" w:type="dxa"/>
            <w:gridSpan w:val="2"/>
            <w:tcBorders>
              <w:top w:val="single" w:sz="4" w:space="0" w:color="000000"/>
              <w:bottom w:val="single" w:sz="12" w:space="0" w:color="000000"/>
            </w:tcBorders>
          </w:tcPr>
          <w:p w14:paraId="4EB7ED84" w14:textId="77777777" w:rsidR="00CC4C6D" w:rsidRPr="003E4B53" w:rsidRDefault="00CC4C6D" w:rsidP="0024256B">
            <w:pPr>
              <w:pStyle w:val="TableParagraph"/>
              <w:spacing w:before="57"/>
              <w:ind w:left="120" w:right="147"/>
              <w:jc w:val="both"/>
              <w:rPr>
                <w:rFonts w:ascii="Arial" w:hAnsi="Arial" w:cs="Arial"/>
                <w:sz w:val="18"/>
                <w:szCs w:val="18"/>
                <w:lang w:val="sl-SI"/>
              </w:rPr>
            </w:pPr>
            <w:r w:rsidRPr="003E4B53">
              <w:rPr>
                <w:rFonts w:ascii="Arial" w:hAnsi="Arial" w:cs="Arial"/>
                <w:b/>
                <w:sz w:val="18"/>
                <w:szCs w:val="18"/>
              </w:rPr>
              <w:t>Ni primerno</w:t>
            </w:r>
          </w:p>
        </w:tc>
      </w:tr>
    </w:tbl>
    <w:p w14:paraId="37EF1F32" w14:textId="77777777" w:rsidR="00CC4C6D" w:rsidRPr="003E4B53" w:rsidRDefault="00CC4C6D" w:rsidP="0024256B">
      <w:pPr>
        <w:pStyle w:val="BodyText"/>
        <w:spacing w:line="240" w:lineRule="auto"/>
        <w:ind w:left="127"/>
        <w:rPr>
          <w:rFonts w:ascii="Arial" w:hAnsi="Arial" w:cs="Arial"/>
          <w:sz w:val="18"/>
          <w:szCs w:val="18"/>
        </w:rPr>
      </w:pPr>
      <w:r w:rsidRPr="003E4B53">
        <w:rPr>
          <w:rFonts w:ascii="Arial" w:hAnsi="Arial" w:cs="Arial"/>
          <w:noProof/>
          <w:sz w:val="18"/>
          <w:szCs w:val="18"/>
        </w:rPr>
        <mc:AlternateContent>
          <mc:Choice Requires="wpg">
            <w:drawing>
              <wp:inline distT="0" distB="0" distL="0" distR="0" wp14:anchorId="5BAC2E74" wp14:editId="777EFF04">
                <wp:extent cx="1829435" cy="6350"/>
                <wp:effectExtent l="10160" t="8255" r="8255" b="4445"/>
                <wp:docPr id="118390530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6350"/>
                          <a:chOff x="0" y="0"/>
                          <a:chExt cx="2881" cy="10"/>
                        </a:xfrm>
                      </wpg:grpSpPr>
                      <wps:wsp>
                        <wps:cNvPr id="832031781" name="Line 5"/>
                        <wps:cNvCnPr>
                          <a:cxnSpLocks noChangeShapeType="1"/>
                        </wps:cNvCnPr>
                        <wps:spPr bwMode="auto">
                          <a:xfrm>
                            <a:off x="0" y="5"/>
                            <a:ext cx="28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2D80A8A" id="Group 3" o:spid="_x0000_s1026" style="width:144.05pt;height:.5pt;mso-position-horizontal-relative:char;mso-position-vertical-relative:line" coordsize="2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">
                <v:line id="Line 5" o:spid="_x0000_s1027" style="position:absolute;visibility:visible;mso-wrap-style:square" from="0,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" strokeweight=".48pt"/>
                <w10:anchorlock/>
              </v:group>
            </w:pict>
          </mc:Fallback>
        </mc:AlternateContent>
      </w:r>
    </w:p>
    <w:p w14:paraId="6B8C9E99" w14:textId="77777777" w:rsidR="00CC4C6D" w:rsidRPr="003E4B53" w:rsidRDefault="00CC4C6D" w:rsidP="0024256B">
      <w:pPr>
        <w:spacing w:before="78" w:line="240" w:lineRule="auto"/>
        <w:ind w:left="132" w:right="566" w:firstLine="141"/>
        <w:jc w:val="both"/>
        <w:rPr>
          <w:rFonts w:ascii="Arial" w:hAnsi="Arial" w:cs="Arial"/>
          <w:sz w:val="18"/>
          <w:szCs w:val="18"/>
        </w:rPr>
      </w:pPr>
      <w:r w:rsidRPr="003E4B53">
        <w:rPr>
          <w:rFonts w:ascii="Arial" w:hAnsi="Arial" w:cs="Arial"/>
          <w:i/>
          <w:sz w:val="18"/>
          <w:szCs w:val="18"/>
        </w:rPr>
        <w:t>Opombe</w:t>
      </w:r>
      <w:r w:rsidRPr="003E4B53">
        <w:rPr>
          <w:rFonts w:ascii="Arial" w:hAnsi="Arial" w:cs="Arial"/>
          <w:sz w:val="18"/>
          <w:szCs w:val="18"/>
        </w:rPr>
        <w:t>: (1) Na podlagi odstavka 79 MPG vsaka pogodbenica poroča informacije iz odstavkov 65–78 MPG v pripovedni in običajni obliki tabele, kot je primerno. (2) Pogodbenica lahko spremeni obliko poročanja (npr. datoteko Excel), da odstrani določene vrstice v tej tabeli, če informacije, ki jih je treba zagotoviti v teh vrsticah, ne veljajo za NDC pogodbenice v skladu s 4. členom Pariškega sporazuma v skladu z MPG. (3) Pogodbenica bi lahko dodala vrstice za vsak dodatni sektor, kategorijo, blažilne sočasne koristi prilagoditvenih ukrepov in/ali načrte gospodarske diverzifikacije, kazalnik in vse druge ustrezne opredelitve.</w:t>
      </w:r>
    </w:p>
    <w:p w14:paraId="0CAD4C4C" w14:textId="77777777" w:rsidR="00CC4C6D" w:rsidRPr="003E4B53" w:rsidRDefault="00CC4C6D" w:rsidP="0024256B">
      <w:pPr>
        <w:spacing w:before="2" w:line="240" w:lineRule="auto"/>
        <w:ind w:left="132" w:right="566" w:firstLine="141"/>
        <w:jc w:val="both"/>
        <w:rPr>
          <w:rFonts w:ascii="Arial" w:hAnsi="Arial" w:cs="Arial"/>
          <w:sz w:val="18"/>
          <w:szCs w:val="18"/>
        </w:rPr>
      </w:pPr>
      <w:r w:rsidRPr="003E4B53">
        <w:rPr>
          <w:rFonts w:ascii="Arial" w:hAnsi="Arial" w:cs="Arial"/>
          <w:i/>
          <w:sz w:val="18"/>
          <w:szCs w:val="18"/>
        </w:rPr>
        <w:t xml:space="preserve">a </w:t>
      </w:r>
      <w:r w:rsidRPr="003E4B53">
        <w:rPr>
          <w:rFonts w:ascii="Arial" w:hAnsi="Arial" w:cs="Arial"/>
          <w:sz w:val="18"/>
          <w:szCs w:val="18"/>
        </w:rPr>
        <w:t>Vsaka pogodbenica zagotovi vse opredelitve, potrebne za razumevanje svojega NDC v skladu s 4. členom, vključno s tistimi, ki se nanašajo na vsak kazalnik, opredeljen v odstavku 65 MPG, tisti, ki se nanašajo na kateri koli sektor ali kategorijo, opredeljeno drugače kot v poročilu o nacionalni evidenci, ali blažilne sočasne koristi ukrepov prilagajanja in/ali načrtov za gospodarsko diverzifikacijo (odstavek 73 MPG).</w:t>
      </w:r>
    </w:p>
    <w:p w14:paraId="6F54A4B2" w14:textId="77777777" w:rsidR="00CC4C6D" w:rsidRPr="007944FA" w:rsidRDefault="00CC4C6D" w:rsidP="0024256B">
      <w:pPr>
        <w:pStyle w:val="BodyText"/>
        <w:spacing w:line="240" w:lineRule="auto"/>
        <w:rPr>
          <w:rFonts w:ascii="Arial" w:hAnsi="Arial" w:cs="Arial"/>
          <w:szCs w:val="22"/>
        </w:rPr>
      </w:pPr>
    </w:p>
    <w:p w14:paraId="1D3F3D7F" w14:textId="77777777" w:rsidR="00CC4C6D" w:rsidRPr="007944FA" w:rsidRDefault="00CC4C6D" w:rsidP="0024256B">
      <w:pPr>
        <w:pStyle w:val="BodyText"/>
        <w:spacing w:line="240" w:lineRule="auto"/>
        <w:rPr>
          <w:rFonts w:ascii="Arial" w:hAnsi="Arial" w:cs="Arial"/>
          <w:b/>
          <w:i/>
          <w:szCs w:val="22"/>
        </w:rPr>
      </w:pPr>
    </w:p>
    <w:p w14:paraId="1E26FC4B" w14:textId="77777777" w:rsidR="00CC4C6D" w:rsidRPr="007944FA" w:rsidRDefault="00CC4C6D" w:rsidP="0024256B">
      <w:pPr>
        <w:spacing w:line="240" w:lineRule="auto"/>
        <w:jc w:val="both"/>
        <w:rPr>
          <w:rFonts w:ascii="Arial" w:hAnsi="Arial" w:cs="Arial"/>
          <w:b/>
        </w:rPr>
      </w:pPr>
      <w:r w:rsidRPr="007944FA">
        <w:rPr>
          <w:rFonts w:ascii="Arial" w:hAnsi="Arial" w:cs="Arial"/>
        </w:rPr>
        <w:br w:type="page"/>
      </w:r>
    </w:p>
    <w:p w14:paraId="58A983D7" w14:textId="0B41FF88" w:rsidR="00CC4C6D" w:rsidRPr="007944FA" w:rsidRDefault="00CC4C6D" w:rsidP="0024256B">
      <w:pPr>
        <w:widowControl w:val="0"/>
        <w:tabs>
          <w:tab w:val="left" w:pos="315"/>
        </w:tabs>
        <w:autoSpaceDE w:val="0"/>
        <w:autoSpaceDN w:val="0"/>
        <w:spacing w:before="92" w:after="0" w:line="240" w:lineRule="auto"/>
        <w:ind w:right="348"/>
        <w:jc w:val="both"/>
        <w:rPr>
          <w:rFonts w:ascii="Arial" w:hAnsi="Arial" w:cs="Arial"/>
          <w:b/>
        </w:rPr>
      </w:pPr>
      <w:r w:rsidRPr="007944FA">
        <w:rPr>
          <w:rFonts w:ascii="Arial" w:hAnsi="Arial" w:cs="Arial"/>
          <w:b/>
        </w:rPr>
        <w:lastRenderedPageBreak/>
        <w:t>3.Strukturiran povzetek: Metodologije in računovodski pristopi – skladnost s 13. in 14. odstavkoma 4. člena Pariškega sporazuma in s sklepom 4/CMA.1</w:t>
      </w:r>
    </w:p>
    <w:p w14:paraId="7A33AA97" w14:textId="77777777" w:rsidR="00CC4C6D" w:rsidRPr="007944FA" w:rsidRDefault="00CC4C6D" w:rsidP="0024256B">
      <w:pPr>
        <w:pStyle w:val="BodyText"/>
        <w:spacing w:before="4" w:line="240" w:lineRule="auto"/>
        <w:rPr>
          <w:rFonts w:ascii="Arial" w:hAnsi="Arial" w:cs="Arial"/>
          <w:b/>
          <w:szCs w:val="22"/>
        </w:rPr>
      </w:pPr>
    </w:p>
    <w:tbl>
      <w:tblPr>
        <w:tblStyle w:val="TableNormal1"/>
        <w:tblW w:w="9528" w:type="dxa"/>
        <w:tblInd w:w="111" w:type="dxa"/>
        <w:tblLayout w:type="fixed"/>
        <w:tblLook w:val="01E0" w:firstRow="1" w:lastRow="1" w:firstColumn="1" w:lastColumn="1" w:noHBand="0" w:noVBand="0"/>
      </w:tblPr>
      <w:tblGrid>
        <w:gridCol w:w="21"/>
        <w:gridCol w:w="4971"/>
        <w:gridCol w:w="4536"/>
      </w:tblGrid>
      <w:tr w:rsidR="00CC4C6D" w:rsidRPr="003E4B53" w14:paraId="068D1C64" w14:textId="77777777" w:rsidTr="006D46D8">
        <w:trPr>
          <w:trHeight w:val="265"/>
        </w:trPr>
        <w:tc>
          <w:tcPr>
            <w:tcW w:w="4992" w:type="dxa"/>
            <w:gridSpan w:val="2"/>
            <w:tcBorders>
              <w:top w:val="single" w:sz="4" w:space="0" w:color="000000" w:themeColor="text1"/>
              <w:bottom w:val="single" w:sz="12" w:space="0" w:color="000000" w:themeColor="text1"/>
            </w:tcBorders>
          </w:tcPr>
          <w:p w14:paraId="2B245ABE" w14:textId="77777777" w:rsidR="00CC4C6D" w:rsidRPr="003E4B53" w:rsidRDefault="00CC4C6D" w:rsidP="0024256B">
            <w:pPr>
              <w:pStyle w:val="TableParagraph"/>
              <w:spacing w:before="42"/>
              <w:ind w:left="86"/>
              <w:jc w:val="both"/>
              <w:rPr>
                <w:rFonts w:ascii="Arial" w:hAnsi="Arial" w:cs="Arial"/>
                <w:i/>
                <w:sz w:val="18"/>
                <w:szCs w:val="18"/>
                <w:lang w:val="sl-SI"/>
              </w:rPr>
            </w:pPr>
            <w:r w:rsidRPr="003E4B53">
              <w:rPr>
                <w:rFonts w:ascii="Arial" w:hAnsi="Arial" w:cs="Arial"/>
                <w:i/>
                <w:sz w:val="18"/>
                <w:szCs w:val="18"/>
              </w:rPr>
              <w:t>Zahteva po poročanju</w:t>
            </w:r>
          </w:p>
        </w:tc>
        <w:tc>
          <w:tcPr>
            <w:tcW w:w="4536" w:type="dxa"/>
            <w:tcBorders>
              <w:top w:val="single" w:sz="4" w:space="0" w:color="000000" w:themeColor="text1"/>
              <w:bottom w:val="single" w:sz="12" w:space="0" w:color="000000" w:themeColor="text1"/>
            </w:tcBorders>
          </w:tcPr>
          <w:p w14:paraId="2CB9F67A" w14:textId="77777777" w:rsidR="00CC4C6D" w:rsidRPr="003E4B53" w:rsidRDefault="00CC4C6D" w:rsidP="0024256B">
            <w:pPr>
              <w:pStyle w:val="TableParagraph"/>
              <w:spacing w:before="42"/>
              <w:ind w:left="430"/>
              <w:jc w:val="both"/>
              <w:rPr>
                <w:rFonts w:ascii="Arial" w:hAnsi="Arial" w:cs="Arial"/>
                <w:i/>
                <w:sz w:val="18"/>
                <w:szCs w:val="18"/>
                <w:lang w:val="sl-SI"/>
              </w:rPr>
            </w:pPr>
            <w:r w:rsidRPr="003E4B53">
              <w:rPr>
                <w:rFonts w:ascii="Arial" w:hAnsi="Arial" w:cs="Arial"/>
                <w:i/>
                <w:sz w:val="18"/>
                <w:szCs w:val="18"/>
              </w:rPr>
              <w:t>Opis ali sklic na ustrezen razdelek BTR</w:t>
            </w:r>
          </w:p>
          <w:p w14:paraId="75317CC9" w14:textId="77777777" w:rsidR="00CC4C6D" w:rsidRPr="003E4B53" w:rsidRDefault="00CC4C6D" w:rsidP="0024256B">
            <w:pPr>
              <w:pStyle w:val="TableParagraph"/>
              <w:spacing w:before="42"/>
              <w:ind w:left="1680"/>
              <w:jc w:val="both"/>
              <w:rPr>
                <w:rFonts w:ascii="Arial" w:hAnsi="Arial" w:cs="Arial"/>
                <w:i/>
                <w:sz w:val="18"/>
                <w:szCs w:val="18"/>
                <w:lang w:val="sl-SI"/>
              </w:rPr>
            </w:pPr>
          </w:p>
        </w:tc>
      </w:tr>
      <w:tr w:rsidR="00CC4C6D" w:rsidRPr="003E4B53" w14:paraId="6DEEFD74" w14:textId="77777777" w:rsidTr="006D46D8">
        <w:trPr>
          <w:trHeight w:val="340"/>
        </w:trPr>
        <w:tc>
          <w:tcPr>
            <w:tcW w:w="4992" w:type="dxa"/>
            <w:gridSpan w:val="2"/>
            <w:tcBorders>
              <w:top w:val="single" w:sz="12" w:space="0" w:color="000000" w:themeColor="text1"/>
              <w:bottom w:val="single" w:sz="4" w:space="0" w:color="000000" w:themeColor="text1"/>
            </w:tcBorders>
          </w:tcPr>
          <w:p w14:paraId="6E86D50F" w14:textId="77777777" w:rsidR="00CC4C6D" w:rsidRPr="003E4B53" w:rsidRDefault="00CC4C6D" w:rsidP="0024256B">
            <w:pPr>
              <w:pStyle w:val="TableParagraph"/>
              <w:spacing w:before="31"/>
              <w:ind w:left="28"/>
              <w:jc w:val="both"/>
              <w:rPr>
                <w:rFonts w:ascii="Arial" w:hAnsi="Arial" w:cs="Arial"/>
                <w:i/>
                <w:sz w:val="18"/>
                <w:szCs w:val="18"/>
                <w:lang w:val="sl-SI"/>
              </w:rPr>
            </w:pPr>
            <w:r w:rsidRPr="003E4B53">
              <w:rPr>
                <w:rFonts w:ascii="Arial" w:hAnsi="Arial" w:cs="Arial"/>
                <w:i/>
                <w:sz w:val="18"/>
                <w:szCs w:val="18"/>
              </w:rPr>
              <w:t>Za prvi NDC v skladu s 4. členom: a</w:t>
            </w:r>
          </w:p>
        </w:tc>
        <w:tc>
          <w:tcPr>
            <w:tcW w:w="4536" w:type="dxa"/>
            <w:tcBorders>
              <w:top w:val="single" w:sz="12" w:space="0" w:color="000000" w:themeColor="text1"/>
              <w:bottom w:val="single" w:sz="4" w:space="0" w:color="000000" w:themeColor="text1"/>
            </w:tcBorders>
          </w:tcPr>
          <w:p w14:paraId="45A88B26" w14:textId="77777777" w:rsidR="00CC4C6D" w:rsidRPr="003E4B53" w:rsidRDefault="00CC4C6D" w:rsidP="0024256B">
            <w:pPr>
              <w:pStyle w:val="TableParagraph"/>
              <w:jc w:val="both"/>
              <w:rPr>
                <w:rFonts w:ascii="Arial" w:hAnsi="Arial" w:cs="Arial"/>
                <w:sz w:val="18"/>
                <w:szCs w:val="18"/>
                <w:lang w:val="sl-SI"/>
              </w:rPr>
            </w:pPr>
          </w:p>
        </w:tc>
      </w:tr>
      <w:tr w:rsidR="00CC4C6D" w:rsidRPr="003E4B53" w14:paraId="79B6F4E0" w14:textId="77777777" w:rsidTr="006D46D8">
        <w:trPr>
          <w:trHeight w:val="779"/>
        </w:trPr>
        <w:tc>
          <w:tcPr>
            <w:tcW w:w="4992" w:type="dxa"/>
            <w:gridSpan w:val="2"/>
            <w:tcBorders>
              <w:top w:val="single" w:sz="4" w:space="0" w:color="000000" w:themeColor="text1"/>
              <w:bottom w:val="single" w:sz="4" w:space="0" w:color="000000" w:themeColor="text1"/>
            </w:tcBorders>
          </w:tcPr>
          <w:p w14:paraId="047E4461" w14:textId="77777777" w:rsidR="00CC4C6D" w:rsidRPr="003E4B53" w:rsidRDefault="00CC4C6D" w:rsidP="0024256B">
            <w:pPr>
              <w:pStyle w:val="TableParagraph"/>
              <w:spacing w:before="36"/>
              <w:ind w:left="257" w:right="169"/>
              <w:jc w:val="both"/>
              <w:rPr>
                <w:rFonts w:ascii="Arial" w:hAnsi="Arial" w:cs="Arial"/>
                <w:sz w:val="18"/>
                <w:szCs w:val="18"/>
                <w:lang w:val="sl-SI"/>
              </w:rPr>
            </w:pPr>
            <w:r w:rsidRPr="003E4B53">
              <w:rPr>
                <w:rFonts w:ascii="Arial" w:hAnsi="Arial" w:cs="Arial"/>
                <w:sz w:val="18"/>
                <w:szCs w:val="18"/>
              </w:rPr>
              <w:t>Računovodski pristop, vključno s tem, kako je skladen s 4. členom, odstavki 13–14, Pariškega sporazuma (odstavek 71 MPG)</w:t>
            </w:r>
          </w:p>
        </w:tc>
        <w:tc>
          <w:tcPr>
            <w:tcW w:w="4536" w:type="dxa"/>
            <w:tcBorders>
              <w:top w:val="single" w:sz="4" w:space="0" w:color="000000" w:themeColor="text1"/>
              <w:bottom w:val="single" w:sz="4" w:space="0" w:color="000000" w:themeColor="text1"/>
            </w:tcBorders>
          </w:tcPr>
          <w:p w14:paraId="7B11ECD1"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Neto emisije toplogrednih plinov, izračunane iz emisij in odvzemov iz evidence toplogrednih plinov v EU in dopolnjene s podatki o mednarodnem letalstvu in navigaciji, zbranimi v integrirani podatkovni zbirki evropskega energetskega sistema Skupnega raziskovalnega središča (JRC-IDEES), se uporabljajo za količinsko opredelitev napredka pri izvajanju in doseganju NDC v zvezi s ciljem NDC. Ta pristop spodbuja okoljsko celovitost, preglednost, točnost, popolnost, primerljivost in doslednost ter zagotavlja izogibanje dvojnemu štetju, kot je opisano spodaj. Upoštevane so obstoječe metode in navodila v okviru konvencije, kot je opisano spodaj.</w:t>
            </w:r>
          </w:p>
        </w:tc>
      </w:tr>
      <w:tr w:rsidR="00CC4C6D" w:rsidRPr="003E4B53" w14:paraId="10F05C73" w14:textId="77777777" w:rsidTr="006D46D8">
        <w:trPr>
          <w:trHeight w:val="558"/>
        </w:trPr>
        <w:tc>
          <w:tcPr>
            <w:tcW w:w="9528" w:type="dxa"/>
            <w:gridSpan w:val="3"/>
            <w:tcBorders>
              <w:top w:val="single" w:sz="4" w:space="0" w:color="000000" w:themeColor="text1"/>
              <w:bottom w:val="single" w:sz="4" w:space="0" w:color="000000" w:themeColor="text1"/>
            </w:tcBorders>
          </w:tcPr>
          <w:p w14:paraId="7ADD2564" w14:textId="77777777" w:rsidR="00CC4C6D" w:rsidRPr="003E4B53" w:rsidRDefault="00CC4C6D" w:rsidP="0024256B">
            <w:pPr>
              <w:pStyle w:val="TableParagraph"/>
              <w:spacing w:before="36"/>
              <w:ind w:left="28" w:right="4957"/>
              <w:jc w:val="both"/>
              <w:rPr>
                <w:rFonts w:ascii="Arial" w:hAnsi="Arial" w:cs="Arial"/>
                <w:i/>
                <w:sz w:val="18"/>
                <w:szCs w:val="18"/>
                <w:lang w:val="sl-SI"/>
              </w:rPr>
            </w:pPr>
            <w:r w:rsidRPr="003E4B53">
              <w:rPr>
                <w:rFonts w:ascii="Arial" w:hAnsi="Arial" w:cs="Arial"/>
                <w:i/>
                <w:sz w:val="18"/>
                <w:szCs w:val="18"/>
              </w:rPr>
              <w:t>Za drugi in naslednji NDC po 4. členu in neobvezno za prvi NDC po 4. členu: b</w:t>
            </w:r>
          </w:p>
        </w:tc>
      </w:tr>
      <w:tr w:rsidR="00CC4C6D" w:rsidRPr="003E4B53" w14:paraId="25D89B11" w14:textId="77777777" w:rsidTr="006D46D8">
        <w:trPr>
          <w:trHeight w:val="781"/>
        </w:trPr>
        <w:tc>
          <w:tcPr>
            <w:tcW w:w="4992" w:type="dxa"/>
            <w:gridSpan w:val="2"/>
            <w:tcBorders>
              <w:top w:val="single" w:sz="4" w:space="0" w:color="000000" w:themeColor="text1"/>
              <w:bottom w:val="single" w:sz="4" w:space="0" w:color="000000" w:themeColor="text1"/>
            </w:tcBorders>
          </w:tcPr>
          <w:p w14:paraId="701769A3" w14:textId="77777777" w:rsidR="00CC4C6D" w:rsidRPr="003E4B53" w:rsidRDefault="00CC4C6D" w:rsidP="0024256B">
            <w:pPr>
              <w:pStyle w:val="TableParagraph"/>
              <w:spacing w:before="39"/>
              <w:ind w:left="257" w:right="27"/>
              <w:jc w:val="both"/>
              <w:rPr>
                <w:rFonts w:ascii="Arial" w:hAnsi="Arial" w:cs="Arial"/>
                <w:sz w:val="18"/>
                <w:szCs w:val="18"/>
                <w:lang w:val="sl-SI"/>
              </w:rPr>
            </w:pPr>
            <w:r w:rsidRPr="003E4B53">
              <w:rPr>
                <w:rFonts w:ascii="Arial" w:hAnsi="Arial" w:cs="Arial"/>
                <w:sz w:val="18"/>
                <w:szCs w:val="18"/>
              </w:rPr>
              <w:t>Informacije o uporabljenem računovodskem pristopu so v skladu z odstavki 13–17 in prilogo II sklepa 4/CMA.1 (odstavek 72 MPG)</w:t>
            </w:r>
          </w:p>
        </w:tc>
        <w:tc>
          <w:tcPr>
            <w:tcW w:w="4536" w:type="dxa"/>
            <w:tcBorders>
              <w:top w:val="single" w:sz="4" w:space="0" w:color="000000" w:themeColor="text1"/>
              <w:bottom w:val="single" w:sz="4" w:space="0" w:color="000000" w:themeColor="text1"/>
            </w:tcBorders>
          </w:tcPr>
          <w:p w14:paraId="4D3C8574"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Evropska unija obračunava antropogene emisije in odvzeme, ki ustrezajo njenemu NDC v skladu z odstavki 13–17 in prilogo II sklepa 4/CMA.1, kot je podrobno opisano spodaj.</w:t>
            </w:r>
          </w:p>
        </w:tc>
      </w:tr>
      <w:tr w:rsidR="00CC4C6D" w:rsidRPr="003E4B53" w14:paraId="29D6A511" w14:textId="77777777" w:rsidTr="006D46D8">
        <w:trPr>
          <w:trHeight w:val="612"/>
        </w:trPr>
        <w:tc>
          <w:tcPr>
            <w:tcW w:w="4992" w:type="dxa"/>
            <w:gridSpan w:val="2"/>
            <w:tcBorders>
              <w:top w:val="single" w:sz="4" w:space="0" w:color="000000" w:themeColor="text1"/>
              <w:bottom w:val="single" w:sz="4" w:space="0" w:color="000000" w:themeColor="text1"/>
            </w:tcBorders>
          </w:tcPr>
          <w:p w14:paraId="01C1B28C" w14:textId="77777777" w:rsidR="00CC4C6D" w:rsidRPr="003E4B53" w:rsidRDefault="00CC4C6D" w:rsidP="0024256B">
            <w:pPr>
              <w:pStyle w:val="TableParagraph"/>
              <w:spacing w:before="36"/>
              <w:ind w:left="257" w:right="27"/>
              <w:jc w:val="both"/>
              <w:rPr>
                <w:rFonts w:ascii="Arial" w:hAnsi="Arial" w:cs="Arial"/>
                <w:sz w:val="18"/>
                <w:szCs w:val="18"/>
                <w:lang w:val="sl-SI"/>
              </w:rPr>
            </w:pPr>
            <w:r w:rsidRPr="003E4B53">
              <w:rPr>
                <w:rFonts w:ascii="Arial" w:hAnsi="Arial" w:cs="Arial"/>
                <w:sz w:val="18"/>
                <w:szCs w:val="18"/>
              </w:rPr>
              <w:t>Pojasnite, kako je obračunavanje antropogenih emisij in odvzemov v skladu z metodologijami in skupnimi metrikami, ki jih je ocenil IPCC, in v skladu s sklepom 18/CMA.1 (odstavek  1(a) priloge II k sklepu 4/CMA.1)</w:t>
            </w:r>
          </w:p>
        </w:tc>
        <w:tc>
          <w:tcPr>
            <w:tcW w:w="4536" w:type="dxa"/>
            <w:tcBorders>
              <w:top w:val="single" w:sz="4" w:space="0" w:color="000000" w:themeColor="text1"/>
              <w:bottom w:val="single" w:sz="4" w:space="0" w:color="000000" w:themeColor="text1"/>
            </w:tcBorders>
          </w:tcPr>
          <w:p w14:paraId="7EEB5064"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Obračunavanje antropogenih emisij in odvzemov temelji na podatkih iz EU evidence toplogrednih plinov, ki je sestavljena v skladu s smernicami IPCC iz leta 2006. Obračunavanje emisij iz mednarodnega letalstva in plovbe v okviru NDC temelji na podatkih o dejavnostih, emisijskih faktorjih in metodah, ki so v skladu s smernicami IPCC. Računovodski pristop je tudi v skladu s sklepom 18/CMA.1, ker je popis toplogrednih plinov EU v skladu z določbami poglavja II Priloge k sklepu 18/CMA.1.  </w:t>
            </w:r>
          </w:p>
          <w:p w14:paraId="2477FAA0" w14:textId="77777777" w:rsidR="00CC4C6D" w:rsidRPr="003E4B53" w:rsidRDefault="00CC4C6D" w:rsidP="0024256B">
            <w:pPr>
              <w:pStyle w:val="TableParagraph"/>
              <w:spacing w:before="36"/>
              <w:ind w:left="257" w:right="169"/>
              <w:jc w:val="both"/>
              <w:rPr>
                <w:rFonts w:ascii="Arial" w:hAnsi="Arial" w:cs="Arial"/>
                <w:bCs/>
                <w:iCs/>
                <w:sz w:val="18"/>
                <w:szCs w:val="18"/>
                <w:lang w:val="sl-SI"/>
              </w:rPr>
            </w:pPr>
          </w:p>
        </w:tc>
      </w:tr>
      <w:tr w:rsidR="00CC4C6D" w:rsidRPr="003E4B53" w14:paraId="382E15EC" w14:textId="77777777" w:rsidTr="006D46D8">
        <w:trPr>
          <w:trHeight w:val="1221"/>
        </w:trPr>
        <w:tc>
          <w:tcPr>
            <w:tcW w:w="4992" w:type="dxa"/>
            <w:gridSpan w:val="2"/>
            <w:tcBorders>
              <w:top w:val="single" w:sz="4" w:space="0" w:color="000000" w:themeColor="text1"/>
              <w:bottom w:val="single" w:sz="4" w:space="0" w:color="000000" w:themeColor="text1"/>
            </w:tcBorders>
          </w:tcPr>
          <w:p w14:paraId="2A8747F5" w14:textId="77777777" w:rsidR="00CC4C6D" w:rsidRPr="003E4B53" w:rsidRDefault="00CC4C6D" w:rsidP="0024256B">
            <w:pPr>
              <w:pStyle w:val="TableParagraph"/>
              <w:spacing w:before="36"/>
              <w:ind w:left="257" w:right="27"/>
              <w:jc w:val="both"/>
              <w:rPr>
                <w:rFonts w:ascii="Arial" w:hAnsi="Arial" w:cs="Arial"/>
                <w:sz w:val="18"/>
                <w:szCs w:val="18"/>
                <w:lang w:val="sl-SI"/>
              </w:rPr>
            </w:pPr>
            <w:r w:rsidRPr="003E4B53">
              <w:rPr>
                <w:rFonts w:ascii="Arial" w:hAnsi="Arial" w:cs="Arial"/>
                <w:sz w:val="18"/>
                <w:szCs w:val="18"/>
              </w:rPr>
              <w:t>Pojasnite, kako je bila ohranjena skladnost med vsemi podatki o toplogrednih plinih in metodologijami ocenjevanja, ki se uporabljajo za računovodstvo, in popisom toplogrednih plinov pogodbenice v skladu s členom 13(7(a)) Pariškega sporazuma, če je primerno (odstavek 2(b) priloge II k sklepu 4/CMA.1)</w:t>
            </w:r>
          </w:p>
        </w:tc>
        <w:tc>
          <w:tcPr>
            <w:tcW w:w="4536" w:type="dxa"/>
            <w:tcBorders>
              <w:top w:val="single" w:sz="4" w:space="0" w:color="000000" w:themeColor="text1"/>
              <w:bottom w:val="single" w:sz="4" w:space="0" w:color="000000" w:themeColor="text1"/>
            </w:tcBorders>
          </w:tcPr>
          <w:p w14:paraId="22E0401F"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Podatki o toplogrednih plinih, ki se uporabljajo za obračunavanje, temeljijo na evidenci toplogrednih plinov EU. Metodologija, uporabljena za obračunavanje, je sestavljena iz izravnave emisij in odvzemov TGP, ki je skladna z metodologijami, uporabljenimi v evidenci TGP v EU.</w:t>
            </w:r>
          </w:p>
          <w:p w14:paraId="1008AEFF"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p>
        </w:tc>
      </w:tr>
      <w:tr w:rsidR="00CC4C6D" w:rsidRPr="003E4B53" w14:paraId="0B86E898" w14:textId="77777777" w:rsidTr="006D46D8">
        <w:trPr>
          <w:trHeight w:val="594"/>
        </w:trPr>
        <w:tc>
          <w:tcPr>
            <w:tcW w:w="4992" w:type="dxa"/>
            <w:gridSpan w:val="2"/>
            <w:tcBorders>
              <w:top w:val="single" w:sz="4" w:space="0" w:color="000000" w:themeColor="text1"/>
              <w:bottom w:val="single" w:sz="4" w:space="0" w:color="000000" w:themeColor="text1"/>
            </w:tcBorders>
          </w:tcPr>
          <w:p w14:paraId="5B0BDBCB" w14:textId="77777777" w:rsidR="00CC4C6D" w:rsidRPr="003E4B53" w:rsidRDefault="00CC4C6D" w:rsidP="0024256B">
            <w:pPr>
              <w:pStyle w:val="TableParagraph"/>
              <w:spacing w:before="36"/>
              <w:ind w:left="257" w:right="27"/>
              <w:jc w:val="both"/>
              <w:rPr>
                <w:rFonts w:ascii="Arial" w:hAnsi="Arial" w:cs="Arial"/>
                <w:sz w:val="18"/>
                <w:szCs w:val="18"/>
                <w:lang w:val="sl-SI"/>
              </w:rPr>
            </w:pPr>
            <w:r w:rsidRPr="003E4B53">
              <w:rPr>
                <w:rFonts w:ascii="Arial" w:hAnsi="Arial" w:cs="Arial"/>
                <w:sz w:val="18"/>
                <w:szCs w:val="18"/>
              </w:rPr>
              <w:t>Pojasnite, kako ste se izognili precenjevanju ali podcenjevanju morebitnih predvidenih emisij in odvzemov, uporabljenih za obračun (odstavek 2(c) Priloge II k sklepu 4/CMA.1)</w:t>
            </w:r>
          </w:p>
        </w:tc>
        <w:tc>
          <w:tcPr>
            <w:tcW w:w="4536" w:type="dxa"/>
            <w:tcBorders>
              <w:top w:val="single" w:sz="4" w:space="0" w:color="000000" w:themeColor="text1"/>
              <w:bottom w:val="single" w:sz="4" w:space="0" w:color="000000" w:themeColor="text1"/>
            </w:tcBorders>
          </w:tcPr>
          <w:p w14:paraId="70FBEB83"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Ni primerno. Predvidene emisije in odvzemi se ne uporabljajo za obračunavanje.</w:t>
            </w:r>
          </w:p>
        </w:tc>
      </w:tr>
      <w:tr w:rsidR="00CC4C6D" w:rsidRPr="003E4B53" w14:paraId="0A76A613" w14:textId="77777777" w:rsidTr="006D46D8">
        <w:trPr>
          <w:trHeight w:val="340"/>
        </w:trPr>
        <w:tc>
          <w:tcPr>
            <w:tcW w:w="4992" w:type="dxa"/>
            <w:gridSpan w:val="2"/>
            <w:tcBorders>
              <w:top w:val="single" w:sz="4" w:space="0" w:color="000000" w:themeColor="text1"/>
              <w:bottom w:val="single" w:sz="4" w:space="0" w:color="000000" w:themeColor="text1"/>
            </w:tcBorders>
          </w:tcPr>
          <w:p w14:paraId="5195C730" w14:textId="77777777" w:rsidR="00CC4C6D" w:rsidRPr="003E4B53" w:rsidRDefault="00CC4C6D" w:rsidP="0024256B">
            <w:pPr>
              <w:pStyle w:val="TableParagraph"/>
              <w:spacing w:before="29"/>
              <w:ind w:left="28"/>
              <w:jc w:val="both"/>
              <w:rPr>
                <w:rFonts w:ascii="Arial" w:hAnsi="Arial" w:cs="Arial"/>
                <w:i/>
                <w:sz w:val="18"/>
                <w:szCs w:val="18"/>
                <w:lang w:val="sl-SI"/>
              </w:rPr>
            </w:pPr>
            <w:r w:rsidRPr="003E4B53">
              <w:rPr>
                <w:rFonts w:ascii="Arial" w:hAnsi="Arial" w:cs="Arial"/>
                <w:i/>
                <w:sz w:val="18"/>
                <w:szCs w:val="18"/>
              </w:rPr>
              <w:t>Za vsak NDC po 4. členu: b</w:t>
            </w:r>
          </w:p>
        </w:tc>
        <w:tc>
          <w:tcPr>
            <w:tcW w:w="4536" w:type="dxa"/>
            <w:tcBorders>
              <w:top w:val="single" w:sz="4" w:space="0" w:color="000000" w:themeColor="text1"/>
              <w:bottom w:val="single" w:sz="4" w:space="0" w:color="000000" w:themeColor="text1"/>
            </w:tcBorders>
          </w:tcPr>
          <w:p w14:paraId="7A077093" w14:textId="77777777" w:rsidR="00CC4C6D" w:rsidRPr="003E4B53" w:rsidRDefault="00CC4C6D" w:rsidP="0024256B">
            <w:pPr>
              <w:pStyle w:val="TableParagraph"/>
              <w:jc w:val="both"/>
              <w:rPr>
                <w:rFonts w:ascii="Arial" w:hAnsi="Arial" w:cs="Arial"/>
                <w:sz w:val="18"/>
                <w:szCs w:val="18"/>
                <w:lang w:val="sl-SI"/>
              </w:rPr>
            </w:pPr>
          </w:p>
        </w:tc>
      </w:tr>
      <w:tr w:rsidR="00CC4C6D" w:rsidRPr="003E4B53" w14:paraId="69E33A07" w14:textId="77777777" w:rsidTr="006D46D8">
        <w:trPr>
          <w:trHeight w:val="1221"/>
        </w:trPr>
        <w:tc>
          <w:tcPr>
            <w:tcW w:w="9528" w:type="dxa"/>
            <w:gridSpan w:val="3"/>
            <w:tcBorders>
              <w:top w:val="single" w:sz="4" w:space="0" w:color="000000" w:themeColor="text1"/>
              <w:bottom w:val="single" w:sz="4" w:space="0" w:color="000000" w:themeColor="text1"/>
            </w:tcBorders>
          </w:tcPr>
          <w:p w14:paraId="04CDE552" w14:textId="77777777" w:rsidR="00CC4C6D" w:rsidRPr="003E4B53" w:rsidRDefault="00CC4C6D" w:rsidP="0024256B">
            <w:pPr>
              <w:pStyle w:val="TableParagraph"/>
              <w:spacing w:before="36"/>
              <w:ind w:left="257" w:right="4979"/>
              <w:jc w:val="both"/>
              <w:rPr>
                <w:rFonts w:ascii="Arial" w:hAnsi="Arial" w:cs="Arial"/>
                <w:i/>
                <w:sz w:val="18"/>
                <w:szCs w:val="18"/>
                <w:lang w:val="sl-SI"/>
              </w:rPr>
            </w:pPr>
            <w:r w:rsidRPr="003E4B53">
              <w:rPr>
                <w:rFonts w:ascii="Arial" w:hAnsi="Arial" w:cs="Arial"/>
                <w:i/>
                <w:sz w:val="18"/>
                <w:szCs w:val="18"/>
              </w:rPr>
              <w:t>Obračunavanje antropogenih emisij in odvzemov v skladu z metodologijami in skupnimi metrikami, ki jih je ocenil IPCC in sprejela Konferenca pogodbenic, ki je zasedanje pogodbenic Pariškega sporazuma:</w:t>
            </w:r>
          </w:p>
        </w:tc>
      </w:tr>
      <w:tr w:rsidR="00CC4C6D" w:rsidRPr="003E4B53" w14:paraId="558E8525" w14:textId="77777777" w:rsidTr="006D46D8">
        <w:trPr>
          <w:trHeight w:val="779"/>
        </w:trPr>
        <w:tc>
          <w:tcPr>
            <w:tcW w:w="4992" w:type="dxa"/>
            <w:gridSpan w:val="2"/>
            <w:tcBorders>
              <w:top w:val="single" w:sz="4" w:space="0" w:color="000000" w:themeColor="text1"/>
              <w:bottom w:val="single" w:sz="4" w:space="0" w:color="000000" w:themeColor="text1"/>
            </w:tcBorders>
          </w:tcPr>
          <w:p w14:paraId="4D360412" w14:textId="77777777" w:rsidR="00CC4C6D" w:rsidRPr="003E4B53" w:rsidRDefault="00CC4C6D" w:rsidP="0024256B">
            <w:pPr>
              <w:pStyle w:val="TableParagraph"/>
              <w:spacing w:before="36"/>
              <w:ind w:left="370" w:right="137"/>
              <w:jc w:val="both"/>
              <w:rPr>
                <w:rFonts w:ascii="Arial" w:hAnsi="Arial" w:cs="Arial"/>
                <w:sz w:val="18"/>
                <w:szCs w:val="18"/>
                <w:lang w:val="sl-SI"/>
              </w:rPr>
            </w:pPr>
            <w:r w:rsidRPr="003E4B53">
              <w:rPr>
                <w:rFonts w:ascii="Arial" w:hAnsi="Arial" w:cs="Arial"/>
                <w:sz w:val="18"/>
                <w:szCs w:val="18"/>
              </w:rPr>
              <w:t>Vsaka metodologija in/ali računovodski pristop, uporabljen za ocenjevanje izvajanja in doseganja ciljev, kot je primerno (odstavek 74(a) MPG)</w:t>
            </w:r>
          </w:p>
        </w:tc>
        <w:tc>
          <w:tcPr>
            <w:tcW w:w="4536" w:type="dxa"/>
            <w:tcBorders>
              <w:top w:val="single" w:sz="4" w:space="0" w:color="000000" w:themeColor="text1"/>
              <w:bottom w:val="single" w:sz="4" w:space="0" w:color="000000" w:themeColor="text1"/>
            </w:tcBorders>
          </w:tcPr>
          <w:p w14:paraId="2C47051A"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Metodologija, uporabljena za</w:t>
            </w:r>
            <w:r w:rsidRPr="003E4B53">
              <w:rPr>
                <w:rFonts w:ascii="Arial" w:hAnsi="Arial" w:cs="Arial"/>
                <w:sz w:val="18"/>
                <w:szCs w:val="18"/>
              </w:rPr>
              <w:t xml:space="preserve"> </w:t>
            </w:r>
            <w:r w:rsidRPr="003E4B53">
              <w:rPr>
                <w:rFonts w:ascii="Arial" w:hAnsi="Arial" w:cs="Arial"/>
                <w:b/>
                <w:sz w:val="18"/>
                <w:szCs w:val="18"/>
              </w:rPr>
              <w:t xml:space="preserve">oceno izvajanja in dosežkov, je sestavljena iz primerjave zmanjšanja neto emisij toplogrednih plinov iz nacionalnega popisa toplogrednih plinov, </w:t>
            </w:r>
            <w:r w:rsidRPr="003E4B53">
              <w:rPr>
                <w:rFonts w:ascii="Arial" w:hAnsi="Arial" w:cs="Arial"/>
                <w:b/>
                <w:sz w:val="18"/>
                <w:szCs w:val="18"/>
              </w:rPr>
              <w:lastRenderedPageBreak/>
              <w:t>vključno z deležem emisij toplogrednih plinov iz mednarodnega letalstva in navigacije v skladu z obsegom NDC, s ciljem NDC.</w:t>
            </w:r>
          </w:p>
          <w:p w14:paraId="3B9B72C3"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EU bo odgovarjala za svoje sodelovanje z drugimi pogodbenicami na način, ki je skladen s smernicami, ki jih je sprejel CMA.</w:t>
            </w:r>
          </w:p>
        </w:tc>
      </w:tr>
      <w:tr w:rsidR="00CC4C6D" w:rsidRPr="003E4B53" w14:paraId="337701EA" w14:textId="77777777" w:rsidTr="006D46D8">
        <w:trPr>
          <w:trHeight w:val="779"/>
        </w:trPr>
        <w:tc>
          <w:tcPr>
            <w:tcW w:w="4992" w:type="dxa"/>
            <w:gridSpan w:val="2"/>
            <w:tcBorders>
              <w:top w:val="single" w:sz="4" w:space="0" w:color="000000" w:themeColor="text1"/>
              <w:bottom w:val="single" w:sz="4" w:space="0" w:color="000000" w:themeColor="text1"/>
            </w:tcBorders>
          </w:tcPr>
          <w:p w14:paraId="5796C245" w14:textId="77777777" w:rsidR="00CC4C6D" w:rsidRPr="003E4B53" w:rsidRDefault="00CC4C6D" w:rsidP="0024256B">
            <w:pPr>
              <w:pStyle w:val="TableParagraph"/>
              <w:spacing w:before="36"/>
              <w:ind w:left="370" w:right="169"/>
              <w:jc w:val="both"/>
              <w:rPr>
                <w:rFonts w:ascii="Arial" w:hAnsi="Arial" w:cs="Arial"/>
                <w:sz w:val="18"/>
                <w:szCs w:val="18"/>
                <w:lang w:val="sl-SI"/>
              </w:rPr>
            </w:pPr>
            <w:bookmarkStart w:id="235" w:name="_Hlk173942609"/>
            <w:r w:rsidRPr="003E4B53">
              <w:rPr>
                <w:rFonts w:ascii="Arial" w:hAnsi="Arial" w:cs="Arial"/>
                <w:sz w:val="18"/>
                <w:szCs w:val="18"/>
              </w:rPr>
              <w:lastRenderedPageBreak/>
              <w:t>Vsaka metodologija in/ali računovodski pristop, uporabljen za izgradnjo katerega koli izhodišča</w:t>
            </w:r>
            <w:bookmarkEnd w:id="235"/>
            <w:r w:rsidRPr="003E4B53">
              <w:rPr>
                <w:rFonts w:ascii="Arial" w:hAnsi="Arial" w:cs="Arial"/>
                <w:sz w:val="18"/>
                <w:szCs w:val="18"/>
              </w:rPr>
              <w:t>, kolikor je to mogoče (odstavek 74(b) MPG)</w:t>
            </w:r>
          </w:p>
        </w:tc>
        <w:tc>
          <w:tcPr>
            <w:tcW w:w="4536" w:type="dxa"/>
            <w:tcBorders>
              <w:top w:val="single" w:sz="4" w:space="0" w:color="000000" w:themeColor="text1"/>
              <w:bottom w:val="single" w:sz="4" w:space="0" w:color="000000" w:themeColor="text1"/>
            </w:tcBorders>
          </w:tcPr>
          <w:p w14:paraId="4DA7A523" w14:textId="77777777" w:rsidR="00CC4C6D" w:rsidRPr="003E4B53" w:rsidRDefault="00CC4C6D" w:rsidP="0024256B">
            <w:pPr>
              <w:pStyle w:val="TableParagraph"/>
              <w:spacing w:before="36"/>
              <w:ind w:left="257" w:right="169"/>
              <w:jc w:val="both"/>
              <w:rPr>
                <w:rFonts w:ascii="Arial" w:hAnsi="Arial" w:cs="Arial"/>
                <w:bCs/>
                <w:iCs/>
                <w:sz w:val="18"/>
                <w:szCs w:val="18"/>
                <w:lang w:val="sl-SI"/>
              </w:rPr>
            </w:pPr>
            <w:r w:rsidRPr="003E4B53">
              <w:rPr>
                <w:rFonts w:ascii="Arial" w:hAnsi="Arial" w:cs="Arial"/>
                <w:b/>
                <w:sz w:val="18"/>
                <w:szCs w:val="18"/>
              </w:rPr>
              <w:t>Napredek se spremlja s primerjavo letnih neto emisij z neto emisijami v izhodiščnem letu. Izhodišče ni izdelano.</w:t>
            </w:r>
            <w:r w:rsidRPr="003E4B53">
              <w:rPr>
                <w:rFonts w:ascii="Arial" w:hAnsi="Arial" w:cs="Arial"/>
                <w:sz w:val="18"/>
                <w:szCs w:val="18"/>
              </w:rPr>
              <w:t xml:space="preserve"> </w:t>
            </w:r>
          </w:p>
        </w:tc>
      </w:tr>
      <w:tr w:rsidR="00CC4C6D" w:rsidRPr="003E4B53" w14:paraId="0E9966C5" w14:textId="77777777" w:rsidTr="006D46D8">
        <w:trPr>
          <w:trHeight w:val="1439"/>
        </w:trPr>
        <w:tc>
          <w:tcPr>
            <w:tcW w:w="4992" w:type="dxa"/>
            <w:gridSpan w:val="2"/>
            <w:tcBorders>
              <w:top w:val="single" w:sz="4" w:space="0" w:color="000000" w:themeColor="text1"/>
              <w:bottom w:val="single" w:sz="4" w:space="0" w:color="000000" w:themeColor="text1"/>
            </w:tcBorders>
          </w:tcPr>
          <w:p w14:paraId="77912B72"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Če se metodologija ali računovodski pristop, uporabljen za kazalnike v tabeli 1, razlikuje od tistih, ki se uporabljajo za oceno izvajanja in doseganja cilja, opišite vsako metodologijo ali računovodski pristop, uporabljen za ustvarjanje informacij, ustvarjenih za vsak kazalnik v tabeli 4 (odstavek 74(c) MPG)</w:t>
            </w:r>
          </w:p>
        </w:tc>
        <w:tc>
          <w:tcPr>
            <w:tcW w:w="4536" w:type="dxa"/>
            <w:tcBorders>
              <w:top w:val="single" w:sz="4" w:space="0" w:color="000000" w:themeColor="text1"/>
              <w:bottom w:val="single" w:sz="4" w:space="0" w:color="000000" w:themeColor="text1"/>
            </w:tcBorders>
          </w:tcPr>
          <w:p w14:paraId="173CB285"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Ni primerno. Metodologija/računovodski pristop, uporabljen za kazalnik v tabeli 1, je enak metodologiji/računovodskemu pristopu, uporabljenemu za oceno izvajanja in doseganja cilja.</w:t>
            </w:r>
          </w:p>
        </w:tc>
      </w:tr>
      <w:tr w:rsidR="00CC4C6D" w:rsidRPr="003E4B53" w14:paraId="02041791" w14:textId="77777777" w:rsidTr="006D46D8">
        <w:trPr>
          <w:trHeight w:val="780"/>
        </w:trPr>
        <w:tc>
          <w:tcPr>
            <w:tcW w:w="4992" w:type="dxa"/>
            <w:gridSpan w:val="2"/>
            <w:tcBorders>
              <w:top w:val="single" w:sz="4" w:space="0" w:color="000000" w:themeColor="text1"/>
              <w:bottom w:val="single" w:sz="4" w:space="0" w:color="000000" w:themeColor="text1"/>
            </w:tcBorders>
          </w:tcPr>
          <w:p w14:paraId="2E084DDD" w14:textId="77777777" w:rsidR="00CC4C6D" w:rsidRPr="003E4B53" w:rsidRDefault="00CC4C6D" w:rsidP="0024256B">
            <w:pPr>
              <w:pStyle w:val="TableParagraph"/>
              <w:spacing w:before="36"/>
              <w:ind w:left="370" w:right="27"/>
              <w:jc w:val="both"/>
              <w:rPr>
                <w:rFonts w:ascii="Arial" w:hAnsi="Arial" w:cs="Arial"/>
                <w:sz w:val="18"/>
                <w:szCs w:val="18"/>
                <w:lang w:val="sl-SI"/>
              </w:rPr>
            </w:pPr>
            <w:r w:rsidRPr="003E4B53">
              <w:rPr>
                <w:rFonts w:ascii="Arial" w:hAnsi="Arial" w:cs="Arial"/>
                <w:sz w:val="18"/>
                <w:szCs w:val="18"/>
              </w:rPr>
              <w:t>Vsi pogoji in predpostavke, pomembni za doseganje NDC v skladu s 4. členom, kot je primerno in na voljo (odstavek 75(i) MPG)</w:t>
            </w:r>
          </w:p>
        </w:tc>
        <w:tc>
          <w:tcPr>
            <w:tcW w:w="4536" w:type="dxa"/>
            <w:tcBorders>
              <w:top w:val="single" w:sz="4" w:space="0" w:color="000000" w:themeColor="text1"/>
              <w:bottom w:val="single" w:sz="4" w:space="0" w:color="000000" w:themeColor="text1"/>
            </w:tcBorders>
          </w:tcPr>
          <w:p w14:paraId="0F9FD6E7"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Ni primerno. NDC je brezpogojen.</w:t>
            </w:r>
          </w:p>
        </w:tc>
      </w:tr>
      <w:tr w:rsidR="00CC4C6D" w:rsidRPr="003E4B53" w14:paraId="6005ADC0" w14:textId="77777777" w:rsidTr="006D46D8">
        <w:trPr>
          <w:trHeight w:val="781"/>
        </w:trPr>
        <w:tc>
          <w:tcPr>
            <w:tcW w:w="4992" w:type="dxa"/>
            <w:gridSpan w:val="2"/>
            <w:tcBorders>
              <w:top w:val="single" w:sz="4" w:space="0" w:color="000000" w:themeColor="text1"/>
              <w:bottom w:val="single" w:sz="4" w:space="0" w:color="000000" w:themeColor="text1"/>
            </w:tcBorders>
          </w:tcPr>
          <w:p w14:paraId="7208B944" w14:textId="77777777" w:rsidR="00CC4C6D" w:rsidRPr="003E4B53" w:rsidRDefault="00CC4C6D" w:rsidP="0024256B">
            <w:pPr>
              <w:pStyle w:val="TableParagraph"/>
              <w:spacing w:before="39"/>
              <w:ind w:left="370" w:right="27"/>
              <w:jc w:val="both"/>
              <w:rPr>
                <w:rFonts w:ascii="Arial" w:hAnsi="Arial" w:cs="Arial"/>
                <w:sz w:val="18"/>
                <w:szCs w:val="18"/>
                <w:lang w:val="sl-SI"/>
              </w:rPr>
            </w:pPr>
            <w:r w:rsidRPr="003E4B53">
              <w:rPr>
                <w:rFonts w:ascii="Arial" w:hAnsi="Arial" w:cs="Arial"/>
                <w:sz w:val="18"/>
                <w:szCs w:val="18"/>
              </w:rPr>
              <w:t>Ključni parametri, predpostavke, definicije, uporabljeni viri podatkov in modeli, kot je primerno in na voljo (odstavek 75(a) MPG)</w:t>
            </w:r>
          </w:p>
        </w:tc>
        <w:tc>
          <w:tcPr>
            <w:tcW w:w="4536" w:type="dxa"/>
            <w:tcBorders>
              <w:top w:val="single" w:sz="4" w:space="0" w:color="000000" w:themeColor="text1"/>
              <w:bottom w:val="single" w:sz="4" w:space="0" w:color="000000" w:themeColor="text1"/>
            </w:tcBorders>
          </w:tcPr>
          <w:p w14:paraId="53B84A42"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Neto emisije toplogrednih plinov so ključni parameter, ki se uporablja za sledenje napredka pri izvajanju in doseganju NDC. Vir podatkov je popis toplogrednih plinov EU. Podrobnosti o predpostavkah, definicijah in modelih, ki se uporabljajo za določanje neto emisij toplogrednih plinov, so na voljo v Nacionalnem dokumentu evidence EU.</w:t>
            </w:r>
          </w:p>
        </w:tc>
      </w:tr>
      <w:tr w:rsidR="00CC4C6D" w:rsidRPr="003E4B53" w14:paraId="05D9E867" w14:textId="77777777" w:rsidTr="006D46D8">
        <w:trPr>
          <w:trHeight w:val="558"/>
        </w:trPr>
        <w:tc>
          <w:tcPr>
            <w:tcW w:w="4992" w:type="dxa"/>
            <w:gridSpan w:val="2"/>
            <w:tcBorders>
              <w:top w:val="single" w:sz="4" w:space="0" w:color="000000" w:themeColor="text1"/>
              <w:bottom w:val="single" w:sz="4" w:space="0" w:color="000000" w:themeColor="text1"/>
            </w:tcBorders>
          </w:tcPr>
          <w:p w14:paraId="54E78E8B" w14:textId="77777777" w:rsidR="00CC4C6D" w:rsidRPr="003E4B53" w:rsidRDefault="00CC4C6D" w:rsidP="0024256B">
            <w:pPr>
              <w:pStyle w:val="TableParagraph"/>
              <w:spacing w:before="36"/>
              <w:ind w:left="370" w:right="27"/>
              <w:jc w:val="both"/>
              <w:rPr>
                <w:rFonts w:ascii="Arial" w:hAnsi="Arial" w:cs="Arial"/>
                <w:sz w:val="18"/>
                <w:szCs w:val="18"/>
                <w:lang w:val="sl-SI"/>
              </w:rPr>
            </w:pPr>
            <w:r w:rsidRPr="003E4B53">
              <w:rPr>
                <w:rFonts w:ascii="Arial" w:hAnsi="Arial" w:cs="Arial"/>
                <w:sz w:val="18"/>
                <w:szCs w:val="18"/>
              </w:rPr>
              <w:t>Uporabljene smernice IPCC, kot so ustrezne in na voljo (odstavek 75(b) MPG)</w:t>
            </w:r>
          </w:p>
        </w:tc>
        <w:tc>
          <w:tcPr>
            <w:tcW w:w="4536" w:type="dxa"/>
            <w:tcBorders>
              <w:top w:val="single" w:sz="4" w:space="0" w:color="000000" w:themeColor="text1"/>
              <w:bottom w:val="single" w:sz="4" w:space="0" w:color="000000" w:themeColor="text1"/>
            </w:tcBorders>
          </w:tcPr>
          <w:p w14:paraId="525444A2"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2006 IPCC smernice; in 2019 izboljšava smernic IPCC iz leta 2006 za nekatere kategorije virov.</w:t>
            </w:r>
          </w:p>
        </w:tc>
      </w:tr>
      <w:tr w:rsidR="00CC4C6D" w:rsidRPr="003E4B53" w14:paraId="1EE21063" w14:textId="77777777" w:rsidTr="006D46D8">
        <w:trPr>
          <w:trHeight w:val="561"/>
        </w:trPr>
        <w:tc>
          <w:tcPr>
            <w:tcW w:w="4992" w:type="dxa"/>
            <w:gridSpan w:val="2"/>
            <w:tcBorders>
              <w:top w:val="single" w:sz="4" w:space="0" w:color="000000" w:themeColor="text1"/>
              <w:bottom w:val="single" w:sz="4" w:space="0" w:color="000000" w:themeColor="text1"/>
            </w:tcBorders>
          </w:tcPr>
          <w:p w14:paraId="13B559F7" w14:textId="77777777" w:rsidR="00CC4C6D" w:rsidRPr="003E4B53" w:rsidRDefault="00CC4C6D" w:rsidP="0024256B">
            <w:pPr>
              <w:pStyle w:val="TableParagraph"/>
              <w:spacing w:before="34"/>
              <w:ind w:left="370" w:right="27"/>
              <w:jc w:val="both"/>
              <w:rPr>
                <w:rFonts w:ascii="Arial" w:hAnsi="Arial" w:cs="Arial"/>
                <w:sz w:val="18"/>
                <w:szCs w:val="18"/>
                <w:lang w:val="sl-SI"/>
              </w:rPr>
            </w:pPr>
            <w:r w:rsidRPr="003E4B53">
              <w:rPr>
                <w:rFonts w:ascii="Arial" w:hAnsi="Arial" w:cs="Arial"/>
                <w:sz w:val="18"/>
                <w:szCs w:val="18"/>
              </w:rPr>
              <w:t>Poročilo o uporabljenih meritvah, kot je primerno in na voljo (odstavek 75(c) MPG)</w:t>
            </w:r>
          </w:p>
        </w:tc>
        <w:tc>
          <w:tcPr>
            <w:tcW w:w="4536" w:type="dxa"/>
            <w:tcBorders>
              <w:top w:val="single" w:sz="4" w:space="0" w:color="000000" w:themeColor="text1"/>
              <w:bottom w:val="single" w:sz="4" w:space="0" w:color="000000" w:themeColor="text1"/>
            </w:tcBorders>
          </w:tcPr>
          <w:p w14:paraId="2F490218"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Vrednosti potenciala globalnega segrevanja (GWP) v 100-letnem časovnem obdobju iz petega ocenjevalnega poročila IPCC.</w:t>
            </w:r>
          </w:p>
        </w:tc>
      </w:tr>
      <w:tr w:rsidR="00CC4C6D" w:rsidRPr="003E4B53" w14:paraId="392F0627" w14:textId="77777777" w:rsidTr="006D46D8">
        <w:trPr>
          <w:trHeight w:val="1420"/>
        </w:trPr>
        <w:tc>
          <w:tcPr>
            <w:tcW w:w="4992" w:type="dxa"/>
            <w:gridSpan w:val="2"/>
            <w:tcBorders>
              <w:top w:val="single" w:sz="12" w:space="0" w:color="000000" w:themeColor="text1"/>
              <w:bottom w:val="single" w:sz="4" w:space="0" w:color="000000" w:themeColor="text1"/>
            </w:tcBorders>
          </w:tcPr>
          <w:p w14:paraId="619B6C3F" w14:textId="77777777" w:rsidR="00CC4C6D" w:rsidRPr="003E4B53" w:rsidRDefault="00CC4C6D" w:rsidP="0024256B">
            <w:pPr>
              <w:pStyle w:val="TableParagraph"/>
              <w:spacing w:before="17"/>
              <w:ind w:left="370" w:right="27"/>
              <w:jc w:val="both"/>
              <w:rPr>
                <w:rFonts w:ascii="Arial" w:hAnsi="Arial" w:cs="Arial"/>
                <w:sz w:val="18"/>
                <w:szCs w:val="18"/>
                <w:lang w:val="sl-SI"/>
              </w:rPr>
            </w:pPr>
            <w:r w:rsidRPr="003E4B53">
              <w:rPr>
                <w:rFonts w:ascii="Arial" w:hAnsi="Arial" w:cs="Arial"/>
                <w:sz w:val="18"/>
                <w:szCs w:val="18"/>
              </w:rPr>
              <w:t>Za pogodbenice, katerih NDC ni mogoče obračunati z uporabo metodologij, zajetih v smernicah IPCC, posredujte informacije o lastni uporabljeni metodologiji, vključno z NDC, v skladu s šestim odstavkom 4. člena Pariškega sporazuma, če je primerno (odstavek  1(b) priloge II k sklepu 4/CMA.1)</w:t>
            </w:r>
          </w:p>
        </w:tc>
        <w:tc>
          <w:tcPr>
            <w:tcW w:w="4536" w:type="dxa"/>
            <w:tcBorders>
              <w:top w:val="single" w:sz="12" w:space="0" w:color="000000" w:themeColor="text1"/>
              <w:bottom w:val="single" w:sz="4" w:space="0" w:color="000000" w:themeColor="text1"/>
            </w:tcBorders>
          </w:tcPr>
          <w:p w14:paraId="22949544"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Ni primerno.</w:t>
            </w:r>
          </w:p>
        </w:tc>
      </w:tr>
      <w:tr w:rsidR="00CC4C6D" w:rsidRPr="003E4B53" w14:paraId="47EE5822" w14:textId="77777777" w:rsidTr="006D46D8">
        <w:trPr>
          <w:trHeight w:val="1000"/>
        </w:trPr>
        <w:tc>
          <w:tcPr>
            <w:tcW w:w="4992" w:type="dxa"/>
            <w:gridSpan w:val="2"/>
            <w:tcBorders>
              <w:top w:val="single" w:sz="4" w:space="0" w:color="000000" w:themeColor="text1"/>
              <w:bottom w:val="single" w:sz="4" w:space="0" w:color="000000" w:themeColor="text1"/>
            </w:tcBorders>
          </w:tcPr>
          <w:p w14:paraId="5C0BE5B3"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Zagotovite informacije o uporabljenih metodologijah za sledenje napredku, ki izhaja iz izvajanja politik in ukrepov, kot je primerno (odstavek 1(d) priloge II k sklepu 4/CMA.1)</w:t>
            </w:r>
          </w:p>
        </w:tc>
        <w:tc>
          <w:tcPr>
            <w:tcW w:w="4536" w:type="dxa"/>
            <w:tcBorders>
              <w:top w:val="single" w:sz="4" w:space="0" w:color="000000" w:themeColor="text1"/>
              <w:bottom w:val="single" w:sz="4" w:space="0" w:color="000000" w:themeColor="text1"/>
            </w:tcBorders>
          </w:tcPr>
          <w:p w14:paraId="4F77F492"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Napredek, ki izhaja iz izvajanja politik in ukrepov, se izraža v zmanjševanju izpustov TGP oziroma povečanju odvzemov TGP. Metodologija, uporabljena za</w:t>
            </w:r>
            <w:r w:rsidRPr="003E4B53">
              <w:rPr>
                <w:rFonts w:ascii="Arial" w:hAnsi="Arial" w:cs="Arial"/>
                <w:sz w:val="18"/>
                <w:szCs w:val="18"/>
              </w:rPr>
              <w:t xml:space="preserve"> </w:t>
            </w:r>
            <w:r w:rsidRPr="003E4B53">
              <w:rPr>
                <w:rFonts w:ascii="Arial" w:hAnsi="Arial" w:cs="Arial"/>
                <w:b/>
                <w:sz w:val="18"/>
                <w:szCs w:val="18"/>
              </w:rPr>
              <w:t>oceno takšnega napredka, temelji na oceni emisij toplogrednih plinov in odvzemov v evidenci toplogrednih plinov EU ter na podatkih o mednarodnem letalstvu in navigaciji, ki se spremljajo v integrirani zbirki podatkov o evropskem energetskem sistemu Skupnega raziskovalnega središča (JRC-IDEES).</w:t>
            </w:r>
          </w:p>
        </w:tc>
      </w:tr>
      <w:tr w:rsidR="00CC4C6D" w:rsidRPr="003E4B53" w14:paraId="5230942E" w14:textId="77777777" w:rsidTr="006D46D8">
        <w:trPr>
          <w:trHeight w:val="346"/>
        </w:trPr>
        <w:tc>
          <w:tcPr>
            <w:tcW w:w="4992" w:type="dxa"/>
            <w:gridSpan w:val="2"/>
            <w:tcBorders>
              <w:top w:val="single" w:sz="4" w:space="0" w:color="000000" w:themeColor="text1"/>
              <w:bottom w:val="single" w:sz="4" w:space="0" w:color="000000" w:themeColor="text1"/>
            </w:tcBorders>
          </w:tcPr>
          <w:p w14:paraId="1DB7FB0D"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Kadar je to primerno za njegov NDC, vse predpostavke, metodologije in pristopi, specifične za sektor, kategorijo ali dejavnost, skladni s smernicami IPCC, ob upoštevanju vseh ustreznih odločitev v skladu s Konvencijo, kot je primerno (odstavek 75(d) MPG)</w:t>
            </w:r>
          </w:p>
        </w:tc>
        <w:tc>
          <w:tcPr>
            <w:tcW w:w="4536" w:type="dxa"/>
            <w:tcBorders>
              <w:top w:val="single" w:sz="4" w:space="0" w:color="000000" w:themeColor="text1"/>
              <w:bottom w:val="single" w:sz="4" w:space="0" w:color="000000" w:themeColor="text1"/>
            </w:tcBorders>
          </w:tcPr>
          <w:p w14:paraId="3626EE60"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Predpostavke, metodologije in pristopi, specifični za sektor, kategorijo in dejavnost, ki se uporabljajo za NDC, so opisani v dokumentu nacionalnega popisa EU in so skladni s smernicami IPCC. </w:t>
            </w:r>
          </w:p>
          <w:p w14:paraId="0E93ABC0"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Emisije iz mednarodnega letalstva in navigacije v okviru NDC so določene na podlagi podatkov o dejavnosti iz JRC-IDEES z uporabo emisijskih faktorjev in metodologij, ki so skladne s smernicami IPCC.</w:t>
            </w:r>
          </w:p>
        </w:tc>
      </w:tr>
      <w:tr w:rsidR="00CC4C6D" w:rsidRPr="003E4B53" w14:paraId="65C299C8" w14:textId="77777777" w:rsidTr="006D46D8">
        <w:trPr>
          <w:trHeight w:val="1881"/>
        </w:trPr>
        <w:tc>
          <w:tcPr>
            <w:tcW w:w="4992" w:type="dxa"/>
            <w:gridSpan w:val="2"/>
            <w:tcBorders>
              <w:top w:val="single" w:sz="4" w:space="0" w:color="000000" w:themeColor="text1"/>
              <w:bottom w:val="single" w:sz="4" w:space="0" w:color="000000" w:themeColor="text1"/>
            </w:tcBorders>
          </w:tcPr>
          <w:p w14:paraId="2CB181BA"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lastRenderedPageBreak/>
              <w:t>Za pogodbenice, ki obravnavajo emisije in poznejše odvzeme zaradi naravnih motenj na upravljanih zemljiščih, navedite podrobne informacije o uporabljenem pristopu in o tem, kako je skladen z ustreznimi smernicami IPCC, kot je primerno, ali navedite ustrezen razdelek nacionalnega poročila o evidenci toplogrednih plinov, ki vsebuje te informacije (odstavek  1(e) priloge II k sklepu 4/CMA.1, odstavek 75(d)(i) MPG)</w:t>
            </w:r>
          </w:p>
        </w:tc>
        <w:tc>
          <w:tcPr>
            <w:tcW w:w="4536" w:type="dxa"/>
            <w:tcBorders>
              <w:top w:val="single" w:sz="4" w:space="0" w:color="000000" w:themeColor="text1"/>
              <w:bottom w:val="single" w:sz="4" w:space="0" w:color="000000" w:themeColor="text1"/>
            </w:tcBorders>
          </w:tcPr>
          <w:p w14:paraId="30CA8E51"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NA</w:t>
            </w:r>
            <w:r w:rsidRPr="003E4B53">
              <w:rPr>
                <w:rStyle w:val="FootnoteReference"/>
                <w:rFonts w:ascii="Arial" w:hAnsi="Arial" w:cs="Arial"/>
                <w:b/>
                <w:bCs/>
                <w:sz w:val="18"/>
                <w:szCs w:val="18"/>
              </w:rPr>
              <w:footnoteReference w:id="126"/>
            </w:r>
          </w:p>
        </w:tc>
      </w:tr>
      <w:tr w:rsidR="00CC4C6D" w:rsidRPr="003E4B53" w14:paraId="06027D93" w14:textId="77777777" w:rsidTr="006D46D8">
        <w:trPr>
          <w:trHeight w:val="1439"/>
        </w:trPr>
        <w:tc>
          <w:tcPr>
            <w:tcW w:w="4992" w:type="dxa"/>
            <w:gridSpan w:val="2"/>
            <w:tcBorders>
              <w:top w:val="single" w:sz="4" w:space="0" w:color="000000" w:themeColor="text1"/>
              <w:bottom w:val="single" w:sz="4" w:space="0" w:color="000000" w:themeColor="text1"/>
            </w:tcBorders>
          </w:tcPr>
          <w:p w14:paraId="75927E1F"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Za pogodbenice, ki obračunavajo emisije in odvzeme iz pridelanih lesnih proizvodov, navedite podrobne informacije o tem, kateri pristop IPCC je bil uporabljen za oceno emisij in odvzemov (odstavek  1(f) priloge II k sklepu 4/CMA.1, odstavek 75(d)(ii) MPG)</w:t>
            </w:r>
          </w:p>
        </w:tc>
        <w:tc>
          <w:tcPr>
            <w:tcW w:w="4536" w:type="dxa"/>
            <w:tcBorders>
              <w:top w:val="single" w:sz="4" w:space="0" w:color="000000" w:themeColor="text1"/>
              <w:bottom w:val="single" w:sz="4" w:space="0" w:color="000000" w:themeColor="text1"/>
            </w:tcBorders>
          </w:tcPr>
          <w:p w14:paraId="0FFD5DC1"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EU upošteva emisije in odvzeme iz proizvodov iz posekanega lesa kot sestavni del neto emisij in odvzemov toplogrednih plinov v okviru NDC. Emisije in odvzemi toplogrednih plinov iz posekanih lesnih proizvodov so določeni v skladu s proizvodnim pristopom, kot je opredeljeno v Prilogi 12.A.1 k Zvezku 4 Smernic IPCC iz leta 2006 za nacionalne evidence toplogrednih plinov.</w:t>
            </w:r>
          </w:p>
        </w:tc>
      </w:tr>
      <w:tr w:rsidR="00CC4C6D" w:rsidRPr="003E4B53" w14:paraId="39DBF753" w14:textId="77777777" w:rsidTr="006D46D8">
        <w:trPr>
          <w:trHeight w:val="1440"/>
        </w:trPr>
        <w:tc>
          <w:tcPr>
            <w:tcW w:w="4992" w:type="dxa"/>
            <w:gridSpan w:val="2"/>
            <w:tcBorders>
              <w:top w:val="single" w:sz="4" w:space="0" w:color="000000" w:themeColor="text1"/>
              <w:bottom w:val="single" w:sz="4" w:space="0" w:color="000000" w:themeColor="text1"/>
            </w:tcBorders>
          </w:tcPr>
          <w:p w14:paraId="28981651"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Za pogodbenice, ki obravnavajo učinke strukture starostnih razredov v gozdovih, navedite podrobne informacije o uporabljenem pristopu in o tem, kako je to skladno z ustreznimi smernicami IPCC, kot je primerno (odstavek  1(g) priloge II k sklepu 4/CMA.1, odstavek 75(d)(iii) MPG)</w:t>
            </w:r>
          </w:p>
        </w:tc>
        <w:tc>
          <w:tcPr>
            <w:tcW w:w="4536" w:type="dxa"/>
            <w:tcBorders>
              <w:top w:val="single" w:sz="4" w:space="0" w:color="000000" w:themeColor="text1"/>
              <w:bottom w:val="single" w:sz="4" w:space="0" w:color="000000" w:themeColor="text1"/>
            </w:tcBorders>
          </w:tcPr>
          <w:p w14:paraId="6D9CF7D1"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EU v računovodskem pristopu za svoj NDC ne obravnava učinkov strukture starostnih razredov v gozdovih. </w:t>
            </w:r>
          </w:p>
        </w:tc>
      </w:tr>
      <w:tr w:rsidR="00CC4C6D" w:rsidRPr="003E4B53" w14:paraId="002F1A3E" w14:textId="77777777" w:rsidTr="006D46D8">
        <w:trPr>
          <w:trHeight w:val="1000"/>
        </w:trPr>
        <w:tc>
          <w:tcPr>
            <w:tcW w:w="4992" w:type="dxa"/>
            <w:gridSpan w:val="2"/>
            <w:tcBorders>
              <w:top w:val="single" w:sz="4" w:space="0" w:color="000000" w:themeColor="text1"/>
              <w:bottom w:val="single" w:sz="4" w:space="0" w:color="000000" w:themeColor="text1"/>
            </w:tcBorders>
          </w:tcPr>
          <w:p w14:paraId="46AC024B"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Kako je pogodbenica uporabila obstoječe metode in navodila, vzpostavljena v skladu s Konvencijo in z njo povezanimi pravnimi instrumenti, kot je primerno, če je ustrezno (odstavek  1(c) Priloge II k sklepu 4/CMA.1)</w:t>
            </w:r>
          </w:p>
        </w:tc>
        <w:tc>
          <w:tcPr>
            <w:tcW w:w="4536" w:type="dxa"/>
            <w:tcBorders>
              <w:top w:val="single" w:sz="4" w:space="0" w:color="000000" w:themeColor="text1"/>
              <w:bottom w:val="single" w:sz="4" w:space="0" w:color="000000" w:themeColor="text1"/>
            </w:tcBorders>
          </w:tcPr>
          <w:p w14:paraId="4FE0DA9A"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EU se je oprla na obstoječe metode in smernice, določene v okviru konvencije, z uporabo cilja NDC, ki je napredek kvantificiranega cilja zmanjšanja emisij v celotnem gospodarstvu za leto 2020, ki je bil sporočen in se spremlja v skladu s konvencijo.  </w:t>
            </w:r>
          </w:p>
        </w:tc>
      </w:tr>
      <w:tr w:rsidR="00CC4C6D" w:rsidRPr="003E4B53" w14:paraId="5289C1E8" w14:textId="77777777" w:rsidTr="006D46D8">
        <w:trPr>
          <w:trHeight w:val="301"/>
        </w:trPr>
        <w:tc>
          <w:tcPr>
            <w:tcW w:w="4992" w:type="dxa"/>
            <w:gridSpan w:val="2"/>
            <w:tcBorders>
              <w:top w:val="single" w:sz="4" w:space="0" w:color="000000" w:themeColor="text1"/>
              <w:bottom w:val="single" w:sz="4" w:space="0" w:color="000000" w:themeColor="text1"/>
            </w:tcBorders>
          </w:tcPr>
          <w:p w14:paraId="2A0E7D43"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Katere koli metodologije, uporabljene za upoštevanje souporab ublažitve ukrepov prilagajanja in/ali načrtov gospodarske diverzifikacije (odstavek 75(e) MPG)</w:t>
            </w:r>
          </w:p>
        </w:tc>
        <w:tc>
          <w:tcPr>
            <w:tcW w:w="4536" w:type="dxa"/>
            <w:tcBorders>
              <w:top w:val="single" w:sz="4" w:space="0" w:color="000000" w:themeColor="text1"/>
              <w:bottom w:val="single" w:sz="4" w:space="0" w:color="000000" w:themeColor="text1"/>
            </w:tcBorders>
          </w:tcPr>
          <w:p w14:paraId="08E84AC9"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NDC ne sestavljajo sougodnosti ukrepov prilagajanja in/ali načrtov za gospodarsko diverzifikacijo pri ublažitvi: Zato te sočasne koristi niso bile upoštevane in niso bile uporabljene nobene povezane metodologije.</w:t>
            </w:r>
          </w:p>
        </w:tc>
      </w:tr>
      <w:tr w:rsidR="00CC4C6D" w:rsidRPr="003E4B53" w14:paraId="74381AD4" w14:textId="77777777" w:rsidTr="006D46D8">
        <w:trPr>
          <w:trHeight w:val="1000"/>
        </w:trPr>
        <w:tc>
          <w:tcPr>
            <w:tcW w:w="4992" w:type="dxa"/>
            <w:gridSpan w:val="2"/>
            <w:tcBorders>
              <w:top w:val="single" w:sz="4" w:space="0" w:color="000000" w:themeColor="text1"/>
              <w:bottom w:val="single" w:sz="4" w:space="0" w:color="000000" w:themeColor="text1"/>
            </w:tcBorders>
          </w:tcPr>
          <w:p w14:paraId="09E0C6AA"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Opišite, kako se je izognilo dvojnemu štetju neto zmanjšanja emisij toplogrednih plinov, vključno v skladu s smernicami, razvitimi v zvezi s 6. členom, če je ustrezno (odstavek 76(d) MPG)</w:t>
            </w:r>
          </w:p>
        </w:tc>
        <w:tc>
          <w:tcPr>
            <w:tcW w:w="4536" w:type="dxa"/>
            <w:tcBorders>
              <w:top w:val="single" w:sz="4" w:space="0" w:color="000000" w:themeColor="text1"/>
              <w:bottom w:val="single" w:sz="4" w:space="0" w:color="000000" w:themeColor="text1"/>
            </w:tcBorders>
          </w:tcPr>
          <w:p w14:paraId="0F321205"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Emisije in odvzemi toplogrednih plinov iz EU evidence toplogrednih plinov, dopolnjeni s podatki JRC-IDEES za določanje deleža emisij iz mednarodnega letalstva in plovbe v obsegu NDC, se uporabljajo za sledenje neto zmanjšanju emisij toplogrednih plinov. O emisijah in odvzemih se poroča v skladu s smernicami IPCC, s ciljem, da emisije toplogrednih plinov niso ne precenjene ne podcenjene.</w:t>
            </w:r>
          </w:p>
          <w:p w14:paraId="0EEA0E61"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EU in njene države članice poročajo o emisijah in odvzemih toplogrednih plinov v svojih evidencah toplogrednih plinov. Za sledenje napredku pri izvajanju in doseganju EU NDC se štejejo le tista neto zmanjšanja emisij toplogrednih plinov, o katerih se poroča na ravni EU. </w:t>
            </w:r>
          </w:p>
          <w:p w14:paraId="44365A6F" w14:textId="77777777" w:rsidR="00CC4C6D" w:rsidRPr="003E4B53" w:rsidRDefault="00CC4C6D" w:rsidP="0024256B">
            <w:pPr>
              <w:pStyle w:val="TableParagraph"/>
              <w:spacing w:before="36"/>
              <w:ind w:left="257" w:right="169"/>
              <w:jc w:val="both"/>
              <w:rPr>
                <w:rFonts w:ascii="Arial" w:hAnsi="Arial" w:cs="Arial"/>
                <w:b/>
                <w:iCs/>
                <w:sz w:val="18"/>
                <w:szCs w:val="18"/>
                <w:lang w:val="sl-SI"/>
              </w:rPr>
            </w:pPr>
            <w:r w:rsidRPr="003E4B53">
              <w:rPr>
                <w:rFonts w:ascii="Arial" w:hAnsi="Arial" w:cs="Arial"/>
                <w:b/>
                <w:sz w:val="18"/>
                <w:szCs w:val="18"/>
              </w:rPr>
              <w:t xml:space="preserve">Za pristope sodelovanja v skladu s 6. členom se ustrezne prilagoditve izvedejo v skladu z navodili, ki jih sprejme CMA. </w:t>
            </w:r>
          </w:p>
        </w:tc>
      </w:tr>
      <w:tr w:rsidR="00CC4C6D" w:rsidRPr="003E4B53" w14:paraId="310C1E1C" w14:textId="77777777" w:rsidTr="006D46D8">
        <w:trPr>
          <w:trHeight w:val="559"/>
        </w:trPr>
        <w:tc>
          <w:tcPr>
            <w:tcW w:w="4992" w:type="dxa"/>
            <w:gridSpan w:val="2"/>
            <w:tcBorders>
              <w:top w:val="single" w:sz="4" w:space="0" w:color="000000" w:themeColor="text1"/>
              <w:bottom w:val="single" w:sz="4" w:space="0" w:color="000000" w:themeColor="text1"/>
            </w:tcBorders>
          </w:tcPr>
          <w:p w14:paraId="276A344C" w14:textId="77777777" w:rsidR="00CC4C6D" w:rsidRPr="003E4B53" w:rsidRDefault="00CC4C6D" w:rsidP="0024256B">
            <w:pPr>
              <w:pStyle w:val="TableParagraph"/>
              <w:spacing w:before="37"/>
              <w:ind w:left="370" w:right="169"/>
              <w:jc w:val="both"/>
              <w:rPr>
                <w:rFonts w:ascii="Arial" w:hAnsi="Arial" w:cs="Arial"/>
                <w:sz w:val="18"/>
                <w:szCs w:val="18"/>
                <w:lang w:val="sl-SI"/>
              </w:rPr>
            </w:pPr>
            <w:r w:rsidRPr="003E4B53">
              <w:rPr>
                <w:rFonts w:ascii="Arial" w:hAnsi="Arial" w:cs="Arial"/>
                <w:sz w:val="18"/>
                <w:szCs w:val="18"/>
              </w:rPr>
              <w:t>Vse druge metodologije, povezane z NDC v skladu s 4. členom (odstavek 75(h) MPG)</w:t>
            </w:r>
          </w:p>
        </w:tc>
        <w:tc>
          <w:tcPr>
            <w:tcW w:w="4536" w:type="dxa"/>
            <w:tcBorders>
              <w:top w:val="single" w:sz="4" w:space="0" w:color="000000" w:themeColor="text1"/>
              <w:bottom w:val="single" w:sz="4" w:space="0" w:color="000000" w:themeColor="text1"/>
            </w:tcBorders>
          </w:tcPr>
          <w:p w14:paraId="30651610" w14:textId="77777777" w:rsidR="00CC4C6D" w:rsidRPr="003E4B53" w:rsidRDefault="00CC4C6D" w:rsidP="0024256B">
            <w:pPr>
              <w:pStyle w:val="TableParagraph"/>
              <w:spacing w:before="36"/>
              <w:ind w:left="257" w:right="169"/>
              <w:jc w:val="both"/>
              <w:rPr>
                <w:rFonts w:ascii="Arial" w:hAnsi="Arial" w:cs="Arial"/>
                <w:sz w:val="18"/>
                <w:szCs w:val="18"/>
                <w:lang w:val="sl-SI"/>
              </w:rPr>
            </w:pPr>
            <w:r w:rsidRPr="003E4B53">
              <w:rPr>
                <w:rFonts w:ascii="Arial" w:hAnsi="Arial" w:cs="Arial"/>
                <w:b/>
                <w:sz w:val="18"/>
                <w:szCs w:val="18"/>
              </w:rPr>
              <w:t>Ni primerno.</w:t>
            </w:r>
          </w:p>
        </w:tc>
      </w:tr>
      <w:tr w:rsidR="00CC4C6D" w:rsidRPr="003E4B53" w14:paraId="4AC21C07" w14:textId="77777777" w:rsidTr="006D46D8">
        <w:trPr>
          <w:trHeight w:val="722"/>
        </w:trPr>
        <w:tc>
          <w:tcPr>
            <w:tcW w:w="9528" w:type="dxa"/>
            <w:gridSpan w:val="3"/>
            <w:tcBorders>
              <w:top w:val="single" w:sz="4" w:space="0" w:color="000000" w:themeColor="text1"/>
              <w:bottom w:val="single" w:sz="4" w:space="0" w:color="000000" w:themeColor="text1"/>
            </w:tcBorders>
          </w:tcPr>
          <w:p w14:paraId="38EBD7C9" w14:textId="77777777" w:rsidR="00CC4C6D" w:rsidRPr="003E4B53" w:rsidRDefault="00CC4C6D" w:rsidP="0024256B">
            <w:pPr>
              <w:pStyle w:val="TableParagraph"/>
              <w:spacing w:before="36"/>
              <w:ind w:left="257" w:right="4705"/>
              <w:jc w:val="both"/>
              <w:rPr>
                <w:rFonts w:ascii="Arial" w:hAnsi="Arial" w:cs="Arial"/>
                <w:i/>
                <w:sz w:val="18"/>
                <w:szCs w:val="18"/>
                <w:lang w:val="sl-SI"/>
              </w:rPr>
            </w:pPr>
            <w:r w:rsidRPr="003E4B53">
              <w:rPr>
                <w:rFonts w:ascii="Arial" w:hAnsi="Arial" w:cs="Arial"/>
                <w:i/>
                <w:sz w:val="18"/>
                <w:szCs w:val="18"/>
              </w:rPr>
              <w:t>Zagotavljanje metodološke skladnosti, vključno z izhodišči, med komunikacijo in izvajanjem NDC (odstavek 12(b) sklepa 4/CMA.1):</w:t>
            </w:r>
          </w:p>
        </w:tc>
      </w:tr>
      <w:tr w:rsidR="00CC4C6D" w:rsidRPr="003E4B53" w14:paraId="1ABFBC88" w14:textId="77777777" w:rsidTr="006D46D8">
        <w:trPr>
          <w:trHeight w:val="921"/>
        </w:trPr>
        <w:tc>
          <w:tcPr>
            <w:tcW w:w="4992" w:type="dxa"/>
            <w:gridSpan w:val="2"/>
            <w:tcBorders>
              <w:top w:val="single" w:sz="4" w:space="0" w:color="000000" w:themeColor="text1"/>
              <w:bottom w:val="single" w:sz="4" w:space="0" w:color="000000" w:themeColor="text1"/>
            </w:tcBorders>
          </w:tcPr>
          <w:p w14:paraId="13BA0280" w14:textId="77777777" w:rsidR="00CC4C6D" w:rsidRPr="003E4B53" w:rsidRDefault="00CC4C6D" w:rsidP="0024256B">
            <w:pPr>
              <w:pStyle w:val="TableParagraph"/>
              <w:spacing w:before="40"/>
              <w:ind w:left="370" w:right="169"/>
              <w:jc w:val="both"/>
              <w:rPr>
                <w:rFonts w:ascii="Arial" w:hAnsi="Arial" w:cs="Arial"/>
                <w:sz w:val="18"/>
                <w:szCs w:val="18"/>
                <w:lang w:val="sl-SI"/>
              </w:rPr>
            </w:pPr>
            <w:r w:rsidRPr="003E4B53">
              <w:rPr>
                <w:rFonts w:ascii="Arial" w:hAnsi="Arial" w:cs="Arial"/>
                <w:sz w:val="18"/>
                <w:szCs w:val="18"/>
              </w:rPr>
              <w:lastRenderedPageBreak/>
              <w:t>Pojasnite, kako je bila ohranjena doslednost v obsegu in pokritosti, definicijah, virih podatkov, meritvah, predpostavkah in metodoloških pristopih, vključno z izhodišči, med komunikacijo in izvajanjem NDC (odstavek 2(a) Priloge II</w:t>
            </w:r>
          </w:p>
          <w:p w14:paraId="61FEA6B0" w14:textId="77777777" w:rsidR="00CC4C6D" w:rsidRPr="003E4B53" w:rsidRDefault="00CC4C6D" w:rsidP="0024256B">
            <w:pPr>
              <w:pStyle w:val="TableParagraph"/>
              <w:spacing w:before="40"/>
              <w:ind w:left="370" w:right="169"/>
              <w:jc w:val="both"/>
              <w:rPr>
                <w:rFonts w:ascii="Arial" w:hAnsi="Arial" w:cs="Arial"/>
                <w:sz w:val="18"/>
                <w:szCs w:val="18"/>
                <w:lang w:val="sl-SI"/>
              </w:rPr>
            </w:pPr>
            <w:r w:rsidRPr="003E4B53">
              <w:rPr>
                <w:rFonts w:ascii="Arial" w:hAnsi="Arial" w:cs="Arial"/>
                <w:sz w:val="18"/>
                <w:szCs w:val="18"/>
              </w:rPr>
              <w:t>k sklepu 4/CMA.1)</w:t>
            </w:r>
          </w:p>
        </w:tc>
        <w:tc>
          <w:tcPr>
            <w:tcW w:w="4536" w:type="dxa"/>
            <w:tcBorders>
              <w:top w:val="single" w:sz="4" w:space="0" w:color="000000" w:themeColor="text1"/>
              <w:bottom w:val="single" w:sz="4" w:space="0" w:color="000000" w:themeColor="text1"/>
            </w:tcBorders>
          </w:tcPr>
          <w:p w14:paraId="014DA501"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b/>
                <w:sz w:val="18"/>
                <w:szCs w:val="18"/>
              </w:rPr>
              <w:t>Obseg, pokritost, definicije, viri podatkov, metrike in pristopi so skladni med sporočenim NDC in njegovim izvajanjem, kot je opisano v BTR.</w:t>
            </w:r>
          </w:p>
        </w:tc>
      </w:tr>
      <w:tr w:rsidR="00CC4C6D" w:rsidRPr="003E4B53" w14:paraId="01628F30" w14:textId="77777777" w:rsidTr="006D46D8">
        <w:trPr>
          <w:trHeight w:val="2101"/>
        </w:trPr>
        <w:tc>
          <w:tcPr>
            <w:tcW w:w="4992" w:type="dxa"/>
            <w:gridSpan w:val="2"/>
            <w:tcBorders>
              <w:top w:val="single" w:sz="4" w:space="0" w:color="000000" w:themeColor="text1"/>
              <w:bottom w:val="single" w:sz="4" w:space="0" w:color="000000" w:themeColor="text1"/>
            </w:tcBorders>
          </w:tcPr>
          <w:p w14:paraId="48B0647B" w14:textId="77777777" w:rsidR="00CC4C6D" w:rsidRPr="003E4B53" w:rsidRDefault="00CC4C6D" w:rsidP="0024256B">
            <w:pPr>
              <w:pStyle w:val="TableParagraph"/>
              <w:spacing w:before="39"/>
              <w:ind w:left="370" w:right="169"/>
              <w:jc w:val="both"/>
              <w:rPr>
                <w:rFonts w:ascii="Arial" w:hAnsi="Arial" w:cs="Arial"/>
                <w:sz w:val="18"/>
                <w:szCs w:val="18"/>
                <w:lang w:val="sl-SI"/>
              </w:rPr>
            </w:pPr>
            <w:r w:rsidRPr="003E4B53">
              <w:rPr>
                <w:rFonts w:ascii="Arial" w:hAnsi="Arial" w:cs="Arial"/>
                <w:sz w:val="18"/>
                <w:szCs w:val="18"/>
              </w:rPr>
              <w:t>Pojasnite, kako je bila ohranjena skladnost med vsemi podatki o toplogrednih plinih in metodologijami ocenjevanja, ki se uporabljajo za računovodstvo, in popisom toplogrednih plinov pogodbenice v skladu s členom 13(7(a)) Pariškega sporazuma, če je primerno (odstavek  2(b) priloge II k sklepu 4/CMA.1), in razložite metodološke nedoslednosti z zadnjim poročilom pogodbenice o nacionalnem popisu, če je primerno (odstavek.  76(c) MPG)</w:t>
            </w:r>
          </w:p>
        </w:tc>
        <w:tc>
          <w:tcPr>
            <w:tcW w:w="4536" w:type="dxa"/>
            <w:tcBorders>
              <w:top w:val="single" w:sz="4" w:space="0" w:color="000000" w:themeColor="text1"/>
              <w:bottom w:val="single" w:sz="4" w:space="0" w:color="000000" w:themeColor="text1"/>
            </w:tcBorders>
          </w:tcPr>
          <w:p w14:paraId="320B9512" w14:textId="77777777" w:rsidR="00CC4C6D" w:rsidRPr="003E4B53" w:rsidRDefault="00CC4C6D" w:rsidP="0024256B">
            <w:pPr>
              <w:pStyle w:val="TableParagraph"/>
              <w:spacing w:before="36"/>
              <w:ind w:left="370" w:right="169"/>
              <w:jc w:val="both"/>
              <w:rPr>
                <w:rFonts w:ascii="Arial" w:hAnsi="Arial" w:cs="Arial"/>
                <w:bCs/>
                <w:iCs/>
                <w:sz w:val="18"/>
                <w:szCs w:val="18"/>
                <w:lang w:val="sl-SI"/>
              </w:rPr>
            </w:pPr>
            <w:r w:rsidRPr="003E4B53">
              <w:rPr>
                <w:rFonts w:ascii="Arial" w:hAnsi="Arial" w:cs="Arial"/>
                <w:b/>
                <w:sz w:val="18"/>
                <w:szCs w:val="18"/>
              </w:rPr>
              <w:t>Popis toplogrednih plinov v EU je primarni vir podatkov o toplogrednih plinih, ki se uporabljajo za računovodstvo. Delež evidence emisij toplogrednih plinov iz mednarodnega letalstva in navigacije v okviru NDC so bile določene posebej na podlagi podatkov o dejavnosti iz JRC-IDEES z uporabo emisijskih faktorjev in metodologij, ki so skladne s smernicami IPCC. Ni metodoloških neskladij z najnovejšim poročilom o nacionalni evidenci.</w:t>
            </w:r>
          </w:p>
        </w:tc>
      </w:tr>
      <w:tr w:rsidR="00CC4C6D" w:rsidRPr="003E4B53" w14:paraId="6DD59918" w14:textId="77777777" w:rsidTr="006D46D8">
        <w:trPr>
          <w:trHeight w:val="998"/>
        </w:trPr>
        <w:tc>
          <w:tcPr>
            <w:tcW w:w="9528" w:type="dxa"/>
            <w:gridSpan w:val="3"/>
            <w:tcBorders>
              <w:top w:val="single" w:sz="4" w:space="0" w:color="000000" w:themeColor="text1"/>
              <w:bottom w:val="single" w:sz="4" w:space="0" w:color="000000" w:themeColor="text1"/>
            </w:tcBorders>
          </w:tcPr>
          <w:p w14:paraId="3D1BC807" w14:textId="77777777" w:rsidR="00CC4C6D" w:rsidRPr="003E4B53" w:rsidRDefault="00CC4C6D" w:rsidP="0024256B">
            <w:pPr>
              <w:pStyle w:val="TableParagraph"/>
              <w:spacing w:before="36"/>
              <w:ind w:left="257" w:right="5245"/>
              <w:jc w:val="both"/>
              <w:rPr>
                <w:rFonts w:ascii="Arial" w:hAnsi="Arial" w:cs="Arial"/>
                <w:i/>
                <w:sz w:val="18"/>
                <w:szCs w:val="18"/>
                <w:lang w:val="sl-SI"/>
              </w:rPr>
            </w:pPr>
            <w:r w:rsidRPr="003E4B53">
              <w:rPr>
                <w:rFonts w:ascii="Arial" w:hAnsi="Arial" w:cs="Arial"/>
                <w:i/>
                <w:sz w:val="18"/>
                <w:szCs w:val="18"/>
              </w:rPr>
              <w:t>Za pogodbenice, ki uporabljajo tehnične spremembe za posodobitev referenčnih točk, referenčnih ravni ali projekcij, morajo spremembe odražati eno od naslednjega (odstavek 2(d) Priloge II k sklepu 4/CMA.1):</w:t>
            </w:r>
          </w:p>
        </w:tc>
      </w:tr>
      <w:tr w:rsidR="00CC4C6D" w:rsidRPr="003E4B53" w14:paraId="05176987" w14:textId="77777777" w:rsidTr="006D46D8">
        <w:trPr>
          <w:trHeight w:val="782"/>
        </w:trPr>
        <w:tc>
          <w:tcPr>
            <w:tcW w:w="4992" w:type="dxa"/>
            <w:gridSpan w:val="2"/>
            <w:tcBorders>
              <w:top w:val="single" w:sz="4" w:space="0" w:color="000000" w:themeColor="text1"/>
              <w:bottom w:val="single" w:sz="4" w:space="0" w:color="000000" w:themeColor="text1"/>
            </w:tcBorders>
          </w:tcPr>
          <w:p w14:paraId="365F303F" w14:textId="77777777" w:rsidR="00CC4C6D" w:rsidRPr="003E4B53" w:rsidRDefault="00CC4C6D" w:rsidP="0024256B">
            <w:pPr>
              <w:pStyle w:val="TableParagraph"/>
              <w:spacing w:before="39"/>
              <w:ind w:left="370" w:right="27"/>
              <w:jc w:val="both"/>
              <w:rPr>
                <w:rFonts w:ascii="Arial" w:hAnsi="Arial" w:cs="Arial"/>
                <w:sz w:val="18"/>
                <w:szCs w:val="18"/>
                <w:lang w:val="sl-SI"/>
              </w:rPr>
            </w:pPr>
            <w:r w:rsidRPr="003E4B53">
              <w:rPr>
                <w:rFonts w:ascii="Arial" w:hAnsi="Arial" w:cs="Arial"/>
                <w:sz w:val="18"/>
                <w:szCs w:val="18"/>
              </w:rPr>
              <w:t>Tehnične spremembe v zvezi s tehničnimi popravki evidence pogodbenice (odstavek  2(d)(i) priloge II k sklepu 4/CMA.1)</w:t>
            </w:r>
          </w:p>
        </w:tc>
        <w:tc>
          <w:tcPr>
            <w:tcW w:w="4536" w:type="dxa"/>
            <w:tcBorders>
              <w:top w:val="single" w:sz="4" w:space="0" w:color="000000" w:themeColor="text1"/>
              <w:bottom w:val="single" w:sz="4" w:space="0" w:color="000000" w:themeColor="text1"/>
            </w:tcBorders>
          </w:tcPr>
          <w:p w14:paraId="7CCAA48B"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Za posodobitev referenčnih točk, referenčnih ravni ali projekcij niso bile uporabljene tehnične spremembe v zvezi s tehničnimi popravki evidenc toplogrednih plinov.</w:t>
            </w:r>
          </w:p>
        </w:tc>
      </w:tr>
      <w:tr w:rsidR="00CC4C6D" w:rsidRPr="003E4B53" w14:paraId="69CB6541" w14:textId="77777777" w:rsidTr="006D46D8">
        <w:trPr>
          <w:trHeight w:val="779"/>
        </w:trPr>
        <w:tc>
          <w:tcPr>
            <w:tcW w:w="4992" w:type="dxa"/>
            <w:gridSpan w:val="2"/>
            <w:tcBorders>
              <w:top w:val="single" w:sz="4" w:space="0" w:color="000000" w:themeColor="text1"/>
              <w:bottom w:val="single" w:sz="4" w:space="0" w:color="000000" w:themeColor="text1"/>
            </w:tcBorders>
          </w:tcPr>
          <w:p w14:paraId="6E380B6D" w14:textId="77777777" w:rsidR="00CC4C6D" w:rsidRPr="003E4B53" w:rsidRDefault="00CC4C6D" w:rsidP="0024256B">
            <w:pPr>
              <w:pStyle w:val="TableParagraph"/>
              <w:spacing w:before="36"/>
              <w:ind w:left="370" w:right="27"/>
              <w:jc w:val="both"/>
              <w:rPr>
                <w:rFonts w:ascii="Arial" w:hAnsi="Arial" w:cs="Arial"/>
                <w:sz w:val="18"/>
                <w:szCs w:val="18"/>
                <w:lang w:val="sl-SI"/>
              </w:rPr>
            </w:pPr>
            <w:r w:rsidRPr="003E4B53">
              <w:rPr>
                <w:rFonts w:ascii="Arial" w:hAnsi="Arial" w:cs="Arial"/>
                <w:sz w:val="18"/>
                <w:szCs w:val="18"/>
              </w:rPr>
              <w:t>Tehnične spremembe v zvezi z izboljšavami natančnosti, ki ohranjajo metodološko doslednost (odstavek 2(d)(ii) priloge II k sklepu 4/CMA.1)</w:t>
            </w:r>
          </w:p>
        </w:tc>
        <w:tc>
          <w:tcPr>
            <w:tcW w:w="4536" w:type="dxa"/>
            <w:tcBorders>
              <w:top w:val="single" w:sz="4" w:space="0" w:color="000000" w:themeColor="text1"/>
              <w:bottom w:val="single" w:sz="4" w:space="0" w:color="000000" w:themeColor="text1"/>
            </w:tcBorders>
          </w:tcPr>
          <w:p w14:paraId="771B34F4"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Nobene tehnične spremembe v zvezi z izboljšanjem natančnosti niso bile uporabljene za posodobitev referenčnih točk, referenčnih ravni ali projekcij.</w:t>
            </w:r>
          </w:p>
        </w:tc>
      </w:tr>
      <w:tr w:rsidR="00CC4C6D" w:rsidRPr="003E4B53" w14:paraId="430EEE7E" w14:textId="77777777" w:rsidTr="006D46D8">
        <w:trPr>
          <w:trHeight w:val="1000"/>
        </w:trPr>
        <w:tc>
          <w:tcPr>
            <w:tcW w:w="4992" w:type="dxa"/>
            <w:gridSpan w:val="2"/>
            <w:tcBorders>
              <w:top w:val="single" w:sz="4" w:space="0" w:color="000000" w:themeColor="text1"/>
              <w:bottom w:val="single" w:sz="4" w:space="0" w:color="000000" w:themeColor="text1"/>
            </w:tcBorders>
          </w:tcPr>
          <w:p w14:paraId="3AF86F1E" w14:textId="77777777" w:rsidR="00CC4C6D" w:rsidRPr="003E4B53" w:rsidRDefault="00CC4C6D" w:rsidP="0024256B">
            <w:pPr>
              <w:pStyle w:val="TableParagraph"/>
              <w:spacing w:before="36"/>
              <w:ind w:left="370" w:right="310"/>
              <w:jc w:val="both"/>
              <w:rPr>
                <w:rFonts w:ascii="Arial" w:hAnsi="Arial" w:cs="Arial"/>
                <w:sz w:val="18"/>
                <w:szCs w:val="18"/>
                <w:lang w:val="sl-SI"/>
              </w:rPr>
            </w:pPr>
            <w:r w:rsidRPr="003E4B53">
              <w:rPr>
                <w:rFonts w:ascii="Arial" w:hAnsi="Arial" w:cs="Arial"/>
                <w:sz w:val="18"/>
                <w:szCs w:val="18"/>
              </w:rPr>
              <w:t>Pojasnite, kako so bile pregledno sporočene vse metodološke spremembe in tehnične posodobitve med izvajanjem NDC (odstavek 2(e) priloge II k sklepu 4/CMA.1)</w:t>
            </w:r>
          </w:p>
        </w:tc>
        <w:tc>
          <w:tcPr>
            <w:tcW w:w="4536" w:type="dxa"/>
            <w:tcBorders>
              <w:top w:val="single" w:sz="4" w:space="0" w:color="000000" w:themeColor="text1"/>
              <w:bottom w:val="single" w:sz="4" w:space="0" w:color="000000" w:themeColor="text1"/>
            </w:tcBorders>
          </w:tcPr>
          <w:p w14:paraId="67CB9914"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 xml:space="preserve">O metodoloških spremembah in tehničnih posodobitvah poročamo v poglavju z naslovom „ponovni izračuni in izboljšave“ nacionalnega popisnega dokumenta EU. </w:t>
            </w:r>
          </w:p>
          <w:p w14:paraId="08BC838A"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Emisije toplogrednih plinov iz mednarodnega letalstva in plovbe v okviru EU NDC so prvič navedene v tem BTR (glej Prilogo 2 k BTR).</w:t>
            </w:r>
          </w:p>
        </w:tc>
      </w:tr>
      <w:tr w:rsidR="00CC4C6D" w:rsidRPr="003E4B53" w14:paraId="6B63141E" w14:textId="77777777" w:rsidTr="006D46D8">
        <w:trPr>
          <w:trHeight w:val="997"/>
        </w:trPr>
        <w:tc>
          <w:tcPr>
            <w:tcW w:w="9528" w:type="dxa"/>
            <w:gridSpan w:val="3"/>
            <w:tcBorders>
              <w:top w:val="single" w:sz="4" w:space="0" w:color="000000" w:themeColor="text1"/>
              <w:bottom w:val="single" w:sz="4" w:space="0" w:color="000000" w:themeColor="text1"/>
            </w:tcBorders>
          </w:tcPr>
          <w:p w14:paraId="2EE03BCE" w14:textId="77777777" w:rsidR="00CC4C6D" w:rsidRPr="003E4B53" w:rsidRDefault="00CC4C6D" w:rsidP="0024256B">
            <w:pPr>
              <w:pStyle w:val="TableParagraph"/>
              <w:spacing w:before="36"/>
              <w:ind w:left="257" w:right="5061"/>
              <w:jc w:val="both"/>
              <w:rPr>
                <w:rFonts w:ascii="Arial" w:hAnsi="Arial" w:cs="Arial"/>
                <w:i/>
                <w:sz w:val="18"/>
                <w:szCs w:val="18"/>
                <w:lang w:val="sl-SI"/>
              </w:rPr>
            </w:pPr>
            <w:r w:rsidRPr="003E4B53">
              <w:rPr>
                <w:rFonts w:ascii="Arial" w:hAnsi="Arial" w:cs="Arial"/>
                <w:i/>
                <w:sz w:val="18"/>
                <w:szCs w:val="18"/>
              </w:rPr>
              <w:t>Prizadevanje za vključitev vseh kategorij antropogenih emisij ali odvzemov v NDC in, ko so vir, ponor ali dejavnost vključeni, njihovo nadaljnje vključevanje (odstavek 3 Priloge II k sklepu 4/CMA.1):</w:t>
            </w:r>
          </w:p>
        </w:tc>
      </w:tr>
      <w:tr w:rsidR="00CC4C6D" w:rsidRPr="003E4B53" w14:paraId="58E844ED" w14:textId="77777777" w:rsidTr="006D46D8">
        <w:trPr>
          <w:trHeight w:val="1000"/>
        </w:trPr>
        <w:tc>
          <w:tcPr>
            <w:tcW w:w="4992" w:type="dxa"/>
            <w:gridSpan w:val="2"/>
            <w:tcBorders>
              <w:top w:val="single" w:sz="4" w:space="0" w:color="000000" w:themeColor="text1"/>
              <w:bottom w:val="single" w:sz="4" w:space="0" w:color="000000" w:themeColor="text1"/>
            </w:tcBorders>
          </w:tcPr>
          <w:p w14:paraId="5307AB46" w14:textId="77777777" w:rsidR="00CC4C6D" w:rsidRPr="003E4B53" w:rsidRDefault="00CC4C6D" w:rsidP="0024256B">
            <w:pPr>
              <w:pStyle w:val="TableParagraph"/>
              <w:spacing w:before="39"/>
              <w:ind w:left="370" w:right="27"/>
              <w:jc w:val="both"/>
              <w:rPr>
                <w:rFonts w:ascii="Arial" w:hAnsi="Arial" w:cs="Arial"/>
                <w:sz w:val="18"/>
                <w:szCs w:val="18"/>
                <w:lang w:val="sl-SI"/>
              </w:rPr>
            </w:pPr>
            <w:r w:rsidRPr="003E4B53">
              <w:rPr>
                <w:rFonts w:ascii="Arial" w:hAnsi="Arial" w:cs="Arial"/>
                <w:sz w:val="18"/>
                <w:szCs w:val="18"/>
              </w:rPr>
              <w:t>Pojasnite, kako so bile upoštevane vse kategorije antropogenih emisij in odvzemov, ki ustrezajo njihovemu NDC (odstavek 3(a) priloge II k sklepu 4/CMA.1)</w:t>
            </w:r>
          </w:p>
        </w:tc>
        <w:tc>
          <w:tcPr>
            <w:tcW w:w="4536" w:type="dxa"/>
            <w:tcBorders>
              <w:top w:val="single" w:sz="4" w:space="0" w:color="000000" w:themeColor="text1"/>
              <w:bottom w:val="single" w:sz="4" w:space="0" w:color="000000" w:themeColor="text1"/>
            </w:tcBorders>
          </w:tcPr>
          <w:p w14:paraId="68427751"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Kazalnik, ki se uporablja za spremljanje napredka pri izvajanju in doseganju cilja NDC, vključuje vse kategorije antropogenih emisij in odvzemov, ki ustrezajo NDC.</w:t>
            </w:r>
          </w:p>
        </w:tc>
      </w:tr>
      <w:tr w:rsidR="00CC4C6D" w:rsidRPr="003E4B53" w14:paraId="0F3BC794" w14:textId="77777777" w:rsidTr="006D46D8">
        <w:trPr>
          <w:trHeight w:val="1221"/>
        </w:trPr>
        <w:tc>
          <w:tcPr>
            <w:tcW w:w="4992" w:type="dxa"/>
            <w:gridSpan w:val="2"/>
            <w:tcBorders>
              <w:top w:val="single" w:sz="4" w:space="0" w:color="000000" w:themeColor="text1"/>
              <w:bottom w:val="single" w:sz="4" w:space="0" w:color="000000" w:themeColor="text1"/>
            </w:tcBorders>
          </w:tcPr>
          <w:p w14:paraId="61A92484" w14:textId="77777777" w:rsidR="00CC4C6D" w:rsidRPr="003E4B53" w:rsidRDefault="00CC4C6D" w:rsidP="0024256B">
            <w:pPr>
              <w:pStyle w:val="TableParagraph"/>
              <w:spacing w:before="36"/>
              <w:ind w:left="370"/>
              <w:jc w:val="both"/>
              <w:rPr>
                <w:rFonts w:ascii="Arial" w:hAnsi="Arial" w:cs="Arial"/>
                <w:sz w:val="18"/>
                <w:szCs w:val="18"/>
                <w:lang w:val="sl-SI"/>
              </w:rPr>
            </w:pPr>
            <w:r w:rsidRPr="003E4B53">
              <w:rPr>
                <w:rFonts w:ascii="Arial" w:hAnsi="Arial" w:cs="Arial"/>
                <w:sz w:val="18"/>
                <w:szCs w:val="18"/>
              </w:rPr>
              <w:t>Pojasnite, kako si pogodbenica prizadeva vključiti vse kategorije antropogenih emisij in odvzemov v svoj NDC, in ko je vir, ponor ali dejavnost vključen, jih še naprej vključevati (odstavek 3(b) priloge II k sklepu 4/CMA.1)</w:t>
            </w:r>
          </w:p>
        </w:tc>
        <w:tc>
          <w:tcPr>
            <w:tcW w:w="4536" w:type="dxa"/>
            <w:tcBorders>
              <w:top w:val="single" w:sz="4" w:space="0" w:color="000000" w:themeColor="text1"/>
              <w:bottom w:val="single" w:sz="4" w:space="0" w:color="000000" w:themeColor="text1"/>
            </w:tcBorders>
          </w:tcPr>
          <w:p w14:paraId="30EAD5CA"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 xml:space="preserve">Področje uporabe NDC EU zajema vse kategorije emisij in odvzemov, navedenih v evidenci toplogrednih plinov, v skladu s smernicami IPCC.  Države članice poročajo o nekaterih posebnih kategorijah virov kot „neocenjenih“, kadar bi bile ocene nepomembne, kot je opredeljeno v odstavku 32 priloge k sklepu 18/CMA.1. Informacije o teh kategorijah so navedene v skupni poročevalski tabeli 9 predložitve evidence toplogrednih plinov zadevne države članice.  </w:t>
            </w:r>
          </w:p>
          <w:p w14:paraId="3C186732"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Poleg vključitve vseh sektorjev, navedenih v sklepu 18/CMA.1, je v obseg NDC vključen tudi delež emisij iz mednarodnega letalstva in navigacije.</w:t>
            </w:r>
          </w:p>
        </w:tc>
      </w:tr>
      <w:tr w:rsidR="00CC4C6D" w:rsidRPr="003E4B53" w14:paraId="61B2EEFD" w14:textId="77777777" w:rsidTr="006D46D8">
        <w:trPr>
          <w:trHeight w:val="779"/>
        </w:trPr>
        <w:tc>
          <w:tcPr>
            <w:tcW w:w="4992" w:type="dxa"/>
            <w:gridSpan w:val="2"/>
            <w:tcBorders>
              <w:top w:val="single" w:sz="4" w:space="0" w:color="000000" w:themeColor="text1"/>
              <w:bottom w:val="single" w:sz="4" w:space="0" w:color="000000" w:themeColor="text1"/>
            </w:tcBorders>
          </w:tcPr>
          <w:p w14:paraId="03642726" w14:textId="77777777" w:rsidR="00CC4C6D" w:rsidRPr="003E4B53" w:rsidRDefault="00CC4C6D" w:rsidP="0024256B">
            <w:pPr>
              <w:pStyle w:val="TableParagraph"/>
              <w:spacing w:before="36"/>
              <w:ind w:left="370" w:right="169"/>
              <w:jc w:val="both"/>
              <w:rPr>
                <w:rFonts w:ascii="Arial" w:hAnsi="Arial" w:cs="Arial"/>
                <w:sz w:val="18"/>
                <w:szCs w:val="18"/>
                <w:lang w:val="sl-SI"/>
              </w:rPr>
            </w:pPr>
            <w:r w:rsidRPr="003E4B53">
              <w:rPr>
                <w:rFonts w:ascii="Arial" w:hAnsi="Arial" w:cs="Arial"/>
                <w:sz w:val="18"/>
                <w:szCs w:val="18"/>
              </w:rPr>
              <w:t>Navedite razlago, zakaj so katere koli kategorije antropogenih emisij ali odvzemov izključene (odstavek 4 priloge II k sklepu 4/CMA.1)</w:t>
            </w:r>
          </w:p>
        </w:tc>
        <w:tc>
          <w:tcPr>
            <w:tcW w:w="4536" w:type="dxa"/>
            <w:tcBorders>
              <w:top w:val="single" w:sz="4" w:space="0" w:color="000000" w:themeColor="text1"/>
              <w:bottom w:val="single" w:sz="4" w:space="0" w:color="000000" w:themeColor="text1"/>
            </w:tcBorders>
          </w:tcPr>
          <w:p w14:paraId="343EA0FE"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Vse kategorije antropogenih emisij in odvzemov, ki jih vsebuje nacionalna skupna evidenca EU TGP, so vključene v NDC.</w:t>
            </w:r>
          </w:p>
        </w:tc>
      </w:tr>
      <w:tr w:rsidR="00CC4C6D" w:rsidRPr="003E4B53" w14:paraId="2690ACC4" w14:textId="77777777" w:rsidTr="006D46D8">
        <w:trPr>
          <w:trHeight w:val="1216"/>
        </w:trPr>
        <w:tc>
          <w:tcPr>
            <w:tcW w:w="4992" w:type="dxa"/>
            <w:gridSpan w:val="2"/>
            <w:tcBorders>
              <w:top w:val="single" w:sz="4" w:space="0" w:color="000000" w:themeColor="text1"/>
              <w:bottom w:val="single" w:sz="6" w:space="0" w:color="000000" w:themeColor="text1"/>
            </w:tcBorders>
          </w:tcPr>
          <w:p w14:paraId="28873B06" w14:textId="77777777" w:rsidR="00CC4C6D" w:rsidRPr="003E4B53" w:rsidRDefault="00CC4C6D" w:rsidP="0024256B">
            <w:pPr>
              <w:pStyle w:val="TableParagraph"/>
              <w:spacing w:before="36"/>
              <w:ind w:left="28" w:right="169"/>
              <w:jc w:val="both"/>
              <w:rPr>
                <w:rFonts w:ascii="Arial" w:hAnsi="Arial" w:cs="Arial"/>
                <w:i/>
                <w:sz w:val="18"/>
                <w:szCs w:val="18"/>
                <w:lang w:val="sl-SI"/>
              </w:rPr>
            </w:pPr>
            <w:bookmarkStart w:id="236" w:name="_Hlk178182409"/>
            <w:r w:rsidRPr="003E4B53">
              <w:rPr>
                <w:rFonts w:ascii="Arial" w:hAnsi="Arial" w:cs="Arial"/>
                <w:i/>
                <w:sz w:val="18"/>
                <w:szCs w:val="18"/>
              </w:rPr>
              <w:lastRenderedPageBreak/>
              <w:t>Vsaka pogodbenica, ki sodeluje v kooperativnih pristopih, ki vključujejo uporabo ITMO za NDC v skladu s 4. členom, ali dovoli uporabo rezultatov ublažitve za mednarodne namene ublažitve, ki niso doseganje njene NDC</w:t>
            </w:r>
          </w:p>
        </w:tc>
        <w:tc>
          <w:tcPr>
            <w:tcW w:w="4536" w:type="dxa"/>
            <w:tcBorders>
              <w:top w:val="single" w:sz="4" w:space="0" w:color="000000" w:themeColor="text1"/>
              <w:bottom w:val="single" w:sz="6" w:space="0" w:color="000000" w:themeColor="text1"/>
            </w:tcBorders>
          </w:tcPr>
          <w:p w14:paraId="66F02A39" w14:textId="77777777" w:rsidR="00CC4C6D" w:rsidRPr="003E4B53" w:rsidRDefault="00CC4C6D" w:rsidP="0024256B">
            <w:pPr>
              <w:pStyle w:val="TableParagraph"/>
              <w:spacing w:before="36"/>
              <w:ind w:left="287" w:right="169"/>
              <w:jc w:val="both"/>
              <w:rPr>
                <w:rFonts w:ascii="Arial" w:hAnsi="Arial" w:cs="Arial"/>
                <w:i/>
                <w:sz w:val="18"/>
                <w:szCs w:val="18"/>
                <w:lang w:val="sl-SI"/>
              </w:rPr>
            </w:pPr>
          </w:p>
        </w:tc>
      </w:tr>
      <w:tr w:rsidR="00CC4C6D" w:rsidRPr="003E4B53" w14:paraId="003FDD2B" w14:textId="77777777" w:rsidTr="006D46D8">
        <w:trPr>
          <w:trHeight w:val="998"/>
        </w:trPr>
        <w:tc>
          <w:tcPr>
            <w:tcW w:w="4992" w:type="dxa"/>
            <w:gridSpan w:val="2"/>
            <w:tcBorders>
              <w:top w:val="single" w:sz="6" w:space="0" w:color="000000" w:themeColor="text1"/>
              <w:bottom w:val="single" w:sz="4" w:space="0" w:color="000000" w:themeColor="text1"/>
            </w:tcBorders>
          </w:tcPr>
          <w:p w14:paraId="1740AFCD" w14:textId="77777777" w:rsidR="00CC4C6D" w:rsidRPr="003E4B53" w:rsidRDefault="00CC4C6D" w:rsidP="0024256B">
            <w:pPr>
              <w:pStyle w:val="TableParagraph"/>
              <w:spacing w:before="36"/>
              <w:ind w:left="257" w:right="169"/>
              <w:jc w:val="both"/>
              <w:rPr>
                <w:rFonts w:ascii="Arial" w:hAnsi="Arial" w:cs="Arial"/>
                <w:sz w:val="18"/>
                <w:szCs w:val="18"/>
                <w:lang w:val="sl-SI"/>
              </w:rPr>
            </w:pPr>
            <w:r w:rsidRPr="003E4B53">
              <w:rPr>
                <w:rFonts w:ascii="Arial" w:hAnsi="Arial" w:cs="Arial"/>
                <w:sz w:val="18"/>
                <w:szCs w:val="18"/>
              </w:rPr>
              <w:t>Zagotovite informacije o vseh metodologijah, povezanih s kakršnimi koli pristopi sodelovanja, ki vključujejo uporabo ITMO za NDC v skladu s 4. členom (odstavek 75(f) MPG)</w:t>
            </w:r>
          </w:p>
        </w:tc>
        <w:tc>
          <w:tcPr>
            <w:tcW w:w="4536" w:type="dxa"/>
            <w:tcBorders>
              <w:top w:val="single" w:sz="6" w:space="0" w:color="000000" w:themeColor="text1"/>
              <w:bottom w:val="single" w:sz="4" w:space="0" w:color="000000" w:themeColor="text1"/>
            </w:tcBorders>
          </w:tcPr>
          <w:p w14:paraId="27A501B9"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bookmarkStart w:id="237" w:name="_Hlk180134492"/>
            <w:r w:rsidRPr="003E4B53">
              <w:rPr>
                <w:rFonts w:ascii="Arial" w:hAnsi="Arial" w:cs="Arial"/>
                <w:b/>
                <w:sz w:val="18"/>
                <w:szCs w:val="18"/>
              </w:rPr>
              <w:t>EU bo obračunala in poročala o svojem sodelovanju z drugimi pogodbenicami na način, ki je skladen s smernicami, ki jih je sprejel CMA1, in morebitnimi nadaljnjimi smernicami, s katerimi se je strinjal CMA</w:t>
            </w:r>
            <w:bookmarkEnd w:id="237"/>
            <w:r w:rsidRPr="003E4B53">
              <w:rPr>
                <w:rFonts w:ascii="Arial" w:hAnsi="Arial" w:cs="Arial"/>
                <w:b/>
                <w:sz w:val="18"/>
                <w:szCs w:val="18"/>
              </w:rPr>
              <w:t>, kadar je to primerno.</w:t>
            </w:r>
          </w:p>
        </w:tc>
      </w:tr>
      <w:tr w:rsidR="00CC4C6D" w:rsidRPr="003E4B53" w14:paraId="75BB671F" w14:textId="77777777" w:rsidTr="006D46D8">
        <w:trPr>
          <w:trHeight w:val="1000"/>
        </w:trPr>
        <w:tc>
          <w:tcPr>
            <w:tcW w:w="4992" w:type="dxa"/>
            <w:gridSpan w:val="2"/>
            <w:tcBorders>
              <w:top w:val="single" w:sz="4" w:space="0" w:color="000000" w:themeColor="text1"/>
              <w:bottom w:val="single" w:sz="4" w:space="0" w:color="000000" w:themeColor="text1"/>
            </w:tcBorders>
          </w:tcPr>
          <w:p w14:paraId="2D146E9F" w14:textId="77777777" w:rsidR="00CC4C6D" w:rsidRPr="003E4B53" w:rsidRDefault="00CC4C6D" w:rsidP="0024256B">
            <w:pPr>
              <w:pStyle w:val="TableParagraph"/>
              <w:spacing w:before="36"/>
              <w:ind w:left="257" w:right="169"/>
              <w:jc w:val="both"/>
              <w:rPr>
                <w:rFonts w:ascii="Arial" w:hAnsi="Arial" w:cs="Arial"/>
                <w:sz w:val="18"/>
                <w:szCs w:val="18"/>
                <w:lang w:val="sl-SI"/>
              </w:rPr>
            </w:pPr>
            <w:r w:rsidRPr="003E4B53">
              <w:rPr>
                <w:rFonts w:ascii="Arial" w:hAnsi="Arial" w:cs="Arial"/>
                <w:sz w:val="18"/>
                <w:szCs w:val="18"/>
              </w:rPr>
              <w:t>Zagotovite informacije o tem, kako vsak pristop sodelovanja spodbuja trajnostni razvoj v skladu z odločitvami, ki jih je CMA sprejel glede 6. člena (odstavek 77(d)(iv) MPG)</w:t>
            </w:r>
          </w:p>
        </w:tc>
        <w:tc>
          <w:tcPr>
            <w:tcW w:w="4536" w:type="dxa"/>
            <w:tcBorders>
              <w:top w:val="single" w:sz="4" w:space="0" w:color="000000" w:themeColor="text1"/>
              <w:bottom w:val="single" w:sz="4" w:space="0" w:color="000000" w:themeColor="text1"/>
            </w:tcBorders>
          </w:tcPr>
          <w:p w14:paraId="03E4A5DB"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EU bo obračunala in poročala o svojem sodelovanju z drugimi pogodbenicami na način, ki je skladen s smernicami, ki jih je sprejel CMA1, in morebitnimi nadaljnjimi smernicami, s katerimi se je strinjal CMA , kadar je to primerno.</w:t>
            </w:r>
          </w:p>
        </w:tc>
      </w:tr>
      <w:tr w:rsidR="00CC4C6D" w:rsidRPr="003E4B53" w14:paraId="0FBC4A82" w14:textId="77777777" w:rsidTr="006D46D8">
        <w:trPr>
          <w:gridBefore w:val="1"/>
          <w:wBefore w:w="21" w:type="dxa"/>
          <w:trHeight w:val="978"/>
        </w:trPr>
        <w:tc>
          <w:tcPr>
            <w:tcW w:w="4971" w:type="dxa"/>
            <w:tcBorders>
              <w:top w:val="single" w:sz="12" w:space="0" w:color="000000" w:themeColor="text1"/>
              <w:bottom w:val="single" w:sz="4" w:space="0" w:color="000000" w:themeColor="text1"/>
            </w:tcBorders>
          </w:tcPr>
          <w:p w14:paraId="317002AE" w14:textId="77777777" w:rsidR="00CC4C6D" w:rsidRPr="003E4B53" w:rsidRDefault="00CC4C6D" w:rsidP="0024256B">
            <w:pPr>
              <w:pStyle w:val="TableParagraph"/>
              <w:spacing w:before="19"/>
              <w:ind w:left="236" w:right="142"/>
              <w:jc w:val="both"/>
              <w:rPr>
                <w:rFonts w:ascii="Arial" w:hAnsi="Arial" w:cs="Arial"/>
                <w:sz w:val="18"/>
                <w:szCs w:val="18"/>
                <w:lang w:val="sl-SI"/>
              </w:rPr>
            </w:pPr>
            <w:r w:rsidRPr="003E4B53">
              <w:rPr>
                <w:rFonts w:ascii="Arial" w:hAnsi="Arial" w:cs="Arial"/>
                <w:sz w:val="18"/>
                <w:szCs w:val="18"/>
              </w:rPr>
              <w:t>Zagotovite informacije o tem, kako vsak pristop sodelovanja zagotavlja okoljsko celovitost v skladu z odločitvami, ki jih je CMA sprejel glede 6. člena (odst.</w:t>
            </w:r>
          </w:p>
          <w:p w14:paraId="31238EC6" w14:textId="77777777" w:rsidR="00CC4C6D" w:rsidRPr="003E4B53" w:rsidRDefault="00CC4C6D" w:rsidP="0024256B">
            <w:pPr>
              <w:pStyle w:val="TableParagraph"/>
              <w:spacing w:before="19"/>
              <w:ind w:left="236" w:right="142"/>
              <w:jc w:val="both"/>
              <w:rPr>
                <w:rFonts w:ascii="Arial" w:hAnsi="Arial" w:cs="Arial"/>
                <w:sz w:val="18"/>
                <w:szCs w:val="18"/>
                <w:lang w:val="sl-SI"/>
              </w:rPr>
            </w:pPr>
            <w:r w:rsidRPr="003E4B53">
              <w:rPr>
                <w:rFonts w:ascii="Arial" w:hAnsi="Arial" w:cs="Arial"/>
                <w:sz w:val="18"/>
                <w:szCs w:val="18"/>
              </w:rPr>
              <w:t>77(d)(iv) MPG)</w:t>
            </w:r>
          </w:p>
        </w:tc>
        <w:tc>
          <w:tcPr>
            <w:tcW w:w="4536" w:type="dxa"/>
            <w:tcBorders>
              <w:top w:val="single" w:sz="12" w:space="0" w:color="000000" w:themeColor="text1"/>
              <w:bottom w:val="single" w:sz="4" w:space="0" w:color="000000" w:themeColor="text1"/>
            </w:tcBorders>
          </w:tcPr>
          <w:p w14:paraId="3C29194C"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EU bo obračunala in poročala o svojem sodelovanju z drugimi pogodbenicami na način, ki je skladen s smernicami, ki jih je sprejel CMA1, in morebitnimi nadaljnjimi smernicami, s katerimi se je strinjal CMA , kadar je to primerno.</w:t>
            </w:r>
          </w:p>
        </w:tc>
      </w:tr>
      <w:tr w:rsidR="00CC4C6D" w:rsidRPr="003E4B53" w14:paraId="40747A5A" w14:textId="77777777" w:rsidTr="006D46D8">
        <w:trPr>
          <w:gridBefore w:val="1"/>
          <w:wBefore w:w="21" w:type="dxa"/>
          <w:trHeight w:val="1000"/>
        </w:trPr>
        <w:tc>
          <w:tcPr>
            <w:tcW w:w="4971" w:type="dxa"/>
            <w:tcBorders>
              <w:top w:val="single" w:sz="4" w:space="0" w:color="000000" w:themeColor="text1"/>
              <w:bottom w:val="single" w:sz="4" w:space="0" w:color="000000" w:themeColor="text1"/>
            </w:tcBorders>
          </w:tcPr>
          <w:p w14:paraId="45832528" w14:textId="77777777" w:rsidR="00CC4C6D" w:rsidRPr="003E4B53" w:rsidRDefault="00CC4C6D" w:rsidP="0024256B">
            <w:pPr>
              <w:pStyle w:val="TableParagraph"/>
              <w:spacing w:before="39"/>
              <w:ind w:left="236" w:right="142"/>
              <w:jc w:val="both"/>
              <w:rPr>
                <w:rFonts w:ascii="Arial" w:hAnsi="Arial" w:cs="Arial"/>
                <w:sz w:val="18"/>
                <w:szCs w:val="18"/>
                <w:lang w:val="sl-SI"/>
              </w:rPr>
            </w:pPr>
            <w:r w:rsidRPr="003E4B53">
              <w:rPr>
                <w:rFonts w:ascii="Arial" w:hAnsi="Arial" w:cs="Arial"/>
                <w:sz w:val="18"/>
                <w:szCs w:val="18"/>
              </w:rPr>
              <w:t>Zagotovite informacije o tem, kako vsak pristop sodelovanja zagotavlja preglednost, vključno z upravljanjem, v skladu z odločitvami, ki jih je sprejel CMA glede 6. člena (odstavek 77(d)(iv) MPG)</w:t>
            </w:r>
          </w:p>
        </w:tc>
        <w:tc>
          <w:tcPr>
            <w:tcW w:w="4536" w:type="dxa"/>
            <w:tcBorders>
              <w:top w:val="single" w:sz="4" w:space="0" w:color="000000" w:themeColor="text1"/>
              <w:bottom w:val="single" w:sz="4" w:space="0" w:color="000000" w:themeColor="text1"/>
            </w:tcBorders>
          </w:tcPr>
          <w:p w14:paraId="533557C1"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 xml:space="preserve">EU bo obračunala in poročala o svojem sodelovanju z drugimi pogodbenicami na način, ki je skladen s smernicami, ki jih je sprejel CMA1, in morebitnimi nadaljnjimi smernicami, s katerimi se je strinjal CMA , kadar je to primerno. </w:t>
            </w:r>
          </w:p>
        </w:tc>
      </w:tr>
      <w:tr w:rsidR="00CC4C6D" w:rsidRPr="003E4B53" w14:paraId="3B5BF51B" w14:textId="77777777" w:rsidTr="006D46D8">
        <w:trPr>
          <w:gridBefore w:val="1"/>
          <w:wBefore w:w="21" w:type="dxa"/>
          <w:trHeight w:val="1221"/>
        </w:trPr>
        <w:tc>
          <w:tcPr>
            <w:tcW w:w="4971" w:type="dxa"/>
            <w:tcBorders>
              <w:top w:val="single" w:sz="4" w:space="0" w:color="000000" w:themeColor="text1"/>
              <w:bottom w:val="single" w:sz="4" w:space="0" w:color="000000" w:themeColor="text1"/>
            </w:tcBorders>
          </w:tcPr>
          <w:p w14:paraId="4F86B678" w14:textId="77777777" w:rsidR="00CC4C6D" w:rsidRPr="003E4B53" w:rsidRDefault="00CC4C6D" w:rsidP="0024256B">
            <w:pPr>
              <w:pStyle w:val="TableParagraph"/>
              <w:spacing w:before="36"/>
              <w:ind w:left="236"/>
              <w:jc w:val="both"/>
              <w:rPr>
                <w:rFonts w:ascii="Arial" w:hAnsi="Arial" w:cs="Arial"/>
                <w:sz w:val="18"/>
                <w:szCs w:val="18"/>
                <w:lang w:val="sl-SI"/>
              </w:rPr>
            </w:pPr>
            <w:r w:rsidRPr="003E4B53">
              <w:rPr>
                <w:rFonts w:ascii="Arial" w:hAnsi="Arial" w:cs="Arial"/>
                <w:sz w:val="18"/>
                <w:szCs w:val="18"/>
              </w:rPr>
              <w:t>Zagotovite informacije o tem, kako vsak pristop sodelovanja uporablja zanesljivo računovodstvo, da se med drugim zagotovi izogibanje dvojnemu štetju, skladno z odločitvami, ki jih je sprejel CMA glede 6. člena (odstavek 77(d)(iv) MPG)</w:t>
            </w:r>
          </w:p>
        </w:tc>
        <w:tc>
          <w:tcPr>
            <w:tcW w:w="4536" w:type="dxa"/>
            <w:tcBorders>
              <w:top w:val="single" w:sz="4" w:space="0" w:color="000000" w:themeColor="text1"/>
              <w:bottom w:val="single" w:sz="4" w:space="0" w:color="000000" w:themeColor="text1"/>
            </w:tcBorders>
          </w:tcPr>
          <w:p w14:paraId="7E130962"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EU bo obračunala in poročala o svojem sodelovanju z drugimi pogodbenicami na način, ki je skladen s smernicami, ki jih je sprejel CMA1, in vsemi nadaljnjimi smernicami, s katerimi se je strinjal CMA, kadar je primerno, kadar je primerno.</w:t>
            </w:r>
          </w:p>
        </w:tc>
      </w:tr>
      <w:tr w:rsidR="00CC4C6D" w:rsidRPr="003E4B53" w14:paraId="3F7B9E53" w14:textId="77777777" w:rsidTr="006D46D8">
        <w:trPr>
          <w:gridBefore w:val="1"/>
          <w:wBefore w:w="21" w:type="dxa"/>
          <w:trHeight w:val="779"/>
        </w:trPr>
        <w:tc>
          <w:tcPr>
            <w:tcW w:w="4971" w:type="dxa"/>
            <w:tcBorders>
              <w:top w:val="single" w:sz="4" w:space="0" w:color="000000" w:themeColor="text1"/>
              <w:bottom w:val="single" w:sz="12" w:space="0" w:color="000000" w:themeColor="text1"/>
            </w:tcBorders>
          </w:tcPr>
          <w:p w14:paraId="51D6D411" w14:textId="77777777" w:rsidR="00CC4C6D" w:rsidRPr="003E4B53" w:rsidRDefault="00CC4C6D" w:rsidP="0024256B">
            <w:pPr>
              <w:pStyle w:val="TableParagraph"/>
              <w:spacing w:before="36"/>
              <w:ind w:left="236" w:right="142"/>
              <w:jc w:val="both"/>
              <w:rPr>
                <w:rFonts w:ascii="Arial" w:hAnsi="Arial" w:cs="Arial"/>
                <w:sz w:val="18"/>
                <w:szCs w:val="18"/>
                <w:lang w:val="sl-SI"/>
              </w:rPr>
            </w:pPr>
            <w:r w:rsidRPr="003E4B53">
              <w:rPr>
                <w:rFonts w:ascii="Arial" w:hAnsi="Arial" w:cs="Arial"/>
                <w:sz w:val="18"/>
                <w:szCs w:val="18"/>
              </w:rPr>
              <w:t>Vse druge informacije v skladu z odločitvami, ki jih je sprejel CMA o poročanju v skladu s 6. členom (odstavek 77(d)(iii) MPG)</w:t>
            </w:r>
          </w:p>
        </w:tc>
        <w:tc>
          <w:tcPr>
            <w:tcW w:w="4536" w:type="dxa"/>
            <w:tcBorders>
              <w:top w:val="single" w:sz="4" w:space="0" w:color="000000" w:themeColor="text1"/>
              <w:bottom w:val="single" w:sz="12" w:space="0" w:color="000000" w:themeColor="text1"/>
            </w:tcBorders>
          </w:tcPr>
          <w:p w14:paraId="3992600D" w14:textId="77777777" w:rsidR="00CC4C6D" w:rsidRPr="003E4B53" w:rsidRDefault="00CC4C6D" w:rsidP="0024256B">
            <w:pPr>
              <w:pStyle w:val="TableParagraph"/>
              <w:spacing w:before="36"/>
              <w:ind w:left="370" w:right="169"/>
              <w:jc w:val="both"/>
              <w:rPr>
                <w:rFonts w:ascii="Arial" w:hAnsi="Arial" w:cs="Arial"/>
                <w:b/>
                <w:iCs/>
                <w:sz w:val="18"/>
                <w:szCs w:val="18"/>
                <w:lang w:val="sl-SI"/>
              </w:rPr>
            </w:pPr>
            <w:r w:rsidRPr="003E4B53">
              <w:rPr>
                <w:rFonts w:ascii="Arial" w:hAnsi="Arial" w:cs="Arial"/>
                <w:b/>
                <w:sz w:val="18"/>
                <w:szCs w:val="18"/>
              </w:rPr>
              <w:t>EU bo obračunala in poročala o svojem sodelovanju z drugimi pogodbenicami na način, ki je skladen s smernicami, ki jih je sprejel CMA1, in morebitnimi nadaljnjimi smernicami, s katerimi se je strinjal CMA , kadar je to primerno.</w:t>
            </w:r>
          </w:p>
        </w:tc>
      </w:tr>
    </w:tbl>
    <w:bookmarkEnd w:id="236"/>
    <w:p w14:paraId="0475BA8F" w14:textId="77777777" w:rsidR="00CC4C6D" w:rsidRPr="003E4B53" w:rsidRDefault="00CC4C6D" w:rsidP="0024256B">
      <w:pPr>
        <w:pStyle w:val="BodyText"/>
        <w:spacing w:line="240" w:lineRule="auto"/>
        <w:ind w:left="127"/>
        <w:rPr>
          <w:rFonts w:ascii="Arial" w:hAnsi="Arial" w:cs="Arial"/>
          <w:sz w:val="18"/>
          <w:szCs w:val="18"/>
        </w:rPr>
      </w:pPr>
      <w:r w:rsidRPr="003E4B53">
        <w:rPr>
          <w:rFonts w:ascii="Arial" w:hAnsi="Arial" w:cs="Arial"/>
          <w:noProof/>
          <w:sz w:val="18"/>
          <w:szCs w:val="18"/>
        </w:rPr>
        <mc:AlternateContent>
          <mc:Choice Requires="wpg">
            <w:drawing>
              <wp:inline distT="0" distB="0" distL="0" distR="0" wp14:anchorId="5E0A255A" wp14:editId="4647D2EC">
                <wp:extent cx="1829435" cy="6350"/>
                <wp:effectExtent l="10160" t="7620" r="8255" b="5080"/>
                <wp:docPr id="2041951400"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6350"/>
                          <a:chOff x="0" y="0"/>
                          <a:chExt cx="2881" cy="10"/>
                        </a:xfrm>
                      </wpg:grpSpPr>
                      <wps:wsp>
                        <wps:cNvPr id="137970511" name="Line 9"/>
                        <wps:cNvCnPr>
                          <a:cxnSpLocks noChangeShapeType="1"/>
                        </wps:cNvCnPr>
                        <wps:spPr bwMode="auto">
                          <a:xfrm>
                            <a:off x="0" y="5"/>
                            <a:ext cx="2881"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76494FB" id="Group 7" o:spid="_x0000_s1026" style="width:144.05pt;height:.5pt;mso-position-horizontal-relative:char;mso-position-vertical-relative:line" coordsize="2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">
                <v:line id="Line 9" o:spid="_x0000_s1027" style="position:absolute;visibility:visible;mso-wrap-style:square" from="0,5" to="28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" strokeweight=".48pt"/>
                <w10:anchorlock/>
              </v:group>
            </w:pict>
          </mc:Fallback>
        </mc:AlternateContent>
      </w:r>
    </w:p>
    <w:p w14:paraId="3382C2B6" w14:textId="77777777" w:rsidR="00CC4C6D" w:rsidRPr="003E4B53" w:rsidRDefault="00CC4C6D" w:rsidP="0024256B">
      <w:pPr>
        <w:spacing w:before="76" w:line="240" w:lineRule="auto"/>
        <w:ind w:left="132" w:right="411" w:firstLine="141"/>
        <w:jc w:val="both"/>
        <w:rPr>
          <w:rFonts w:ascii="Arial" w:hAnsi="Arial" w:cs="Arial"/>
          <w:sz w:val="18"/>
          <w:szCs w:val="18"/>
        </w:rPr>
      </w:pPr>
      <w:r w:rsidRPr="003E4B53">
        <w:rPr>
          <w:rFonts w:ascii="Arial" w:hAnsi="Arial" w:cs="Arial"/>
          <w:i/>
          <w:sz w:val="18"/>
          <w:szCs w:val="18"/>
        </w:rPr>
        <w:t>Opombe</w:t>
      </w:r>
      <w:r w:rsidRPr="003E4B53">
        <w:rPr>
          <w:rFonts w:ascii="Arial" w:hAnsi="Arial" w:cs="Arial"/>
          <w:sz w:val="18"/>
          <w:szCs w:val="18"/>
        </w:rPr>
        <w:t>: (1) Na podlagi odstavka 79 MPG vsaka pogodbenica poroča informacije iz odstavkov 65–78 MPG v pripovedni in običajni obliki tabele, kot je primerno. (2) Pogodbenica lahko spremeni obliko poročanja (npr. datoteko Excel), da odstrani določene vrstice v tej tabeli, če informacije, ki jih je treba zagotoviti v teh vrsticah, ne veljajo za NDC pogodbenice v skladu s 4. členom Pariškega sporazuma v skladu z MPG.</w:t>
      </w:r>
    </w:p>
    <w:p w14:paraId="3A7493E3" w14:textId="77777777" w:rsidR="00CC4C6D" w:rsidRPr="003E4B53" w:rsidRDefault="00CC4C6D" w:rsidP="0024256B">
      <w:pPr>
        <w:spacing w:line="240" w:lineRule="auto"/>
        <w:ind w:left="132" w:right="411" w:firstLine="141"/>
        <w:jc w:val="both"/>
        <w:rPr>
          <w:rFonts w:ascii="Arial" w:hAnsi="Arial" w:cs="Arial"/>
          <w:sz w:val="18"/>
          <w:szCs w:val="18"/>
        </w:rPr>
      </w:pPr>
      <w:r w:rsidRPr="003E4B53">
        <w:rPr>
          <w:rFonts w:ascii="Arial" w:hAnsi="Arial" w:cs="Arial"/>
          <w:i/>
          <w:sz w:val="18"/>
          <w:szCs w:val="18"/>
        </w:rPr>
        <w:t xml:space="preserve">a </w:t>
      </w:r>
      <w:r w:rsidRPr="003E4B53">
        <w:rPr>
          <w:rFonts w:ascii="Arial" w:hAnsi="Arial" w:cs="Arial"/>
          <w:sz w:val="18"/>
          <w:szCs w:val="18"/>
        </w:rPr>
        <w:t>Za prvi NDC v skladu s 4. členom vsaka pogodbenica jasno navede in poroča o svojem računovodskem pristopu, vključno s tem, kako je skladen z odstavki 4. člena 13–14 Pariškega sporazuma (odstavek 71 MPG).</w:t>
      </w:r>
    </w:p>
    <w:p w14:paraId="255A4827" w14:textId="77777777" w:rsidR="00CC4C6D" w:rsidRPr="003E4B53" w:rsidRDefault="00CC4C6D" w:rsidP="0024256B">
      <w:pPr>
        <w:spacing w:line="240" w:lineRule="auto"/>
        <w:ind w:left="132" w:right="363" w:firstLine="141"/>
        <w:jc w:val="both"/>
        <w:rPr>
          <w:rFonts w:ascii="Arial" w:hAnsi="Arial" w:cs="Arial"/>
          <w:sz w:val="18"/>
          <w:szCs w:val="18"/>
        </w:rPr>
      </w:pPr>
      <w:r w:rsidRPr="003E4B53">
        <w:rPr>
          <w:rFonts w:ascii="Arial" w:hAnsi="Arial" w:cs="Arial"/>
          <w:i/>
          <w:sz w:val="18"/>
          <w:szCs w:val="18"/>
        </w:rPr>
        <w:t xml:space="preserve">b </w:t>
      </w:r>
      <w:r w:rsidRPr="003E4B53">
        <w:rPr>
          <w:rFonts w:ascii="Arial" w:hAnsi="Arial" w:cs="Arial"/>
          <w:sz w:val="18"/>
          <w:szCs w:val="18"/>
        </w:rPr>
        <w:t>Za drugi in naslednji NDC v skladu s 4. členom vsaka pogodbenica zagotovi informacije iz poglavij III.B in C MPG v skladu s sklepom 4/CMA.1. Vsaka pogodbenica jasno navede, kako je njeno poročanje skladno s sklepom 4/CMA.1 (odstavek 72 MPG). Vsaka pogodbenica se lahko odloči zagotoviti informacije o računovodstvu svojega prvega NDC v skladu s sklepom 4/CMA.1 (odstavek 71 MPG).</w:t>
      </w:r>
    </w:p>
    <w:p w14:paraId="0887B136" w14:textId="77777777" w:rsidR="00CC4C6D" w:rsidRPr="003E4B53" w:rsidRDefault="00CC4C6D" w:rsidP="0024256B">
      <w:pPr>
        <w:spacing w:line="240" w:lineRule="auto"/>
        <w:jc w:val="both"/>
        <w:rPr>
          <w:rFonts w:ascii="Arial" w:hAnsi="Arial" w:cs="Arial"/>
          <w:b/>
          <w:bCs/>
          <w:sz w:val="18"/>
          <w:szCs w:val="18"/>
        </w:rPr>
      </w:pPr>
    </w:p>
    <w:p w14:paraId="58A607D5" w14:textId="77777777" w:rsidR="00CC4C6D" w:rsidRPr="007944FA" w:rsidRDefault="00CC4C6D" w:rsidP="0024256B">
      <w:pPr>
        <w:widowControl w:val="0"/>
        <w:tabs>
          <w:tab w:val="left" w:pos="315"/>
        </w:tabs>
        <w:autoSpaceDE w:val="0"/>
        <w:autoSpaceDN w:val="0"/>
        <w:spacing w:before="1" w:after="0" w:line="240" w:lineRule="auto"/>
        <w:jc w:val="both"/>
        <w:rPr>
          <w:rFonts w:ascii="Arial" w:hAnsi="Arial" w:cs="Arial"/>
          <w:b/>
        </w:rPr>
        <w:sectPr w:rsidR="00CC4C6D" w:rsidRPr="007944FA" w:rsidSect="00620899">
          <w:headerReference w:type="even" r:id="rId79"/>
          <w:headerReference w:type="default" r:id="rId80"/>
          <w:footerReference w:type="even" r:id="rId81"/>
          <w:footerReference w:type="default" r:id="rId82"/>
          <w:headerReference w:type="first" r:id="rId83"/>
          <w:footerReference w:type="first" r:id="rId84"/>
          <w:pgSz w:w="11906" w:h="16838"/>
          <w:pgMar w:top="1417" w:right="1417" w:bottom="1417" w:left="1417" w:header="709" w:footer="709" w:gutter="0"/>
          <w:cols w:space="708"/>
          <w:titlePg/>
          <w:docGrid w:linePitch="360"/>
        </w:sectPr>
      </w:pPr>
    </w:p>
    <w:p w14:paraId="74875E74" w14:textId="416103B3" w:rsidR="00CC4C6D" w:rsidRPr="007944FA" w:rsidRDefault="00CC4C6D" w:rsidP="0024256B">
      <w:pPr>
        <w:widowControl w:val="0"/>
        <w:tabs>
          <w:tab w:val="left" w:pos="315"/>
        </w:tabs>
        <w:autoSpaceDE w:val="0"/>
        <w:autoSpaceDN w:val="0"/>
        <w:spacing w:before="1" w:after="0" w:line="240" w:lineRule="auto"/>
        <w:rPr>
          <w:rFonts w:ascii="Arial" w:hAnsi="Arial" w:cs="Arial"/>
          <w:b/>
        </w:rPr>
      </w:pPr>
      <w:r w:rsidRPr="007944FA">
        <w:rPr>
          <w:rFonts w:ascii="Arial" w:hAnsi="Arial" w:cs="Arial"/>
          <w:b/>
        </w:rPr>
        <w:lastRenderedPageBreak/>
        <w:t>4 Strukturiran povzetek: Sledenje napredku pri izvajanju in doseganju NDC v skladu s 4. členom Pariškega sporazuma</w:t>
      </w:r>
    </w:p>
    <w:p w14:paraId="083F6D73" w14:textId="77777777" w:rsidR="00CC4C6D" w:rsidRPr="007944FA" w:rsidRDefault="00CC4C6D" w:rsidP="0024256B">
      <w:pPr>
        <w:spacing w:line="240" w:lineRule="auto"/>
        <w:jc w:val="both"/>
        <w:rPr>
          <w:rFonts w:ascii="Arial" w:hAnsi="Arial" w:cs="Arial"/>
          <w:b/>
          <w:bCs/>
        </w:rPr>
      </w:pPr>
    </w:p>
    <w:tbl>
      <w:tblPr>
        <w:tblStyle w:val="TableGrid"/>
        <w:tblW w:w="14170" w:type="dxa"/>
        <w:tblLayout w:type="fixed"/>
        <w:tblLook w:val="04A0" w:firstRow="1" w:lastRow="0" w:firstColumn="1" w:lastColumn="0" w:noHBand="0" w:noVBand="1"/>
      </w:tblPr>
      <w:tblGrid>
        <w:gridCol w:w="4957"/>
        <w:gridCol w:w="992"/>
        <w:gridCol w:w="1276"/>
        <w:gridCol w:w="1275"/>
        <w:gridCol w:w="1276"/>
        <w:gridCol w:w="1134"/>
        <w:gridCol w:w="567"/>
        <w:gridCol w:w="2693"/>
      </w:tblGrid>
      <w:tr w:rsidR="00CC4C6D" w:rsidRPr="0093506F" w14:paraId="5BCC7EC8" w14:textId="77777777" w:rsidTr="006D4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57" w:type="dxa"/>
            <w:vMerge w:val="restart"/>
            <w:shd w:val="clear" w:color="auto" w:fill="auto"/>
          </w:tcPr>
          <w:p w14:paraId="04567813" w14:textId="77777777" w:rsidR="00CC4C6D" w:rsidRPr="007944FA" w:rsidRDefault="00CC4C6D" w:rsidP="0024256B">
            <w:pPr>
              <w:keepNext w:val="0"/>
              <w:jc w:val="both"/>
              <w:rPr>
                <w:rFonts w:ascii="Arial" w:hAnsi="Arial" w:cs="Arial"/>
                <w:b w:val="0"/>
                <w:bCs/>
                <w:color w:val="auto"/>
                <w:szCs w:val="18"/>
              </w:rPr>
            </w:pPr>
          </w:p>
        </w:tc>
        <w:tc>
          <w:tcPr>
            <w:tcW w:w="992" w:type="dxa"/>
            <w:vMerge w:val="restart"/>
            <w:shd w:val="clear" w:color="auto" w:fill="auto"/>
          </w:tcPr>
          <w:p w14:paraId="04491339"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Enota, kot je primerno</w:t>
            </w:r>
          </w:p>
        </w:tc>
        <w:tc>
          <w:tcPr>
            <w:tcW w:w="1276" w:type="dxa"/>
            <w:vMerge w:val="restart"/>
            <w:shd w:val="clear" w:color="auto" w:fill="auto"/>
          </w:tcPr>
          <w:p w14:paraId="02732C88"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Referenčna(-e) točka(-e), raven(-i), izhodišče(-a), izhodiščno(-a) leto(-a) ali izhodiščna(-e) točka(-e), kot je primerno (odstavka 67 in 77(a)(i) MPG)</w:t>
            </w:r>
          </w:p>
        </w:tc>
        <w:tc>
          <w:tcPr>
            <w:tcW w:w="2551" w:type="dxa"/>
            <w:gridSpan w:val="2"/>
            <w:shd w:val="clear" w:color="auto" w:fill="auto"/>
          </w:tcPr>
          <w:p w14:paraId="17800113"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Obdobje izvajanja NDC, ki zajema informacije za prejšnja leta poročanja, kot je primerno, in zadnje leto, vključno s končnim letom ali koncem obdobja (odstavka  68 in 77(a)(ii–iii) MPG)</w:t>
            </w:r>
          </w:p>
        </w:tc>
        <w:tc>
          <w:tcPr>
            <w:tcW w:w="1134" w:type="dxa"/>
            <w:vMerge w:val="restart"/>
            <w:shd w:val="clear" w:color="auto" w:fill="auto"/>
          </w:tcPr>
          <w:p w14:paraId="24B5FB11"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Ciljna raven</w:t>
            </w:r>
            <w:r w:rsidRPr="007944FA">
              <w:rPr>
                <w:rFonts w:ascii="Arial" w:hAnsi="Arial" w:cs="Arial"/>
                <w:szCs w:val="18"/>
                <w:vertAlign w:val="superscript"/>
              </w:rPr>
              <w:t>b</w:t>
            </w:r>
          </w:p>
        </w:tc>
        <w:tc>
          <w:tcPr>
            <w:tcW w:w="567" w:type="dxa"/>
            <w:vMerge w:val="restart"/>
            <w:shd w:val="clear" w:color="auto" w:fill="auto"/>
          </w:tcPr>
          <w:p w14:paraId="746D7864"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Ciljno leto ali obdobje</w:t>
            </w:r>
          </w:p>
        </w:tc>
        <w:tc>
          <w:tcPr>
            <w:tcW w:w="2693" w:type="dxa"/>
            <w:vMerge w:val="restart"/>
            <w:shd w:val="clear" w:color="auto" w:fill="auto"/>
          </w:tcPr>
          <w:p w14:paraId="26B07D88" w14:textId="77777777" w:rsidR="00CC4C6D" w:rsidRPr="007944FA" w:rsidRDefault="00CC4C6D" w:rsidP="0024256B">
            <w:pPr>
              <w:keepNext w:val="0"/>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color w:val="auto"/>
                <w:szCs w:val="18"/>
              </w:rPr>
            </w:pPr>
            <w:r w:rsidRPr="007944FA">
              <w:rPr>
                <w:rFonts w:ascii="Arial" w:hAnsi="Arial" w:cs="Arial"/>
                <w:szCs w:val="18"/>
              </w:rPr>
              <w:t>Napredek v smeri NDC, ugotovljen s primerjavo najnovejših informacij za vsak izbrani kazalnik, vključno za končno leto ali konec obdobja, z referenčnimi točkami, ravnmi, izhodiščnimi, izhodiščnimi leti ali začetnimi točkami (odstavka 69–70 MPG)</w:t>
            </w:r>
          </w:p>
        </w:tc>
      </w:tr>
      <w:tr w:rsidR="00CC4C6D" w:rsidRPr="0093506F" w14:paraId="3E3991BC" w14:textId="77777777" w:rsidTr="006D46D8">
        <w:tc>
          <w:tcPr>
            <w:cnfStyle w:val="001000000000" w:firstRow="0" w:lastRow="0" w:firstColumn="1" w:lastColumn="0" w:oddVBand="0" w:evenVBand="0" w:oddHBand="0" w:evenHBand="0" w:firstRowFirstColumn="0" w:firstRowLastColumn="0" w:lastRowFirstColumn="0" w:lastRowLastColumn="0"/>
            <w:tcW w:w="4957" w:type="dxa"/>
            <w:vMerge/>
          </w:tcPr>
          <w:p w14:paraId="4F289739" w14:textId="77777777" w:rsidR="00CC4C6D" w:rsidRPr="007944FA" w:rsidRDefault="00CC4C6D" w:rsidP="0024256B">
            <w:pPr>
              <w:keepNext w:val="0"/>
              <w:jc w:val="both"/>
              <w:rPr>
                <w:rFonts w:ascii="Arial" w:hAnsi="Arial" w:cs="Arial"/>
                <w:b/>
                <w:bCs/>
                <w:szCs w:val="18"/>
              </w:rPr>
            </w:pPr>
          </w:p>
        </w:tc>
        <w:tc>
          <w:tcPr>
            <w:tcW w:w="992" w:type="dxa"/>
            <w:vMerge/>
          </w:tcPr>
          <w:p w14:paraId="633E340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6" w:type="dxa"/>
            <w:vMerge/>
          </w:tcPr>
          <w:p w14:paraId="645E0372"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shd w:val="clear" w:color="auto" w:fill="auto"/>
          </w:tcPr>
          <w:p w14:paraId="05B71AA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2021</w:t>
            </w:r>
          </w:p>
        </w:tc>
        <w:tc>
          <w:tcPr>
            <w:tcW w:w="1276" w:type="dxa"/>
            <w:shd w:val="clear" w:color="auto" w:fill="auto"/>
          </w:tcPr>
          <w:p w14:paraId="5C859A1B"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2022</w:t>
            </w:r>
          </w:p>
        </w:tc>
        <w:tc>
          <w:tcPr>
            <w:tcW w:w="1134" w:type="dxa"/>
            <w:vMerge/>
          </w:tcPr>
          <w:p w14:paraId="0C75F52C"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vMerge/>
          </w:tcPr>
          <w:p w14:paraId="244B5A0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vMerge/>
          </w:tcPr>
          <w:p w14:paraId="79C9652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7B2AC4D" w14:textId="77777777" w:rsidTr="006D46D8">
        <w:tc>
          <w:tcPr>
            <w:cnfStyle w:val="001000000000" w:firstRow="0" w:lastRow="0" w:firstColumn="1" w:lastColumn="0" w:oddVBand="0" w:evenVBand="0" w:oddHBand="0" w:evenHBand="0" w:firstRowFirstColumn="0" w:firstRowLastColumn="0" w:lastRowFirstColumn="0" w:lastRowLastColumn="0"/>
            <w:tcW w:w="4957" w:type="dxa"/>
          </w:tcPr>
          <w:p w14:paraId="41989EC1" w14:textId="77777777" w:rsidR="00CC4C6D" w:rsidRPr="007944FA" w:rsidRDefault="00CC4C6D" w:rsidP="0024256B">
            <w:pPr>
              <w:keepNext w:val="0"/>
              <w:jc w:val="both"/>
              <w:rPr>
                <w:rFonts w:ascii="Arial" w:hAnsi="Arial" w:cs="Arial"/>
                <w:b/>
                <w:bCs/>
                <w:szCs w:val="18"/>
              </w:rPr>
            </w:pPr>
            <w:r w:rsidRPr="007944FA">
              <w:rPr>
                <w:rFonts w:ascii="Arial" w:hAnsi="Arial" w:cs="Arial"/>
                <w:szCs w:val="18"/>
              </w:rPr>
              <w:t>Kazalnik(-i), izbrani za sledenje napredku NDC ali dela NDC v skladu s 4. členom Pariškega sporazuma (odstavka  65 in 77(a) MPG):</w:t>
            </w:r>
          </w:p>
        </w:tc>
        <w:tc>
          <w:tcPr>
            <w:tcW w:w="992" w:type="dxa"/>
          </w:tcPr>
          <w:p w14:paraId="170F3A9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6" w:type="dxa"/>
          </w:tcPr>
          <w:p w14:paraId="3E468818"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32DFDC2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6" w:type="dxa"/>
          </w:tcPr>
          <w:p w14:paraId="510CCEE8"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134" w:type="dxa"/>
          </w:tcPr>
          <w:p w14:paraId="736A69DA"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tcPr>
          <w:p w14:paraId="546BCCA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tcPr>
          <w:p w14:paraId="4696F14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4DC05E37" w14:textId="77777777" w:rsidTr="006D46D8">
        <w:tc>
          <w:tcPr>
            <w:cnfStyle w:val="001000000000" w:firstRow="0" w:lastRow="0" w:firstColumn="1" w:lastColumn="0" w:oddVBand="0" w:evenVBand="0" w:oddHBand="0" w:evenHBand="0" w:firstRowFirstColumn="0" w:firstRowLastColumn="0" w:lastRowFirstColumn="0" w:lastRowLastColumn="0"/>
            <w:tcW w:w="4957" w:type="dxa"/>
          </w:tcPr>
          <w:p w14:paraId="0C88BD59" w14:textId="77777777" w:rsidR="00CC4C6D" w:rsidRPr="007944FA" w:rsidRDefault="00CC4C6D" w:rsidP="0024256B">
            <w:pPr>
              <w:keepNext w:val="0"/>
              <w:jc w:val="both"/>
              <w:rPr>
                <w:rFonts w:ascii="Arial" w:hAnsi="Arial" w:cs="Arial"/>
                <w:b/>
                <w:bCs/>
                <w:szCs w:val="18"/>
              </w:rPr>
            </w:pPr>
            <w:r w:rsidRPr="007944FA">
              <w:rPr>
                <w:rFonts w:ascii="Arial" w:hAnsi="Arial" w:cs="Arial"/>
                <w:b/>
                <w:szCs w:val="18"/>
              </w:rPr>
              <w:t>Skupne letne emisije in odvzemi toplogrednih plinov v skladu z obsegom NDC</w:t>
            </w:r>
          </w:p>
        </w:tc>
        <w:tc>
          <w:tcPr>
            <w:tcW w:w="992" w:type="dxa"/>
          </w:tcPr>
          <w:p w14:paraId="74D4BBB9" w14:textId="16FB5470" w:rsidR="00CC4C6D" w:rsidRPr="007944FA" w:rsidRDefault="00BE271B"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r w:rsidR="00CC4C6D" w:rsidRPr="007944FA">
              <w:rPr>
                <w:rStyle w:val="FootnoteReference"/>
                <w:rFonts w:ascii="Arial" w:hAnsi="Arial" w:cs="Arial"/>
                <w:b/>
                <w:bCs/>
                <w:szCs w:val="18"/>
              </w:rPr>
              <w:footnoteReference w:id="127"/>
            </w:r>
          </w:p>
        </w:tc>
        <w:tc>
          <w:tcPr>
            <w:tcW w:w="1276" w:type="dxa"/>
          </w:tcPr>
          <w:p w14:paraId="2032917C"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4.699.405</w:t>
            </w:r>
          </w:p>
        </w:tc>
        <w:tc>
          <w:tcPr>
            <w:tcW w:w="1275" w:type="dxa"/>
          </w:tcPr>
          <w:p w14:paraId="4F03FD77"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3.272.650</w:t>
            </w:r>
          </w:p>
        </w:tc>
        <w:tc>
          <w:tcPr>
            <w:tcW w:w="1276" w:type="dxa"/>
          </w:tcPr>
          <w:p w14:paraId="671F99A4"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3.205.223</w:t>
            </w:r>
          </w:p>
        </w:tc>
        <w:tc>
          <w:tcPr>
            <w:tcW w:w="1134" w:type="dxa"/>
          </w:tcPr>
          <w:p w14:paraId="4256197F"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(vsaj 55 % pod ravnjo izhodiščnega leta)</w:t>
            </w:r>
          </w:p>
        </w:tc>
        <w:tc>
          <w:tcPr>
            <w:tcW w:w="567" w:type="dxa"/>
          </w:tcPr>
          <w:p w14:paraId="7C1CECB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2030</w:t>
            </w:r>
          </w:p>
        </w:tc>
        <w:tc>
          <w:tcPr>
            <w:tcW w:w="2693" w:type="dxa"/>
          </w:tcPr>
          <w:p w14:paraId="7CB1D83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944FA">
              <w:rPr>
                <w:rFonts w:ascii="Arial" w:hAnsi="Arial" w:cs="Arial"/>
                <w:b/>
                <w:szCs w:val="18"/>
              </w:rPr>
              <w:t xml:space="preserve">Najnovejša raven kazalnika je </w:t>
            </w:r>
            <w:r w:rsidRPr="007944FA">
              <w:rPr>
                <w:rFonts w:ascii="Arial" w:hAnsi="Arial" w:cs="Arial"/>
                <w:szCs w:val="18"/>
              </w:rPr>
              <w:t xml:space="preserve">31,8 </w:t>
            </w:r>
            <w:r w:rsidRPr="007944FA">
              <w:rPr>
                <w:rFonts w:ascii="Arial" w:hAnsi="Arial" w:cs="Arial"/>
                <w:b/>
                <w:szCs w:val="18"/>
              </w:rPr>
              <w:t>% pod ravnjo izhodiščnega leta.</w:t>
            </w:r>
          </w:p>
        </w:tc>
      </w:tr>
      <w:tr w:rsidR="00CC4C6D" w:rsidRPr="0093506F" w14:paraId="2609614B"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67EB52A6" w14:textId="77777777" w:rsidR="00CC4C6D" w:rsidRPr="007944FA" w:rsidRDefault="00CC4C6D" w:rsidP="0024256B">
            <w:pPr>
              <w:keepNext w:val="0"/>
              <w:jc w:val="both"/>
              <w:rPr>
                <w:rFonts w:ascii="Arial" w:hAnsi="Arial" w:cs="Arial"/>
                <w:b/>
                <w:bCs/>
                <w:szCs w:val="18"/>
              </w:rPr>
            </w:pPr>
            <w:r w:rsidRPr="007944FA">
              <w:rPr>
                <w:rFonts w:ascii="Arial" w:hAnsi="Arial" w:cs="Arial"/>
                <w:szCs w:val="18"/>
              </w:rPr>
              <w:t>Kjer je ustrezno, skupne emisije in odvzemi toplogrednih plinov v skladu z zajetjem NDC (odstavek 77(b) MPG)</w:t>
            </w:r>
          </w:p>
        </w:tc>
        <w:tc>
          <w:tcPr>
            <w:tcW w:w="992" w:type="dxa"/>
          </w:tcPr>
          <w:p w14:paraId="49CE8F02" w14:textId="42E3190A" w:rsidR="00CC4C6D" w:rsidRPr="007944FA" w:rsidRDefault="00BE271B"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14511E5D"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4.699.405</w:t>
            </w:r>
          </w:p>
        </w:tc>
        <w:tc>
          <w:tcPr>
            <w:tcW w:w="1275" w:type="dxa"/>
          </w:tcPr>
          <w:p w14:paraId="0706991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3.272.650</w:t>
            </w:r>
          </w:p>
        </w:tc>
        <w:tc>
          <w:tcPr>
            <w:tcW w:w="1276" w:type="dxa"/>
          </w:tcPr>
          <w:p w14:paraId="232B25BA"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3.205.223</w:t>
            </w:r>
          </w:p>
        </w:tc>
        <w:tc>
          <w:tcPr>
            <w:tcW w:w="1134" w:type="dxa"/>
            <w:shd w:val="clear" w:color="auto" w:fill="D9D9D9" w:themeFill="background1" w:themeFillShade="D9"/>
          </w:tcPr>
          <w:p w14:paraId="49531069"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12A95CB2"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0655D642"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D284242"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50E64061" w14:textId="77777777" w:rsidR="00CC4C6D" w:rsidRPr="007944FA" w:rsidRDefault="00CC4C6D" w:rsidP="0024256B">
            <w:pPr>
              <w:keepNext w:val="0"/>
              <w:jc w:val="both"/>
              <w:rPr>
                <w:rFonts w:ascii="Arial" w:hAnsi="Arial" w:cs="Arial"/>
                <w:b/>
                <w:bCs/>
                <w:szCs w:val="18"/>
              </w:rPr>
            </w:pPr>
            <w:r w:rsidRPr="007944FA">
              <w:rPr>
                <w:rFonts w:ascii="Arial" w:hAnsi="Arial" w:cs="Arial"/>
                <w:szCs w:val="18"/>
              </w:rPr>
              <w:t>Prispevek sektorja LULUCF za vsako leto ciljnega obdobja ali ciljnega leta, če ni vključen v časovno vrsto popisa skupnih neto emisij toplogrednih plinov in odvzemov, kot je ustrezno (odstavek 77(c) MPG)</w:t>
            </w:r>
          </w:p>
        </w:tc>
        <w:tc>
          <w:tcPr>
            <w:tcW w:w="992" w:type="dxa"/>
          </w:tcPr>
          <w:p w14:paraId="2C40A3AE"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46D406E7"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4F19AAB4"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26B68C9D"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p w14:paraId="443D38FA"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134" w:type="dxa"/>
            <w:shd w:val="clear" w:color="auto" w:fill="D9D9D9" w:themeFill="background1" w:themeFillShade="D9"/>
          </w:tcPr>
          <w:p w14:paraId="7BBFB5C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4AD367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040E218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7031034C"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7C82A322" w14:textId="77777777" w:rsidR="00CC4C6D" w:rsidRPr="007944FA" w:rsidRDefault="00CC4C6D" w:rsidP="0024256B">
            <w:pPr>
              <w:keepNext w:val="0"/>
              <w:jc w:val="both"/>
              <w:rPr>
                <w:rFonts w:ascii="Arial" w:hAnsi="Arial" w:cs="Arial"/>
                <w:szCs w:val="18"/>
              </w:rPr>
            </w:pPr>
            <w:r w:rsidRPr="007944FA">
              <w:rPr>
                <w:rFonts w:ascii="Arial" w:hAnsi="Arial" w:cs="Arial"/>
                <w:szCs w:val="18"/>
              </w:rPr>
              <w:t>Vsaka pogodbenica, ki sodeluje pri pristopih sodelovanja, ki vključujejo uporabo ITMO za NDC v skladu s 4. členom Pariškega sporazuma, ali dovoli uporabo rezultatov ublažitve za namene mednarodnega blaženja, ki niso doseganje NDC, zagotovi (odstavek 77(d) MPG):</w:t>
            </w:r>
          </w:p>
        </w:tc>
        <w:tc>
          <w:tcPr>
            <w:tcW w:w="9213" w:type="dxa"/>
            <w:gridSpan w:val="7"/>
          </w:tcPr>
          <w:p w14:paraId="3AB9424B"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486FBB92"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23586276" w14:textId="77777777" w:rsidR="00CC4C6D" w:rsidRPr="007944FA" w:rsidRDefault="00CC4C6D" w:rsidP="0024256B">
            <w:pPr>
              <w:keepNext w:val="0"/>
              <w:jc w:val="both"/>
              <w:rPr>
                <w:rFonts w:ascii="Arial" w:hAnsi="Arial" w:cs="Arial"/>
                <w:szCs w:val="18"/>
              </w:rPr>
            </w:pPr>
            <w:r w:rsidRPr="007944FA">
              <w:rPr>
                <w:rFonts w:ascii="Arial" w:hAnsi="Arial" w:cs="Arial"/>
                <w:szCs w:val="18"/>
              </w:rPr>
              <w:t>Če je primerno, okvirna večletna trajektorija emisij, trajektorije ali proračun za njegovo obdobje izvajanja NDC (odstavek 7(a)(i), priloga k sklepu 2/CMA.3)</w:t>
            </w:r>
          </w:p>
        </w:tc>
        <w:tc>
          <w:tcPr>
            <w:tcW w:w="992" w:type="dxa"/>
          </w:tcPr>
          <w:p w14:paraId="10C6196B" w14:textId="5E849B11" w:rsidR="00CC4C6D" w:rsidRPr="007944FA" w:rsidRDefault="0018317A"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1AC9DB77"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4CF5238B"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944FA">
              <w:rPr>
                <w:rFonts w:ascii="Arial" w:hAnsi="Arial" w:cs="Arial"/>
                <w:b/>
                <w:szCs w:val="18"/>
              </w:rPr>
              <w:t>Poročati v naslednjem BTR</w:t>
            </w:r>
          </w:p>
        </w:tc>
        <w:tc>
          <w:tcPr>
            <w:tcW w:w="1276" w:type="dxa"/>
          </w:tcPr>
          <w:p w14:paraId="736177FD"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p w14:paraId="7D4525B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134" w:type="dxa"/>
            <w:shd w:val="clear" w:color="auto" w:fill="D9D9D9" w:themeFill="background1" w:themeFillShade="D9"/>
          </w:tcPr>
          <w:p w14:paraId="60C49A3F"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715E48B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4918688D"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31DA738A"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017B9B6C" w14:textId="77777777" w:rsidR="00CC4C6D" w:rsidRPr="007944FA" w:rsidRDefault="00CC4C6D" w:rsidP="0024256B">
            <w:pPr>
              <w:keepNext w:val="0"/>
              <w:jc w:val="both"/>
              <w:rPr>
                <w:rFonts w:ascii="Arial" w:hAnsi="Arial" w:cs="Arial"/>
                <w:szCs w:val="18"/>
              </w:rPr>
            </w:pPr>
            <w:r w:rsidRPr="007944FA">
              <w:rPr>
                <w:rFonts w:ascii="Arial" w:hAnsi="Arial" w:cs="Arial"/>
                <w:szCs w:val="18"/>
              </w:rPr>
              <w:lastRenderedPageBreak/>
              <w:t>Če je primerno, večletna trajektorija emisij, trajektorije ali proračun za njegovo obdobje izvajanja NDC, ki je skladen z NDC (odstavek  7(b), priloga k sklepu 2/CMA.3)</w:t>
            </w:r>
          </w:p>
        </w:tc>
        <w:tc>
          <w:tcPr>
            <w:tcW w:w="992" w:type="dxa"/>
          </w:tcPr>
          <w:p w14:paraId="7E06275E"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4D2136A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0E39E967"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5EBBD44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134" w:type="dxa"/>
            <w:shd w:val="clear" w:color="auto" w:fill="D9D9D9" w:themeFill="background1" w:themeFillShade="D9"/>
          </w:tcPr>
          <w:p w14:paraId="66CAB88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A15D0A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01F1BC89"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7587EB1"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248F4F93" w14:textId="77777777" w:rsidR="00CC4C6D" w:rsidRPr="007944FA" w:rsidRDefault="00CC4C6D" w:rsidP="0024256B">
            <w:pPr>
              <w:keepNext w:val="0"/>
              <w:jc w:val="both"/>
              <w:rPr>
                <w:rFonts w:ascii="Arial" w:hAnsi="Arial" w:cs="Arial"/>
                <w:szCs w:val="18"/>
              </w:rPr>
            </w:pPr>
            <w:r w:rsidRPr="007944FA">
              <w:rPr>
                <w:rFonts w:ascii="Arial" w:hAnsi="Arial" w:cs="Arial"/>
                <w:szCs w:val="18"/>
              </w:rPr>
              <w:t>Letne antropogene emisije iz virov in odvzemi po ponorih, ki jih zajema NDC ali, kjer je to primerno, iz kategorij emisij ali ponorov, kot jih je opredelila pogodbenica gostiteljica v skladu z odstavkom 10 priloge k sklepu 2/CMA.3 (odstavek 23(a), priloga k sklepu 2/CMA.3) (kot del odstavka 77(d)(i) MPG)</w:t>
            </w:r>
          </w:p>
        </w:tc>
        <w:tc>
          <w:tcPr>
            <w:tcW w:w="992" w:type="dxa"/>
          </w:tcPr>
          <w:p w14:paraId="28EC8E19" w14:textId="203DCC9F" w:rsidR="00CC4C6D" w:rsidRPr="007944FA" w:rsidRDefault="0018317A"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16142ACE"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1EBACC8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3.272.650</w:t>
            </w:r>
          </w:p>
        </w:tc>
        <w:tc>
          <w:tcPr>
            <w:tcW w:w="1276" w:type="dxa"/>
          </w:tcPr>
          <w:p w14:paraId="7F44E02E"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3.205.223</w:t>
            </w:r>
          </w:p>
        </w:tc>
        <w:tc>
          <w:tcPr>
            <w:tcW w:w="1134" w:type="dxa"/>
            <w:shd w:val="clear" w:color="auto" w:fill="D9D9D9" w:themeFill="background1" w:themeFillShade="D9"/>
          </w:tcPr>
          <w:p w14:paraId="10594B1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4CA14C2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62F3358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005CC86A"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09010433" w14:textId="77777777" w:rsidR="00CC4C6D" w:rsidRPr="007944FA" w:rsidRDefault="00CC4C6D" w:rsidP="0024256B">
            <w:pPr>
              <w:jc w:val="both"/>
              <w:rPr>
                <w:rFonts w:ascii="Arial" w:hAnsi="Arial" w:cs="Arial"/>
                <w:szCs w:val="18"/>
              </w:rPr>
            </w:pPr>
            <w:r w:rsidRPr="007944FA">
              <w:rPr>
                <w:rFonts w:ascii="Arial" w:hAnsi="Arial" w:cs="Arial"/>
                <w:szCs w:val="18"/>
              </w:rPr>
              <w:t>Letne antropogene emisije iz virov in odvzemi po ponorih, ki jih zajema NDC ali, kjer je primerno, iz dela NDC v skladu z odstavkom 10, priloga k sklepu 2/CMA.3 (odstavek 23(b), priloga k sklepu 2/CMA.3)</w:t>
            </w:r>
          </w:p>
        </w:tc>
        <w:tc>
          <w:tcPr>
            <w:tcW w:w="992" w:type="dxa"/>
          </w:tcPr>
          <w:p w14:paraId="070ADF57" w14:textId="078BEC94" w:rsidR="00CC4C6D" w:rsidRPr="007944FA" w:rsidRDefault="0018317A"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4726B2AB"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32A12E74"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3.272.650</w:t>
            </w:r>
          </w:p>
        </w:tc>
        <w:tc>
          <w:tcPr>
            <w:tcW w:w="1276" w:type="dxa"/>
          </w:tcPr>
          <w:p w14:paraId="6C7FD3E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3.205.223</w:t>
            </w:r>
          </w:p>
        </w:tc>
        <w:tc>
          <w:tcPr>
            <w:tcW w:w="1134" w:type="dxa"/>
            <w:shd w:val="clear" w:color="auto" w:fill="D9D9D9" w:themeFill="background1" w:themeFillShade="D9"/>
          </w:tcPr>
          <w:p w14:paraId="7EF24FB6"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30E8FBD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75134C2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67F5B1D1"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02813AFE" w14:textId="77777777" w:rsidR="00CC4C6D" w:rsidRPr="007944FA" w:rsidRDefault="00CC4C6D" w:rsidP="0024256B">
            <w:pPr>
              <w:jc w:val="both"/>
              <w:rPr>
                <w:rFonts w:ascii="Arial" w:hAnsi="Arial" w:cs="Arial"/>
                <w:szCs w:val="18"/>
              </w:rPr>
            </w:pPr>
            <w:r w:rsidRPr="007944FA">
              <w:rPr>
                <w:rFonts w:ascii="Arial" w:hAnsi="Arial" w:cs="Arial"/>
                <w:szCs w:val="18"/>
              </w:rPr>
              <w:t>Če je primerno, letna raven ustreznega kazalnika, ki ni povezan s toplogrednimi plini, ki ga pogodbenica uporablja za sledenje napredku pri izvajanju in doseganju svojega NDC in je bil izbran v skladu z odstavkom 65, priloga k sklepu 18/CMA.1 (odstavek  23(i), priloga, sklep 2/CMA.3)</w:t>
            </w:r>
          </w:p>
        </w:tc>
        <w:tc>
          <w:tcPr>
            <w:tcW w:w="992" w:type="dxa"/>
          </w:tcPr>
          <w:p w14:paraId="32C0C365"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2814C67C"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400F3D9B"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23BB282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134" w:type="dxa"/>
            <w:shd w:val="clear" w:color="auto" w:fill="D9D9D9" w:themeFill="background1" w:themeFillShade="D9"/>
          </w:tcPr>
          <w:p w14:paraId="5DFF60C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29310751"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58F27169"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6995D76C"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57B3959C" w14:textId="77777777" w:rsidR="00CC4C6D" w:rsidRPr="007944FA" w:rsidRDefault="00CC4C6D" w:rsidP="0024256B">
            <w:pPr>
              <w:jc w:val="both"/>
              <w:rPr>
                <w:rFonts w:ascii="Arial" w:hAnsi="Arial" w:cs="Arial"/>
                <w:szCs w:val="18"/>
              </w:rPr>
            </w:pPr>
            <w:r w:rsidRPr="007944FA">
              <w:rPr>
                <w:rFonts w:ascii="Arial" w:hAnsi="Arial" w:cs="Arial"/>
                <w:szCs w:val="18"/>
              </w:rPr>
              <w:t>Letna količina prvič prenesenih ITMO (odstavek 23(c), priloga k sklepu 2/CMA.3) (odstavek 77(d)(ii) MPGs)</w:t>
            </w:r>
          </w:p>
        </w:tc>
        <w:tc>
          <w:tcPr>
            <w:tcW w:w="992" w:type="dxa"/>
          </w:tcPr>
          <w:p w14:paraId="1F7F7716" w14:textId="1DFF948D" w:rsidR="00CC4C6D" w:rsidRPr="007944FA" w:rsidRDefault="0018317A"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780852AB"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7258557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tc>
        <w:tc>
          <w:tcPr>
            <w:tcW w:w="1276" w:type="dxa"/>
          </w:tcPr>
          <w:p w14:paraId="41D4A7D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tc>
        <w:tc>
          <w:tcPr>
            <w:tcW w:w="1134" w:type="dxa"/>
            <w:shd w:val="clear" w:color="auto" w:fill="D9D9D9" w:themeFill="background1" w:themeFillShade="D9"/>
          </w:tcPr>
          <w:p w14:paraId="1638316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4CB589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08135AF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388D31E1"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347649B0" w14:textId="77777777" w:rsidR="00CC4C6D" w:rsidRPr="007944FA" w:rsidRDefault="00CC4C6D" w:rsidP="0024256B">
            <w:pPr>
              <w:jc w:val="both"/>
              <w:rPr>
                <w:rFonts w:ascii="Arial" w:hAnsi="Arial" w:cs="Arial"/>
                <w:szCs w:val="18"/>
              </w:rPr>
            </w:pPr>
            <w:r w:rsidRPr="007944FA">
              <w:rPr>
                <w:rFonts w:ascii="Arial" w:hAnsi="Arial" w:cs="Arial"/>
                <w:szCs w:val="18"/>
              </w:rPr>
              <w:t>Letna količina rezultatov ublažitve, odobrenih za uporabo za druge mednarodne namene ublažitve, in subjekti, pooblaščeni za uporabo takih rezultatov ublažitve, kot je primerno (odstavek  23(d), priloga k sklepu 2/CMA.3) (odstavek 77(d)(ii) MPGs)</w:t>
            </w:r>
          </w:p>
        </w:tc>
        <w:tc>
          <w:tcPr>
            <w:tcW w:w="992" w:type="dxa"/>
          </w:tcPr>
          <w:p w14:paraId="38F5BDA7"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46798BE8"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3FF90DC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5091BA7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134" w:type="dxa"/>
            <w:shd w:val="clear" w:color="auto" w:fill="D9D9D9" w:themeFill="background1" w:themeFillShade="D9"/>
          </w:tcPr>
          <w:p w14:paraId="01AA81A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53BCBA4"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6200175D"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357463F6"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1BBF4CE6" w14:textId="77777777" w:rsidR="00CC4C6D" w:rsidRPr="007944FA" w:rsidRDefault="00CC4C6D" w:rsidP="0024256B">
            <w:pPr>
              <w:jc w:val="both"/>
              <w:rPr>
                <w:rFonts w:ascii="Arial" w:hAnsi="Arial" w:cs="Arial"/>
                <w:szCs w:val="18"/>
              </w:rPr>
            </w:pPr>
            <w:r w:rsidRPr="007944FA">
              <w:rPr>
                <w:rFonts w:ascii="Arial" w:hAnsi="Arial" w:cs="Arial"/>
                <w:szCs w:val="18"/>
              </w:rPr>
              <w:t>Letna količina ITMO, ki se uporablja za doseganje NDC (odstavek 23(e), priloga k sklepu 2/CMA.3) (odstavek 77(d)(ii) MPGs)</w:t>
            </w:r>
          </w:p>
        </w:tc>
        <w:tc>
          <w:tcPr>
            <w:tcW w:w="992" w:type="dxa"/>
          </w:tcPr>
          <w:p w14:paraId="14F5C3F6" w14:textId="70F2B432" w:rsidR="00CC4C6D" w:rsidRPr="007944FA" w:rsidRDefault="0018317A"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336B74E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vAlign w:val="top"/>
          </w:tcPr>
          <w:p w14:paraId="3C6FC4A3"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p w14:paraId="26D7867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6" w:type="dxa"/>
            <w:vAlign w:val="top"/>
          </w:tcPr>
          <w:p w14:paraId="354D861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p w14:paraId="7A1E603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134" w:type="dxa"/>
            <w:shd w:val="clear" w:color="auto" w:fill="D9D9D9" w:themeFill="background1" w:themeFillShade="D9"/>
          </w:tcPr>
          <w:p w14:paraId="7A5F31B1"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31024737"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3F72E2D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999FA30"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4D2BADC2" w14:textId="77777777" w:rsidR="00CC4C6D" w:rsidRPr="007944FA" w:rsidRDefault="00CC4C6D" w:rsidP="0024256B">
            <w:pPr>
              <w:jc w:val="both"/>
              <w:rPr>
                <w:rFonts w:ascii="Arial" w:hAnsi="Arial" w:cs="Arial"/>
                <w:szCs w:val="18"/>
              </w:rPr>
            </w:pPr>
            <w:r w:rsidRPr="007944FA">
              <w:rPr>
                <w:rFonts w:ascii="Arial" w:hAnsi="Arial" w:cs="Arial"/>
                <w:szCs w:val="18"/>
              </w:rPr>
              <w:t>Neto letna količina ITMO, ki izhaja iz odstavkov 23(c)-(e), priloga k sklepu 2/CMA.3 (odstavek  23(f), priloga k sklepu 2/CMA.3)</w:t>
            </w:r>
          </w:p>
        </w:tc>
        <w:tc>
          <w:tcPr>
            <w:tcW w:w="992" w:type="dxa"/>
          </w:tcPr>
          <w:p w14:paraId="1FB5B9B4" w14:textId="29F7CD3D" w:rsidR="00CC4C6D" w:rsidRPr="007944FA" w:rsidRDefault="0018317A"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19A1FA25"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vAlign w:val="top"/>
          </w:tcPr>
          <w:p w14:paraId="7606296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p w14:paraId="656FCEC0"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6" w:type="dxa"/>
            <w:vAlign w:val="top"/>
          </w:tcPr>
          <w:p w14:paraId="0D5B96B6"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Poročati v naslednjem BTR</w:t>
            </w:r>
          </w:p>
          <w:p w14:paraId="0DB17A5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134" w:type="dxa"/>
            <w:shd w:val="clear" w:color="auto" w:fill="D9D9D9" w:themeFill="background1" w:themeFillShade="D9"/>
          </w:tcPr>
          <w:p w14:paraId="6CB02F1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3E0BF92C"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6C62E938"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BBB2C2C"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131FCC32" w14:textId="77777777" w:rsidR="00CC4C6D" w:rsidRPr="007944FA" w:rsidRDefault="00CC4C6D" w:rsidP="0024256B">
            <w:pPr>
              <w:keepNext w:val="0"/>
              <w:jc w:val="both"/>
              <w:rPr>
                <w:rFonts w:ascii="Arial" w:hAnsi="Arial" w:cs="Arial"/>
                <w:szCs w:val="18"/>
              </w:rPr>
            </w:pPr>
            <w:r w:rsidRPr="007944FA">
              <w:rPr>
                <w:rFonts w:ascii="Arial" w:hAnsi="Arial" w:cs="Arial"/>
                <w:szCs w:val="18"/>
              </w:rPr>
              <w:t>Če je primerno, kumulativno število ITMO, deljeno s številom pretečenih let v obdobju izvajanja NDC (odstavek 7(a)(ii), priloga k sklepu 2/CMA.3)</w:t>
            </w:r>
          </w:p>
        </w:tc>
        <w:tc>
          <w:tcPr>
            <w:tcW w:w="992" w:type="dxa"/>
          </w:tcPr>
          <w:p w14:paraId="45E95BF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2479658D"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1275" w:type="dxa"/>
          </w:tcPr>
          <w:p w14:paraId="603997C1"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276" w:type="dxa"/>
          </w:tcPr>
          <w:p w14:paraId="1C7FB689"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r w:rsidRPr="007944FA">
              <w:rPr>
                <w:rFonts w:ascii="Arial" w:hAnsi="Arial" w:cs="Arial"/>
                <w:b/>
                <w:szCs w:val="18"/>
              </w:rPr>
              <w:t>NA</w:t>
            </w:r>
          </w:p>
        </w:tc>
        <w:tc>
          <w:tcPr>
            <w:tcW w:w="1134" w:type="dxa"/>
            <w:shd w:val="clear" w:color="auto" w:fill="D9D9D9" w:themeFill="background1" w:themeFillShade="D9"/>
          </w:tcPr>
          <w:p w14:paraId="6A8A5D1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592130F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69603AC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F4A740B"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469A6BF3" w14:textId="77777777" w:rsidR="00CC4C6D" w:rsidRPr="007944FA" w:rsidRDefault="00CC4C6D" w:rsidP="0024256B">
            <w:pPr>
              <w:keepNext w:val="0"/>
              <w:jc w:val="both"/>
              <w:rPr>
                <w:rFonts w:ascii="Arial" w:hAnsi="Arial" w:cs="Arial"/>
                <w:szCs w:val="18"/>
              </w:rPr>
            </w:pPr>
            <w:r w:rsidRPr="007944FA">
              <w:rPr>
                <w:rFonts w:ascii="Arial" w:hAnsi="Arial" w:cs="Arial"/>
                <w:szCs w:val="18"/>
              </w:rPr>
              <w:lastRenderedPageBreak/>
              <w:t>Skupne kvantitativne ustrezne prilagoditve, uporabljene za izračun bilance emisij iz odstavka 23(k)(i), priloga k sklepu 2/CMA.3, v skladu z metodo pogodbenice za uporabo ustreznih prilagoditev v skladu z razdelkom III.B, priloga k sklepu 2/CMA.3 (Uporaba ustreznih prilagoditev) (odstavek 23(g), priloga k sklepu 2/CMA.3)</w:t>
            </w:r>
          </w:p>
        </w:tc>
        <w:tc>
          <w:tcPr>
            <w:tcW w:w="992" w:type="dxa"/>
          </w:tcPr>
          <w:p w14:paraId="2D2C2C8F" w14:textId="2289665E" w:rsidR="00CC4C6D" w:rsidRPr="007944FA" w:rsidRDefault="0018317A"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12B63747"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5" w:type="dxa"/>
          </w:tcPr>
          <w:p w14:paraId="737363A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2CC2D4BC"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6" w:type="dxa"/>
          </w:tcPr>
          <w:p w14:paraId="49680CD5"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37C12DBB"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134" w:type="dxa"/>
            <w:shd w:val="clear" w:color="auto" w:fill="D9D9D9" w:themeFill="background1" w:themeFillShade="D9"/>
          </w:tcPr>
          <w:p w14:paraId="09043D6C"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2B50D9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76D6F38E"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5799461"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5652924D" w14:textId="77777777" w:rsidR="00CC4C6D" w:rsidRPr="007944FA" w:rsidRDefault="00CC4C6D" w:rsidP="0024256B">
            <w:pPr>
              <w:keepNext w:val="0"/>
              <w:jc w:val="both"/>
              <w:rPr>
                <w:rFonts w:ascii="Arial" w:hAnsi="Arial" w:cs="Arial"/>
                <w:szCs w:val="18"/>
              </w:rPr>
            </w:pPr>
            <w:r w:rsidRPr="007944FA">
              <w:rPr>
                <w:rFonts w:ascii="Arial" w:hAnsi="Arial" w:cs="Arial"/>
                <w:szCs w:val="18"/>
              </w:rPr>
              <w:t>Kumulativni podatek glede na letni podatek iz odstavka 23(f), priloga k sklepu 2/CMA.3, kot je primerno (odstavek  23(h), priloga k sklepu 2/CMA.3)</w:t>
            </w:r>
          </w:p>
        </w:tc>
        <w:tc>
          <w:tcPr>
            <w:tcW w:w="992" w:type="dxa"/>
          </w:tcPr>
          <w:p w14:paraId="38C378AD" w14:textId="0C28E963" w:rsidR="00CC4C6D" w:rsidRPr="007944FA" w:rsidRDefault="0018317A"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3DF9637C"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5" w:type="dxa"/>
          </w:tcPr>
          <w:p w14:paraId="236A4F5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40724E1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6" w:type="dxa"/>
          </w:tcPr>
          <w:p w14:paraId="7C29A203"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6439440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134" w:type="dxa"/>
            <w:shd w:val="clear" w:color="auto" w:fill="D9D9D9" w:themeFill="background1" w:themeFillShade="D9"/>
          </w:tcPr>
          <w:p w14:paraId="03F29809"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CBF313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1DCEE6D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15A5B75D"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443E0669" w14:textId="77777777" w:rsidR="00CC4C6D" w:rsidRPr="007944FA" w:rsidRDefault="00CC4C6D" w:rsidP="0024256B">
            <w:pPr>
              <w:keepNext w:val="0"/>
              <w:jc w:val="both"/>
              <w:rPr>
                <w:rFonts w:ascii="Arial" w:hAnsi="Arial" w:cs="Arial"/>
                <w:szCs w:val="18"/>
              </w:rPr>
            </w:pPr>
            <w:r w:rsidRPr="007944FA">
              <w:rPr>
                <w:rFonts w:ascii="Arial" w:hAnsi="Arial" w:cs="Arial"/>
                <w:szCs w:val="18"/>
              </w:rPr>
              <w:t>Za meritve v tonah ekv. CO2 ali ne-GHG, letno bilanco emisij v skladu s poglavjem III.B (Uporaba ustrezne prilagoditve), priloga, sklep 2/CMA.3 (odstavek 23(k)(i), priloga k sklepu 2/CMA.3) (kot del odstavka 77(d)(ii) MPG)</w:t>
            </w:r>
          </w:p>
        </w:tc>
        <w:tc>
          <w:tcPr>
            <w:tcW w:w="992" w:type="dxa"/>
          </w:tcPr>
          <w:p w14:paraId="1A88B453" w14:textId="188E2826" w:rsidR="00CC4C6D" w:rsidRPr="007944FA" w:rsidRDefault="0018317A"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K</w:t>
            </w:r>
            <w:r w:rsidR="00CC4C6D" w:rsidRPr="007944FA">
              <w:rPr>
                <w:rFonts w:ascii="Arial" w:hAnsi="Arial" w:cs="Arial"/>
                <w:b/>
                <w:szCs w:val="18"/>
              </w:rPr>
              <w:t>t</w:t>
            </w:r>
            <w:r w:rsidRPr="007944FA">
              <w:rPr>
                <w:rFonts w:ascii="Arial" w:hAnsi="Arial" w:cs="Arial"/>
                <w:b/>
                <w:szCs w:val="18"/>
              </w:rPr>
              <w:t xml:space="preserve"> ekv.</w:t>
            </w:r>
            <w:r w:rsidR="00CC4C6D" w:rsidRPr="007944FA">
              <w:rPr>
                <w:rFonts w:ascii="Arial" w:hAnsi="Arial" w:cs="Arial"/>
                <w:b/>
                <w:szCs w:val="18"/>
              </w:rPr>
              <w:t xml:space="preserve"> CO</w:t>
            </w:r>
            <w:r w:rsidR="00CC4C6D" w:rsidRPr="007944FA">
              <w:rPr>
                <w:rFonts w:ascii="Arial" w:hAnsi="Arial" w:cs="Arial"/>
                <w:b/>
                <w:szCs w:val="18"/>
                <w:vertAlign w:val="subscript"/>
              </w:rPr>
              <w:t>2</w:t>
            </w:r>
          </w:p>
        </w:tc>
        <w:tc>
          <w:tcPr>
            <w:tcW w:w="1276" w:type="dxa"/>
          </w:tcPr>
          <w:p w14:paraId="097AA740"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5" w:type="dxa"/>
          </w:tcPr>
          <w:p w14:paraId="416F069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5B5C7524"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6" w:type="dxa"/>
          </w:tcPr>
          <w:p w14:paraId="0506DF51"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Poročati v naslednjem BTR</w:t>
            </w:r>
          </w:p>
          <w:p w14:paraId="73B1D5DA"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134" w:type="dxa"/>
            <w:shd w:val="clear" w:color="auto" w:fill="D9D9D9" w:themeFill="background1" w:themeFillShade="D9"/>
          </w:tcPr>
          <w:p w14:paraId="08660B94"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4DD6D826"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462F0A2A" w14:textId="77777777" w:rsidR="00CC4C6D" w:rsidRPr="007944FA" w:rsidRDefault="00CC4C6D" w:rsidP="0024256B">
            <w:pPr>
              <w:keepNext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241311F0"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117836EA" w14:textId="77777777" w:rsidR="00CC4C6D" w:rsidRPr="007944FA" w:rsidRDefault="00CC4C6D" w:rsidP="0024256B">
            <w:pPr>
              <w:jc w:val="both"/>
              <w:rPr>
                <w:rFonts w:ascii="Arial" w:hAnsi="Arial" w:cs="Arial"/>
                <w:szCs w:val="18"/>
              </w:rPr>
            </w:pPr>
            <w:r w:rsidRPr="007944FA">
              <w:rPr>
                <w:rFonts w:ascii="Arial" w:hAnsi="Arial" w:cs="Arial"/>
                <w:szCs w:val="18"/>
              </w:rPr>
              <w:t>Za metrike, ki ne vključujejo toplogrednih plinov, za vsako metriko, ki ni povezana s toplogrednimi plini, ki jo določijo sodelujoče pogodbenice, letne prilagoditve, ki imajo za posledico letni prilagojeni kazalnik, v skladu z odstavkom 9 poglavja III.B (Ustrezne prilagoditve), priloga k sklepu 2/CMA.3 in prihodnje smernice, ki jih bo sprejel CMA (odstavek 23(k)(ii), priloga k sklepu 2/CMA.3)</w:t>
            </w:r>
          </w:p>
        </w:tc>
        <w:tc>
          <w:tcPr>
            <w:tcW w:w="992" w:type="dxa"/>
          </w:tcPr>
          <w:p w14:paraId="4BDF7777"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NA</w:t>
            </w:r>
          </w:p>
        </w:tc>
        <w:tc>
          <w:tcPr>
            <w:tcW w:w="1276" w:type="dxa"/>
          </w:tcPr>
          <w:p w14:paraId="56F6DC8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p>
        </w:tc>
        <w:tc>
          <w:tcPr>
            <w:tcW w:w="1275" w:type="dxa"/>
          </w:tcPr>
          <w:p w14:paraId="57763D9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NA</w:t>
            </w:r>
          </w:p>
        </w:tc>
        <w:tc>
          <w:tcPr>
            <w:tcW w:w="1276" w:type="dxa"/>
          </w:tcPr>
          <w:p w14:paraId="6E26C0CB"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NA</w:t>
            </w:r>
          </w:p>
        </w:tc>
        <w:tc>
          <w:tcPr>
            <w:tcW w:w="1134" w:type="dxa"/>
            <w:shd w:val="clear" w:color="auto" w:fill="D9D9D9" w:themeFill="background1" w:themeFillShade="D9"/>
          </w:tcPr>
          <w:p w14:paraId="5FBF2940"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439E5FAE"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2DC9717A"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r w:rsidR="00CC4C6D" w:rsidRPr="0093506F" w14:paraId="72B43702" w14:textId="77777777" w:rsidTr="006D46D8">
        <w:tc>
          <w:tcPr>
            <w:cnfStyle w:val="001000000000" w:firstRow="0" w:lastRow="0" w:firstColumn="1" w:lastColumn="0" w:oddVBand="0" w:evenVBand="0" w:oddHBand="0" w:evenHBand="0" w:firstRowFirstColumn="0" w:firstRowLastColumn="0" w:lastRowFirstColumn="0" w:lastRowLastColumn="0"/>
            <w:tcW w:w="4957" w:type="dxa"/>
            <w:vAlign w:val="top"/>
          </w:tcPr>
          <w:p w14:paraId="0AA3FC02" w14:textId="77777777" w:rsidR="00CC4C6D" w:rsidRPr="007944FA" w:rsidRDefault="00CC4C6D" w:rsidP="0024256B">
            <w:pPr>
              <w:jc w:val="both"/>
              <w:rPr>
                <w:rFonts w:ascii="Arial" w:hAnsi="Arial" w:cs="Arial"/>
                <w:szCs w:val="18"/>
              </w:rPr>
            </w:pPr>
            <w:bookmarkStart w:id="238" w:name="_Hlk180138392"/>
            <w:r w:rsidRPr="007944FA">
              <w:rPr>
                <w:rFonts w:ascii="Arial" w:hAnsi="Arial" w:cs="Arial"/>
                <w:szCs w:val="18"/>
              </w:rPr>
              <w:t>Vse druge informacije v skladu z odločitvami, ki jih je sprejel CMA o poročanju v skladu s 6. členom (odstavek 77(d)(iii) MPG)</w:t>
            </w:r>
          </w:p>
        </w:tc>
        <w:tc>
          <w:tcPr>
            <w:tcW w:w="4819" w:type="dxa"/>
            <w:gridSpan w:val="4"/>
          </w:tcPr>
          <w:p w14:paraId="500787B5"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szCs w:val="18"/>
              </w:rPr>
            </w:pPr>
            <w:r w:rsidRPr="007944FA">
              <w:rPr>
                <w:rFonts w:ascii="Arial" w:hAnsi="Arial" w:cs="Arial"/>
                <w:b/>
                <w:szCs w:val="18"/>
              </w:rPr>
              <w:t>EU bo obračunala in poročala o svojem sodelovanju z drugimi pogodbenicami na način, ki je skladen s smernicami, ki jih je sprejel CMA1, in vsemi nadaljnjimi smernicami, o katerih se je dogovoril CMA, v poznejšem BTR ali začetnem poročilu, kadar je primerno.</w:t>
            </w:r>
          </w:p>
        </w:tc>
        <w:tc>
          <w:tcPr>
            <w:tcW w:w="1134" w:type="dxa"/>
            <w:shd w:val="clear" w:color="auto" w:fill="D9D9D9" w:themeFill="background1" w:themeFillShade="D9"/>
          </w:tcPr>
          <w:p w14:paraId="4BEE0052"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567" w:type="dxa"/>
            <w:shd w:val="clear" w:color="auto" w:fill="D9D9D9" w:themeFill="background1" w:themeFillShade="D9"/>
          </w:tcPr>
          <w:p w14:paraId="048F3444" w14:textId="77777777" w:rsidR="00CC4C6D" w:rsidRPr="007944FA" w:rsidRDefault="00CC4C6D" w:rsidP="0024256B">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c>
          <w:tcPr>
            <w:tcW w:w="2693" w:type="dxa"/>
            <w:shd w:val="clear" w:color="auto" w:fill="D9D9D9" w:themeFill="background1" w:themeFillShade="D9"/>
          </w:tcPr>
          <w:p w14:paraId="04D4CC74" w14:textId="77777777" w:rsidR="00CC4C6D" w:rsidRPr="007944FA" w:rsidRDefault="00CC4C6D" w:rsidP="0024256B">
            <w:pPr>
              <w:contextualSpacing w:val="0"/>
              <w:jc w:val="both"/>
              <w:cnfStyle w:val="000000000000" w:firstRow="0" w:lastRow="0" w:firstColumn="0" w:lastColumn="0" w:oddVBand="0" w:evenVBand="0" w:oddHBand="0" w:evenHBand="0" w:firstRowFirstColumn="0" w:firstRowLastColumn="0" w:lastRowFirstColumn="0" w:lastRowLastColumn="0"/>
              <w:rPr>
                <w:rFonts w:ascii="Arial" w:hAnsi="Arial" w:cs="Arial"/>
                <w:b/>
                <w:bCs/>
                <w:szCs w:val="18"/>
              </w:rPr>
            </w:pPr>
          </w:p>
        </w:tc>
      </w:tr>
    </w:tbl>
    <w:bookmarkEnd w:id="238"/>
    <w:p w14:paraId="06AF42C3" w14:textId="77777777" w:rsidR="00CC4C6D" w:rsidRPr="007944FA" w:rsidRDefault="00CC4C6D" w:rsidP="0024256B">
      <w:pPr>
        <w:pStyle w:val="BodyText"/>
        <w:spacing w:line="240" w:lineRule="auto"/>
        <w:ind w:left="127"/>
        <w:rPr>
          <w:rFonts w:ascii="Arial" w:hAnsi="Arial" w:cs="Arial"/>
          <w:szCs w:val="22"/>
        </w:rPr>
      </w:pPr>
      <w:r w:rsidRPr="007944FA">
        <w:rPr>
          <w:rFonts w:ascii="Arial" w:hAnsi="Arial" w:cs="Arial"/>
          <w:noProof/>
          <w:szCs w:val="22"/>
        </w:rPr>
        <mc:AlternateContent>
          <mc:Choice Requires="wpg">
            <w:drawing>
              <wp:inline distT="0" distB="0" distL="0" distR="0" wp14:anchorId="09FF50FC" wp14:editId="22D289DF">
                <wp:extent cx="1829435" cy="6350"/>
                <wp:effectExtent l="9525" t="5080" r="8890" b="7620"/>
                <wp:docPr id="793494974"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6350"/>
                          <a:chOff x="0" y="0"/>
                          <a:chExt cx="2881" cy="10"/>
                        </a:xfrm>
                      </wpg:grpSpPr>
                      <wps:wsp>
                        <wps:cNvPr id="860532611" name="Line 9"/>
                        <wps:cNvCnPr>
                          <a:cxnSpLocks noChangeShapeType="1"/>
                        </wps:cNvCnPr>
                        <wps:spPr bwMode="auto">
                          <a:xfrm>
                            <a:off x="0" y="5"/>
                            <a:ext cx="288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545F1F" id="Group 27" o:spid="_x0000_s1026" style="width:144.05pt;height:.5pt;mso-position-horizontal-relative:char;mso-position-vertical-relative:line" coordsize="288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">
                <v:line id="Line 9" o:spid="_x0000_s1027" style="position:absolute;visibility:visible;mso-wrap-style:square" from="0,5" to="28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" strokeweight=".48pt"/>
                <w10:anchorlock/>
              </v:group>
            </w:pict>
          </mc:Fallback>
        </mc:AlternateContent>
      </w:r>
    </w:p>
    <w:p w14:paraId="0CA0F036" w14:textId="7E032AB6" w:rsidR="00CC4C6D" w:rsidRPr="007944FA" w:rsidRDefault="00986B23" w:rsidP="0024256B">
      <w:pPr>
        <w:pStyle w:val="nikatabelee"/>
      </w:pPr>
      <w:bookmarkStart w:id="239" w:name="_Toc193195414"/>
      <w:r w:rsidRPr="007944FA">
        <w:t>Preglednica 29</w:t>
      </w:r>
      <w:bookmarkEnd w:id="239"/>
    </w:p>
    <w:p w14:paraId="152BF208" w14:textId="77777777" w:rsidR="00CC4C6D" w:rsidRPr="003E4B53" w:rsidRDefault="00CC4C6D" w:rsidP="003E4B53">
      <w:pPr>
        <w:spacing w:before="71" w:line="240" w:lineRule="auto"/>
        <w:ind w:left="132" w:right="221" w:firstLine="141"/>
        <w:jc w:val="both"/>
        <w:rPr>
          <w:rFonts w:ascii="Arial" w:hAnsi="Arial" w:cs="Arial"/>
          <w:sz w:val="18"/>
          <w:szCs w:val="18"/>
        </w:rPr>
      </w:pPr>
      <w:r w:rsidRPr="003E4B53">
        <w:rPr>
          <w:rFonts w:ascii="Arial" w:hAnsi="Arial" w:cs="Arial"/>
          <w:i/>
          <w:sz w:val="18"/>
          <w:szCs w:val="18"/>
        </w:rPr>
        <w:t>Opombe</w:t>
      </w:r>
      <w:r w:rsidRPr="003E4B53">
        <w:rPr>
          <w:rFonts w:ascii="Arial" w:hAnsi="Arial" w:cs="Arial"/>
          <w:sz w:val="18"/>
          <w:szCs w:val="18"/>
        </w:rPr>
        <w:t>: (1) Na podlagi odstavka 79 MPG vsaka pogodbenica poroča informacije iz odstavkov 65–78 MPG v pripovedni in običajni obliki tabele, kot je primerno. (2) Pogodbenica lahko spremeni obliko poročanja (npr. datoteko Excel), da odstrani določene vrstice v tej tabeli, če informacije, ki jih je treba zagotoviti v teh vrsticah, ne veljajo za NDC pogodbenice v skladu s 4. členom Pariškega sporazuma v skladu z MPG. (3) Pogodbenica lahko doda vrstice za vsak dodatni izbrani indikator.</w:t>
      </w:r>
    </w:p>
    <w:p w14:paraId="51F0C90A" w14:textId="77777777" w:rsidR="00CC4C6D" w:rsidRPr="003E4B53" w:rsidRDefault="00CC4C6D" w:rsidP="003E4B53">
      <w:pPr>
        <w:spacing w:line="240" w:lineRule="auto"/>
        <w:ind w:left="274"/>
        <w:jc w:val="both"/>
        <w:rPr>
          <w:rFonts w:ascii="Arial" w:hAnsi="Arial" w:cs="Arial"/>
          <w:sz w:val="18"/>
          <w:szCs w:val="18"/>
        </w:rPr>
      </w:pPr>
      <w:r w:rsidRPr="003E4B53">
        <w:rPr>
          <w:rFonts w:ascii="Arial" w:hAnsi="Arial" w:cs="Arial"/>
          <w:i/>
          <w:sz w:val="18"/>
          <w:szCs w:val="18"/>
        </w:rPr>
        <w:t xml:space="preserve">a </w:t>
      </w:r>
      <w:r w:rsidRPr="003E4B53">
        <w:rPr>
          <w:rFonts w:ascii="Arial" w:hAnsi="Arial" w:cs="Arial"/>
          <w:sz w:val="18"/>
          <w:szCs w:val="18"/>
        </w:rPr>
        <w:t>To tabelo bi lahko uporabili za vsak cilj NDC, če ima pogodbeni NDC več ciljev.</w:t>
      </w:r>
    </w:p>
    <w:p w14:paraId="1D5D5DF3" w14:textId="77777777" w:rsidR="00CC4C6D" w:rsidRPr="003E4B53" w:rsidRDefault="00CC4C6D" w:rsidP="003E4B53">
      <w:pPr>
        <w:spacing w:line="240" w:lineRule="auto"/>
        <w:ind w:left="274"/>
        <w:jc w:val="both"/>
        <w:rPr>
          <w:rFonts w:ascii="Arial" w:hAnsi="Arial" w:cs="Arial"/>
          <w:sz w:val="18"/>
          <w:szCs w:val="18"/>
        </w:rPr>
      </w:pPr>
      <w:r w:rsidRPr="003E4B53">
        <w:rPr>
          <w:rFonts w:ascii="Arial" w:hAnsi="Arial" w:cs="Arial"/>
          <w:i/>
          <w:sz w:val="18"/>
          <w:szCs w:val="18"/>
        </w:rPr>
        <w:t xml:space="preserve">b </w:t>
      </w:r>
      <w:r w:rsidRPr="003E4B53">
        <w:rPr>
          <w:rFonts w:ascii="Arial" w:hAnsi="Arial" w:cs="Arial"/>
          <w:sz w:val="18"/>
          <w:szCs w:val="18"/>
        </w:rPr>
        <w:t>Pogodbenice lahko zagotovijo informacije o pogojnih ciljih v polju za dokumentacijo s sklicevanjem na ustrezno stran v svojem dvoletnem poročilu o preglednosti.</w:t>
      </w:r>
    </w:p>
    <w:p w14:paraId="21E9FA89" w14:textId="77777777" w:rsidR="00CC4C6D" w:rsidRPr="007944FA" w:rsidRDefault="00CC4C6D" w:rsidP="0024256B">
      <w:pPr>
        <w:pStyle w:val="BodyText"/>
        <w:spacing w:line="240" w:lineRule="auto"/>
        <w:ind w:left="129"/>
        <w:rPr>
          <w:rFonts w:ascii="Arial" w:hAnsi="Arial" w:cs="Arial"/>
          <w:szCs w:val="22"/>
        </w:rPr>
      </w:pPr>
    </w:p>
    <w:p w14:paraId="129F72AF" w14:textId="3F6473C4" w:rsidR="00CC4C6D" w:rsidRPr="007944FA" w:rsidRDefault="00CC4C6D" w:rsidP="0024256B">
      <w:pPr>
        <w:pStyle w:val="Standardtext"/>
        <w:keepNext/>
        <w:pBdr>
          <w:top w:val="single" w:sz="4" w:space="1" w:color="auto"/>
          <w:left w:val="single" w:sz="4" w:space="4" w:color="auto"/>
          <w:bottom w:val="single" w:sz="4" w:space="1" w:color="auto"/>
          <w:right w:val="single" w:sz="4" w:space="4" w:color="auto"/>
        </w:pBdr>
        <w:spacing w:line="240" w:lineRule="auto"/>
        <w:rPr>
          <w:rFonts w:ascii="Arial" w:hAnsi="Arial" w:cs="Arial"/>
          <w:b/>
          <w:bCs/>
          <w:sz w:val="22"/>
        </w:rPr>
        <w:sectPr w:rsidR="00CC4C6D" w:rsidRPr="007944FA" w:rsidSect="00CC4C6D">
          <w:headerReference w:type="even" r:id="rId85"/>
          <w:headerReference w:type="default" r:id="rId86"/>
          <w:footerReference w:type="even" r:id="rId87"/>
          <w:footerReference w:type="default" r:id="rId88"/>
          <w:headerReference w:type="first" r:id="rId89"/>
          <w:footerReference w:type="first" r:id="rId90"/>
          <w:pgSz w:w="16838" w:h="11906" w:orient="landscape"/>
          <w:pgMar w:top="1134" w:right="1418" w:bottom="1134" w:left="1418" w:header="709" w:footer="709" w:gutter="0"/>
          <w:cols w:space="708"/>
          <w:titlePg/>
          <w:docGrid w:linePitch="360"/>
        </w:sectPr>
      </w:pPr>
      <w:r w:rsidRPr="007944FA">
        <w:rPr>
          <w:rFonts w:ascii="Arial" w:hAnsi="Arial" w:cs="Arial"/>
          <w:b/>
          <w:sz w:val="22"/>
        </w:rPr>
        <w:lastRenderedPageBreak/>
        <w:t>Razdelek „Ocena doseganja NDC pogodbenice“ tabele 4 CTF ni vključen tukaj, ker se uporablja samo po koncu obdobja BTR, orodje za poročanje CTF pa v tem trenutku ne omogoča izpolnjevanja teh informacij</w:t>
      </w:r>
    </w:p>
    <w:p w14:paraId="44B2096F" w14:textId="71540583" w:rsidR="00FB4DC5" w:rsidRPr="007944FA" w:rsidRDefault="00FB4DC5" w:rsidP="00CC4C6D">
      <w:pPr>
        <w:jc w:val="both"/>
        <w:rPr>
          <w:rFonts w:ascii="Arial" w:eastAsiaTheme="majorEastAsia" w:hAnsi="Arial" w:cs="Arial"/>
        </w:rPr>
      </w:pPr>
    </w:p>
    <w:p w14:paraId="17503ECF" w14:textId="73120181" w:rsidR="00FB4DC5" w:rsidRPr="007944FA" w:rsidRDefault="00FB4DC5" w:rsidP="003E4B53">
      <w:pPr>
        <w:pStyle w:val="Heading2"/>
        <w:pBdr>
          <w:left w:val="single" w:sz="24" w:space="4" w:color="529DBA"/>
        </w:pBdr>
        <w:jc w:val="both"/>
      </w:pPr>
      <w:bookmarkStart w:id="240" w:name="_Toc196300860"/>
      <w:r w:rsidRPr="007944FA">
        <w:t>Priloga 2: Metodologija, uporabljena za identifikacijo emisij toplogrednih plinov iz mednarodnega letalstva in pomorstva v okviru nacionalno določenega prispevka EU (NDC)</w:t>
      </w:r>
      <w:bookmarkEnd w:id="240"/>
    </w:p>
    <w:p w14:paraId="65B1B1CF" w14:textId="2C913876" w:rsidR="005C043B" w:rsidRPr="007944FA" w:rsidRDefault="005C043B" w:rsidP="005C043B"/>
    <w:p w14:paraId="113B235B" w14:textId="453EBDCB" w:rsidR="00CC4C6D" w:rsidRPr="007944FA" w:rsidRDefault="00CC4C6D" w:rsidP="00FC57FD">
      <w:pPr>
        <w:pStyle w:val="Standardtext"/>
        <w:keepNext/>
        <w:pBdr>
          <w:top w:val="single" w:sz="4" w:space="1" w:color="auto"/>
          <w:left w:val="single" w:sz="4" w:space="4" w:color="auto"/>
          <w:bottom w:val="single" w:sz="4" w:space="1" w:color="auto"/>
          <w:right w:val="single" w:sz="4" w:space="4" w:color="auto"/>
        </w:pBdr>
        <w:rPr>
          <w:rFonts w:ascii="Arial" w:hAnsi="Arial" w:cs="Arial"/>
          <w:b/>
          <w:bCs/>
          <w:sz w:val="22"/>
        </w:rPr>
      </w:pPr>
      <w:r w:rsidRPr="007944FA">
        <w:rPr>
          <w:rFonts w:ascii="Arial" w:hAnsi="Arial" w:cs="Arial"/>
          <w:b/>
          <w:sz w:val="22"/>
        </w:rPr>
        <w:t>Naslednja priloga vsebuje skupne informacije za BTR za EU in države članice</w:t>
      </w:r>
    </w:p>
    <w:p w14:paraId="24C80AEA" w14:textId="77777777" w:rsidR="00CC4C6D" w:rsidRPr="007944FA" w:rsidRDefault="00CC4C6D" w:rsidP="00CC4C6D">
      <w:pPr>
        <w:pStyle w:val="Standardtext"/>
        <w:rPr>
          <w:rFonts w:ascii="Arial" w:hAnsi="Arial" w:cs="Arial"/>
          <w:sz w:val="22"/>
        </w:rPr>
      </w:pPr>
      <w:r w:rsidRPr="007944FA">
        <w:rPr>
          <w:rFonts w:ascii="Arial" w:hAnsi="Arial" w:cs="Arial"/>
          <w:sz w:val="22"/>
        </w:rPr>
        <w:t xml:space="preserve">Področje uporabe NDC EU presega nacionalne emisije in odvzeme toplogrednih plinov v okviru nacionalnega popisa toplogrednih plinov; vključuje tudi specifične emisije iz mednarodnega letalstva in navigacije. Ta priloga opisuje metodologijo za identifikacijo teh emisij.  </w:t>
      </w:r>
    </w:p>
    <w:p w14:paraId="295776F8" w14:textId="77777777" w:rsidR="00CC4C6D" w:rsidRPr="007944FA" w:rsidRDefault="00CC4C6D" w:rsidP="00CC4C6D">
      <w:pPr>
        <w:jc w:val="both"/>
        <w:rPr>
          <w:rFonts w:ascii="Arial" w:hAnsi="Arial" w:cs="Arial"/>
        </w:rPr>
      </w:pPr>
      <w:r w:rsidRPr="007944FA">
        <w:rPr>
          <w:rFonts w:ascii="Arial" w:hAnsi="Arial" w:cs="Arial"/>
        </w:rPr>
        <w:t>Emisije iz mednarodnega letalstva in pomorskega prometa so ocenjene z uporabo Integrirane zbirke podatkov o evropskem energetskem sistemu Skupnega raziskovalnega središča (</w:t>
      </w:r>
      <w:hyperlink r:id="rId91" w:history="1">
        <w:r w:rsidRPr="007944FA">
          <w:rPr>
            <w:rStyle w:val="Hyperlink"/>
            <w:rFonts w:ascii="Arial" w:hAnsi="Arial" w:cs="Arial"/>
            <w:color w:val="auto"/>
          </w:rPr>
          <w:t>JRC-IDEES</w:t>
        </w:r>
      </w:hyperlink>
      <w:r w:rsidRPr="007944FA">
        <w:rPr>
          <w:rFonts w:ascii="Arial" w:hAnsi="Arial" w:cs="Arial"/>
        </w:rPr>
        <w:t>).</w:t>
      </w:r>
      <w:r w:rsidRPr="007944FA">
        <w:rPr>
          <w:rStyle w:val="FootnoteReference"/>
          <w:rFonts w:ascii="Arial" w:hAnsi="Arial" w:cs="Arial"/>
        </w:rPr>
        <w:footnoteReference w:id="128"/>
      </w:r>
      <w:r w:rsidRPr="007944FA">
        <w:rPr>
          <w:rFonts w:ascii="Arial" w:hAnsi="Arial" w:cs="Arial"/>
        </w:rPr>
        <w:t xml:space="preserve"> Omogoča razdelitev emisij CO2 v mednarodnem prometu znotraj EU/izven EU in znotraj EGP/zunaj EGP ter odhodne lete iz EU v Združeno kraljestvo in Švico, kategorije za nazaj v času (tj. 1990) (tj. za časovno obdobje nazaj do leta 1990).</w:t>
      </w:r>
      <w:r w:rsidRPr="007944FA">
        <w:rPr>
          <w:rStyle w:val="FootnoteReference"/>
          <w:rFonts w:ascii="Arial" w:hAnsi="Arial" w:cs="Arial"/>
        </w:rPr>
        <w:footnoteReference w:id="129"/>
      </w:r>
      <w:r w:rsidRPr="007944FA">
        <w:rPr>
          <w:rFonts w:ascii="Arial" w:hAnsi="Arial" w:cs="Arial"/>
        </w:rPr>
        <w:t xml:space="preserve"> </w:t>
      </w:r>
    </w:p>
    <w:p w14:paraId="1B7BD845" w14:textId="77777777" w:rsidR="00CC4C6D" w:rsidRPr="007944FA" w:rsidRDefault="00CC4C6D" w:rsidP="00CC4C6D">
      <w:pPr>
        <w:jc w:val="both"/>
        <w:rPr>
          <w:rFonts w:ascii="Arial" w:hAnsi="Arial" w:cs="Arial"/>
        </w:rPr>
      </w:pPr>
      <w:r w:rsidRPr="007944FA">
        <w:rPr>
          <w:rFonts w:ascii="Arial" w:hAnsi="Arial" w:cs="Arial"/>
        </w:rPr>
        <w:t>Za mednarodni promet JRC-IDEES uporablja metodologijo dekompozicije, ki usklajuje obsege razpoložljivih primarnih statističnih podatkov in usklajuje pretekle podatke o mednarodnih letalskih in pomorskih emisijah, porabi energije in prometni dejavnosti.  Nastali letni nabor podatkov zajema obdobje 1990–2021 in razlikuje med domačimi in notranjimi</w:t>
      </w:r>
      <w:r w:rsidRPr="007944FA">
        <w:rPr>
          <w:rFonts w:ascii="Arial" w:hAnsi="Arial" w:cs="Arial"/>
        </w:rPr>
        <w:noBreakHyphen/>
        <w:t>EU/znotraj</w:t>
      </w:r>
      <w:r w:rsidRPr="007944FA">
        <w:rPr>
          <w:rFonts w:ascii="Arial" w:hAnsi="Arial" w:cs="Arial"/>
        </w:rPr>
        <w:noBreakHyphen/>
        <w:t>EGP in dodatno</w:t>
      </w:r>
      <w:r w:rsidRPr="007944FA">
        <w:rPr>
          <w:rFonts w:ascii="Arial" w:hAnsi="Arial" w:cs="Arial"/>
        </w:rPr>
        <w:noBreakHyphen/>
        <w:t>EU/dejavnost izven</w:t>
      </w:r>
      <w:r w:rsidRPr="007944FA">
        <w:rPr>
          <w:rFonts w:ascii="Arial" w:hAnsi="Arial" w:cs="Arial"/>
        </w:rPr>
        <w:noBreakHyphen/>
        <w:t>EGP za vsako državo članico EU, Norveško in Islandijo.</w:t>
      </w:r>
    </w:p>
    <w:p w14:paraId="7924902D" w14:textId="77777777" w:rsidR="00CC4C6D" w:rsidRPr="007944FA" w:rsidRDefault="00CC4C6D" w:rsidP="00CC4C6D">
      <w:pPr>
        <w:jc w:val="both"/>
        <w:rPr>
          <w:rFonts w:ascii="Arial" w:hAnsi="Arial" w:cs="Arial"/>
        </w:rPr>
      </w:pPr>
      <w:r w:rsidRPr="007944FA">
        <w:rPr>
          <w:rFonts w:ascii="Arial" w:hAnsi="Arial" w:cs="Arial"/>
        </w:rPr>
        <w:t>V letalstvu JRC-IDEES razlikuje potniški in tovorni način prevoza s tremi geografskimi kategorijami izvora/destinacije leta za vsak način: domači, znotraj EGP + ZK in zunaj EGP + ZK. Znotraj EU, Združenega kraljestva in EGP</w:t>
      </w:r>
      <w:r w:rsidRPr="007944FA">
        <w:rPr>
          <w:rStyle w:val="FootnoteReference"/>
          <w:rFonts w:ascii="Arial" w:hAnsi="Arial" w:cs="Arial"/>
        </w:rPr>
        <w:footnoteReference w:id="130"/>
      </w:r>
      <w:r w:rsidRPr="007944FA">
        <w:rPr>
          <w:rFonts w:ascii="Arial" w:hAnsi="Arial" w:cs="Arial"/>
        </w:rPr>
        <w:t xml:space="preserve"> se kategorije uporabljajo tudi interno med kalibracijo, vendar združene za poročanje. JRC-IDEES za vsako kombinacijo načina/kategorije oceni dejavnost (kot potniški km ali tone-km), porabo energije in emisije CO</w:t>
      </w:r>
      <w:r w:rsidRPr="007944FA">
        <w:rPr>
          <w:rFonts w:ascii="Arial" w:hAnsi="Arial" w:cs="Arial"/>
          <w:vertAlign w:val="subscript"/>
        </w:rPr>
        <w:t>2</w:t>
      </w:r>
      <w:r w:rsidRPr="007944FA">
        <w:rPr>
          <w:rFonts w:ascii="Arial" w:hAnsi="Arial" w:cs="Arial"/>
        </w:rPr>
        <w:t>, število zrakoplovov (izraženo kot reprezentativni zrakoplov), faktorje obremenitve in učinkovitost zrakoplova. Ker statistični podatki o dejavnostih za posamezne države niso na voljo, razčlenitev najprej dodeli podatke o dejavnostih na ravni EU iz Transport Pocketbook</w:t>
      </w:r>
      <w:r w:rsidRPr="007944FA">
        <w:rPr>
          <w:rStyle w:val="FootnoteReference"/>
          <w:rFonts w:ascii="Arial" w:hAnsi="Arial" w:cs="Arial"/>
        </w:rPr>
        <w:footnoteReference w:id="131"/>
      </w:r>
      <w:r w:rsidRPr="007944FA">
        <w:rPr>
          <w:rFonts w:ascii="Arial" w:hAnsi="Arial" w:cs="Arial"/>
        </w:rPr>
        <w:t xml:space="preserve"> Generalnega direktorata Evropske komisije za mobilnost in promet za vsako državo in kategorijo leta. </w:t>
      </w:r>
    </w:p>
    <w:p w14:paraId="0ABC08A2" w14:textId="77777777" w:rsidR="00CC4C6D" w:rsidRPr="007944FA" w:rsidRDefault="00CC4C6D" w:rsidP="00CC4C6D">
      <w:pPr>
        <w:jc w:val="both"/>
        <w:rPr>
          <w:rFonts w:ascii="Arial" w:hAnsi="Arial" w:cs="Arial"/>
        </w:rPr>
      </w:pPr>
      <w:r w:rsidRPr="007944FA">
        <w:rPr>
          <w:rFonts w:ascii="Arial" w:hAnsi="Arial" w:cs="Arial"/>
        </w:rPr>
        <w:t xml:space="preserve">Za potniške vrste ta dodelitev izračuna povprečne faktorje zasedenosti z uporabo podatkov Eurostata o skupnem številu potnikov in letov. Ti faktorji obremenitve in skupno število letov </w:t>
      </w:r>
      <w:r w:rsidRPr="007944FA">
        <w:rPr>
          <w:rFonts w:ascii="Arial" w:hAnsi="Arial" w:cs="Arial"/>
        </w:rPr>
        <w:lastRenderedPageBreak/>
        <w:t>so združeni s povprečnimi razdaljami letov EUROCONTROL, vseevropske organizacije, namenjene upravljanju zračnega prometa, da bi dobili začetno oceno dejavnosti potniškega prometa. Za dejavnosti znotraj EU se nato v državah članicah uporabi enoten faktor lestvice, da se ujema s skupnimi podatki Transport Pocketbook na ravni EU. Dejavnost tovornega prometa sledi podobnemu procesu, pri čemer se uporablja koncept „reprezentativnega leta“ s skupnim faktorjem zasedenosti v vseh državah članicah za upoštevanje mešanih potniško-tovornih letov.</w:t>
      </w:r>
    </w:p>
    <w:p w14:paraId="6AA3F31C" w14:textId="77777777" w:rsidR="00CC4C6D" w:rsidRPr="007944FA" w:rsidRDefault="00CC4C6D" w:rsidP="00CC4C6D">
      <w:pPr>
        <w:jc w:val="both"/>
        <w:rPr>
          <w:rFonts w:ascii="Arial" w:hAnsi="Arial" w:cs="Arial"/>
        </w:rPr>
      </w:pPr>
      <w:r w:rsidRPr="007944FA">
        <w:rPr>
          <w:rFonts w:ascii="Arial" w:hAnsi="Arial" w:cs="Arial"/>
        </w:rPr>
        <w:t>Nato je v razčlenitvi ocenjena poraba goriva iz podatkov EUROCONTROL z izpeljavo povprečnega izkoristka letala, ki je odvisen od razdalje, in ga nato uporabi za skupino letov in poti, ki je specifična za državo.  V zadnjem koraku se ocene prilagodijo Eurostatovim energetskim bilancam za skupno domačo in mednarodno porabo nazaj na vrednosti iz leta 1990, pri čemer se ohranijo razmerja porabe goriva znotraj EGP/izven EGP, pridobljena iz EUROCONTROL. JRC-IDEES poleg tega poroča o posledičnih razlikah s predložitvami pogodbenic UNFCCC. Zgornji proces se izvaja skozi celotno obdobje razgradnje (1990-2021). Podatkovne vrzeli so ocenjene na podlagi obstoječih kazalnikov, kot sledi:</w:t>
      </w:r>
    </w:p>
    <w:p w14:paraId="2EB26538"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Postopek se ponavlja proti letu 1990, začenši z najstarejšimi leti, v katerih so podatki na voljo v vsaki državi članici.</w:t>
      </w:r>
    </w:p>
    <w:p w14:paraId="0CE1EC57"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Povprečna razdalja leta je ostala nespremenjena za prva leta brez podatkov EUROCONTROL (običajno pred letom 2004).</w:t>
      </w:r>
    </w:p>
    <w:p w14:paraId="523474A9"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Če faktorja zasedenosti (potniki na let) ni mogoče izračunati zaradi pomanjkanja podatkov o potnikih in/ali letih, se oceni iz trenda obstoječe časovne vrste.</w:t>
      </w:r>
    </w:p>
    <w:p w14:paraId="416C53EE"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Manjkajoče število letov se izračuna iz faktorja zasedenosti in prepeljanih potnikov.</w:t>
      </w:r>
    </w:p>
    <w:p w14:paraId="73DCB7CF"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Če podatki o potnikih niso na voljo, se skupna kilometrina oceni na podlagi porabe energije in skupaj s povprečno razdaljo leta oceni število letov. Število letov se nato združi s faktorjem zasedenosti, da se oceni skupno število prepeljanih potnikov.</w:t>
      </w:r>
    </w:p>
    <w:p w14:paraId="7584850B"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 xml:space="preserve">Za prva leta brez podatkov se predpostavljajo konstantne vrednosti za dejavnike, ki se uporabljajo za </w:t>
      </w:r>
      <w:r w:rsidRPr="007944FA">
        <w:rPr>
          <w:rFonts w:ascii="Arial" w:hAnsi="Arial" w:cs="Arial"/>
          <w:i/>
          <w:sz w:val="22"/>
          <w:lang w:val="sl-SI"/>
        </w:rPr>
        <w:t>i)</w:t>
      </w:r>
      <w:r w:rsidRPr="007944FA">
        <w:rPr>
          <w:rFonts w:ascii="Arial" w:hAnsi="Arial" w:cs="Arial"/>
          <w:sz w:val="22"/>
          <w:lang w:val="sl-SI"/>
        </w:rPr>
        <w:t xml:space="preserve"> prilagajanje dejavnosti znotraj EU na Transport Pocketbook, </w:t>
      </w:r>
      <w:r w:rsidRPr="007944FA">
        <w:rPr>
          <w:rFonts w:ascii="Arial" w:hAnsi="Arial" w:cs="Arial"/>
          <w:i/>
          <w:sz w:val="22"/>
          <w:lang w:val="sl-SI"/>
        </w:rPr>
        <w:t>ii)</w:t>
      </w:r>
      <w:r w:rsidRPr="007944FA">
        <w:rPr>
          <w:rFonts w:ascii="Arial" w:hAnsi="Arial" w:cs="Arial"/>
          <w:sz w:val="22"/>
          <w:lang w:val="sl-SI"/>
        </w:rPr>
        <w:t xml:space="preserve"> prilagajanje ocenjene porabe goriva podatkom EUROCONTROL za posebne poti in </w:t>
      </w:r>
      <w:r w:rsidRPr="007944FA">
        <w:rPr>
          <w:rFonts w:ascii="Arial" w:hAnsi="Arial" w:cs="Arial"/>
          <w:i/>
          <w:sz w:val="22"/>
          <w:lang w:val="sl-SI"/>
        </w:rPr>
        <w:t>iii)</w:t>
      </w:r>
      <w:r w:rsidRPr="007944FA">
        <w:rPr>
          <w:rFonts w:ascii="Arial" w:hAnsi="Arial" w:cs="Arial"/>
          <w:sz w:val="22"/>
          <w:lang w:val="sl-SI"/>
        </w:rPr>
        <w:t xml:space="preserve"> prilagajanje te prilagojene porabe goriva energetskim bilancam Eurostata (npr. pred letom 1995 za podatke Transport Pocketbook; pred 2004 za podatke EUROCONTROL).</w:t>
      </w:r>
    </w:p>
    <w:p w14:paraId="77F0F925" w14:textId="77777777" w:rsidR="00CC4C6D" w:rsidRPr="007944FA" w:rsidRDefault="00CC4C6D" w:rsidP="00CC4C6D">
      <w:pPr>
        <w:jc w:val="both"/>
        <w:rPr>
          <w:rFonts w:ascii="Arial" w:hAnsi="Arial" w:cs="Arial"/>
        </w:rPr>
      </w:pPr>
      <w:r w:rsidRPr="007944FA">
        <w:rPr>
          <w:rFonts w:ascii="Arial" w:hAnsi="Arial" w:cs="Arial"/>
        </w:rPr>
        <w:t>Za mednarodni pomorski promet JRC-IDEES ocenjuje podatke za geografske kategorije znotraj EU/zunaj EU in znotraj EGP/zunaj EGP. Ocene emisij v evidenci TGP že vključujejo CO</w:t>
      </w:r>
      <w:r w:rsidRPr="007944FA">
        <w:rPr>
          <w:rFonts w:ascii="Arial" w:hAnsi="Arial" w:cs="Arial"/>
          <w:vertAlign w:val="subscript"/>
        </w:rPr>
        <w:t xml:space="preserve">2, </w:t>
      </w:r>
      <w:r w:rsidRPr="007944FA">
        <w:rPr>
          <w:rFonts w:ascii="Arial" w:hAnsi="Arial" w:cs="Arial"/>
        </w:rPr>
        <w:t>CH</w:t>
      </w:r>
      <w:r w:rsidRPr="007944FA">
        <w:rPr>
          <w:rFonts w:ascii="Arial" w:hAnsi="Arial" w:cs="Arial"/>
          <w:vertAlign w:val="subscript"/>
        </w:rPr>
        <w:t>4</w:t>
      </w:r>
      <w:r w:rsidRPr="007944FA">
        <w:rPr>
          <w:rFonts w:ascii="Arial" w:hAnsi="Arial" w:cs="Arial"/>
        </w:rPr>
        <w:t>, in pline N</w:t>
      </w:r>
      <w:r w:rsidRPr="007944FA">
        <w:rPr>
          <w:rFonts w:ascii="Arial" w:hAnsi="Arial" w:cs="Arial"/>
          <w:vertAlign w:val="subscript"/>
        </w:rPr>
        <w:t>2</w:t>
      </w:r>
      <w:r w:rsidRPr="007944FA">
        <w:rPr>
          <w:rFonts w:ascii="Arial" w:hAnsi="Arial" w:cs="Arial"/>
        </w:rPr>
        <w:t>O. Prometna dejavnost (tone/km) je ocenjena iz podatkov Eurostata o bruto teži prepeljanega blaga z uporabo podatkov na ravni pristanišča in na ravni države za kategorije znotraj in zunaj EU. Dejavnosti znotraj EU se nato prilagodijo tako, da se ujemajo s skupnimi vrednostmi Transport Pocketbook, pri čemer se upošteva domači obalni ladijski promet (umerjen ločeno v JRC-IDEES). Nato se transportna dejavnost združi s podatki, sporočenimi v okviru sistema spremljanja, poročanja in preverjanja za pomorski promet v okviru EU ETS („THETIS MRV“</w:t>
      </w:r>
      <w:r w:rsidRPr="007944FA">
        <w:rPr>
          <w:rStyle w:val="FootnoteReference"/>
          <w:rFonts w:ascii="Arial" w:hAnsi="Arial" w:cs="Arial"/>
        </w:rPr>
        <w:footnoteReference w:id="132"/>
      </w:r>
      <w:r w:rsidRPr="007944FA">
        <w:rPr>
          <w:rFonts w:ascii="Arial" w:hAnsi="Arial" w:cs="Arial"/>
        </w:rPr>
        <w:t xml:space="preserve">&gt; ), in sicer podatke o kilometrini na ravni EU in velikosti plovil za posamezne države za oceno faktorjev obremenitve (ton na premik). Faktorji obremenitve in posledična letna kilometrina (km) so umerjeni tako, da ustrezajo kilometrini </w:t>
      </w:r>
      <w:r w:rsidRPr="007944FA">
        <w:rPr>
          <w:rFonts w:ascii="Arial" w:hAnsi="Arial" w:cs="Arial"/>
        </w:rPr>
        <w:lastRenderedPageBreak/>
        <w:t>THETIS MRV na ravni EU. Letna kilometrina se nato kombinira s povprečno učinkovitostjo THETIS MRV, da dobimo skupno tehnično porabo energije, z ustreznimi emisijami, ki izhajajo iz privzetih faktorjev emisij. Ta poraba energije je prilagojena energetskim bilancam Eurostata, da se čim bolj zmanjša odstopanje od skupnih emisij THETIS MRV znotraj EU. Kot pri letalstvu, JRC-IDEES poroča o ustreznih razlikah glede vlog v okviru UNFCCC. Prva leta z vrzelmi v podatkih so ocenjena na podlagi obstoječih kazalnikov, kot sledi:</w:t>
      </w:r>
    </w:p>
    <w:p w14:paraId="7292EDE9"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Postopek se ponavlja proti letu 1990, začenši z najstarejšimi leti, v katerih so podatki na voljo v vsaki državi članici.</w:t>
      </w:r>
    </w:p>
    <w:p w14:paraId="09BDEC06"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Povprečna razdalja potovanj ostane nespremenjena za prva leta brez Eurostatovih podatkov o dejavnosti (običajno pred 1997–2000).</w:t>
      </w:r>
    </w:p>
    <w:p w14:paraId="561456B4"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Če faktorja obremenitve (ton na premik) ni mogoče oceniti zaradi pomanjkanja podatkov o dejavnosti, se ohrani konstanten.</w:t>
      </w:r>
    </w:p>
    <w:p w14:paraId="654F1DE4"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Če podatki o dejavnosti niso na voljo, so ocenjeni na podlagi porabe energije Eurostata.</w:t>
      </w:r>
    </w:p>
    <w:p w14:paraId="273AA040"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Manjkajoči podatki o kilometrini izhajajo iz ocen dejavnosti in faktorja obremenitve.</w:t>
      </w:r>
    </w:p>
    <w:p w14:paraId="0F228AB9"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Za prva leta brez podatkov se predpostavljajo konstantne vrednosti za faktorje, ki se uporabljajo za i) prilagajanje dejavnosti znotraj EU na Transport Pocketbook, ii) prilagajanje ocenjene kilometrine, da ustreza kilometrini THETIS MRV na ravni EU, in iii) prilagajanje domačih emisij CO</w:t>
      </w:r>
      <w:r w:rsidRPr="007944FA">
        <w:rPr>
          <w:rFonts w:ascii="Arial" w:hAnsi="Arial" w:cs="Arial"/>
          <w:sz w:val="22"/>
          <w:vertAlign w:val="subscript"/>
          <w:lang w:val="sl-SI"/>
        </w:rPr>
        <w:t>2</w:t>
      </w:r>
      <w:r w:rsidRPr="007944FA">
        <w:rPr>
          <w:rFonts w:ascii="Arial" w:hAnsi="Arial" w:cs="Arial"/>
          <w:sz w:val="22"/>
          <w:lang w:val="sl-SI"/>
        </w:rPr>
        <w:t xml:space="preserve"> in emisij CO</w:t>
      </w:r>
      <w:r w:rsidRPr="007944FA">
        <w:rPr>
          <w:rFonts w:ascii="Arial" w:hAnsi="Arial" w:cs="Arial"/>
          <w:sz w:val="22"/>
          <w:vertAlign w:val="subscript"/>
          <w:lang w:val="sl-SI"/>
        </w:rPr>
        <w:t>2</w:t>
      </w:r>
      <w:r w:rsidRPr="007944FA">
        <w:rPr>
          <w:rFonts w:ascii="Arial" w:hAnsi="Arial" w:cs="Arial"/>
          <w:sz w:val="22"/>
          <w:lang w:val="sl-SI"/>
        </w:rPr>
        <w:t xml:space="preserve"> znotraj EU, ocenjenih na podlagi porabe energije, tako da se ujemajo s skupnimi emisijami CO</w:t>
      </w:r>
      <w:r w:rsidRPr="007944FA">
        <w:rPr>
          <w:rFonts w:ascii="Arial" w:hAnsi="Arial" w:cs="Arial"/>
          <w:sz w:val="22"/>
          <w:vertAlign w:val="subscript"/>
          <w:lang w:val="sl-SI"/>
        </w:rPr>
        <w:t>2</w:t>
      </w:r>
      <w:r w:rsidRPr="007944FA">
        <w:rPr>
          <w:rFonts w:ascii="Arial" w:hAnsi="Arial" w:cs="Arial"/>
          <w:sz w:val="22"/>
          <w:lang w:val="sl-SI"/>
        </w:rPr>
        <w:t xml:space="preserve"> THETIS MRV.</w:t>
      </w:r>
    </w:p>
    <w:p w14:paraId="3B309C05" w14:textId="77777777" w:rsidR="00CC4C6D" w:rsidRPr="007944FA" w:rsidRDefault="00CC4C6D" w:rsidP="00CC4C6D">
      <w:pPr>
        <w:pStyle w:val="Bulletlist"/>
        <w:rPr>
          <w:rFonts w:ascii="Arial" w:hAnsi="Arial" w:cs="Arial"/>
          <w:sz w:val="22"/>
          <w:lang w:val="sl-SI"/>
        </w:rPr>
      </w:pPr>
      <w:r w:rsidRPr="007944FA">
        <w:rPr>
          <w:rFonts w:ascii="Arial" w:hAnsi="Arial" w:cs="Arial"/>
          <w:sz w:val="22"/>
          <w:lang w:val="sl-SI"/>
        </w:rPr>
        <w:t>Nazadnje se razmerja med ocenjenimi emisijami MRV in emisijami CO</w:t>
      </w:r>
      <w:r w:rsidRPr="007944FA">
        <w:rPr>
          <w:rFonts w:ascii="Arial" w:hAnsi="Arial" w:cs="Arial"/>
          <w:sz w:val="22"/>
          <w:vertAlign w:val="subscript"/>
          <w:lang w:val="sl-SI"/>
        </w:rPr>
        <w:t>2</w:t>
      </w:r>
      <w:r w:rsidRPr="007944FA">
        <w:rPr>
          <w:rFonts w:ascii="Arial" w:hAnsi="Arial" w:cs="Arial"/>
          <w:sz w:val="22"/>
          <w:lang w:val="sl-SI"/>
        </w:rPr>
        <w:t xml:space="preserve"> za sporočeno prometno dejavnost (za kategorije znotraj EU/EGP in zunaj EU/EGP) med letoma 2018 in 2021 uporabijo za izračun ocen, skladnih z MRV, nazaj na ravni iz leta 1990.</w:t>
      </w:r>
    </w:p>
    <w:p w14:paraId="52DE4A3A" w14:textId="77777777" w:rsidR="00CC4C6D" w:rsidRPr="007944FA" w:rsidRDefault="00CC4C6D" w:rsidP="00CC4C6D">
      <w:pPr>
        <w:pStyle w:val="Standardtext"/>
        <w:rPr>
          <w:rFonts w:ascii="Arial" w:eastAsia="Times New Roman" w:hAnsi="Arial" w:cs="Arial"/>
          <w:sz w:val="22"/>
        </w:rPr>
      </w:pPr>
      <w:r w:rsidRPr="007944FA">
        <w:rPr>
          <w:rFonts w:ascii="Arial" w:hAnsi="Arial" w:cs="Arial"/>
          <w:sz w:val="22"/>
        </w:rPr>
        <w:t>Za leto 2022 so bile emisije iz mednarodne plovbe in letalstva v okviru EU NDC ocenjene z uporabo enakega deleža teh emisij pri skupnih emisijah iz mednarodne plovbe in letalstva (kot je navedeno v evidenci toplogrednih plinov) kot leta 2021.</w:t>
      </w:r>
      <w:r w:rsidRPr="007944FA">
        <w:rPr>
          <w:rFonts w:ascii="Arial" w:hAnsi="Arial" w:cs="Arial"/>
          <w:b/>
          <w:sz w:val="22"/>
        </w:rPr>
        <w:t xml:space="preserve"> </w:t>
      </w:r>
      <w:r w:rsidRPr="007944FA">
        <w:rPr>
          <w:rFonts w:ascii="Arial" w:hAnsi="Arial" w:cs="Arial"/>
          <w:sz w:val="22"/>
        </w:rPr>
        <w:t xml:space="preserve"> </w:t>
      </w:r>
    </w:p>
    <w:p w14:paraId="06E5811D" w14:textId="3883EDE6" w:rsidR="00CC4C6D" w:rsidRPr="007944FA" w:rsidRDefault="00CC4C6D" w:rsidP="00CC4C6D">
      <w:pPr>
        <w:pStyle w:val="Standardtext"/>
        <w:rPr>
          <w:rFonts w:ascii="Arial" w:eastAsia="Times New Roman" w:hAnsi="Arial" w:cs="Arial"/>
          <w:sz w:val="22"/>
        </w:rPr>
      </w:pPr>
    </w:p>
    <w:tbl>
      <w:tblPr>
        <w:tblStyle w:val="TableGrid"/>
        <w:tblW w:w="9632" w:type="dxa"/>
        <w:tblInd w:w="-431" w:type="dxa"/>
        <w:tblLayout w:type="fixed"/>
        <w:tblLook w:val="06A0" w:firstRow="1" w:lastRow="0" w:firstColumn="1" w:lastColumn="0" w:noHBand="1" w:noVBand="1"/>
      </w:tblPr>
      <w:tblGrid>
        <w:gridCol w:w="1376"/>
        <w:gridCol w:w="1376"/>
        <w:gridCol w:w="1376"/>
        <w:gridCol w:w="1376"/>
        <w:gridCol w:w="1376"/>
        <w:gridCol w:w="1376"/>
        <w:gridCol w:w="1376"/>
      </w:tblGrid>
      <w:tr w:rsidR="00CC4C6D" w:rsidRPr="0093506F" w14:paraId="6C991C57" w14:textId="77777777" w:rsidTr="003E4B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76" w:type="dxa"/>
            <w:shd w:val="clear" w:color="auto" w:fill="529DBA"/>
          </w:tcPr>
          <w:p w14:paraId="2D96F440" w14:textId="77777777" w:rsidR="00CC4C6D" w:rsidRPr="003E4B53" w:rsidRDefault="00CC4C6D" w:rsidP="00CC4C6D">
            <w:pPr>
              <w:jc w:val="both"/>
              <w:rPr>
                <w:rFonts w:ascii="Arial" w:eastAsia="Tenorite" w:hAnsi="Arial" w:cs="Arial"/>
                <w:color w:val="auto"/>
                <w:szCs w:val="18"/>
              </w:rPr>
            </w:pPr>
            <w:r w:rsidRPr="003E4B53">
              <w:rPr>
                <w:rFonts w:ascii="Arial" w:hAnsi="Arial" w:cs="Arial"/>
                <w:szCs w:val="18"/>
              </w:rPr>
              <w:t>Emisije</w:t>
            </w:r>
          </w:p>
          <w:p w14:paraId="1325165E" w14:textId="77777777" w:rsidR="00CC4C6D" w:rsidRPr="003E4B53" w:rsidRDefault="00CC4C6D" w:rsidP="00CC4C6D">
            <w:pPr>
              <w:pStyle w:val="Standardtext"/>
              <w:rPr>
                <w:rFonts w:ascii="Arial" w:eastAsia="Times New Roman" w:hAnsi="Arial" w:cs="Arial"/>
                <w:color w:val="auto"/>
                <w:sz w:val="18"/>
                <w:szCs w:val="18"/>
              </w:rPr>
            </w:pPr>
          </w:p>
        </w:tc>
        <w:tc>
          <w:tcPr>
            <w:tcW w:w="2752" w:type="dxa"/>
            <w:gridSpan w:val="2"/>
            <w:shd w:val="clear" w:color="auto" w:fill="529DBA"/>
          </w:tcPr>
          <w:p w14:paraId="10D7C2D5" w14:textId="77777777" w:rsidR="00CC4C6D" w:rsidRPr="003E4B53"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3E4B53">
              <w:rPr>
                <w:rFonts w:ascii="Arial" w:hAnsi="Arial" w:cs="Arial"/>
                <w:szCs w:val="18"/>
              </w:rPr>
              <w:t>Domače letalstvo</w:t>
            </w:r>
          </w:p>
          <w:p w14:paraId="405A1F13" w14:textId="77777777" w:rsidR="00CC4C6D" w:rsidRPr="003E4B53"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rPr>
            </w:pPr>
          </w:p>
        </w:tc>
        <w:tc>
          <w:tcPr>
            <w:tcW w:w="4128" w:type="dxa"/>
            <w:gridSpan w:val="3"/>
            <w:shd w:val="clear" w:color="auto" w:fill="529DBA"/>
          </w:tcPr>
          <w:p w14:paraId="5C66F07F" w14:textId="77777777" w:rsidR="00CC4C6D" w:rsidRPr="003E4B53"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rPr>
            </w:pPr>
          </w:p>
          <w:p w14:paraId="742514BF" w14:textId="77777777" w:rsidR="00CC4C6D" w:rsidRPr="003E4B53"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3E4B53">
              <w:rPr>
                <w:rFonts w:ascii="Arial" w:hAnsi="Arial" w:cs="Arial"/>
                <w:szCs w:val="18"/>
              </w:rPr>
              <w:t>Letalstvo znotraj EGP</w:t>
            </w:r>
          </w:p>
          <w:p w14:paraId="4D99D0B5" w14:textId="77777777" w:rsidR="00CC4C6D" w:rsidRPr="003E4B53"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rPr>
            </w:pPr>
          </w:p>
        </w:tc>
        <w:tc>
          <w:tcPr>
            <w:tcW w:w="1376" w:type="dxa"/>
            <w:shd w:val="clear" w:color="auto" w:fill="529DBA"/>
          </w:tcPr>
          <w:p w14:paraId="20E88A32" w14:textId="77777777" w:rsidR="00CC4C6D" w:rsidRPr="003E4B53"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3E4B53">
              <w:rPr>
                <w:rFonts w:ascii="Arial" w:hAnsi="Arial" w:cs="Arial"/>
                <w:szCs w:val="18"/>
              </w:rPr>
              <w:t>Letalstvo zunaj EGP</w:t>
            </w:r>
          </w:p>
          <w:p w14:paraId="140A5CDC" w14:textId="77777777" w:rsidR="00CC4C6D" w:rsidRPr="003E4B53"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rPr>
            </w:pPr>
          </w:p>
        </w:tc>
      </w:tr>
      <w:tr w:rsidR="00CC4C6D" w:rsidRPr="0093506F" w14:paraId="4ECAA8C4" w14:textId="77777777" w:rsidTr="00CC4C6D">
        <w:trPr>
          <w:trHeight w:val="300"/>
        </w:trPr>
        <w:tc>
          <w:tcPr>
            <w:cnfStyle w:val="001000000000" w:firstRow="0" w:lastRow="0" w:firstColumn="1" w:lastColumn="0" w:oddVBand="0" w:evenVBand="0" w:oddHBand="0" w:evenHBand="0" w:firstRowFirstColumn="0" w:firstRowLastColumn="0" w:lastRowFirstColumn="0" w:lastRowLastColumn="0"/>
            <w:tcW w:w="1376" w:type="dxa"/>
          </w:tcPr>
          <w:p w14:paraId="48E12D31" w14:textId="77777777" w:rsidR="00CC4C6D" w:rsidRPr="007944FA" w:rsidRDefault="00CC4C6D" w:rsidP="00CC4C6D">
            <w:pPr>
              <w:jc w:val="both"/>
              <w:rPr>
                <w:rFonts w:ascii="Arial" w:eastAsia="Tenorite" w:hAnsi="Arial" w:cs="Arial"/>
                <w:szCs w:val="18"/>
              </w:rPr>
            </w:pPr>
            <w:r w:rsidRPr="007944FA">
              <w:rPr>
                <w:rFonts w:ascii="Arial" w:hAnsi="Arial" w:cs="Arial"/>
                <w:b/>
                <w:szCs w:val="18"/>
              </w:rPr>
              <w:t>Trenutna zaveza NDC</w:t>
            </w:r>
          </w:p>
          <w:p w14:paraId="018F86BF" w14:textId="77777777" w:rsidR="00CC4C6D" w:rsidRPr="007944FA" w:rsidRDefault="00CC4C6D" w:rsidP="00CC4C6D">
            <w:pPr>
              <w:pStyle w:val="Standardtext"/>
              <w:rPr>
                <w:rFonts w:ascii="Arial" w:eastAsia="Times New Roman" w:hAnsi="Arial" w:cs="Arial"/>
                <w:sz w:val="18"/>
                <w:szCs w:val="18"/>
              </w:rPr>
            </w:pPr>
          </w:p>
        </w:tc>
        <w:tc>
          <w:tcPr>
            <w:tcW w:w="1376" w:type="dxa"/>
          </w:tcPr>
          <w:p w14:paraId="7A310DF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 xml:space="preserve">Domači leti v EU </w:t>
            </w:r>
          </w:p>
          <w:p w14:paraId="46F1F953"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(npr. Palermo Milano</w:t>
            </w:r>
          </w:p>
        </w:tc>
        <w:tc>
          <w:tcPr>
            <w:tcW w:w="1376" w:type="dxa"/>
          </w:tcPr>
          <w:p w14:paraId="4BF6D1DF"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Domači leti ‘izven EU EGP’ (npr. Oslo v Bergen)</w:t>
            </w:r>
          </w:p>
          <w:p w14:paraId="56DE475B"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c>
          <w:tcPr>
            <w:tcW w:w="1376" w:type="dxa"/>
          </w:tcPr>
          <w:p w14:paraId="286444C1"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Leti med državami, ki niso članice EU EGP</w:t>
            </w:r>
          </w:p>
          <w:p w14:paraId="29AE59A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(od Osla do Reykjavika)</w:t>
            </w:r>
          </w:p>
          <w:p w14:paraId="20B26F0E"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c>
          <w:tcPr>
            <w:tcW w:w="1376" w:type="dxa"/>
          </w:tcPr>
          <w:p w14:paraId="785B2A93"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Leti znotraj EGP z odhodi z letališč EU</w:t>
            </w:r>
          </w:p>
        </w:tc>
        <w:tc>
          <w:tcPr>
            <w:tcW w:w="1376" w:type="dxa"/>
          </w:tcPr>
          <w:p w14:paraId="5C7D35F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 xml:space="preserve">Leti </w:t>
            </w:r>
          </w:p>
          <w:p w14:paraId="4A8C72F0"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do/z letališč EU do OMR</w:t>
            </w:r>
          </w:p>
          <w:p w14:paraId="09224718"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rPr>
            </w:pPr>
          </w:p>
        </w:tc>
        <w:tc>
          <w:tcPr>
            <w:tcW w:w="1376" w:type="dxa"/>
          </w:tcPr>
          <w:p w14:paraId="030E1866"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Odhodni leti z letališč EU v Združeno kraljestvo in Švico</w:t>
            </w:r>
          </w:p>
        </w:tc>
      </w:tr>
      <w:tr w:rsidR="00CC4C6D" w:rsidRPr="0093506F" w14:paraId="39DE08EA" w14:textId="77777777" w:rsidTr="00CC4C6D">
        <w:trPr>
          <w:trHeight w:val="300"/>
        </w:trPr>
        <w:tc>
          <w:tcPr>
            <w:cnfStyle w:val="001000000000" w:firstRow="0" w:lastRow="0" w:firstColumn="1" w:lastColumn="0" w:oddVBand="0" w:evenVBand="0" w:oddHBand="0" w:evenHBand="0" w:firstRowFirstColumn="0" w:firstRowLastColumn="0" w:lastRowFirstColumn="0" w:lastRowLastColumn="0"/>
            <w:tcW w:w="1376" w:type="dxa"/>
          </w:tcPr>
          <w:p w14:paraId="4FB94B62" w14:textId="77777777" w:rsidR="00CC4C6D" w:rsidRPr="007944FA" w:rsidRDefault="00CC4C6D" w:rsidP="00CC4C6D">
            <w:pPr>
              <w:jc w:val="both"/>
              <w:rPr>
                <w:rFonts w:ascii="Arial" w:eastAsia="Tenorite" w:hAnsi="Arial" w:cs="Arial"/>
                <w:szCs w:val="18"/>
              </w:rPr>
            </w:pPr>
            <w:r w:rsidRPr="007944FA">
              <w:rPr>
                <w:rFonts w:ascii="Arial" w:hAnsi="Arial" w:cs="Arial"/>
                <w:b/>
                <w:szCs w:val="18"/>
              </w:rPr>
              <w:t>Trenutna zaveza NDC</w:t>
            </w:r>
          </w:p>
          <w:p w14:paraId="128DD9D4" w14:textId="77777777" w:rsidR="00CC4C6D" w:rsidRPr="007944FA" w:rsidRDefault="00CC4C6D" w:rsidP="00CC4C6D">
            <w:pPr>
              <w:jc w:val="both"/>
              <w:rPr>
                <w:rFonts w:ascii="Arial" w:eastAsia="Tenorite" w:hAnsi="Arial" w:cs="Arial"/>
                <w:b/>
                <w:bCs/>
                <w:szCs w:val="18"/>
              </w:rPr>
            </w:pPr>
          </w:p>
        </w:tc>
        <w:tc>
          <w:tcPr>
            <w:tcW w:w="1376" w:type="dxa"/>
          </w:tcPr>
          <w:p w14:paraId="66EA4AB8"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p w14:paraId="4541513B"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p>
        </w:tc>
        <w:tc>
          <w:tcPr>
            <w:tcW w:w="1376" w:type="dxa"/>
          </w:tcPr>
          <w:p w14:paraId="75D61CD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Ne</w:t>
            </w:r>
          </w:p>
          <w:p w14:paraId="321D978F"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p>
        </w:tc>
        <w:tc>
          <w:tcPr>
            <w:tcW w:w="1376" w:type="dxa"/>
          </w:tcPr>
          <w:p w14:paraId="344C23FD"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Ne</w:t>
            </w:r>
          </w:p>
          <w:p w14:paraId="680D6EFC"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p>
        </w:tc>
        <w:tc>
          <w:tcPr>
            <w:tcW w:w="1376" w:type="dxa"/>
          </w:tcPr>
          <w:p w14:paraId="66679DB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p w14:paraId="301ABCCA"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p>
        </w:tc>
        <w:tc>
          <w:tcPr>
            <w:tcW w:w="1376" w:type="dxa"/>
          </w:tcPr>
          <w:p w14:paraId="0CC97185"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p w14:paraId="2714B084"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Od januarja 2024</w:t>
            </w:r>
          </w:p>
          <w:p w14:paraId="5FC49071"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p>
        </w:tc>
        <w:tc>
          <w:tcPr>
            <w:tcW w:w="1376" w:type="dxa"/>
          </w:tcPr>
          <w:p w14:paraId="12E62CC0"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p w14:paraId="234F723B"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 xml:space="preserve"> </w:t>
            </w:r>
          </w:p>
        </w:tc>
      </w:tr>
    </w:tbl>
    <w:p w14:paraId="384A5437" w14:textId="12582317" w:rsidR="00CC4C6D" w:rsidRPr="007944FA" w:rsidRDefault="00986B23" w:rsidP="00986B23">
      <w:pPr>
        <w:pStyle w:val="nikatabelee"/>
        <w:rPr>
          <w:rFonts w:eastAsia="Times New Roman"/>
        </w:rPr>
      </w:pPr>
      <w:bookmarkStart w:id="241" w:name="_Toc193195415"/>
      <w:r w:rsidRPr="007944FA">
        <w:t xml:space="preserve">Preglednica 30: </w:t>
      </w:r>
      <w:r w:rsidR="00CC4C6D" w:rsidRPr="007944FA">
        <w:t>Emisije iz letalstva, zajete v obsegu EU NDC</w:t>
      </w:r>
      <w:bookmarkEnd w:id="241"/>
    </w:p>
    <w:p w14:paraId="1608DDCA" w14:textId="77777777" w:rsidR="00CC4C6D" w:rsidRPr="007944FA" w:rsidRDefault="00CC4C6D" w:rsidP="00CC4C6D">
      <w:pPr>
        <w:jc w:val="both"/>
        <w:rPr>
          <w:rFonts w:ascii="Arial" w:hAnsi="Arial" w:cs="Arial"/>
        </w:rPr>
      </w:pPr>
    </w:p>
    <w:p w14:paraId="4F24E3F8" w14:textId="77777777" w:rsidR="00CC4C6D" w:rsidRPr="007944FA" w:rsidRDefault="00CC4C6D" w:rsidP="00CC4C6D">
      <w:pPr>
        <w:pStyle w:val="Standardtext"/>
        <w:rPr>
          <w:rFonts w:ascii="Arial" w:eastAsia="Times New Roman" w:hAnsi="Arial" w:cs="Arial"/>
          <w:sz w:val="22"/>
        </w:rPr>
      </w:pPr>
    </w:p>
    <w:tbl>
      <w:tblPr>
        <w:tblStyle w:val="TableGrid"/>
        <w:tblW w:w="9618" w:type="dxa"/>
        <w:tblInd w:w="-431" w:type="dxa"/>
        <w:tblLayout w:type="fixed"/>
        <w:tblLook w:val="06A0" w:firstRow="1" w:lastRow="0" w:firstColumn="1" w:lastColumn="0" w:noHBand="1" w:noVBand="1"/>
      </w:tblPr>
      <w:tblGrid>
        <w:gridCol w:w="1070"/>
        <w:gridCol w:w="1070"/>
        <w:gridCol w:w="1070"/>
        <w:gridCol w:w="1070"/>
        <w:gridCol w:w="1070"/>
        <w:gridCol w:w="1070"/>
        <w:gridCol w:w="1070"/>
        <w:gridCol w:w="1070"/>
        <w:gridCol w:w="1058"/>
      </w:tblGrid>
      <w:tr w:rsidR="00CC4C6D" w:rsidRPr="0093506F" w14:paraId="1B8F6D65" w14:textId="77777777" w:rsidTr="003E4B5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shd w:val="clear" w:color="auto" w:fill="529DBA"/>
          </w:tcPr>
          <w:p w14:paraId="2C622CF0" w14:textId="77777777" w:rsidR="00CC4C6D" w:rsidRPr="007944FA" w:rsidRDefault="00CC4C6D" w:rsidP="00CC4C6D">
            <w:pPr>
              <w:jc w:val="both"/>
              <w:rPr>
                <w:rFonts w:ascii="Arial" w:eastAsia="Tenorite" w:hAnsi="Arial" w:cs="Arial"/>
                <w:color w:val="auto"/>
                <w:szCs w:val="18"/>
              </w:rPr>
            </w:pPr>
            <w:r w:rsidRPr="007944FA">
              <w:rPr>
                <w:rFonts w:ascii="Arial" w:hAnsi="Arial" w:cs="Arial"/>
                <w:szCs w:val="18"/>
              </w:rPr>
              <w:t>Emisije</w:t>
            </w:r>
          </w:p>
          <w:p w14:paraId="4D62B679" w14:textId="77777777" w:rsidR="00CC4C6D" w:rsidRPr="007944FA" w:rsidRDefault="00CC4C6D" w:rsidP="00CC4C6D">
            <w:pPr>
              <w:pStyle w:val="Standardtext"/>
              <w:spacing w:after="0"/>
              <w:rPr>
                <w:rFonts w:ascii="Arial" w:eastAsia="Times New Roman" w:hAnsi="Arial" w:cs="Arial"/>
                <w:color w:val="auto"/>
                <w:sz w:val="18"/>
                <w:szCs w:val="18"/>
                <w:lang w:val="en-GB"/>
              </w:rPr>
            </w:pPr>
          </w:p>
        </w:tc>
        <w:tc>
          <w:tcPr>
            <w:tcW w:w="2140" w:type="dxa"/>
            <w:gridSpan w:val="2"/>
            <w:shd w:val="clear" w:color="auto" w:fill="529DBA"/>
          </w:tcPr>
          <w:p w14:paraId="5EFF1E24"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7944FA">
              <w:rPr>
                <w:rFonts w:ascii="Arial" w:hAnsi="Arial" w:cs="Arial"/>
                <w:szCs w:val="18"/>
              </w:rPr>
              <w:t>Domača pomorska plovba</w:t>
            </w:r>
          </w:p>
          <w:p w14:paraId="7C343147"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b w:val="0"/>
                <w:bCs/>
                <w:color w:val="auto"/>
                <w:szCs w:val="18"/>
                <w:lang w:val="en-GB"/>
              </w:rPr>
            </w:pPr>
          </w:p>
          <w:p w14:paraId="795367B3" w14:textId="77777777" w:rsidR="00CC4C6D" w:rsidRPr="007944FA" w:rsidRDefault="00CC4C6D" w:rsidP="00CC4C6D">
            <w:pPr>
              <w:pStyle w:val="Standardtext"/>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n-GB"/>
              </w:rPr>
            </w:pPr>
          </w:p>
        </w:tc>
        <w:tc>
          <w:tcPr>
            <w:tcW w:w="4280" w:type="dxa"/>
            <w:gridSpan w:val="4"/>
            <w:shd w:val="clear" w:color="auto" w:fill="529DBA"/>
          </w:tcPr>
          <w:p w14:paraId="0FBE486C" w14:textId="77777777" w:rsidR="00CC4C6D" w:rsidRPr="007944FA"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n-GB"/>
              </w:rPr>
            </w:pPr>
          </w:p>
          <w:p w14:paraId="11ED1D98"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7944FA">
              <w:rPr>
                <w:rFonts w:ascii="Arial" w:hAnsi="Arial" w:cs="Arial"/>
                <w:szCs w:val="18"/>
              </w:rPr>
              <w:t>Mednarodna pomorska plovba</w:t>
            </w:r>
          </w:p>
          <w:p w14:paraId="50951933"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b w:val="0"/>
                <w:bCs/>
                <w:color w:val="auto"/>
                <w:szCs w:val="18"/>
                <w:lang w:val="en-GB"/>
              </w:rPr>
            </w:pPr>
          </w:p>
          <w:p w14:paraId="02F49039" w14:textId="77777777" w:rsidR="00CC4C6D" w:rsidRPr="007944FA" w:rsidRDefault="00CC4C6D" w:rsidP="00CC4C6D">
            <w:pPr>
              <w:pStyle w:val="Standardtex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n-GB"/>
              </w:rPr>
            </w:pPr>
          </w:p>
        </w:tc>
        <w:tc>
          <w:tcPr>
            <w:tcW w:w="2128" w:type="dxa"/>
            <w:gridSpan w:val="2"/>
            <w:shd w:val="clear" w:color="auto" w:fill="529DBA"/>
          </w:tcPr>
          <w:p w14:paraId="7B4D9440"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b w:val="0"/>
                <w:bCs/>
                <w:color w:val="auto"/>
                <w:szCs w:val="18"/>
                <w:lang w:val="en-GB"/>
              </w:rPr>
            </w:pPr>
          </w:p>
          <w:p w14:paraId="6A3D4845"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color w:val="auto"/>
                <w:szCs w:val="18"/>
              </w:rPr>
            </w:pPr>
            <w:r w:rsidRPr="007944FA">
              <w:rPr>
                <w:rFonts w:ascii="Arial" w:hAnsi="Arial" w:cs="Arial"/>
                <w:szCs w:val="18"/>
              </w:rPr>
              <w:t>Mednarodna pomorska plovba</w:t>
            </w:r>
          </w:p>
          <w:p w14:paraId="4C0A7AEC" w14:textId="77777777" w:rsidR="00CC4C6D" w:rsidRPr="007944FA" w:rsidRDefault="00CC4C6D" w:rsidP="00CC4C6D">
            <w:pPr>
              <w:jc w:val="both"/>
              <w:cnfStyle w:val="100000000000" w:firstRow="1" w:lastRow="0" w:firstColumn="0" w:lastColumn="0" w:oddVBand="0" w:evenVBand="0" w:oddHBand="0" w:evenHBand="0" w:firstRowFirstColumn="0" w:firstRowLastColumn="0" w:lastRowFirstColumn="0" w:lastRowLastColumn="0"/>
              <w:rPr>
                <w:rFonts w:ascii="Arial" w:eastAsia="Tenorite" w:hAnsi="Arial" w:cs="Arial"/>
                <w:b w:val="0"/>
                <w:bCs/>
                <w:color w:val="auto"/>
                <w:szCs w:val="18"/>
                <w:lang w:val="en-GB"/>
              </w:rPr>
            </w:pPr>
          </w:p>
          <w:p w14:paraId="491A933D" w14:textId="77777777" w:rsidR="00CC4C6D" w:rsidRPr="007944FA" w:rsidRDefault="00CC4C6D" w:rsidP="00CC4C6D">
            <w:pPr>
              <w:pStyle w:val="Standardtext"/>
              <w:spacing w:after="0"/>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auto"/>
                <w:sz w:val="18"/>
                <w:szCs w:val="18"/>
                <w:lang w:val="en-GB"/>
              </w:rPr>
            </w:pPr>
          </w:p>
        </w:tc>
      </w:tr>
      <w:tr w:rsidR="00CC4C6D" w:rsidRPr="0093506F" w14:paraId="1BD9B641" w14:textId="77777777" w:rsidTr="00CC4C6D">
        <w:trPr>
          <w:trHeight w:val="300"/>
        </w:trPr>
        <w:tc>
          <w:tcPr>
            <w:cnfStyle w:val="001000000000" w:firstRow="0" w:lastRow="0" w:firstColumn="1" w:lastColumn="0" w:oddVBand="0" w:evenVBand="0" w:oddHBand="0" w:evenHBand="0" w:firstRowFirstColumn="0" w:firstRowLastColumn="0" w:lastRowFirstColumn="0" w:lastRowLastColumn="0"/>
            <w:tcW w:w="1070" w:type="dxa"/>
          </w:tcPr>
          <w:p w14:paraId="6864742F" w14:textId="77777777" w:rsidR="00CC4C6D" w:rsidRPr="007944FA" w:rsidRDefault="00CC4C6D" w:rsidP="00CC4C6D">
            <w:pPr>
              <w:pStyle w:val="Standardtext"/>
              <w:rPr>
                <w:rFonts w:ascii="Arial" w:eastAsia="Times New Roman" w:hAnsi="Arial" w:cs="Arial"/>
                <w:sz w:val="18"/>
                <w:szCs w:val="18"/>
                <w:lang w:val="en-GB"/>
              </w:rPr>
            </w:pPr>
          </w:p>
        </w:tc>
        <w:tc>
          <w:tcPr>
            <w:tcW w:w="1070" w:type="dxa"/>
          </w:tcPr>
          <w:p w14:paraId="70CA2DA0"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 xml:space="preserve">Domači leti v EU </w:t>
            </w:r>
          </w:p>
          <w:p w14:paraId="17454B50"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(npr. Palermo Milano</w:t>
            </w:r>
          </w:p>
        </w:tc>
        <w:tc>
          <w:tcPr>
            <w:tcW w:w="1070" w:type="dxa"/>
          </w:tcPr>
          <w:p w14:paraId="5866FD06"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 xml:space="preserve">Potovanja znotraj NO/IS </w:t>
            </w:r>
          </w:p>
          <w:p w14:paraId="0205BB88"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(npr. Oslo - Bergen</w:t>
            </w:r>
          </w:p>
          <w:p w14:paraId="30F7F68C"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pt-PT"/>
              </w:rPr>
            </w:pPr>
          </w:p>
        </w:tc>
        <w:tc>
          <w:tcPr>
            <w:tcW w:w="1070" w:type="dxa"/>
          </w:tcPr>
          <w:p w14:paraId="33BA1DCC"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Potovanja med dvema državama članicama EU</w:t>
            </w:r>
          </w:p>
          <w:p w14:paraId="0615E9CA"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(npr. Valencia - Rotterdam)</w:t>
            </w:r>
          </w:p>
          <w:p w14:paraId="11B6933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w:t>
            </w:r>
          </w:p>
          <w:p w14:paraId="243AA4F6"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en-GB"/>
              </w:rPr>
            </w:pPr>
          </w:p>
        </w:tc>
        <w:tc>
          <w:tcPr>
            <w:tcW w:w="1070" w:type="dxa"/>
          </w:tcPr>
          <w:p w14:paraId="78D72E22"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Potovanja med MS in NO/IS</w:t>
            </w:r>
          </w:p>
          <w:p w14:paraId="7211B41A"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(npr. Rotterdam - Oslo)</w:t>
            </w:r>
          </w:p>
          <w:p w14:paraId="2C373D10"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lang w:val="en-GB"/>
              </w:rPr>
            </w:pPr>
          </w:p>
        </w:tc>
        <w:tc>
          <w:tcPr>
            <w:tcW w:w="1070" w:type="dxa"/>
          </w:tcPr>
          <w:p w14:paraId="5E2E4CC7"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Potovanja med državo članico EU in tretjo državo</w:t>
            </w:r>
          </w:p>
          <w:p w14:paraId="31445073"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val="pt-PT"/>
              </w:rPr>
            </w:pPr>
          </w:p>
        </w:tc>
        <w:tc>
          <w:tcPr>
            <w:tcW w:w="1070" w:type="dxa"/>
          </w:tcPr>
          <w:p w14:paraId="24CF23AC"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Potovanja med NO/IS in tretjo državo (ali IS/NO)</w:t>
            </w:r>
          </w:p>
          <w:p w14:paraId="3998336F"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lang w:val="en-GB"/>
              </w:rPr>
            </w:pPr>
          </w:p>
        </w:tc>
        <w:tc>
          <w:tcPr>
            <w:tcW w:w="1070" w:type="dxa"/>
          </w:tcPr>
          <w:p w14:paraId="1EF9FAC6"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Emisije v pristanišču države članice EU</w:t>
            </w:r>
          </w:p>
          <w:p w14:paraId="7716426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(navedeno pod domačimi emisijami)</w:t>
            </w:r>
          </w:p>
          <w:p w14:paraId="2BFEB719"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lang w:val="pt-PT"/>
              </w:rPr>
            </w:pPr>
          </w:p>
        </w:tc>
        <w:tc>
          <w:tcPr>
            <w:tcW w:w="1058" w:type="dxa"/>
          </w:tcPr>
          <w:p w14:paraId="65C304C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 xml:space="preserve">Emisije v pristanišču NO ali IS </w:t>
            </w:r>
          </w:p>
          <w:p w14:paraId="059B7089"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(ali druga tretja država)</w:t>
            </w:r>
          </w:p>
          <w:p w14:paraId="3738DF42" w14:textId="77777777" w:rsidR="00CC4C6D" w:rsidRPr="007944FA" w:rsidRDefault="00CC4C6D" w:rsidP="00CC4C6D">
            <w:pPr>
              <w:pStyle w:val="Standardtext"/>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lang w:val="en-GB"/>
              </w:rPr>
            </w:pPr>
          </w:p>
        </w:tc>
      </w:tr>
      <w:tr w:rsidR="00CC4C6D" w:rsidRPr="0093506F" w14:paraId="472F5EF4" w14:textId="77777777" w:rsidTr="00CC4C6D">
        <w:trPr>
          <w:trHeight w:val="567"/>
        </w:trPr>
        <w:tc>
          <w:tcPr>
            <w:cnfStyle w:val="001000000000" w:firstRow="0" w:lastRow="0" w:firstColumn="1" w:lastColumn="0" w:oddVBand="0" w:evenVBand="0" w:oddHBand="0" w:evenHBand="0" w:firstRowFirstColumn="0" w:firstRowLastColumn="0" w:lastRowFirstColumn="0" w:lastRowLastColumn="0"/>
            <w:tcW w:w="1070" w:type="dxa"/>
          </w:tcPr>
          <w:p w14:paraId="0A3195D6" w14:textId="77777777" w:rsidR="00CC4C6D" w:rsidRPr="007944FA" w:rsidRDefault="00CC4C6D" w:rsidP="00CC4C6D">
            <w:pPr>
              <w:jc w:val="both"/>
              <w:rPr>
                <w:rFonts w:ascii="Arial" w:eastAsia="Tenorite" w:hAnsi="Arial" w:cs="Arial"/>
                <w:szCs w:val="18"/>
              </w:rPr>
            </w:pPr>
            <w:r w:rsidRPr="007944FA">
              <w:rPr>
                <w:rFonts w:ascii="Arial" w:hAnsi="Arial" w:cs="Arial"/>
                <w:b/>
                <w:szCs w:val="18"/>
              </w:rPr>
              <w:t>Trenutna zaveza NDC</w:t>
            </w:r>
          </w:p>
          <w:p w14:paraId="2B4DEB64" w14:textId="77777777" w:rsidR="00CC4C6D" w:rsidRPr="007944FA" w:rsidRDefault="00CC4C6D" w:rsidP="00CC4C6D">
            <w:pPr>
              <w:jc w:val="both"/>
              <w:rPr>
                <w:rFonts w:ascii="Arial" w:eastAsia="Arial" w:hAnsi="Arial" w:cs="Arial"/>
                <w:szCs w:val="18"/>
              </w:rPr>
            </w:pPr>
            <w:r w:rsidRPr="007944FA">
              <w:rPr>
                <w:rFonts w:ascii="Arial" w:hAnsi="Arial" w:cs="Arial"/>
                <w:szCs w:val="18"/>
              </w:rPr>
              <w:t>(CO</w:t>
            </w:r>
            <w:r w:rsidRPr="007944FA">
              <w:rPr>
                <w:rFonts w:ascii="Arial" w:hAnsi="Arial" w:cs="Arial"/>
                <w:szCs w:val="18"/>
                <w:vertAlign w:val="subscript"/>
              </w:rPr>
              <w:t xml:space="preserve">2; </w:t>
            </w:r>
            <w:r w:rsidRPr="007944FA">
              <w:rPr>
                <w:rFonts w:ascii="Arial" w:hAnsi="Arial" w:cs="Arial"/>
                <w:szCs w:val="18"/>
              </w:rPr>
              <w:t>CH</w:t>
            </w:r>
            <w:r w:rsidRPr="007944FA">
              <w:rPr>
                <w:rFonts w:ascii="Arial" w:hAnsi="Arial" w:cs="Arial"/>
                <w:szCs w:val="18"/>
                <w:vertAlign w:val="subscript"/>
              </w:rPr>
              <w:t xml:space="preserve">4; </w:t>
            </w:r>
            <w:r w:rsidRPr="007944FA">
              <w:rPr>
                <w:rFonts w:ascii="Arial" w:hAnsi="Arial" w:cs="Arial"/>
                <w:szCs w:val="18"/>
              </w:rPr>
              <w:t>N</w:t>
            </w:r>
            <w:r w:rsidRPr="007944FA">
              <w:rPr>
                <w:rFonts w:ascii="Arial" w:hAnsi="Arial" w:cs="Arial"/>
                <w:szCs w:val="18"/>
                <w:vertAlign w:val="subscript"/>
              </w:rPr>
              <w:t>2</w:t>
            </w:r>
            <w:r w:rsidRPr="007944FA">
              <w:rPr>
                <w:rFonts w:ascii="Arial" w:hAnsi="Arial" w:cs="Arial"/>
                <w:szCs w:val="18"/>
              </w:rPr>
              <w:t>O)</w:t>
            </w:r>
          </w:p>
          <w:p w14:paraId="674C1B17" w14:textId="77777777" w:rsidR="00CC4C6D" w:rsidRPr="007944FA" w:rsidRDefault="00CC4C6D" w:rsidP="00CC4C6D">
            <w:pPr>
              <w:jc w:val="both"/>
              <w:rPr>
                <w:rFonts w:ascii="Arial" w:eastAsia="Arial" w:hAnsi="Arial" w:cs="Arial"/>
                <w:szCs w:val="18"/>
              </w:rPr>
            </w:pPr>
          </w:p>
          <w:p w14:paraId="6DB8314C" w14:textId="77777777" w:rsidR="00CC4C6D" w:rsidRPr="007944FA" w:rsidRDefault="00CC4C6D" w:rsidP="00CC4C6D">
            <w:pPr>
              <w:jc w:val="both"/>
              <w:rPr>
                <w:rFonts w:ascii="Arial" w:eastAsia="Tenorite" w:hAnsi="Arial" w:cs="Arial"/>
                <w:b/>
                <w:bCs/>
                <w:szCs w:val="18"/>
                <w:lang w:val="pt-PT"/>
              </w:rPr>
            </w:pPr>
          </w:p>
          <w:p w14:paraId="4E4818AF" w14:textId="77777777" w:rsidR="00CC4C6D" w:rsidRPr="007944FA" w:rsidRDefault="00CC4C6D" w:rsidP="00CC4C6D">
            <w:pPr>
              <w:jc w:val="both"/>
              <w:rPr>
                <w:rFonts w:ascii="Arial" w:eastAsia="Tenorite" w:hAnsi="Arial" w:cs="Arial"/>
                <w:b/>
                <w:bCs/>
                <w:szCs w:val="18"/>
                <w:lang w:val="pt-PT"/>
              </w:rPr>
            </w:pPr>
          </w:p>
        </w:tc>
        <w:tc>
          <w:tcPr>
            <w:tcW w:w="1070" w:type="dxa"/>
          </w:tcPr>
          <w:p w14:paraId="3EE7D6F4"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944FA">
              <w:rPr>
                <w:rFonts w:ascii="Arial" w:hAnsi="Arial" w:cs="Arial"/>
                <w:szCs w:val="18"/>
              </w:rPr>
              <w:t>Da</w:t>
            </w:r>
          </w:p>
        </w:tc>
        <w:tc>
          <w:tcPr>
            <w:tcW w:w="1070" w:type="dxa"/>
          </w:tcPr>
          <w:p w14:paraId="5F2E1F43"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Ne</w:t>
            </w:r>
          </w:p>
        </w:tc>
        <w:tc>
          <w:tcPr>
            <w:tcW w:w="1070" w:type="dxa"/>
          </w:tcPr>
          <w:p w14:paraId="07723844"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tc>
        <w:tc>
          <w:tcPr>
            <w:tcW w:w="1070" w:type="dxa"/>
          </w:tcPr>
          <w:p w14:paraId="43E543E6" w14:textId="77777777" w:rsidR="00CC4C6D" w:rsidRPr="007944FA" w:rsidRDefault="00CC4C6D" w:rsidP="00CC4C6D">
            <w:pPr>
              <w:pStyle w:val="Standardtext"/>
              <w:spacing w:after="0"/>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Ne</w:t>
            </w:r>
          </w:p>
        </w:tc>
        <w:tc>
          <w:tcPr>
            <w:tcW w:w="1070" w:type="dxa"/>
          </w:tcPr>
          <w:p w14:paraId="4D6A9510"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Ne</w:t>
            </w:r>
          </w:p>
        </w:tc>
        <w:tc>
          <w:tcPr>
            <w:tcW w:w="1070" w:type="dxa"/>
          </w:tcPr>
          <w:p w14:paraId="0CE55DBC"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Ne</w:t>
            </w:r>
          </w:p>
        </w:tc>
        <w:tc>
          <w:tcPr>
            <w:tcW w:w="1070" w:type="dxa"/>
          </w:tcPr>
          <w:p w14:paraId="56499D62" w14:textId="77777777" w:rsidR="00CC4C6D" w:rsidRPr="007944FA" w:rsidRDefault="00CC4C6D" w:rsidP="00CC4C6D">
            <w:pPr>
              <w:jc w:val="both"/>
              <w:cnfStyle w:val="000000000000" w:firstRow="0" w:lastRow="0" w:firstColumn="0" w:lastColumn="0" w:oddVBand="0" w:evenVBand="0" w:oddHBand="0" w:evenHBand="0" w:firstRowFirstColumn="0" w:firstRowLastColumn="0" w:lastRowFirstColumn="0" w:lastRowLastColumn="0"/>
              <w:rPr>
                <w:rFonts w:ascii="Arial" w:eastAsia="Tenorite" w:hAnsi="Arial" w:cs="Arial"/>
                <w:szCs w:val="18"/>
              </w:rPr>
            </w:pPr>
            <w:r w:rsidRPr="007944FA">
              <w:rPr>
                <w:rFonts w:ascii="Arial" w:hAnsi="Arial" w:cs="Arial"/>
                <w:szCs w:val="18"/>
              </w:rPr>
              <w:t>Da</w:t>
            </w:r>
          </w:p>
        </w:tc>
        <w:tc>
          <w:tcPr>
            <w:tcW w:w="1058" w:type="dxa"/>
          </w:tcPr>
          <w:p w14:paraId="61279942" w14:textId="77777777" w:rsidR="00CC4C6D" w:rsidRPr="007944FA" w:rsidRDefault="00CC4C6D" w:rsidP="00CC4C6D">
            <w:pPr>
              <w:pStyle w:val="Standardtext"/>
              <w:spacing w:after="0"/>
              <w:cnfStyle w:val="000000000000" w:firstRow="0" w:lastRow="0" w:firstColumn="0" w:lastColumn="0" w:oddVBand="0" w:evenVBand="0" w:oddHBand="0" w:evenHBand="0" w:firstRowFirstColumn="0" w:firstRowLastColumn="0" w:lastRowFirstColumn="0" w:lastRowLastColumn="0"/>
              <w:rPr>
                <w:rFonts w:ascii="Arial" w:eastAsia="Tenorite" w:hAnsi="Arial" w:cs="Arial"/>
                <w:sz w:val="18"/>
                <w:szCs w:val="18"/>
              </w:rPr>
            </w:pPr>
            <w:r w:rsidRPr="007944FA">
              <w:rPr>
                <w:rFonts w:ascii="Arial" w:hAnsi="Arial" w:cs="Arial"/>
                <w:sz w:val="18"/>
                <w:szCs w:val="18"/>
              </w:rPr>
              <w:t xml:space="preserve"> Ne</w:t>
            </w:r>
          </w:p>
        </w:tc>
      </w:tr>
    </w:tbl>
    <w:p w14:paraId="0EF6BF56" w14:textId="3C69D8A0" w:rsidR="00CC4C6D" w:rsidRPr="007944FA" w:rsidRDefault="00986B23" w:rsidP="00986B23">
      <w:pPr>
        <w:pStyle w:val="nikatabelee"/>
        <w:rPr>
          <w:rFonts w:eastAsia="Times New Roman"/>
        </w:rPr>
      </w:pPr>
      <w:bookmarkStart w:id="242" w:name="_Toc193195416"/>
      <w:r w:rsidRPr="007944FA">
        <w:t xml:space="preserve">Preglednica 31: </w:t>
      </w:r>
      <w:r w:rsidR="00CC4C6D" w:rsidRPr="007944FA">
        <w:t>Emisije pomorske plovbe, ki jih zajema EU NDC</w:t>
      </w:r>
      <w:bookmarkEnd w:id="242"/>
    </w:p>
    <w:p w14:paraId="7F5A98A5" w14:textId="77777777" w:rsidR="00CC4C6D" w:rsidRPr="00A57F7D" w:rsidRDefault="00CC4C6D" w:rsidP="00CC4C6D">
      <w:pPr>
        <w:jc w:val="both"/>
        <w:rPr>
          <w:rFonts w:ascii="Arial" w:hAnsi="Arial" w:cs="Arial"/>
          <w:highlight w:val="yellow"/>
          <w:lang w:val="en-GB"/>
        </w:rPr>
      </w:pPr>
    </w:p>
    <w:p w14:paraId="31FD9F80" w14:textId="66015A66" w:rsidR="00FB4DC5" w:rsidRPr="00A57F7D" w:rsidRDefault="00FB4DC5" w:rsidP="00FB4DC5">
      <w:pPr>
        <w:rPr>
          <w:highlight w:val="yellow"/>
        </w:rPr>
      </w:pPr>
    </w:p>
    <w:p w14:paraId="25919114" w14:textId="222E2712" w:rsidR="00FB4DC5" w:rsidRPr="00A57F7D" w:rsidRDefault="00FB4DC5">
      <w:pPr>
        <w:rPr>
          <w:highlight w:val="yellow"/>
        </w:rPr>
      </w:pPr>
      <w:r w:rsidRPr="00A57F7D">
        <w:rPr>
          <w:highlight w:val="yellow"/>
        </w:rPr>
        <w:br w:type="page"/>
      </w:r>
    </w:p>
    <w:p w14:paraId="1C71988F" w14:textId="2B1DEDB6" w:rsidR="00FB4DC5" w:rsidRPr="00FB4DC5" w:rsidRDefault="00FB4DC5" w:rsidP="00FB4DC5">
      <w:pPr>
        <w:rPr>
          <w:rFonts w:ascii="Arial" w:hAnsi="Arial" w:cs="Arial"/>
          <w:sz w:val="28"/>
          <w:szCs w:val="28"/>
        </w:rPr>
      </w:pPr>
      <w:r w:rsidRPr="00A57F7D">
        <w:rPr>
          <w:rFonts w:ascii="Arial" w:hAnsi="Arial" w:cs="Arial"/>
          <w:noProof/>
          <w:sz w:val="28"/>
          <w:szCs w:val="28"/>
          <w:highlight w:val="yellow"/>
          <w:lang w:eastAsia="sl-SI"/>
        </w:rPr>
        <w:lastRenderedPageBreak/>
        <w:drawing>
          <wp:anchor distT="0" distB="0" distL="114300" distR="114300" simplePos="0" relativeHeight="251663360" behindDoc="1" locked="0" layoutInCell="1" allowOverlap="1" wp14:anchorId="0F3188CC" wp14:editId="5F665D25">
            <wp:simplePos x="0" y="0"/>
            <wp:positionH relativeFrom="page">
              <wp:align>left</wp:align>
            </wp:positionH>
            <wp:positionV relativeFrom="paragraph">
              <wp:posOffset>-1204301</wp:posOffset>
            </wp:positionV>
            <wp:extent cx="7613015" cy="10953336"/>
            <wp:effectExtent l="0" t="0" r="6985" b="635"/>
            <wp:wrapNone/>
            <wp:docPr id="133093671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613015" cy="10953336"/>
                    </a:xfrm>
                    <a:prstGeom prst="rect">
                      <a:avLst/>
                    </a:prstGeom>
                    <a:noFill/>
                  </pic:spPr>
                </pic:pic>
              </a:graphicData>
            </a:graphic>
            <wp14:sizeRelH relativeFrom="margin">
              <wp14:pctWidth>0</wp14:pctWidth>
            </wp14:sizeRelH>
            <wp14:sizeRelV relativeFrom="margin">
              <wp14:pctHeight>0</wp14:pctHeight>
            </wp14:sizeRelV>
          </wp:anchor>
        </w:drawing>
      </w:r>
    </w:p>
    <w:sectPr w:rsidR="00FB4DC5" w:rsidRPr="00FB4DC5" w:rsidSect="0096636B">
      <w:headerReference w:type="even" r:id="rId93"/>
      <w:headerReference w:type="default" r:id="rId94"/>
      <w:footerReference w:type="even" r:id="rId95"/>
      <w:footerReference w:type="default" r:id="rId96"/>
      <w:headerReference w:type="first" r:id="rId97"/>
      <w:footerReference w:type="first" r:id="rId98"/>
      <w:pgSz w:w="11906" w:h="16838"/>
      <w:pgMar w:top="1417" w:right="1558"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5C672" w14:textId="77777777" w:rsidR="00C01DBC" w:rsidRDefault="00C01DBC" w:rsidP="001C4609">
      <w:pPr>
        <w:spacing w:after="0" w:line="240" w:lineRule="auto"/>
      </w:pPr>
      <w:r>
        <w:separator/>
      </w:r>
    </w:p>
  </w:endnote>
  <w:endnote w:type="continuationSeparator" w:id="0">
    <w:p w14:paraId="0ECD5AE0" w14:textId="77777777" w:rsidR="00C01DBC" w:rsidRDefault="00C01DBC" w:rsidP="001C46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4D"/>
    <w:family w:val="auto"/>
    <w:pitch w:val="variable"/>
    <w:sig w:usb0="A00000FF" w:usb1="4000205B" w:usb2="00000000" w:usb3="00000000" w:csb0="00000093" w:csb1="00000000"/>
  </w:font>
  <w:font w:name="Tenorite">
    <w:charset w:val="00"/>
    <w:family w:val="auto"/>
    <w:pitch w:val="variable"/>
    <w:sig w:usb0="80000003" w:usb1="00000001"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2442412"/>
      <w:docPartObj>
        <w:docPartGallery w:val="Page Numbers (Bottom of Page)"/>
        <w:docPartUnique/>
      </w:docPartObj>
    </w:sdtPr>
    <w:sdtEndPr/>
    <w:sdtContent>
      <w:p w14:paraId="21ABCADF" w14:textId="77777777" w:rsidR="00692B40" w:rsidRDefault="00692B40">
        <w:pPr>
          <w:pStyle w:val="Footer"/>
        </w:pPr>
        <w:r>
          <w:fldChar w:fldCharType="begin"/>
        </w:r>
        <w:r>
          <w:instrText>PAGE   \* MERGEFORMAT</w:instrText>
        </w:r>
        <w:r>
          <w:fldChar w:fldCharType="separate"/>
        </w:r>
        <w:r>
          <w:rPr>
            <w:noProof/>
          </w:rPr>
          <w:t>32</w:t>
        </w:r>
        <w:r>
          <w:fldChar w:fldCharType="end"/>
        </w:r>
      </w:p>
    </w:sdtContent>
  </w:sdt>
  <w:p w14:paraId="569295FE" w14:textId="77777777" w:rsidR="00692B40" w:rsidRDefault="00692B40"/>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4537" w14:textId="77777777" w:rsidR="00692B40" w:rsidRDefault="00692B40" w:rsidP="006D46D8">
    <w:pPr>
      <w:pStyle w:val="Footer"/>
      <w:jc w:val="righ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883907"/>
      <w:docPartObj>
        <w:docPartGallery w:val="Page Numbers (Bottom of Page)"/>
        <w:docPartUnique/>
      </w:docPartObj>
    </w:sdtPr>
    <w:sdtEndPr/>
    <w:sdtContent>
      <w:p w14:paraId="2DDFB623" w14:textId="77777777" w:rsidR="00692B40" w:rsidRDefault="00692B40">
        <w:pPr>
          <w:pStyle w:val="Footer"/>
        </w:pPr>
        <w:r>
          <w:fldChar w:fldCharType="begin"/>
        </w:r>
        <w:r>
          <w:instrText>PAGE   \* MERGEFORMAT</w:instrText>
        </w:r>
        <w:r>
          <w:fldChar w:fldCharType="separate"/>
        </w:r>
        <w:r>
          <w:t>32</w:t>
        </w:r>
        <w: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4748121"/>
      <w:docPartObj>
        <w:docPartGallery w:val="Page Numbers (Bottom of Page)"/>
        <w:docPartUnique/>
      </w:docPartObj>
    </w:sdtPr>
    <w:sdtEndPr/>
    <w:sdtContent>
      <w:p w14:paraId="187F54CE" w14:textId="77777777" w:rsidR="00692B40" w:rsidRDefault="00692B40" w:rsidP="006D46D8">
        <w:pPr>
          <w:pStyle w:val="Footer"/>
          <w:jc w:val="right"/>
        </w:pPr>
        <w:r>
          <w:fldChar w:fldCharType="begin"/>
        </w:r>
        <w:r>
          <w:instrText>PAGE   \* MERGEFORMAT</w:instrText>
        </w:r>
        <w:r>
          <w:fldChar w:fldCharType="separate"/>
        </w:r>
        <w:r w:rsidR="00A57F7D">
          <w:rPr>
            <w:noProof/>
          </w:rPr>
          <w:t>207</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505E5" w14:textId="77777777" w:rsidR="00692B40" w:rsidRDefault="00692B40" w:rsidP="006D46D8">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0755929"/>
      <w:docPartObj>
        <w:docPartGallery w:val="Page Numbers (Bottom of Page)"/>
        <w:docPartUnique/>
      </w:docPartObj>
    </w:sdtPr>
    <w:sdtEndPr/>
    <w:sdtContent>
      <w:p w14:paraId="76018D60" w14:textId="77777777" w:rsidR="00692B40" w:rsidRDefault="00692B40">
        <w:pPr>
          <w:pStyle w:val="Footer"/>
        </w:pPr>
        <w:r>
          <w:fldChar w:fldCharType="begin"/>
        </w:r>
        <w:r>
          <w:instrText>PAGE   \* MERGEFORMAT</w:instrText>
        </w:r>
        <w:r>
          <w:fldChar w:fldCharType="separate"/>
        </w:r>
        <w:r>
          <w:t>32</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396753"/>
      <w:docPartObj>
        <w:docPartGallery w:val="Page Numbers (Bottom of Page)"/>
        <w:docPartUnique/>
      </w:docPartObj>
    </w:sdtPr>
    <w:sdtEndPr/>
    <w:sdtContent>
      <w:p w14:paraId="001D3590" w14:textId="77777777" w:rsidR="00692B40" w:rsidRDefault="00692B40" w:rsidP="006D46D8">
        <w:pPr>
          <w:pStyle w:val="Footer"/>
          <w:jc w:val="right"/>
        </w:pPr>
        <w:r>
          <w:fldChar w:fldCharType="begin"/>
        </w:r>
        <w:r>
          <w:instrText>PAGE   \* MERGEFORMAT</w:instrText>
        </w:r>
        <w:r>
          <w:fldChar w:fldCharType="separate"/>
        </w:r>
        <w:r w:rsidR="00A57F7D">
          <w:rPr>
            <w:noProof/>
          </w:rPr>
          <w:t>212</w:t>
        </w:r>
        <w: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25D51" w14:textId="77777777" w:rsidR="00692B40" w:rsidRDefault="00692B40" w:rsidP="006D46D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269554"/>
      <w:docPartObj>
        <w:docPartGallery w:val="Page Numbers (Bottom of Page)"/>
        <w:docPartUnique/>
      </w:docPartObj>
    </w:sdtPr>
    <w:sdtEndPr/>
    <w:sdtContent>
      <w:p w14:paraId="66EB6EA3" w14:textId="77777777" w:rsidR="00692B40" w:rsidRDefault="00692B40" w:rsidP="006D46D8">
        <w:pPr>
          <w:pStyle w:val="Footer"/>
          <w:jc w:val="right"/>
        </w:pPr>
        <w:r>
          <w:fldChar w:fldCharType="begin"/>
        </w:r>
        <w:r>
          <w:instrText>PAGE   \* MERGEFORMAT</w:instrText>
        </w:r>
        <w:r>
          <w:fldChar w:fldCharType="separate"/>
        </w:r>
        <w:r w:rsidR="00A57F7D">
          <w:rPr>
            <w:noProof/>
          </w:rPr>
          <w:t>96</w:t>
        </w:r>
        <w:r>
          <w:fldChar w:fldCharType="end"/>
        </w:r>
      </w:p>
    </w:sdtContent>
  </w:sdt>
  <w:p w14:paraId="7100503C" w14:textId="77777777" w:rsidR="00692B40" w:rsidRDefault="00692B4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4B6D" w14:textId="77777777" w:rsidR="00692B40" w:rsidRDefault="00692B40" w:rsidP="006D46D8">
    <w:pPr>
      <w:pStyle w:val="Footer"/>
      <w:jc w:val="right"/>
    </w:pPr>
  </w:p>
  <w:p w14:paraId="68BC4BF8" w14:textId="77777777" w:rsidR="00692B40" w:rsidRDefault="00692B4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03705"/>
      <w:docPartObj>
        <w:docPartGallery w:val="Page Numbers (Bottom of Page)"/>
        <w:docPartUnique/>
      </w:docPartObj>
    </w:sdtPr>
    <w:sdtEndPr/>
    <w:sdtContent>
      <w:p w14:paraId="2E11768D" w14:textId="77777777" w:rsidR="00692B40" w:rsidRDefault="00692B40">
        <w:pPr>
          <w:pStyle w:val="Footer"/>
        </w:pPr>
        <w:r>
          <w:fldChar w:fldCharType="begin"/>
        </w:r>
        <w:r>
          <w:instrText>PAGE   \* MERGEFORMAT</w:instrText>
        </w:r>
        <w:r>
          <w:fldChar w:fldCharType="separate"/>
        </w:r>
        <w:r>
          <w:rPr>
            <w:noProof/>
          </w:rPr>
          <w:t>32</w:t>
        </w:r>
        <w:r>
          <w:fldChar w:fldCharType="end"/>
        </w:r>
      </w:p>
    </w:sdtContent>
  </w:sdt>
  <w:p w14:paraId="6EFDC7FA" w14:textId="77777777" w:rsidR="00692B40" w:rsidRDefault="00692B4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074920"/>
      <w:docPartObj>
        <w:docPartGallery w:val="Page Numbers (Bottom of Page)"/>
        <w:docPartUnique/>
      </w:docPartObj>
    </w:sdtPr>
    <w:sdtEndPr/>
    <w:sdtContent>
      <w:p w14:paraId="709E7B83" w14:textId="77777777" w:rsidR="00692B40" w:rsidRDefault="00692B40" w:rsidP="006D46D8">
        <w:pPr>
          <w:pStyle w:val="Footer"/>
          <w:jc w:val="right"/>
        </w:pPr>
        <w:r>
          <w:fldChar w:fldCharType="begin"/>
        </w:r>
        <w:r>
          <w:instrText>PAGE   \* MERGEFORMAT</w:instrText>
        </w:r>
        <w:r>
          <w:fldChar w:fldCharType="separate"/>
        </w:r>
        <w:r w:rsidR="00A57F7D">
          <w:rPr>
            <w:noProof/>
          </w:rPr>
          <w:t>136</w:t>
        </w:r>
        <w:r>
          <w:fldChar w:fldCharType="end"/>
        </w:r>
      </w:p>
    </w:sdtContent>
  </w:sdt>
  <w:p w14:paraId="0AF54A6D" w14:textId="77777777" w:rsidR="00692B40" w:rsidRDefault="00692B4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12068" w14:textId="77777777" w:rsidR="00692B40" w:rsidRDefault="00692B40" w:rsidP="006D46D8">
    <w:pPr>
      <w:pStyle w:val="Footer"/>
      <w:jc w:val="right"/>
    </w:pPr>
  </w:p>
  <w:p w14:paraId="0665352A" w14:textId="77777777" w:rsidR="00692B40" w:rsidRDefault="00692B4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67775"/>
      <w:docPartObj>
        <w:docPartGallery w:val="Page Numbers (Bottom of Page)"/>
        <w:docPartUnique/>
      </w:docPartObj>
    </w:sdtPr>
    <w:sdtEndPr/>
    <w:sdtContent>
      <w:p w14:paraId="3289CB6A" w14:textId="77777777" w:rsidR="00692B40" w:rsidRDefault="00692B40">
        <w:pPr>
          <w:pStyle w:val="Footer"/>
          <w:jc w:val="right"/>
        </w:pPr>
        <w:r>
          <w:fldChar w:fldCharType="begin"/>
        </w:r>
        <w:r>
          <w:instrText>PAGE   \* MERGEFORMAT</w:instrText>
        </w:r>
        <w:r>
          <w:fldChar w:fldCharType="separate"/>
        </w:r>
        <w:r w:rsidR="00A57F7D">
          <w:rPr>
            <w:noProof/>
          </w:rPr>
          <w:t>186</w:t>
        </w:r>
        <w:r>
          <w:fldChar w:fldCharType="end"/>
        </w:r>
      </w:p>
    </w:sdtContent>
  </w:sdt>
  <w:p w14:paraId="6B4D6D09" w14:textId="77777777" w:rsidR="00692B40" w:rsidRDefault="00692B4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615720"/>
      <w:docPartObj>
        <w:docPartGallery w:val="Page Numbers (Bottom of Page)"/>
        <w:docPartUnique/>
      </w:docPartObj>
    </w:sdtPr>
    <w:sdtEndPr/>
    <w:sdtContent>
      <w:p w14:paraId="08F8205A" w14:textId="77777777" w:rsidR="00692B40" w:rsidRDefault="00692B40">
        <w:pPr>
          <w:pStyle w:val="Footer"/>
        </w:pPr>
        <w:r>
          <w:fldChar w:fldCharType="begin"/>
        </w:r>
        <w:r>
          <w:instrText>PAGE   \* MERGEFORMAT</w:instrText>
        </w:r>
        <w:r>
          <w:fldChar w:fldCharType="separate"/>
        </w:r>
        <w:r>
          <w:t>32</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2933823"/>
      <w:docPartObj>
        <w:docPartGallery w:val="Page Numbers (Bottom of Page)"/>
        <w:docPartUnique/>
      </w:docPartObj>
    </w:sdtPr>
    <w:sdtEndPr/>
    <w:sdtContent>
      <w:p w14:paraId="6F0B91F8" w14:textId="77777777" w:rsidR="00692B40" w:rsidRDefault="00692B40" w:rsidP="006D46D8">
        <w:pPr>
          <w:pStyle w:val="Footer"/>
          <w:jc w:val="right"/>
        </w:pPr>
        <w:r>
          <w:fldChar w:fldCharType="begin"/>
        </w:r>
        <w:r>
          <w:instrText>PAGE   \* MERGEFORMAT</w:instrText>
        </w:r>
        <w:r>
          <w:fldChar w:fldCharType="separate"/>
        </w:r>
        <w:r w:rsidR="00A57F7D">
          <w:rPr>
            <w:noProof/>
          </w:rPr>
          <w:t>203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B6A90" w14:textId="77777777" w:rsidR="00C01DBC" w:rsidRDefault="00C01DBC" w:rsidP="001C4609">
      <w:pPr>
        <w:spacing w:after="0" w:line="240" w:lineRule="auto"/>
      </w:pPr>
      <w:r>
        <w:separator/>
      </w:r>
    </w:p>
  </w:footnote>
  <w:footnote w:type="continuationSeparator" w:id="0">
    <w:p w14:paraId="3E26D9E6" w14:textId="77777777" w:rsidR="00C01DBC" w:rsidRDefault="00C01DBC" w:rsidP="001C4609">
      <w:pPr>
        <w:spacing w:after="0" w:line="240" w:lineRule="auto"/>
      </w:pPr>
      <w:r>
        <w:continuationSeparator/>
      </w:r>
    </w:p>
  </w:footnote>
  <w:footnote w:id="1">
    <w:p w14:paraId="5C3F2B70" w14:textId="77777777" w:rsidR="00692B40" w:rsidRPr="00B92112" w:rsidRDefault="00692B40" w:rsidP="00B92112">
      <w:pPr>
        <w:pStyle w:val="FootnoteText"/>
        <w:jc w:val="both"/>
        <w:rPr>
          <w:rFonts w:ascii="Arial" w:hAnsi="Arial" w:cs="Arial"/>
          <w:sz w:val="18"/>
          <w:szCs w:val="18"/>
        </w:rPr>
      </w:pPr>
      <w:r w:rsidRPr="001C4609">
        <w:rPr>
          <w:rStyle w:val="FootnoteReference"/>
          <w:rFonts w:ascii="Arial" w:hAnsi="Arial" w:cs="Arial"/>
          <w:sz w:val="18"/>
          <w:szCs w:val="18"/>
        </w:rPr>
        <w:footnoteRef/>
      </w:r>
      <w:r w:rsidRPr="001C4609">
        <w:rPr>
          <w:rFonts w:ascii="Arial" w:hAnsi="Arial" w:cs="Arial"/>
          <w:sz w:val="18"/>
          <w:szCs w:val="18"/>
        </w:rPr>
        <w:t xml:space="preserve"> </w:t>
      </w:r>
      <w:hyperlink r:id="rId1" w:history="1">
        <w:r w:rsidRPr="00B92112">
          <w:rPr>
            <w:rStyle w:val="Hyperlink"/>
            <w:rFonts w:ascii="Arial" w:hAnsi="Arial" w:cs="Arial"/>
            <w:color w:val="auto"/>
            <w:sz w:val="18"/>
            <w:szCs w:val="18"/>
          </w:rPr>
          <w:t>https://unfccc.int/documents/644792</w:t>
        </w:r>
      </w:hyperlink>
      <w:r w:rsidRPr="00B92112">
        <w:rPr>
          <w:rStyle w:val="Hyperlink"/>
          <w:rFonts w:ascii="Arial" w:hAnsi="Arial" w:cs="Arial"/>
          <w:color w:val="auto"/>
          <w:sz w:val="18"/>
          <w:szCs w:val="18"/>
        </w:rPr>
        <w:t>,</w:t>
      </w:r>
    </w:p>
    <w:p w14:paraId="7E723D8D" w14:textId="77777777" w:rsidR="00692B40" w:rsidRPr="00B92112" w:rsidRDefault="00032C2E" w:rsidP="00B92112">
      <w:pPr>
        <w:pStyle w:val="FootnoteText"/>
        <w:jc w:val="both"/>
        <w:rPr>
          <w:rFonts w:ascii="Arial" w:hAnsi="Arial" w:cs="Arial"/>
          <w:sz w:val="18"/>
          <w:szCs w:val="18"/>
        </w:rPr>
      </w:pPr>
      <w:hyperlink r:id="rId2" w:history="1">
        <w:r w:rsidR="00692B40" w:rsidRPr="00B92112">
          <w:rPr>
            <w:rStyle w:val="Hyperlink"/>
            <w:rFonts w:ascii="Arial" w:hAnsi="Arial" w:cs="Arial"/>
            <w:color w:val="auto"/>
            <w:sz w:val="18"/>
            <w:szCs w:val="18"/>
          </w:rPr>
          <w:t>https://unfccc.int/documents/644829</w:t>
        </w:r>
      </w:hyperlink>
    </w:p>
    <w:p w14:paraId="7FB05091" w14:textId="77777777" w:rsidR="00692B40" w:rsidRPr="007944FA" w:rsidRDefault="00032C2E" w:rsidP="00B92112">
      <w:pPr>
        <w:pStyle w:val="FootnoteText"/>
        <w:jc w:val="both"/>
        <w:rPr>
          <w:rFonts w:ascii="Arial" w:hAnsi="Arial" w:cs="Arial"/>
          <w:sz w:val="18"/>
          <w:szCs w:val="18"/>
        </w:rPr>
      </w:pPr>
      <w:hyperlink r:id="rId3" w:history="1">
        <w:r w:rsidR="00692B40" w:rsidRPr="00B92112">
          <w:rPr>
            <w:rStyle w:val="Hyperlink"/>
            <w:rFonts w:ascii="Arial" w:hAnsi="Arial" w:cs="Arial"/>
            <w:color w:val="auto"/>
            <w:sz w:val="18"/>
            <w:szCs w:val="18"/>
          </w:rPr>
          <w:t>Slovenia. 2024 National Inventory Document (NID). Annexes | UNFCCC</w:t>
        </w:r>
      </w:hyperlink>
      <w:r w:rsidR="00692B40" w:rsidRPr="00B92112">
        <w:rPr>
          <w:rStyle w:val="Hyperlink"/>
          <w:rFonts w:ascii="Arial" w:hAnsi="Arial" w:cs="Arial"/>
          <w:color w:val="auto"/>
          <w:sz w:val="18"/>
          <w:szCs w:val="18"/>
        </w:rPr>
        <w:t>.</w:t>
      </w:r>
      <w:r w:rsidR="00692B40" w:rsidRPr="007944FA">
        <w:rPr>
          <w:rFonts w:ascii="Arial" w:hAnsi="Arial" w:cs="Arial"/>
          <w:sz w:val="18"/>
          <w:szCs w:val="18"/>
        </w:rPr>
        <w:t xml:space="preserve"> </w:t>
      </w:r>
    </w:p>
  </w:footnote>
  <w:footnote w:id="2">
    <w:p w14:paraId="7F84910C" w14:textId="7B3BAB50"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4" w:history="1">
        <w:r w:rsidRPr="007944FA">
          <w:rPr>
            <w:rStyle w:val="Hyperlink"/>
            <w:rFonts w:ascii="Arial" w:hAnsi="Arial" w:cs="Arial"/>
            <w:color w:val="auto"/>
            <w:sz w:val="18"/>
            <w:szCs w:val="18"/>
          </w:rPr>
          <w:t>https://meteo.arso.gov.si/met/sl/climate/current/</w:t>
        </w:r>
      </w:hyperlink>
      <w:r w:rsidRPr="007944FA">
        <w:rPr>
          <w:rStyle w:val="Hyperlink"/>
          <w:rFonts w:ascii="Arial" w:hAnsi="Arial" w:cs="Arial"/>
          <w:color w:val="auto"/>
          <w:sz w:val="18"/>
          <w:szCs w:val="18"/>
        </w:rPr>
        <w:t>.</w:t>
      </w:r>
    </w:p>
  </w:footnote>
  <w:footnote w:id="3">
    <w:p w14:paraId="1BBD724C"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5" w:history="1">
        <w:r w:rsidRPr="007944FA">
          <w:rPr>
            <w:rStyle w:val="Hyperlink"/>
            <w:rFonts w:ascii="Arial" w:hAnsi="Arial" w:cs="Arial"/>
            <w:color w:val="auto"/>
            <w:sz w:val="18"/>
            <w:szCs w:val="18"/>
          </w:rPr>
          <w:t>https://www.facebook.com/ArsoVreme/</w:t>
        </w:r>
      </w:hyperlink>
      <w:r w:rsidRPr="007944FA">
        <w:rPr>
          <w:rStyle w:val="Hyperlink"/>
          <w:rFonts w:ascii="Arial" w:hAnsi="Arial" w:cs="Arial"/>
          <w:color w:val="auto"/>
          <w:sz w:val="18"/>
          <w:szCs w:val="18"/>
        </w:rPr>
        <w:t>.</w:t>
      </w:r>
    </w:p>
  </w:footnote>
  <w:footnote w:id="4">
    <w:p w14:paraId="4DD687AE"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6" w:history="1">
        <w:r w:rsidRPr="007944FA">
          <w:rPr>
            <w:rStyle w:val="Hyperlink"/>
            <w:rFonts w:ascii="Arial" w:hAnsi="Arial" w:cs="Arial"/>
            <w:color w:val="auto"/>
            <w:sz w:val="18"/>
            <w:szCs w:val="18"/>
          </w:rPr>
          <w:t>https://x.com/meteoSI</w:t>
        </w:r>
      </w:hyperlink>
      <w:r w:rsidRPr="007944FA">
        <w:rPr>
          <w:rStyle w:val="Hyperlink"/>
          <w:rFonts w:ascii="Arial" w:hAnsi="Arial" w:cs="Arial"/>
          <w:color w:val="auto"/>
          <w:sz w:val="18"/>
          <w:szCs w:val="18"/>
        </w:rPr>
        <w:t>.</w:t>
      </w:r>
    </w:p>
  </w:footnote>
  <w:footnote w:id="5">
    <w:p w14:paraId="3A1FEF49"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7" w:history="1">
        <w:r w:rsidRPr="007944FA">
          <w:rPr>
            <w:rStyle w:val="Hyperlink"/>
            <w:rFonts w:ascii="Arial" w:eastAsia="Segoe UI" w:hAnsi="Arial" w:cs="Arial"/>
            <w:color w:val="auto"/>
            <w:sz w:val="18"/>
            <w:szCs w:val="18"/>
          </w:rPr>
          <w:t>https://www.arso.gov.si/o%20agenciji/knji%c5%benica/mese%c4%8dni%20bilten./</w:t>
        </w:r>
      </w:hyperlink>
    </w:p>
  </w:footnote>
  <w:footnote w:id="6">
    <w:p w14:paraId="08D923C0"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Predelovalne dejavnosti in gradbeništvo.</w:t>
      </w:r>
    </w:p>
  </w:footnote>
  <w:footnote w:id="7">
    <w:p w14:paraId="6099E1CC" w14:textId="72AAA283" w:rsidR="00692B40" w:rsidRPr="00B92112" w:rsidRDefault="00692B40" w:rsidP="007944FA">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Uredba (EU) 2018/1999 o upravljanju energetske unije in podnebnih ukrepih, </w:t>
      </w:r>
      <w:hyperlink r:id="rId8" w:history="1">
        <w:r w:rsidRPr="007944FA">
          <w:rPr>
            <w:rStyle w:val="Hyperlink"/>
            <w:rFonts w:ascii="Arial" w:hAnsi="Arial" w:cs="Arial"/>
            <w:color w:val="auto"/>
            <w:sz w:val="18"/>
            <w:szCs w:val="18"/>
          </w:rPr>
          <w:t>http://data.europa.eu/eli/reg/2018/1999/oj</w:t>
        </w:r>
      </w:hyperlink>
      <w:r w:rsidRPr="007944FA">
        <w:rPr>
          <w:rStyle w:val="FootnoteZchn"/>
          <w:rFonts w:ascii="Arial" w:hAnsi="Arial" w:cs="Arial"/>
          <w:sz w:val="18"/>
          <w:szCs w:val="18"/>
        </w:rPr>
        <w:t>.</w:t>
      </w:r>
    </w:p>
  </w:footnote>
  <w:footnote w:id="8">
    <w:p w14:paraId="0A7834F1" w14:textId="1CB18013"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Poglavje II priloge k sklepu 18/CMA.1, </w:t>
      </w:r>
      <w:hyperlink r:id="rId9" w:history="1">
        <w:r w:rsidRPr="007944FA">
          <w:rPr>
            <w:rStyle w:val="Hyperlink"/>
            <w:rFonts w:ascii="Arial" w:hAnsi="Arial" w:cs="Arial"/>
            <w:color w:val="auto"/>
            <w:sz w:val="18"/>
            <w:szCs w:val="18"/>
          </w:rPr>
          <w:t>https://unfccc.int/documents/193408</w:t>
        </w:r>
      </w:hyperlink>
      <w:r w:rsidRPr="007944FA">
        <w:rPr>
          <w:rFonts w:ascii="Arial" w:hAnsi="Arial" w:cs="Arial"/>
          <w:sz w:val="18"/>
          <w:szCs w:val="18"/>
        </w:rPr>
        <w:t xml:space="preserve">; in sklep 5/CMA.3, </w:t>
      </w:r>
      <w:hyperlink r:id="rId10" w:history="1">
        <w:r w:rsidRPr="007944FA">
          <w:rPr>
            <w:rStyle w:val="Hyperlink"/>
            <w:rFonts w:ascii="Arial" w:hAnsi="Arial" w:cs="Arial"/>
            <w:color w:val="auto"/>
            <w:sz w:val="18"/>
            <w:szCs w:val="18"/>
          </w:rPr>
          <w:t>https://unfccc.int/documents/460951</w:t>
        </w:r>
      </w:hyperlink>
      <w:r w:rsidRPr="007944FA">
        <w:rPr>
          <w:rFonts w:ascii="Arial" w:hAnsi="Arial" w:cs="Arial"/>
          <w:sz w:val="18"/>
          <w:szCs w:val="18"/>
        </w:rPr>
        <w:t>.</w:t>
      </w:r>
    </w:p>
  </w:footnote>
  <w:footnote w:id="9">
    <w:p w14:paraId="4093AF42" w14:textId="243AE565"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Smernice IPCC 2006 za državne evidence toplogrednih plinov, </w:t>
      </w:r>
      <w:hyperlink r:id="rId11" w:history="1">
        <w:r w:rsidRPr="007944FA">
          <w:rPr>
            <w:rStyle w:val="Hyperlink"/>
            <w:rFonts w:ascii="Arial" w:hAnsi="Arial" w:cs="Arial"/>
            <w:color w:val="auto"/>
            <w:sz w:val="18"/>
            <w:szCs w:val="18"/>
          </w:rPr>
          <w:t>https://www.ipcc-nggip.iges.or.jp/public/2006gl/</w:t>
        </w:r>
      </w:hyperlink>
      <w:r w:rsidRPr="007944FA">
        <w:rPr>
          <w:rFonts w:ascii="Arial" w:hAnsi="Arial" w:cs="Arial"/>
          <w:sz w:val="18"/>
          <w:szCs w:val="18"/>
        </w:rPr>
        <w:t xml:space="preserve">; ter na prostovoljni osnovi: Izpopolnitev iz leta 2019 za Smernice IPCC 2006 za državne evidence toplogrednih plinov, </w:t>
      </w:r>
      <w:hyperlink r:id="rId12" w:history="1">
        <w:r w:rsidRPr="007944FA">
          <w:rPr>
            <w:rStyle w:val="Hyperlink"/>
            <w:rFonts w:ascii="Arial" w:hAnsi="Arial" w:cs="Arial"/>
            <w:color w:val="auto"/>
            <w:sz w:val="18"/>
            <w:szCs w:val="18"/>
          </w:rPr>
          <w:t>https://www.ipcc.ch/report/2019-refinement-to-the-2006-ipcc-guidelines-for-national-greenhouse-gas-inventories/</w:t>
        </w:r>
      </w:hyperlink>
      <w:r w:rsidRPr="007944FA">
        <w:rPr>
          <w:rFonts w:ascii="Arial" w:hAnsi="Arial" w:cs="Arial"/>
          <w:sz w:val="18"/>
          <w:szCs w:val="18"/>
        </w:rPr>
        <w:t>.</w:t>
      </w:r>
    </w:p>
  </w:footnote>
  <w:footnote w:id="10">
    <w:p w14:paraId="7CB7492B" w14:textId="278949A5"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Evropska komisija, Skupno raziskovalno središče, Rózsai, M., Jaxa-Rozen, M., Salvucci, R., Sikora, P., Tattini, J. in Neuwahl, F., JRC-IDEES-2021: Integrirana zbirka podatkov evropskega energetskega sistema – Posodobitev podatkov in tehnična dokumentacija, Urad za publikacije Evropske unije, Luksemburg, 2024, </w:t>
      </w:r>
      <w:hyperlink r:id="rId13" w:history="1">
        <w:r w:rsidRPr="007944FA">
          <w:rPr>
            <w:rStyle w:val="Hyperlink"/>
            <w:rFonts w:ascii="Arial" w:hAnsi="Arial" w:cs="Arial"/>
            <w:color w:val="auto"/>
            <w:sz w:val="18"/>
            <w:szCs w:val="18"/>
          </w:rPr>
          <w:t>https://publications.jrc.ec.europa.eu/repository/handle/JRC137809</w:t>
        </w:r>
      </w:hyperlink>
      <w:r w:rsidRPr="007944FA">
        <w:rPr>
          <w:rFonts w:ascii="Arial" w:hAnsi="Arial" w:cs="Arial"/>
          <w:sz w:val="18"/>
          <w:szCs w:val="18"/>
        </w:rPr>
        <w:t>.</w:t>
      </w:r>
    </w:p>
  </w:footnote>
  <w:footnote w:id="11">
    <w:p w14:paraId="1E7F00CB" w14:textId="6533664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Poročilo o napredku podnebnih ukrepov 2024, </w:t>
      </w:r>
      <w:hyperlink r:id="rId14" w:history="1">
        <w:r w:rsidRPr="007944FA">
          <w:rPr>
            <w:rStyle w:val="Hyperlink"/>
            <w:rFonts w:ascii="Arial" w:hAnsi="Arial" w:cs="Arial"/>
            <w:color w:val="auto"/>
            <w:sz w:val="18"/>
            <w:szCs w:val="18"/>
          </w:rPr>
          <w:t>https://climate.ec.europa.eu/document/download/d0671350-37f2-4bc4-88e8-088d0508fb03_en?filename=COM_2024_498_F1_REPORT_FROM_COMMISSION_EN_V4_P1_3729454.PDF</w:t>
        </w:r>
      </w:hyperlink>
    </w:p>
  </w:footnote>
  <w:footnote w:id="12">
    <w:p w14:paraId="094E1D21" w14:textId="75C9DF22"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Trendi in projekcije v Evropi 2024, https://www.eea.europa.eu/en/analysis/publications/trends-and-projections-in-europe-2024</w:t>
      </w:r>
      <w:hyperlink r:id="rId15" w:anchor=":~:text=About%20thereport,gainsandimprovedenergyefficiency." w:history="1">
        <w:r w:rsidRPr="007944FA">
          <w:rPr>
            <w:rStyle w:val="Hyperlink"/>
            <w:rFonts w:ascii="Arial" w:hAnsi="Arial" w:cs="Arial"/>
            <w:color w:val="auto"/>
            <w:sz w:val="18"/>
            <w:szCs w:val="18"/>
          </w:rPr>
          <w:t>https://www.eea.europa.eu/en/newsroom/news/eea-trends-and-projections</w:t>
        </w:r>
      </w:hyperlink>
    </w:p>
  </w:footnote>
  <w:footnote w:id="13">
    <w:p w14:paraId="7D7D1748"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Nacionalno poročilo o evidencah antropogenih emisij toplogrednih plinov (NID) je dostopno na spletni strani UNFCCC.</w:t>
      </w:r>
    </w:p>
  </w:footnote>
  <w:footnote w:id="14">
    <w:p w14:paraId="42F3334C"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16" w:history="1">
        <w:r w:rsidRPr="007944FA">
          <w:rPr>
            <w:rStyle w:val="Hyperlink"/>
            <w:rFonts w:ascii="Arial" w:hAnsi="Arial" w:cs="Arial"/>
            <w:color w:val="auto"/>
            <w:sz w:val="18"/>
            <w:szCs w:val="18"/>
          </w:rPr>
          <w:t>https://unfccc.int/documents/626622</w:t>
        </w:r>
      </w:hyperlink>
      <w:r w:rsidRPr="007944FA">
        <w:rPr>
          <w:rStyle w:val="Hyperlink"/>
          <w:rFonts w:ascii="Arial" w:hAnsi="Arial" w:cs="Arial"/>
          <w:color w:val="auto"/>
          <w:sz w:val="18"/>
          <w:szCs w:val="18"/>
        </w:rPr>
        <w:t>.</w:t>
      </w:r>
      <w:r w:rsidRPr="007944FA">
        <w:rPr>
          <w:rFonts w:ascii="Arial" w:hAnsi="Arial" w:cs="Arial"/>
          <w:sz w:val="18"/>
          <w:szCs w:val="18"/>
        </w:rPr>
        <w:t xml:space="preserve"> </w:t>
      </w:r>
    </w:p>
  </w:footnote>
  <w:footnote w:id="15">
    <w:p w14:paraId="0703B41E"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17" w:history="1">
        <w:r w:rsidRPr="007944FA">
          <w:rPr>
            <w:rStyle w:val="Hyperlink"/>
            <w:rFonts w:ascii="Arial" w:hAnsi="Arial" w:cs="Arial"/>
            <w:color w:val="auto"/>
            <w:sz w:val="18"/>
            <w:szCs w:val="18"/>
          </w:rPr>
          <w:t>https://podnebnapot2050.si/wp-content/uploads/2022/06/PO2022_Zvezek1_Cilji_KON_2022-06-15F.pdf</w:t>
        </w:r>
      </w:hyperlink>
      <w:r w:rsidRPr="007944FA">
        <w:rPr>
          <w:rStyle w:val="Hyperlink"/>
          <w:rFonts w:ascii="Arial" w:hAnsi="Arial" w:cs="Arial"/>
          <w:color w:val="auto"/>
          <w:sz w:val="18"/>
          <w:szCs w:val="18"/>
        </w:rPr>
        <w:t>.</w:t>
      </w:r>
      <w:r w:rsidRPr="007944FA">
        <w:rPr>
          <w:rFonts w:ascii="Arial" w:hAnsi="Arial" w:cs="Arial"/>
          <w:sz w:val="18"/>
          <w:szCs w:val="18"/>
        </w:rPr>
        <w:t xml:space="preserve"> </w:t>
      </w:r>
    </w:p>
  </w:footnote>
  <w:footnote w:id="16">
    <w:p w14:paraId="34219DA5"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18" w:history="1">
        <w:r w:rsidRPr="007944FA">
          <w:rPr>
            <w:rStyle w:val="Hyperlink"/>
            <w:rFonts w:ascii="Arial" w:hAnsi="Arial" w:cs="Arial"/>
            <w:color w:val="auto"/>
            <w:sz w:val="18"/>
            <w:szCs w:val="18"/>
          </w:rPr>
          <w:t>https://kazalci.arso.gov.si/sl/teme/po-doseganje-ciljev</w:t>
        </w:r>
      </w:hyperlink>
      <w:r w:rsidRPr="007944FA">
        <w:rPr>
          <w:rStyle w:val="Hyperlink"/>
          <w:rFonts w:ascii="Arial" w:hAnsi="Arial" w:cs="Arial"/>
          <w:color w:val="auto"/>
          <w:sz w:val="18"/>
          <w:szCs w:val="18"/>
        </w:rPr>
        <w:t>.</w:t>
      </w:r>
      <w:r w:rsidRPr="007944FA">
        <w:rPr>
          <w:rFonts w:ascii="Arial" w:hAnsi="Arial" w:cs="Arial"/>
          <w:sz w:val="18"/>
          <w:szCs w:val="18"/>
        </w:rPr>
        <w:t xml:space="preserve"> </w:t>
      </w:r>
    </w:p>
  </w:footnote>
  <w:footnote w:id="17">
    <w:p w14:paraId="08A98602" w14:textId="77777777" w:rsidR="00692B40" w:rsidRPr="00B92112"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19" w:history="1">
        <w:r w:rsidRPr="007944FA">
          <w:rPr>
            <w:rStyle w:val="Hyperlink"/>
            <w:rFonts w:ascii="Arial" w:hAnsi="Arial" w:cs="Arial"/>
            <w:color w:val="auto"/>
            <w:sz w:val="18"/>
            <w:szCs w:val="18"/>
          </w:rPr>
          <w:t>https://kazalci.arso.gov.si/index.php/sl/teme/podnebno-ogledalo</w:t>
        </w:r>
      </w:hyperlink>
      <w:r w:rsidRPr="007944FA">
        <w:rPr>
          <w:rStyle w:val="Hyperlink"/>
          <w:rFonts w:ascii="Arial" w:hAnsi="Arial" w:cs="Arial"/>
          <w:color w:val="auto"/>
          <w:sz w:val="18"/>
          <w:szCs w:val="18"/>
        </w:rPr>
        <w:t>.</w:t>
      </w:r>
      <w:r w:rsidRPr="007944FA">
        <w:rPr>
          <w:rFonts w:ascii="Arial" w:hAnsi="Arial" w:cs="Arial"/>
          <w:sz w:val="18"/>
          <w:szCs w:val="18"/>
        </w:rPr>
        <w:t xml:space="preserve"> </w:t>
      </w:r>
    </w:p>
  </w:footnote>
  <w:footnote w:id="18">
    <w:p w14:paraId="21DAFA46" w14:textId="18A9CB54"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To se nanaša na ETS1, to je sistem trgovanja z emisijami za stacionarne vire (poglavje III Direktive ETS) ter za letalski in pomorski promet (poglavje II Direktive ETS). Sistem trgovanja z emisijami za stavbe, </w:t>
      </w:r>
      <w:r w:rsidRPr="007944FA">
        <w:rPr>
          <w:rFonts w:ascii="Arial" w:hAnsi="Arial" w:cs="Arial"/>
          <w:sz w:val="18"/>
          <w:szCs w:val="18"/>
        </w:rPr>
        <w:t>cestni promet in dodatne sektorje (ETS2), ki je bil dodan leta 2023 kot poglavje IVa Direktive ETS, je instrument v okviru ESR.</w:t>
      </w:r>
    </w:p>
  </w:footnote>
  <w:footnote w:id="19">
    <w:p w14:paraId="4DB1BA2B" w14:textId="0A7C91FA"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Prečiščeno besedilo (2023) Uredbe (EU) 2018/1999 o upravljanju energetske unije in podnebnih ukrepih, </w:t>
      </w:r>
      <w:hyperlink r:id="rId20" w:history="1">
        <w:r w:rsidRPr="007944FA">
          <w:rPr>
            <w:rStyle w:val="Hyperlink"/>
            <w:rFonts w:ascii="Arial" w:hAnsi="Arial" w:cs="Arial"/>
            <w:color w:val="auto"/>
            <w:sz w:val="18"/>
            <w:szCs w:val="18"/>
          </w:rPr>
          <w:t>https://eur-lex.europa.eu/eli/reg/2018/1999/2023-11-20</w:t>
        </w:r>
      </w:hyperlink>
      <w:r w:rsidRPr="007944FA">
        <w:rPr>
          <w:rFonts w:ascii="Arial" w:hAnsi="Arial" w:cs="Arial"/>
          <w:sz w:val="18"/>
          <w:szCs w:val="18"/>
        </w:rPr>
        <w:t xml:space="preserve">. </w:t>
      </w:r>
    </w:p>
  </w:footnote>
  <w:footnote w:id="20">
    <w:p w14:paraId="79833EBB" w14:textId="6806B9B9"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Postopek odločanja, </w:t>
      </w:r>
      <w:hyperlink r:id="rId21" w:history="1">
        <w:r w:rsidRPr="007944FA">
          <w:rPr>
            <w:rStyle w:val="Hyperlink"/>
            <w:rFonts w:ascii="Arial" w:hAnsi="Arial" w:cs="Arial"/>
            <w:color w:val="auto"/>
            <w:sz w:val="18"/>
            <w:szCs w:val="18"/>
          </w:rPr>
          <w:t>https://ec.europa.eu/info/strategy/decision-making-process/how-decisions-are-made_en</w:t>
        </w:r>
      </w:hyperlink>
      <w:r w:rsidRPr="007944FA">
        <w:rPr>
          <w:rFonts w:ascii="Arial" w:hAnsi="Arial" w:cs="Arial"/>
          <w:sz w:val="18"/>
          <w:szCs w:val="18"/>
        </w:rPr>
        <w:t>.</w:t>
      </w:r>
    </w:p>
  </w:footnote>
  <w:footnote w:id="21">
    <w:p w14:paraId="3B0A7C67" w14:textId="2DE3F335"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Povejte svoje mnenje – javno posvetovanje in povratne informacije, </w:t>
      </w:r>
      <w:hyperlink r:id="rId22" w:history="1">
        <w:r w:rsidRPr="007944FA">
          <w:rPr>
            <w:rStyle w:val="Hyperlink"/>
            <w:rFonts w:ascii="Arial" w:hAnsi="Arial" w:cs="Arial"/>
            <w:color w:val="auto"/>
            <w:sz w:val="18"/>
            <w:szCs w:val="18"/>
          </w:rPr>
          <w:t>https://ec.europa.eu/info/law/better-regulation/have-your-say_en</w:t>
        </w:r>
      </w:hyperlink>
      <w:r w:rsidRPr="007944FA">
        <w:rPr>
          <w:rFonts w:ascii="Arial" w:hAnsi="Arial" w:cs="Arial"/>
          <w:sz w:val="18"/>
          <w:szCs w:val="18"/>
        </w:rPr>
        <w:t>.</w:t>
      </w:r>
    </w:p>
  </w:footnote>
  <w:footnote w:id="22">
    <w:p w14:paraId="4BD2AA3F"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23" w:history="1">
        <w:r w:rsidRPr="007944FA">
          <w:rPr>
            <w:rStyle w:val="Hyperlink"/>
            <w:rFonts w:ascii="Arial" w:hAnsi="Arial" w:cs="Arial"/>
            <w:color w:val="auto"/>
            <w:sz w:val="18"/>
            <w:szCs w:val="18"/>
          </w:rPr>
          <w:t>https://unfccc.int/documents/626622</w:t>
        </w:r>
      </w:hyperlink>
      <w:r w:rsidRPr="007944FA">
        <w:rPr>
          <w:rStyle w:val="Hyperlink"/>
          <w:rFonts w:ascii="Arial" w:hAnsi="Arial" w:cs="Arial"/>
          <w:color w:val="auto"/>
          <w:sz w:val="18"/>
          <w:szCs w:val="18"/>
        </w:rPr>
        <w:t>.</w:t>
      </w:r>
    </w:p>
  </w:footnote>
  <w:footnote w:id="23">
    <w:p w14:paraId="6BDA1A96"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24" w:history="1">
        <w:r w:rsidRPr="007944FA">
          <w:rPr>
            <w:rStyle w:val="Hyperlink"/>
            <w:rFonts w:ascii="Arial" w:hAnsi="Arial" w:cs="Arial"/>
            <w:color w:val="auto"/>
            <w:sz w:val="18"/>
            <w:szCs w:val="18"/>
          </w:rPr>
          <w:t>https://unfccc.int/documents/626622</w:t>
        </w:r>
      </w:hyperlink>
      <w:r w:rsidRPr="007944FA">
        <w:rPr>
          <w:rStyle w:val="Hyperlink"/>
          <w:rFonts w:ascii="Arial" w:hAnsi="Arial" w:cs="Arial"/>
          <w:color w:val="auto"/>
          <w:sz w:val="18"/>
          <w:szCs w:val="18"/>
        </w:rPr>
        <w:t>.</w:t>
      </w:r>
    </w:p>
  </w:footnote>
  <w:footnote w:id="24">
    <w:p w14:paraId="293AD552" w14:textId="77777777" w:rsidR="00692B40" w:rsidRPr="00B92112"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25" w:tgtFrame="_blank" w:history="1">
        <w:r w:rsidRPr="007944FA">
          <w:rPr>
            <w:rStyle w:val="Hyperlink"/>
            <w:rFonts w:ascii="Arial" w:hAnsi="Arial" w:cs="Arial"/>
            <w:color w:val="auto"/>
            <w:sz w:val="18"/>
            <w:szCs w:val="18"/>
          </w:rPr>
          <w:t>Poročilo o izvajanju Celovitega nacionalnega energetskega in podnebnega načrta</w:t>
        </w:r>
      </w:hyperlink>
      <w:r w:rsidRPr="007944FA">
        <w:rPr>
          <w:rFonts w:ascii="Arial" w:hAnsi="Arial" w:cs="Arial"/>
          <w:sz w:val="18"/>
          <w:szCs w:val="18"/>
        </w:rPr>
        <w:t>.</w:t>
      </w:r>
    </w:p>
  </w:footnote>
  <w:footnote w:id="25">
    <w:p w14:paraId="0923B60E" w14:textId="77777777" w:rsidR="00692B40" w:rsidRPr="007944FA" w:rsidRDefault="00692B40" w:rsidP="00B92112">
      <w:pPr>
        <w:spacing w:after="0" w:line="240" w:lineRule="auto"/>
        <w:ind w:left="709" w:hanging="709"/>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r w:rsidRPr="007944FA">
        <w:rPr>
          <w:rStyle w:val="FootnoteTextChar"/>
          <w:rFonts w:ascii="Arial" w:hAnsi="Arial" w:cs="Arial"/>
          <w:sz w:val="18"/>
          <w:szCs w:val="18"/>
        </w:rPr>
        <w:t xml:space="preserve">Zakon o varstvu okolja (ZVO 2) – </w:t>
      </w:r>
      <w:hyperlink r:id="rId26" w:history="1">
        <w:r w:rsidRPr="007944FA">
          <w:rPr>
            <w:rStyle w:val="Hyperlink"/>
            <w:rFonts w:ascii="Arial" w:hAnsi="Arial" w:cs="Arial"/>
            <w:color w:val="auto"/>
            <w:sz w:val="18"/>
            <w:szCs w:val="18"/>
          </w:rPr>
          <w:t>http://www.pisrs.si/Pis.web/pregledPredpisa?id=ZAKO8286</w:t>
        </w:r>
      </w:hyperlink>
      <w:r w:rsidRPr="007944FA">
        <w:rPr>
          <w:rStyle w:val="Hyperlink"/>
          <w:rFonts w:ascii="Arial" w:hAnsi="Arial" w:cs="Arial"/>
          <w:color w:val="auto"/>
          <w:sz w:val="18"/>
          <w:szCs w:val="18"/>
        </w:rPr>
        <w:t>.</w:t>
      </w:r>
      <w:r w:rsidRPr="007944FA">
        <w:rPr>
          <w:rStyle w:val="FootnoteTextChar"/>
          <w:rFonts w:ascii="Arial" w:hAnsi="Arial" w:cs="Arial"/>
          <w:sz w:val="18"/>
          <w:szCs w:val="18"/>
        </w:rPr>
        <w:t xml:space="preserve"> </w:t>
      </w:r>
    </w:p>
  </w:footnote>
  <w:footnote w:id="26">
    <w:p w14:paraId="3A0BFD99"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27" w:history="1">
        <w:r w:rsidRPr="007944FA">
          <w:rPr>
            <w:rStyle w:val="Hyperlink"/>
            <w:rFonts w:ascii="Arial" w:hAnsi="Arial" w:cs="Arial"/>
            <w:color w:val="auto"/>
            <w:sz w:val="18"/>
            <w:szCs w:val="18"/>
          </w:rPr>
          <w:t>https://unfccc.int/documents/626622</w:t>
        </w:r>
      </w:hyperlink>
      <w:r w:rsidRPr="007944FA">
        <w:rPr>
          <w:rStyle w:val="Hyperlink"/>
          <w:rFonts w:ascii="Arial" w:hAnsi="Arial" w:cs="Arial"/>
          <w:color w:val="auto"/>
          <w:sz w:val="18"/>
          <w:szCs w:val="18"/>
        </w:rPr>
        <w:t>.</w:t>
      </w:r>
    </w:p>
  </w:footnote>
  <w:footnote w:id="27">
    <w:p w14:paraId="699CBD98" w14:textId="58F5CD48" w:rsidR="00692B40" w:rsidRPr="007944FA" w:rsidRDefault="00692B40" w:rsidP="007944FA">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Posodobitev nacionalno določenega prispevka Evropske unije in njenih držav članic, </w:t>
      </w:r>
      <w:hyperlink r:id="rId28" w:history="1">
        <w:r w:rsidRPr="007944FA">
          <w:rPr>
            <w:rStyle w:val="Hyperlink"/>
            <w:rFonts w:ascii="Arial" w:hAnsi="Arial" w:cs="Arial"/>
            <w:color w:val="auto"/>
            <w:sz w:val="18"/>
            <w:szCs w:val="18"/>
          </w:rPr>
          <w:t>https://unfccc.int/sites/default/files/NDC/2023-10/ES-2023-10-17%20EU%20submission%20NDC%20update.pdf</w:t>
        </w:r>
      </w:hyperlink>
      <w:r w:rsidRPr="007944FA">
        <w:rPr>
          <w:rFonts w:ascii="Arial" w:hAnsi="Arial" w:cs="Arial"/>
          <w:sz w:val="18"/>
          <w:szCs w:val="18"/>
        </w:rPr>
        <w:t>.</w:t>
      </w:r>
    </w:p>
  </w:footnote>
  <w:footnote w:id="28">
    <w:p w14:paraId="6CF01572" w14:textId="53C30323" w:rsidR="00692B40" w:rsidRPr="00B92112"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Posodobitev nacionalno določenega prispevka Evropske unije in njenih držav članic, </w:t>
      </w:r>
      <w:hyperlink r:id="rId29" w:history="1">
        <w:r w:rsidRPr="007944FA">
          <w:rPr>
            <w:rStyle w:val="Hyperlink"/>
            <w:rFonts w:ascii="Arial" w:hAnsi="Arial" w:cs="Arial"/>
            <w:color w:val="auto"/>
            <w:sz w:val="18"/>
            <w:szCs w:val="18"/>
          </w:rPr>
          <w:t>https://unfccc.int/sites/default/files/NDC/2023-10/ES-2023-10-17%20EU%20submission%20NDC%20update.pdf</w:t>
        </w:r>
      </w:hyperlink>
      <w:r w:rsidRPr="007944FA">
        <w:rPr>
          <w:rFonts w:ascii="Arial" w:hAnsi="Arial" w:cs="Arial"/>
          <w:sz w:val="18"/>
          <w:szCs w:val="18"/>
        </w:rPr>
        <w:t>.</w:t>
      </w:r>
    </w:p>
  </w:footnote>
  <w:footnote w:id="29">
    <w:p w14:paraId="17D5E05C" w14:textId="66628774"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Evropska komisija, Skupno raziskovalno središče, Rózsai, M., Jaxa-Rozen, M., Salvucci, R., Sikora, P., Tattini, J. in Neuwahl, F., JRC-IDEES-2021: Integrirana zbirka podatkov evropskega energetskega sistema – Posodobitev podatkov in tehnična dokumentacija, Urad za publikacije Evropske unije, Luksemburg, 2024, </w:t>
      </w:r>
      <w:hyperlink r:id="rId30" w:history="1">
        <w:r w:rsidRPr="007944FA">
          <w:rPr>
            <w:rStyle w:val="Hyperlink"/>
            <w:rFonts w:ascii="Arial" w:hAnsi="Arial" w:cs="Arial"/>
            <w:color w:val="auto"/>
            <w:sz w:val="18"/>
            <w:szCs w:val="18"/>
          </w:rPr>
          <w:t>https://publications.jrc.ec.europa.eu/repository/handle/JRC137809</w:t>
        </w:r>
      </w:hyperlink>
      <w:r w:rsidRPr="007944FA">
        <w:rPr>
          <w:rFonts w:ascii="Arial" w:hAnsi="Arial" w:cs="Arial"/>
          <w:sz w:val="18"/>
          <w:szCs w:val="18"/>
        </w:rPr>
        <w:t>.</w:t>
      </w:r>
    </w:p>
  </w:footnote>
  <w:footnote w:id="30">
    <w:p w14:paraId="030CE06C" w14:textId="13B8B924"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Sklep 4/CMA.1, Nadaljnje smernice v zvezi z oddelkom o ublažitvi sklepa 1/CP21, </w:t>
      </w:r>
      <w:hyperlink r:id="rId31" w:history="1">
        <w:r w:rsidRPr="007944FA">
          <w:rPr>
            <w:rStyle w:val="Hyperlink"/>
            <w:rFonts w:ascii="Arial" w:hAnsi="Arial" w:cs="Arial"/>
            <w:color w:val="auto"/>
            <w:sz w:val="18"/>
            <w:szCs w:val="18"/>
          </w:rPr>
          <w:t>https://unfccc.int/documents/193407</w:t>
        </w:r>
      </w:hyperlink>
      <w:r w:rsidRPr="007944FA">
        <w:rPr>
          <w:rFonts w:ascii="Arial" w:hAnsi="Arial" w:cs="Arial"/>
          <w:sz w:val="18"/>
          <w:szCs w:val="18"/>
        </w:rPr>
        <w:t>.</w:t>
      </w:r>
    </w:p>
  </w:footnote>
  <w:footnote w:id="31">
    <w:p w14:paraId="185C9DAF" w14:textId="1CAE5B2D"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V času priprave poročila je bilo to MOPE.</w:t>
      </w:r>
    </w:p>
  </w:footnote>
  <w:footnote w:id="32">
    <w:p w14:paraId="341A130C" w14:textId="572964F1"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 leto 2005 je bila narejena simulacija količine emisije v EU-ETS za enak obseg, kot je bil v veljavi leta 2022.</w:t>
      </w:r>
    </w:p>
  </w:footnote>
  <w:footnote w:id="33">
    <w:p w14:paraId="67599058" w14:textId="466356B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Zakon o varstvu okolja (Uradni list RS, št. 39/06 – uradno prečiščeno besedilo, 49/06 – ZMetD, 66/06 – odl. US, 33/07 – ZPNačrt, 57/08 – ZFO-1A, 70/08, 108/09, 108/09 – ZPNačrt-A, 48/12, 57/12, 92/13, 56/15, 102/15, 30/16, 61/17 – GZ, 21/18 – ZNOrg in 84/18 – ZIURKOE).</w:t>
      </w:r>
    </w:p>
  </w:footnote>
  <w:footnote w:id="34">
    <w:p w14:paraId="720369C4" w14:textId="6C02A3C9"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Uredba o okoljski dajatvi za onesnaževanje zraka z emisijo ogljikovega dioksida (Uradni list RS, št. 48/18).</w:t>
      </w:r>
    </w:p>
  </w:footnote>
  <w:footnote w:id="35">
    <w:p w14:paraId="07FD7054" w14:textId="44EA2743"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Uredba o okoljski dajatvi za onesnaževanje zraka z emisijo ogljikovega dioksida (Uradni list RS, št. 48/18, 168/20, 44/22 – ZVO-2, 84/22, 104/22 in 118/22).</w:t>
      </w:r>
    </w:p>
  </w:footnote>
  <w:footnote w:id="36">
    <w:p w14:paraId="20CAFE31" w14:textId="65F115B2"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Uradni list RS, št. 75/24. 2328. Sklep o višini okoljske dajatve za onesnaževanje zraka z emisijo ogljikovega dioksida: </w:t>
      </w:r>
      <w:hyperlink r:id="rId32" w:history="1">
        <w:r w:rsidRPr="00B92112">
          <w:rPr>
            <w:rStyle w:val="Hyperlink"/>
            <w:rFonts w:ascii="Arial" w:hAnsi="Arial" w:cs="Arial"/>
            <w:color w:val="auto"/>
            <w:sz w:val="18"/>
            <w:szCs w:val="18"/>
          </w:rPr>
          <w:t>https://www.uradni-list.si/glasilo-uradni-list-rs/vsebina/2024-01-2328/sklep-o-visini-okoljske-dajatve-za-onesnazevanje-zraka-z-emisijo-ogljikovega-dioksida</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37">
    <w:p w14:paraId="26864FB4" w14:textId="6282E584" w:rsidR="00692B40" w:rsidRPr="00B92112" w:rsidRDefault="00692B40" w:rsidP="00B92112">
      <w:pPr>
        <w:pStyle w:val="FootnoteText"/>
        <w:jc w:val="both"/>
        <w:rPr>
          <w:rFonts w:ascii="Arial" w:eastAsia="Calibri"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33" w:history="1">
        <w:r w:rsidRPr="00B92112">
          <w:rPr>
            <w:rStyle w:val="Hyperlink"/>
            <w:rFonts w:ascii="Arial" w:eastAsia="Palatino Linotype" w:hAnsi="Arial" w:cs="Arial"/>
            <w:color w:val="auto"/>
            <w:sz w:val="18"/>
            <w:szCs w:val="18"/>
          </w:rPr>
          <w:t>https://www.energetika-portal.si/podrocja/energetika/ukrepi-za-omilitev-draginje-na-podrocju-energetike/naftni-derivati/</w:t>
        </w:r>
      </w:hyperlink>
      <w:r w:rsidRPr="00B92112">
        <w:rPr>
          <w:rStyle w:val="Hyperlink"/>
          <w:rFonts w:ascii="Arial" w:eastAsia="Palatino Linotype" w:hAnsi="Arial" w:cs="Arial"/>
          <w:color w:val="auto"/>
          <w:sz w:val="18"/>
          <w:szCs w:val="18"/>
          <w:u w:val="none"/>
        </w:rPr>
        <w:t>.</w:t>
      </w:r>
    </w:p>
  </w:footnote>
  <w:footnote w:id="38">
    <w:p w14:paraId="3A7E18EB" w14:textId="04425D63"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Uredba o zelenem javnem naročanju (Uradni list RS, št. 51/17, 64/19 in 121/21).</w:t>
      </w:r>
    </w:p>
  </w:footnote>
  <w:footnote w:id="39">
    <w:p w14:paraId="128EB5BB" w14:textId="665D0F41"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34" w:history="1">
        <w:r w:rsidRPr="00B92112">
          <w:rPr>
            <w:rStyle w:val="Hyperlink"/>
            <w:rFonts w:ascii="Arial" w:hAnsi="Arial" w:cs="Arial"/>
            <w:color w:val="auto"/>
            <w:sz w:val="18"/>
            <w:szCs w:val="18"/>
          </w:rPr>
          <w:t>https://ejn.gov.si/novice/novica-85.html</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40">
    <w:p w14:paraId="09747CC6" w14:textId="1CCEDD13" w:rsidR="00BF0580" w:rsidRPr="007944FA" w:rsidRDefault="00BF058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Uredba (EU) 2024/1781 o vzpostavitvi okvira za določitev zahtev za okoljsko primerno zasnovo za trajnostne izdelke, spremembi Direktive (EU) 2020/1828 in Uredbe (EU) 2023/1542 ter razveljavitvi Direktive 2009/125/ES</w:t>
      </w:r>
    </w:p>
  </w:footnote>
  <w:footnote w:id="41">
    <w:p w14:paraId="07DE8FEB" w14:textId="0B8E6A7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rPr>
        <w:t xml:space="preserve">Uradni list RS, </w:t>
      </w:r>
      <w:r w:rsidRPr="00B92112">
        <w:rPr>
          <w:rFonts w:ascii="Arial" w:hAnsi="Arial" w:cs="Arial"/>
          <w:sz w:val="18"/>
          <w:szCs w:val="18"/>
        </w:rPr>
        <w:t xml:space="preserve">št. </w:t>
      </w:r>
      <w:hyperlink r:id="rId35" w:tgtFrame="_blank" w:tooltip="Zakon o učinkoviti rabi energije (ZURE)" w:history="1">
        <w:r w:rsidRPr="00B92112">
          <w:rPr>
            <w:rStyle w:val="Hyperlink"/>
            <w:rFonts w:ascii="Arial" w:hAnsi="Arial" w:cs="Arial"/>
            <w:color w:val="auto"/>
            <w:sz w:val="18"/>
            <w:szCs w:val="18"/>
          </w:rPr>
          <w:t>158/20</w:t>
        </w:r>
      </w:hyperlink>
      <w:r w:rsidRPr="00B92112">
        <w:rPr>
          <w:rStyle w:val="Hyperlink"/>
          <w:rFonts w:ascii="Arial" w:hAnsi="Arial" w:cs="Arial"/>
          <w:color w:val="auto"/>
          <w:sz w:val="18"/>
          <w:szCs w:val="18"/>
          <w:u w:val="none"/>
        </w:rPr>
        <w:t>.</w:t>
      </w:r>
    </w:p>
  </w:footnote>
  <w:footnote w:id="42">
    <w:p w14:paraId="0043DAB4" w14:textId="64A6665A"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rPr>
        <w:t xml:space="preserve">Uradni list RS, št. </w:t>
      </w:r>
      <w:hyperlink r:id="rId36">
        <w:r w:rsidRPr="00B92112">
          <w:rPr>
            <w:rStyle w:val="Hyperlink"/>
            <w:rFonts w:ascii="Arial" w:eastAsia="Palatino Linotype" w:hAnsi="Arial" w:cs="Arial"/>
            <w:color w:val="auto"/>
            <w:sz w:val="18"/>
            <w:szCs w:val="18"/>
          </w:rPr>
          <w:t>96/14</w:t>
        </w:r>
      </w:hyperlink>
      <w:r w:rsidRPr="00B92112">
        <w:rPr>
          <w:rFonts w:ascii="Arial" w:eastAsia="Palatino Linotype" w:hAnsi="Arial" w:cs="Arial"/>
          <w:sz w:val="18"/>
          <w:szCs w:val="18"/>
        </w:rPr>
        <w:t xml:space="preserve">, </w:t>
      </w:r>
      <w:hyperlink r:id="rId37">
        <w:r w:rsidRPr="00B92112">
          <w:rPr>
            <w:rStyle w:val="Hyperlink"/>
            <w:rFonts w:ascii="Arial" w:eastAsia="Palatino Linotype" w:hAnsi="Arial" w:cs="Arial"/>
            <w:color w:val="auto"/>
            <w:sz w:val="18"/>
            <w:szCs w:val="18"/>
          </w:rPr>
          <w:t>158/20</w:t>
        </w:r>
      </w:hyperlink>
      <w:r w:rsidRPr="00B92112">
        <w:rPr>
          <w:rFonts w:ascii="Arial" w:eastAsia="Palatino Linotype" w:hAnsi="Arial" w:cs="Arial"/>
          <w:sz w:val="18"/>
          <w:szCs w:val="18"/>
        </w:rPr>
        <w:t xml:space="preserve"> – ZURE, </w:t>
      </w:r>
      <w:hyperlink r:id="rId38">
        <w:r w:rsidRPr="00B92112">
          <w:rPr>
            <w:rStyle w:val="Hyperlink"/>
            <w:rFonts w:ascii="Arial" w:eastAsia="Palatino Linotype" w:hAnsi="Arial" w:cs="Arial"/>
            <w:color w:val="auto"/>
            <w:sz w:val="18"/>
            <w:szCs w:val="18"/>
          </w:rPr>
          <w:t>84/22</w:t>
        </w:r>
      </w:hyperlink>
      <w:r w:rsidRPr="00B92112">
        <w:rPr>
          <w:rFonts w:ascii="Arial" w:eastAsia="Palatino Linotype" w:hAnsi="Arial" w:cs="Arial"/>
          <w:sz w:val="18"/>
          <w:szCs w:val="18"/>
        </w:rPr>
        <w:t xml:space="preserve">, </w:t>
      </w:r>
      <w:hyperlink r:id="rId39">
        <w:r w:rsidRPr="00B92112">
          <w:rPr>
            <w:rStyle w:val="Hyperlink"/>
            <w:rFonts w:ascii="Arial" w:eastAsia="Palatino Linotype" w:hAnsi="Arial" w:cs="Arial"/>
            <w:color w:val="auto"/>
            <w:sz w:val="18"/>
            <w:szCs w:val="18"/>
          </w:rPr>
          <w:t>86/22</w:t>
        </w:r>
      </w:hyperlink>
      <w:r w:rsidRPr="00B92112">
        <w:rPr>
          <w:rFonts w:ascii="Arial" w:eastAsia="Palatino Linotype" w:hAnsi="Arial" w:cs="Arial"/>
          <w:sz w:val="18"/>
          <w:szCs w:val="18"/>
        </w:rPr>
        <w:t xml:space="preserve"> in </w:t>
      </w:r>
      <w:hyperlink r:id="rId40">
        <w:r w:rsidRPr="00B92112">
          <w:rPr>
            <w:rStyle w:val="Hyperlink"/>
            <w:rFonts w:ascii="Arial" w:eastAsia="Palatino Linotype" w:hAnsi="Arial" w:cs="Arial"/>
            <w:color w:val="auto"/>
            <w:sz w:val="18"/>
            <w:szCs w:val="18"/>
          </w:rPr>
          <w:t>107/22</w:t>
        </w:r>
      </w:hyperlink>
      <w:r w:rsidRPr="00B92112">
        <w:rPr>
          <w:rStyle w:val="Hyperlink"/>
          <w:rFonts w:ascii="Arial" w:eastAsia="Palatino Linotype" w:hAnsi="Arial" w:cs="Arial"/>
          <w:color w:val="auto"/>
          <w:sz w:val="18"/>
          <w:szCs w:val="18"/>
          <w:u w:val="none"/>
        </w:rPr>
        <w:t>.</w:t>
      </w:r>
    </w:p>
  </w:footnote>
  <w:footnote w:id="43">
    <w:p w14:paraId="4629E4EF" w14:textId="1353799F"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41" w:history="1">
        <w:r w:rsidRPr="00B92112">
          <w:rPr>
            <w:rStyle w:val="Hyperlink"/>
            <w:rFonts w:ascii="Arial" w:hAnsi="Arial" w:cs="Arial"/>
            <w:color w:val="auto"/>
            <w:sz w:val="18"/>
            <w:szCs w:val="18"/>
          </w:rPr>
          <w:t>https://www.energetika-portal.si/fileadmin/dokumenti/publikacije/nepn/dokumenti/nepn_5.0_final_feb-2020.pdf</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44">
    <w:p w14:paraId="504091D8" w14:textId="046D921F"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42" w:history="1">
        <w:r w:rsidRPr="00B92112">
          <w:rPr>
            <w:rStyle w:val="Hyperlink"/>
            <w:rFonts w:ascii="Arial" w:hAnsi="Arial" w:cs="Arial"/>
            <w:color w:val="auto"/>
            <w:sz w:val="18"/>
            <w:szCs w:val="18"/>
          </w:rPr>
          <w:t>https://www.energetika-portal.si/fileadmin/dokumenti/publikacije/nepn/dokumenti/nepn2024_final_dec2024.pdf</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45">
    <w:p w14:paraId="5827FEB5" w14:textId="3C0A546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Direktiva (EU) 2023/1791 Evropskega parlamenta in Sveta z dne 13. septembra 2023 o energetski učinkovitosti in spremembi Uredbe (EU) 2023/955 (prenovitev).</w:t>
      </w:r>
    </w:p>
  </w:footnote>
  <w:footnote w:id="46">
    <w:p w14:paraId="4C45A2E1" w14:textId="06A4196E"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43" w:history="1">
        <w:r w:rsidRPr="00B92112">
          <w:rPr>
            <w:rStyle w:val="Hyperlink"/>
            <w:rFonts w:ascii="Arial" w:hAnsi="Arial" w:cs="Arial"/>
            <w:color w:val="auto"/>
            <w:sz w:val="18"/>
            <w:szCs w:val="18"/>
          </w:rPr>
          <w:t>Nacionalna strategija za izstop iz premoga in prestrukturiranje premogovnih regij v skladu z načeli pravičnega prehoda</w:t>
        </w:r>
      </w:hyperlink>
      <w:r w:rsidRPr="00B92112">
        <w:rPr>
          <w:rStyle w:val="Hyperlink"/>
          <w:rFonts w:ascii="Arial" w:hAnsi="Arial" w:cs="Arial"/>
          <w:color w:val="auto"/>
          <w:sz w:val="18"/>
          <w:szCs w:val="18"/>
          <w:u w:val="none"/>
        </w:rPr>
        <w:t>.</w:t>
      </w:r>
    </w:p>
  </w:footnote>
  <w:footnote w:id="47">
    <w:p w14:paraId="26867F49" w14:textId="5EB18799"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44" w:history="1">
        <w:r w:rsidRPr="00B92112">
          <w:rPr>
            <w:rStyle w:val="Hyperlink"/>
            <w:rFonts w:ascii="Arial" w:hAnsi="Arial" w:cs="Arial"/>
            <w:color w:val="auto"/>
            <w:sz w:val="18"/>
            <w:szCs w:val="18"/>
          </w:rPr>
          <w:t>Območni načrt za pravični prehod Savinjsko-Šaleške regije in Območni načrt za pravični prehod Zasavske regije</w:t>
        </w:r>
      </w:hyperlink>
      <w:r w:rsidRPr="00B92112">
        <w:rPr>
          <w:rStyle w:val="Hyperlink"/>
          <w:rFonts w:ascii="Arial" w:hAnsi="Arial" w:cs="Arial"/>
          <w:color w:val="auto"/>
          <w:sz w:val="18"/>
          <w:szCs w:val="18"/>
          <w:u w:val="none"/>
        </w:rPr>
        <w:t>.</w:t>
      </w:r>
    </w:p>
  </w:footnote>
  <w:footnote w:id="48">
    <w:p w14:paraId="10CDDC6E" w14:textId="12EE1660"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Zakon o spodbujanju rabe obnovljivih virov energije (Uradni list RS, št. </w:t>
      </w:r>
      <w:hyperlink r:id="rId45" w:tgtFrame="_blank" w:tooltip="Zakon o spodbujanju rabe obnovljivih virov energije (ZSROVE)" w:history="1">
        <w:r w:rsidRPr="00B92112">
          <w:rPr>
            <w:rStyle w:val="Hyperlink"/>
            <w:rFonts w:ascii="Arial" w:hAnsi="Arial" w:cs="Arial"/>
            <w:color w:val="auto"/>
            <w:sz w:val="18"/>
            <w:szCs w:val="18"/>
          </w:rPr>
          <w:t>121/21</w:t>
        </w:r>
      </w:hyperlink>
      <w:r w:rsidRPr="00B92112">
        <w:rPr>
          <w:rFonts w:ascii="Arial" w:hAnsi="Arial" w:cs="Arial"/>
          <w:sz w:val="18"/>
          <w:szCs w:val="18"/>
        </w:rPr>
        <w:t xml:space="preserve">, </w:t>
      </w:r>
      <w:hyperlink r:id="rId46" w:tgtFrame="_blank" w:tooltip="Zakon o spremembah in dopolnitvah Zakona o spodbujanju rabe obnovljivih virov energije" w:history="1">
        <w:r w:rsidRPr="00B92112">
          <w:rPr>
            <w:rStyle w:val="Hyperlink"/>
            <w:rFonts w:ascii="Arial" w:hAnsi="Arial" w:cs="Arial"/>
            <w:color w:val="auto"/>
            <w:sz w:val="18"/>
            <w:szCs w:val="18"/>
          </w:rPr>
          <w:t>189/21</w:t>
        </w:r>
      </w:hyperlink>
      <w:r w:rsidRPr="00B92112">
        <w:rPr>
          <w:rFonts w:ascii="Arial" w:hAnsi="Arial" w:cs="Arial"/>
          <w:sz w:val="18"/>
          <w:szCs w:val="18"/>
        </w:rPr>
        <w:t xml:space="preserve"> in </w:t>
      </w:r>
      <w:hyperlink r:id="rId47" w:tgtFrame="_blank" w:tooltip="Zakon o ukrepih za obvladovanje kriznih razmer na področju oskrbe z energijo" w:history="1">
        <w:r w:rsidRPr="00B92112">
          <w:rPr>
            <w:rStyle w:val="Hyperlink"/>
            <w:rFonts w:ascii="Arial" w:hAnsi="Arial" w:cs="Arial"/>
            <w:color w:val="auto"/>
            <w:sz w:val="18"/>
            <w:szCs w:val="18"/>
          </w:rPr>
          <w:t>121/22</w:t>
        </w:r>
      </w:hyperlink>
      <w:r w:rsidRPr="00B92112">
        <w:rPr>
          <w:rFonts w:ascii="Arial" w:hAnsi="Arial" w:cs="Arial"/>
          <w:sz w:val="18"/>
          <w:szCs w:val="18"/>
        </w:rPr>
        <w:t xml:space="preserve"> – ZUOKPOE); Act on the Promotion of the Use of Renewable Energy Sources (Uradni list RS, št. </w:t>
      </w:r>
      <w:hyperlink r:id="rId48" w:tgtFrame="_blank" w:tooltip="Zakon o spodbujanju rabe obnovljivih virov energije (ZSROVE)" w:history="1">
        <w:r w:rsidRPr="00B92112">
          <w:rPr>
            <w:rStyle w:val="Hyperlink"/>
            <w:rFonts w:ascii="Arial" w:hAnsi="Arial" w:cs="Arial"/>
            <w:color w:val="auto"/>
            <w:sz w:val="18"/>
            <w:szCs w:val="18"/>
          </w:rPr>
          <w:t>121/21</w:t>
        </w:r>
      </w:hyperlink>
      <w:r w:rsidRPr="00B92112">
        <w:rPr>
          <w:rFonts w:ascii="Arial" w:hAnsi="Arial" w:cs="Arial"/>
          <w:sz w:val="18"/>
          <w:szCs w:val="18"/>
        </w:rPr>
        <w:t xml:space="preserve">, </w:t>
      </w:r>
      <w:hyperlink r:id="rId49" w:tgtFrame="_blank" w:tooltip="Zakon o spremembah in dopolnitvah Zakona o spodbujanju rabe obnovljivih virov energije" w:history="1">
        <w:r w:rsidRPr="00B92112">
          <w:rPr>
            <w:rStyle w:val="Hyperlink"/>
            <w:rFonts w:ascii="Arial" w:hAnsi="Arial" w:cs="Arial"/>
            <w:color w:val="auto"/>
            <w:sz w:val="18"/>
            <w:szCs w:val="18"/>
          </w:rPr>
          <w:t>189/21</w:t>
        </w:r>
      </w:hyperlink>
      <w:r w:rsidRPr="00B92112">
        <w:rPr>
          <w:rFonts w:ascii="Arial" w:hAnsi="Arial" w:cs="Arial"/>
          <w:sz w:val="18"/>
          <w:szCs w:val="18"/>
        </w:rPr>
        <w:t xml:space="preserve"> in </w:t>
      </w:r>
      <w:hyperlink r:id="rId50" w:tgtFrame="_blank" w:tooltip="Zakon o ukrepih za obvladovanje kriznih razmer na področju oskrbe z energijo" w:history="1">
        <w:r w:rsidRPr="00B92112">
          <w:rPr>
            <w:rStyle w:val="Hyperlink"/>
            <w:rFonts w:ascii="Arial" w:hAnsi="Arial" w:cs="Arial"/>
            <w:color w:val="auto"/>
            <w:sz w:val="18"/>
            <w:szCs w:val="18"/>
          </w:rPr>
          <w:t>121/22</w:t>
        </w:r>
      </w:hyperlink>
      <w:r w:rsidRPr="00B92112">
        <w:rPr>
          <w:rFonts w:ascii="Arial" w:hAnsi="Arial" w:cs="Arial"/>
          <w:sz w:val="18"/>
          <w:szCs w:val="18"/>
        </w:rPr>
        <w:t xml:space="preserve"> – ZUOKPOE).</w:t>
      </w:r>
    </w:p>
  </w:footnote>
  <w:footnote w:id="49">
    <w:p w14:paraId="448E1152" w14:textId="467AF40D"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Uredba o podporah električni energiji, proizvedeni iz obnovljivih virov energije in v soproizvodnji toplote in električne energije z visokim izkoristkom (Uradni list RS, št. </w:t>
      </w:r>
      <w:hyperlink r:id="rId51" w:tgtFrame="_blank" w:tooltip="Uredba o podporah električni energiji, proizvedeni iz obnovljivih virov energije in v soproizvodnji toplote in električne energije z visokim izkoristkom" w:history="1">
        <w:r w:rsidRPr="00B92112">
          <w:rPr>
            <w:rStyle w:val="Hyperlink"/>
            <w:rFonts w:ascii="Arial" w:hAnsi="Arial" w:cs="Arial"/>
            <w:color w:val="auto"/>
            <w:sz w:val="18"/>
            <w:szCs w:val="18"/>
          </w:rPr>
          <w:t>26/22</w:t>
        </w:r>
      </w:hyperlink>
      <w:r w:rsidRPr="00B92112">
        <w:rPr>
          <w:rFonts w:ascii="Arial" w:hAnsi="Arial" w:cs="Arial"/>
          <w:sz w:val="18"/>
          <w:szCs w:val="18"/>
        </w:rPr>
        <w:t xml:space="preserve">); Decree on support for electricity generated from renewable energy sources and from high-efficiency cogeneration (Uradni list RS, št. </w:t>
      </w:r>
      <w:hyperlink r:id="rId52" w:tgtFrame="_blank" w:tooltip="Uredba o podporah električni energiji, proizvedeni iz obnovljivih virov energije in v soproizvodnji toplote in električne energije z visokim izkoristkom" w:history="1">
        <w:r w:rsidRPr="00B92112">
          <w:rPr>
            <w:rStyle w:val="Hyperlink"/>
            <w:rFonts w:ascii="Arial" w:hAnsi="Arial" w:cs="Arial"/>
            <w:color w:val="auto"/>
            <w:sz w:val="18"/>
            <w:szCs w:val="18"/>
          </w:rPr>
          <w:t>26/22</w:t>
        </w:r>
      </w:hyperlink>
      <w:r w:rsidRPr="00B92112">
        <w:rPr>
          <w:rFonts w:ascii="Arial" w:hAnsi="Arial" w:cs="Arial"/>
          <w:sz w:val="18"/>
          <w:szCs w:val="18"/>
        </w:rPr>
        <w:t>).</w:t>
      </w:r>
    </w:p>
  </w:footnote>
  <w:footnote w:id="50">
    <w:p w14:paraId="0BAEB0EB" w14:textId="2C61013E"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53" w:history="1">
        <w:r w:rsidRPr="00B92112">
          <w:rPr>
            <w:rStyle w:val="Hyperlink"/>
            <w:rFonts w:ascii="Arial" w:hAnsi="Arial" w:cs="Arial"/>
            <w:color w:val="auto"/>
            <w:sz w:val="18"/>
            <w:szCs w:val="18"/>
          </w:rPr>
          <w:t>Borzen</w:t>
        </w:r>
      </w:hyperlink>
      <w:r w:rsidRPr="00B92112">
        <w:rPr>
          <w:rStyle w:val="Hyperlink"/>
          <w:rFonts w:ascii="Arial" w:hAnsi="Arial" w:cs="Arial"/>
          <w:color w:val="auto"/>
          <w:sz w:val="18"/>
          <w:szCs w:val="18"/>
          <w:u w:val="none"/>
        </w:rPr>
        <w:t>.</w:t>
      </w:r>
    </w:p>
  </w:footnote>
  <w:footnote w:id="51">
    <w:p w14:paraId="47C5DC6C" w14:textId="4AABD3A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54" w:history="1">
        <w:r w:rsidRPr="00B92112">
          <w:rPr>
            <w:rStyle w:val="Hyperlink"/>
            <w:rFonts w:ascii="Arial" w:hAnsi="Arial" w:cs="Arial"/>
            <w:color w:val="auto"/>
            <w:sz w:val="18"/>
            <w:szCs w:val="18"/>
          </w:rPr>
          <w:t>Poročila o stanju na področju energetike v Sloveniji – Gradiva – Agencija za energijo</w:t>
        </w:r>
      </w:hyperlink>
      <w:r w:rsidRPr="00B92112">
        <w:rPr>
          <w:rStyle w:val="Hyperlink"/>
          <w:rFonts w:ascii="Arial" w:hAnsi="Arial" w:cs="Arial"/>
          <w:color w:val="auto"/>
          <w:sz w:val="18"/>
          <w:szCs w:val="18"/>
          <w:u w:val="none"/>
        </w:rPr>
        <w:t>.</w:t>
      </w:r>
    </w:p>
  </w:footnote>
  <w:footnote w:id="52">
    <w:p w14:paraId="5274F96A" w14:textId="45D6EF8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55" w:history="1">
        <w:r w:rsidRPr="00B92112">
          <w:rPr>
            <w:rStyle w:val="Hyperlink"/>
            <w:rFonts w:ascii="Arial" w:hAnsi="Arial" w:cs="Arial"/>
            <w:i/>
            <w:iCs/>
            <w:color w:val="auto"/>
            <w:sz w:val="18"/>
            <w:szCs w:val="18"/>
          </w:rPr>
          <w:t>Uredba o samooskrbi z električno energijo iz obnovljivih virov energije</w:t>
        </w:r>
        <w:r w:rsidRPr="00B92112">
          <w:rPr>
            <w:rStyle w:val="Hyperlink"/>
            <w:rFonts w:ascii="Arial" w:hAnsi="Arial" w:cs="Arial"/>
            <w:color w:val="auto"/>
            <w:sz w:val="18"/>
            <w:szCs w:val="18"/>
          </w:rPr>
          <w:t xml:space="preserve"> (Uradni list RS, št. 43/22)</w:t>
        </w:r>
      </w:hyperlink>
      <w:r w:rsidRPr="00B92112">
        <w:rPr>
          <w:rStyle w:val="Hyperlink"/>
          <w:rFonts w:ascii="Arial" w:hAnsi="Arial" w:cs="Arial"/>
          <w:color w:val="auto"/>
          <w:sz w:val="18"/>
          <w:szCs w:val="18"/>
        </w:rPr>
        <w:t>;</w:t>
      </w:r>
      <w:r w:rsidRPr="00B92112">
        <w:rPr>
          <w:rFonts w:ascii="Arial" w:hAnsi="Arial" w:cs="Arial"/>
          <w:sz w:val="18"/>
          <w:szCs w:val="18"/>
        </w:rPr>
        <w:br/>
      </w:r>
      <w:hyperlink r:id="rId56" w:history="1">
        <w:r w:rsidRPr="00B92112">
          <w:rPr>
            <w:rStyle w:val="Hyperlink"/>
            <w:rFonts w:ascii="Arial" w:hAnsi="Arial" w:cs="Arial"/>
            <w:i/>
            <w:iCs/>
            <w:color w:val="auto"/>
            <w:sz w:val="18"/>
            <w:szCs w:val="18"/>
          </w:rPr>
          <w:t>Decree on the self-supply of electricity from renewable energy sources (Uradni list RS, št. 43/22)</w:t>
        </w:r>
      </w:hyperlink>
      <w:r w:rsidRPr="00B92112">
        <w:rPr>
          <w:rStyle w:val="Hyperlink"/>
          <w:rFonts w:ascii="Arial" w:hAnsi="Arial" w:cs="Arial"/>
          <w:iCs/>
          <w:color w:val="auto"/>
          <w:sz w:val="18"/>
          <w:szCs w:val="18"/>
          <w:u w:val="none"/>
        </w:rPr>
        <w:t>.</w:t>
      </w:r>
    </w:p>
  </w:footnote>
  <w:footnote w:id="53">
    <w:p w14:paraId="6C913252" w14:textId="279501D6"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57" w:history="1">
        <w:r w:rsidRPr="00B92112">
          <w:rPr>
            <w:rStyle w:val="Hyperlink"/>
            <w:rFonts w:ascii="Arial" w:hAnsi="Arial" w:cs="Arial"/>
            <w:color w:val="auto"/>
            <w:sz w:val="18"/>
            <w:szCs w:val="18"/>
          </w:rPr>
          <w:t>Poročila o stanju na področju energetike v Sloveniji – Gradiva – Agencija za energijo</w:t>
        </w:r>
      </w:hyperlink>
      <w:r w:rsidRPr="00B92112">
        <w:rPr>
          <w:rStyle w:val="Hyperlink"/>
          <w:rFonts w:ascii="Arial" w:hAnsi="Arial" w:cs="Arial"/>
          <w:color w:val="auto"/>
          <w:sz w:val="18"/>
          <w:szCs w:val="18"/>
          <w:u w:val="none"/>
        </w:rPr>
        <w:t>.</w:t>
      </w:r>
    </w:p>
  </w:footnote>
  <w:footnote w:id="54">
    <w:p w14:paraId="19445353" w14:textId="4CFFC03A"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Zakon o učinkoviti rabi energije (ZURE), Uradni list RS, št. 158/20.</w:t>
      </w:r>
    </w:p>
  </w:footnote>
  <w:footnote w:id="55">
    <w:p w14:paraId="6D3D6167" w14:textId="20B1943A"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vertAlign w:val="superscript"/>
        </w:rPr>
        <w:footnoteRef/>
      </w:r>
      <w:r w:rsidRPr="00B92112">
        <w:rPr>
          <w:rFonts w:ascii="Arial" w:hAnsi="Arial" w:cs="Arial"/>
          <w:sz w:val="18"/>
          <w:szCs w:val="18"/>
        </w:rPr>
        <w:t xml:space="preserve">  </w:t>
      </w:r>
      <w:hyperlink r:id="rId58" w:tgtFrame="_blank" w:tooltip="Pravilnik o učinkoviti rabi energije v stavbah" w:history="1">
        <w:r w:rsidRPr="00B92112">
          <w:rPr>
            <w:rStyle w:val="Hyperlink"/>
            <w:rFonts w:ascii="Arial" w:hAnsi="Arial" w:cs="Arial"/>
            <w:color w:val="auto"/>
            <w:sz w:val="18"/>
            <w:szCs w:val="18"/>
          </w:rPr>
          <w:t>Pravilnik o učinkoviti rabi energije v stavbah (Uradni list RS, št. 70/22)</w:t>
        </w:r>
      </w:hyperlink>
      <w:r w:rsidRPr="00B92112">
        <w:rPr>
          <w:rStyle w:val="Hyperlink"/>
          <w:rFonts w:ascii="Arial" w:hAnsi="Arial" w:cs="Arial"/>
          <w:color w:val="auto"/>
          <w:sz w:val="18"/>
          <w:szCs w:val="18"/>
        </w:rPr>
        <w:t>.</w:t>
      </w:r>
    </w:p>
  </w:footnote>
  <w:footnote w:id="56">
    <w:p w14:paraId="66CEACD8" w14:textId="60C7C6E8"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vertAlign w:val="superscript"/>
        </w:rPr>
        <w:footnoteRef/>
      </w:r>
      <w:r w:rsidRPr="00B92112">
        <w:rPr>
          <w:rFonts w:ascii="Arial" w:hAnsi="Arial" w:cs="Arial"/>
          <w:sz w:val="18"/>
          <w:szCs w:val="18"/>
        </w:rPr>
        <w:t xml:space="preserve">  Instrument je bil uveden na podlagi direktiv o spodbujanju OVE. Pravne podlage v Sloveniji so opredeljene v Energetskem zakonu (EZ-1, Uradni list RS, št. 60/19 – uradno prečiščeno besedilo, 65/20 in 158/20 – ZURE) in Uredbi o izdaji deklaracij za proizvodne naprave in potrdil o izvoru električne energije (Uradni list RS, št.  182/20).</w:t>
      </w:r>
    </w:p>
  </w:footnote>
  <w:footnote w:id="57">
    <w:p w14:paraId="21C9C133" w14:textId="59243BF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https://poi.borzen.si/.</w:t>
      </w:r>
    </w:p>
  </w:footnote>
  <w:footnote w:id="58">
    <w:p w14:paraId="54057620" w14:textId="40B4F49D"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vertAlign w:val="superscript"/>
        </w:rPr>
        <w:footnoteRef/>
      </w:r>
      <w:r w:rsidRPr="00B92112">
        <w:rPr>
          <w:rFonts w:ascii="Arial" w:hAnsi="Arial" w:cs="Arial"/>
          <w:sz w:val="18"/>
          <w:szCs w:val="18"/>
        </w:rPr>
        <w:t xml:space="preserve">  Uradni list RS, št. 121/21, 189/21 in 121/22 – ZUOKPOE.</w:t>
      </w:r>
    </w:p>
  </w:footnote>
  <w:footnote w:id="59">
    <w:p w14:paraId="70919718" w14:textId="5215FD71"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vertAlign w:val="superscript"/>
        </w:rPr>
        <w:footnoteRef/>
      </w:r>
      <w:r w:rsidRPr="00B92112">
        <w:rPr>
          <w:rFonts w:ascii="Arial" w:hAnsi="Arial" w:cs="Arial"/>
          <w:sz w:val="18"/>
          <w:szCs w:val="18"/>
        </w:rPr>
        <w:t xml:space="preserve">  Uradni list RS, št. </w:t>
      </w:r>
      <w:hyperlink r:id="rId59" w:tgtFrame="_blank" w:tooltip="Zakon o oskrbi z električno energijo (ZOEE)" w:history="1">
        <w:r w:rsidRPr="00B92112">
          <w:rPr>
            <w:rStyle w:val="Hyperlink"/>
            <w:rFonts w:ascii="Arial" w:hAnsi="Arial" w:cs="Arial"/>
            <w:color w:val="auto"/>
            <w:sz w:val="18"/>
            <w:szCs w:val="18"/>
          </w:rPr>
          <w:t>172/21</w:t>
        </w:r>
      </w:hyperlink>
      <w:r w:rsidRPr="00B92112">
        <w:rPr>
          <w:rStyle w:val="Hyperlink"/>
          <w:rFonts w:ascii="Arial" w:hAnsi="Arial" w:cs="Arial"/>
          <w:color w:val="auto"/>
          <w:sz w:val="18"/>
          <w:szCs w:val="18"/>
          <w:u w:val="none"/>
        </w:rPr>
        <w:t>.</w:t>
      </w:r>
    </w:p>
  </w:footnote>
  <w:footnote w:id="60">
    <w:p w14:paraId="1C5E5C05" w14:textId="511F5C1F"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vertAlign w:val="superscript"/>
        </w:rPr>
        <w:footnoteRef/>
      </w:r>
      <w:r w:rsidRPr="00B92112">
        <w:rPr>
          <w:rFonts w:ascii="Arial" w:hAnsi="Arial" w:cs="Arial"/>
          <w:sz w:val="18"/>
          <w:szCs w:val="18"/>
        </w:rPr>
        <w:t xml:space="preserve">  Uradni list RS, št. 43/22.</w:t>
      </w:r>
    </w:p>
  </w:footnote>
  <w:footnote w:id="61">
    <w:p w14:paraId="39A2C24D" w14:textId="69CE05B9" w:rsidR="00692B40" w:rsidRPr="00B92112" w:rsidRDefault="00692B40" w:rsidP="00B92112">
      <w:pPr>
        <w:spacing w:after="0"/>
        <w:jc w:val="both"/>
        <w:rPr>
          <w:rFonts w:ascii="Arial" w:eastAsia="Aptos" w:hAnsi="Arial" w:cs="Arial"/>
          <w:sz w:val="18"/>
          <w:szCs w:val="18"/>
        </w:rPr>
      </w:pPr>
      <w:r w:rsidRPr="007944FA">
        <w:rPr>
          <w:rFonts w:ascii="Arial" w:hAnsi="Arial" w:cs="Arial"/>
          <w:sz w:val="18"/>
          <w:szCs w:val="18"/>
        </w:rPr>
        <w:footnoteRef/>
      </w:r>
      <w:r w:rsidRPr="00B92112">
        <w:rPr>
          <w:rFonts w:ascii="Arial" w:hAnsi="Arial" w:cs="Arial"/>
          <w:sz w:val="18"/>
          <w:szCs w:val="18"/>
        </w:rPr>
        <w:t xml:space="preserve"> </w:t>
      </w:r>
      <w:hyperlink r:id="rId60" w:history="1">
        <w:r w:rsidRPr="00B92112">
          <w:rPr>
            <w:rStyle w:val="Hyperlink"/>
            <w:rFonts w:ascii="Arial" w:eastAsia="Aptos" w:hAnsi="Arial" w:cs="Arial"/>
            <w:color w:val="auto"/>
            <w:sz w:val="18"/>
            <w:szCs w:val="18"/>
          </w:rPr>
          <w:t>Javni razpis za sofinanciranje naložb v skupnostno samooskrbo z električno energijo iz obnovljivih virov energije | GOV.SI</w:t>
        </w:r>
      </w:hyperlink>
      <w:r w:rsidRPr="00B92112">
        <w:rPr>
          <w:rStyle w:val="Hyperlink"/>
          <w:rFonts w:ascii="Arial" w:eastAsia="Aptos" w:hAnsi="Arial" w:cs="Arial"/>
          <w:color w:val="auto"/>
          <w:sz w:val="18"/>
          <w:szCs w:val="18"/>
          <w:u w:val="none"/>
        </w:rPr>
        <w:t>.</w:t>
      </w:r>
    </w:p>
  </w:footnote>
  <w:footnote w:id="62">
    <w:p w14:paraId="6AFCFFA9" w14:textId="1FBE8863"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61" w:history="1">
        <w:r w:rsidRPr="00B92112">
          <w:rPr>
            <w:rStyle w:val="Hyperlink"/>
            <w:rFonts w:ascii="Arial" w:hAnsi="Arial" w:cs="Arial"/>
            <w:color w:val="auto"/>
            <w:sz w:val="18"/>
            <w:szCs w:val="18"/>
          </w:rPr>
          <w:t>Stanje vlog za samooskrbo | SODO | Sistemski operater distribucijskega omrežja z električno energijo</w:t>
        </w:r>
      </w:hyperlink>
      <w:r w:rsidRPr="00B92112">
        <w:rPr>
          <w:rStyle w:val="Hyperlink"/>
          <w:rFonts w:ascii="Arial" w:hAnsi="Arial" w:cs="Arial"/>
          <w:color w:val="auto"/>
          <w:sz w:val="18"/>
          <w:szCs w:val="18"/>
          <w:u w:val="none"/>
        </w:rPr>
        <w:t>.</w:t>
      </w:r>
    </w:p>
  </w:footnote>
  <w:footnote w:id="63">
    <w:p w14:paraId="06E8DA0E" w14:textId="0871B7DC"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62" w:history="1">
        <w:r w:rsidRPr="00B92112">
          <w:rPr>
            <w:rStyle w:val="Hyperlink"/>
            <w:rFonts w:ascii="Arial" w:hAnsi="Arial" w:cs="Arial"/>
            <w:color w:val="auto"/>
            <w:sz w:val="18"/>
            <w:szCs w:val="18"/>
          </w:rPr>
          <w:t>Poročila o stanju na področju energetike v Sloveniji – Gradiva – Agencija za energijo</w:t>
        </w:r>
      </w:hyperlink>
      <w:r w:rsidRPr="00B92112">
        <w:rPr>
          <w:rStyle w:val="Hyperlink"/>
          <w:rFonts w:ascii="Arial" w:hAnsi="Arial" w:cs="Arial"/>
          <w:color w:val="auto"/>
          <w:sz w:val="18"/>
          <w:szCs w:val="18"/>
          <w:u w:val="none"/>
        </w:rPr>
        <w:t>.</w:t>
      </w:r>
    </w:p>
  </w:footnote>
  <w:footnote w:id="64">
    <w:p w14:paraId="2E01EEAE" w14:textId="36DF372A"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 xml:space="preserve">Poročilo o stanju v energetiki v Sloveniji za leto 2023, Agencija za energijo, 2024, </w:t>
      </w:r>
      <w:hyperlink r:id="rId63">
        <w:r w:rsidRPr="00B92112">
          <w:rPr>
            <w:rStyle w:val="Hyperlink"/>
            <w:rFonts w:ascii="Arial" w:eastAsia="Palatino Linotype" w:hAnsi="Arial" w:cs="Arial"/>
            <w:color w:val="auto"/>
            <w:sz w:val="18"/>
            <w:szCs w:val="18"/>
            <w:lang w:val="sl"/>
          </w:rPr>
          <w:t>https://www.agen-rs.si/documents/10926/38704/Poro%C4%8Dilo_o_stanju_v-energetiki_v_Sloveniji_za-leto-2023_Agencija_za-energijo.pdf/d90eab12-a4c0-45d7-9a54-9e0d25ef2c4c</w:t>
        </w:r>
      </w:hyperlink>
      <w:r w:rsidRPr="00B92112">
        <w:rPr>
          <w:rStyle w:val="Hyperlink"/>
          <w:rFonts w:ascii="Arial" w:eastAsia="Palatino Linotype" w:hAnsi="Arial" w:cs="Arial"/>
          <w:color w:val="auto"/>
          <w:sz w:val="18"/>
          <w:szCs w:val="18"/>
          <w:u w:val="none"/>
          <w:lang w:val="sl"/>
        </w:rPr>
        <w:t>.</w:t>
      </w:r>
    </w:p>
  </w:footnote>
  <w:footnote w:id="65">
    <w:p w14:paraId="22E05A21" w14:textId="6F09313F" w:rsidR="00692B40" w:rsidRPr="00B92112" w:rsidRDefault="00692B40" w:rsidP="007944FA">
      <w:pPr>
        <w:pStyle w:val="FootnoteText"/>
        <w:jc w:val="both"/>
        <w:rPr>
          <w:rStyle w:val="Hyperlink"/>
          <w:rFonts w:ascii="Arial" w:eastAsia="Palatino Linotype" w:hAnsi="Arial" w:cs="Arial"/>
          <w:color w:val="auto"/>
          <w:sz w:val="18"/>
          <w:szCs w:val="18"/>
          <w:lang w:val="sl"/>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64" w:history="1">
        <w:r w:rsidRPr="00B92112">
          <w:rPr>
            <w:rStyle w:val="Hyperlink"/>
            <w:rFonts w:ascii="Arial" w:eastAsia="Palatino Linotype" w:hAnsi="Arial" w:cs="Arial"/>
            <w:color w:val="auto"/>
            <w:sz w:val="18"/>
            <w:szCs w:val="18"/>
            <w:lang w:val="sl"/>
          </w:rPr>
          <w:t>https://www.ekosklad.si/informacije/o-skladu/letna-porocila/letno-porocilo-eko-sklada-za-leto-2023</w:t>
        </w:r>
      </w:hyperlink>
      <w:r w:rsidRPr="00B92112">
        <w:rPr>
          <w:rStyle w:val="Hyperlink"/>
          <w:rFonts w:ascii="Arial" w:eastAsia="Palatino Linotype" w:hAnsi="Arial" w:cs="Arial"/>
          <w:color w:val="auto"/>
          <w:sz w:val="18"/>
          <w:szCs w:val="18"/>
          <w:u w:val="none"/>
          <w:lang w:val="sl"/>
        </w:rPr>
        <w:t>.</w:t>
      </w:r>
      <w:r w:rsidRPr="00B92112">
        <w:rPr>
          <w:rStyle w:val="Hyperlink"/>
          <w:rFonts w:ascii="Arial" w:eastAsia="Palatino Linotype" w:hAnsi="Arial" w:cs="Arial"/>
          <w:color w:val="auto"/>
          <w:sz w:val="18"/>
          <w:szCs w:val="18"/>
          <w:lang w:val="sl"/>
        </w:rPr>
        <w:t xml:space="preserve"> </w:t>
      </w:r>
    </w:p>
  </w:footnote>
  <w:footnote w:id="66">
    <w:p w14:paraId="1B2E4767" w14:textId="4EB32E81" w:rsidR="00692B40" w:rsidRPr="00B92112" w:rsidRDefault="00692B40" w:rsidP="00B92112">
      <w:pPr>
        <w:spacing w:after="60" w:line="245" w:lineRule="auto"/>
        <w:ind w:left="284" w:hanging="284"/>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 xml:space="preserve">Letno poročilo Eko sklada, slovenskega okoljskega javnega sklada, za leto 2023, junij 2024, </w:t>
      </w:r>
      <w:hyperlink r:id="rId65" w:history="1">
        <w:r w:rsidRPr="00B92112">
          <w:rPr>
            <w:rStyle w:val="Hyperlink"/>
            <w:rFonts w:ascii="Arial" w:eastAsia="Palatino Linotype" w:hAnsi="Arial" w:cs="Arial"/>
            <w:color w:val="auto"/>
            <w:sz w:val="18"/>
            <w:szCs w:val="18"/>
            <w:lang w:val="sl"/>
          </w:rPr>
          <w:t>https://www.ekosklad.si/informacije/o-skladu/letna-porocila/letno-porocilo-eko-sklada-za-leto-2023</w:t>
        </w:r>
      </w:hyperlink>
      <w:r w:rsidRPr="00B92112">
        <w:rPr>
          <w:rStyle w:val="Hyperlink"/>
          <w:rFonts w:ascii="Arial" w:eastAsia="Palatino Linotype" w:hAnsi="Arial" w:cs="Arial"/>
          <w:color w:val="auto"/>
          <w:sz w:val="18"/>
          <w:szCs w:val="18"/>
          <w:u w:val="none"/>
          <w:lang w:val="sl"/>
        </w:rPr>
        <w:t>.</w:t>
      </w:r>
      <w:r w:rsidRPr="00B92112">
        <w:rPr>
          <w:rFonts w:ascii="Arial" w:eastAsia="Palatino Linotype" w:hAnsi="Arial" w:cs="Arial"/>
          <w:sz w:val="18"/>
          <w:szCs w:val="18"/>
          <w:lang w:val="sl"/>
        </w:rPr>
        <w:t xml:space="preserve"> </w:t>
      </w:r>
    </w:p>
  </w:footnote>
  <w:footnote w:id="67">
    <w:p w14:paraId="59760B1D" w14:textId="42458C8C" w:rsidR="00692B40" w:rsidRPr="00B92112" w:rsidRDefault="00692B40" w:rsidP="00B92112">
      <w:pPr>
        <w:spacing w:after="60" w:line="245" w:lineRule="auto"/>
        <w:ind w:left="284" w:hanging="284"/>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Poslovni in finančni načrt Eko sklada, slovenskega okoljskega javnega sklada, za leta 2021–2025, Eko sklad, februar 2017.</w:t>
      </w:r>
    </w:p>
    <w:p w14:paraId="2095496E" w14:textId="77777777" w:rsidR="00692B40" w:rsidRPr="00B92112" w:rsidRDefault="00692B40" w:rsidP="00B92112">
      <w:pPr>
        <w:pStyle w:val="FootnoteText"/>
        <w:jc w:val="both"/>
        <w:rPr>
          <w:rFonts w:ascii="Arial" w:hAnsi="Arial" w:cs="Arial"/>
          <w:sz w:val="18"/>
          <w:szCs w:val="18"/>
        </w:rPr>
      </w:pPr>
    </w:p>
  </w:footnote>
  <w:footnote w:id="68">
    <w:p w14:paraId="1A2EB809" w14:textId="012D9C79"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 xml:space="preserve">Izvajanje in prenova Slovenske strategije pametne specializacije – iz S4 v S5, </w:t>
      </w:r>
      <w:hyperlink r:id="rId66">
        <w:r w:rsidRPr="00B92112">
          <w:rPr>
            <w:rStyle w:val="Hyperlink"/>
            <w:rFonts w:ascii="Arial" w:eastAsia="Palatino Linotype" w:hAnsi="Arial" w:cs="Arial"/>
            <w:color w:val="auto"/>
            <w:sz w:val="18"/>
            <w:szCs w:val="18"/>
            <w:lang w:val="sl"/>
          </w:rPr>
          <w:t>https://www.gov.si/zbirke/projekti-in-programi/izvajanje-slovenske-strategije-pametne-specializacije/</w:t>
        </w:r>
      </w:hyperlink>
      <w:r w:rsidRPr="00B92112">
        <w:rPr>
          <w:rStyle w:val="Hyperlink"/>
          <w:rFonts w:ascii="Arial" w:eastAsia="Palatino Linotype" w:hAnsi="Arial" w:cs="Arial"/>
          <w:color w:val="auto"/>
          <w:sz w:val="18"/>
          <w:szCs w:val="18"/>
          <w:u w:val="none"/>
          <w:lang w:val="sl"/>
        </w:rPr>
        <w:t>.</w:t>
      </w:r>
    </w:p>
  </w:footnote>
  <w:footnote w:id="69">
    <w:p w14:paraId="0D56F828" w14:textId="0471C1F1" w:rsidR="00692B40" w:rsidRPr="00B92112" w:rsidRDefault="00692B40" w:rsidP="00B92112">
      <w:pPr>
        <w:pStyle w:val="FootnoteText"/>
        <w:ind w:right="-113"/>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rPr>
        <w:t xml:space="preserve">Uradni list RS, </w:t>
      </w:r>
      <w:r w:rsidRPr="00B92112">
        <w:rPr>
          <w:rFonts w:ascii="Arial" w:hAnsi="Arial" w:cs="Arial"/>
          <w:sz w:val="18"/>
          <w:szCs w:val="18"/>
          <w:lang w:val="en-GB"/>
        </w:rPr>
        <w:t xml:space="preserve">št. </w:t>
      </w:r>
      <w:hyperlink r:id="rId67" w:tgtFrame="_blank" w:tooltip="Pravilnik o učinkoviti rabi energije v stavbah" w:history="1">
        <w:r w:rsidRPr="00B92112">
          <w:rPr>
            <w:rFonts w:ascii="Arial" w:hAnsi="Arial" w:cs="Arial"/>
            <w:sz w:val="18"/>
            <w:szCs w:val="18"/>
            <w:u w:val="single"/>
            <w:lang w:val="en-GB"/>
          </w:rPr>
          <w:t>70/22</w:t>
        </w:r>
      </w:hyperlink>
      <w:r w:rsidRPr="00B92112">
        <w:rPr>
          <w:rFonts w:ascii="Arial" w:hAnsi="Arial" w:cs="Arial"/>
          <w:sz w:val="18"/>
          <w:szCs w:val="18"/>
          <w:lang w:val="en-GB"/>
        </w:rPr>
        <w:t xml:space="preserve">, </w:t>
      </w:r>
      <w:hyperlink r:id="rId68" w:tgtFrame="_blank" w:tooltip="Pravilnik o spremembah Pravilnika o učinkoviti rabi energije v stavbah" w:history="1">
        <w:r w:rsidRPr="00B92112">
          <w:rPr>
            <w:rFonts w:ascii="Arial" w:hAnsi="Arial" w:cs="Arial"/>
            <w:sz w:val="18"/>
            <w:szCs w:val="18"/>
            <w:u w:val="single"/>
            <w:lang w:val="en-GB"/>
          </w:rPr>
          <w:t>161/22</w:t>
        </w:r>
      </w:hyperlink>
      <w:r w:rsidRPr="00B92112">
        <w:rPr>
          <w:rFonts w:ascii="Arial" w:hAnsi="Arial" w:cs="Arial"/>
          <w:sz w:val="18"/>
          <w:szCs w:val="18"/>
          <w:lang w:val="en-GB"/>
        </w:rPr>
        <w:t xml:space="preserve">, </w:t>
      </w:r>
      <w:hyperlink r:id="rId69" w:tgtFrame="_blank" w:tooltip="Pravilnik o spremembi Pravilnika o učinkoviti rabi energije v stavbah" w:history="1">
        <w:r w:rsidRPr="00B92112">
          <w:rPr>
            <w:rFonts w:ascii="Arial" w:hAnsi="Arial" w:cs="Arial"/>
            <w:sz w:val="18"/>
            <w:szCs w:val="18"/>
            <w:u w:val="single"/>
            <w:lang w:val="en-GB"/>
          </w:rPr>
          <w:t>129/23</w:t>
        </w:r>
      </w:hyperlink>
      <w:r w:rsidRPr="00B92112">
        <w:rPr>
          <w:rFonts w:ascii="Arial" w:hAnsi="Arial" w:cs="Arial"/>
          <w:sz w:val="18"/>
          <w:szCs w:val="18"/>
          <w:lang w:val="en-GB"/>
        </w:rPr>
        <w:t xml:space="preserve"> in </w:t>
      </w:r>
      <w:hyperlink r:id="rId70" w:tgtFrame="_blank" w:tooltip="Pravilnik o spremembah Pravilnika o učinkoviti rabi energije v stavbah" w:history="1">
        <w:r w:rsidRPr="00B92112">
          <w:rPr>
            <w:rFonts w:ascii="Arial" w:hAnsi="Arial" w:cs="Arial"/>
            <w:sz w:val="18"/>
            <w:szCs w:val="18"/>
            <w:u w:val="single"/>
            <w:lang w:val="en-GB"/>
          </w:rPr>
          <w:t>103/24</w:t>
        </w:r>
      </w:hyperlink>
      <w:r w:rsidRPr="00B92112">
        <w:rPr>
          <w:rFonts w:ascii="Arial" w:hAnsi="Arial" w:cs="Arial"/>
          <w:sz w:val="18"/>
          <w:szCs w:val="18"/>
          <w:u w:val="single"/>
          <w:lang w:val="en-GB"/>
        </w:rPr>
        <w:t>.</w:t>
      </w:r>
    </w:p>
  </w:footnote>
  <w:footnote w:id="70">
    <w:p w14:paraId="5C7AC390" w14:textId="73C2319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Tehnične izboljšave pred iztekom življenjske dobe posameznega elementa, sistema in podsistema stavbe.</w:t>
      </w:r>
    </w:p>
  </w:footnote>
  <w:footnote w:id="71">
    <w:p w14:paraId="6CAD4B85" w14:textId="1857A99A"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71" w:history="1">
        <w:r w:rsidRPr="00B92112">
          <w:rPr>
            <w:rStyle w:val="Hyperlink"/>
            <w:rFonts w:ascii="Arial" w:hAnsi="Arial" w:cs="Arial"/>
            <w:color w:val="auto"/>
            <w:sz w:val="18"/>
            <w:szCs w:val="18"/>
          </w:rPr>
          <w:t>https://www.energetika-portal.si/fileadmin/dokumenti/publikacije/dseps/dseps_2050_final.pdf</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72">
    <w:p w14:paraId="4F370FD9" w14:textId="761244E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lang w:val="sl"/>
        </w:rPr>
        <w:t>Direktiva (EU) 2024/1275 Evropskega parlamenta in Sveta z dne 24. aprila 2024 o energetski učinkovitosti stavb (prenovitev).</w:t>
      </w:r>
    </w:p>
  </w:footnote>
  <w:footnote w:id="73">
    <w:p w14:paraId="0E67CC48" w14:textId="506F88E1"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72" w:tgtFrame="_blank" w:tooltip="Opens internal link in current window" w:history="1">
        <w:r w:rsidRPr="00B92112">
          <w:rPr>
            <w:rStyle w:val="Hyperlink"/>
            <w:rFonts w:ascii="Arial" w:hAnsi="Arial" w:cs="Arial"/>
            <w:color w:val="auto"/>
            <w:sz w:val="18"/>
            <w:szCs w:val="18"/>
          </w:rPr>
          <w:t>Smernice za energetsko prenovo stavb kulturne dediščine</w:t>
        </w:r>
      </w:hyperlink>
      <w:r w:rsidRPr="00B92112">
        <w:rPr>
          <w:rFonts w:ascii="Arial" w:hAnsi="Arial" w:cs="Arial"/>
          <w:sz w:val="18"/>
          <w:szCs w:val="18"/>
        </w:rPr>
        <w:t>, Ministrstvo za infrastrukturo Republike Slovenije in Ministrstvo za kulturo Republike Slovenije, 2016.</w:t>
      </w:r>
    </w:p>
  </w:footnote>
  <w:footnote w:id="74">
    <w:p w14:paraId="3F148E78" w14:textId="2DEA5F2F" w:rsidR="00692B40" w:rsidRPr="00B92112" w:rsidRDefault="00692B40" w:rsidP="00B92112">
      <w:pPr>
        <w:pStyle w:val="Footnotebesedilo"/>
        <w:jc w:val="both"/>
        <w:rPr>
          <w:rFonts w:cs="Arial"/>
          <w:sz w:val="18"/>
          <w:szCs w:val="18"/>
        </w:rPr>
      </w:pPr>
      <w:r w:rsidRPr="00B92112">
        <w:rPr>
          <w:rStyle w:val="FootnoteReference"/>
          <w:rFonts w:cs="Arial"/>
          <w:sz w:val="18"/>
          <w:szCs w:val="18"/>
        </w:rPr>
        <w:footnoteRef/>
      </w:r>
      <w:r w:rsidRPr="00B92112">
        <w:rPr>
          <w:rFonts w:cs="Arial"/>
          <w:sz w:val="18"/>
          <w:szCs w:val="18"/>
        </w:rPr>
        <w:t xml:space="preserve">  </w:t>
      </w:r>
      <w:hyperlink r:id="rId73" w:history="1">
        <w:r w:rsidRPr="00B92112">
          <w:rPr>
            <w:rStyle w:val="Hyperlink"/>
            <w:rFonts w:cs="Arial"/>
            <w:color w:val="auto"/>
            <w:sz w:val="18"/>
            <w:szCs w:val="18"/>
          </w:rPr>
          <w:t>https://www.eu-skladi.si/sl/dokumenti/kljucni-dokumenti/op_slo_web.pdf</w:t>
        </w:r>
      </w:hyperlink>
      <w:r w:rsidRPr="00B92112">
        <w:rPr>
          <w:rStyle w:val="Hyperlink"/>
          <w:rFonts w:cs="Arial"/>
          <w:color w:val="auto"/>
          <w:sz w:val="18"/>
          <w:szCs w:val="18"/>
          <w:u w:val="none"/>
        </w:rPr>
        <w:t>.</w:t>
      </w:r>
    </w:p>
  </w:footnote>
  <w:footnote w:id="75">
    <w:p w14:paraId="12AA60CC" w14:textId="34AE3C6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Zakon o spodbujanju rabe obnovljivih virov energije (</w:t>
      </w:r>
      <w:r w:rsidRPr="00B92112">
        <w:rPr>
          <w:rFonts w:ascii="Arial" w:eastAsia="Palatino Linotype" w:hAnsi="Arial" w:cs="Arial"/>
          <w:sz w:val="18"/>
          <w:szCs w:val="18"/>
        </w:rPr>
        <w:t xml:space="preserve">Uradni list RS, </w:t>
      </w:r>
      <w:r w:rsidRPr="00B92112">
        <w:rPr>
          <w:rFonts w:ascii="Arial" w:hAnsi="Arial" w:cs="Arial"/>
          <w:sz w:val="18"/>
          <w:szCs w:val="18"/>
          <w:lang w:val="en-GB"/>
        </w:rPr>
        <w:t>št</w:t>
      </w:r>
      <w:r w:rsidRPr="00B92112">
        <w:rPr>
          <w:rFonts w:ascii="Arial" w:hAnsi="Arial" w:cs="Arial"/>
          <w:sz w:val="18"/>
          <w:szCs w:val="18"/>
        </w:rPr>
        <w:t xml:space="preserve">. </w:t>
      </w:r>
      <w:hyperlink r:id="rId74" w:tgtFrame="_blank" w:tooltip="Zakon o spodbujanju rabe obnovljivih virov energije (ZSROVE)" w:history="1">
        <w:r w:rsidRPr="00B92112">
          <w:rPr>
            <w:rStyle w:val="Hyperlink"/>
            <w:rFonts w:ascii="Arial" w:hAnsi="Arial" w:cs="Arial"/>
            <w:color w:val="auto"/>
            <w:sz w:val="18"/>
            <w:szCs w:val="18"/>
          </w:rPr>
          <w:t>121/21</w:t>
        </w:r>
      </w:hyperlink>
      <w:r w:rsidRPr="00B92112">
        <w:rPr>
          <w:rFonts w:ascii="Arial" w:hAnsi="Arial" w:cs="Arial"/>
          <w:sz w:val="18"/>
          <w:szCs w:val="18"/>
        </w:rPr>
        <w:t xml:space="preserve">, </w:t>
      </w:r>
      <w:hyperlink r:id="rId75" w:tgtFrame="_blank" w:tooltip="Zakon o spremembah in dopolnitvah Zakona o spodbujanju rabe obnovljivih virov energije (ZSROVE-A)" w:history="1">
        <w:r w:rsidRPr="00B92112">
          <w:rPr>
            <w:rStyle w:val="Hyperlink"/>
            <w:rFonts w:ascii="Arial" w:hAnsi="Arial" w:cs="Arial"/>
            <w:color w:val="auto"/>
            <w:sz w:val="18"/>
            <w:szCs w:val="18"/>
          </w:rPr>
          <w:t>189/21</w:t>
        </w:r>
      </w:hyperlink>
      <w:r w:rsidRPr="00B92112">
        <w:rPr>
          <w:rFonts w:ascii="Arial" w:hAnsi="Arial" w:cs="Arial"/>
          <w:sz w:val="18"/>
          <w:szCs w:val="18"/>
        </w:rPr>
        <w:t xml:space="preserve">, </w:t>
      </w:r>
      <w:hyperlink r:id="rId76" w:tgtFrame="_blank" w:tooltip="Zakon o ukrepih za obvladovanje kriznih razmer na področju oskrbe z energijo (ZUOKPOE)" w:history="1">
        <w:r w:rsidRPr="00B92112">
          <w:rPr>
            <w:rStyle w:val="Hyperlink"/>
            <w:rFonts w:ascii="Arial" w:hAnsi="Arial" w:cs="Arial"/>
            <w:color w:val="auto"/>
            <w:sz w:val="18"/>
            <w:szCs w:val="18"/>
          </w:rPr>
          <w:t>121/22</w:t>
        </w:r>
      </w:hyperlink>
      <w:r w:rsidRPr="00B92112">
        <w:rPr>
          <w:rFonts w:ascii="Arial" w:hAnsi="Arial" w:cs="Arial"/>
          <w:sz w:val="18"/>
          <w:szCs w:val="18"/>
        </w:rPr>
        <w:t xml:space="preserve"> – ZUOKPOE in </w:t>
      </w:r>
      <w:hyperlink r:id="rId77" w:tgtFrame="_blank" w:tooltip="Zakon o spremembah in dopolnitvah Zakona o spodbujanju rabe obnovljivih virov energije (ZSROVE-B)" w:history="1">
        <w:r w:rsidRPr="00B92112">
          <w:rPr>
            <w:rStyle w:val="Hyperlink"/>
            <w:rFonts w:ascii="Arial" w:hAnsi="Arial" w:cs="Arial"/>
            <w:color w:val="auto"/>
            <w:sz w:val="18"/>
            <w:szCs w:val="18"/>
          </w:rPr>
          <w:t>102/24</w:t>
        </w:r>
      </w:hyperlink>
      <w:r w:rsidRPr="00B92112">
        <w:rPr>
          <w:rFonts w:ascii="Arial" w:hAnsi="Arial" w:cs="Arial"/>
          <w:sz w:val="18"/>
          <w:szCs w:val="18"/>
        </w:rPr>
        <w:t>).</w:t>
      </w:r>
    </w:p>
  </w:footnote>
  <w:footnote w:id="76">
    <w:p w14:paraId="2D50255D" w14:textId="1B50B741" w:rsidR="00692B40" w:rsidRPr="00B92112" w:rsidRDefault="00692B40" w:rsidP="00B92112">
      <w:pPr>
        <w:tabs>
          <w:tab w:val="left" w:pos="284"/>
        </w:tabs>
        <w:ind w:left="284" w:hanging="284"/>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hAnsi="Arial" w:cs="Arial"/>
          <w:sz w:val="18"/>
          <w:szCs w:val="18"/>
        </w:rPr>
        <w:tab/>
        <w:t>Med njimi so ukrepi na ovoju stavbe (izolacija strehe, stropa, tal, vgradnja energetsko učinkovitih lesenih oken) in v sistemih ogrevanja (toplotne črpalke, kotli na lesno biomaso, solarni ogrevalni sistemi) ter drugi (prezračevanje).</w:t>
      </w:r>
    </w:p>
  </w:footnote>
  <w:footnote w:id="77">
    <w:p w14:paraId="76B61D8D" w14:textId="5C4F3F4E"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Pravilnik o načinu delitve in obračunu stroškov za toploto v stanovanjskih in drugih stavbah z več posameznimi deli</w:t>
      </w:r>
      <w:r w:rsidRPr="00B92112">
        <w:rPr>
          <w:rFonts w:ascii="Arial" w:hAnsi="Arial" w:cs="Arial"/>
          <w:i/>
          <w:sz w:val="18"/>
          <w:szCs w:val="18"/>
        </w:rPr>
        <w:t xml:space="preserve"> </w:t>
      </w:r>
      <w:r w:rsidRPr="00B92112">
        <w:rPr>
          <w:rFonts w:ascii="Arial" w:hAnsi="Arial" w:cs="Arial"/>
          <w:iCs/>
          <w:sz w:val="18"/>
          <w:szCs w:val="18"/>
        </w:rPr>
        <w:t xml:space="preserve">(Uradni list RS, št. </w:t>
      </w:r>
      <w:hyperlink r:id="rId78" w:tgtFrame="_blank" w:tooltip="Pravilnik o načinu delitve in obračunu stroškov za toploto v stanovanjskih in drugih stavbah z več posameznimi deli" w:history="1">
        <w:r w:rsidRPr="00B92112">
          <w:rPr>
            <w:rStyle w:val="Hyperlink"/>
            <w:rFonts w:ascii="Arial" w:eastAsiaTheme="majorEastAsia" w:hAnsi="Arial" w:cs="Arial"/>
            <w:color w:val="auto"/>
            <w:sz w:val="18"/>
            <w:szCs w:val="18"/>
          </w:rPr>
          <w:t>82/15</w:t>
        </w:r>
      </w:hyperlink>
      <w:r w:rsidRPr="00B92112">
        <w:rPr>
          <w:rFonts w:ascii="Arial" w:hAnsi="Arial" w:cs="Arial"/>
          <w:iCs/>
          <w:sz w:val="18"/>
          <w:szCs w:val="18"/>
        </w:rPr>
        <w:t xml:space="preserve">, </w:t>
      </w:r>
      <w:hyperlink r:id="rId79" w:tgtFrame="_blank" w:tooltip="Pravilnik o spremembah in dopolnitvah Pravilnika o načinu delitve in obračunu stroškov za toploto v stanovanjskih in drugih stavbah z več posameznimi deli" w:history="1">
        <w:r w:rsidRPr="00B92112">
          <w:rPr>
            <w:rStyle w:val="Hyperlink"/>
            <w:rFonts w:ascii="Arial" w:eastAsiaTheme="majorEastAsia" w:hAnsi="Arial" w:cs="Arial"/>
            <w:color w:val="auto"/>
            <w:sz w:val="18"/>
            <w:szCs w:val="18"/>
          </w:rPr>
          <w:t>61/16</w:t>
        </w:r>
      </w:hyperlink>
      <w:r w:rsidRPr="00B92112">
        <w:rPr>
          <w:rFonts w:ascii="Arial" w:hAnsi="Arial" w:cs="Arial"/>
          <w:iCs/>
          <w:sz w:val="18"/>
          <w:szCs w:val="18"/>
        </w:rPr>
        <w:t xml:space="preserve"> in </w:t>
      </w:r>
      <w:hyperlink r:id="rId80" w:tgtFrame="_blank" w:tooltip="Zakon o učinkoviti rabi energije" w:history="1">
        <w:r w:rsidRPr="00B92112">
          <w:rPr>
            <w:rStyle w:val="Hyperlink"/>
            <w:rFonts w:ascii="Arial" w:eastAsiaTheme="majorEastAsia" w:hAnsi="Arial" w:cs="Arial"/>
            <w:color w:val="auto"/>
            <w:sz w:val="18"/>
            <w:szCs w:val="18"/>
          </w:rPr>
          <w:t>158/20</w:t>
        </w:r>
      </w:hyperlink>
      <w:r w:rsidRPr="00B92112">
        <w:rPr>
          <w:rFonts w:ascii="Arial" w:hAnsi="Arial" w:cs="Arial"/>
          <w:iCs/>
          <w:sz w:val="18"/>
          <w:szCs w:val="18"/>
        </w:rPr>
        <w:t xml:space="preserve"> – ZURE).</w:t>
      </w:r>
    </w:p>
  </w:footnote>
  <w:footnote w:id="78">
    <w:p w14:paraId="43988FFA" w14:textId="00811043"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Toplotna izolacija strehe, stropa, zunanjih sten in tal, vgradnja energijsko učinkovitega stavbnega pohištva, sistema za pripravo tople sanitarne vode in lokalnega prezračevanja z vračanjem toplote odpadnega zraka ter zamenjava stare kurilne naprave z novo na lesno biomaso.</w:t>
      </w:r>
    </w:p>
  </w:footnote>
  <w:footnote w:id="79">
    <w:p w14:paraId="4ED83712" w14:textId="719C715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Do leta 2023 so bila nepovratna sredstva za zamenjavo starih kurilnih naprav z novimi na lesno biomaso na voljo v okviru ločenih pozivov, od konca leta 2023 dalje pa je ta ukrep vključen v pozive ZER.</w:t>
      </w:r>
    </w:p>
  </w:footnote>
  <w:footnote w:id="80">
    <w:p w14:paraId="57C591CB" w14:textId="18DE2A5B"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rPr>
        <w:t xml:space="preserve">Uradni list RS, </w:t>
      </w:r>
      <w:r w:rsidRPr="00B92112">
        <w:rPr>
          <w:rFonts w:ascii="Arial" w:hAnsi="Arial" w:cs="Arial"/>
          <w:sz w:val="18"/>
          <w:szCs w:val="18"/>
          <w:lang w:val="en-GB"/>
        </w:rPr>
        <w:t xml:space="preserve">št. </w:t>
      </w:r>
      <w:hyperlink r:id="rId81" w:tgtFrame="_blank" w:tooltip="Uredba o merilih za opredelitev in ocenjevanje števila energetsko revnih gospodinjstev" w:history="1">
        <w:r w:rsidRPr="00B92112">
          <w:rPr>
            <w:rFonts w:ascii="Arial" w:hAnsi="Arial" w:cs="Arial"/>
            <w:sz w:val="18"/>
            <w:szCs w:val="18"/>
            <w:u w:val="single"/>
            <w:lang w:val="en-GB"/>
          </w:rPr>
          <w:t>132/22</w:t>
        </w:r>
      </w:hyperlink>
      <w:r w:rsidRPr="00B92112">
        <w:rPr>
          <w:rFonts w:ascii="Arial" w:hAnsi="Arial" w:cs="Arial"/>
          <w:sz w:val="18"/>
          <w:szCs w:val="18"/>
          <w:u w:val="single"/>
          <w:lang w:val="en-GB"/>
        </w:rPr>
        <w:t>.</w:t>
      </w:r>
    </w:p>
  </w:footnote>
  <w:footnote w:id="81">
    <w:p w14:paraId="5176F3EF" w14:textId="34E62FC2"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hyperlink r:id="rId82" w:history="1">
        <w:r w:rsidRPr="007944FA">
          <w:rPr>
            <w:rStyle w:val="Hyperlink"/>
            <w:rFonts w:ascii="Arial" w:hAnsi="Arial" w:cs="Arial"/>
            <w:color w:val="auto"/>
            <w:sz w:val="18"/>
            <w:szCs w:val="18"/>
          </w:rPr>
          <w:t>https://www.energetika-portal.si/fileadmin/dokumenti/podrocja/energetika/energetska_revscina/an_enrev_nov2023.pdf</w:t>
        </w:r>
      </w:hyperlink>
      <w:r w:rsidRPr="007944FA">
        <w:rPr>
          <w:rStyle w:val="Hyperlink"/>
          <w:rFonts w:ascii="Arial" w:hAnsi="Arial" w:cs="Arial"/>
          <w:color w:val="auto"/>
          <w:sz w:val="18"/>
          <w:szCs w:val="18"/>
        </w:rPr>
        <w:t>.</w:t>
      </w:r>
      <w:r w:rsidRPr="00B92112">
        <w:rPr>
          <w:rFonts w:ascii="Arial" w:hAnsi="Arial" w:cs="Arial"/>
          <w:sz w:val="18"/>
          <w:szCs w:val="18"/>
        </w:rPr>
        <w:t xml:space="preserve"> </w:t>
      </w:r>
    </w:p>
  </w:footnote>
  <w:footnote w:id="82">
    <w:p w14:paraId="5B78F3D6" w14:textId="3EE48610"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eastAsia="Palatino Linotype" w:hAnsi="Arial" w:cs="Arial"/>
          <w:sz w:val="18"/>
          <w:szCs w:val="18"/>
        </w:rPr>
        <w:t>Uradni list RS,</w:t>
      </w:r>
      <w:r w:rsidRPr="00B92112">
        <w:rPr>
          <w:rFonts w:ascii="Arial" w:hAnsi="Arial" w:cs="Arial"/>
          <w:sz w:val="18"/>
          <w:szCs w:val="18"/>
        </w:rPr>
        <w:t xml:space="preserve"> št. </w:t>
      </w:r>
      <w:hyperlink r:id="rId83" w:tgtFrame="_blank" w:tooltip="Uredba o upravljanju z energijo v javnem sektorju" w:history="1">
        <w:r w:rsidRPr="00B92112">
          <w:rPr>
            <w:rStyle w:val="Hyperlink"/>
            <w:rFonts w:ascii="Arial" w:hAnsi="Arial" w:cs="Arial"/>
            <w:color w:val="auto"/>
            <w:sz w:val="18"/>
            <w:szCs w:val="18"/>
          </w:rPr>
          <w:t>52/16</w:t>
        </w:r>
      </w:hyperlink>
      <w:r w:rsidRPr="00B92112">
        <w:rPr>
          <w:rFonts w:ascii="Arial" w:hAnsi="Arial" w:cs="Arial"/>
          <w:sz w:val="18"/>
          <w:szCs w:val="18"/>
        </w:rPr>
        <w:t xml:space="preserve">, </w:t>
      </w:r>
      <w:hyperlink r:id="rId84" w:tgtFrame="_blank" w:tooltip="Uredba o spremembi in dopolnitvah Uredbe o upravljanju z energijo v javnem sektorju" w:history="1">
        <w:r w:rsidRPr="00B92112">
          <w:rPr>
            <w:rStyle w:val="Hyperlink"/>
            <w:rFonts w:ascii="Arial" w:hAnsi="Arial" w:cs="Arial"/>
            <w:color w:val="auto"/>
            <w:sz w:val="18"/>
            <w:szCs w:val="18"/>
          </w:rPr>
          <w:t>116/20</w:t>
        </w:r>
      </w:hyperlink>
      <w:r w:rsidRPr="00B92112">
        <w:rPr>
          <w:rFonts w:ascii="Arial" w:hAnsi="Arial" w:cs="Arial"/>
          <w:sz w:val="18"/>
          <w:szCs w:val="18"/>
        </w:rPr>
        <w:t xml:space="preserve"> in </w:t>
      </w:r>
      <w:hyperlink r:id="rId85" w:tgtFrame="_blank" w:tooltip="Zakon o učinkoviti rabi energije" w:history="1">
        <w:r w:rsidRPr="00B92112">
          <w:rPr>
            <w:rStyle w:val="Hyperlink"/>
            <w:rFonts w:ascii="Arial" w:hAnsi="Arial" w:cs="Arial"/>
            <w:color w:val="auto"/>
            <w:sz w:val="18"/>
            <w:szCs w:val="18"/>
          </w:rPr>
          <w:t>158/20</w:t>
        </w:r>
      </w:hyperlink>
      <w:r w:rsidRPr="00B92112">
        <w:rPr>
          <w:rFonts w:ascii="Arial" w:hAnsi="Arial" w:cs="Arial"/>
          <w:sz w:val="18"/>
          <w:szCs w:val="18"/>
        </w:rPr>
        <w:t xml:space="preserve"> – ZURE).</w:t>
      </w:r>
    </w:p>
  </w:footnote>
  <w:footnote w:id="83">
    <w:p w14:paraId="4A2F34AE" w14:textId="4110A03E" w:rsidR="00692B40" w:rsidRPr="00B92112" w:rsidRDefault="00692B40" w:rsidP="00B92112">
      <w:pPr>
        <w:pStyle w:val="Footnotebesedilo"/>
        <w:jc w:val="both"/>
        <w:rPr>
          <w:rFonts w:cs="Arial"/>
          <w:sz w:val="18"/>
          <w:szCs w:val="18"/>
        </w:rPr>
      </w:pPr>
      <w:r w:rsidRPr="00B92112">
        <w:rPr>
          <w:rStyle w:val="FootnoteReference"/>
          <w:rFonts w:cs="Arial"/>
          <w:sz w:val="18"/>
          <w:szCs w:val="18"/>
        </w:rPr>
        <w:footnoteRef/>
      </w:r>
      <w:r w:rsidRPr="00B92112">
        <w:rPr>
          <w:rFonts w:cs="Arial"/>
          <w:sz w:val="18"/>
          <w:szCs w:val="18"/>
        </w:rPr>
        <w:t xml:space="preserve"> </w:t>
      </w:r>
      <w:r w:rsidRPr="00B92112">
        <w:rPr>
          <w:rFonts w:cs="Arial"/>
          <w:sz w:val="18"/>
          <w:szCs w:val="18"/>
        </w:rPr>
        <w:tab/>
      </w:r>
      <w:hyperlink r:id="rId86" w:history="1">
        <w:r w:rsidRPr="00B92112">
          <w:rPr>
            <w:rStyle w:val="Hyperlink"/>
            <w:rFonts w:cs="Arial"/>
            <w:color w:val="auto"/>
            <w:sz w:val="18"/>
            <w:szCs w:val="18"/>
          </w:rPr>
          <w:t>http://www.eu-skladi.si/kohezija-do-2013/predpisi/operativni-programi/2007-2013/operativni-program-razvoja-okoljske-in-prometne-infrastrukture/OPROPIcistopis_9_9_2015.pdf</w:t>
        </w:r>
      </w:hyperlink>
      <w:r w:rsidRPr="00B92112">
        <w:rPr>
          <w:rStyle w:val="Hyperlink"/>
          <w:rFonts w:cs="Arial"/>
          <w:color w:val="auto"/>
          <w:sz w:val="18"/>
          <w:szCs w:val="18"/>
          <w:u w:val="none"/>
        </w:rPr>
        <w:t>.</w:t>
      </w:r>
      <w:r w:rsidRPr="00B92112">
        <w:rPr>
          <w:rFonts w:cs="Arial"/>
          <w:sz w:val="18"/>
          <w:szCs w:val="18"/>
        </w:rPr>
        <w:t xml:space="preserve"> </w:t>
      </w:r>
    </w:p>
  </w:footnote>
  <w:footnote w:id="84">
    <w:p w14:paraId="1004CC2F" w14:textId="1FE91224"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https://pisrs.si/pregledPredpisa?id=ZAKO8607.</w:t>
      </w:r>
    </w:p>
  </w:footnote>
  <w:footnote w:id="85">
    <w:p w14:paraId="2319D9CE" w14:textId="4B69A16E"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87" w:history="1">
        <w:r w:rsidRPr="00B92112">
          <w:rPr>
            <w:rStyle w:val="Hyperlink"/>
            <w:rFonts w:ascii="Arial" w:hAnsi="Arial" w:cs="Arial"/>
            <w:color w:val="auto"/>
            <w:sz w:val="18"/>
            <w:szCs w:val="18"/>
          </w:rPr>
          <w:t>https://www.sptm.si/gradiva/smernice</w:t>
        </w:r>
      </w:hyperlink>
      <w:r w:rsidRPr="00B92112">
        <w:rPr>
          <w:rStyle w:val="Hyperlink"/>
          <w:rFonts w:ascii="Arial" w:hAnsi="Arial" w:cs="Arial"/>
          <w:color w:val="auto"/>
          <w:sz w:val="18"/>
          <w:szCs w:val="18"/>
          <w:u w:val="none"/>
        </w:rPr>
        <w:t>.</w:t>
      </w:r>
      <w:r w:rsidRPr="00B92112">
        <w:rPr>
          <w:rFonts w:ascii="Arial" w:hAnsi="Arial" w:cs="Arial"/>
          <w:sz w:val="18"/>
          <w:szCs w:val="18"/>
        </w:rPr>
        <w:t xml:space="preserve"> </w:t>
      </w:r>
    </w:p>
  </w:footnote>
  <w:footnote w:id="86">
    <w:p w14:paraId="31C56630" w14:textId="77777777" w:rsidR="00692B40" w:rsidRPr="00B92112" w:rsidRDefault="00692B40" w:rsidP="00B92112">
      <w:pPr>
        <w:pStyle w:val="FootnoteText"/>
        <w:tabs>
          <w:tab w:val="left" w:pos="0"/>
        </w:tabs>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DIREKTIVA 1999/94/ES EVROPSKEGA PARLAMENTA IN SVETA z dne 13. decembra 1999 o informacijah o ekonomičnosti porabe goriva in emisijah CO</w:t>
      </w:r>
      <w:r w:rsidRPr="00B92112">
        <w:rPr>
          <w:rFonts w:ascii="Arial" w:hAnsi="Arial" w:cs="Arial"/>
          <w:sz w:val="18"/>
          <w:szCs w:val="18"/>
          <w:vertAlign w:val="subscript"/>
        </w:rPr>
        <w:t>2</w:t>
      </w:r>
      <w:r w:rsidRPr="00B92112">
        <w:rPr>
          <w:rFonts w:ascii="Arial" w:hAnsi="Arial" w:cs="Arial"/>
          <w:sz w:val="18"/>
          <w:szCs w:val="18"/>
        </w:rPr>
        <w:t>, ki so na voljo potrošnikom v zvezi s trženjem novih osebnih vozil.</w:t>
      </w:r>
    </w:p>
  </w:footnote>
  <w:footnote w:id="87">
    <w:p w14:paraId="7CEE1BAC" w14:textId="7C6A1809" w:rsidR="00692B40" w:rsidRPr="00B92112" w:rsidRDefault="00692B40" w:rsidP="00B92112">
      <w:pPr>
        <w:pStyle w:val="FootnoteText"/>
        <w:jc w:val="both"/>
        <w:rPr>
          <w:rFonts w:ascii="Arial" w:hAnsi="Arial" w:cs="Arial"/>
          <w:sz w:val="18"/>
          <w:szCs w:val="18"/>
          <w:lang w:val="en-US"/>
        </w:rPr>
      </w:pPr>
      <w:r w:rsidRPr="00B92112">
        <w:rPr>
          <w:rStyle w:val="FootnoteReference"/>
          <w:rFonts w:ascii="Arial" w:hAnsi="Arial" w:cs="Arial"/>
          <w:sz w:val="18"/>
          <w:szCs w:val="18"/>
        </w:rPr>
        <w:footnoteRef/>
      </w:r>
      <w:r w:rsidRPr="00B92112">
        <w:rPr>
          <w:rFonts w:ascii="Arial" w:hAnsi="Arial" w:cs="Arial"/>
          <w:sz w:val="18"/>
          <w:szCs w:val="18"/>
        </w:rPr>
        <w:t xml:space="preserve"> Uradni list RS, št. </w:t>
      </w:r>
      <w:hyperlink r:id="rId88" w:tgtFrame="_blank" w:tooltip="Uredba o obnovljivih virih energije v prometu" w:history="1">
        <w:r w:rsidRPr="00B92112">
          <w:rPr>
            <w:rStyle w:val="Hyperlink"/>
            <w:rFonts w:ascii="Arial" w:hAnsi="Arial" w:cs="Arial"/>
            <w:color w:val="auto"/>
            <w:sz w:val="18"/>
            <w:szCs w:val="18"/>
          </w:rPr>
          <w:t>208/21</w:t>
        </w:r>
      </w:hyperlink>
      <w:r w:rsidRPr="00B92112">
        <w:rPr>
          <w:rFonts w:ascii="Arial" w:hAnsi="Arial" w:cs="Arial"/>
          <w:sz w:val="18"/>
          <w:szCs w:val="18"/>
        </w:rPr>
        <w:t xml:space="preserve">, </w:t>
      </w:r>
      <w:hyperlink r:id="rId89" w:tgtFrame="_blank" w:tooltip="Uredba o dopolnitvi Uredbe o obnovljivih virih energije v prometu" w:history="1">
        <w:r w:rsidRPr="00B92112">
          <w:rPr>
            <w:rStyle w:val="Hyperlink"/>
            <w:rFonts w:ascii="Arial" w:hAnsi="Arial" w:cs="Arial"/>
            <w:color w:val="auto"/>
            <w:sz w:val="18"/>
            <w:szCs w:val="18"/>
          </w:rPr>
          <w:t>93/22</w:t>
        </w:r>
      </w:hyperlink>
      <w:r w:rsidRPr="00B92112">
        <w:rPr>
          <w:rFonts w:ascii="Arial" w:hAnsi="Arial" w:cs="Arial"/>
          <w:sz w:val="18"/>
          <w:szCs w:val="18"/>
        </w:rPr>
        <w:t xml:space="preserve"> in </w:t>
      </w:r>
      <w:hyperlink r:id="rId90" w:tgtFrame="_blank" w:tooltip="Uredba o spremembi Uredbe o obnovljivih virih energije v prometu" w:history="1">
        <w:r w:rsidRPr="00B92112">
          <w:rPr>
            <w:rStyle w:val="Hyperlink"/>
            <w:rFonts w:ascii="Arial" w:hAnsi="Arial" w:cs="Arial"/>
            <w:color w:val="auto"/>
            <w:sz w:val="18"/>
            <w:szCs w:val="18"/>
          </w:rPr>
          <w:t>70/24</w:t>
        </w:r>
      </w:hyperlink>
      <w:r w:rsidRPr="00B92112">
        <w:rPr>
          <w:rStyle w:val="Hyperlink"/>
          <w:rFonts w:ascii="Arial" w:hAnsi="Arial" w:cs="Arial"/>
          <w:color w:val="auto"/>
          <w:sz w:val="18"/>
          <w:szCs w:val="18"/>
        </w:rPr>
        <w:t>.</w:t>
      </w:r>
    </w:p>
  </w:footnote>
  <w:footnote w:id="88">
    <w:p w14:paraId="2E9379B0" w14:textId="66690528" w:rsidR="00BF0580" w:rsidRPr="00B92112" w:rsidRDefault="00BF0580" w:rsidP="007944FA">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https://transport.ec.europa.eu/system/files/2023-03/C_2023_1796.pdf</w:t>
      </w:r>
    </w:p>
  </w:footnote>
  <w:footnote w:id="89">
    <w:p w14:paraId="3D360D46" w14:textId="2BB97E43"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Zakon o varstvu okolja opredeljuje dolgoročen cilj Slovenije, ki je doseči podnebno nevtralnosti do leta 2050.</w:t>
      </w:r>
    </w:p>
  </w:footnote>
  <w:footnote w:id="90">
    <w:p w14:paraId="42D60C9D" w14:textId="313EB1E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91" w:history="1">
        <w:r w:rsidRPr="00B92112">
          <w:rPr>
            <w:rStyle w:val="Hyperlink"/>
            <w:rFonts w:ascii="Arial" w:hAnsi="Arial" w:cs="Arial"/>
            <w:color w:val="auto"/>
            <w:sz w:val="18"/>
            <w:szCs w:val="18"/>
          </w:rPr>
          <w:t>Dopolnjeno Končno poročilo o posodobljenih strokovnih podlagah NEPN, IJS CEU et al., december 2024</w:t>
        </w:r>
      </w:hyperlink>
      <w:r w:rsidRPr="00B92112">
        <w:rPr>
          <w:rFonts w:ascii="Arial" w:hAnsi="Arial" w:cs="Arial"/>
          <w:sz w:val="18"/>
          <w:szCs w:val="18"/>
        </w:rPr>
        <w:t>.</w:t>
      </w:r>
    </w:p>
  </w:footnote>
  <w:footnote w:id="91">
    <w:p w14:paraId="568C75B5" w14:textId="333C837E"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00C47CFA" w:rsidRPr="00B92112">
        <w:rPr>
          <w:rFonts w:ascii="Arial" w:hAnsi="Arial" w:cs="Arial"/>
          <w:sz w:val="18"/>
          <w:szCs w:val="18"/>
        </w:rPr>
        <w:t>V projekcijah za NEPN 2024</w:t>
      </w:r>
      <w:r w:rsidRPr="00B92112">
        <w:rPr>
          <w:rFonts w:ascii="Arial" w:hAnsi="Arial" w:cs="Arial"/>
          <w:sz w:val="18"/>
          <w:szCs w:val="18"/>
        </w:rPr>
        <w:t xml:space="preserve"> sta bila analizirana scenarija brez nove enote jedrske elektrarne in z novo enoto. V tem poročilu je predstavljen scenarij brez nove enote jedrske elektrarne, vendar to ne prejudicira odločitve glede drugega bloka jedrske elektrarne. Scenarij je izbran za prikaz zato, ker so emisije rahlo višje.</w:t>
      </w:r>
    </w:p>
  </w:footnote>
  <w:footnote w:id="92">
    <w:p w14:paraId="34AA292C" w14:textId="21DD2816" w:rsidR="00692B40" w:rsidRPr="00B92112" w:rsidRDefault="00692B40" w:rsidP="007944FA">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Povečanje proizvodnje električne energije velja za scenarij DU-OVE, v scenariju DU-Je je povečanje več kot 100-odstotno.</w:t>
      </w:r>
    </w:p>
  </w:footnote>
  <w:footnote w:id="93">
    <w:p w14:paraId="59F86FA4" w14:textId="684EFBAE"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hyperlink r:id="rId92" w:history="1">
        <w:r w:rsidRPr="00B92112">
          <w:rPr>
            <w:rStyle w:val="Hyperlink"/>
            <w:rFonts w:ascii="Arial" w:hAnsi="Arial" w:cs="Arial"/>
            <w:color w:val="auto"/>
            <w:sz w:val="18"/>
            <w:szCs w:val="18"/>
          </w:rPr>
          <w:t>Dopolnjeno Končno poročilo o posodobljenih strokovnih podlagah NEPN, IJS CEU et al., december 2024</w:t>
        </w:r>
      </w:hyperlink>
      <w:r w:rsidRPr="00B92112">
        <w:rPr>
          <w:rFonts w:ascii="Arial" w:hAnsi="Arial" w:cs="Arial"/>
          <w:sz w:val="18"/>
          <w:szCs w:val="18"/>
        </w:rPr>
        <w:t>.</w:t>
      </w:r>
    </w:p>
  </w:footnote>
  <w:footnote w:id="94">
    <w:p w14:paraId="63D324A3" w14:textId="0C3ABA85" w:rsidR="00692B40" w:rsidRPr="00B92112" w:rsidRDefault="00692B40" w:rsidP="00B92112">
      <w:pPr>
        <w:pStyle w:val="FootnoteText"/>
        <w:ind w:right="-1"/>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Jevšenak, J., Arnič, D., Krajnc, L., Skudnik, M., 2023. Machine Learning Forest Simulator (MLFS): R package for data-driven assessment of the future state of forests. Ecol. Inform. 75, </w:t>
      </w:r>
      <w:hyperlink r:id="rId93" w:history="1">
        <w:r w:rsidRPr="00B92112">
          <w:rPr>
            <w:rStyle w:val="Hyperlink"/>
            <w:rFonts w:ascii="Arial" w:hAnsi="Arial" w:cs="Arial"/>
            <w:color w:val="auto"/>
            <w:sz w:val="18"/>
            <w:szCs w:val="18"/>
          </w:rPr>
          <w:t>102115</w:t>
        </w:r>
      </w:hyperlink>
      <w:r w:rsidRPr="00B92112">
        <w:rPr>
          <w:rFonts w:ascii="Arial" w:hAnsi="Arial" w:cs="Arial"/>
          <w:sz w:val="18"/>
          <w:szCs w:val="18"/>
        </w:rPr>
        <w:t xml:space="preserve">. </w:t>
      </w:r>
    </w:p>
  </w:footnote>
  <w:footnote w:id="95">
    <w:p w14:paraId="36317DAC" w14:textId="6EA0155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Monserud, R. A., Sterba, H. 1999. Modeling individual tree mortality for Austrian forest species. For. Ecol. Manage. 113, 109–123.  </w:t>
      </w:r>
    </w:p>
  </w:footnote>
  <w:footnote w:id="96">
    <w:p w14:paraId="23AEFE03" w14:textId="04F8121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94" w:history="1">
        <w:r w:rsidRPr="00B92112">
          <w:rPr>
            <w:rStyle w:val="Hyperlink"/>
            <w:rFonts w:ascii="Arial" w:hAnsi="Arial" w:cs="Arial"/>
            <w:color w:val="auto"/>
            <w:sz w:val="18"/>
            <w:szCs w:val="18"/>
          </w:rPr>
          <w:t>Dopolnjeno Končno poročilo o posodobljenih strokovnih podlagah NEPN, IJS CEU et al., december 2024</w:t>
        </w:r>
      </w:hyperlink>
      <w:r w:rsidRPr="00B92112">
        <w:rPr>
          <w:rFonts w:ascii="Arial" w:hAnsi="Arial" w:cs="Arial"/>
          <w:sz w:val="18"/>
          <w:szCs w:val="18"/>
        </w:rPr>
        <w:t>.</w:t>
      </w:r>
    </w:p>
  </w:footnote>
  <w:footnote w:id="97">
    <w:p w14:paraId="0B537A5B" w14:textId="2FB049C9"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LIFE ClimatePath2050 Deliverable C2.1: Documentation of Methods and Models for Climate Mitigation Mid-century Strategy Scenario Analysis, Final report Part 1:</w:t>
      </w:r>
      <w:hyperlink r:id="rId95" w:history="1">
        <w:r w:rsidRPr="00B92112">
          <w:rPr>
            <w:rStyle w:val="Hyperlink"/>
            <w:rFonts w:ascii="Arial" w:hAnsi="Arial" w:cs="Arial"/>
            <w:color w:val="auto"/>
            <w:sz w:val="18"/>
            <w:szCs w:val="18"/>
          </w:rPr>
          <w:t xml:space="preserve"> Summary</w:t>
        </w:r>
      </w:hyperlink>
      <w:r w:rsidRPr="00B92112">
        <w:rPr>
          <w:rFonts w:ascii="Arial" w:hAnsi="Arial" w:cs="Arial"/>
          <w:sz w:val="18"/>
          <w:szCs w:val="18"/>
        </w:rPr>
        <w:t xml:space="preserve">, Part 2: </w:t>
      </w:r>
      <w:hyperlink r:id="rId96" w:tgtFrame="_blank" w:history="1">
        <w:r w:rsidRPr="00B92112">
          <w:rPr>
            <w:rStyle w:val="Hyperlink"/>
            <w:rFonts w:ascii="Arial" w:hAnsi="Arial" w:cs="Arial"/>
            <w:b/>
            <w:color w:val="auto"/>
            <w:sz w:val="18"/>
            <w:szCs w:val="18"/>
          </w:rPr>
          <w:t>Energy sector models</w:t>
        </w:r>
      </w:hyperlink>
      <w:r w:rsidRPr="00B92112">
        <w:rPr>
          <w:rFonts w:ascii="Arial" w:hAnsi="Arial" w:cs="Arial"/>
          <w:sz w:val="18"/>
          <w:szCs w:val="18"/>
        </w:rPr>
        <w:t xml:space="preserve">, Part 4: </w:t>
      </w:r>
      <w:hyperlink r:id="rId97" w:history="1">
        <w:r w:rsidRPr="00B92112">
          <w:rPr>
            <w:rStyle w:val="Hyperlink"/>
            <w:rFonts w:ascii="Arial" w:hAnsi="Arial" w:cs="Arial"/>
            <w:color w:val="auto"/>
            <w:sz w:val="18"/>
            <w:szCs w:val="18"/>
          </w:rPr>
          <w:t>Other IPCC sectors</w:t>
        </w:r>
      </w:hyperlink>
      <w:r w:rsidRPr="00B92112">
        <w:rPr>
          <w:rFonts w:ascii="Arial" w:hAnsi="Arial" w:cs="Arial"/>
          <w:sz w:val="18"/>
          <w:szCs w:val="18"/>
        </w:rPr>
        <w:t xml:space="preserve">, IJS CEU et all., 2021. </w:t>
      </w:r>
    </w:p>
    <w:p w14:paraId="1C89B08E" w14:textId="77777777" w:rsidR="00692B40" w:rsidRPr="00B92112" w:rsidRDefault="00692B40" w:rsidP="00B92112">
      <w:pPr>
        <w:pStyle w:val="FootnoteText"/>
        <w:jc w:val="both"/>
        <w:rPr>
          <w:rFonts w:ascii="Arial" w:hAnsi="Arial" w:cs="Arial"/>
          <w:sz w:val="18"/>
          <w:szCs w:val="18"/>
        </w:rPr>
      </w:pPr>
      <w:r w:rsidRPr="00B92112">
        <w:rPr>
          <w:rFonts w:ascii="Arial" w:hAnsi="Arial" w:cs="Arial"/>
          <w:sz w:val="18"/>
          <w:szCs w:val="18"/>
        </w:rPr>
        <w:t>Za model LULUCF glej zgoraj navedeno referenco.</w:t>
      </w:r>
    </w:p>
  </w:footnote>
  <w:footnote w:id="98">
    <w:p w14:paraId="197CA842"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98">
        <w:r w:rsidRPr="00B92112">
          <w:rPr>
            <w:rStyle w:val="Hyperlink"/>
            <w:rFonts w:ascii="Arial" w:hAnsi="Arial" w:cs="Arial"/>
            <w:color w:val="auto"/>
            <w:sz w:val="18"/>
            <w:szCs w:val="18"/>
            <w:lang w:val="en-US"/>
          </w:rPr>
          <w:t>https://meteo.arso.gov.si/uploads/probase/www/climate/text/sl/publications/OPS21_Porocilo.pdf</w:t>
        </w:r>
      </w:hyperlink>
      <w:r w:rsidRPr="00B92112">
        <w:rPr>
          <w:rStyle w:val="Hyperlink"/>
          <w:rFonts w:ascii="Arial" w:hAnsi="Arial" w:cs="Arial"/>
          <w:color w:val="auto"/>
          <w:sz w:val="18"/>
          <w:szCs w:val="18"/>
          <w:lang w:val="en-US"/>
        </w:rPr>
        <w:t>.</w:t>
      </w:r>
    </w:p>
  </w:footnote>
  <w:footnote w:id="99">
    <w:p w14:paraId="5E4FA85E"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99">
        <w:r w:rsidRPr="00B92112">
          <w:rPr>
            <w:rStyle w:val="Hyperlink"/>
            <w:rFonts w:ascii="Arial" w:hAnsi="Arial" w:cs="Arial"/>
            <w:color w:val="auto"/>
            <w:sz w:val="18"/>
            <w:szCs w:val="18"/>
            <w:lang w:val="en-US"/>
          </w:rPr>
          <w:t>https://meteo.arso.gov.si/uploads/probase/www/climate/OPS21/Priloge-app/</w:t>
        </w:r>
      </w:hyperlink>
      <w:r w:rsidRPr="00B92112">
        <w:rPr>
          <w:rStyle w:val="Hyperlink"/>
          <w:rFonts w:ascii="Arial" w:hAnsi="Arial" w:cs="Arial"/>
          <w:color w:val="auto"/>
          <w:sz w:val="18"/>
          <w:szCs w:val="18"/>
          <w:lang w:val="en-US"/>
        </w:rPr>
        <w:t>.</w:t>
      </w:r>
    </w:p>
  </w:footnote>
  <w:footnote w:id="100">
    <w:p w14:paraId="30FB076D"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0">
        <w:r w:rsidRPr="00B92112">
          <w:rPr>
            <w:rStyle w:val="Hyperlink"/>
            <w:rFonts w:ascii="Arial" w:hAnsi="Arial" w:cs="Arial"/>
            <w:color w:val="auto"/>
            <w:sz w:val="18"/>
            <w:szCs w:val="18"/>
            <w:lang w:val="en-US"/>
          </w:rPr>
          <w:t>https://podatki.gov.si/data/search?s=podnebne+projekcije</w:t>
        </w:r>
      </w:hyperlink>
      <w:r w:rsidRPr="00B92112">
        <w:rPr>
          <w:rStyle w:val="Hyperlink"/>
          <w:rFonts w:ascii="Arial" w:hAnsi="Arial" w:cs="Arial"/>
          <w:color w:val="auto"/>
          <w:sz w:val="18"/>
          <w:szCs w:val="18"/>
          <w:lang w:val="en-US"/>
        </w:rPr>
        <w:t>.</w:t>
      </w:r>
    </w:p>
  </w:footnote>
  <w:footnote w:id="101">
    <w:p w14:paraId="6919D685"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1">
        <w:r w:rsidRPr="00B92112">
          <w:rPr>
            <w:rStyle w:val="Hyperlink"/>
            <w:rFonts w:ascii="Arial" w:eastAsia="Times New Roman" w:hAnsi="Arial" w:cs="Arial"/>
            <w:color w:val="auto"/>
            <w:sz w:val="18"/>
            <w:szCs w:val="18"/>
          </w:rPr>
          <w:t>Economic losses from weather- and climate-related extremes in Europe.</w:t>
        </w:r>
      </w:hyperlink>
    </w:p>
  </w:footnote>
  <w:footnote w:id="102">
    <w:p w14:paraId="1C09DC5E"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2" w:history="1">
        <w:r w:rsidRPr="00B92112">
          <w:rPr>
            <w:rStyle w:val="Hyperlink"/>
            <w:rFonts w:ascii="Arial" w:hAnsi="Arial" w:cs="Arial"/>
            <w:color w:val="auto"/>
            <w:sz w:val="18"/>
            <w:szCs w:val="18"/>
          </w:rPr>
          <w:t>https://kazalci.arso.gov.si/sl/content/temperaturni-primanjkljaj-presezek-0</w:t>
        </w:r>
      </w:hyperlink>
      <w:r w:rsidRPr="00B92112">
        <w:rPr>
          <w:rStyle w:val="Hyperlink"/>
          <w:rFonts w:ascii="Arial" w:hAnsi="Arial" w:cs="Arial"/>
          <w:color w:val="auto"/>
          <w:sz w:val="18"/>
          <w:szCs w:val="18"/>
        </w:rPr>
        <w:t>.</w:t>
      </w:r>
      <w:r w:rsidRPr="00B92112">
        <w:rPr>
          <w:rFonts w:ascii="Arial" w:hAnsi="Arial" w:cs="Arial"/>
          <w:sz w:val="18"/>
          <w:szCs w:val="18"/>
        </w:rPr>
        <w:t xml:space="preserve"> </w:t>
      </w:r>
    </w:p>
  </w:footnote>
  <w:footnote w:id="103">
    <w:p w14:paraId="17E11062"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3" w:history="1">
        <w:r w:rsidRPr="00B92112">
          <w:rPr>
            <w:rStyle w:val="Hyperlink"/>
            <w:rFonts w:ascii="Arial" w:hAnsi="Arial" w:cs="Arial"/>
            <w:color w:val="auto"/>
            <w:sz w:val="18"/>
            <w:szCs w:val="18"/>
          </w:rPr>
          <w:t>Letna rečna bilanca | Okoljski kazalci</w:t>
        </w:r>
      </w:hyperlink>
      <w:r w:rsidRPr="00B92112">
        <w:rPr>
          <w:rStyle w:val="Hyperlink"/>
          <w:rFonts w:ascii="Arial" w:hAnsi="Arial" w:cs="Arial"/>
          <w:color w:val="auto"/>
          <w:sz w:val="18"/>
          <w:szCs w:val="18"/>
        </w:rPr>
        <w:t>.</w:t>
      </w:r>
    </w:p>
  </w:footnote>
  <w:footnote w:id="104">
    <w:p w14:paraId="303E3EC4" w14:textId="77777777" w:rsidR="00692B40" w:rsidRPr="00B92112" w:rsidRDefault="00692B40" w:rsidP="00B92112">
      <w:pPr>
        <w:spacing w:after="0"/>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4" w:history="1">
        <w:r w:rsidRPr="00B92112">
          <w:rPr>
            <w:rStyle w:val="Hyperlink"/>
            <w:rFonts w:ascii="Arial" w:hAnsi="Arial" w:cs="Arial"/>
            <w:color w:val="auto"/>
            <w:sz w:val="18"/>
            <w:szCs w:val="18"/>
          </w:rPr>
          <w:t>Proizvodnja električne energije iz obnovljivih virov energije | Okoljski kazalci</w:t>
        </w:r>
      </w:hyperlink>
      <w:r w:rsidRPr="00B92112">
        <w:rPr>
          <w:rStyle w:val="Hyperlink"/>
          <w:rFonts w:ascii="Arial" w:hAnsi="Arial" w:cs="Arial"/>
          <w:color w:val="auto"/>
          <w:sz w:val="18"/>
          <w:szCs w:val="18"/>
        </w:rPr>
        <w:t>.</w:t>
      </w:r>
    </w:p>
  </w:footnote>
  <w:footnote w:id="105">
    <w:p w14:paraId="5EFAC3C3" w14:textId="77777777"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5" w:history="1">
        <w:r w:rsidRPr="00B92112">
          <w:rPr>
            <w:rStyle w:val="Hyperlink"/>
            <w:rFonts w:ascii="Arial" w:hAnsi="Arial" w:cs="Arial"/>
            <w:color w:val="auto"/>
            <w:sz w:val="18"/>
            <w:szCs w:val="18"/>
          </w:rPr>
          <w:t>Kmetijske suše | Okoljski kazalci</w:t>
        </w:r>
      </w:hyperlink>
      <w:r w:rsidRPr="00B92112">
        <w:rPr>
          <w:rStyle w:val="Hyperlink"/>
          <w:rFonts w:ascii="Arial" w:hAnsi="Arial" w:cs="Arial"/>
          <w:color w:val="auto"/>
          <w:sz w:val="18"/>
          <w:szCs w:val="18"/>
        </w:rPr>
        <w:t>.</w:t>
      </w:r>
    </w:p>
  </w:footnote>
  <w:footnote w:id="106">
    <w:p w14:paraId="2C3F52AF"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6" w:history="1">
        <w:r w:rsidRPr="00B92112">
          <w:rPr>
            <w:rStyle w:val="Hyperlink"/>
            <w:rFonts w:ascii="Arial" w:hAnsi="Arial" w:cs="Arial"/>
            <w:color w:val="auto"/>
            <w:sz w:val="18"/>
            <w:szCs w:val="18"/>
          </w:rPr>
          <w:t>https://kazalci.arso.gov.si/sl/content/kmetijske-suse-0</w:t>
        </w:r>
      </w:hyperlink>
      <w:r w:rsidRPr="00B92112">
        <w:rPr>
          <w:rStyle w:val="Hyperlink"/>
          <w:rFonts w:ascii="Arial" w:hAnsi="Arial" w:cs="Arial"/>
          <w:color w:val="auto"/>
          <w:sz w:val="18"/>
          <w:szCs w:val="18"/>
        </w:rPr>
        <w:t>.</w:t>
      </w:r>
      <w:r w:rsidRPr="00B92112">
        <w:rPr>
          <w:rFonts w:ascii="Arial" w:hAnsi="Arial" w:cs="Arial"/>
          <w:sz w:val="18"/>
          <w:szCs w:val="18"/>
        </w:rPr>
        <w:t xml:space="preserve"> </w:t>
      </w:r>
    </w:p>
  </w:footnote>
  <w:footnote w:id="107">
    <w:p w14:paraId="1E0CBC81" w14:textId="77777777"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7" w:history="1">
        <w:r w:rsidRPr="00B92112">
          <w:rPr>
            <w:rStyle w:val="Hyperlink"/>
            <w:rFonts w:ascii="Arial" w:hAnsi="Arial" w:cs="Arial"/>
            <w:color w:val="auto"/>
            <w:sz w:val="18"/>
            <w:szCs w:val="18"/>
          </w:rPr>
          <w:t>https://kazalci.arso.gov.si/sl/content/namakanje-kmetijskih-zemljisc-4</w:t>
        </w:r>
      </w:hyperlink>
      <w:r w:rsidRPr="00B92112">
        <w:rPr>
          <w:rStyle w:val="Hyperlink"/>
          <w:rFonts w:ascii="Arial" w:hAnsi="Arial" w:cs="Arial"/>
          <w:color w:val="auto"/>
          <w:sz w:val="18"/>
          <w:szCs w:val="18"/>
        </w:rPr>
        <w:t>.</w:t>
      </w:r>
      <w:r w:rsidRPr="00B92112">
        <w:rPr>
          <w:rFonts w:ascii="Arial" w:hAnsi="Arial" w:cs="Arial"/>
          <w:sz w:val="18"/>
          <w:szCs w:val="18"/>
        </w:rPr>
        <w:t xml:space="preserve"> </w:t>
      </w:r>
    </w:p>
  </w:footnote>
  <w:footnote w:id="108">
    <w:p w14:paraId="69A866C5"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8" w:history="1">
        <w:r w:rsidRPr="00B92112">
          <w:rPr>
            <w:rStyle w:val="Hyperlink"/>
            <w:rFonts w:ascii="Arial" w:hAnsi="Arial" w:cs="Arial"/>
            <w:color w:val="auto"/>
            <w:sz w:val="18"/>
            <w:szCs w:val="18"/>
          </w:rPr>
          <w:t>Triglavski ledenik | Okoljski kazalci</w:t>
        </w:r>
      </w:hyperlink>
      <w:r w:rsidRPr="00B92112">
        <w:rPr>
          <w:rStyle w:val="Hyperlink"/>
          <w:rFonts w:ascii="Arial" w:hAnsi="Arial" w:cs="Arial"/>
          <w:color w:val="auto"/>
          <w:sz w:val="18"/>
          <w:szCs w:val="18"/>
        </w:rPr>
        <w:t>.</w:t>
      </w:r>
      <w:r w:rsidRPr="00B92112">
        <w:rPr>
          <w:rFonts w:ascii="Arial" w:hAnsi="Arial" w:cs="Arial"/>
          <w:sz w:val="18"/>
          <w:szCs w:val="18"/>
        </w:rPr>
        <w:t xml:space="preserve"> </w:t>
      </w:r>
    </w:p>
  </w:footnote>
  <w:footnote w:id="109">
    <w:p w14:paraId="7C7B7F76"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09" w:history="1">
        <w:r w:rsidRPr="00B92112">
          <w:rPr>
            <w:rStyle w:val="Hyperlink"/>
            <w:rFonts w:ascii="Arial" w:hAnsi="Arial" w:cs="Arial"/>
            <w:color w:val="auto"/>
            <w:sz w:val="18"/>
            <w:szCs w:val="18"/>
          </w:rPr>
          <w:t>Višina morja | Okoljski kazalci</w:t>
        </w:r>
      </w:hyperlink>
      <w:r w:rsidRPr="00B92112">
        <w:rPr>
          <w:rStyle w:val="Hyperlink"/>
          <w:rFonts w:ascii="Arial" w:hAnsi="Arial" w:cs="Arial"/>
          <w:color w:val="auto"/>
          <w:sz w:val="18"/>
          <w:szCs w:val="18"/>
        </w:rPr>
        <w:t>.</w:t>
      </w:r>
    </w:p>
  </w:footnote>
  <w:footnote w:id="110">
    <w:p w14:paraId="28D5C14A"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0" w:history="1">
        <w:r w:rsidRPr="00B92112">
          <w:rPr>
            <w:rStyle w:val="Hyperlink"/>
            <w:rFonts w:ascii="Arial" w:hAnsi="Arial" w:cs="Arial"/>
            <w:color w:val="auto"/>
            <w:sz w:val="18"/>
            <w:szCs w:val="18"/>
          </w:rPr>
          <w:t>Hidrološka suša podzemnih voda | Okoljski kazalci</w:t>
        </w:r>
      </w:hyperlink>
      <w:r w:rsidRPr="00B92112">
        <w:rPr>
          <w:rStyle w:val="Hyperlink"/>
          <w:rFonts w:ascii="Arial" w:hAnsi="Arial" w:cs="Arial"/>
          <w:color w:val="auto"/>
          <w:sz w:val="18"/>
          <w:szCs w:val="18"/>
        </w:rPr>
        <w:t>.</w:t>
      </w:r>
    </w:p>
  </w:footnote>
  <w:footnote w:id="111">
    <w:p w14:paraId="2EEB908D"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1" w:history="1">
        <w:r w:rsidRPr="00B92112">
          <w:rPr>
            <w:rStyle w:val="Hyperlink"/>
            <w:rFonts w:ascii="Arial" w:hAnsi="Arial" w:cs="Arial"/>
            <w:color w:val="auto"/>
            <w:sz w:val="18"/>
            <w:szCs w:val="18"/>
          </w:rPr>
          <w:t>Triglavski ledenik | Okoljski kazalci</w:t>
        </w:r>
      </w:hyperlink>
      <w:r w:rsidRPr="00B92112">
        <w:rPr>
          <w:rStyle w:val="Hyperlink"/>
          <w:rFonts w:ascii="Arial" w:hAnsi="Arial" w:cs="Arial"/>
          <w:color w:val="auto"/>
          <w:sz w:val="18"/>
          <w:szCs w:val="18"/>
        </w:rPr>
        <w:t>.</w:t>
      </w:r>
    </w:p>
  </w:footnote>
  <w:footnote w:id="112">
    <w:p w14:paraId="625EEA15" w14:textId="77777777"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2" w:history="1">
        <w:r w:rsidRPr="00B92112">
          <w:rPr>
            <w:rStyle w:val="Hyperlink"/>
            <w:rFonts w:ascii="Arial" w:hAnsi="Arial" w:cs="Arial"/>
            <w:color w:val="auto"/>
            <w:sz w:val="18"/>
            <w:szCs w:val="18"/>
          </w:rPr>
          <w:t>Poškodovanost gozdov in osutost dreves | Okoljski kazalci</w:t>
        </w:r>
      </w:hyperlink>
      <w:r w:rsidRPr="00B92112">
        <w:rPr>
          <w:rStyle w:val="Hyperlink"/>
          <w:rFonts w:ascii="Arial" w:hAnsi="Arial" w:cs="Arial"/>
          <w:color w:val="auto"/>
          <w:sz w:val="18"/>
          <w:szCs w:val="18"/>
        </w:rPr>
        <w:t>.</w:t>
      </w:r>
    </w:p>
  </w:footnote>
  <w:footnote w:id="113">
    <w:p w14:paraId="17703207"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3" w:history="1">
        <w:r w:rsidRPr="00B92112">
          <w:rPr>
            <w:rStyle w:val="Hyperlink"/>
            <w:rFonts w:ascii="Arial" w:hAnsi="Arial" w:cs="Arial"/>
            <w:color w:val="auto"/>
            <w:sz w:val="18"/>
            <w:szCs w:val="18"/>
          </w:rPr>
          <w:t>Poškodovanost gozdov in osutost dreves | Okoljski kazalci</w:t>
        </w:r>
      </w:hyperlink>
      <w:r w:rsidRPr="00B92112">
        <w:rPr>
          <w:rStyle w:val="Hyperlink"/>
          <w:rFonts w:ascii="Arial" w:hAnsi="Arial" w:cs="Arial"/>
          <w:color w:val="auto"/>
          <w:sz w:val="18"/>
          <w:szCs w:val="18"/>
        </w:rPr>
        <w:t>.</w:t>
      </w:r>
    </w:p>
  </w:footnote>
  <w:footnote w:id="114">
    <w:p w14:paraId="67BDFE1A"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4" w:history="1">
        <w:r w:rsidRPr="00B92112">
          <w:rPr>
            <w:rStyle w:val="Hyperlink"/>
            <w:rFonts w:ascii="Arial" w:hAnsi="Arial" w:cs="Arial"/>
            <w:color w:val="auto"/>
            <w:sz w:val="18"/>
            <w:szCs w:val="18"/>
          </w:rPr>
          <w:t>Heat waves and daily number of deaths | Okoljski kazalci</w:t>
        </w:r>
      </w:hyperlink>
      <w:r w:rsidRPr="00B92112">
        <w:rPr>
          <w:rStyle w:val="Hyperlink"/>
          <w:rFonts w:ascii="Arial" w:hAnsi="Arial" w:cs="Arial"/>
          <w:color w:val="auto"/>
          <w:sz w:val="18"/>
          <w:szCs w:val="18"/>
        </w:rPr>
        <w:t>.</w:t>
      </w:r>
    </w:p>
  </w:footnote>
  <w:footnote w:id="115">
    <w:p w14:paraId="7ECA27BF"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5" w:history="1">
        <w:r w:rsidRPr="00B92112">
          <w:rPr>
            <w:rStyle w:val="Hyperlink"/>
            <w:rFonts w:ascii="Arial" w:hAnsi="Arial" w:cs="Arial"/>
            <w:color w:val="auto"/>
            <w:sz w:val="18"/>
            <w:szCs w:val="18"/>
          </w:rPr>
          <w:t>Reported cases of lyme borreliosis and tick-borne meningoencephalitis in Slovenia | Okoljski kazalci</w:t>
        </w:r>
      </w:hyperlink>
      <w:r w:rsidRPr="00B92112">
        <w:rPr>
          <w:rStyle w:val="Hyperlink"/>
          <w:rFonts w:ascii="Arial" w:hAnsi="Arial" w:cs="Arial"/>
          <w:color w:val="auto"/>
          <w:sz w:val="18"/>
          <w:szCs w:val="18"/>
        </w:rPr>
        <w:t>.</w:t>
      </w:r>
    </w:p>
  </w:footnote>
  <w:footnote w:id="116">
    <w:p w14:paraId="2C63D7B4" w14:textId="77777777"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6" w:history="1">
        <w:r w:rsidRPr="00B92112">
          <w:rPr>
            <w:rStyle w:val="Hyperlink"/>
            <w:rFonts w:ascii="Arial" w:hAnsi="Arial" w:cs="Arial"/>
            <w:color w:val="auto"/>
            <w:sz w:val="18"/>
            <w:szCs w:val="18"/>
          </w:rPr>
          <w:t>Ekstremni padavinski dogodki | Okoljski kazalci</w:t>
        </w:r>
      </w:hyperlink>
      <w:r w:rsidRPr="00B92112">
        <w:rPr>
          <w:rStyle w:val="Hyperlink"/>
          <w:rFonts w:ascii="Arial" w:hAnsi="Arial" w:cs="Arial"/>
          <w:color w:val="auto"/>
          <w:sz w:val="18"/>
          <w:szCs w:val="18"/>
        </w:rPr>
        <w:t>.</w:t>
      </w:r>
    </w:p>
  </w:footnote>
  <w:footnote w:id="117">
    <w:p w14:paraId="1FA840FF"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7" w:history="1">
        <w:r w:rsidRPr="00B92112">
          <w:rPr>
            <w:rStyle w:val="Hyperlink"/>
            <w:rFonts w:ascii="Arial" w:hAnsi="Arial" w:cs="Arial"/>
            <w:color w:val="auto"/>
            <w:sz w:val="18"/>
            <w:szCs w:val="18"/>
          </w:rPr>
          <w:t>https://pisrs.si/pregledPredpisa?id=RESO131</w:t>
        </w:r>
      </w:hyperlink>
      <w:r w:rsidRPr="00B92112">
        <w:rPr>
          <w:rStyle w:val="Hyperlink"/>
          <w:rFonts w:ascii="Arial" w:hAnsi="Arial" w:cs="Arial"/>
          <w:color w:val="auto"/>
          <w:sz w:val="18"/>
          <w:szCs w:val="18"/>
        </w:rPr>
        <w:t>.</w:t>
      </w:r>
      <w:r w:rsidRPr="00B92112">
        <w:rPr>
          <w:rFonts w:ascii="Arial" w:hAnsi="Arial" w:cs="Arial"/>
          <w:sz w:val="18"/>
          <w:szCs w:val="18"/>
        </w:rPr>
        <w:t xml:space="preserve"> </w:t>
      </w:r>
    </w:p>
  </w:footnote>
  <w:footnote w:id="118">
    <w:p w14:paraId="4372AEFC"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Gre za izvajanje ukrepov za ohranjanje biotske raznovrstnosti, sofinanciranje programov na področju naravnih nesreč, LIFE ViVACCAdapt, LIFE Amphicon, monitoring prenašalcev vektorskih bolezni.</w:t>
      </w:r>
    </w:p>
  </w:footnote>
  <w:footnote w:id="119">
    <w:p w14:paraId="06E93B83"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hyperlink r:id="rId118" w:history="1">
        <w:r w:rsidRPr="00B92112">
          <w:rPr>
            <w:rFonts w:ascii="Arial" w:eastAsia="Calibri" w:hAnsi="Arial" w:cs="Arial"/>
            <w:kern w:val="2"/>
            <w:sz w:val="18"/>
            <w:szCs w:val="18"/>
            <w:u w:val="single"/>
            <w14:ligatures w14:val="standardContextual"/>
          </w:rPr>
          <w:t>https://pisrs.si/pregledPredpisa?id=RESO117</w:t>
        </w:r>
      </w:hyperlink>
      <w:r w:rsidRPr="00B92112">
        <w:rPr>
          <w:rFonts w:ascii="Arial" w:eastAsia="Calibri" w:hAnsi="Arial" w:cs="Arial"/>
          <w:kern w:val="2"/>
          <w:sz w:val="18"/>
          <w:szCs w:val="18"/>
          <w14:ligatures w14:val="standardContextual"/>
        </w:rPr>
        <w:t>.</w:t>
      </w:r>
    </w:p>
  </w:footnote>
  <w:footnote w:id="120">
    <w:p w14:paraId="4B88E26B" w14:textId="3FDD93DF"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https://www.gov.si/teme/nacrtovanje-in-izvajanje-mednarodnega-razvojnega-sodelovanja-in-humanitarne-pomoci-slovenije/</w:t>
      </w:r>
    </w:p>
  </w:footnote>
  <w:footnote w:id="121">
    <w:p w14:paraId="20165108"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hAnsi="Arial" w:cs="Arial"/>
          <w:sz w:val="18"/>
          <w:szCs w:val="18"/>
          <w:lang w:val="en-GB"/>
        </w:rPr>
        <w:t xml:space="preserve">Converged Statistical Reporting Directives for the Creditor Reporting System (CRS) and the Annual DAC Questionnaire (2024). Available at: </w:t>
      </w:r>
      <w:hyperlink r:id="rId119" w:history="1">
        <w:r w:rsidRPr="00B92112">
          <w:rPr>
            <w:rFonts w:ascii="Arial" w:hAnsi="Arial" w:cs="Arial"/>
            <w:sz w:val="18"/>
            <w:szCs w:val="18"/>
            <w:lang w:val="en-GB"/>
          </w:rPr>
          <w:t>https://one.oecd.org/document/DCD/DAC(2024)40/FINAL/en/pdf</w:t>
        </w:r>
      </w:hyperlink>
    </w:p>
  </w:footnote>
  <w:footnote w:id="122">
    <w:p w14:paraId="132F6AD6" w14:textId="77777777" w:rsidR="00692B40" w:rsidRPr="007944FA"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hAnsi="Arial" w:cs="Arial"/>
          <w:sz w:val="18"/>
          <w:szCs w:val="18"/>
          <w:lang w:val="en-GB"/>
        </w:rPr>
        <w:t>DAC Working Party on Development Finance Statistics: Converged Statistical Reporting Directives for the Creditor Reporting System (CRS) and the Annual DAC Questionnaire (2023: p.61)</w:t>
      </w:r>
    </w:p>
  </w:footnote>
  <w:footnote w:id="123">
    <w:p w14:paraId="52C73137"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hAnsi="Arial" w:cs="Arial"/>
          <w:sz w:val="18"/>
          <w:szCs w:val="18"/>
          <w:lang w:val="en-GB"/>
        </w:rPr>
        <w:t xml:space="preserve">Converged Statistical Reporting Directives for the Creditor Reporting System (CRS) and the Annual DAC Questionnaire (2024). Available at: </w:t>
      </w:r>
      <w:hyperlink r:id="rId120" w:history="1">
        <w:r w:rsidRPr="00B92112">
          <w:rPr>
            <w:rFonts w:ascii="Arial" w:hAnsi="Arial" w:cs="Arial"/>
            <w:sz w:val="18"/>
            <w:szCs w:val="18"/>
            <w:lang w:val="en-GB"/>
          </w:rPr>
          <w:t>https://one.oecd.org/document/DCD/DAC(2024)40/FINAL/en/pdf</w:t>
        </w:r>
      </w:hyperlink>
      <w:r w:rsidRPr="00B92112">
        <w:rPr>
          <w:rFonts w:ascii="Arial" w:hAnsi="Arial" w:cs="Arial"/>
          <w:sz w:val="18"/>
          <w:szCs w:val="18"/>
          <w:lang w:val="en-GB"/>
        </w:rPr>
        <w:t xml:space="preserve">. </w:t>
      </w:r>
    </w:p>
  </w:footnote>
  <w:footnote w:id="124">
    <w:p w14:paraId="3EB7F00F"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w:t>
      </w:r>
      <w:r w:rsidRPr="00B92112">
        <w:rPr>
          <w:rFonts w:ascii="Arial" w:hAnsi="Arial" w:cs="Arial"/>
          <w:sz w:val="18"/>
          <w:szCs w:val="18"/>
          <w:lang w:val="en-GB"/>
        </w:rPr>
        <w:t>DAC Working Party on Development Finance Statistics: Converged Statistical Reporting Directives for the Creditor Reporting System (CRS) and the Annual DAC Questionnaire (2023: str.61).</w:t>
      </w:r>
    </w:p>
  </w:footnote>
  <w:footnote w:id="125">
    <w:p w14:paraId="11943896" w14:textId="2DC73E18" w:rsidR="00692B40" w:rsidRPr="007944FA" w:rsidRDefault="00692B40" w:rsidP="007944FA">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w:t>
      </w:r>
      <w:r w:rsidRPr="00B92112">
        <w:rPr>
          <w:rFonts w:ascii="Arial" w:hAnsi="Arial" w:cs="Arial"/>
          <w:sz w:val="18"/>
          <w:szCs w:val="18"/>
        </w:rPr>
        <w:t>Od leta 2025 se vključevanje varstva okolja kot presečne teme MRSHP RS v projektne aktivnosti zagotavlja z oceno na podlagi spola, ki je obvezna priloga vsebinskemu načrtu projektnih predlogov</w:t>
      </w:r>
      <w:r w:rsidRPr="007944FA">
        <w:rPr>
          <w:rFonts w:ascii="Arial" w:hAnsi="Arial" w:cs="Arial"/>
          <w:sz w:val="18"/>
          <w:szCs w:val="18"/>
        </w:rPr>
        <w:t>.</w:t>
      </w:r>
    </w:p>
  </w:footnote>
  <w:footnote w:id="126">
    <w:p w14:paraId="20B1C819" w14:textId="77777777" w:rsidR="00692B40" w:rsidRPr="007944FA" w:rsidRDefault="00692B40" w:rsidP="00B92112">
      <w:pPr>
        <w:pStyle w:val="FootnoteText"/>
        <w:jc w:val="both"/>
        <w:rPr>
          <w:rFonts w:ascii="Arial" w:hAnsi="Arial" w:cs="Arial"/>
          <w:sz w:val="18"/>
          <w:szCs w:val="18"/>
        </w:rPr>
      </w:pPr>
      <w:r w:rsidRPr="007944FA">
        <w:rPr>
          <w:rStyle w:val="FootnoteReference"/>
          <w:rFonts w:ascii="Arial" w:hAnsi="Arial" w:cs="Arial"/>
          <w:sz w:val="18"/>
          <w:szCs w:val="18"/>
        </w:rPr>
        <w:footnoteRef/>
      </w:r>
      <w:r w:rsidRPr="007944FA">
        <w:rPr>
          <w:rFonts w:ascii="Arial" w:hAnsi="Arial" w:cs="Arial"/>
          <w:sz w:val="18"/>
          <w:szCs w:val="18"/>
        </w:rPr>
        <w:t xml:space="preserve"> Za določitev emisij in odvzemov v okviru NDC EU ne razčlenjuje emisij in odvzemov na upravljanih zemljiščih na tiste, za katere se šteje, da so posledica človekovih dejavnosti, in tiste, za katere se šteje, da so posledica naravnih motenj.</w:t>
      </w:r>
    </w:p>
  </w:footnote>
  <w:footnote w:id="127">
    <w:p w14:paraId="01FFFDF1"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Neto emisije TGP v okviru NDC</w:t>
      </w:r>
    </w:p>
  </w:footnote>
  <w:footnote w:id="128">
    <w:p w14:paraId="519EE242" w14:textId="46FF7CEC"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Evropska komisija, Skupno raziskovalno središče, Rózsai, M., Jaxa-Rozen, M., Salvucci, R., Sikora, P., Tattini, J. in Neuwahl, F., JRC-IDEES-2021: Integrirana zbirka podatkov evropskega energetskega sistema – Posodobitev podatkov in tehnična dokumentacija, Urad za publikacije Evropske unije, Luksemburg, 2024, </w:t>
      </w:r>
      <w:hyperlink r:id="rId121" w:history="1">
        <w:r w:rsidRPr="00B92112">
          <w:rPr>
            <w:rStyle w:val="Hyperlink"/>
            <w:rFonts w:ascii="Arial" w:hAnsi="Arial" w:cs="Arial"/>
            <w:color w:val="auto"/>
            <w:sz w:val="18"/>
            <w:szCs w:val="18"/>
          </w:rPr>
          <w:t>doi:10.2760/614599</w:t>
        </w:r>
      </w:hyperlink>
      <w:r w:rsidRPr="00B92112">
        <w:rPr>
          <w:rFonts w:ascii="Arial" w:hAnsi="Arial" w:cs="Arial"/>
          <w:sz w:val="18"/>
          <w:szCs w:val="18"/>
        </w:rPr>
        <w:t>.</w:t>
      </w:r>
    </w:p>
  </w:footnote>
  <w:footnote w:id="129">
    <w:p w14:paraId="575AE29B" w14:textId="63A3B058"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Analitična zbirka podatkov JRC-IDEES je zasnovana za podporo energetskemu modeliranju in analizi politik s kombiniranjem primarnih statističnih podatkov s tehničnimi predpostavkami za zbiranje podrobnih zgodovinskih podatkov o energijskem gospodarstvu in emisijah za vsak ključni energetski sektor. Za letalstvo emisije EGP vključujejo emisije, povezane z Združenim kraljestvom, ne pa tudi s Švico, kjer so skupne emisije CO</w:t>
      </w:r>
      <w:r w:rsidRPr="00B92112">
        <w:rPr>
          <w:rFonts w:ascii="Arial" w:hAnsi="Arial" w:cs="Arial"/>
          <w:sz w:val="18"/>
          <w:szCs w:val="18"/>
          <w:vertAlign w:val="subscript"/>
        </w:rPr>
        <w:t>2</w:t>
      </w:r>
      <w:r w:rsidRPr="00B92112">
        <w:rPr>
          <w:rFonts w:ascii="Arial" w:hAnsi="Arial" w:cs="Arial"/>
          <w:sz w:val="18"/>
          <w:szCs w:val="18"/>
        </w:rPr>
        <w:t xml:space="preserve"> za področje uporabe dodatno ocenjene iz podatkov EUROCONTROL.</w:t>
      </w:r>
    </w:p>
  </w:footnote>
  <w:footnote w:id="130">
    <w:p w14:paraId="54B42BF9" w14:textId="7777777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V tej prilogi EGP pomeni Evropski gospodarski prostor, ki obsega 27 držav članic EU, Islandijo, Lihtenštajn in Norveško.</w:t>
      </w:r>
    </w:p>
  </w:footnote>
  <w:footnote w:id="131">
    <w:p w14:paraId="1F07DD3B" w14:textId="77777777" w:rsidR="00692B40" w:rsidRPr="007944FA" w:rsidRDefault="00692B40" w:rsidP="00B92112">
      <w:pPr>
        <w:pStyle w:val="FootnoteText"/>
        <w:tabs>
          <w:tab w:val="left" w:pos="284"/>
        </w:tabs>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ab/>
        <w:t xml:space="preserve">Statistična žepnica 2023, </w:t>
      </w:r>
      <w:hyperlink r:id="rId122" w:history="1">
        <w:r w:rsidRPr="00B92112">
          <w:rPr>
            <w:rStyle w:val="Hyperlink"/>
            <w:rFonts w:ascii="Arial" w:hAnsi="Arial" w:cs="Arial"/>
            <w:color w:val="auto"/>
            <w:sz w:val="18"/>
            <w:szCs w:val="18"/>
          </w:rPr>
          <w:t>https://transport.ec.europa.eu/facts-funding/studies-data/eu-transport-figures-statistical-pocketbook/statistical-pocketbook-2023_en</w:t>
        </w:r>
      </w:hyperlink>
      <w:r w:rsidRPr="00B92112">
        <w:rPr>
          <w:rFonts w:ascii="Arial" w:hAnsi="Arial" w:cs="Arial"/>
          <w:sz w:val="18"/>
          <w:szCs w:val="18"/>
        </w:rPr>
        <w:t>.</w:t>
      </w:r>
      <w:r w:rsidRPr="007944FA">
        <w:rPr>
          <w:rFonts w:ascii="Arial" w:hAnsi="Arial" w:cs="Arial"/>
          <w:sz w:val="18"/>
          <w:szCs w:val="18"/>
        </w:rPr>
        <w:t xml:space="preserve"> </w:t>
      </w:r>
    </w:p>
  </w:footnote>
  <w:footnote w:id="132">
    <w:p w14:paraId="0BBED7E2" w14:textId="5FEE5D87" w:rsidR="00692B40" w:rsidRPr="00B92112" w:rsidRDefault="00692B40" w:rsidP="00B92112">
      <w:pPr>
        <w:pStyle w:val="FootnoteText"/>
        <w:jc w:val="both"/>
        <w:rPr>
          <w:rFonts w:ascii="Arial" w:hAnsi="Arial" w:cs="Arial"/>
          <w:sz w:val="18"/>
          <w:szCs w:val="18"/>
        </w:rPr>
      </w:pPr>
      <w:r w:rsidRPr="00B92112">
        <w:rPr>
          <w:rStyle w:val="FootnoteReference"/>
          <w:rFonts w:ascii="Arial" w:hAnsi="Arial" w:cs="Arial"/>
          <w:sz w:val="18"/>
          <w:szCs w:val="18"/>
        </w:rPr>
        <w:footnoteRef/>
      </w:r>
      <w:r w:rsidRPr="00B92112">
        <w:rPr>
          <w:rFonts w:ascii="Arial" w:hAnsi="Arial" w:cs="Arial"/>
          <w:sz w:val="18"/>
          <w:szCs w:val="18"/>
        </w:rPr>
        <w:t xml:space="preserve">  THETIS MRV, </w:t>
      </w:r>
      <w:hyperlink r:id="rId123" w:anchor="public/eumrv" w:history="1">
        <w:r w:rsidRPr="00B92112">
          <w:rPr>
            <w:rStyle w:val="Hyperlink"/>
            <w:rFonts w:ascii="Arial" w:hAnsi="Arial" w:cs="Arial"/>
            <w:color w:val="auto"/>
            <w:sz w:val="18"/>
            <w:szCs w:val="18"/>
          </w:rPr>
          <w:t>https://mrv.emsa.europa.eu/#public/eumrv</w:t>
        </w:r>
      </w:hyperlink>
      <w:r w:rsidRPr="00B92112">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74C96" w14:textId="77777777" w:rsidR="00692B40" w:rsidRDefault="00692B40">
    <w:pPr>
      <w:pStyle w:val="Header"/>
    </w:pPr>
  </w:p>
  <w:p w14:paraId="4991CC11" w14:textId="77777777" w:rsidR="00692B40" w:rsidRDefault="00692B40"/>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8EC9" w14:textId="77777777" w:rsidR="00692B40" w:rsidRDefault="00692B4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86B08" w14:textId="77777777" w:rsidR="00692B40" w:rsidRDefault="00692B4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1018" w14:textId="77777777" w:rsidR="00692B40" w:rsidRDefault="00692B40">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57EF6" w14:textId="77777777" w:rsidR="00692B40" w:rsidRDefault="00692B40">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82D6" w14:textId="77777777" w:rsidR="00692B40" w:rsidRDefault="00692B40">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DFE7C" w14:textId="77777777" w:rsidR="00692B40" w:rsidRDefault="00692B40">
    <w:pPr>
      <w:pStyle w:val="Header"/>
    </w:pPr>
    <w:r>
      <w:rPr>
        <w:noProof/>
      </w:rPr>
      <mc:AlternateContent>
        <mc:Choice Requires="wps">
          <w:drawing>
            <wp:anchor distT="0" distB="0" distL="0" distR="0" simplePos="0" relativeHeight="251659264" behindDoc="0" locked="0" layoutInCell="1" allowOverlap="1" wp14:anchorId="487DE4E2" wp14:editId="20C27CA8">
              <wp:simplePos x="0" y="0"/>
              <wp:positionH relativeFrom="page">
                <wp:align>center</wp:align>
              </wp:positionH>
              <wp:positionV relativeFrom="page">
                <wp:align>top</wp:align>
              </wp:positionV>
              <wp:extent cx="1134745" cy="368935"/>
              <wp:effectExtent l="0" t="0" r="0" b="0"/>
              <wp:wrapNone/>
              <wp:docPr id="1099534503"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4745" cy="368935"/>
                      </a:xfrm>
                      <a:prstGeom prst="rect">
                        <a:avLst/>
                      </a:prstGeom>
                      <a:noFill/>
                      <a:ln>
                        <a:noFill/>
                      </a:ln>
                    </wps:spPr>
                    <wps:txbx>
                      <w:txbxContent>
                        <w:p w14:paraId="092E049F" w14:textId="77777777" w:rsidR="00692B40" w:rsidRPr="00940610" w:rsidRDefault="00692B40" w:rsidP="006D46D8">
                          <w:pPr>
                            <w:spacing w:after="0"/>
                            <w:rPr>
                              <w:rFonts w:ascii="Calibri" w:eastAsia="Calibri" w:hAnsi="Calibri" w:cs="Calibri"/>
                              <w:noProof/>
                              <w:color w:val="808080"/>
                              <w:sz w:val="20"/>
                              <w:szCs w:val="20"/>
                            </w:rPr>
                          </w:pPr>
                          <w:r>
                            <w:rPr>
                              <w:rFonts w:ascii="Calibri" w:hAnsi="Calibri"/>
                              <w:color w:val="808080"/>
                              <w:sz w:val="20"/>
                            </w:rPr>
                            <w:t>Korporativna uporaba</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87DE4E2" id="_x0000_t202" coordsize="21600,21600" o:spt="202" path="m,l,21600r21600,l21600,xe">
              <v:stroke joinstyle="miter"/>
              <v:path gradientshapeok="t" o:connecttype="rect"/>
            </v:shapetype>
            <v:shape id="Polje z besedilom 1" o:spid="_x0000_s1026" type="#_x0000_t202" style="position:absolute;margin-left:0;margin-top:0;width:89.35pt;height:29.05pt;z-index:25165926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" filled="f" stroked="f">
              <v:textbox style="mso-fit-shape-to-text:t" inset="0,15pt,0,0">
                <w:txbxContent>
                  <w:p w14:paraId="092E049F" w14:textId="77777777" w:rsidR="00692B40" w:rsidRPr="00940610" w:rsidRDefault="00692B40" w:rsidP="006D46D8">
                    <w:pPr>
                      <w:spacing w:after="0"/>
                      <w:rPr>
                        <w:rFonts w:ascii="Calibri" w:eastAsia="Calibri" w:hAnsi="Calibri" w:cs="Calibri"/>
                        <w:noProof/>
                        <w:color w:val="808080"/>
                        <w:sz w:val="20"/>
                        <w:szCs w:val="20"/>
                      </w:rPr>
                    </w:pPr>
                    <w:r>
                      <w:rPr>
                        <w:rFonts w:ascii="Calibri" w:hAnsi="Calibri"/>
                        <w:color w:val="808080"/>
                        <w:sz w:val="20"/>
                      </w:rPr>
                      <w:t>Korporativna uporaba</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3CD88" w14:textId="77777777" w:rsidR="00692B40" w:rsidRDefault="00692B40">
    <w:pPr>
      <w:pStyle w:val="Header"/>
    </w:pPr>
  </w:p>
  <w:p w14:paraId="1F90B333" w14:textId="77777777" w:rsidR="00692B40" w:rsidRDefault="00692B4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B706" w14:textId="77777777" w:rsidR="00692B40" w:rsidRDefault="00692B40">
    <w:pPr>
      <w:pStyle w:val="Header"/>
    </w:pPr>
  </w:p>
  <w:p w14:paraId="01C15087" w14:textId="77777777" w:rsidR="00692B40" w:rsidRDefault="00692B4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B3C" w14:textId="77777777" w:rsidR="00692B40" w:rsidRDefault="00692B40">
    <w:pPr>
      <w:pStyle w:val="Header"/>
    </w:pPr>
  </w:p>
  <w:p w14:paraId="2F85422C" w14:textId="77777777" w:rsidR="00692B40" w:rsidRDefault="00692B4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FC54" w14:textId="77777777" w:rsidR="00692B40" w:rsidRDefault="00692B40">
    <w:pPr>
      <w:pStyle w:val="Header"/>
    </w:pPr>
  </w:p>
  <w:p w14:paraId="06010A98" w14:textId="77777777" w:rsidR="00692B40" w:rsidRDefault="00692B4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724C" w14:textId="77777777" w:rsidR="00692B40" w:rsidRDefault="00692B40">
    <w:pPr>
      <w:pStyle w:val="Header"/>
    </w:pPr>
  </w:p>
  <w:p w14:paraId="139D9A44" w14:textId="77777777" w:rsidR="00692B40" w:rsidRDefault="00692B4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121CC" w14:textId="77777777" w:rsidR="00692B40" w:rsidRDefault="00692B4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903F3" w14:textId="77777777" w:rsidR="00692B40" w:rsidRDefault="00692B4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DC66A" w14:textId="6EE18337" w:rsidR="00692B40" w:rsidRDefault="00692B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DA6"/>
    <w:multiLevelType w:val="multilevel"/>
    <w:tmpl w:val="8510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1451A"/>
    <w:multiLevelType w:val="multilevel"/>
    <w:tmpl w:val="60E0DC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7CC4895"/>
    <w:multiLevelType w:val="singleLevel"/>
    <w:tmpl w:val="FB60580A"/>
    <w:lvl w:ilvl="0">
      <w:start w:val="1"/>
      <w:numFmt w:val="bullet"/>
      <w:pStyle w:val="Alinejapika"/>
      <w:lvlText w:val=""/>
      <w:lvlJc w:val="left"/>
      <w:pPr>
        <w:tabs>
          <w:tab w:val="num" w:pos="927"/>
        </w:tabs>
        <w:ind w:left="851" w:hanging="284"/>
      </w:pPr>
      <w:rPr>
        <w:rFonts w:ascii="Symbol" w:hAnsi="Symbol" w:hint="default"/>
        <w:b w:val="0"/>
        <w:i w:val="0"/>
        <w:sz w:val="22"/>
      </w:rPr>
    </w:lvl>
  </w:abstractNum>
  <w:abstractNum w:abstractNumId="3" w15:restartNumberingAfterBreak="0">
    <w:nsid w:val="08526E9A"/>
    <w:multiLevelType w:val="multilevel"/>
    <w:tmpl w:val="E21E3734"/>
    <w:styleLink w:val="Style2"/>
    <w:lvl w:ilvl="0">
      <w:start w:val="1"/>
      <w:numFmt w:val="upperLetter"/>
      <w:lvlText w:val="%1"/>
      <w:lvlJc w:val="left"/>
      <w:pPr>
        <w:ind w:left="0" w:firstLine="0"/>
      </w:pPr>
      <w:rPr>
        <w:rFonts w:ascii="Verdana" w:hAnsi="Verdana" w:hint="default"/>
        <w:sz w:val="32"/>
      </w:rPr>
    </w:lvl>
    <w:lvl w:ilvl="1">
      <w:start w:val="1"/>
      <w:numFmt w:val="upp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094B240A"/>
    <w:multiLevelType w:val="multilevel"/>
    <w:tmpl w:val="1CEC0B86"/>
    <w:lvl w:ilvl="0">
      <w:start w:val="1"/>
      <w:numFmt w:val="decimal"/>
      <w:pStyle w:val="Liste1"/>
      <w:lvlText w:val="%1."/>
      <w:lvlJc w:val="left"/>
      <w:pPr>
        <w:tabs>
          <w:tab w:val="num" w:pos="737"/>
        </w:tabs>
        <w:ind w:left="283" w:firstLine="0"/>
      </w:pPr>
      <w:rPr>
        <w:rFonts w:ascii="Arial" w:hAnsi="Arial" w:hint="default"/>
        <w:color w:val="auto"/>
        <w:sz w:val="22"/>
      </w:rPr>
    </w:lvl>
    <w:lvl w:ilvl="1">
      <w:start w:val="1"/>
      <w:numFmt w:val="lowerLetter"/>
      <w:lvlText w:val="%2."/>
      <w:lvlJc w:val="left"/>
      <w:pPr>
        <w:tabs>
          <w:tab w:val="num" w:pos="964"/>
        </w:tabs>
        <w:ind w:left="510" w:firstLine="0"/>
      </w:pPr>
      <w:rPr>
        <w:rFonts w:hint="default"/>
        <w:color w:val="auto"/>
      </w:rPr>
    </w:lvl>
    <w:lvl w:ilvl="2">
      <w:start w:val="1"/>
      <w:numFmt w:val="lowerRoman"/>
      <w:lvlText w:val="%3."/>
      <w:lvlJc w:val="left"/>
      <w:pPr>
        <w:tabs>
          <w:tab w:val="num" w:pos="1191"/>
        </w:tabs>
        <w:ind w:left="737" w:firstLine="0"/>
      </w:pPr>
      <w:rPr>
        <w:rFonts w:hint="default"/>
        <w:color w:val="auto"/>
      </w:rPr>
    </w:lvl>
    <w:lvl w:ilvl="3">
      <w:start w:val="1"/>
      <w:numFmt w:val="decimal"/>
      <w:lvlText w:val="%4"/>
      <w:lvlJc w:val="left"/>
      <w:pPr>
        <w:tabs>
          <w:tab w:val="num" w:pos="1418"/>
        </w:tabs>
        <w:ind w:left="964" w:firstLine="0"/>
      </w:pPr>
      <w:rPr>
        <w:rFonts w:hint="default"/>
        <w:color w:val="auto"/>
      </w:rPr>
    </w:lvl>
    <w:lvl w:ilvl="4">
      <w:start w:val="1"/>
      <w:numFmt w:val="lowerLetter"/>
      <w:lvlText w:val="%5"/>
      <w:lvlJc w:val="left"/>
      <w:pPr>
        <w:tabs>
          <w:tab w:val="num" w:pos="1645"/>
        </w:tabs>
        <w:ind w:left="1191" w:firstLine="0"/>
      </w:pPr>
      <w:rPr>
        <w:rFonts w:hint="default"/>
        <w:color w:val="auto"/>
      </w:rPr>
    </w:lvl>
    <w:lvl w:ilvl="5">
      <w:start w:val="1"/>
      <w:numFmt w:val="lowerRoman"/>
      <w:lvlText w:val="%6"/>
      <w:lvlJc w:val="left"/>
      <w:pPr>
        <w:tabs>
          <w:tab w:val="num" w:pos="1872"/>
        </w:tabs>
        <w:ind w:left="1418" w:firstLine="0"/>
      </w:pPr>
      <w:rPr>
        <w:rFonts w:hint="default"/>
        <w:color w:val="auto"/>
      </w:rPr>
    </w:lvl>
    <w:lvl w:ilvl="6">
      <w:start w:val="1"/>
      <w:numFmt w:val="decimal"/>
      <w:lvlText w:val="%7"/>
      <w:lvlJc w:val="left"/>
      <w:pPr>
        <w:tabs>
          <w:tab w:val="num" w:pos="2099"/>
        </w:tabs>
        <w:ind w:left="1645" w:firstLine="0"/>
      </w:pPr>
      <w:rPr>
        <w:rFonts w:hint="default"/>
        <w:color w:val="auto"/>
      </w:rPr>
    </w:lvl>
    <w:lvl w:ilvl="7">
      <w:start w:val="1"/>
      <w:numFmt w:val="lowerLetter"/>
      <w:lvlText w:val="%8"/>
      <w:lvlJc w:val="left"/>
      <w:pPr>
        <w:tabs>
          <w:tab w:val="num" w:pos="2326"/>
        </w:tabs>
        <w:ind w:left="1872" w:firstLine="0"/>
      </w:pPr>
      <w:rPr>
        <w:rFonts w:hint="default"/>
        <w:color w:val="auto"/>
      </w:rPr>
    </w:lvl>
    <w:lvl w:ilvl="8">
      <w:start w:val="1"/>
      <w:numFmt w:val="lowerRoman"/>
      <w:lvlText w:val="%9"/>
      <w:lvlJc w:val="left"/>
      <w:pPr>
        <w:tabs>
          <w:tab w:val="num" w:pos="2553"/>
        </w:tabs>
        <w:ind w:left="2099" w:firstLine="0"/>
      </w:pPr>
      <w:rPr>
        <w:rFonts w:hint="default"/>
        <w:color w:val="auto"/>
      </w:rPr>
    </w:lvl>
  </w:abstractNum>
  <w:abstractNum w:abstractNumId="5" w15:restartNumberingAfterBreak="0">
    <w:nsid w:val="14D84E05"/>
    <w:multiLevelType w:val="hybridMultilevel"/>
    <w:tmpl w:val="C1EC34C4"/>
    <w:lvl w:ilvl="0" w:tplc="D4A4316E">
      <w:start w:val="1"/>
      <w:numFmt w:val="decimal"/>
      <w:lvlText w:val="%1."/>
      <w:lvlJc w:val="left"/>
      <w:pPr>
        <w:ind w:left="314" w:hanging="182"/>
      </w:pPr>
      <w:rPr>
        <w:rFonts w:ascii="Times New Roman" w:eastAsia="Times New Roman" w:hAnsi="Times New Roman" w:cs="Times New Roman" w:hint="default"/>
        <w:b/>
        <w:bCs/>
        <w:spacing w:val="-3"/>
        <w:w w:val="99"/>
        <w:sz w:val="18"/>
        <w:szCs w:val="18"/>
        <w:lang w:val="en-US" w:eastAsia="en-US" w:bidi="en-US"/>
      </w:rPr>
    </w:lvl>
    <w:lvl w:ilvl="1" w:tplc="A600FF1E">
      <w:start w:val="1"/>
      <w:numFmt w:val="upperRoman"/>
      <w:lvlText w:val="%2."/>
      <w:lvlJc w:val="left"/>
      <w:pPr>
        <w:ind w:left="1266" w:hanging="569"/>
      </w:pPr>
      <w:rPr>
        <w:rFonts w:ascii="Times New Roman" w:eastAsia="Times New Roman" w:hAnsi="Times New Roman" w:cs="Times New Roman" w:hint="default"/>
        <w:b/>
        <w:bCs/>
        <w:spacing w:val="-1"/>
        <w:w w:val="99"/>
        <w:sz w:val="20"/>
        <w:szCs w:val="20"/>
        <w:lang w:val="en-US" w:eastAsia="en-US" w:bidi="en-US"/>
      </w:rPr>
    </w:lvl>
    <w:lvl w:ilvl="2" w:tplc="F042D36E">
      <w:start w:val="1"/>
      <w:numFmt w:val="upperLetter"/>
      <w:lvlText w:val="%3."/>
      <w:lvlJc w:val="left"/>
      <w:pPr>
        <w:ind w:left="1834" w:hanging="567"/>
      </w:pPr>
      <w:rPr>
        <w:rFonts w:ascii="Times New Roman" w:eastAsia="Times New Roman" w:hAnsi="Times New Roman" w:cs="Times New Roman" w:hint="default"/>
        <w:w w:val="99"/>
        <w:sz w:val="20"/>
        <w:szCs w:val="20"/>
        <w:lang w:val="en-US" w:eastAsia="en-US" w:bidi="en-US"/>
      </w:rPr>
    </w:lvl>
    <w:lvl w:ilvl="3" w:tplc="9A507F0A">
      <w:numFmt w:val="bullet"/>
      <w:lvlText w:val="•"/>
      <w:lvlJc w:val="left"/>
      <w:pPr>
        <w:ind w:left="2400" w:hanging="567"/>
      </w:pPr>
      <w:rPr>
        <w:rFonts w:hint="default"/>
        <w:lang w:val="en-US" w:eastAsia="en-US" w:bidi="en-US"/>
      </w:rPr>
    </w:lvl>
    <w:lvl w:ilvl="4" w:tplc="3EA0D0BC">
      <w:numFmt w:val="bullet"/>
      <w:lvlText w:val="•"/>
      <w:lvlJc w:val="left"/>
      <w:pPr>
        <w:ind w:left="3472" w:hanging="567"/>
      </w:pPr>
      <w:rPr>
        <w:rFonts w:hint="default"/>
        <w:lang w:val="en-US" w:eastAsia="en-US" w:bidi="en-US"/>
      </w:rPr>
    </w:lvl>
    <w:lvl w:ilvl="5" w:tplc="6C080108">
      <w:numFmt w:val="bullet"/>
      <w:lvlText w:val="•"/>
      <w:lvlJc w:val="left"/>
      <w:pPr>
        <w:ind w:left="4544" w:hanging="567"/>
      </w:pPr>
      <w:rPr>
        <w:rFonts w:hint="default"/>
        <w:lang w:val="en-US" w:eastAsia="en-US" w:bidi="en-US"/>
      </w:rPr>
    </w:lvl>
    <w:lvl w:ilvl="6" w:tplc="DAD814D8">
      <w:numFmt w:val="bullet"/>
      <w:lvlText w:val="•"/>
      <w:lvlJc w:val="left"/>
      <w:pPr>
        <w:ind w:left="5617" w:hanging="567"/>
      </w:pPr>
      <w:rPr>
        <w:rFonts w:hint="default"/>
        <w:lang w:val="en-US" w:eastAsia="en-US" w:bidi="en-US"/>
      </w:rPr>
    </w:lvl>
    <w:lvl w:ilvl="7" w:tplc="E1F65C70">
      <w:numFmt w:val="bullet"/>
      <w:lvlText w:val="•"/>
      <w:lvlJc w:val="left"/>
      <w:pPr>
        <w:ind w:left="6689" w:hanging="567"/>
      </w:pPr>
      <w:rPr>
        <w:rFonts w:hint="default"/>
        <w:lang w:val="en-US" w:eastAsia="en-US" w:bidi="en-US"/>
      </w:rPr>
    </w:lvl>
    <w:lvl w:ilvl="8" w:tplc="A986F470">
      <w:numFmt w:val="bullet"/>
      <w:lvlText w:val="•"/>
      <w:lvlJc w:val="left"/>
      <w:pPr>
        <w:ind w:left="7761" w:hanging="567"/>
      </w:pPr>
      <w:rPr>
        <w:rFonts w:hint="default"/>
        <w:lang w:val="en-US" w:eastAsia="en-US" w:bidi="en-US"/>
      </w:rPr>
    </w:lvl>
  </w:abstractNum>
  <w:abstractNum w:abstractNumId="6" w15:restartNumberingAfterBreak="0">
    <w:nsid w:val="1EDA4309"/>
    <w:multiLevelType w:val="hybridMultilevel"/>
    <w:tmpl w:val="4D229F90"/>
    <w:lvl w:ilvl="0" w:tplc="B2BECD40">
      <w:start w:val="1"/>
      <w:numFmt w:val="bullet"/>
      <w:pStyle w:val="Bodyalineja"/>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3"/>
        </w:tabs>
        <w:ind w:left="1443" w:hanging="360"/>
      </w:pPr>
      <w:rPr>
        <w:rFonts w:ascii="Courier New" w:hAnsi="Courier New" w:cs="Courier New" w:hint="default"/>
      </w:rPr>
    </w:lvl>
    <w:lvl w:ilvl="2" w:tplc="04090005">
      <w:start w:val="1"/>
      <w:numFmt w:val="bullet"/>
      <w:lvlText w:val=""/>
      <w:lvlJc w:val="left"/>
      <w:pPr>
        <w:tabs>
          <w:tab w:val="num" w:pos="2163"/>
        </w:tabs>
        <w:ind w:left="2163" w:hanging="360"/>
      </w:pPr>
      <w:rPr>
        <w:rFonts w:ascii="Wingdings" w:hAnsi="Wingdings" w:cs="Wingdings" w:hint="default"/>
      </w:rPr>
    </w:lvl>
    <w:lvl w:ilvl="3" w:tplc="04090001">
      <w:start w:val="1"/>
      <w:numFmt w:val="bullet"/>
      <w:lvlText w:val=""/>
      <w:lvlJc w:val="left"/>
      <w:pPr>
        <w:tabs>
          <w:tab w:val="num" w:pos="2883"/>
        </w:tabs>
        <w:ind w:left="2883" w:hanging="360"/>
      </w:pPr>
      <w:rPr>
        <w:rFonts w:ascii="Symbol" w:hAnsi="Symbol" w:cs="Symbol" w:hint="default"/>
      </w:rPr>
    </w:lvl>
    <w:lvl w:ilvl="4" w:tplc="04090003">
      <w:start w:val="1"/>
      <w:numFmt w:val="bullet"/>
      <w:lvlText w:val="o"/>
      <w:lvlJc w:val="left"/>
      <w:pPr>
        <w:tabs>
          <w:tab w:val="num" w:pos="3603"/>
        </w:tabs>
        <w:ind w:left="3603" w:hanging="360"/>
      </w:pPr>
      <w:rPr>
        <w:rFonts w:ascii="Courier New" w:hAnsi="Courier New" w:cs="Courier New" w:hint="default"/>
      </w:rPr>
    </w:lvl>
    <w:lvl w:ilvl="5" w:tplc="04090005">
      <w:start w:val="1"/>
      <w:numFmt w:val="bullet"/>
      <w:lvlText w:val=""/>
      <w:lvlJc w:val="left"/>
      <w:pPr>
        <w:tabs>
          <w:tab w:val="num" w:pos="4323"/>
        </w:tabs>
        <w:ind w:left="4323" w:hanging="360"/>
      </w:pPr>
      <w:rPr>
        <w:rFonts w:ascii="Wingdings" w:hAnsi="Wingdings" w:cs="Wingdings" w:hint="default"/>
      </w:rPr>
    </w:lvl>
    <w:lvl w:ilvl="6" w:tplc="04090001">
      <w:start w:val="1"/>
      <w:numFmt w:val="bullet"/>
      <w:lvlText w:val=""/>
      <w:lvlJc w:val="left"/>
      <w:pPr>
        <w:tabs>
          <w:tab w:val="num" w:pos="5043"/>
        </w:tabs>
        <w:ind w:left="5043" w:hanging="360"/>
      </w:pPr>
      <w:rPr>
        <w:rFonts w:ascii="Symbol" w:hAnsi="Symbol" w:cs="Symbol" w:hint="default"/>
      </w:rPr>
    </w:lvl>
    <w:lvl w:ilvl="7" w:tplc="04090003">
      <w:start w:val="1"/>
      <w:numFmt w:val="bullet"/>
      <w:lvlText w:val="o"/>
      <w:lvlJc w:val="left"/>
      <w:pPr>
        <w:tabs>
          <w:tab w:val="num" w:pos="5763"/>
        </w:tabs>
        <w:ind w:left="5763" w:hanging="360"/>
      </w:pPr>
      <w:rPr>
        <w:rFonts w:ascii="Courier New" w:hAnsi="Courier New" w:cs="Courier New" w:hint="default"/>
      </w:rPr>
    </w:lvl>
    <w:lvl w:ilvl="8" w:tplc="04090005">
      <w:start w:val="1"/>
      <w:numFmt w:val="bullet"/>
      <w:lvlText w:val=""/>
      <w:lvlJc w:val="left"/>
      <w:pPr>
        <w:tabs>
          <w:tab w:val="num" w:pos="6483"/>
        </w:tabs>
        <w:ind w:left="6483" w:hanging="360"/>
      </w:pPr>
      <w:rPr>
        <w:rFonts w:ascii="Wingdings" w:hAnsi="Wingdings" w:cs="Wingdings" w:hint="default"/>
      </w:rPr>
    </w:lvl>
  </w:abstractNum>
  <w:abstractNum w:abstractNumId="7" w15:restartNumberingAfterBreak="0">
    <w:nsid w:val="23C73833"/>
    <w:multiLevelType w:val="multilevel"/>
    <w:tmpl w:val="0424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B84BFB"/>
    <w:multiLevelType w:val="multilevel"/>
    <w:tmpl w:val="9B9E8AB0"/>
    <w:lvl w:ilvl="0">
      <w:start w:val="1"/>
      <w:numFmt w:val="bullet"/>
      <w:pStyle w:val="Bulletlist"/>
      <w:lvlText w:val=""/>
      <w:lvlJc w:val="left"/>
      <w:pPr>
        <w:ind w:left="360" w:hanging="360"/>
      </w:pPr>
      <w:rPr>
        <w:rFonts w:ascii="Symbol" w:hAnsi="Symbol" w:hint="default"/>
        <w:color w:val="auto"/>
      </w:rPr>
    </w:lvl>
    <w:lvl w:ilvl="1">
      <w:start w:val="1"/>
      <w:numFmt w:val="bullet"/>
      <w:lvlText w:val="‒"/>
      <w:lvlJc w:val="left"/>
      <w:pPr>
        <w:ind w:left="454" w:hanging="227"/>
      </w:pPr>
      <w:rPr>
        <w:rFonts w:ascii="Arial" w:hAnsi="Arial" w:hint="default"/>
        <w:color w:val="0F4761" w:themeColor="accent1" w:themeShade="BF"/>
      </w:rPr>
    </w:lvl>
    <w:lvl w:ilvl="2">
      <w:start w:val="1"/>
      <w:numFmt w:val="bullet"/>
      <w:lvlText w:val=""/>
      <w:lvlJc w:val="left"/>
      <w:pPr>
        <w:ind w:left="681" w:hanging="227"/>
      </w:pPr>
      <w:rPr>
        <w:rFonts w:ascii="Symbol" w:hAnsi="Symbol" w:hint="default"/>
        <w:color w:val="0F4761" w:themeColor="accent1" w:themeShade="BF"/>
      </w:rPr>
    </w:lvl>
    <w:lvl w:ilvl="3">
      <w:start w:val="1"/>
      <w:numFmt w:val="bullet"/>
      <w:pStyle w:val="Aufzhlung4I"/>
      <w:lvlText w:val="‒"/>
      <w:lvlJc w:val="left"/>
      <w:pPr>
        <w:ind w:left="908" w:hanging="227"/>
      </w:pPr>
      <w:rPr>
        <w:rFonts w:ascii="Arial" w:hAnsi="Arial" w:hint="default"/>
        <w:color w:val="0F4761" w:themeColor="accent1" w:themeShade="BF"/>
      </w:rPr>
    </w:lvl>
    <w:lvl w:ilvl="4">
      <w:start w:val="1"/>
      <w:numFmt w:val="bullet"/>
      <w:pStyle w:val="Aufzhlung5I"/>
      <w:lvlText w:val=""/>
      <w:lvlJc w:val="left"/>
      <w:pPr>
        <w:ind w:left="1135" w:hanging="227"/>
      </w:pPr>
      <w:rPr>
        <w:rFonts w:ascii="Symbol" w:hAnsi="Symbol" w:hint="default"/>
        <w:color w:val="0F4761" w:themeColor="accent1" w:themeShade="BF"/>
      </w:rPr>
    </w:lvl>
    <w:lvl w:ilvl="5">
      <w:start w:val="1"/>
      <w:numFmt w:val="bullet"/>
      <w:lvlText w:val="‒"/>
      <w:lvlJc w:val="left"/>
      <w:pPr>
        <w:ind w:left="1362" w:hanging="227"/>
      </w:pPr>
      <w:rPr>
        <w:rFonts w:ascii="Arial" w:hAnsi="Arial" w:hint="default"/>
        <w:color w:val="0F4761" w:themeColor="accent1" w:themeShade="BF"/>
      </w:rPr>
    </w:lvl>
    <w:lvl w:ilvl="6">
      <w:start w:val="1"/>
      <w:numFmt w:val="bullet"/>
      <w:lvlText w:val="-"/>
      <w:lvlJc w:val="left"/>
      <w:pPr>
        <w:ind w:left="1589" w:hanging="227"/>
      </w:pPr>
      <w:rPr>
        <w:rFonts w:hint="default"/>
        <w:color w:val="0F4761" w:themeColor="accent1" w:themeShade="BF"/>
      </w:rPr>
    </w:lvl>
    <w:lvl w:ilvl="7">
      <w:start w:val="1"/>
      <w:numFmt w:val="bullet"/>
      <w:lvlText w:val="-"/>
      <w:lvlJc w:val="left"/>
      <w:pPr>
        <w:ind w:left="1816" w:hanging="227"/>
      </w:pPr>
      <w:rPr>
        <w:rFonts w:hint="default"/>
        <w:color w:val="0F4761" w:themeColor="accent1" w:themeShade="BF"/>
      </w:rPr>
    </w:lvl>
    <w:lvl w:ilvl="8">
      <w:start w:val="1"/>
      <w:numFmt w:val="bullet"/>
      <w:lvlText w:val="-"/>
      <w:lvlJc w:val="left"/>
      <w:pPr>
        <w:ind w:left="2043" w:hanging="227"/>
      </w:pPr>
      <w:rPr>
        <w:rFonts w:hint="default"/>
        <w:color w:val="0F4761" w:themeColor="accent1" w:themeShade="BF"/>
      </w:rPr>
    </w:lvl>
  </w:abstractNum>
  <w:abstractNum w:abstractNumId="9" w15:restartNumberingAfterBreak="0">
    <w:nsid w:val="29BE4972"/>
    <w:multiLevelType w:val="hybridMultilevel"/>
    <w:tmpl w:val="26B2F938"/>
    <w:lvl w:ilvl="0" w:tplc="5A4A3C40">
      <w:start w:val="1"/>
      <w:numFmt w:val="bullet"/>
      <w:lvlText w:val="·"/>
      <w:lvlJc w:val="left"/>
      <w:pPr>
        <w:ind w:left="720" w:hanging="360"/>
      </w:pPr>
      <w:rPr>
        <w:rFonts w:ascii="Symbol" w:hAnsi="Symbol" w:hint="default"/>
      </w:rPr>
    </w:lvl>
    <w:lvl w:ilvl="1" w:tplc="C56C38C8">
      <w:start w:val="1"/>
      <w:numFmt w:val="bullet"/>
      <w:lvlText w:val="o"/>
      <w:lvlJc w:val="left"/>
      <w:pPr>
        <w:ind w:left="1440" w:hanging="360"/>
      </w:pPr>
      <w:rPr>
        <w:rFonts w:ascii="Courier New" w:hAnsi="Courier New" w:hint="default"/>
      </w:rPr>
    </w:lvl>
    <w:lvl w:ilvl="2" w:tplc="CC103B5E">
      <w:start w:val="1"/>
      <w:numFmt w:val="bullet"/>
      <w:lvlText w:val=""/>
      <w:lvlJc w:val="left"/>
      <w:pPr>
        <w:ind w:left="2160" w:hanging="360"/>
      </w:pPr>
      <w:rPr>
        <w:rFonts w:ascii="Wingdings" w:hAnsi="Wingdings" w:hint="default"/>
      </w:rPr>
    </w:lvl>
    <w:lvl w:ilvl="3" w:tplc="1952D9E4">
      <w:start w:val="1"/>
      <w:numFmt w:val="bullet"/>
      <w:lvlText w:val=""/>
      <w:lvlJc w:val="left"/>
      <w:pPr>
        <w:ind w:left="2880" w:hanging="360"/>
      </w:pPr>
      <w:rPr>
        <w:rFonts w:ascii="Symbol" w:hAnsi="Symbol" w:hint="default"/>
      </w:rPr>
    </w:lvl>
    <w:lvl w:ilvl="4" w:tplc="80CEC9B4">
      <w:start w:val="1"/>
      <w:numFmt w:val="bullet"/>
      <w:lvlText w:val="o"/>
      <w:lvlJc w:val="left"/>
      <w:pPr>
        <w:ind w:left="3600" w:hanging="360"/>
      </w:pPr>
      <w:rPr>
        <w:rFonts w:ascii="Courier New" w:hAnsi="Courier New" w:hint="default"/>
      </w:rPr>
    </w:lvl>
    <w:lvl w:ilvl="5" w:tplc="76983B7A">
      <w:start w:val="1"/>
      <w:numFmt w:val="bullet"/>
      <w:lvlText w:val=""/>
      <w:lvlJc w:val="left"/>
      <w:pPr>
        <w:ind w:left="4320" w:hanging="360"/>
      </w:pPr>
      <w:rPr>
        <w:rFonts w:ascii="Wingdings" w:hAnsi="Wingdings" w:hint="default"/>
      </w:rPr>
    </w:lvl>
    <w:lvl w:ilvl="6" w:tplc="34A4E42C">
      <w:start w:val="1"/>
      <w:numFmt w:val="bullet"/>
      <w:lvlText w:val=""/>
      <w:lvlJc w:val="left"/>
      <w:pPr>
        <w:ind w:left="5040" w:hanging="360"/>
      </w:pPr>
      <w:rPr>
        <w:rFonts w:ascii="Symbol" w:hAnsi="Symbol" w:hint="default"/>
      </w:rPr>
    </w:lvl>
    <w:lvl w:ilvl="7" w:tplc="F5989160">
      <w:start w:val="1"/>
      <w:numFmt w:val="bullet"/>
      <w:lvlText w:val="o"/>
      <w:lvlJc w:val="left"/>
      <w:pPr>
        <w:ind w:left="5760" w:hanging="360"/>
      </w:pPr>
      <w:rPr>
        <w:rFonts w:ascii="Courier New" w:hAnsi="Courier New" w:hint="default"/>
      </w:rPr>
    </w:lvl>
    <w:lvl w:ilvl="8" w:tplc="80C47F3A">
      <w:start w:val="1"/>
      <w:numFmt w:val="bullet"/>
      <w:lvlText w:val=""/>
      <w:lvlJc w:val="left"/>
      <w:pPr>
        <w:ind w:left="6480" w:hanging="360"/>
      </w:pPr>
      <w:rPr>
        <w:rFonts w:ascii="Wingdings" w:hAnsi="Wingdings" w:hint="default"/>
      </w:rPr>
    </w:lvl>
  </w:abstractNum>
  <w:abstractNum w:abstractNumId="10" w15:restartNumberingAfterBreak="0">
    <w:nsid w:val="2A803277"/>
    <w:multiLevelType w:val="multilevel"/>
    <w:tmpl w:val="659A3F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CF289F"/>
    <w:multiLevelType w:val="multilevel"/>
    <w:tmpl w:val="3B26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4D751D"/>
    <w:multiLevelType w:val="multilevel"/>
    <w:tmpl w:val="A6BAD236"/>
    <w:lvl w:ilvl="0">
      <w:start w:val="1"/>
      <w:numFmt w:val="upperRoman"/>
      <w:pStyle w:val="RmischIEN"/>
      <w:lvlText w:val="Annex %1."/>
      <w:lvlJc w:val="left"/>
      <w:pPr>
        <w:tabs>
          <w:tab w:val="num" w:pos="1247"/>
        </w:tabs>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8526B76"/>
    <w:multiLevelType w:val="hybridMultilevel"/>
    <w:tmpl w:val="9F5068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AC13A7C"/>
    <w:multiLevelType w:val="hybridMultilevel"/>
    <w:tmpl w:val="E354AB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C37F4B"/>
    <w:multiLevelType w:val="hybridMultilevel"/>
    <w:tmpl w:val="0546A3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C1126DB"/>
    <w:multiLevelType w:val="hybridMultilevel"/>
    <w:tmpl w:val="AABEDE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CD62F73"/>
    <w:multiLevelType w:val="hybridMultilevel"/>
    <w:tmpl w:val="20F47DBA"/>
    <w:lvl w:ilvl="0" w:tplc="787EF1EC">
      <w:start w:val="1"/>
      <w:numFmt w:val="decimal"/>
      <w:pStyle w:val="Heading41"/>
      <w:lvlText w:val="M-%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F880D2D"/>
    <w:multiLevelType w:val="multilevel"/>
    <w:tmpl w:val="4F1A1A44"/>
    <w:lvl w:ilvl="0">
      <w:start w:val="1"/>
      <w:numFmt w:val="decimal"/>
      <w:pStyle w:val="ListNumber"/>
      <w:lvlText w:val="%1."/>
      <w:lvlJc w:val="left"/>
      <w:pPr>
        <w:tabs>
          <w:tab w:val="num" w:pos="454"/>
        </w:tabs>
        <w:ind w:left="0" w:firstLine="0"/>
      </w:pPr>
      <w:rPr>
        <w:rFonts w:hint="default"/>
        <w:color w:val="auto"/>
        <w:sz w:val="22"/>
      </w:rPr>
    </w:lvl>
    <w:lvl w:ilvl="1">
      <w:start w:val="1"/>
      <w:numFmt w:val="lowerLetter"/>
      <w:lvlText w:val="%2."/>
      <w:lvlJc w:val="left"/>
      <w:pPr>
        <w:ind w:left="227" w:firstLine="0"/>
      </w:pPr>
      <w:rPr>
        <w:rFonts w:hint="default"/>
        <w:color w:val="auto"/>
      </w:rPr>
    </w:lvl>
    <w:lvl w:ilvl="2">
      <w:start w:val="1"/>
      <w:numFmt w:val="lowerRoman"/>
      <w:lvlText w:val="%3."/>
      <w:lvlJc w:val="left"/>
      <w:pPr>
        <w:ind w:left="454" w:firstLine="0"/>
      </w:pPr>
      <w:rPr>
        <w:rFonts w:hint="default"/>
        <w:color w:val="auto"/>
      </w:rPr>
    </w:lvl>
    <w:lvl w:ilvl="3">
      <w:start w:val="1"/>
      <w:numFmt w:val="decimal"/>
      <w:lvlText w:val="%4"/>
      <w:lvlJc w:val="left"/>
      <w:pPr>
        <w:ind w:left="681" w:firstLine="0"/>
      </w:pPr>
      <w:rPr>
        <w:rFonts w:hint="default"/>
        <w:color w:val="auto"/>
      </w:rPr>
    </w:lvl>
    <w:lvl w:ilvl="4">
      <w:start w:val="1"/>
      <w:numFmt w:val="lowerLetter"/>
      <w:lvlText w:val="%5"/>
      <w:lvlJc w:val="left"/>
      <w:pPr>
        <w:ind w:left="908" w:firstLine="0"/>
      </w:pPr>
      <w:rPr>
        <w:rFonts w:hint="default"/>
        <w:color w:val="auto"/>
      </w:rPr>
    </w:lvl>
    <w:lvl w:ilvl="5">
      <w:start w:val="1"/>
      <w:numFmt w:val="lowerRoman"/>
      <w:lvlText w:val="%6"/>
      <w:lvlJc w:val="left"/>
      <w:pPr>
        <w:ind w:left="1135" w:firstLine="0"/>
      </w:pPr>
      <w:rPr>
        <w:rFonts w:hint="default"/>
        <w:color w:val="auto"/>
      </w:rPr>
    </w:lvl>
    <w:lvl w:ilvl="6">
      <w:start w:val="1"/>
      <w:numFmt w:val="decimal"/>
      <w:lvlText w:val="%7"/>
      <w:lvlJc w:val="left"/>
      <w:pPr>
        <w:ind w:left="1362" w:firstLine="0"/>
      </w:pPr>
      <w:rPr>
        <w:rFonts w:hint="default"/>
        <w:color w:val="auto"/>
      </w:rPr>
    </w:lvl>
    <w:lvl w:ilvl="7">
      <w:start w:val="1"/>
      <w:numFmt w:val="lowerLetter"/>
      <w:lvlText w:val="%8"/>
      <w:lvlJc w:val="left"/>
      <w:pPr>
        <w:ind w:left="1589" w:firstLine="0"/>
      </w:pPr>
      <w:rPr>
        <w:rFonts w:hint="default"/>
        <w:color w:val="auto"/>
      </w:rPr>
    </w:lvl>
    <w:lvl w:ilvl="8">
      <w:start w:val="1"/>
      <w:numFmt w:val="lowerRoman"/>
      <w:lvlText w:val="%9"/>
      <w:lvlJc w:val="left"/>
      <w:pPr>
        <w:ind w:left="1816" w:firstLine="0"/>
      </w:pPr>
      <w:rPr>
        <w:rFonts w:hint="default"/>
        <w:color w:val="auto"/>
      </w:rPr>
    </w:lvl>
  </w:abstractNum>
  <w:abstractNum w:abstractNumId="19" w15:restartNumberingAfterBreak="0">
    <w:nsid w:val="431130EA"/>
    <w:multiLevelType w:val="hybridMultilevel"/>
    <w:tmpl w:val="61E4F6C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78E66E"/>
    <w:multiLevelType w:val="hybridMultilevel"/>
    <w:tmpl w:val="455EB63C"/>
    <w:lvl w:ilvl="0" w:tplc="9392CE98">
      <w:start w:val="1"/>
      <w:numFmt w:val="bullet"/>
      <w:lvlText w:val="·"/>
      <w:lvlJc w:val="left"/>
      <w:pPr>
        <w:ind w:left="720" w:hanging="360"/>
      </w:pPr>
      <w:rPr>
        <w:rFonts w:ascii="Symbol" w:hAnsi="Symbol" w:hint="default"/>
      </w:rPr>
    </w:lvl>
    <w:lvl w:ilvl="1" w:tplc="569ADD2E">
      <w:start w:val="1"/>
      <w:numFmt w:val="bullet"/>
      <w:lvlText w:val="o"/>
      <w:lvlJc w:val="left"/>
      <w:pPr>
        <w:ind w:left="1440" w:hanging="360"/>
      </w:pPr>
      <w:rPr>
        <w:rFonts w:ascii="Courier New" w:hAnsi="Courier New" w:hint="default"/>
      </w:rPr>
    </w:lvl>
    <w:lvl w:ilvl="2" w:tplc="D2D84D5C">
      <w:start w:val="1"/>
      <w:numFmt w:val="bullet"/>
      <w:lvlText w:val=""/>
      <w:lvlJc w:val="left"/>
      <w:pPr>
        <w:ind w:left="2160" w:hanging="360"/>
      </w:pPr>
      <w:rPr>
        <w:rFonts w:ascii="Wingdings" w:hAnsi="Wingdings" w:hint="default"/>
      </w:rPr>
    </w:lvl>
    <w:lvl w:ilvl="3" w:tplc="1744EE6C">
      <w:start w:val="1"/>
      <w:numFmt w:val="bullet"/>
      <w:lvlText w:val=""/>
      <w:lvlJc w:val="left"/>
      <w:pPr>
        <w:ind w:left="2880" w:hanging="360"/>
      </w:pPr>
      <w:rPr>
        <w:rFonts w:ascii="Symbol" w:hAnsi="Symbol" w:hint="default"/>
      </w:rPr>
    </w:lvl>
    <w:lvl w:ilvl="4" w:tplc="4A004EE2">
      <w:start w:val="1"/>
      <w:numFmt w:val="bullet"/>
      <w:lvlText w:val="o"/>
      <w:lvlJc w:val="left"/>
      <w:pPr>
        <w:ind w:left="3600" w:hanging="360"/>
      </w:pPr>
      <w:rPr>
        <w:rFonts w:ascii="Courier New" w:hAnsi="Courier New" w:hint="default"/>
      </w:rPr>
    </w:lvl>
    <w:lvl w:ilvl="5" w:tplc="B95A669E">
      <w:start w:val="1"/>
      <w:numFmt w:val="bullet"/>
      <w:lvlText w:val=""/>
      <w:lvlJc w:val="left"/>
      <w:pPr>
        <w:ind w:left="4320" w:hanging="360"/>
      </w:pPr>
      <w:rPr>
        <w:rFonts w:ascii="Wingdings" w:hAnsi="Wingdings" w:hint="default"/>
      </w:rPr>
    </w:lvl>
    <w:lvl w:ilvl="6" w:tplc="30E638DE">
      <w:start w:val="1"/>
      <w:numFmt w:val="bullet"/>
      <w:lvlText w:val=""/>
      <w:lvlJc w:val="left"/>
      <w:pPr>
        <w:ind w:left="5040" w:hanging="360"/>
      </w:pPr>
      <w:rPr>
        <w:rFonts w:ascii="Symbol" w:hAnsi="Symbol" w:hint="default"/>
      </w:rPr>
    </w:lvl>
    <w:lvl w:ilvl="7" w:tplc="F340737A">
      <w:start w:val="1"/>
      <w:numFmt w:val="bullet"/>
      <w:lvlText w:val="o"/>
      <w:lvlJc w:val="left"/>
      <w:pPr>
        <w:ind w:left="5760" w:hanging="360"/>
      </w:pPr>
      <w:rPr>
        <w:rFonts w:ascii="Courier New" w:hAnsi="Courier New" w:hint="default"/>
      </w:rPr>
    </w:lvl>
    <w:lvl w:ilvl="8" w:tplc="8EDE5CD8">
      <w:start w:val="1"/>
      <w:numFmt w:val="bullet"/>
      <w:lvlText w:val=""/>
      <w:lvlJc w:val="left"/>
      <w:pPr>
        <w:ind w:left="6480" w:hanging="360"/>
      </w:pPr>
      <w:rPr>
        <w:rFonts w:ascii="Wingdings" w:hAnsi="Wingdings" w:hint="default"/>
      </w:rPr>
    </w:lvl>
  </w:abstractNum>
  <w:abstractNum w:abstractNumId="21" w15:restartNumberingAfterBreak="0">
    <w:nsid w:val="491330AA"/>
    <w:multiLevelType w:val="hybridMultilevel"/>
    <w:tmpl w:val="74986F14"/>
    <w:styleLink w:val="111111"/>
    <w:lvl w:ilvl="0" w:tplc="3E8CD2EA">
      <w:start w:val="1"/>
      <w:numFmt w:val="bullet"/>
      <w:pStyle w:val="TEKSTseznamKoncentriran"/>
      <w:lvlText w:val=""/>
      <w:lvlJc w:val="left"/>
      <w:pPr>
        <w:tabs>
          <w:tab w:val="num" w:pos="717"/>
        </w:tabs>
        <w:ind w:left="71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811C04"/>
    <w:multiLevelType w:val="hybridMultilevel"/>
    <w:tmpl w:val="B8CCF456"/>
    <w:lvl w:ilvl="0" w:tplc="A86EFB1A">
      <w:numFmt w:val="bullet"/>
      <w:lvlText w:val="-"/>
      <w:lvlJc w:val="left"/>
      <w:pPr>
        <w:ind w:left="720" w:hanging="360"/>
      </w:pPr>
      <w:rPr>
        <w:rFonts w:ascii="Palatino Linotype" w:eastAsia="Times New Roman" w:hAnsi="Palatino Linotype"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1834F5D"/>
    <w:multiLevelType w:val="multilevel"/>
    <w:tmpl w:val="B226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0B5834"/>
    <w:multiLevelType w:val="hybridMultilevel"/>
    <w:tmpl w:val="F18C509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9B53165"/>
    <w:multiLevelType w:val="hybridMultilevel"/>
    <w:tmpl w:val="E9F60C4C"/>
    <w:lvl w:ilvl="0" w:tplc="FE581E50">
      <w:start w:val="1"/>
      <w:numFmt w:val="bullet"/>
      <w:lvlText w:val="·"/>
      <w:lvlJc w:val="left"/>
      <w:pPr>
        <w:ind w:left="720" w:hanging="360"/>
      </w:pPr>
      <w:rPr>
        <w:rFonts w:ascii="Symbol" w:hAnsi="Symbol" w:hint="default"/>
      </w:rPr>
    </w:lvl>
    <w:lvl w:ilvl="1" w:tplc="3190E10E">
      <w:start w:val="1"/>
      <w:numFmt w:val="bullet"/>
      <w:lvlText w:val="o"/>
      <w:lvlJc w:val="left"/>
      <w:pPr>
        <w:ind w:left="1440" w:hanging="360"/>
      </w:pPr>
      <w:rPr>
        <w:rFonts w:ascii="Courier New" w:hAnsi="Courier New" w:hint="default"/>
      </w:rPr>
    </w:lvl>
    <w:lvl w:ilvl="2" w:tplc="8C842FEA">
      <w:start w:val="1"/>
      <w:numFmt w:val="bullet"/>
      <w:lvlText w:val=""/>
      <w:lvlJc w:val="left"/>
      <w:pPr>
        <w:ind w:left="2160" w:hanging="360"/>
      </w:pPr>
      <w:rPr>
        <w:rFonts w:ascii="Wingdings" w:hAnsi="Wingdings" w:hint="default"/>
      </w:rPr>
    </w:lvl>
    <w:lvl w:ilvl="3" w:tplc="6BF4E108">
      <w:start w:val="1"/>
      <w:numFmt w:val="bullet"/>
      <w:lvlText w:val=""/>
      <w:lvlJc w:val="left"/>
      <w:pPr>
        <w:ind w:left="2880" w:hanging="360"/>
      </w:pPr>
      <w:rPr>
        <w:rFonts w:ascii="Symbol" w:hAnsi="Symbol" w:hint="default"/>
      </w:rPr>
    </w:lvl>
    <w:lvl w:ilvl="4" w:tplc="713EF490">
      <w:start w:val="1"/>
      <w:numFmt w:val="bullet"/>
      <w:lvlText w:val="o"/>
      <w:lvlJc w:val="left"/>
      <w:pPr>
        <w:ind w:left="3600" w:hanging="360"/>
      </w:pPr>
      <w:rPr>
        <w:rFonts w:ascii="Courier New" w:hAnsi="Courier New" w:hint="default"/>
      </w:rPr>
    </w:lvl>
    <w:lvl w:ilvl="5" w:tplc="E83861AC">
      <w:start w:val="1"/>
      <w:numFmt w:val="bullet"/>
      <w:lvlText w:val=""/>
      <w:lvlJc w:val="left"/>
      <w:pPr>
        <w:ind w:left="4320" w:hanging="360"/>
      </w:pPr>
      <w:rPr>
        <w:rFonts w:ascii="Wingdings" w:hAnsi="Wingdings" w:hint="default"/>
      </w:rPr>
    </w:lvl>
    <w:lvl w:ilvl="6" w:tplc="7D5A7C12">
      <w:start w:val="1"/>
      <w:numFmt w:val="bullet"/>
      <w:lvlText w:val=""/>
      <w:lvlJc w:val="left"/>
      <w:pPr>
        <w:ind w:left="5040" w:hanging="360"/>
      </w:pPr>
      <w:rPr>
        <w:rFonts w:ascii="Symbol" w:hAnsi="Symbol" w:hint="default"/>
      </w:rPr>
    </w:lvl>
    <w:lvl w:ilvl="7" w:tplc="278E0114">
      <w:start w:val="1"/>
      <w:numFmt w:val="bullet"/>
      <w:lvlText w:val="o"/>
      <w:lvlJc w:val="left"/>
      <w:pPr>
        <w:ind w:left="5760" w:hanging="360"/>
      </w:pPr>
      <w:rPr>
        <w:rFonts w:ascii="Courier New" w:hAnsi="Courier New" w:hint="default"/>
      </w:rPr>
    </w:lvl>
    <w:lvl w:ilvl="8" w:tplc="BD8C551E">
      <w:start w:val="1"/>
      <w:numFmt w:val="bullet"/>
      <w:lvlText w:val=""/>
      <w:lvlJc w:val="left"/>
      <w:pPr>
        <w:ind w:left="6480" w:hanging="360"/>
      </w:pPr>
      <w:rPr>
        <w:rFonts w:ascii="Wingdings" w:hAnsi="Wingdings" w:hint="default"/>
      </w:rPr>
    </w:lvl>
  </w:abstractNum>
  <w:abstractNum w:abstractNumId="26" w15:restartNumberingAfterBreak="0">
    <w:nsid w:val="5A192FFF"/>
    <w:multiLevelType w:val="hybridMultilevel"/>
    <w:tmpl w:val="2FA8BE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E5A2C66"/>
    <w:multiLevelType w:val="hybridMultilevel"/>
    <w:tmpl w:val="5930D8BC"/>
    <w:lvl w:ilvl="0" w:tplc="5774845E">
      <w:start w:val="1"/>
      <w:numFmt w:val="bullet"/>
      <w:lvlText w:val="·"/>
      <w:lvlJc w:val="left"/>
      <w:pPr>
        <w:ind w:left="720" w:hanging="360"/>
      </w:pPr>
      <w:rPr>
        <w:rFonts w:ascii="Symbol" w:hAnsi="Symbol" w:hint="default"/>
      </w:rPr>
    </w:lvl>
    <w:lvl w:ilvl="1" w:tplc="A288A4A4">
      <w:start w:val="1"/>
      <w:numFmt w:val="bullet"/>
      <w:lvlText w:val="o"/>
      <w:lvlJc w:val="left"/>
      <w:pPr>
        <w:ind w:left="1440" w:hanging="360"/>
      </w:pPr>
      <w:rPr>
        <w:rFonts w:ascii="Courier New" w:hAnsi="Courier New" w:hint="default"/>
      </w:rPr>
    </w:lvl>
    <w:lvl w:ilvl="2" w:tplc="AF7EEE9C">
      <w:start w:val="1"/>
      <w:numFmt w:val="bullet"/>
      <w:lvlText w:val=""/>
      <w:lvlJc w:val="left"/>
      <w:pPr>
        <w:ind w:left="2160" w:hanging="360"/>
      </w:pPr>
      <w:rPr>
        <w:rFonts w:ascii="Wingdings" w:hAnsi="Wingdings" w:hint="default"/>
      </w:rPr>
    </w:lvl>
    <w:lvl w:ilvl="3" w:tplc="9A02EC36">
      <w:start w:val="1"/>
      <w:numFmt w:val="bullet"/>
      <w:lvlText w:val=""/>
      <w:lvlJc w:val="left"/>
      <w:pPr>
        <w:ind w:left="2880" w:hanging="360"/>
      </w:pPr>
      <w:rPr>
        <w:rFonts w:ascii="Symbol" w:hAnsi="Symbol" w:hint="default"/>
      </w:rPr>
    </w:lvl>
    <w:lvl w:ilvl="4" w:tplc="7D84B966">
      <w:start w:val="1"/>
      <w:numFmt w:val="bullet"/>
      <w:lvlText w:val="o"/>
      <w:lvlJc w:val="left"/>
      <w:pPr>
        <w:ind w:left="3600" w:hanging="360"/>
      </w:pPr>
      <w:rPr>
        <w:rFonts w:ascii="Courier New" w:hAnsi="Courier New" w:hint="default"/>
      </w:rPr>
    </w:lvl>
    <w:lvl w:ilvl="5" w:tplc="354E3814">
      <w:start w:val="1"/>
      <w:numFmt w:val="bullet"/>
      <w:lvlText w:val=""/>
      <w:lvlJc w:val="left"/>
      <w:pPr>
        <w:ind w:left="4320" w:hanging="360"/>
      </w:pPr>
      <w:rPr>
        <w:rFonts w:ascii="Wingdings" w:hAnsi="Wingdings" w:hint="default"/>
      </w:rPr>
    </w:lvl>
    <w:lvl w:ilvl="6" w:tplc="D5162690">
      <w:start w:val="1"/>
      <w:numFmt w:val="bullet"/>
      <w:lvlText w:val=""/>
      <w:lvlJc w:val="left"/>
      <w:pPr>
        <w:ind w:left="5040" w:hanging="360"/>
      </w:pPr>
      <w:rPr>
        <w:rFonts w:ascii="Symbol" w:hAnsi="Symbol" w:hint="default"/>
      </w:rPr>
    </w:lvl>
    <w:lvl w:ilvl="7" w:tplc="B1F6C776">
      <w:start w:val="1"/>
      <w:numFmt w:val="bullet"/>
      <w:lvlText w:val="o"/>
      <w:lvlJc w:val="left"/>
      <w:pPr>
        <w:ind w:left="5760" w:hanging="360"/>
      </w:pPr>
      <w:rPr>
        <w:rFonts w:ascii="Courier New" w:hAnsi="Courier New" w:hint="default"/>
      </w:rPr>
    </w:lvl>
    <w:lvl w:ilvl="8" w:tplc="764243AC">
      <w:start w:val="1"/>
      <w:numFmt w:val="bullet"/>
      <w:lvlText w:val=""/>
      <w:lvlJc w:val="left"/>
      <w:pPr>
        <w:ind w:left="6480" w:hanging="360"/>
      </w:pPr>
      <w:rPr>
        <w:rFonts w:ascii="Wingdings" w:hAnsi="Wingdings" w:hint="default"/>
      </w:rPr>
    </w:lvl>
  </w:abstractNum>
  <w:abstractNum w:abstractNumId="28" w15:restartNumberingAfterBreak="0">
    <w:nsid w:val="6110700D"/>
    <w:multiLevelType w:val="multilevel"/>
    <w:tmpl w:val="A32C7576"/>
    <w:lvl w:ilvl="0">
      <w:start w:val="1"/>
      <w:numFmt w:val="bullet"/>
      <w:pStyle w:val="List"/>
      <w:lvlText w:val="•"/>
      <w:lvlJc w:val="left"/>
      <w:pPr>
        <w:ind w:left="284" w:hanging="284"/>
      </w:pPr>
      <w:rPr>
        <w:rFonts w:hint="default"/>
        <w:color w:val="0F4761" w:themeColor="accent1" w:themeShade="BF"/>
      </w:rPr>
    </w:lvl>
    <w:lvl w:ilvl="1">
      <w:start w:val="1"/>
      <w:numFmt w:val="bullet"/>
      <w:pStyle w:val="List2"/>
      <w:lvlText w:val="‒"/>
      <w:lvlJc w:val="left"/>
      <w:pPr>
        <w:ind w:left="568" w:hanging="284"/>
      </w:pPr>
      <w:rPr>
        <w:rFonts w:hint="default"/>
        <w:color w:val="0F4761" w:themeColor="accent1" w:themeShade="BF"/>
      </w:rPr>
    </w:lvl>
    <w:lvl w:ilvl="2">
      <w:start w:val="1"/>
      <w:numFmt w:val="bullet"/>
      <w:pStyle w:val="List3"/>
      <w:lvlText w:val="▪"/>
      <w:lvlJc w:val="left"/>
      <w:pPr>
        <w:ind w:left="852" w:hanging="284"/>
      </w:pPr>
      <w:rPr>
        <w:rFonts w:ascii="Arial" w:hAnsi="Arial" w:hint="default"/>
        <w:color w:val="0F4761" w:themeColor="accent1" w:themeShade="BF"/>
      </w:rPr>
    </w:lvl>
    <w:lvl w:ilvl="3">
      <w:start w:val="1"/>
      <w:numFmt w:val="bullet"/>
      <w:pStyle w:val="List4"/>
      <w:lvlText w:val="◦"/>
      <w:lvlJc w:val="left"/>
      <w:pPr>
        <w:ind w:left="1136" w:hanging="284"/>
      </w:pPr>
      <w:rPr>
        <w:rFonts w:ascii="Arial" w:hAnsi="Arial" w:hint="default"/>
        <w:color w:val="0F4761" w:themeColor="accent1" w:themeShade="BF"/>
      </w:rPr>
    </w:lvl>
    <w:lvl w:ilvl="4">
      <w:start w:val="1"/>
      <w:numFmt w:val="bullet"/>
      <w:pStyle w:val="List5"/>
      <w:lvlText w:val="-"/>
      <w:lvlJc w:val="left"/>
      <w:pPr>
        <w:ind w:left="1420" w:hanging="284"/>
      </w:pPr>
      <w:rPr>
        <w:rFonts w:hint="default"/>
        <w:color w:val="0F4761" w:themeColor="accent1" w:themeShade="BF"/>
      </w:rPr>
    </w:lvl>
    <w:lvl w:ilvl="5">
      <w:start w:val="1"/>
      <w:numFmt w:val="bullet"/>
      <w:pStyle w:val="Liste6"/>
      <w:lvlText w:val="-"/>
      <w:lvlJc w:val="left"/>
      <w:pPr>
        <w:ind w:left="1701" w:hanging="281"/>
      </w:pPr>
      <w:rPr>
        <w:rFonts w:hint="default"/>
        <w:color w:val="0F4761" w:themeColor="accent1" w:themeShade="BF"/>
      </w:rPr>
    </w:lvl>
    <w:lvl w:ilvl="6">
      <w:start w:val="1"/>
      <w:numFmt w:val="bullet"/>
      <w:pStyle w:val="Liste7"/>
      <w:lvlText w:val="-"/>
      <w:lvlJc w:val="left"/>
      <w:pPr>
        <w:ind w:left="1985" w:hanging="284"/>
      </w:pPr>
      <w:rPr>
        <w:rFonts w:hint="default"/>
        <w:color w:val="0F4761" w:themeColor="accent1" w:themeShade="BF"/>
      </w:rPr>
    </w:lvl>
    <w:lvl w:ilvl="7">
      <w:start w:val="1"/>
      <w:numFmt w:val="bullet"/>
      <w:pStyle w:val="Liste8"/>
      <w:lvlText w:val="-"/>
      <w:lvlJc w:val="left"/>
      <w:pPr>
        <w:ind w:left="2268" w:hanging="283"/>
      </w:pPr>
      <w:rPr>
        <w:rFonts w:hint="default"/>
        <w:color w:val="0F4761" w:themeColor="accent1" w:themeShade="BF"/>
      </w:rPr>
    </w:lvl>
    <w:lvl w:ilvl="8">
      <w:start w:val="1"/>
      <w:numFmt w:val="bullet"/>
      <w:pStyle w:val="Liste9"/>
      <w:lvlText w:val="-"/>
      <w:lvlJc w:val="left"/>
      <w:pPr>
        <w:ind w:left="2552" w:hanging="284"/>
      </w:pPr>
      <w:rPr>
        <w:rFonts w:hint="default"/>
        <w:color w:val="0F4761" w:themeColor="accent1" w:themeShade="BF"/>
      </w:rPr>
    </w:lvl>
  </w:abstractNum>
  <w:abstractNum w:abstractNumId="29" w15:restartNumberingAfterBreak="0">
    <w:nsid w:val="625D469A"/>
    <w:multiLevelType w:val="multilevel"/>
    <w:tmpl w:val="6ADCE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264798"/>
    <w:multiLevelType w:val="hybridMultilevel"/>
    <w:tmpl w:val="08CCE4B4"/>
    <w:lvl w:ilvl="0" w:tplc="6F2A1F66">
      <w:start w:val="1"/>
      <w:numFmt w:val="upperRoman"/>
      <w:pStyle w:val="Nika"/>
      <w:lvlText w:val="%1."/>
      <w:lvlJc w:val="left"/>
      <w:pPr>
        <w:ind w:left="1003" w:hanging="720"/>
      </w:pPr>
      <w:rPr>
        <w:rFonts w:hint="default"/>
        <w:sz w:val="32"/>
        <w:szCs w:val="32"/>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31" w15:restartNumberingAfterBreak="0">
    <w:nsid w:val="6E7002FB"/>
    <w:multiLevelType w:val="hybridMultilevel"/>
    <w:tmpl w:val="0936A436"/>
    <w:lvl w:ilvl="0" w:tplc="FEEAE6C2">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FE87866"/>
    <w:multiLevelType w:val="hybridMultilevel"/>
    <w:tmpl w:val="68FE54B0"/>
    <w:lvl w:ilvl="0" w:tplc="04240001">
      <w:start w:val="1"/>
      <w:numFmt w:val="bullet"/>
      <w:lvlText w:val=""/>
      <w:lvlJc w:val="left"/>
      <w:pPr>
        <w:ind w:left="765" w:hanging="360"/>
      </w:pPr>
      <w:rPr>
        <w:rFonts w:ascii="Symbol" w:hAnsi="Symbol" w:hint="default"/>
      </w:rPr>
    </w:lvl>
    <w:lvl w:ilvl="1" w:tplc="A8CE6C96">
      <w:numFmt w:val="bullet"/>
      <w:lvlText w:val="-"/>
      <w:lvlJc w:val="left"/>
      <w:pPr>
        <w:ind w:left="1485" w:hanging="360"/>
      </w:pPr>
      <w:rPr>
        <w:rFonts w:ascii="Calibri" w:eastAsia="Calibri" w:hAnsi="Calibri" w:cs="Calibri"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33" w15:restartNumberingAfterBreak="0">
    <w:nsid w:val="7275390D"/>
    <w:multiLevelType w:val="hybridMultilevel"/>
    <w:tmpl w:val="73F26888"/>
    <w:lvl w:ilvl="0" w:tplc="6AD4C31E">
      <w:start w:val="1"/>
      <w:numFmt w:val="bullet"/>
      <w:pStyle w:val="seznam"/>
      <w:lvlText w:val=""/>
      <w:lvlJc w:val="left"/>
      <w:pPr>
        <w:tabs>
          <w:tab w:val="num" w:pos="720"/>
        </w:tabs>
        <w:ind w:left="720" w:hanging="360"/>
      </w:pPr>
      <w:rPr>
        <w:rFonts w:ascii="Symbol" w:hAnsi="Symbol" w:hint="default"/>
      </w:rPr>
    </w:lvl>
    <w:lvl w:ilvl="1" w:tplc="D20CA24E">
      <w:start w:val="1"/>
      <w:numFmt w:val="bullet"/>
      <w:lvlText w:val="o"/>
      <w:lvlJc w:val="left"/>
      <w:pPr>
        <w:tabs>
          <w:tab w:val="num" w:pos="1440"/>
        </w:tabs>
        <w:ind w:left="1440" w:hanging="360"/>
      </w:pPr>
      <w:rPr>
        <w:rFonts w:ascii="Courier New" w:hAnsi="Courier New" w:cs="Courier New" w:hint="default"/>
      </w:rPr>
    </w:lvl>
    <w:lvl w:ilvl="2" w:tplc="0FAA3D40" w:tentative="1">
      <w:start w:val="1"/>
      <w:numFmt w:val="bullet"/>
      <w:lvlText w:val=""/>
      <w:lvlJc w:val="left"/>
      <w:pPr>
        <w:tabs>
          <w:tab w:val="num" w:pos="2160"/>
        </w:tabs>
        <w:ind w:left="2160" w:hanging="360"/>
      </w:pPr>
      <w:rPr>
        <w:rFonts w:ascii="Wingdings" w:hAnsi="Wingdings" w:hint="default"/>
      </w:rPr>
    </w:lvl>
    <w:lvl w:ilvl="3" w:tplc="48DEE386" w:tentative="1">
      <w:start w:val="1"/>
      <w:numFmt w:val="bullet"/>
      <w:lvlText w:val=""/>
      <w:lvlJc w:val="left"/>
      <w:pPr>
        <w:tabs>
          <w:tab w:val="num" w:pos="2880"/>
        </w:tabs>
        <w:ind w:left="2880" w:hanging="360"/>
      </w:pPr>
      <w:rPr>
        <w:rFonts w:ascii="Symbol" w:hAnsi="Symbol" w:hint="default"/>
      </w:rPr>
    </w:lvl>
    <w:lvl w:ilvl="4" w:tplc="26E8E40E" w:tentative="1">
      <w:start w:val="1"/>
      <w:numFmt w:val="bullet"/>
      <w:lvlText w:val="o"/>
      <w:lvlJc w:val="left"/>
      <w:pPr>
        <w:tabs>
          <w:tab w:val="num" w:pos="3600"/>
        </w:tabs>
        <w:ind w:left="3600" w:hanging="360"/>
      </w:pPr>
      <w:rPr>
        <w:rFonts w:ascii="Courier New" w:hAnsi="Courier New" w:cs="Courier New" w:hint="default"/>
      </w:rPr>
    </w:lvl>
    <w:lvl w:ilvl="5" w:tplc="9C8AFC34" w:tentative="1">
      <w:start w:val="1"/>
      <w:numFmt w:val="bullet"/>
      <w:lvlText w:val=""/>
      <w:lvlJc w:val="left"/>
      <w:pPr>
        <w:tabs>
          <w:tab w:val="num" w:pos="4320"/>
        </w:tabs>
        <w:ind w:left="4320" w:hanging="360"/>
      </w:pPr>
      <w:rPr>
        <w:rFonts w:ascii="Wingdings" w:hAnsi="Wingdings" w:hint="default"/>
      </w:rPr>
    </w:lvl>
    <w:lvl w:ilvl="6" w:tplc="209EACAA" w:tentative="1">
      <w:start w:val="1"/>
      <w:numFmt w:val="bullet"/>
      <w:lvlText w:val=""/>
      <w:lvlJc w:val="left"/>
      <w:pPr>
        <w:tabs>
          <w:tab w:val="num" w:pos="5040"/>
        </w:tabs>
        <w:ind w:left="5040" w:hanging="360"/>
      </w:pPr>
      <w:rPr>
        <w:rFonts w:ascii="Symbol" w:hAnsi="Symbol" w:hint="default"/>
      </w:rPr>
    </w:lvl>
    <w:lvl w:ilvl="7" w:tplc="97A29E74" w:tentative="1">
      <w:start w:val="1"/>
      <w:numFmt w:val="bullet"/>
      <w:lvlText w:val="o"/>
      <w:lvlJc w:val="left"/>
      <w:pPr>
        <w:tabs>
          <w:tab w:val="num" w:pos="5760"/>
        </w:tabs>
        <w:ind w:left="5760" w:hanging="360"/>
      </w:pPr>
      <w:rPr>
        <w:rFonts w:ascii="Courier New" w:hAnsi="Courier New" w:cs="Courier New" w:hint="default"/>
      </w:rPr>
    </w:lvl>
    <w:lvl w:ilvl="8" w:tplc="74E0502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6D2311"/>
    <w:multiLevelType w:val="multilevel"/>
    <w:tmpl w:val="D8D2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7512274">
    <w:abstractNumId w:val="30"/>
  </w:num>
  <w:num w:numId="2" w16cid:durableId="633288495">
    <w:abstractNumId w:val="17"/>
  </w:num>
  <w:num w:numId="3" w16cid:durableId="1962683066">
    <w:abstractNumId w:val="12"/>
  </w:num>
  <w:num w:numId="4" w16cid:durableId="1159080060">
    <w:abstractNumId w:val="33"/>
  </w:num>
  <w:num w:numId="5" w16cid:durableId="1263605984">
    <w:abstractNumId w:val="6"/>
  </w:num>
  <w:num w:numId="6" w16cid:durableId="632369886">
    <w:abstractNumId w:val="21"/>
  </w:num>
  <w:num w:numId="7" w16cid:durableId="1186292283">
    <w:abstractNumId w:val="28"/>
  </w:num>
  <w:num w:numId="8" w16cid:durableId="1360161674">
    <w:abstractNumId w:val="18"/>
  </w:num>
  <w:num w:numId="9" w16cid:durableId="1122190741">
    <w:abstractNumId w:val="8"/>
  </w:num>
  <w:num w:numId="10" w16cid:durableId="981807954">
    <w:abstractNumId w:val="4"/>
  </w:num>
  <w:num w:numId="11" w16cid:durableId="1731346625">
    <w:abstractNumId w:val="3"/>
  </w:num>
  <w:num w:numId="12" w16cid:durableId="1604343985">
    <w:abstractNumId w:val="24"/>
  </w:num>
  <w:num w:numId="13" w16cid:durableId="1522160184">
    <w:abstractNumId w:val="19"/>
  </w:num>
  <w:num w:numId="14" w16cid:durableId="1009870212">
    <w:abstractNumId w:val="2"/>
  </w:num>
  <w:num w:numId="15" w16cid:durableId="962150654">
    <w:abstractNumId w:val="26"/>
  </w:num>
  <w:num w:numId="16" w16cid:durableId="167257521">
    <w:abstractNumId w:val="22"/>
  </w:num>
  <w:num w:numId="17" w16cid:durableId="811336486">
    <w:abstractNumId w:val="27"/>
  </w:num>
  <w:num w:numId="18" w16cid:durableId="4666247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693985">
    <w:abstractNumId w:val="14"/>
  </w:num>
  <w:num w:numId="20" w16cid:durableId="198514706">
    <w:abstractNumId w:val="1"/>
  </w:num>
  <w:num w:numId="21" w16cid:durableId="1453598043">
    <w:abstractNumId w:val="13"/>
  </w:num>
  <w:num w:numId="22" w16cid:durableId="1889217725">
    <w:abstractNumId w:val="16"/>
  </w:num>
  <w:num w:numId="23" w16cid:durableId="389771792">
    <w:abstractNumId w:val="25"/>
  </w:num>
  <w:num w:numId="24" w16cid:durableId="935946653">
    <w:abstractNumId w:val="20"/>
  </w:num>
  <w:num w:numId="25" w16cid:durableId="1909417655">
    <w:abstractNumId w:val="9"/>
  </w:num>
  <w:num w:numId="26" w16cid:durableId="2057390206">
    <w:abstractNumId w:val="32"/>
  </w:num>
  <w:num w:numId="27" w16cid:durableId="1399211645">
    <w:abstractNumId w:val="29"/>
  </w:num>
  <w:num w:numId="28" w16cid:durableId="688415452">
    <w:abstractNumId w:val="11"/>
  </w:num>
  <w:num w:numId="29" w16cid:durableId="1375542095">
    <w:abstractNumId w:val="34"/>
  </w:num>
  <w:num w:numId="30" w16cid:durableId="155000646">
    <w:abstractNumId w:val="23"/>
  </w:num>
  <w:num w:numId="31" w16cid:durableId="1061095887">
    <w:abstractNumId w:val="10"/>
  </w:num>
  <w:num w:numId="32" w16cid:durableId="1534882848">
    <w:abstractNumId w:val="5"/>
  </w:num>
  <w:num w:numId="33" w16cid:durableId="908923185">
    <w:abstractNumId w:val="0"/>
  </w:num>
  <w:num w:numId="34" w16cid:durableId="1832285496">
    <w:abstractNumId w:val="15"/>
  </w:num>
  <w:num w:numId="35" w16cid:durableId="381097889">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hideSpellingErrors/>
  <w:hideGrammatical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C"/>
    <w:rsid w:val="000006E4"/>
    <w:rsid w:val="00002287"/>
    <w:rsid w:val="00002690"/>
    <w:rsid w:val="000030A7"/>
    <w:rsid w:val="00004B52"/>
    <w:rsid w:val="00010B42"/>
    <w:rsid w:val="00023476"/>
    <w:rsid w:val="000241DB"/>
    <w:rsid w:val="0002461A"/>
    <w:rsid w:val="00032C2E"/>
    <w:rsid w:val="00033A97"/>
    <w:rsid w:val="00037BB0"/>
    <w:rsid w:val="00040ECF"/>
    <w:rsid w:val="0005274F"/>
    <w:rsid w:val="00065628"/>
    <w:rsid w:val="000718CA"/>
    <w:rsid w:val="00072160"/>
    <w:rsid w:val="00077E89"/>
    <w:rsid w:val="000813A9"/>
    <w:rsid w:val="00085C01"/>
    <w:rsid w:val="000A0F3D"/>
    <w:rsid w:val="000A119F"/>
    <w:rsid w:val="000A2912"/>
    <w:rsid w:val="000A4F46"/>
    <w:rsid w:val="000C5301"/>
    <w:rsid w:val="000E3F72"/>
    <w:rsid w:val="000F19F4"/>
    <w:rsid w:val="000F42E3"/>
    <w:rsid w:val="00102242"/>
    <w:rsid w:val="001115B9"/>
    <w:rsid w:val="00113756"/>
    <w:rsid w:val="00116D94"/>
    <w:rsid w:val="00120F33"/>
    <w:rsid w:val="001224CC"/>
    <w:rsid w:val="00131EEC"/>
    <w:rsid w:val="00154054"/>
    <w:rsid w:val="001541C8"/>
    <w:rsid w:val="00155E07"/>
    <w:rsid w:val="0015651F"/>
    <w:rsid w:val="001605CB"/>
    <w:rsid w:val="00161298"/>
    <w:rsid w:val="00167EB3"/>
    <w:rsid w:val="001706F8"/>
    <w:rsid w:val="00176476"/>
    <w:rsid w:val="00180B45"/>
    <w:rsid w:val="001817D9"/>
    <w:rsid w:val="0018317A"/>
    <w:rsid w:val="00183B7D"/>
    <w:rsid w:val="00185178"/>
    <w:rsid w:val="0018668B"/>
    <w:rsid w:val="0018736B"/>
    <w:rsid w:val="00187EA1"/>
    <w:rsid w:val="00192C09"/>
    <w:rsid w:val="001A310E"/>
    <w:rsid w:val="001A3E16"/>
    <w:rsid w:val="001A696B"/>
    <w:rsid w:val="001B3337"/>
    <w:rsid w:val="001B7D7B"/>
    <w:rsid w:val="001C0FA2"/>
    <w:rsid w:val="001C4609"/>
    <w:rsid w:val="001D43EB"/>
    <w:rsid w:val="001D49C0"/>
    <w:rsid w:val="001D4DA6"/>
    <w:rsid w:val="001D65EC"/>
    <w:rsid w:val="001E2D10"/>
    <w:rsid w:val="001E5173"/>
    <w:rsid w:val="001F48BE"/>
    <w:rsid w:val="001F5900"/>
    <w:rsid w:val="002019F5"/>
    <w:rsid w:val="00206F47"/>
    <w:rsid w:val="002117D2"/>
    <w:rsid w:val="002144ED"/>
    <w:rsid w:val="00214511"/>
    <w:rsid w:val="002146B5"/>
    <w:rsid w:val="00216698"/>
    <w:rsid w:val="002213F4"/>
    <w:rsid w:val="002303B6"/>
    <w:rsid w:val="00232D08"/>
    <w:rsid w:val="00234F97"/>
    <w:rsid w:val="0023796D"/>
    <w:rsid w:val="00240927"/>
    <w:rsid w:val="002419BE"/>
    <w:rsid w:val="00241FA2"/>
    <w:rsid w:val="0024256B"/>
    <w:rsid w:val="002461F7"/>
    <w:rsid w:val="00247CC6"/>
    <w:rsid w:val="002512A3"/>
    <w:rsid w:val="00261F1B"/>
    <w:rsid w:val="00263D80"/>
    <w:rsid w:val="00265BCA"/>
    <w:rsid w:val="00273C50"/>
    <w:rsid w:val="00284672"/>
    <w:rsid w:val="00284A86"/>
    <w:rsid w:val="00286380"/>
    <w:rsid w:val="00286627"/>
    <w:rsid w:val="002958C7"/>
    <w:rsid w:val="002960A5"/>
    <w:rsid w:val="002A497F"/>
    <w:rsid w:val="002B21C4"/>
    <w:rsid w:val="002B3EC1"/>
    <w:rsid w:val="002B585E"/>
    <w:rsid w:val="002C3A5B"/>
    <w:rsid w:val="002C59CB"/>
    <w:rsid w:val="002D2843"/>
    <w:rsid w:val="002D3817"/>
    <w:rsid w:val="002D70DD"/>
    <w:rsid w:val="002F0522"/>
    <w:rsid w:val="002F38E7"/>
    <w:rsid w:val="00300914"/>
    <w:rsid w:val="003057F6"/>
    <w:rsid w:val="003072DB"/>
    <w:rsid w:val="00324E5A"/>
    <w:rsid w:val="00331BC1"/>
    <w:rsid w:val="003501E2"/>
    <w:rsid w:val="00355C2A"/>
    <w:rsid w:val="00361200"/>
    <w:rsid w:val="003625F6"/>
    <w:rsid w:val="00374D8F"/>
    <w:rsid w:val="00377BA6"/>
    <w:rsid w:val="00383C5A"/>
    <w:rsid w:val="0038553C"/>
    <w:rsid w:val="00385CB1"/>
    <w:rsid w:val="00393ADF"/>
    <w:rsid w:val="003B5254"/>
    <w:rsid w:val="003C118D"/>
    <w:rsid w:val="003C7CC4"/>
    <w:rsid w:val="003D0FD0"/>
    <w:rsid w:val="003D553D"/>
    <w:rsid w:val="003D75D9"/>
    <w:rsid w:val="003E320C"/>
    <w:rsid w:val="003E4B53"/>
    <w:rsid w:val="003F21C8"/>
    <w:rsid w:val="003F229F"/>
    <w:rsid w:val="003F3D00"/>
    <w:rsid w:val="00404349"/>
    <w:rsid w:val="004057A0"/>
    <w:rsid w:val="00407339"/>
    <w:rsid w:val="0041122F"/>
    <w:rsid w:val="00420D83"/>
    <w:rsid w:val="00423973"/>
    <w:rsid w:val="0042650C"/>
    <w:rsid w:val="0042681F"/>
    <w:rsid w:val="00442B50"/>
    <w:rsid w:val="00453E4A"/>
    <w:rsid w:val="00453E67"/>
    <w:rsid w:val="004570CF"/>
    <w:rsid w:val="004572E9"/>
    <w:rsid w:val="00461B7A"/>
    <w:rsid w:val="00465193"/>
    <w:rsid w:val="0047044A"/>
    <w:rsid w:val="00470FBF"/>
    <w:rsid w:val="00474CA3"/>
    <w:rsid w:val="00475B85"/>
    <w:rsid w:val="004807F0"/>
    <w:rsid w:val="00480EC5"/>
    <w:rsid w:val="004824CF"/>
    <w:rsid w:val="00482642"/>
    <w:rsid w:val="00492990"/>
    <w:rsid w:val="004A0E27"/>
    <w:rsid w:val="004A2648"/>
    <w:rsid w:val="004A7C53"/>
    <w:rsid w:val="004B07F9"/>
    <w:rsid w:val="004B7672"/>
    <w:rsid w:val="004C2BDB"/>
    <w:rsid w:val="004C3A0F"/>
    <w:rsid w:val="004C5594"/>
    <w:rsid w:val="004D03B9"/>
    <w:rsid w:val="004D379D"/>
    <w:rsid w:val="004D4095"/>
    <w:rsid w:val="004D7C9F"/>
    <w:rsid w:val="004E1C9F"/>
    <w:rsid w:val="004F2B0D"/>
    <w:rsid w:val="004F4601"/>
    <w:rsid w:val="004F489D"/>
    <w:rsid w:val="004F7B81"/>
    <w:rsid w:val="00501047"/>
    <w:rsid w:val="0050147F"/>
    <w:rsid w:val="005047CB"/>
    <w:rsid w:val="0051425B"/>
    <w:rsid w:val="00517703"/>
    <w:rsid w:val="005454B1"/>
    <w:rsid w:val="00547F84"/>
    <w:rsid w:val="00552089"/>
    <w:rsid w:val="00554A4A"/>
    <w:rsid w:val="00560694"/>
    <w:rsid w:val="00562237"/>
    <w:rsid w:val="00565DA6"/>
    <w:rsid w:val="005679A2"/>
    <w:rsid w:val="00570535"/>
    <w:rsid w:val="00573E64"/>
    <w:rsid w:val="005756F4"/>
    <w:rsid w:val="00581773"/>
    <w:rsid w:val="00592340"/>
    <w:rsid w:val="00596C09"/>
    <w:rsid w:val="00597558"/>
    <w:rsid w:val="005A1374"/>
    <w:rsid w:val="005A481F"/>
    <w:rsid w:val="005B1109"/>
    <w:rsid w:val="005B40F4"/>
    <w:rsid w:val="005B5DFC"/>
    <w:rsid w:val="005C043B"/>
    <w:rsid w:val="005C1CF8"/>
    <w:rsid w:val="005C2FB4"/>
    <w:rsid w:val="005C4C0A"/>
    <w:rsid w:val="005D2504"/>
    <w:rsid w:val="005D373B"/>
    <w:rsid w:val="005E009E"/>
    <w:rsid w:val="005E0ACB"/>
    <w:rsid w:val="005F5ED8"/>
    <w:rsid w:val="00600A55"/>
    <w:rsid w:val="006022BE"/>
    <w:rsid w:val="006112FC"/>
    <w:rsid w:val="00611CDE"/>
    <w:rsid w:val="00615063"/>
    <w:rsid w:val="00620899"/>
    <w:rsid w:val="0062392D"/>
    <w:rsid w:val="006257A5"/>
    <w:rsid w:val="00633A86"/>
    <w:rsid w:val="006423D9"/>
    <w:rsid w:val="00652FA0"/>
    <w:rsid w:val="00654157"/>
    <w:rsid w:val="00654A0B"/>
    <w:rsid w:val="0065781A"/>
    <w:rsid w:val="0067569D"/>
    <w:rsid w:val="00680BC7"/>
    <w:rsid w:val="00684354"/>
    <w:rsid w:val="00692B40"/>
    <w:rsid w:val="006A109B"/>
    <w:rsid w:val="006A18D2"/>
    <w:rsid w:val="006A65D3"/>
    <w:rsid w:val="006C0CE8"/>
    <w:rsid w:val="006D46D8"/>
    <w:rsid w:val="006D5B8D"/>
    <w:rsid w:val="006E07EE"/>
    <w:rsid w:val="006E285F"/>
    <w:rsid w:val="006E7333"/>
    <w:rsid w:val="006F6EC3"/>
    <w:rsid w:val="00702355"/>
    <w:rsid w:val="00702B76"/>
    <w:rsid w:val="007032EB"/>
    <w:rsid w:val="00705AB9"/>
    <w:rsid w:val="00711383"/>
    <w:rsid w:val="00711D65"/>
    <w:rsid w:val="007143AE"/>
    <w:rsid w:val="00715A52"/>
    <w:rsid w:val="00716115"/>
    <w:rsid w:val="00716DDB"/>
    <w:rsid w:val="007219CB"/>
    <w:rsid w:val="007226BE"/>
    <w:rsid w:val="00724923"/>
    <w:rsid w:val="00731465"/>
    <w:rsid w:val="00731EB8"/>
    <w:rsid w:val="00740993"/>
    <w:rsid w:val="00743327"/>
    <w:rsid w:val="00746CFE"/>
    <w:rsid w:val="007474CA"/>
    <w:rsid w:val="00750732"/>
    <w:rsid w:val="00757B17"/>
    <w:rsid w:val="0077341F"/>
    <w:rsid w:val="00775EA1"/>
    <w:rsid w:val="007816B8"/>
    <w:rsid w:val="007905B6"/>
    <w:rsid w:val="00791C35"/>
    <w:rsid w:val="007944FA"/>
    <w:rsid w:val="007946B3"/>
    <w:rsid w:val="007A340A"/>
    <w:rsid w:val="007A6BA4"/>
    <w:rsid w:val="007C1318"/>
    <w:rsid w:val="007C178E"/>
    <w:rsid w:val="007C6E94"/>
    <w:rsid w:val="007D7876"/>
    <w:rsid w:val="007E2C3F"/>
    <w:rsid w:val="007E3B2E"/>
    <w:rsid w:val="007E6722"/>
    <w:rsid w:val="007E6FBE"/>
    <w:rsid w:val="007F1EB9"/>
    <w:rsid w:val="00803A70"/>
    <w:rsid w:val="00812454"/>
    <w:rsid w:val="00817494"/>
    <w:rsid w:val="0082194F"/>
    <w:rsid w:val="00822235"/>
    <w:rsid w:val="0082337A"/>
    <w:rsid w:val="0082358A"/>
    <w:rsid w:val="00824ADA"/>
    <w:rsid w:val="00825FC8"/>
    <w:rsid w:val="0083219B"/>
    <w:rsid w:val="0083625A"/>
    <w:rsid w:val="00842011"/>
    <w:rsid w:val="00845CA0"/>
    <w:rsid w:val="00847919"/>
    <w:rsid w:val="008553AC"/>
    <w:rsid w:val="00860FE1"/>
    <w:rsid w:val="0086629B"/>
    <w:rsid w:val="00891DDA"/>
    <w:rsid w:val="00896480"/>
    <w:rsid w:val="00897F75"/>
    <w:rsid w:val="008A096B"/>
    <w:rsid w:val="008C5703"/>
    <w:rsid w:val="008D0609"/>
    <w:rsid w:val="008D2670"/>
    <w:rsid w:val="008D65DC"/>
    <w:rsid w:val="008E351A"/>
    <w:rsid w:val="008F164B"/>
    <w:rsid w:val="008F39A5"/>
    <w:rsid w:val="008F56B0"/>
    <w:rsid w:val="00906DDA"/>
    <w:rsid w:val="0091142E"/>
    <w:rsid w:val="009347D8"/>
    <w:rsid w:val="0093506F"/>
    <w:rsid w:val="00943C13"/>
    <w:rsid w:val="00951423"/>
    <w:rsid w:val="00955F9E"/>
    <w:rsid w:val="009610BC"/>
    <w:rsid w:val="0096636B"/>
    <w:rsid w:val="0097541E"/>
    <w:rsid w:val="00976D12"/>
    <w:rsid w:val="00983C87"/>
    <w:rsid w:val="009849BA"/>
    <w:rsid w:val="009859FB"/>
    <w:rsid w:val="00986836"/>
    <w:rsid w:val="00986968"/>
    <w:rsid w:val="00986B23"/>
    <w:rsid w:val="00990E32"/>
    <w:rsid w:val="0099112E"/>
    <w:rsid w:val="009A6C4C"/>
    <w:rsid w:val="009A7585"/>
    <w:rsid w:val="009B1B01"/>
    <w:rsid w:val="009B3FC7"/>
    <w:rsid w:val="009B6081"/>
    <w:rsid w:val="009B6E81"/>
    <w:rsid w:val="009B723F"/>
    <w:rsid w:val="009C273C"/>
    <w:rsid w:val="009C3AFF"/>
    <w:rsid w:val="009E16DE"/>
    <w:rsid w:val="009E33B6"/>
    <w:rsid w:val="009E6E68"/>
    <w:rsid w:val="009F0B31"/>
    <w:rsid w:val="009F306F"/>
    <w:rsid w:val="009F500F"/>
    <w:rsid w:val="00A05206"/>
    <w:rsid w:val="00A10204"/>
    <w:rsid w:val="00A17C1E"/>
    <w:rsid w:val="00A24C50"/>
    <w:rsid w:val="00A24D4B"/>
    <w:rsid w:val="00A265FE"/>
    <w:rsid w:val="00A463F9"/>
    <w:rsid w:val="00A475F1"/>
    <w:rsid w:val="00A503EB"/>
    <w:rsid w:val="00A57F7D"/>
    <w:rsid w:val="00A6163D"/>
    <w:rsid w:val="00A6336A"/>
    <w:rsid w:val="00A6695B"/>
    <w:rsid w:val="00A70EE9"/>
    <w:rsid w:val="00A711F5"/>
    <w:rsid w:val="00A8401E"/>
    <w:rsid w:val="00A86890"/>
    <w:rsid w:val="00A96F2F"/>
    <w:rsid w:val="00AA647A"/>
    <w:rsid w:val="00AD19BD"/>
    <w:rsid w:val="00AD208E"/>
    <w:rsid w:val="00AD3A92"/>
    <w:rsid w:val="00AE2A02"/>
    <w:rsid w:val="00AF3FEE"/>
    <w:rsid w:val="00AF4F9F"/>
    <w:rsid w:val="00AF5F8D"/>
    <w:rsid w:val="00B014BA"/>
    <w:rsid w:val="00B02D0B"/>
    <w:rsid w:val="00B0513F"/>
    <w:rsid w:val="00B1031F"/>
    <w:rsid w:val="00B118E9"/>
    <w:rsid w:val="00B11F0C"/>
    <w:rsid w:val="00B13301"/>
    <w:rsid w:val="00B2738D"/>
    <w:rsid w:val="00B33BE3"/>
    <w:rsid w:val="00B35034"/>
    <w:rsid w:val="00B56B52"/>
    <w:rsid w:val="00B613AD"/>
    <w:rsid w:val="00B66426"/>
    <w:rsid w:val="00B671ED"/>
    <w:rsid w:val="00B74BFF"/>
    <w:rsid w:val="00B8347D"/>
    <w:rsid w:val="00B84200"/>
    <w:rsid w:val="00B91681"/>
    <w:rsid w:val="00B92112"/>
    <w:rsid w:val="00B924B7"/>
    <w:rsid w:val="00B93D80"/>
    <w:rsid w:val="00BA0207"/>
    <w:rsid w:val="00BA13B0"/>
    <w:rsid w:val="00BA6BCF"/>
    <w:rsid w:val="00BB0D05"/>
    <w:rsid w:val="00BB1F48"/>
    <w:rsid w:val="00BB579E"/>
    <w:rsid w:val="00BB6494"/>
    <w:rsid w:val="00BC0E35"/>
    <w:rsid w:val="00BD3613"/>
    <w:rsid w:val="00BD4C80"/>
    <w:rsid w:val="00BE271B"/>
    <w:rsid w:val="00BE6A10"/>
    <w:rsid w:val="00BE6CC2"/>
    <w:rsid w:val="00BF0580"/>
    <w:rsid w:val="00BF3F20"/>
    <w:rsid w:val="00BF6F53"/>
    <w:rsid w:val="00C00E81"/>
    <w:rsid w:val="00C01DBC"/>
    <w:rsid w:val="00C1042D"/>
    <w:rsid w:val="00C14FBF"/>
    <w:rsid w:val="00C215A9"/>
    <w:rsid w:val="00C23A2A"/>
    <w:rsid w:val="00C24BC0"/>
    <w:rsid w:val="00C32685"/>
    <w:rsid w:val="00C37086"/>
    <w:rsid w:val="00C41305"/>
    <w:rsid w:val="00C43AD0"/>
    <w:rsid w:val="00C43FEC"/>
    <w:rsid w:val="00C47596"/>
    <w:rsid w:val="00C47CFA"/>
    <w:rsid w:val="00C51443"/>
    <w:rsid w:val="00C51C40"/>
    <w:rsid w:val="00C54481"/>
    <w:rsid w:val="00C54542"/>
    <w:rsid w:val="00C574A0"/>
    <w:rsid w:val="00C64332"/>
    <w:rsid w:val="00C702C0"/>
    <w:rsid w:val="00C73B27"/>
    <w:rsid w:val="00C8502F"/>
    <w:rsid w:val="00C9334C"/>
    <w:rsid w:val="00CA02D3"/>
    <w:rsid w:val="00CA4EA5"/>
    <w:rsid w:val="00CA668C"/>
    <w:rsid w:val="00CA6D1B"/>
    <w:rsid w:val="00CB38F8"/>
    <w:rsid w:val="00CB4F63"/>
    <w:rsid w:val="00CB52E7"/>
    <w:rsid w:val="00CC2786"/>
    <w:rsid w:val="00CC4C6D"/>
    <w:rsid w:val="00CD3ED7"/>
    <w:rsid w:val="00CD6518"/>
    <w:rsid w:val="00CD714B"/>
    <w:rsid w:val="00CE5F74"/>
    <w:rsid w:val="00CE60E1"/>
    <w:rsid w:val="00D1040D"/>
    <w:rsid w:val="00D1557B"/>
    <w:rsid w:val="00D167F4"/>
    <w:rsid w:val="00D175B3"/>
    <w:rsid w:val="00D2345F"/>
    <w:rsid w:val="00D24C60"/>
    <w:rsid w:val="00D25CC8"/>
    <w:rsid w:val="00D265CF"/>
    <w:rsid w:val="00D30845"/>
    <w:rsid w:val="00D311A5"/>
    <w:rsid w:val="00D320A2"/>
    <w:rsid w:val="00D339DA"/>
    <w:rsid w:val="00D343B0"/>
    <w:rsid w:val="00D35D20"/>
    <w:rsid w:val="00D45DF9"/>
    <w:rsid w:val="00D541CF"/>
    <w:rsid w:val="00D54E1B"/>
    <w:rsid w:val="00D64FA5"/>
    <w:rsid w:val="00D67687"/>
    <w:rsid w:val="00D8021D"/>
    <w:rsid w:val="00D93E28"/>
    <w:rsid w:val="00D9504C"/>
    <w:rsid w:val="00DA0205"/>
    <w:rsid w:val="00DA1DAC"/>
    <w:rsid w:val="00DA3DE4"/>
    <w:rsid w:val="00DA6927"/>
    <w:rsid w:val="00DA7ED4"/>
    <w:rsid w:val="00DC03E5"/>
    <w:rsid w:val="00DC3569"/>
    <w:rsid w:val="00DC4A37"/>
    <w:rsid w:val="00DC7B11"/>
    <w:rsid w:val="00DD1BEB"/>
    <w:rsid w:val="00DD27BE"/>
    <w:rsid w:val="00DD28C2"/>
    <w:rsid w:val="00DD77A3"/>
    <w:rsid w:val="00DE0962"/>
    <w:rsid w:val="00DE6E9A"/>
    <w:rsid w:val="00DF2C72"/>
    <w:rsid w:val="00DF3B1A"/>
    <w:rsid w:val="00E013F0"/>
    <w:rsid w:val="00E0563E"/>
    <w:rsid w:val="00E11965"/>
    <w:rsid w:val="00E16C2F"/>
    <w:rsid w:val="00E22933"/>
    <w:rsid w:val="00E24CF5"/>
    <w:rsid w:val="00E34997"/>
    <w:rsid w:val="00E34DC0"/>
    <w:rsid w:val="00E40977"/>
    <w:rsid w:val="00E42F8B"/>
    <w:rsid w:val="00E457A5"/>
    <w:rsid w:val="00E51A43"/>
    <w:rsid w:val="00E52FD8"/>
    <w:rsid w:val="00E607E8"/>
    <w:rsid w:val="00E67B4B"/>
    <w:rsid w:val="00E708DC"/>
    <w:rsid w:val="00E73E1E"/>
    <w:rsid w:val="00E76AC9"/>
    <w:rsid w:val="00E92E20"/>
    <w:rsid w:val="00E93218"/>
    <w:rsid w:val="00E95329"/>
    <w:rsid w:val="00E97171"/>
    <w:rsid w:val="00E97B25"/>
    <w:rsid w:val="00EA22E6"/>
    <w:rsid w:val="00EA23DD"/>
    <w:rsid w:val="00EA61A2"/>
    <w:rsid w:val="00EB6575"/>
    <w:rsid w:val="00EB6962"/>
    <w:rsid w:val="00EB74DC"/>
    <w:rsid w:val="00EC0AF5"/>
    <w:rsid w:val="00ED318A"/>
    <w:rsid w:val="00ED3215"/>
    <w:rsid w:val="00EF35F6"/>
    <w:rsid w:val="00EF39F4"/>
    <w:rsid w:val="00F005CC"/>
    <w:rsid w:val="00F14CA6"/>
    <w:rsid w:val="00F219F3"/>
    <w:rsid w:val="00F23329"/>
    <w:rsid w:val="00F23945"/>
    <w:rsid w:val="00F276E5"/>
    <w:rsid w:val="00F31E14"/>
    <w:rsid w:val="00F336EC"/>
    <w:rsid w:val="00F43975"/>
    <w:rsid w:val="00F4797B"/>
    <w:rsid w:val="00F53809"/>
    <w:rsid w:val="00F56DA5"/>
    <w:rsid w:val="00F57A8F"/>
    <w:rsid w:val="00F6504B"/>
    <w:rsid w:val="00F704EB"/>
    <w:rsid w:val="00F70A1B"/>
    <w:rsid w:val="00F713B1"/>
    <w:rsid w:val="00F74DDA"/>
    <w:rsid w:val="00F80108"/>
    <w:rsid w:val="00F83A51"/>
    <w:rsid w:val="00F95701"/>
    <w:rsid w:val="00FA16D0"/>
    <w:rsid w:val="00FA2C80"/>
    <w:rsid w:val="00FB3C96"/>
    <w:rsid w:val="00FB4DC5"/>
    <w:rsid w:val="00FB6BD6"/>
    <w:rsid w:val="00FC0020"/>
    <w:rsid w:val="00FC3C5D"/>
    <w:rsid w:val="00FC43B8"/>
    <w:rsid w:val="00FC44B6"/>
    <w:rsid w:val="00FC57FD"/>
    <w:rsid w:val="00FD0BBF"/>
    <w:rsid w:val="00FD14B2"/>
    <w:rsid w:val="00FD5DC2"/>
    <w:rsid w:val="00FE140F"/>
    <w:rsid w:val="00FF0CE7"/>
    <w:rsid w:val="00FF61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6EBE18"/>
  <w15:chartTrackingRefBased/>
  <w15:docId w15:val="{CC3A7A20-3C8E-4296-96D3-C98B80A34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0" w:unhideWhenUsed="1" w:qFormat="1"/>
    <w:lsdException w:name="heading 3" w:semiHidden="1" w:uiPriority="19" w:unhideWhenUsed="1" w:qFormat="1"/>
    <w:lsdException w:name="heading 4" w:semiHidden="1" w:uiPriority="19" w:unhideWhenUsed="1" w:qFormat="1"/>
    <w:lsdException w:name="heading 5" w:semiHidden="1" w:unhideWhenUsed="1" w:qFormat="1"/>
    <w:lsdException w:name="heading 6" w:semiHidden="1" w:uiPriority="1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95" w:unhideWhenUsed="1"/>
    <w:lsdException w:name="footer" w:semiHidden="1" w:uiPriority="95"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29" w:unhideWhenUsed="1"/>
    <w:lsdException w:name="List Bullet" w:semiHidden="1" w:unhideWhenUsed="1"/>
    <w:lsdException w:name="List Number" w:semiHidden="1" w:uiPriority="29" w:unhideWhenUsed="1"/>
    <w:lsdException w:name="List 2" w:semiHidden="1" w:uiPriority="29" w:unhideWhenUsed="1"/>
    <w:lsdException w:name="List 3" w:semiHidden="1" w:uiPriority="29" w:unhideWhenUsed="1"/>
    <w:lsdException w:name="List 4" w:semiHidden="1" w:uiPriority="29" w:unhideWhenUsed="1"/>
    <w:lsdException w:name="List 5" w:semiHidden="1" w:uiPriority="2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29" w:unhideWhenUsed="1"/>
    <w:lsdException w:name="List Number 3" w:semiHidden="1" w:uiPriority="29" w:unhideWhenUsed="1"/>
    <w:lsdException w:name="List Number 4" w:semiHidden="1" w:uiPriority="29" w:unhideWhenUsed="1"/>
    <w:lsdException w:name="List Number 5" w:semiHidden="1" w:uiPriority="29" w:unhideWhenUsed="1"/>
    <w:lsdException w:name="Title" w:uiPriority="9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iPriority="29" w:unhideWhenUsed="1"/>
    <w:lsdException w:name="List Continue 2" w:semiHidden="1" w:uiPriority="29" w:unhideWhenUsed="1"/>
    <w:lsdException w:name="List Continue 3" w:semiHidden="1" w:uiPriority="29" w:unhideWhenUsed="1"/>
    <w:lsdException w:name="List Continue 4" w:semiHidden="1" w:uiPriority="29" w:unhideWhenUsed="1"/>
    <w:lsdException w:name="List Continue 5" w:semiHidden="1" w:uiPriority="29"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mojNaslov 1"/>
    <w:basedOn w:val="Normal"/>
    <w:next w:val="Normal"/>
    <w:link w:val="Heading1Char"/>
    <w:uiPriority w:val="19"/>
    <w:qFormat/>
    <w:rsid w:val="004265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mojNaslov 2"/>
    <w:basedOn w:val="Normal"/>
    <w:next w:val="Normal"/>
    <w:link w:val="Heading2Char"/>
    <w:unhideWhenUsed/>
    <w:qFormat/>
    <w:rsid w:val="004265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Znak2,mojNaslov 3 Znak"/>
    <w:basedOn w:val="Normal"/>
    <w:next w:val="Normal"/>
    <w:link w:val="Heading3Char"/>
    <w:uiPriority w:val="19"/>
    <w:unhideWhenUsed/>
    <w:qFormat/>
    <w:rsid w:val="004265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Znak,Naslov 4 Znak2 Znak,Naslov 4 Znak1 Znak Znak,Naslov 4 Znak Znak Znak Znak,Znak1 Znak Znak Znak Znak,Znak1 Znak1 Znak Znak,mojNaslov 4 Znak Znak Znak,Naslov 4 Znak Znak1 Znak,Znak1 Znak Znak1 Znak,Znak1 Znak2 Znak"/>
    <w:basedOn w:val="Normal"/>
    <w:next w:val="Normal"/>
    <w:link w:val="Heading4Char"/>
    <w:uiPriority w:val="19"/>
    <w:unhideWhenUsed/>
    <w:qFormat/>
    <w:rsid w:val="0042650C"/>
    <w:pPr>
      <w:keepNext/>
      <w:keepLines/>
      <w:spacing w:before="80" w:after="40"/>
      <w:outlineLvl w:val="3"/>
    </w:pPr>
    <w:rPr>
      <w:rFonts w:eastAsiaTheme="majorEastAsia" w:cstheme="majorBidi"/>
      <w:i/>
      <w:iCs/>
      <w:color w:val="0F4761" w:themeColor="accent1" w:themeShade="BF"/>
    </w:rPr>
  </w:style>
  <w:style w:type="paragraph" w:styleId="Heading5">
    <w:name w:val="heading 5"/>
    <w:aliases w:val="mojNaslov 5"/>
    <w:basedOn w:val="Normal"/>
    <w:next w:val="Normal"/>
    <w:link w:val="Heading5Char"/>
    <w:uiPriority w:val="99"/>
    <w:unhideWhenUsed/>
    <w:qFormat/>
    <w:rsid w:val="0042650C"/>
    <w:pPr>
      <w:keepNext/>
      <w:keepLines/>
      <w:spacing w:before="80" w:after="40"/>
      <w:outlineLvl w:val="4"/>
    </w:pPr>
    <w:rPr>
      <w:rFonts w:eastAsiaTheme="majorEastAsia" w:cstheme="majorBidi"/>
      <w:color w:val="0F4761" w:themeColor="accent1" w:themeShade="BF"/>
    </w:rPr>
  </w:style>
  <w:style w:type="paragraph" w:styleId="Heading6">
    <w:name w:val="heading 6"/>
    <w:aliases w:val="mojNaslov 6,mojNaslov 6 Znak"/>
    <w:basedOn w:val="Normal"/>
    <w:next w:val="Normal"/>
    <w:link w:val="Heading6Char"/>
    <w:uiPriority w:val="19"/>
    <w:unhideWhenUsed/>
    <w:qFormat/>
    <w:rsid w:val="004265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19"/>
    <w:unhideWhenUsed/>
    <w:qFormat/>
    <w:rsid w:val="004265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19"/>
    <w:unhideWhenUsed/>
    <w:qFormat/>
    <w:rsid w:val="004265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19"/>
    <w:unhideWhenUsed/>
    <w:qFormat/>
    <w:rsid w:val="004265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ojNaslov 1 Char"/>
    <w:basedOn w:val="DefaultParagraphFont"/>
    <w:link w:val="Heading1"/>
    <w:uiPriority w:val="19"/>
    <w:rsid w:val="0042650C"/>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mojNaslov 2 Char"/>
    <w:basedOn w:val="DefaultParagraphFont"/>
    <w:link w:val="Heading2"/>
    <w:rsid w:val="0042650C"/>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Znak2 Char,mojNaslov 3 Znak Char"/>
    <w:basedOn w:val="DefaultParagraphFont"/>
    <w:link w:val="Heading3"/>
    <w:uiPriority w:val="19"/>
    <w:rsid w:val="0042650C"/>
    <w:rPr>
      <w:rFonts w:eastAsiaTheme="majorEastAsia" w:cstheme="majorBidi"/>
      <w:color w:val="0F4761" w:themeColor="accent1" w:themeShade="BF"/>
      <w:sz w:val="28"/>
      <w:szCs w:val="28"/>
    </w:rPr>
  </w:style>
  <w:style w:type="character" w:customStyle="1" w:styleId="Heading4Char">
    <w:name w:val="Heading 4 Char"/>
    <w:aliases w:val="Znak Char,Naslov 4 Znak2 Znak Char,Naslov 4 Znak1 Znak Znak Char,Naslov 4 Znak Znak Znak Znak Char,Znak1 Znak Znak Znak Znak Char,Znak1 Znak1 Znak Znak Char,mojNaslov 4 Znak Znak Znak Char,Naslov 4 Znak Znak1 Znak Char"/>
    <w:basedOn w:val="DefaultParagraphFont"/>
    <w:link w:val="Heading4"/>
    <w:uiPriority w:val="9"/>
    <w:rsid w:val="0042650C"/>
    <w:rPr>
      <w:rFonts w:eastAsiaTheme="majorEastAsia" w:cstheme="majorBidi"/>
      <w:i/>
      <w:iCs/>
      <w:color w:val="0F4761" w:themeColor="accent1" w:themeShade="BF"/>
    </w:rPr>
  </w:style>
  <w:style w:type="character" w:customStyle="1" w:styleId="Heading5Char">
    <w:name w:val="Heading 5 Char"/>
    <w:aliases w:val="mojNaslov 5 Char"/>
    <w:basedOn w:val="DefaultParagraphFont"/>
    <w:link w:val="Heading5"/>
    <w:uiPriority w:val="99"/>
    <w:rsid w:val="0042650C"/>
    <w:rPr>
      <w:rFonts w:eastAsiaTheme="majorEastAsia" w:cstheme="majorBidi"/>
      <w:color w:val="0F4761" w:themeColor="accent1" w:themeShade="BF"/>
    </w:rPr>
  </w:style>
  <w:style w:type="character" w:customStyle="1" w:styleId="Heading6Char">
    <w:name w:val="Heading 6 Char"/>
    <w:aliases w:val="mojNaslov 6 Char,mojNaslov 6 Znak Char"/>
    <w:basedOn w:val="DefaultParagraphFont"/>
    <w:link w:val="Heading6"/>
    <w:uiPriority w:val="19"/>
    <w:rsid w:val="004265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19"/>
    <w:rsid w:val="0042650C"/>
    <w:rPr>
      <w:rFonts w:eastAsiaTheme="majorEastAsia" w:cstheme="majorBidi"/>
      <w:color w:val="595959" w:themeColor="text1" w:themeTint="A6"/>
    </w:rPr>
  </w:style>
  <w:style w:type="character" w:customStyle="1" w:styleId="Heading8Char">
    <w:name w:val="Heading 8 Char"/>
    <w:basedOn w:val="DefaultParagraphFont"/>
    <w:link w:val="Heading8"/>
    <w:uiPriority w:val="19"/>
    <w:rsid w:val="004265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19"/>
    <w:rsid w:val="0042650C"/>
    <w:rPr>
      <w:rFonts w:eastAsiaTheme="majorEastAsia" w:cstheme="majorBidi"/>
      <w:color w:val="272727" w:themeColor="text1" w:themeTint="D8"/>
    </w:rPr>
  </w:style>
  <w:style w:type="paragraph" w:styleId="Title">
    <w:name w:val="Title"/>
    <w:basedOn w:val="Normal"/>
    <w:next w:val="Normal"/>
    <w:link w:val="TitleChar"/>
    <w:uiPriority w:val="94"/>
    <w:qFormat/>
    <w:rsid w:val="004265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4"/>
    <w:rsid w:val="004265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5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5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50C"/>
    <w:pPr>
      <w:spacing w:before="160"/>
      <w:jc w:val="center"/>
    </w:pPr>
    <w:rPr>
      <w:i/>
      <w:iCs/>
      <w:color w:val="404040" w:themeColor="text1" w:themeTint="BF"/>
    </w:rPr>
  </w:style>
  <w:style w:type="character" w:customStyle="1" w:styleId="QuoteChar">
    <w:name w:val="Quote Char"/>
    <w:basedOn w:val="DefaultParagraphFont"/>
    <w:link w:val="Quote"/>
    <w:uiPriority w:val="29"/>
    <w:rsid w:val="0042650C"/>
    <w:rPr>
      <w:i/>
      <w:iCs/>
      <w:color w:val="404040" w:themeColor="text1" w:themeTint="BF"/>
    </w:rPr>
  </w:style>
  <w:style w:type="paragraph" w:styleId="ListParagraph">
    <w:name w:val="List Paragraph"/>
    <w:aliases w:val="Odstavec1,List Paragraph1,List Paragraph (numbered (a)),WB Para,Akapit z listą BS,Foot note,Bullet Points,Liste Paragraf,Table of contents numbered,lp1,List 100s,Bullets,References,123 List Paragraph,Celula,Normal 2,List_Paragraph,List1"/>
    <w:basedOn w:val="Normal"/>
    <w:link w:val="ListParagraphChar"/>
    <w:uiPriority w:val="34"/>
    <w:qFormat/>
    <w:rsid w:val="0042650C"/>
    <w:pPr>
      <w:ind w:left="720"/>
      <w:contextualSpacing/>
    </w:pPr>
  </w:style>
  <w:style w:type="character" w:styleId="IntenseEmphasis">
    <w:name w:val="Intense Emphasis"/>
    <w:basedOn w:val="DefaultParagraphFont"/>
    <w:uiPriority w:val="21"/>
    <w:qFormat/>
    <w:rsid w:val="0042650C"/>
    <w:rPr>
      <w:i/>
      <w:iCs/>
      <w:color w:val="0F4761" w:themeColor="accent1" w:themeShade="BF"/>
    </w:rPr>
  </w:style>
  <w:style w:type="paragraph" w:styleId="IntenseQuote">
    <w:name w:val="Intense Quote"/>
    <w:basedOn w:val="Normal"/>
    <w:next w:val="Normal"/>
    <w:link w:val="IntenseQuoteChar"/>
    <w:uiPriority w:val="30"/>
    <w:qFormat/>
    <w:rsid w:val="004265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50C"/>
    <w:rPr>
      <w:i/>
      <w:iCs/>
      <w:color w:val="0F4761" w:themeColor="accent1" w:themeShade="BF"/>
    </w:rPr>
  </w:style>
  <w:style w:type="character" w:styleId="IntenseReference">
    <w:name w:val="Intense Reference"/>
    <w:basedOn w:val="DefaultParagraphFont"/>
    <w:uiPriority w:val="32"/>
    <w:qFormat/>
    <w:rsid w:val="0042650C"/>
    <w:rPr>
      <w:b/>
      <w:bCs/>
      <w:smallCaps/>
      <w:color w:val="0F4761" w:themeColor="accent1" w:themeShade="BF"/>
      <w:spacing w:val="5"/>
    </w:rPr>
  </w:style>
  <w:style w:type="character" w:styleId="Hyperlink">
    <w:name w:val="Hyperlink"/>
    <w:basedOn w:val="DefaultParagraphFont"/>
    <w:uiPriority w:val="99"/>
    <w:unhideWhenUsed/>
    <w:rsid w:val="0042650C"/>
    <w:rPr>
      <w:color w:val="467886" w:themeColor="hyperlink"/>
      <w:u w:val="single"/>
    </w:rPr>
  </w:style>
  <w:style w:type="paragraph" w:customStyle="1" w:styleId="Nika">
    <w:name w:val="Nika"/>
    <w:basedOn w:val="ListParagraph"/>
    <w:link w:val="NikaZnak"/>
    <w:qFormat/>
    <w:rsid w:val="0042650C"/>
    <w:pPr>
      <w:numPr>
        <w:numId w:val="1"/>
      </w:numPr>
      <w:jc w:val="both"/>
    </w:pPr>
    <w:rPr>
      <w:rFonts w:ascii="Arial" w:eastAsia="Times New Roman" w:hAnsi="Arial" w:cs="Arial"/>
      <w:b/>
      <w:bCs/>
      <w:sz w:val="32"/>
      <w:szCs w:val="32"/>
      <w:lang w:eastAsia="sl-SI"/>
    </w:rPr>
  </w:style>
  <w:style w:type="character" w:customStyle="1" w:styleId="NikaZnak">
    <w:name w:val="Nika Znak"/>
    <w:basedOn w:val="DefaultParagraphFont"/>
    <w:link w:val="Nika"/>
    <w:rsid w:val="0042650C"/>
    <w:rPr>
      <w:rFonts w:ascii="Arial" w:eastAsia="Times New Roman" w:hAnsi="Arial" w:cs="Arial"/>
      <w:b/>
      <w:bCs/>
      <w:sz w:val="32"/>
      <w:szCs w:val="32"/>
      <w:lang w:eastAsia="sl-SI"/>
    </w:rPr>
  </w:style>
  <w:style w:type="paragraph" w:styleId="TOCHeading">
    <w:name w:val="TOC Heading"/>
    <w:basedOn w:val="Heading1"/>
    <w:next w:val="Normal"/>
    <w:uiPriority w:val="39"/>
    <w:unhideWhenUsed/>
    <w:qFormat/>
    <w:rsid w:val="00085C01"/>
    <w:pPr>
      <w:spacing w:before="240" w:after="0"/>
      <w:outlineLvl w:val="9"/>
    </w:pPr>
    <w:rPr>
      <w:sz w:val="32"/>
      <w:szCs w:val="32"/>
      <w:lang w:eastAsia="sl-SI"/>
    </w:rPr>
  </w:style>
  <w:style w:type="paragraph" w:styleId="TOC3">
    <w:name w:val="toc 3"/>
    <w:basedOn w:val="Normal"/>
    <w:next w:val="Normal"/>
    <w:autoRedefine/>
    <w:uiPriority w:val="39"/>
    <w:unhideWhenUsed/>
    <w:rsid w:val="00085C01"/>
    <w:pPr>
      <w:spacing w:after="100"/>
      <w:ind w:left="440"/>
    </w:pPr>
  </w:style>
  <w:style w:type="paragraph" w:styleId="TOC2">
    <w:name w:val="toc 2"/>
    <w:basedOn w:val="Normal"/>
    <w:next w:val="Normal"/>
    <w:autoRedefine/>
    <w:uiPriority w:val="39"/>
    <w:unhideWhenUsed/>
    <w:rsid w:val="00085C01"/>
    <w:pPr>
      <w:spacing w:after="100"/>
      <w:ind w:left="220"/>
    </w:pPr>
    <w:rPr>
      <w:rFonts w:eastAsiaTheme="minorEastAsia" w:cs="Times New Roman"/>
      <w:lang w:eastAsia="sl-SI"/>
    </w:rPr>
  </w:style>
  <w:style w:type="paragraph" w:styleId="TOC1">
    <w:name w:val="toc 1"/>
    <w:basedOn w:val="Normal"/>
    <w:next w:val="Normal"/>
    <w:autoRedefine/>
    <w:uiPriority w:val="39"/>
    <w:unhideWhenUsed/>
    <w:rsid w:val="00085C01"/>
    <w:pPr>
      <w:tabs>
        <w:tab w:val="left" w:pos="440"/>
        <w:tab w:val="right" w:leader="dot" w:pos="9062"/>
      </w:tabs>
      <w:spacing w:after="100"/>
    </w:pPr>
    <w:rPr>
      <w:rFonts w:ascii="Arial" w:eastAsiaTheme="minorEastAsia" w:hAnsi="Arial" w:cs="Arial"/>
      <w:b/>
      <w:bCs/>
      <w:noProof/>
      <w:lang w:eastAsia="sl-SI"/>
    </w:rPr>
  </w:style>
  <w:style w:type="paragraph" w:styleId="FootnoteText">
    <w:name w:val="footnote text"/>
    <w:aliases w:val="Footnote,Char Char,Sprotna opomba - besedilo Znak1,Sprotna opomba - besedilo Znak Znak2,Sprotna opomba - besedilo Znak1 Znak Znak1,Sprotna opomba - besedilo Znak1 Znak Znak Znak,Footnot,CAP TABELA Char,CapSlika Char,ft"/>
    <w:basedOn w:val="Normal"/>
    <w:link w:val="FootnoteTextChar"/>
    <w:uiPriority w:val="99"/>
    <w:unhideWhenUsed/>
    <w:qFormat/>
    <w:rsid w:val="001C4609"/>
    <w:pPr>
      <w:spacing w:after="0" w:line="240" w:lineRule="auto"/>
    </w:pPr>
    <w:rPr>
      <w:sz w:val="20"/>
      <w:szCs w:val="20"/>
    </w:rPr>
  </w:style>
  <w:style w:type="character" w:customStyle="1" w:styleId="FootnoteTextChar">
    <w:name w:val="Footnote Text Char"/>
    <w:aliases w:val="Footnote Char,Char Char Char,Sprotna opomba - besedilo Znak1 Char,Sprotna opomba - besedilo Znak Znak2 Char,Sprotna opomba - besedilo Znak1 Znak Znak1 Char,Sprotna opomba - besedilo Znak1 Znak Znak Znak Char,Footnot Char,ft Char"/>
    <w:basedOn w:val="DefaultParagraphFont"/>
    <w:link w:val="FootnoteText"/>
    <w:uiPriority w:val="99"/>
    <w:qFormat/>
    <w:rsid w:val="001C4609"/>
    <w:rPr>
      <w:sz w:val="20"/>
      <w:szCs w:val="20"/>
    </w:rPr>
  </w:style>
  <w:style w:type="character" w:styleId="FootnoteReference">
    <w:name w:val="footnote reference"/>
    <w:aliases w:val="Footnote symbol,Fussnota,Footnote reference number,note TESI,SUPERS,EN Footnote Reference,-E Fußnotenzeichen,ESPON Footnote No,Footnote1,number,Times 10 Point,Exposant 3 Point,Footnote Reference_LVL6,Footnote Reference_LVL61,E..."/>
    <w:basedOn w:val="DefaultParagraphFont"/>
    <w:link w:val="FootnotesymbolCarZchn"/>
    <w:uiPriority w:val="99"/>
    <w:unhideWhenUsed/>
    <w:qFormat/>
    <w:rsid w:val="001C4609"/>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1C4609"/>
    <w:pPr>
      <w:spacing w:line="240" w:lineRule="exact"/>
      <w:jc w:val="both"/>
    </w:pPr>
    <w:rPr>
      <w:vertAlign w:val="superscript"/>
    </w:rPr>
  </w:style>
  <w:style w:type="paragraph" w:styleId="NormalWeb">
    <w:name w:val="Normal (Web)"/>
    <w:basedOn w:val="Normal"/>
    <w:uiPriority w:val="99"/>
    <w:unhideWhenUsed/>
    <w:rsid w:val="001C460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1C4609"/>
    <w:rPr>
      <w:b/>
      <w:bCs/>
    </w:rPr>
  </w:style>
  <w:style w:type="paragraph" w:customStyle="1" w:styleId="Nika3">
    <w:name w:val="Nika3"/>
    <w:basedOn w:val="Normal"/>
    <w:link w:val="Nika3Znak"/>
    <w:qFormat/>
    <w:rsid w:val="00565DA6"/>
    <w:pPr>
      <w:jc w:val="both"/>
    </w:pPr>
    <w:rPr>
      <w:rFonts w:ascii="Arial" w:eastAsia="Times New Roman" w:hAnsi="Arial" w:cs="Arial"/>
      <w:b/>
      <w:bCs/>
      <w:lang w:eastAsia="sl-SI"/>
    </w:rPr>
  </w:style>
  <w:style w:type="character" w:customStyle="1" w:styleId="Nika3Znak">
    <w:name w:val="Nika3 Znak"/>
    <w:basedOn w:val="DefaultParagraphFont"/>
    <w:link w:val="Nika3"/>
    <w:rsid w:val="00565DA6"/>
    <w:rPr>
      <w:rFonts w:ascii="Arial" w:eastAsia="Times New Roman" w:hAnsi="Arial" w:cs="Arial"/>
      <w:b/>
      <w:bCs/>
      <w:lang w:eastAsia="sl-SI"/>
    </w:rPr>
  </w:style>
  <w:style w:type="paragraph" w:customStyle="1" w:styleId="Standardtext">
    <w:name w:val="Standard text"/>
    <w:basedOn w:val="Normal"/>
    <w:link w:val="StandardtextChar"/>
    <w:qFormat/>
    <w:rsid w:val="00565DA6"/>
    <w:pPr>
      <w:spacing w:after="180" w:line="276" w:lineRule="auto"/>
      <w:jc w:val="both"/>
    </w:pPr>
    <w:rPr>
      <w:rFonts w:ascii="Times New Roman" w:hAnsi="Times New Roman"/>
      <w:sz w:val="24"/>
    </w:rPr>
  </w:style>
  <w:style w:type="character" w:customStyle="1" w:styleId="FootnoteZchn">
    <w:name w:val="Footnote Zchn"/>
    <w:basedOn w:val="DefaultParagraphFont"/>
    <w:uiPriority w:val="4"/>
    <w:rsid w:val="00565DA6"/>
    <w:rPr>
      <w:rFonts w:ascii="Times New Roman" w:hAnsi="Times New Roman" w:cs="Times New Roman"/>
      <w:sz w:val="20"/>
      <w:szCs w:val="20"/>
      <w:lang w:val="sl-SI"/>
    </w:rPr>
  </w:style>
  <w:style w:type="character" w:customStyle="1" w:styleId="StandardtextChar">
    <w:name w:val="Standard text Char"/>
    <w:basedOn w:val="DefaultParagraphFont"/>
    <w:link w:val="Standardtext"/>
    <w:rsid w:val="00565DA6"/>
    <w:rPr>
      <w:rFonts w:ascii="Times New Roman" w:hAnsi="Times New Roman"/>
      <w:sz w:val="24"/>
    </w:rPr>
  </w:style>
  <w:style w:type="paragraph" w:customStyle="1" w:styleId="FootnoteReferenceCharCarCharCharCarCharCarCharCarCharCarCharCharCarCarCharCharCharCharCharCarCharCarCharCharCarCharCar">
    <w:name w:val="Footnote Reference Char Car Char Char Car Char Car Char Car Char Car Char Char Car Car Char Char Char Char Char Car Char Car Char Char Car Char Car"/>
    <w:aliases w:val="Footnotes refss Car Char Car,callout Car Car Char Char Car,Footnotes refss Car1"/>
    <w:basedOn w:val="Normal"/>
    <w:uiPriority w:val="99"/>
    <w:rsid w:val="00565DA6"/>
    <w:pPr>
      <w:spacing w:before="120" w:line="240" w:lineRule="exact"/>
    </w:pPr>
    <w:rPr>
      <w:vertAlign w:val="superscript"/>
    </w:rPr>
  </w:style>
  <w:style w:type="paragraph" w:customStyle="1" w:styleId="Nika2">
    <w:name w:val="Nika2"/>
    <w:basedOn w:val="Normal"/>
    <w:link w:val="Nika2Znak"/>
    <w:qFormat/>
    <w:rsid w:val="00D320A2"/>
    <w:rPr>
      <w:rFonts w:ascii="Arial" w:eastAsia="Times New Roman" w:hAnsi="Arial" w:cs="Arial"/>
      <w:b/>
      <w:bCs/>
      <w:sz w:val="24"/>
      <w:szCs w:val="24"/>
      <w:lang w:eastAsia="sl-SI"/>
    </w:rPr>
  </w:style>
  <w:style w:type="character" w:customStyle="1" w:styleId="Nika2Znak">
    <w:name w:val="Nika2 Znak"/>
    <w:basedOn w:val="DefaultParagraphFont"/>
    <w:link w:val="Nika2"/>
    <w:rsid w:val="00D320A2"/>
    <w:rPr>
      <w:rFonts w:ascii="Arial" w:eastAsia="Times New Roman" w:hAnsi="Arial" w:cs="Arial"/>
      <w:b/>
      <w:bCs/>
      <w:sz w:val="24"/>
      <w:szCs w:val="24"/>
      <w:lang w:eastAsia="sl-SI"/>
    </w:rPr>
  </w:style>
  <w:style w:type="paragraph" w:styleId="Caption">
    <w:name w:val="caption"/>
    <w:aliases w:val="Figure / Table Header,Table Header, Znak Znak,Slika, Znak Znak Znak,Znak Znak,CAP TABELA,CapSlika,Label/Legend,Char,Caption Char1,Caption Char Char1,Napis Znak2 Znak,Napis Znak Znak2 Znak,Napis Znak Znak2 Znak Znak Znak,slika1,S"/>
    <w:basedOn w:val="Normal"/>
    <w:next w:val="Standardtext"/>
    <w:link w:val="CaptionChar"/>
    <w:uiPriority w:val="99"/>
    <w:qFormat/>
    <w:rsid w:val="00D320A2"/>
    <w:pPr>
      <w:keepNext/>
      <w:tabs>
        <w:tab w:val="left" w:pos="1871"/>
      </w:tabs>
      <w:spacing w:before="120" w:after="200" w:line="280" w:lineRule="atLeast"/>
      <w:ind w:left="1871" w:hanging="1871"/>
    </w:pPr>
    <w:rPr>
      <w:rFonts w:ascii="Times New Roman" w:hAnsi="Times New Roman"/>
      <w:b/>
      <w:iCs/>
      <w:szCs w:val="18"/>
    </w:rPr>
  </w:style>
  <w:style w:type="table" w:styleId="TableGrid">
    <w:name w:val="Table Grid"/>
    <w:aliases w:val="Tabela-SLOG"/>
    <w:basedOn w:val="TableNormal"/>
    <w:uiPriority w:val="59"/>
    <w:rsid w:val="00D320A2"/>
    <w:pPr>
      <w:keepNext/>
      <w:keepLines/>
      <w:spacing w:after="0" w:line="240" w:lineRule="auto"/>
      <w:contextualSpacing/>
      <w:jc w:val="right"/>
    </w:pPr>
    <w:rPr>
      <w:rFonts w:ascii="Times New Roman" w:hAnsi="Times New 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cPr>
      <w:vAlign w:val="center"/>
    </w:tcPr>
    <w:tblStylePr w:type="firstRow">
      <w:rPr>
        <w:rFonts w:ascii="Times New Roman" w:hAnsi="Times New Roman"/>
        <w:b/>
        <w:color w:val="FFFFFF" w:themeColor="background1"/>
        <w:sz w:val="18"/>
      </w:rPr>
      <w:tblPr/>
      <w:tcPr>
        <w:shd w:val="clear" w:color="auto" w:fill="4073AF"/>
      </w:tcPr>
    </w:tblStylePr>
    <w:tblStylePr w:type="firstCol">
      <w:pPr>
        <w:wordWrap/>
        <w:jc w:val="left"/>
      </w:pPr>
    </w:tblStylePr>
  </w:style>
  <w:style w:type="paragraph" w:customStyle="1" w:styleId="TabellentextrechtsbndigI">
    <w:name w:val="Tabellentext_rechtsbündig_ÖI"/>
    <w:basedOn w:val="Normal"/>
    <w:uiPriority w:val="96"/>
    <w:unhideWhenUsed/>
    <w:rsid w:val="00D320A2"/>
    <w:pPr>
      <w:keepNext/>
      <w:keepLines/>
      <w:spacing w:before="120" w:after="0" w:line="240" w:lineRule="auto"/>
      <w:contextualSpacing/>
      <w:jc w:val="right"/>
    </w:pPr>
    <w:rPr>
      <w:rFonts w:ascii="Times New Roman" w:hAnsi="Times New Roman"/>
      <w:sz w:val="20"/>
      <w:szCs w:val="20"/>
    </w:rPr>
  </w:style>
  <w:style w:type="paragraph" w:customStyle="1" w:styleId="TabellentextlinksbndigI">
    <w:name w:val="Tabellentext_linksbündig_ÖI"/>
    <w:basedOn w:val="Normal"/>
    <w:uiPriority w:val="96"/>
    <w:unhideWhenUsed/>
    <w:rsid w:val="00D320A2"/>
    <w:pPr>
      <w:keepNext/>
      <w:keepLines/>
      <w:spacing w:before="120" w:after="0" w:line="240" w:lineRule="auto"/>
      <w:contextualSpacing/>
    </w:pPr>
    <w:rPr>
      <w:rFonts w:ascii="Times New Roman" w:hAnsi="Times New Roman"/>
      <w:sz w:val="20"/>
      <w:szCs w:val="20"/>
    </w:rPr>
  </w:style>
  <w:style w:type="paragraph" w:customStyle="1" w:styleId="TableParagraph">
    <w:name w:val="Table Paragraph"/>
    <w:basedOn w:val="Normal"/>
    <w:uiPriority w:val="1"/>
    <w:qFormat/>
    <w:rsid w:val="00D320A2"/>
    <w:pPr>
      <w:widowControl w:val="0"/>
      <w:autoSpaceDE w:val="0"/>
      <w:autoSpaceDN w:val="0"/>
      <w:spacing w:after="0" w:line="240" w:lineRule="auto"/>
    </w:pPr>
    <w:rPr>
      <w:rFonts w:ascii="Times New Roman" w:eastAsia="Times New Roman" w:hAnsi="Times New Roman" w:cs="Times New Roman"/>
      <w:lang w:bidi="en-US"/>
    </w:rPr>
  </w:style>
  <w:style w:type="character" w:customStyle="1" w:styleId="CaptionChar">
    <w:name w:val="Caption Char"/>
    <w:aliases w:val="Figure / Table Header Char,Table Header Char, Znak Znak Char,Slika Char, Znak Znak Znak Char,Znak Znak Char,CAP TABELA Char2,CapSlika Char2,Label/Legend Char,Char Char2,Caption Char1 Char,Caption Char Char1 Char1,Napis Znak2 Znak Char"/>
    <w:link w:val="Caption"/>
    <w:uiPriority w:val="41"/>
    <w:locked/>
    <w:rsid w:val="00D320A2"/>
    <w:rPr>
      <w:rFonts w:ascii="Times New Roman" w:hAnsi="Times New Roman"/>
      <w:b/>
      <w:iCs/>
      <w:szCs w:val="18"/>
    </w:rPr>
  </w:style>
  <w:style w:type="paragraph" w:customStyle="1" w:styleId="Source">
    <w:name w:val="Source"/>
    <w:basedOn w:val="Standardtext"/>
    <w:uiPriority w:val="27"/>
    <w:qFormat/>
    <w:rsid w:val="006A65D3"/>
    <w:pPr>
      <w:spacing w:before="120"/>
    </w:pPr>
    <w:rPr>
      <w:sz w:val="22"/>
      <w:szCs w:val="20"/>
    </w:rPr>
  </w:style>
  <w:style w:type="paragraph" w:styleId="BodyText">
    <w:name w:val="Body Text"/>
    <w:aliases w:val="Telo besedila Znak2,Telo besedila Znak Znak,Telo besedila Znak1 Znak Znak,Telo besedila Znak2 Znak Znak Znak,Telo besedila Znak Znak2 Znak Znak Znak,Telo besedila Znak1 Znak Znak Znak Znak Znak"/>
    <w:basedOn w:val="Normal"/>
    <w:link w:val="BodyTextChar"/>
    <w:uiPriority w:val="99"/>
    <w:qFormat/>
    <w:rsid w:val="00B13301"/>
    <w:pPr>
      <w:spacing w:after="120" w:line="245" w:lineRule="auto"/>
      <w:jc w:val="both"/>
    </w:pPr>
    <w:rPr>
      <w:rFonts w:ascii="Palatino Linotype" w:eastAsia="Times New Roman" w:hAnsi="Palatino Linotype" w:cs="Times New Roman"/>
      <w:szCs w:val="20"/>
      <w:lang w:eastAsia="sl-SI"/>
    </w:rPr>
  </w:style>
  <w:style w:type="character" w:customStyle="1" w:styleId="BodyTextChar">
    <w:name w:val="Body Text Char"/>
    <w:aliases w:val="Telo besedila Znak2 Char,Telo besedila Znak Znak Char,Telo besedila Znak1 Znak Znak Char,Telo besedila Znak2 Znak Znak Znak Char,Telo besedila Znak Znak2 Znak Znak Znak Char,Telo besedila Znak1 Znak Znak Znak Znak Znak Char"/>
    <w:basedOn w:val="DefaultParagraphFont"/>
    <w:link w:val="BodyText"/>
    <w:uiPriority w:val="99"/>
    <w:rsid w:val="00B13301"/>
    <w:rPr>
      <w:rFonts w:ascii="Palatino Linotype" w:eastAsia="Times New Roman" w:hAnsi="Palatino Linotype" w:cs="Times New Roman"/>
      <w:szCs w:val="20"/>
      <w:lang w:eastAsia="sl-SI"/>
    </w:rPr>
  </w:style>
  <w:style w:type="paragraph" w:customStyle="1" w:styleId="Naslov-VplivUkrepa-Sektorji">
    <w:name w:val="Naslov-VplivUkrepa-Sektorji"/>
    <w:basedOn w:val="Normal"/>
    <w:next w:val="BodyText"/>
    <w:link w:val="Naslov-VplivUkrepa-SektorjiChar"/>
    <w:rsid w:val="00B13301"/>
    <w:pPr>
      <w:spacing w:after="120" w:line="247" w:lineRule="auto"/>
      <w:contextualSpacing/>
    </w:pPr>
    <w:rPr>
      <w:rFonts w:ascii="Palatino Linotype" w:eastAsia="Times New Roman" w:hAnsi="Palatino Linotype" w:cs="Times New Roman"/>
      <w:b/>
      <w:szCs w:val="24"/>
      <w:lang w:eastAsia="sl-SI"/>
    </w:rPr>
  </w:style>
  <w:style w:type="character" w:customStyle="1" w:styleId="Naslov-VplivUkrepa-SektorjiChar">
    <w:name w:val="Naslov-VplivUkrepa-Sektorji Char"/>
    <w:basedOn w:val="DefaultParagraphFont"/>
    <w:link w:val="Naslov-VplivUkrepa-Sektorji"/>
    <w:rsid w:val="00B13301"/>
    <w:rPr>
      <w:rFonts w:ascii="Palatino Linotype" w:eastAsia="Times New Roman" w:hAnsi="Palatino Linotype" w:cs="Times New Roman"/>
      <w:b/>
      <w:szCs w:val="24"/>
      <w:lang w:eastAsia="sl-SI"/>
    </w:rPr>
  </w:style>
  <w:style w:type="paragraph" w:customStyle="1" w:styleId="Tekst-VplivUkrepa-Sektorji">
    <w:name w:val="Tekst-VplivUkrepa-Sektorji"/>
    <w:basedOn w:val="Normal"/>
    <w:next w:val="BodyText"/>
    <w:link w:val="Tekst-VplivUkrepa-SektorjiCharChar"/>
    <w:uiPriority w:val="99"/>
    <w:rsid w:val="00B13301"/>
    <w:pPr>
      <w:spacing w:after="120" w:line="247" w:lineRule="auto"/>
      <w:contextualSpacing/>
    </w:pPr>
    <w:rPr>
      <w:rFonts w:ascii="Palatino Linotype" w:eastAsia="Times New Roman" w:hAnsi="Palatino Linotype" w:cs="Times New Roman"/>
      <w:i/>
      <w:szCs w:val="24"/>
    </w:rPr>
  </w:style>
  <w:style w:type="character" w:customStyle="1" w:styleId="Tekst-VplivUkrepa-SektorjiCharChar">
    <w:name w:val="Tekst-VplivUkrepa-Sektorji Char Char"/>
    <w:basedOn w:val="DefaultParagraphFont"/>
    <w:link w:val="Tekst-VplivUkrepa-Sektorji"/>
    <w:uiPriority w:val="99"/>
    <w:rsid w:val="00B13301"/>
    <w:rPr>
      <w:rFonts w:ascii="Palatino Linotype" w:eastAsia="Times New Roman" w:hAnsi="Palatino Linotype" w:cs="Times New Roman"/>
      <w:i/>
      <w:szCs w:val="24"/>
    </w:rPr>
  </w:style>
  <w:style w:type="paragraph" w:customStyle="1" w:styleId="tabela-9pt">
    <w:name w:val="tabela-9pt"/>
    <w:basedOn w:val="Normal"/>
    <w:uiPriority w:val="99"/>
    <w:rsid w:val="00B13301"/>
    <w:pPr>
      <w:spacing w:before="60" w:after="60" w:line="247" w:lineRule="auto"/>
    </w:pPr>
    <w:rPr>
      <w:rFonts w:ascii="Tahoma" w:eastAsia="SimSun" w:hAnsi="Tahoma" w:cs="Tahoma"/>
      <w:sz w:val="18"/>
      <w:szCs w:val="20"/>
      <w:lang w:eastAsia="sl-SI"/>
    </w:rPr>
  </w:style>
  <w:style w:type="paragraph" w:customStyle="1" w:styleId="Heading41">
    <w:name w:val="Heading 41"/>
    <w:basedOn w:val="Normal"/>
    <w:rsid w:val="00E97B25"/>
    <w:pPr>
      <w:keepNext/>
      <w:keepLines/>
      <w:numPr>
        <w:numId w:val="2"/>
      </w:numPr>
      <w:spacing w:before="240" w:after="120" w:line="240" w:lineRule="auto"/>
      <w:ind w:left="709" w:hanging="709"/>
    </w:pPr>
    <w:rPr>
      <w:rFonts w:ascii="Arial" w:eastAsia="Times New Roman" w:hAnsi="Arial" w:cs="Times New Roman"/>
      <w:b/>
      <w:caps/>
      <w:szCs w:val="20"/>
      <w:lang w:val="en-GB"/>
    </w:rPr>
  </w:style>
  <w:style w:type="paragraph" w:customStyle="1" w:styleId="RmischIEN">
    <w:name w:val="Römisch_ÖI_EN"/>
    <w:basedOn w:val="Normal"/>
    <w:next w:val="Standardtext"/>
    <w:uiPriority w:val="21"/>
    <w:semiHidden/>
    <w:qFormat/>
    <w:rsid w:val="00E97B25"/>
    <w:pPr>
      <w:numPr>
        <w:numId w:val="3"/>
      </w:numPr>
      <w:spacing w:after="200" w:line="276" w:lineRule="auto"/>
    </w:pPr>
    <w:rPr>
      <w:lang w:val="de-DE"/>
    </w:rPr>
  </w:style>
  <w:style w:type="character" w:customStyle="1" w:styleId="Naslov4Znak1">
    <w:name w:val="Naslov 4 Znak1"/>
    <w:aliases w:val="Znak Znak1,Naslov 4 Znak Znak,Naslov 4 Znak2 Znak Znak,Naslov 4 Znak1 Znak Znak Znak,Naslov 4 Znak Znak Znak Znak Znak,Znak1 Znak Znak Znak Znak Znak,Znak1 Znak1 Znak Znak Znak,mojNaslov 4 Znak Znak Znak Znak,Naslov 4 Znak Znak1 Znak Znak"/>
    <w:basedOn w:val="DefaultParagraphFont"/>
    <w:uiPriority w:val="19"/>
    <w:rsid w:val="00E97B25"/>
    <w:rPr>
      <w:rFonts w:ascii="Palatino Linotype" w:eastAsia="Times New Roman" w:hAnsi="Palatino Linotype" w:cs="Arial"/>
      <w:b/>
      <w:iCs/>
      <w:smallCaps/>
      <w:color w:val="006A83"/>
      <w:kern w:val="32"/>
      <w:sz w:val="24"/>
      <w:szCs w:val="28"/>
      <w:lang w:eastAsia="sl-SI"/>
    </w:rPr>
  </w:style>
  <w:style w:type="paragraph" w:customStyle="1" w:styleId="Style1">
    <w:name w:val="Style1"/>
    <w:basedOn w:val="Heading1"/>
    <w:rsid w:val="00E97B25"/>
    <w:pPr>
      <w:keepLines w:val="0"/>
      <w:tabs>
        <w:tab w:val="left" w:pos="1134"/>
      </w:tabs>
      <w:spacing w:before="240" w:after="480" w:line="240" w:lineRule="auto"/>
      <w:ind w:left="992" w:hanging="992"/>
    </w:pPr>
    <w:rPr>
      <w:rFonts w:ascii="Verdana" w:eastAsia="Times New Roman" w:hAnsi="Verdana" w:cs="Arial"/>
      <w:b/>
      <w:bCs/>
      <w:color w:val="006A83"/>
      <w:kern w:val="32"/>
      <w:szCs w:val="36"/>
      <w:lang w:eastAsia="sl-SI"/>
    </w:rPr>
  </w:style>
  <w:style w:type="paragraph" w:customStyle="1" w:styleId="Heading1BS">
    <w:name w:val="Heading1_BS"/>
    <w:basedOn w:val="Heading1"/>
    <w:next w:val="BodyText"/>
    <w:uiPriority w:val="99"/>
    <w:rsid w:val="00E97B25"/>
    <w:pPr>
      <w:keepLines w:val="0"/>
      <w:pBdr>
        <w:bottom w:val="single" w:sz="4" w:space="6" w:color="auto"/>
      </w:pBdr>
      <w:tabs>
        <w:tab w:val="left" w:pos="1134"/>
      </w:tabs>
      <w:spacing w:after="240" w:line="240" w:lineRule="auto"/>
      <w:ind w:left="992" w:hanging="992"/>
    </w:pPr>
    <w:rPr>
      <w:rFonts w:ascii="Tahoma" w:eastAsia="Times New Roman" w:hAnsi="Tahoma" w:cs="Arial"/>
      <w:b/>
      <w:bCs/>
      <w:color w:val="006A83"/>
      <w:kern w:val="32"/>
      <w:sz w:val="36"/>
      <w:szCs w:val="36"/>
      <w:lang w:eastAsia="sl-SI"/>
    </w:rPr>
  </w:style>
  <w:style w:type="paragraph" w:customStyle="1" w:styleId="Kazalo">
    <w:name w:val="Kazalo"/>
    <w:basedOn w:val="BodyText"/>
    <w:next w:val="BodyText"/>
    <w:rsid w:val="00E97B25"/>
    <w:pPr>
      <w:spacing w:before="240" w:after="600"/>
    </w:pPr>
    <w:rPr>
      <w:rFonts w:ascii="Verdana" w:hAnsi="Verdana"/>
      <w:b/>
      <w:sz w:val="40"/>
    </w:rPr>
  </w:style>
  <w:style w:type="paragraph" w:customStyle="1" w:styleId="Kratice">
    <w:name w:val="Kratice"/>
    <w:basedOn w:val="BodyText"/>
    <w:link w:val="KraticeChar"/>
    <w:rsid w:val="00E97B25"/>
    <w:pPr>
      <w:ind w:left="2160" w:hanging="2160"/>
    </w:pPr>
    <w:rPr>
      <w:sz w:val="20"/>
    </w:rPr>
  </w:style>
  <w:style w:type="character" w:customStyle="1" w:styleId="KraticeChar">
    <w:name w:val="Kratice Char"/>
    <w:basedOn w:val="BodyTextChar"/>
    <w:link w:val="Kratice"/>
    <w:rsid w:val="00E97B25"/>
    <w:rPr>
      <w:rFonts w:ascii="Palatino Linotype" w:eastAsia="Times New Roman" w:hAnsi="Palatino Linotype" w:cs="Times New Roman"/>
      <w:sz w:val="20"/>
      <w:szCs w:val="20"/>
      <w:lang w:eastAsia="sl-SI"/>
    </w:rPr>
  </w:style>
  <w:style w:type="paragraph" w:customStyle="1" w:styleId="KraticeNaslov">
    <w:name w:val="KraticeNaslov"/>
    <w:basedOn w:val="Kratice"/>
    <w:link w:val="KraticeNaslovChar"/>
    <w:rsid w:val="00E97B25"/>
  </w:style>
  <w:style w:type="character" w:customStyle="1" w:styleId="KraticeNaslovChar">
    <w:name w:val="KraticeNaslov Char"/>
    <w:basedOn w:val="KraticeChar"/>
    <w:link w:val="KraticeNaslov"/>
    <w:rsid w:val="00E97B25"/>
    <w:rPr>
      <w:rFonts w:ascii="Palatino Linotype" w:eastAsia="Times New Roman" w:hAnsi="Palatino Linotype" w:cs="Times New Roman"/>
      <w:sz w:val="20"/>
      <w:szCs w:val="20"/>
      <w:lang w:eastAsia="sl-SI"/>
    </w:rPr>
  </w:style>
  <w:style w:type="paragraph" w:customStyle="1" w:styleId="NASLOV-brezStevilke">
    <w:name w:val="NASLOV-brezStevilke"/>
    <w:basedOn w:val="Normal"/>
    <w:next w:val="BodyText"/>
    <w:rsid w:val="00E97B25"/>
    <w:pPr>
      <w:spacing w:before="240" w:after="480" w:line="247" w:lineRule="auto"/>
    </w:pPr>
    <w:rPr>
      <w:rFonts w:ascii="Verdana" w:eastAsia="Times New Roman" w:hAnsi="Verdana" w:cs="Times New Roman"/>
      <w:b/>
      <w:color w:val="006A83"/>
      <w:sz w:val="40"/>
      <w:szCs w:val="20"/>
      <w:lang w:val="en-GB" w:eastAsia="sl-SI"/>
    </w:rPr>
  </w:style>
  <w:style w:type="paragraph" w:customStyle="1" w:styleId="NaslovVTekstu">
    <w:name w:val="NaslovVTekstu"/>
    <w:basedOn w:val="Normal"/>
    <w:next w:val="BodyText"/>
    <w:link w:val="NaslovVTekstuChar"/>
    <w:uiPriority w:val="99"/>
    <w:rsid w:val="00E97B25"/>
    <w:pPr>
      <w:keepNext/>
      <w:spacing w:before="120" w:after="0" w:line="247" w:lineRule="auto"/>
    </w:pPr>
    <w:rPr>
      <w:rFonts w:ascii="Palatino Linotype" w:eastAsia="Times New Roman" w:hAnsi="Palatino Linotype" w:cs="Times New Roman"/>
      <w:b/>
      <w:smallCaps/>
      <w:szCs w:val="24"/>
      <w:lang w:val="en-GB" w:eastAsia="sl-SI"/>
    </w:rPr>
  </w:style>
  <w:style w:type="character" w:customStyle="1" w:styleId="NaslovVTekstuChar">
    <w:name w:val="NaslovVTekstu Char"/>
    <w:basedOn w:val="DefaultParagraphFont"/>
    <w:link w:val="NaslovVTekstu"/>
    <w:uiPriority w:val="99"/>
    <w:rsid w:val="00E97B25"/>
    <w:rPr>
      <w:rFonts w:ascii="Palatino Linotype" w:eastAsia="Times New Roman" w:hAnsi="Palatino Linotype" w:cs="Times New Roman"/>
      <w:b/>
      <w:smallCaps/>
      <w:szCs w:val="24"/>
      <w:lang w:val="en-GB" w:eastAsia="sl-SI"/>
    </w:rPr>
  </w:style>
  <w:style w:type="paragraph" w:customStyle="1" w:styleId="Podnaslov-Priloga">
    <w:name w:val="Podnaslov-Priloga"/>
    <w:basedOn w:val="BodyText"/>
    <w:rsid w:val="00E97B25"/>
    <w:rPr>
      <w:rFonts w:ascii="Verdana" w:hAnsi="Verdana"/>
      <w:b/>
      <w:bCs/>
      <w:sz w:val="32"/>
    </w:rPr>
  </w:style>
  <w:style w:type="paragraph" w:customStyle="1" w:styleId="PovzetekTABELA">
    <w:name w:val="PovzetekTABELA"/>
    <w:basedOn w:val="Normal"/>
    <w:uiPriority w:val="99"/>
    <w:rsid w:val="00E97B25"/>
    <w:pPr>
      <w:keepNext/>
      <w:keepLines/>
      <w:spacing w:after="120" w:line="247" w:lineRule="auto"/>
    </w:pPr>
    <w:rPr>
      <w:rFonts w:ascii="Tahoma" w:eastAsia="Times New Roman" w:hAnsi="Tahoma" w:cs="Times New Roman"/>
      <w:sz w:val="20"/>
      <w:szCs w:val="24"/>
    </w:rPr>
  </w:style>
  <w:style w:type="paragraph" w:customStyle="1" w:styleId="seznam">
    <w:name w:val="seznam"/>
    <w:basedOn w:val="Normal"/>
    <w:link w:val="seznamChar"/>
    <w:rsid w:val="00E97B25"/>
    <w:pPr>
      <w:numPr>
        <w:numId w:val="4"/>
      </w:numPr>
      <w:spacing w:after="120" w:line="247" w:lineRule="auto"/>
    </w:pPr>
    <w:rPr>
      <w:rFonts w:ascii="Palatino Linotype" w:eastAsia="Times New Roman" w:hAnsi="Palatino Linotype" w:cs="Times New Roman"/>
      <w:szCs w:val="24"/>
    </w:rPr>
  </w:style>
  <w:style w:type="character" w:customStyle="1" w:styleId="seznamChar">
    <w:name w:val="seznam Char"/>
    <w:basedOn w:val="DefaultParagraphFont"/>
    <w:link w:val="seznam"/>
    <w:rsid w:val="00E97B25"/>
    <w:rPr>
      <w:rFonts w:ascii="Palatino Linotype" w:eastAsia="Times New Roman" w:hAnsi="Palatino Linotype" w:cs="Times New Roman"/>
      <w:szCs w:val="24"/>
    </w:rPr>
  </w:style>
  <w:style w:type="paragraph" w:customStyle="1" w:styleId="StranIJS-TekstDesno">
    <w:name w:val="StranIJS-TekstDesno"/>
    <w:basedOn w:val="Normal"/>
    <w:rsid w:val="00E97B25"/>
    <w:pPr>
      <w:tabs>
        <w:tab w:val="left" w:pos="4320"/>
        <w:tab w:val="left" w:pos="4860"/>
      </w:tabs>
      <w:spacing w:after="120" w:line="240" w:lineRule="auto"/>
      <w:ind w:right="-57"/>
      <w:contextualSpacing/>
    </w:pPr>
    <w:rPr>
      <w:rFonts w:ascii="Palatino Linotype" w:eastAsia="Times New Roman" w:hAnsi="Palatino Linotype" w:cs="Tahoma"/>
      <w:szCs w:val="20"/>
    </w:rPr>
  </w:style>
  <w:style w:type="paragraph" w:customStyle="1" w:styleId="StranIJS-DTekstDesno">
    <w:name w:val="StranIJS-DTekstDesno"/>
    <w:basedOn w:val="StranIJS-TekstDesno"/>
    <w:rsid w:val="00E97B25"/>
    <w:pPr>
      <w:tabs>
        <w:tab w:val="clear" w:pos="4860"/>
      </w:tabs>
    </w:pPr>
    <w:rPr>
      <w:b/>
    </w:rPr>
  </w:style>
  <w:style w:type="paragraph" w:customStyle="1" w:styleId="StranIJS-NaslovP">
    <w:name w:val="StranIJS-NaslovP"/>
    <w:basedOn w:val="Normal"/>
    <w:next w:val="Normal"/>
    <w:rsid w:val="00E97B25"/>
    <w:pPr>
      <w:spacing w:after="120" w:line="247" w:lineRule="auto"/>
    </w:pPr>
    <w:rPr>
      <w:rFonts w:ascii="Verdana" w:eastAsia="Times New Roman" w:hAnsi="Verdana" w:cs="Tahoma"/>
      <w:b/>
      <w:caps/>
      <w:sz w:val="28"/>
      <w:szCs w:val="28"/>
      <w:lang w:eastAsia="sl-SI"/>
    </w:rPr>
  </w:style>
  <w:style w:type="paragraph" w:customStyle="1" w:styleId="tabela">
    <w:name w:val="tabela"/>
    <w:basedOn w:val="Normal"/>
    <w:rsid w:val="00E97B25"/>
    <w:pPr>
      <w:spacing w:before="60" w:after="60" w:line="247" w:lineRule="auto"/>
    </w:pPr>
    <w:rPr>
      <w:rFonts w:ascii="Tahoma" w:eastAsia="Times New Roman" w:hAnsi="Tahoma" w:cs="Tahoma"/>
      <w:sz w:val="16"/>
      <w:szCs w:val="20"/>
      <w:lang w:eastAsia="sl-SI"/>
    </w:rPr>
  </w:style>
  <w:style w:type="paragraph" w:customStyle="1" w:styleId="tabela10PT">
    <w:name w:val="tabela_10PT"/>
    <w:basedOn w:val="tabela"/>
    <w:rsid w:val="00E97B25"/>
    <w:rPr>
      <w:sz w:val="20"/>
      <w:lang w:eastAsia="en-US"/>
    </w:rPr>
  </w:style>
  <w:style w:type="paragraph" w:customStyle="1" w:styleId="tabela10-brezPR">
    <w:name w:val="tabela10-brezPR"/>
    <w:basedOn w:val="tabela10PT"/>
    <w:rsid w:val="00E97B25"/>
    <w:pPr>
      <w:spacing w:before="20" w:after="20"/>
    </w:pPr>
  </w:style>
  <w:style w:type="paragraph" w:customStyle="1" w:styleId="TEKST-PRVASTRAN">
    <w:name w:val="TEKST-PRVASTRAN"/>
    <w:basedOn w:val="Normal"/>
    <w:rsid w:val="00E97B25"/>
    <w:pPr>
      <w:spacing w:after="120" w:line="247" w:lineRule="auto"/>
      <w:ind w:left="720"/>
    </w:pPr>
    <w:rPr>
      <w:rFonts w:ascii="Verdana" w:eastAsia="Times New Roman" w:hAnsi="Verdana" w:cs="Tahoma"/>
      <w:sz w:val="24"/>
      <w:szCs w:val="24"/>
      <w:lang w:val="pl-PL" w:eastAsia="sl-SI"/>
    </w:rPr>
  </w:style>
  <w:style w:type="paragraph" w:customStyle="1" w:styleId="UkrepiNASLOV">
    <w:name w:val="Ukrepi NASLOV"/>
    <w:basedOn w:val="Normal"/>
    <w:next w:val="Normal"/>
    <w:rsid w:val="00E97B25"/>
    <w:pPr>
      <w:tabs>
        <w:tab w:val="left" w:pos="567"/>
      </w:tabs>
      <w:spacing w:before="240" w:after="120" w:line="247" w:lineRule="auto"/>
    </w:pPr>
    <w:rPr>
      <w:rFonts w:ascii="Verdana" w:eastAsia="Times New Roman" w:hAnsi="Verdana" w:cs="Times New Roman"/>
      <w:szCs w:val="20"/>
      <w:lang w:eastAsia="sl-SI"/>
    </w:rPr>
  </w:style>
  <w:style w:type="paragraph" w:customStyle="1" w:styleId="UkrepiPRISTOJNOST">
    <w:name w:val="Ukrepi PRISTOJNOST"/>
    <w:basedOn w:val="Normal"/>
    <w:next w:val="Normal"/>
    <w:link w:val="UkrepiPRISTOJNOSTChar"/>
    <w:rsid w:val="00E97B25"/>
    <w:pPr>
      <w:spacing w:after="120" w:line="247" w:lineRule="auto"/>
    </w:pPr>
    <w:rPr>
      <w:rFonts w:ascii="Palatino Linotype" w:eastAsia="Times New Roman" w:hAnsi="Palatino Linotype" w:cs="Times New Roman"/>
      <w:szCs w:val="20"/>
      <w:lang w:val="en-GB" w:eastAsia="sl-SI"/>
    </w:rPr>
  </w:style>
  <w:style w:type="character" w:customStyle="1" w:styleId="UkrepiPRISTOJNOSTChar">
    <w:name w:val="Ukrepi PRISTOJNOST Char"/>
    <w:basedOn w:val="DefaultParagraphFont"/>
    <w:link w:val="UkrepiPRISTOJNOST"/>
    <w:rsid w:val="00E97B25"/>
    <w:rPr>
      <w:rFonts w:ascii="Palatino Linotype" w:eastAsia="Times New Roman" w:hAnsi="Palatino Linotype" w:cs="Times New Roman"/>
      <w:szCs w:val="20"/>
      <w:lang w:val="en-GB" w:eastAsia="sl-SI"/>
    </w:rPr>
  </w:style>
  <w:style w:type="paragraph" w:customStyle="1" w:styleId="UkrepiOCENA">
    <w:name w:val="Ukrepi OCENA"/>
    <w:basedOn w:val="UkrepiPRISTOJNOST"/>
    <w:next w:val="Normal"/>
    <w:link w:val="UkrepiOCENAChar"/>
    <w:rsid w:val="00E97B25"/>
  </w:style>
  <w:style w:type="character" w:customStyle="1" w:styleId="UkrepiOCENAChar">
    <w:name w:val="Ukrepi OCENA Char"/>
    <w:basedOn w:val="UkrepiPRISTOJNOSTChar"/>
    <w:link w:val="UkrepiOCENA"/>
    <w:rsid w:val="00E97B25"/>
    <w:rPr>
      <w:rFonts w:ascii="Palatino Linotype" w:eastAsia="Times New Roman" w:hAnsi="Palatino Linotype" w:cs="Times New Roman"/>
      <w:szCs w:val="20"/>
      <w:lang w:val="en-GB" w:eastAsia="sl-SI"/>
    </w:rPr>
  </w:style>
  <w:style w:type="paragraph" w:customStyle="1" w:styleId="UkrepiTEKST">
    <w:name w:val="Ukrepi TEKST"/>
    <w:basedOn w:val="Normal"/>
    <w:next w:val="UkrepiNASLOV"/>
    <w:link w:val="UkrepiTEKSTChar"/>
    <w:rsid w:val="00E97B25"/>
    <w:pPr>
      <w:tabs>
        <w:tab w:val="left" w:pos="567"/>
      </w:tabs>
      <w:spacing w:after="120" w:line="247" w:lineRule="auto"/>
      <w:ind w:left="567"/>
    </w:pPr>
    <w:rPr>
      <w:rFonts w:ascii="Palatino Linotype" w:eastAsia="Times New Roman" w:hAnsi="Palatino Linotype" w:cs="Times New Roman"/>
      <w:szCs w:val="20"/>
      <w:lang w:eastAsia="sl-SI"/>
    </w:rPr>
  </w:style>
  <w:style w:type="character" w:customStyle="1" w:styleId="UkrepiTEKSTChar">
    <w:name w:val="Ukrepi TEKST Char"/>
    <w:basedOn w:val="DefaultParagraphFont"/>
    <w:link w:val="UkrepiTEKST"/>
    <w:rsid w:val="00E97B25"/>
    <w:rPr>
      <w:rFonts w:ascii="Palatino Linotype" w:eastAsia="Times New Roman" w:hAnsi="Palatino Linotype" w:cs="Times New Roman"/>
      <w:szCs w:val="20"/>
      <w:lang w:eastAsia="sl-SI"/>
    </w:rPr>
  </w:style>
  <w:style w:type="paragraph" w:customStyle="1" w:styleId="UkrepiUCINEK">
    <w:name w:val="Ukrepi UCINEK"/>
    <w:basedOn w:val="UkrepiPRISTOJNOST"/>
    <w:next w:val="UkrepiOCENA"/>
    <w:link w:val="UkrepiUCINEKChar"/>
    <w:rsid w:val="00E97B25"/>
  </w:style>
  <w:style w:type="character" w:customStyle="1" w:styleId="UkrepiUCINEKChar">
    <w:name w:val="Ukrepi UCINEK Char"/>
    <w:basedOn w:val="UkrepiPRISTOJNOSTChar"/>
    <w:link w:val="UkrepiUCINEK"/>
    <w:rsid w:val="00E97B25"/>
    <w:rPr>
      <w:rFonts w:ascii="Palatino Linotype" w:eastAsia="Times New Roman" w:hAnsi="Palatino Linotype" w:cs="Times New Roman"/>
      <w:szCs w:val="20"/>
      <w:lang w:val="en-GB" w:eastAsia="sl-SI"/>
    </w:rPr>
  </w:style>
  <w:style w:type="paragraph" w:styleId="Header">
    <w:name w:val="header"/>
    <w:basedOn w:val="Normal"/>
    <w:link w:val="HeaderChar"/>
    <w:uiPriority w:val="95"/>
    <w:rsid w:val="00E97B25"/>
    <w:pPr>
      <w:tabs>
        <w:tab w:val="center" w:pos="4536"/>
        <w:tab w:val="right" w:pos="9072"/>
      </w:tabs>
      <w:spacing w:after="120" w:line="247" w:lineRule="auto"/>
    </w:pPr>
    <w:rPr>
      <w:rFonts w:ascii="Verdana" w:eastAsia="Times New Roman" w:hAnsi="Verdana" w:cs="Times New Roman"/>
      <w:sz w:val="18"/>
      <w:szCs w:val="20"/>
      <w:lang w:eastAsia="sl-SI"/>
    </w:rPr>
  </w:style>
  <w:style w:type="character" w:customStyle="1" w:styleId="HeaderChar">
    <w:name w:val="Header Char"/>
    <w:basedOn w:val="DefaultParagraphFont"/>
    <w:link w:val="Header"/>
    <w:uiPriority w:val="95"/>
    <w:rsid w:val="00E97B25"/>
    <w:rPr>
      <w:rFonts w:ascii="Verdana" w:eastAsia="Times New Roman" w:hAnsi="Verdana" w:cs="Times New Roman"/>
      <w:sz w:val="18"/>
      <w:szCs w:val="20"/>
      <w:lang w:eastAsia="sl-SI"/>
    </w:rPr>
  </w:style>
  <w:style w:type="paragraph" w:customStyle="1" w:styleId="debelo">
    <w:name w:val="debelo"/>
    <w:basedOn w:val="Normal"/>
    <w:rsid w:val="00E97B25"/>
    <w:pPr>
      <w:tabs>
        <w:tab w:val="left" w:pos="4820"/>
      </w:tabs>
      <w:spacing w:before="120" w:after="120" w:line="20" w:lineRule="atLeast"/>
      <w:ind w:right="-57"/>
    </w:pPr>
    <w:rPr>
      <w:rFonts w:ascii="Palatino Linotype" w:eastAsia="Times New Roman" w:hAnsi="Palatino Linotype" w:cs="Tahoma"/>
      <w:b/>
      <w:szCs w:val="20"/>
    </w:rPr>
  </w:style>
  <w:style w:type="paragraph" w:customStyle="1" w:styleId="GLAVNI-NASLOV">
    <w:name w:val="GLAVNI-NASLOV"/>
    <w:basedOn w:val="Normal"/>
    <w:rsid w:val="00E97B25"/>
    <w:pPr>
      <w:pBdr>
        <w:left w:val="single" w:sz="48" w:space="10" w:color="99CC00"/>
      </w:pBdr>
      <w:spacing w:after="120" w:line="280" w:lineRule="atLeast"/>
      <w:ind w:left="720"/>
    </w:pPr>
    <w:rPr>
      <w:rFonts w:ascii="Verdana" w:eastAsia="Times New Roman" w:hAnsi="Verdana" w:cs="Times New Roman"/>
      <w:b/>
      <w:sz w:val="40"/>
      <w:szCs w:val="20"/>
      <w:lang w:val="en-GB" w:eastAsia="sl-SI"/>
    </w:rPr>
  </w:style>
  <w:style w:type="character" w:customStyle="1" w:styleId="NapisZnak1">
    <w:name w:val="Napis Znak1"/>
    <w:aliases w:val=" Znak Znak Znak1,Slika Znak,Napis Znak Znak, Znak Znak Znak Znak,Znak Znak Znak1,CAP TABELA Znak,CapSlika Znak,Label/Legend Znak,Char Znak,Caption Char1 Znak,Caption Char Char1 Znak,Napis Znak2 Znak Znak,Napis Znak Znak2 Znak Znak,S Znak"/>
    <w:basedOn w:val="DefaultParagraphFont"/>
    <w:uiPriority w:val="99"/>
    <w:rsid w:val="00E97B25"/>
    <w:rPr>
      <w:rFonts w:ascii="Palatino Linotype" w:eastAsia="Times New Roman" w:hAnsi="Palatino Linotype" w:cs="Times New Roman"/>
      <w:i/>
      <w:iCs/>
      <w:color w:val="0E2841" w:themeColor="text2"/>
      <w:sz w:val="18"/>
      <w:szCs w:val="18"/>
      <w:lang w:val="en-GB" w:eastAsia="sl-SI"/>
    </w:rPr>
  </w:style>
  <w:style w:type="table" w:customStyle="1" w:styleId="PlainTable11">
    <w:name w:val="Plain Table 11"/>
    <w:basedOn w:val="TableNormal"/>
    <w:uiPriority w:val="41"/>
    <w:rsid w:val="00E97B2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er">
    <w:name w:val="footer"/>
    <w:basedOn w:val="Normal"/>
    <w:link w:val="FooterChar"/>
    <w:uiPriority w:val="95"/>
    <w:unhideWhenUsed/>
    <w:rsid w:val="00E97B25"/>
    <w:pPr>
      <w:tabs>
        <w:tab w:val="center" w:pos="4536"/>
        <w:tab w:val="right" w:pos="9072"/>
      </w:tabs>
      <w:spacing w:after="120" w:line="247" w:lineRule="auto"/>
    </w:pPr>
    <w:rPr>
      <w:rFonts w:ascii="Palatino Linotype" w:eastAsia="Times New Roman" w:hAnsi="Palatino Linotype" w:cs="Times New Roman"/>
      <w:szCs w:val="20"/>
      <w:lang w:val="en-GB" w:eastAsia="sl-SI"/>
    </w:rPr>
  </w:style>
  <w:style w:type="character" w:customStyle="1" w:styleId="FooterChar">
    <w:name w:val="Footer Char"/>
    <w:basedOn w:val="DefaultParagraphFont"/>
    <w:link w:val="Footer"/>
    <w:uiPriority w:val="95"/>
    <w:rsid w:val="00E97B25"/>
    <w:rPr>
      <w:rFonts w:ascii="Palatino Linotype" w:eastAsia="Times New Roman" w:hAnsi="Palatino Linotype" w:cs="Times New Roman"/>
      <w:szCs w:val="20"/>
      <w:lang w:val="en-GB" w:eastAsia="sl-SI"/>
    </w:rPr>
  </w:style>
  <w:style w:type="character" w:customStyle="1" w:styleId="NASLOVBREZ-STEVILKE">
    <w:name w:val="NASLOV_BREZ-STEVILKE"/>
    <w:rsid w:val="00E97B25"/>
    <w:rPr>
      <w:rFonts w:ascii="Verdana" w:hAnsi="Verdana" w:cs="Verdana"/>
      <w:b/>
      <w:bCs/>
      <w:caps/>
      <w:sz w:val="28"/>
      <w:szCs w:val="28"/>
      <w:lang w:val="sl-SI" w:eastAsia="x-none"/>
    </w:rPr>
  </w:style>
  <w:style w:type="paragraph" w:customStyle="1" w:styleId="StranIJSLEVIzamik">
    <w:name w:val="StranIJS_LEVIzamik"/>
    <w:basedOn w:val="Normal"/>
    <w:rsid w:val="00E97B25"/>
    <w:pPr>
      <w:spacing w:after="120" w:line="20" w:lineRule="atLeast"/>
      <w:ind w:left="4320" w:right="-483"/>
    </w:pPr>
    <w:rPr>
      <w:rFonts w:ascii="Palatino Linotype" w:eastAsia="Times New Roman" w:hAnsi="Palatino Linotype" w:cs="Palatino Linotype"/>
    </w:rPr>
  </w:style>
  <w:style w:type="paragraph" w:customStyle="1" w:styleId="ZamaknjenOsnovniTekst">
    <w:name w:val="ZamaknjenOsnovniTekst"/>
    <w:basedOn w:val="BodyText"/>
    <w:uiPriority w:val="99"/>
    <w:rsid w:val="00E97B25"/>
    <w:pPr>
      <w:spacing w:line="247" w:lineRule="auto"/>
      <w:ind w:left="720"/>
    </w:pPr>
    <w:rPr>
      <w:rFonts w:cs="Palatino Linotype"/>
      <w:szCs w:val="22"/>
      <w:lang w:eastAsia="en-US"/>
    </w:rPr>
  </w:style>
  <w:style w:type="paragraph" w:customStyle="1" w:styleId="TabelaTEKST">
    <w:name w:val="TabelaTEKST"/>
    <w:basedOn w:val="Normal"/>
    <w:uiPriority w:val="99"/>
    <w:rsid w:val="00E97B25"/>
    <w:pPr>
      <w:spacing w:after="120" w:line="247" w:lineRule="auto"/>
    </w:pPr>
    <w:rPr>
      <w:rFonts w:ascii="Tahoma" w:eastAsia="Times New Roman" w:hAnsi="Tahoma" w:cs="Tahoma"/>
      <w:sz w:val="20"/>
      <w:szCs w:val="20"/>
    </w:rPr>
  </w:style>
  <w:style w:type="character" w:customStyle="1" w:styleId="seznamCharChar1">
    <w:name w:val="seznam Char Char1"/>
    <w:uiPriority w:val="99"/>
    <w:rsid w:val="00E97B25"/>
    <w:rPr>
      <w:rFonts w:ascii="Palatino Linotype" w:hAnsi="Palatino Linotype" w:cs="Palatino Linotype"/>
      <w:sz w:val="24"/>
      <w:szCs w:val="24"/>
      <w:lang w:val="sl-SI" w:eastAsia="en-US"/>
    </w:rPr>
  </w:style>
  <w:style w:type="character" w:customStyle="1" w:styleId="seznamCharChar">
    <w:name w:val="seznam Char Char"/>
    <w:uiPriority w:val="99"/>
    <w:rsid w:val="00E97B25"/>
    <w:rPr>
      <w:rFonts w:ascii="Palatino Linotype" w:hAnsi="Palatino Linotype" w:cs="Palatino Linotype"/>
      <w:sz w:val="24"/>
      <w:szCs w:val="24"/>
      <w:lang w:val="sl-SI" w:eastAsia="en-US"/>
    </w:rPr>
  </w:style>
  <w:style w:type="paragraph" w:customStyle="1" w:styleId="PovzetekTEKST">
    <w:name w:val="PovzetekTEKST"/>
    <w:basedOn w:val="Normal"/>
    <w:uiPriority w:val="99"/>
    <w:rsid w:val="00E97B25"/>
    <w:pPr>
      <w:shd w:val="clear" w:color="auto" w:fill="E6E6E6"/>
      <w:spacing w:after="240" w:line="264" w:lineRule="auto"/>
      <w:ind w:left="567"/>
    </w:pPr>
    <w:rPr>
      <w:rFonts w:ascii="Palatino Linotype" w:eastAsia="Times New Roman" w:hAnsi="Palatino Linotype" w:cs="Palatino Linotype"/>
    </w:rPr>
  </w:style>
  <w:style w:type="table" w:customStyle="1" w:styleId="POVZETEK-TabelaMreza">
    <w:name w:val="POVZETEK-TabelaMreza"/>
    <w:uiPriority w:val="99"/>
    <w:rsid w:val="00E97B25"/>
    <w:pPr>
      <w:spacing w:after="0" w:line="240" w:lineRule="auto"/>
      <w:jc w:val="right"/>
    </w:pPr>
    <w:rPr>
      <w:rFonts w:ascii="Tahoma" w:eastAsia="Times New Roman" w:hAnsi="Tahoma" w:cs="Tahoma"/>
      <w:sz w:val="20"/>
      <w:szCs w:val="20"/>
      <w:lang w:eastAsia="sl-SI"/>
    </w:rPr>
    <w:tblPr>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CellMar>
        <w:top w:w="28" w:type="dxa"/>
        <w:left w:w="108" w:type="dxa"/>
        <w:bottom w:w="28" w:type="dxa"/>
        <w:right w:w="108" w:type="dxa"/>
      </w:tblCellMar>
    </w:tblPr>
    <w:tcPr>
      <w:shd w:val="clear" w:color="auto" w:fill="E6E6E6"/>
    </w:tcPr>
  </w:style>
  <w:style w:type="paragraph" w:customStyle="1" w:styleId="seznam2Stopnja">
    <w:name w:val="seznam_2Stopnja"/>
    <w:basedOn w:val="seznam"/>
    <w:next w:val="seznam"/>
    <w:uiPriority w:val="99"/>
    <w:rsid w:val="00E97B25"/>
    <w:pPr>
      <w:numPr>
        <w:numId w:val="0"/>
      </w:numPr>
      <w:tabs>
        <w:tab w:val="num" w:pos="717"/>
      </w:tabs>
      <w:ind w:left="1134" w:hanging="283"/>
    </w:pPr>
    <w:rPr>
      <w:rFonts w:cs="Palatino Linotype"/>
      <w:szCs w:val="22"/>
    </w:rPr>
  </w:style>
  <w:style w:type="character" w:customStyle="1" w:styleId="seznamCharChar2">
    <w:name w:val="seznam Char Char2"/>
    <w:uiPriority w:val="99"/>
    <w:rsid w:val="00E97B25"/>
    <w:rPr>
      <w:rFonts w:ascii="Palatino Linotype" w:hAnsi="Palatino Linotype" w:cs="Palatino Linotype"/>
      <w:sz w:val="24"/>
      <w:szCs w:val="24"/>
      <w:lang w:val="sl-SI" w:eastAsia="en-US"/>
    </w:rPr>
  </w:style>
  <w:style w:type="character" w:customStyle="1" w:styleId="seznamCharChar3">
    <w:name w:val="seznam Char Char3"/>
    <w:uiPriority w:val="99"/>
    <w:rsid w:val="00E97B25"/>
    <w:rPr>
      <w:rFonts w:ascii="Palatino Linotype" w:hAnsi="Palatino Linotype" w:cs="Palatino Linotype"/>
      <w:sz w:val="24"/>
      <w:szCs w:val="24"/>
      <w:lang w:val="sl-SI" w:eastAsia="en-US"/>
    </w:rPr>
  </w:style>
  <w:style w:type="paragraph" w:customStyle="1" w:styleId="seznamNASLOV2stopnja">
    <w:name w:val="seznam_NASLOV2stopnja"/>
    <w:basedOn w:val="seznam"/>
    <w:uiPriority w:val="99"/>
    <w:rsid w:val="00E97B25"/>
    <w:pPr>
      <w:numPr>
        <w:numId w:val="0"/>
      </w:numPr>
      <w:tabs>
        <w:tab w:val="num" w:pos="1440"/>
      </w:tabs>
      <w:spacing w:after="0"/>
      <w:ind w:left="1440" w:hanging="360"/>
    </w:pPr>
    <w:rPr>
      <w:rFonts w:cs="Palatino Linotype"/>
      <w:b/>
      <w:bCs/>
      <w:szCs w:val="22"/>
    </w:rPr>
  </w:style>
  <w:style w:type="paragraph" w:customStyle="1" w:styleId="CaptionTabele">
    <w:name w:val="Caption_Tabele"/>
    <w:basedOn w:val="Normal"/>
    <w:next w:val="Normal"/>
    <w:link w:val="CaptionTabeleChar"/>
    <w:uiPriority w:val="99"/>
    <w:rsid w:val="00E97B25"/>
    <w:pPr>
      <w:tabs>
        <w:tab w:val="left" w:pos="964"/>
      </w:tabs>
      <w:spacing w:before="120" w:after="120" w:line="240" w:lineRule="auto"/>
      <w:ind w:left="1418" w:hanging="1418"/>
      <w:jc w:val="both"/>
    </w:pPr>
    <w:rPr>
      <w:rFonts w:ascii="Palatino Linotype" w:eastAsia="Times New Roman" w:hAnsi="Palatino Linotype" w:cs="Palatino Linotype"/>
      <w:bCs/>
      <w:i/>
      <w:iCs/>
      <w:color w:val="0E2841" w:themeColor="text2"/>
      <w:sz w:val="20"/>
      <w:szCs w:val="20"/>
    </w:rPr>
  </w:style>
  <w:style w:type="character" w:customStyle="1" w:styleId="CaptionTabeleChar">
    <w:name w:val="Caption_Tabele Char"/>
    <w:link w:val="CaptionTabele"/>
    <w:uiPriority w:val="99"/>
    <w:rsid w:val="00E97B25"/>
    <w:rPr>
      <w:rFonts w:ascii="Palatino Linotype" w:eastAsia="Times New Roman" w:hAnsi="Palatino Linotype" w:cs="Palatino Linotype"/>
      <w:bCs/>
      <w:i/>
      <w:iCs/>
      <w:color w:val="0E2841" w:themeColor="text2"/>
      <w:sz w:val="20"/>
      <w:szCs w:val="20"/>
    </w:rPr>
  </w:style>
  <w:style w:type="paragraph" w:customStyle="1" w:styleId="StyleBodyTextBold">
    <w:name w:val="Style Body Text + Bold"/>
    <w:basedOn w:val="BodyText"/>
    <w:link w:val="StyleBodyTextBoldChar"/>
    <w:autoRedefine/>
    <w:uiPriority w:val="99"/>
    <w:rsid w:val="00E97B25"/>
    <w:pPr>
      <w:spacing w:line="240" w:lineRule="auto"/>
    </w:pPr>
    <w:rPr>
      <w:rFonts w:cs="Palatino Linotype"/>
      <w:b/>
      <w:bCs/>
      <w:szCs w:val="22"/>
      <w:lang w:eastAsia="en-US"/>
    </w:rPr>
  </w:style>
  <w:style w:type="character" w:customStyle="1" w:styleId="StyleBodyTextBoldChar">
    <w:name w:val="Style Body Text + Bold Char"/>
    <w:link w:val="StyleBodyTextBold"/>
    <w:uiPriority w:val="99"/>
    <w:rsid w:val="00E97B25"/>
    <w:rPr>
      <w:rFonts w:ascii="Palatino Linotype" w:eastAsia="Times New Roman" w:hAnsi="Palatino Linotype" w:cs="Palatino Linotype"/>
      <w:b/>
      <w:bCs/>
    </w:rPr>
  </w:style>
  <w:style w:type="paragraph" w:customStyle="1" w:styleId="Tabletext">
    <w:name w:val="Table text"/>
    <w:basedOn w:val="Normal"/>
    <w:uiPriority w:val="99"/>
    <w:rsid w:val="00E97B25"/>
    <w:pPr>
      <w:tabs>
        <w:tab w:val="right" w:pos="8504"/>
      </w:tabs>
      <w:spacing w:before="40" w:after="40" w:line="288" w:lineRule="auto"/>
      <w:jc w:val="both"/>
    </w:pPr>
    <w:rPr>
      <w:rFonts w:ascii="Arial" w:eastAsia="Times New Roman" w:hAnsi="Arial" w:cs="Arial"/>
      <w:sz w:val="18"/>
      <w:szCs w:val="18"/>
      <w:lang w:val="de-DE" w:eastAsia="de-DE"/>
    </w:rPr>
  </w:style>
  <w:style w:type="paragraph" w:customStyle="1" w:styleId="Alineja1">
    <w:name w:val="Alineja1"/>
    <w:basedOn w:val="Normal"/>
    <w:uiPriority w:val="99"/>
    <w:rsid w:val="00E97B25"/>
    <w:pPr>
      <w:tabs>
        <w:tab w:val="num" w:pos="360"/>
      </w:tabs>
      <w:spacing w:after="120" w:line="247" w:lineRule="auto"/>
      <w:ind w:left="340"/>
      <w:jc w:val="both"/>
    </w:pPr>
    <w:rPr>
      <w:rFonts w:ascii="Palatino Linotype" w:eastAsia="Times New Roman" w:hAnsi="Palatino Linotype" w:cs="Times New Roman"/>
      <w:sz w:val="24"/>
      <w:szCs w:val="24"/>
    </w:rPr>
  </w:style>
  <w:style w:type="character" w:styleId="Emphasis">
    <w:name w:val="Emphasis"/>
    <w:uiPriority w:val="20"/>
    <w:qFormat/>
    <w:rsid w:val="00E97B25"/>
    <w:rPr>
      <w:i/>
      <w:iCs/>
    </w:rPr>
  </w:style>
  <w:style w:type="paragraph" w:styleId="DocumentMap">
    <w:name w:val="Document Map"/>
    <w:basedOn w:val="Normal"/>
    <w:link w:val="DocumentMapChar"/>
    <w:uiPriority w:val="99"/>
    <w:semiHidden/>
    <w:rsid w:val="00E97B25"/>
    <w:pPr>
      <w:shd w:val="clear" w:color="auto" w:fill="000080"/>
      <w:spacing w:after="120" w:line="247"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uiPriority w:val="99"/>
    <w:semiHidden/>
    <w:rsid w:val="00E97B25"/>
    <w:rPr>
      <w:rFonts w:ascii="Tahoma" w:eastAsia="Times New Roman" w:hAnsi="Tahoma" w:cs="Tahoma"/>
      <w:sz w:val="20"/>
      <w:szCs w:val="20"/>
      <w:shd w:val="clear" w:color="auto" w:fill="000080"/>
      <w:lang w:val="en-US"/>
    </w:rPr>
  </w:style>
  <w:style w:type="character" w:styleId="PageNumber">
    <w:name w:val="page number"/>
    <w:basedOn w:val="DefaultParagraphFont"/>
    <w:rsid w:val="00E97B25"/>
  </w:style>
  <w:style w:type="paragraph" w:customStyle="1" w:styleId="CaptionSlika">
    <w:name w:val="Caption_Slika"/>
    <w:basedOn w:val="Normal"/>
    <w:next w:val="Normal"/>
    <w:link w:val="CaptionSlikaCharChar"/>
    <w:uiPriority w:val="99"/>
    <w:rsid w:val="00E97B25"/>
    <w:pPr>
      <w:tabs>
        <w:tab w:val="left" w:pos="964"/>
      </w:tabs>
      <w:spacing w:after="120" w:line="240" w:lineRule="auto"/>
      <w:ind w:left="851" w:hanging="851"/>
      <w:jc w:val="both"/>
    </w:pPr>
    <w:rPr>
      <w:rFonts w:ascii="Palatino Linotype" w:eastAsia="Times New Roman" w:hAnsi="Palatino Linotype" w:cs="Palatino Linotype"/>
      <w:bCs/>
      <w:i/>
      <w:iCs/>
      <w:color w:val="0E2841" w:themeColor="text2"/>
      <w:sz w:val="20"/>
      <w:szCs w:val="20"/>
    </w:rPr>
  </w:style>
  <w:style w:type="character" w:customStyle="1" w:styleId="CaptionSlikaCharChar">
    <w:name w:val="Caption_Slika Char Char"/>
    <w:link w:val="CaptionSlika"/>
    <w:uiPriority w:val="99"/>
    <w:rsid w:val="00E97B25"/>
    <w:rPr>
      <w:rFonts w:ascii="Palatino Linotype" w:eastAsia="Times New Roman" w:hAnsi="Palatino Linotype" w:cs="Palatino Linotype"/>
      <w:bCs/>
      <w:i/>
      <w:iCs/>
      <w:color w:val="0E2841" w:themeColor="text2"/>
      <w:sz w:val="20"/>
      <w:szCs w:val="20"/>
    </w:rPr>
  </w:style>
  <w:style w:type="paragraph" w:customStyle="1" w:styleId="StyleBodyTextLinespacingMultiple105li">
    <w:name w:val="Style Body Text + Line spacing:  Multiple 105 li"/>
    <w:basedOn w:val="BodyText"/>
    <w:uiPriority w:val="99"/>
    <w:rsid w:val="00E97B25"/>
    <w:pPr>
      <w:spacing w:line="240" w:lineRule="auto"/>
    </w:pPr>
    <w:rPr>
      <w:rFonts w:cs="Palatino Linotype"/>
      <w:szCs w:val="22"/>
      <w:lang w:eastAsia="en-US"/>
    </w:rPr>
  </w:style>
  <w:style w:type="paragraph" w:customStyle="1" w:styleId="StyleBodyTextLinespacingsingle">
    <w:name w:val="Style Body Text + Line spacing:  single"/>
    <w:basedOn w:val="BodyText"/>
    <w:autoRedefine/>
    <w:uiPriority w:val="99"/>
    <w:rsid w:val="00E97B25"/>
    <w:pPr>
      <w:spacing w:line="240" w:lineRule="auto"/>
    </w:pPr>
    <w:rPr>
      <w:rFonts w:cs="Palatino Linotype"/>
      <w:szCs w:val="22"/>
      <w:lang w:eastAsia="en-US"/>
    </w:rPr>
  </w:style>
  <w:style w:type="paragraph" w:customStyle="1" w:styleId="TekstTabela18pt">
    <w:name w:val="TekstTabela1_8pt"/>
    <w:basedOn w:val="Normal"/>
    <w:uiPriority w:val="99"/>
    <w:rsid w:val="00E97B25"/>
    <w:pPr>
      <w:spacing w:after="120" w:line="247" w:lineRule="auto"/>
    </w:pPr>
    <w:rPr>
      <w:rFonts w:ascii="Palatino Linotype" w:eastAsia="Times New Roman" w:hAnsi="Palatino Linotype" w:cs="Palatino Linotype"/>
      <w:sz w:val="16"/>
      <w:szCs w:val="16"/>
    </w:rPr>
  </w:style>
  <w:style w:type="paragraph" w:customStyle="1" w:styleId="Tabela-BrezPaddinga">
    <w:name w:val="Tabela-BrezPaddinga"/>
    <w:basedOn w:val="tabela"/>
    <w:uiPriority w:val="99"/>
    <w:rsid w:val="00E97B25"/>
    <w:pPr>
      <w:spacing w:before="20" w:after="0"/>
      <w:jc w:val="right"/>
    </w:pPr>
    <w:rPr>
      <w:szCs w:val="16"/>
    </w:rPr>
  </w:style>
  <w:style w:type="paragraph" w:styleId="BalloonText">
    <w:name w:val="Balloon Text"/>
    <w:basedOn w:val="Normal"/>
    <w:link w:val="BalloonTextChar"/>
    <w:uiPriority w:val="99"/>
    <w:semiHidden/>
    <w:rsid w:val="00E97B25"/>
    <w:pPr>
      <w:spacing w:after="120" w:line="247"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E97B25"/>
    <w:rPr>
      <w:rFonts w:ascii="Tahoma" w:eastAsia="Times New Roman" w:hAnsi="Tahoma" w:cs="Tahoma"/>
      <w:sz w:val="16"/>
      <w:szCs w:val="16"/>
    </w:rPr>
  </w:style>
  <w:style w:type="paragraph" w:styleId="TOC4">
    <w:name w:val="toc 4"/>
    <w:basedOn w:val="Normal"/>
    <w:next w:val="Normal"/>
    <w:autoRedefine/>
    <w:uiPriority w:val="39"/>
    <w:rsid w:val="00E97B25"/>
    <w:pPr>
      <w:tabs>
        <w:tab w:val="left" w:pos="1701"/>
        <w:tab w:val="right" w:leader="dot" w:pos="8222"/>
      </w:tabs>
      <w:spacing w:after="40" w:line="247" w:lineRule="auto"/>
      <w:ind w:left="658"/>
    </w:pPr>
    <w:rPr>
      <w:rFonts w:ascii="Tahoma" w:eastAsia="Times New Roman" w:hAnsi="Tahoma" w:cs="Tahoma"/>
      <w:sz w:val="16"/>
      <w:szCs w:val="16"/>
    </w:rPr>
  </w:style>
  <w:style w:type="paragraph" w:customStyle="1" w:styleId="seznamtevilka">
    <w:name w:val="seznam_Številka"/>
    <w:basedOn w:val="seznam"/>
    <w:uiPriority w:val="99"/>
    <w:rsid w:val="00E97B25"/>
    <w:pPr>
      <w:numPr>
        <w:numId w:val="0"/>
      </w:numPr>
      <w:tabs>
        <w:tab w:val="num" w:pos="720"/>
      </w:tabs>
      <w:ind w:left="714" w:hanging="357"/>
    </w:pPr>
    <w:rPr>
      <w:rFonts w:cs="Palatino Linotype"/>
      <w:szCs w:val="22"/>
    </w:rPr>
  </w:style>
  <w:style w:type="character" w:styleId="CommentReference">
    <w:name w:val="annotation reference"/>
    <w:uiPriority w:val="99"/>
    <w:rsid w:val="00E97B25"/>
    <w:rPr>
      <w:sz w:val="16"/>
      <w:szCs w:val="16"/>
    </w:rPr>
  </w:style>
  <w:style w:type="paragraph" w:styleId="CommentText">
    <w:name w:val="annotation text"/>
    <w:basedOn w:val="Normal"/>
    <w:link w:val="CommentTextChar"/>
    <w:uiPriority w:val="99"/>
    <w:qFormat/>
    <w:rsid w:val="00E97B25"/>
    <w:pPr>
      <w:spacing w:after="120" w:line="247" w:lineRule="auto"/>
    </w:pPr>
    <w:rPr>
      <w:rFonts w:ascii="Palatino Linotype" w:eastAsia="Times New Roman" w:hAnsi="Palatino Linotype" w:cs="Palatino Linotype"/>
      <w:sz w:val="20"/>
      <w:szCs w:val="20"/>
    </w:rPr>
  </w:style>
  <w:style w:type="character" w:customStyle="1" w:styleId="CommentTextChar">
    <w:name w:val="Comment Text Char"/>
    <w:basedOn w:val="DefaultParagraphFont"/>
    <w:link w:val="CommentText"/>
    <w:uiPriority w:val="99"/>
    <w:qFormat/>
    <w:rsid w:val="00E97B25"/>
    <w:rPr>
      <w:rFonts w:ascii="Palatino Linotype" w:eastAsia="Times New Roman" w:hAnsi="Palatino Linotype" w:cs="Palatino Linotype"/>
      <w:sz w:val="20"/>
      <w:szCs w:val="20"/>
    </w:rPr>
  </w:style>
  <w:style w:type="paragraph" w:styleId="CommentSubject">
    <w:name w:val="annotation subject"/>
    <w:basedOn w:val="CommentText"/>
    <w:next w:val="CommentText"/>
    <w:link w:val="CommentSubjectChar"/>
    <w:uiPriority w:val="99"/>
    <w:semiHidden/>
    <w:rsid w:val="00E97B25"/>
    <w:rPr>
      <w:b/>
      <w:bCs/>
    </w:rPr>
  </w:style>
  <w:style w:type="character" w:customStyle="1" w:styleId="CommentSubjectChar">
    <w:name w:val="Comment Subject Char"/>
    <w:basedOn w:val="CommentTextChar"/>
    <w:link w:val="CommentSubject"/>
    <w:uiPriority w:val="99"/>
    <w:semiHidden/>
    <w:rsid w:val="00E97B25"/>
    <w:rPr>
      <w:rFonts w:ascii="Palatino Linotype" w:eastAsia="Times New Roman" w:hAnsi="Palatino Linotype" w:cs="Palatino Linotype"/>
      <w:b/>
      <w:bCs/>
      <w:sz w:val="20"/>
      <w:szCs w:val="20"/>
    </w:rPr>
  </w:style>
  <w:style w:type="paragraph" w:customStyle="1" w:styleId="Bodyalineja">
    <w:name w:val="Body alineja"/>
    <w:basedOn w:val="Normal"/>
    <w:link w:val="BodyalinejaChar"/>
    <w:uiPriority w:val="99"/>
    <w:rsid w:val="00E97B25"/>
    <w:pPr>
      <w:numPr>
        <w:numId w:val="5"/>
      </w:numPr>
      <w:spacing w:after="320" w:line="320" w:lineRule="atLeast"/>
      <w:jc w:val="both"/>
    </w:pPr>
    <w:rPr>
      <w:rFonts w:ascii="Palatino Linotype" w:eastAsia="Times New Roman" w:hAnsi="Palatino Linotype" w:cs="Palatino Linotype"/>
      <w:lang w:eastAsia="sl-SI"/>
    </w:rPr>
  </w:style>
  <w:style w:type="character" w:customStyle="1" w:styleId="BodyalinejaChar">
    <w:name w:val="Body alineja Char"/>
    <w:link w:val="Bodyalineja"/>
    <w:uiPriority w:val="99"/>
    <w:rsid w:val="00E97B25"/>
    <w:rPr>
      <w:rFonts w:ascii="Palatino Linotype" w:eastAsia="Times New Roman" w:hAnsi="Palatino Linotype" w:cs="Palatino Linotype"/>
      <w:lang w:eastAsia="sl-SI"/>
    </w:rPr>
  </w:style>
  <w:style w:type="paragraph" w:customStyle="1" w:styleId="StyleBodyalinejaAfter0pt">
    <w:name w:val="Style Body alineja + After:  0 pt"/>
    <w:basedOn w:val="Bodyalineja"/>
    <w:link w:val="StyleBodyalinejaAfter0ptChar"/>
    <w:uiPriority w:val="99"/>
    <w:rsid w:val="00E97B25"/>
    <w:pPr>
      <w:spacing w:after="0"/>
    </w:pPr>
  </w:style>
  <w:style w:type="character" w:customStyle="1" w:styleId="StyleBodyalinejaAfter0ptChar">
    <w:name w:val="Style Body alineja + After:  0 pt Char"/>
    <w:basedOn w:val="BodyalinejaChar"/>
    <w:link w:val="StyleBodyalinejaAfter0pt"/>
    <w:uiPriority w:val="99"/>
    <w:rsid w:val="00E97B25"/>
    <w:rPr>
      <w:rFonts w:ascii="Palatino Linotype" w:eastAsia="Times New Roman" w:hAnsi="Palatino Linotype" w:cs="Palatino Linotype"/>
      <w:lang w:eastAsia="sl-SI"/>
    </w:rPr>
  </w:style>
  <w:style w:type="character" w:customStyle="1" w:styleId="ZnakZnakZnak">
    <w:name w:val="Znak Znak Znak"/>
    <w:rsid w:val="00E97B25"/>
    <w:rPr>
      <w:rFonts w:ascii="Palatino Linotype" w:hAnsi="Palatino Linotype"/>
      <w:b/>
      <w:bCs/>
      <w:lang w:val="sl-SI" w:eastAsia="en-US" w:bidi="ar-SA"/>
    </w:rPr>
  </w:style>
  <w:style w:type="paragraph" w:customStyle="1" w:styleId="Default">
    <w:name w:val="Default"/>
    <w:rsid w:val="00E97B25"/>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customStyle="1" w:styleId="Tabela0">
    <w:name w:val="Tabela"/>
    <w:basedOn w:val="tabela10PT"/>
    <w:link w:val="TabelaChar"/>
    <w:qFormat/>
    <w:rsid w:val="00E97B25"/>
    <w:pPr>
      <w:jc w:val="both"/>
    </w:pPr>
    <w:rPr>
      <w:rFonts w:ascii="Times New Roman" w:hAnsi="Times New Roman" w:cs="Times New Roman"/>
      <w:b/>
      <w:bCs/>
      <w:color w:val="0E2841" w:themeColor="text2"/>
      <w:spacing w:val="-4"/>
      <w:lang w:val="en-GB" w:eastAsia="sl-SI"/>
    </w:rPr>
  </w:style>
  <w:style w:type="paragraph" w:styleId="HTMLPreformatted">
    <w:name w:val="HTML Preformatted"/>
    <w:basedOn w:val="Normal"/>
    <w:link w:val="HTMLPreformattedChar"/>
    <w:uiPriority w:val="99"/>
    <w:rsid w:val="00E97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7" w:lineRule="auto"/>
    </w:pPr>
    <w:rPr>
      <w:rFonts w:ascii="Courier New" w:eastAsia="Times New Roman" w:hAnsi="Courier New" w:cs="Courier New"/>
      <w:color w:val="000000"/>
      <w:sz w:val="14"/>
      <w:szCs w:val="14"/>
      <w:lang w:eastAsia="sl-SI"/>
    </w:rPr>
  </w:style>
  <w:style w:type="character" w:customStyle="1" w:styleId="HTMLPreformattedChar">
    <w:name w:val="HTML Preformatted Char"/>
    <w:basedOn w:val="DefaultParagraphFont"/>
    <w:link w:val="HTMLPreformatted"/>
    <w:uiPriority w:val="99"/>
    <w:rsid w:val="00E97B25"/>
    <w:rPr>
      <w:rFonts w:ascii="Courier New" w:eastAsia="Times New Roman" w:hAnsi="Courier New" w:cs="Courier New"/>
      <w:color w:val="000000"/>
      <w:sz w:val="14"/>
      <w:szCs w:val="14"/>
      <w:lang w:eastAsia="sl-SI"/>
    </w:rPr>
  </w:style>
  <w:style w:type="paragraph" w:customStyle="1" w:styleId="body">
    <w:name w:val="body"/>
    <w:basedOn w:val="Normal"/>
    <w:qFormat/>
    <w:rsid w:val="00E97B25"/>
    <w:pPr>
      <w:spacing w:after="120" w:line="247" w:lineRule="auto"/>
    </w:pPr>
    <w:rPr>
      <w:rFonts w:ascii="Palatino Linotype" w:eastAsia="Times New Roman" w:hAnsi="Palatino Linotype" w:cs="Palatino Linotype"/>
      <w:noProof/>
    </w:rPr>
  </w:style>
  <w:style w:type="paragraph" w:customStyle="1" w:styleId="OpombaPodCrto">
    <w:name w:val="OpombaPodCrto"/>
    <w:basedOn w:val="FootnoteText"/>
    <w:link w:val="OpombaPodCrtoChar"/>
    <w:rsid w:val="00E97B25"/>
    <w:pPr>
      <w:tabs>
        <w:tab w:val="left" w:pos="360"/>
      </w:tabs>
      <w:spacing w:after="60"/>
      <w:ind w:left="284" w:hanging="284"/>
    </w:pPr>
    <w:rPr>
      <w:rFonts w:ascii="Calibri" w:eastAsia="SimSun" w:hAnsi="Calibri" w:cs="Times New Roman"/>
      <w:sz w:val="16"/>
      <w:lang w:eastAsia="zh-CN"/>
    </w:rPr>
  </w:style>
  <w:style w:type="character" w:customStyle="1" w:styleId="OpombaPodCrtoChar">
    <w:name w:val="OpombaPodCrto Char"/>
    <w:link w:val="OpombaPodCrto"/>
    <w:locked/>
    <w:rsid w:val="00E97B25"/>
    <w:rPr>
      <w:rFonts w:ascii="Calibri" w:eastAsia="SimSun" w:hAnsi="Calibri" w:cs="Times New Roman"/>
      <w:sz w:val="16"/>
      <w:szCs w:val="20"/>
      <w:lang w:eastAsia="zh-CN"/>
    </w:rPr>
  </w:style>
  <w:style w:type="character" w:customStyle="1" w:styleId="CaptionChar2">
    <w:name w:val="Caption Char2"/>
    <w:aliases w:val="CAP TABELA Char1,CapSlika Char1,Napis Znak Char1,Znak Znak Znak Char1,Label/Legend Char1,Char Char1,Znak Znak Char1,Caption Char1 Char1,Caption Char Char1 Char,Napis Znak2 Znak Char1,Napis Znak Znak2 Znak Char1,slika1 Char,Napis Znak1 Char"/>
    <w:basedOn w:val="DefaultParagraphFont"/>
    <w:locked/>
    <w:rsid w:val="00E97B25"/>
    <w:rPr>
      <w:b/>
      <w:bCs/>
      <w:color w:val="4F81BD"/>
      <w:sz w:val="18"/>
      <w:szCs w:val="18"/>
      <w:lang w:val="en-US" w:eastAsia="en-US"/>
    </w:rPr>
  </w:style>
  <w:style w:type="paragraph" w:customStyle="1" w:styleId="besedilo">
    <w:name w:val="besedilo"/>
    <w:basedOn w:val="Normal"/>
    <w:link w:val="besediloChar"/>
    <w:qFormat/>
    <w:rsid w:val="00E97B25"/>
    <w:pPr>
      <w:spacing w:after="240" w:line="247" w:lineRule="auto"/>
      <w:jc w:val="both"/>
    </w:pPr>
    <w:rPr>
      <w:rFonts w:ascii="Times New Roman" w:eastAsia="Calibri" w:hAnsi="Times New Roman" w:cs="Times New Roman"/>
      <w:noProof/>
      <w:sz w:val="24"/>
      <w:lang w:eastAsia="x-none"/>
    </w:rPr>
  </w:style>
  <w:style w:type="character" w:customStyle="1" w:styleId="besediloChar">
    <w:name w:val="besedilo Char"/>
    <w:link w:val="besedilo"/>
    <w:rsid w:val="00E97B25"/>
    <w:rPr>
      <w:rFonts w:ascii="Times New Roman" w:eastAsia="Calibri" w:hAnsi="Times New Roman" w:cs="Times New Roman"/>
      <w:noProof/>
      <w:sz w:val="24"/>
      <w:lang w:eastAsia="x-none"/>
    </w:rPr>
  </w:style>
  <w:style w:type="character" w:customStyle="1" w:styleId="markedcontent">
    <w:name w:val="markedcontent"/>
    <w:basedOn w:val="DefaultParagraphFont"/>
    <w:rsid w:val="00E97B25"/>
  </w:style>
  <w:style w:type="paragraph" w:customStyle="1" w:styleId="QABody">
    <w:name w:val="QABody"/>
    <w:rsid w:val="00E97B25"/>
    <w:pPr>
      <w:spacing w:after="200" w:line="276" w:lineRule="auto"/>
      <w:ind w:left="300"/>
    </w:pPr>
    <w:rPr>
      <w:rFonts w:ascii="Calibri" w:eastAsiaTheme="minorEastAsia"/>
      <w:color w:val="000000"/>
      <w:szCs w:val="24"/>
      <w:lang w:eastAsia="sl-SI"/>
    </w:rPr>
  </w:style>
  <w:style w:type="paragraph" w:customStyle="1" w:styleId="CustomHeading2">
    <w:name w:val="Custom Heading 2"/>
    <w:uiPriority w:val="2"/>
    <w:rsid w:val="00E97B25"/>
    <w:pPr>
      <w:spacing w:after="200" w:line="276" w:lineRule="auto"/>
      <w:ind w:left="200"/>
      <w:outlineLvl w:val="2"/>
    </w:pPr>
    <w:rPr>
      <w:rFonts w:ascii="Calibri" w:eastAsiaTheme="minorEastAsia"/>
      <w:color w:val="4288BC"/>
      <w:sz w:val="28"/>
      <w:szCs w:val="24"/>
      <w:lang w:eastAsia="sl-SI"/>
    </w:rPr>
  </w:style>
  <w:style w:type="character" w:customStyle="1" w:styleId="highlight">
    <w:name w:val="highlight"/>
    <w:basedOn w:val="DefaultParagraphFont"/>
    <w:rsid w:val="00E97B25"/>
  </w:style>
  <w:style w:type="character" w:customStyle="1" w:styleId="ListParagraphChar">
    <w:name w:val="List Paragraph Char"/>
    <w:aliases w:val="Odstavec1 Char,List Paragraph1 Char,List Paragraph (numbered (a)) Char,WB Para Char,Akapit z listą BS Char,Foot note Char,Bullet Points Char,Liste Paragraf Char,Table of contents numbered Char,lp1 Char,List 100s Char,Bullets Char"/>
    <w:link w:val="ListParagraph"/>
    <w:uiPriority w:val="34"/>
    <w:qFormat/>
    <w:locked/>
    <w:rsid w:val="00E97B25"/>
  </w:style>
  <w:style w:type="paragraph" w:styleId="Revision">
    <w:name w:val="Revision"/>
    <w:hidden/>
    <w:uiPriority w:val="99"/>
    <w:semiHidden/>
    <w:rsid w:val="00E97B25"/>
    <w:pPr>
      <w:spacing w:after="0" w:line="240" w:lineRule="auto"/>
    </w:pPr>
    <w:rPr>
      <w:rFonts w:ascii="Palatino Linotype" w:eastAsia="Times New Roman" w:hAnsi="Palatino Linotype" w:cs="Times New Roman"/>
      <w:szCs w:val="20"/>
      <w:lang w:val="en-GB" w:eastAsia="sl-SI"/>
    </w:rPr>
  </w:style>
  <w:style w:type="character" w:customStyle="1" w:styleId="y2iqfc">
    <w:name w:val="y2iqfc"/>
    <w:basedOn w:val="DefaultParagraphFont"/>
    <w:rsid w:val="00E97B25"/>
  </w:style>
  <w:style w:type="character" w:customStyle="1" w:styleId="hps">
    <w:name w:val="hps"/>
    <w:rsid w:val="00E97B25"/>
  </w:style>
  <w:style w:type="character" w:styleId="BookTitle">
    <w:name w:val="Book Title"/>
    <w:basedOn w:val="DefaultParagraphFont"/>
    <w:uiPriority w:val="33"/>
    <w:qFormat/>
    <w:rsid w:val="00E97B25"/>
    <w:rPr>
      <w:b/>
      <w:bCs/>
      <w:i/>
      <w:iCs/>
      <w:spacing w:val="5"/>
    </w:rPr>
  </w:style>
  <w:style w:type="paragraph" w:customStyle="1" w:styleId="TEKSTNavajanjeVirov">
    <w:name w:val="TEKST_NavajanjeVirov"/>
    <w:basedOn w:val="besedilo"/>
    <w:next w:val="besedilo"/>
    <w:qFormat/>
    <w:rsid w:val="00E97B25"/>
    <w:pPr>
      <w:jc w:val="left"/>
    </w:pPr>
    <w:rPr>
      <w:rFonts w:ascii="Palatino Linotype" w:hAnsi="Palatino Linotype"/>
      <w:sz w:val="22"/>
    </w:rPr>
  </w:style>
  <w:style w:type="paragraph" w:customStyle="1" w:styleId="TEKSTDesnoAvtorji">
    <w:name w:val="TEKST_Desno_Avtorji"/>
    <w:basedOn w:val="BodyText"/>
    <w:qFormat/>
    <w:rsid w:val="00E97B25"/>
    <w:pPr>
      <w:tabs>
        <w:tab w:val="left" w:pos="4536"/>
      </w:tabs>
      <w:ind w:left="4536" w:hanging="4536"/>
      <w:jc w:val="left"/>
    </w:pPr>
  </w:style>
  <w:style w:type="paragraph" w:customStyle="1" w:styleId="TEKSTBrezPresledkov">
    <w:name w:val="TEKST_BrezPresledkov"/>
    <w:basedOn w:val="BodyText"/>
    <w:next w:val="BodyText"/>
    <w:qFormat/>
    <w:rsid w:val="00E97B25"/>
    <w:pPr>
      <w:contextualSpacing/>
    </w:pPr>
  </w:style>
  <w:style w:type="paragraph" w:customStyle="1" w:styleId="paragraph">
    <w:name w:val="paragraph"/>
    <w:basedOn w:val="Normal"/>
    <w:rsid w:val="00E97B2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basedOn w:val="DefaultParagraphFont"/>
    <w:rsid w:val="00E97B25"/>
  </w:style>
  <w:style w:type="character" w:customStyle="1" w:styleId="UnresolvedMention1">
    <w:name w:val="Unresolved Mention1"/>
    <w:basedOn w:val="DefaultParagraphFont"/>
    <w:uiPriority w:val="99"/>
    <w:semiHidden/>
    <w:unhideWhenUsed/>
    <w:rsid w:val="00E97B25"/>
    <w:rPr>
      <w:color w:val="605E5C"/>
      <w:shd w:val="clear" w:color="auto" w:fill="E1DFDD"/>
    </w:rPr>
  </w:style>
  <w:style w:type="character" w:styleId="FollowedHyperlink">
    <w:name w:val="FollowedHyperlink"/>
    <w:basedOn w:val="DefaultParagraphFont"/>
    <w:uiPriority w:val="99"/>
    <w:semiHidden/>
    <w:unhideWhenUsed/>
    <w:rsid w:val="00E97B25"/>
    <w:rPr>
      <w:color w:val="96607D" w:themeColor="followedHyperlink"/>
      <w:u w:val="single"/>
    </w:rPr>
  </w:style>
  <w:style w:type="paragraph" w:customStyle="1" w:styleId="Ukrep">
    <w:name w:val="Ukrep"/>
    <w:basedOn w:val="Normal"/>
    <w:link w:val="UkrepChar"/>
    <w:rsid w:val="00E97B25"/>
    <w:pPr>
      <w:keepNext/>
      <w:tabs>
        <w:tab w:val="num" w:pos="851"/>
        <w:tab w:val="left" w:pos="993"/>
      </w:tabs>
      <w:spacing w:before="240" w:after="120" w:line="300" w:lineRule="atLeast"/>
      <w:ind w:left="993" w:hanging="993"/>
    </w:pPr>
    <w:rPr>
      <w:rFonts w:ascii="Times New Roman" w:eastAsia="Times New Roman" w:hAnsi="Times New Roman" w:cs="Times New Roman"/>
      <w:b/>
      <w:smallCaps/>
      <w:sz w:val="24"/>
      <w:szCs w:val="24"/>
      <w:lang w:val="en-GB" w:eastAsia="sl-SI"/>
    </w:rPr>
  </w:style>
  <w:style w:type="paragraph" w:customStyle="1" w:styleId="Podukrep">
    <w:name w:val="Podukrep"/>
    <w:basedOn w:val="NaslovVTekstu"/>
    <w:link w:val="PodukrepChar"/>
    <w:rsid w:val="00E97B25"/>
    <w:pPr>
      <w:spacing w:line="240" w:lineRule="auto"/>
      <w:ind w:left="993"/>
    </w:pPr>
    <w:rPr>
      <w:b w:val="0"/>
      <w:bCs/>
    </w:rPr>
  </w:style>
  <w:style w:type="character" w:customStyle="1" w:styleId="UkrepChar">
    <w:name w:val="Ukrep Char"/>
    <w:basedOn w:val="DefaultParagraphFont"/>
    <w:link w:val="Ukrep"/>
    <w:rsid w:val="00E97B25"/>
    <w:rPr>
      <w:rFonts w:ascii="Times New Roman" w:eastAsia="Times New Roman" w:hAnsi="Times New Roman" w:cs="Times New Roman"/>
      <w:b/>
      <w:smallCaps/>
      <w:sz w:val="24"/>
      <w:szCs w:val="24"/>
      <w:lang w:val="en-GB" w:eastAsia="sl-SI"/>
    </w:rPr>
  </w:style>
  <w:style w:type="character" w:customStyle="1" w:styleId="PodukrepChar">
    <w:name w:val="Podukrep Char"/>
    <w:basedOn w:val="NaslovVTekstuChar"/>
    <w:link w:val="Podukrep"/>
    <w:rsid w:val="00E97B25"/>
    <w:rPr>
      <w:rFonts w:ascii="Palatino Linotype" w:eastAsia="Times New Roman" w:hAnsi="Palatino Linotype" w:cs="Times New Roman"/>
      <w:b w:val="0"/>
      <w:bCs/>
      <w:smallCaps/>
      <w:szCs w:val="24"/>
      <w:lang w:val="en-GB" w:eastAsia="sl-SI"/>
    </w:rPr>
  </w:style>
  <w:style w:type="paragraph" w:customStyle="1" w:styleId="1Ukrep">
    <w:name w:val="1Ukrep"/>
    <w:basedOn w:val="Normal"/>
    <w:next w:val="Normal"/>
    <w:link w:val="1UkrepChar"/>
    <w:qFormat/>
    <w:rsid w:val="00E97B25"/>
    <w:pPr>
      <w:keepNext/>
      <w:tabs>
        <w:tab w:val="num" w:pos="851"/>
      </w:tabs>
      <w:spacing w:before="240" w:after="120" w:line="300" w:lineRule="atLeast"/>
      <w:ind w:left="851" w:hanging="851"/>
    </w:pPr>
    <w:rPr>
      <w:rFonts w:ascii="Times New Roman" w:eastAsia="Times New Roman" w:hAnsi="Times New Roman" w:cs="Times New Roman"/>
      <w:b/>
      <w:smallCaps/>
      <w:sz w:val="24"/>
      <w:szCs w:val="24"/>
      <w:lang w:val="en-GB" w:eastAsia="sl-SI"/>
    </w:rPr>
  </w:style>
  <w:style w:type="paragraph" w:customStyle="1" w:styleId="2Ukrep">
    <w:name w:val="2Ukrep"/>
    <w:basedOn w:val="Podukrep"/>
    <w:next w:val="Normal"/>
    <w:link w:val="2UkrepChar"/>
    <w:qFormat/>
    <w:rsid w:val="00E97B25"/>
    <w:pPr>
      <w:spacing w:line="247" w:lineRule="auto"/>
      <w:ind w:left="0"/>
    </w:pPr>
    <w:rPr>
      <w:b/>
    </w:rPr>
  </w:style>
  <w:style w:type="character" w:customStyle="1" w:styleId="1UkrepChar">
    <w:name w:val="1Ukrep Char"/>
    <w:basedOn w:val="DefaultParagraphFont"/>
    <w:link w:val="1Ukrep"/>
    <w:rsid w:val="00E97B25"/>
    <w:rPr>
      <w:rFonts w:ascii="Times New Roman" w:eastAsia="Times New Roman" w:hAnsi="Times New Roman" w:cs="Times New Roman"/>
      <w:b/>
      <w:smallCaps/>
      <w:sz w:val="24"/>
      <w:szCs w:val="24"/>
      <w:lang w:val="en-GB" w:eastAsia="sl-SI"/>
    </w:rPr>
  </w:style>
  <w:style w:type="character" w:customStyle="1" w:styleId="2UkrepChar">
    <w:name w:val="2Ukrep Char"/>
    <w:basedOn w:val="PodukrepChar"/>
    <w:link w:val="2Ukrep"/>
    <w:rsid w:val="00E97B25"/>
    <w:rPr>
      <w:rFonts w:ascii="Palatino Linotype" w:eastAsia="Times New Roman" w:hAnsi="Palatino Linotype" w:cs="Times New Roman"/>
      <w:b/>
      <w:bCs/>
      <w:smallCaps/>
      <w:szCs w:val="24"/>
      <w:lang w:val="en-GB" w:eastAsia="sl-SI"/>
    </w:rPr>
  </w:style>
  <w:style w:type="table" w:customStyle="1" w:styleId="CPath">
    <w:name w:val="CPath"/>
    <w:basedOn w:val="TableNormal"/>
    <w:uiPriority w:val="99"/>
    <w:rsid w:val="00E97B25"/>
    <w:pPr>
      <w:spacing w:after="0" w:line="240" w:lineRule="auto"/>
    </w:pPr>
    <w:rPr>
      <w:rFonts w:ascii="Arial" w:eastAsiaTheme="minorEastAsia" w:hAnsi="Arial"/>
      <w:sz w:val="18"/>
    </w:rPr>
    <w:tblPr>
      <w:tblBorders>
        <w:top w:val="single" w:sz="4" w:space="0" w:color="40C8F4"/>
        <w:left w:val="single" w:sz="4" w:space="0" w:color="40C8F4"/>
        <w:bottom w:val="single" w:sz="4" w:space="0" w:color="40C8F4"/>
        <w:right w:val="single" w:sz="4" w:space="0" w:color="40C8F4"/>
        <w:insideH w:val="single" w:sz="4" w:space="0" w:color="40C8F4"/>
        <w:insideV w:val="single" w:sz="4" w:space="0" w:color="40C8F4"/>
      </w:tblBorders>
    </w:tblPr>
    <w:tblStylePr w:type="firstRow">
      <w:pPr>
        <w:jc w:val="center"/>
      </w:pPr>
      <w:rPr>
        <w:color w:val="FFFFFF" w:themeColor="background1"/>
      </w:rPr>
      <w:tblPr/>
      <w:tcPr>
        <w:shd w:val="clear" w:color="auto" w:fill="40C8F4"/>
      </w:tcPr>
    </w:tblStylePr>
  </w:style>
  <w:style w:type="character" w:customStyle="1" w:styleId="TabelaChar">
    <w:name w:val="Tabela Char"/>
    <w:basedOn w:val="NapisZnak1"/>
    <w:link w:val="Tabela0"/>
    <w:rsid w:val="00E97B25"/>
    <w:rPr>
      <w:rFonts w:ascii="Times New Roman" w:eastAsia="Times New Roman" w:hAnsi="Times New Roman" w:cs="Times New Roman"/>
      <w:b/>
      <w:bCs/>
      <w:i w:val="0"/>
      <w:iCs w:val="0"/>
      <w:color w:val="0E2841" w:themeColor="text2"/>
      <w:spacing w:val="-4"/>
      <w:sz w:val="20"/>
      <w:szCs w:val="20"/>
      <w:lang w:val="en-GB" w:eastAsia="sl-SI"/>
    </w:rPr>
  </w:style>
  <w:style w:type="paragraph" w:customStyle="1" w:styleId="TEKSTTabela">
    <w:name w:val="TEKST_Tabela"/>
    <w:basedOn w:val="Normal"/>
    <w:rsid w:val="00E97B25"/>
    <w:pPr>
      <w:spacing w:after="0" w:line="247" w:lineRule="auto"/>
    </w:pPr>
    <w:rPr>
      <w:rFonts w:ascii="Tahoma" w:eastAsia="Times New Roman" w:hAnsi="Tahoma" w:cs="Times New Roman"/>
      <w:sz w:val="20"/>
      <w:szCs w:val="24"/>
    </w:rPr>
  </w:style>
  <w:style w:type="paragraph" w:customStyle="1" w:styleId="TEKST-Tabela">
    <w:name w:val="TEKST-Tabela"/>
    <w:basedOn w:val="Normal"/>
    <w:qFormat/>
    <w:rsid w:val="00E97B25"/>
    <w:pPr>
      <w:keepNext/>
      <w:keepLines/>
      <w:spacing w:after="0" w:line="252" w:lineRule="auto"/>
    </w:pPr>
    <w:rPr>
      <w:rFonts w:ascii="Tahoma" w:hAnsi="Tahoma"/>
    </w:rPr>
  </w:style>
  <w:style w:type="paragraph" w:customStyle="1" w:styleId="TEKSTseznamKoncentriran">
    <w:name w:val="TEKST_seznamKoncentriran"/>
    <w:basedOn w:val="Normal"/>
    <w:link w:val="TEKSTseznamKoncentriranChar"/>
    <w:rsid w:val="00E97B25"/>
    <w:pPr>
      <w:numPr>
        <w:numId w:val="6"/>
      </w:numPr>
      <w:tabs>
        <w:tab w:val="left" w:pos="357"/>
      </w:tabs>
      <w:spacing w:before="60" w:after="120" w:line="247" w:lineRule="auto"/>
      <w:contextualSpacing/>
    </w:pPr>
    <w:rPr>
      <w:rFonts w:ascii="Palatino Linotype" w:eastAsia="Times New Roman" w:hAnsi="Palatino Linotype" w:cs="Times New Roman"/>
      <w:szCs w:val="24"/>
    </w:rPr>
  </w:style>
  <w:style w:type="character" w:customStyle="1" w:styleId="TEKSTseznamKoncentriranChar">
    <w:name w:val="TEKST_seznamKoncentriran Char"/>
    <w:basedOn w:val="DefaultParagraphFont"/>
    <w:link w:val="TEKSTseznamKoncentriran"/>
    <w:locked/>
    <w:rsid w:val="00E97B25"/>
    <w:rPr>
      <w:rFonts w:ascii="Palatino Linotype" w:eastAsia="Times New Roman" w:hAnsi="Palatino Linotype" w:cs="Times New Roman"/>
      <w:szCs w:val="24"/>
    </w:rPr>
  </w:style>
  <w:style w:type="table" w:customStyle="1" w:styleId="LightList-Accent11">
    <w:name w:val="Light List - Accent 11"/>
    <w:uiPriority w:val="61"/>
    <w:rsid w:val="00E97B25"/>
    <w:pPr>
      <w:spacing w:after="0" w:line="240" w:lineRule="auto"/>
    </w:pPr>
    <w:rPr>
      <w:rFonts w:ascii="Calibri" w:eastAsia="SimSun" w:hAnsi="Calibri" w:cs="Times New Roman"/>
      <w:sz w:val="20"/>
      <w:szCs w:val="20"/>
      <w:lang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SubtleEmphasis">
    <w:name w:val="Subtle Emphasis"/>
    <w:basedOn w:val="DefaultParagraphFont"/>
    <w:uiPriority w:val="19"/>
    <w:qFormat/>
    <w:rsid w:val="00E97B25"/>
    <w:rPr>
      <w:rFonts w:cs="Times New Roman"/>
      <w:i/>
      <w:iCs/>
      <w:color w:val="808080"/>
    </w:rPr>
  </w:style>
  <w:style w:type="paragraph" w:styleId="TOC5">
    <w:name w:val="toc 5"/>
    <w:basedOn w:val="Normal"/>
    <w:next w:val="Normal"/>
    <w:autoRedefine/>
    <w:uiPriority w:val="39"/>
    <w:rsid w:val="00E97B25"/>
    <w:pPr>
      <w:spacing w:after="0" w:line="240" w:lineRule="auto"/>
      <w:ind w:left="880"/>
    </w:pPr>
    <w:rPr>
      <w:rFonts w:eastAsia="Times New Roman" w:cstheme="minorHAnsi"/>
      <w:sz w:val="18"/>
      <w:szCs w:val="18"/>
    </w:rPr>
  </w:style>
  <w:style w:type="paragraph" w:styleId="TOC6">
    <w:name w:val="toc 6"/>
    <w:basedOn w:val="Normal"/>
    <w:next w:val="Normal"/>
    <w:autoRedefine/>
    <w:uiPriority w:val="39"/>
    <w:rsid w:val="00E97B25"/>
    <w:pPr>
      <w:spacing w:after="0" w:line="240" w:lineRule="auto"/>
      <w:ind w:left="1100"/>
    </w:pPr>
    <w:rPr>
      <w:rFonts w:eastAsia="Times New Roman" w:cstheme="minorHAnsi"/>
      <w:sz w:val="18"/>
      <w:szCs w:val="18"/>
    </w:rPr>
  </w:style>
  <w:style w:type="paragraph" w:styleId="TOC7">
    <w:name w:val="toc 7"/>
    <w:basedOn w:val="Normal"/>
    <w:next w:val="Normal"/>
    <w:autoRedefine/>
    <w:uiPriority w:val="39"/>
    <w:rsid w:val="00E97B25"/>
    <w:pPr>
      <w:spacing w:after="0" w:line="240" w:lineRule="auto"/>
      <w:ind w:left="1320"/>
    </w:pPr>
    <w:rPr>
      <w:rFonts w:eastAsia="Times New Roman" w:cstheme="minorHAnsi"/>
      <w:sz w:val="18"/>
      <w:szCs w:val="18"/>
    </w:rPr>
  </w:style>
  <w:style w:type="paragraph" w:styleId="TOC8">
    <w:name w:val="toc 8"/>
    <w:basedOn w:val="Normal"/>
    <w:next w:val="Normal"/>
    <w:autoRedefine/>
    <w:uiPriority w:val="39"/>
    <w:rsid w:val="00E97B25"/>
    <w:pPr>
      <w:spacing w:after="0" w:line="240" w:lineRule="auto"/>
      <w:ind w:left="1540"/>
    </w:pPr>
    <w:rPr>
      <w:rFonts w:eastAsia="Times New Roman" w:cstheme="minorHAnsi"/>
      <w:sz w:val="18"/>
      <w:szCs w:val="18"/>
    </w:rPr>
  </w:style>
  <w:style w:type="paragraph" w:styleId="TOC9">
    <w:name w:val="toc 9"/>
    <w:basedOn w:val="Normal"/>
    <w:next w:val="Normal"/>
    <w:autoRedefine/>
    <w:uiPriority w:val="39"/>
    <w:rsid w:val="00E97B25"/>
    <w:pPr>
      <w:spacing w:after="0" w:line="240" w:lineRule="auto"/>
      <w:ind w:left="1760"/>
    </w:pPr>
    <w:rPr>
      <w:rFonts w:eastAsia="Times New Roman" w:cstheme="minorHAnsi"/>
      <w:sz w:val="18"/>
      <w:szCs w:val="18"/>
    </w:rPr>
  </w:style>
  <w:style w:type="paragraph" w:styleId="BodyText2">
    <w:name w:val="Body Text 2"/>
    <w:basedOn w:val="Normal"/>
    <w:link w:val="BodyText2Char"/>
    <w:uiPriority w:val="99"/>
    <w:semiHidden/>
    <w:rsid w:val="00E97B25"/>
    <w:pPr>
      <w:spacing w:after="120" w:line="480" w:lineRule="auto"/>
    </w:pPr>
    <w:rPr>
      <w:rFonts w:ascii="Palatino Linotype" w:eastAsia="Times New Roman" w:hAnsi="Palatino Linotype" w:cs="Times New Roman"/>
      <w:szCs w:val="24"/>
    </w:rPr>
  </w:style>
  <w:style w:type="character" w:customStyle="1" w:styleId="BodyText2Char">
    <w:name w:val="Body Text 2 Char"/>
    <w:basedOn w:val="DefaultParagraphFont"/>
    <w:link w:val="BodyText2"/>
    <w:uiPriority w:val="99"/>
    <w:semiHidden/>
    <w:rsid w:val="00E97B25"/>
    <w:rPr>
      <w:rFonts w:ascii="Palatino Linotype" w:eastAsia="Times New Roman" w:hAnsi="Palatino Linotype" w:cs="Times New Roman"/>
      <w:szCs w:val="24"/>
    </w:rPr>
  </w:style>
  <w:style w:type="paragraph" w:customStyle="1" w:styleId="PrvaStran-CEU">
    <w:name w:val="PrvaStran-CEU"/>
    <w:basedOn w:val="Normal"/>
    <w:rsid w:val="00E97B25"/>
    <w:pPr>
      <w:spacing w:after="0" w:line="240" w:lineRule="auto"/>
      <w:ind w:left="4961" w:right="40" w:hanging="4961"/>
    </w:pPr>
    <w:rPr>
      <w:rFonts w:ascii="Tahoma" w:eastAsia="Times New Roman" w:hAnsi="Tahoma" w:cs="Tahoma"/>
      <w:b/>
      <w:i/>
      <w:sz w:val="26"/>
      <w:szCs w:val="26"/>
    </w:rPr>
  </w:style>
  <w:style w:type="paragraph" w:customStyle="1" w:styleId="PrvaStran-IJS">
    <w:name w:val="PrvaStran-IJS"/>
    <w:basedOn w:val="Normal"/>
    <w:rsid w:val="00E97B25"/>
    <w:pPr>
      <w:spacing w:after="120" w:line="240" w:lineRule="auto"/>
    </w:pPr>
    <w:rPr>
      <w:rFonts w:ascii="Tahoma" w:eastAsia="Times New Roman" w:hAnsi="Tahoma" w:cs="Tahoma"/>
      <w:b/>
      <w:sz w:val="26"/>
      <w:szCs w:val="26"/>
    </w:rPr>
  </w:style>
  <w:style w:type="paragraph" w:customStyle="1" w:styleId="PrvaStran-naslov">
    <w:name w:val="PrvaStran-naslov"/>
    <w:basedOn w:val="Normal"/>
    <w:rsid w:val="00E97B25"/>
    <w:pPr>
      <w:spacing w:after="0" w:line="240" w:lineRule="auto"/>
    </w:pPr>
    <w:rPr>
      <w:rFonts w:ascii="Tahoma" w:eastAsia="Times New Roman" w:hAnsi="Tahoma" w:cs="Tahoma"/>
      <w:b/>
      <w:caps/>
      <w:sz w:val="32"/>
      <w:szCs w:val="32"/>
      <w:lang w:val="en-US"/>
    </w:rPr>
  </w:style>
  <w:style w:type="table" w:customStyle="1" w:styleId="TabelaTEKSTtabela">
    <w:name w:val="TabelaTEKST_tabela"/>
    <w:basedOn w:val="TableNormal"/>
    <w:uiPriority w:val="99"/>
    <w:rsid w:val="00E97B25"/>
    <w:pPr>
      <w:spacing w:after="0" w:line="240" w:lineRule="auto"/>
      <w:jc w:val="right"/>
    </w:pPr>
    <w:rPr>
      <w:rFonts w:ascii="Tahoma" w:hAnsi="Tahom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TEKSTDrugaStran-CEU">
    <w:name w:val="TEKST_DrugaStran-CEU"/>
    <w:basedOn w:val="Normal"/>
    <w:rsid w:val="00E97B25"/>
    <w:pPr>
      <w:spacing w:after="0" w:line="440" w:lineRule="exact"/>
    </w:pPr>
    <w:rPr>
      <w:rFonts w:cs="Tahoma"/>
      <w:b/>
      <w:sz w:val="28"/>
      <w:szCs w:val="28"/>
    </w:rPr>
  </w:style>
  <w:style w:type="paragraph" w:customStyle="1" w:styleId="TEKSTDrugaStranEEC">
    <w:name w:val="TEKST_DrugaStran_EEC"/>
    <w:basedOn w:val="TEKSTDrugaStran-CEU"/>
    <w:next w:val="Normal"/>
    <w:rsid w:val="00E97B25"/>
    <w:rPr>
      <w:i/>
    </w:rPr>
  </w:style>
  <w:style w:type="paragraph" w:customStyle="1" w:styleId="TEKSTDrugaStranZamik">
    <w:name w:val="TEKST_DrugaStran_Zamik"/>
    <w:basedOn w:val="Normal"/>
    <w:rsid w:val="00E97B25"/>
    <w:pPr>
      <w:spacing w:after="240" w:line="20" w:lineRule="atLeast"/>
      <w:ind w:left="4820"/>
      <w:contextualSpacing/>
    </w:pPr>
    <w:rPr>
      <w:rFonts w:ascii="Palatino Linotype" w:eastAsia="Times New Roman" w:hAnsi="Palatino Linotype" w:cs="Tahoma"/>
      <w:szCs w:val="24"/>
    </w:rPr>
  </w:style>
  <w:style w:type="paragraph" w:styleId="EndnoteText">
    <w:name w:val="endnote text"/>
    <w:basedOn w:val="Normal"/>
    <w:link w:val="EndnoteTextChar"/>
    <w:uiPriority w:val="99"/>
    <w:semiHidden/>
    <w:rsid w:val="00E97B25"/>
    <w:pPr>
      <w:spacing w:after="0" w:line="240" w:lineRule="auto"/>
    </w:pPr>
    <w:rPr>
      <w:rFonts w:ascii="Palatino Linotype" w:eastAsia="Times New Roman" w:hAnsi="Palatino Linotype" w:cs="Times New Roman"/>
      <w:sz w:val="20"/>
      <w:szCs w:val="20"/>
    </w:rPr>
  </w:style>
  <w:style w:type="character" w:customStyle="1" w:styleId="EndnoteTextChar">
    <w:name w:val="Endnote Text Char"/>
    <w:basedOn w:val="DefaultParagraphFont"/>
    <w:link w:val="EndnoteText"/>
    <w:uiPriority w:val="99"/>
    <w:semiHidden/>
    <w:rsid w:val="00E97B25"/>
    <w:rPr>
      <w:rFonts w:ascii="Palatino Linotype" w:eastAsia="Times New Roman" w:hAnsi="Palatino Linotype" w:cs="Times New Roman"/>
      <w:sz w:val="20"/>
      <w:szCs w:val="20"/>
    </w:rPr>
  </w:style>
  <w:style w:type="character" w:styleId="EndnoteReference">
    <w:name w:val="endnote reference"/>
    <w:basedOn w:val="DefaultParagraphFont"/>
    <w:uiPriority w:val="99"/>
    <w:semiHidden/>
    <w:rsid w:val="00E97B25"/>
    <w:rPr>
      <w:rFonts w:cs="Times New Roman"/>
      <w:vertAlign w:val="superscript"/>
    </w:rPr>
  </w:style>
  <w:style w:type="table" w:styleId="MediumList1-Accent5">
    <w:name w:val="Medium List 1 Accent 5"/>
    <w:basedOn w:val="TableNormal"/>
    <w:uiPriority w:val="65"/>
    <w:rsid w:val="00E97B25"/>
    <w:pPr>
      <w:spacing w:after="0" w:line="240" w:lineRule="auto"/>
    </w:pPr>
    <w:rPr>
      <w:rFonts w:ascii="Calibri" w:eastAsia="SimSun" w:hAnsi="Calibri" w:cs="Times New Roman"/>
      <w:color w:val="000000"/>
      <w:sz w:val="20"/>
      <w:szCs w:val="20"/>
      <w:lang w:eastAsia="zh-CN"/>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rFonts w:cs="Times New Roman"/>
        <w:b/>
        <w:bCs/>
        <w:color w:val="1F497D"/>
      </w:rPr>
      <w:tblPr/>
      <w:tcPr>
        <w:tcBorders>
          <w:top w:val="single" w:sz="8" w:space="0" w:color="4BACC6"/>
          <w:bottom w:val="single" w:sz="8" w:space="0" w:color="4BACC6"/>
        </w:tcBorders>
      </w:tcPr>
    </w:tblStylePr>
    <w:tblStylePr w:type="firstCol">
      <w:rPr>
        <w:rFonts w:cs="Times New Roman"/>
        <w:b/>
        <w:bCs/>
      </w:rPr>
    </w:tblStylePr>
    <w:tblStylePr w:type="lastCol">
      <w:rPr>
        <w:rFonts w:cs="Times New Roman"/>
        <w:b/>
        <w:bCs/>
      </w:rPr>
      <w:tblPr/>
      <w:tcPr>
        <w:tcBorders>
          <w:top w:val="single" w:sz="8" w:space="0" w:color="4BACC6"/>
          <w:bottom w:val="single" w:sz="8" w:space="0" w:color="4BACC6"/>
        </w:tcBorders>
      </w:tcPr>
    </w:tblStylePr>
    <w:tblStylePr w:type="band1Vert">
      <w:rPr>
        <w:rFonts w:cs="Times New Roman"/>
      </w:rPr>
      <w:tblPr/>
      <w:tcPr>
        <w:shd w:val="clear" w:color="auto" w:fill="D2EAF1"/>
      </w:tcPr>
    </w:tblStylePr>
    <w:tblStylePr w:type="band1Horz">
      <w:rPr>
        <w:rFonts w:cs="Times New Roman"/>
      </w:rPr>
      <w:tblPr/>
      <w:tcPr>
        <w:shd w:val="clear" w:color="auto" w:fill="D2EAF1"/>
      </w:tcPr>
    </w:tblStylePr>
  </w:style>
  <w:style w:type="table" w:styleId="MediumGrid3-Accent5">
    <w:name w:val="Medium Grid 3 Accent 5"/>
    <w:basedOn w:val="TableNormal"/>
    <w:uiPriority w:val="69"/>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1">
    <w:name w:val="Medium Grid 3 Accent 1"/>
    <w:basedOn w:val="TableNormal"/>
    <w:uiPriority w:val="69"/>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5">
    <w:name w:val="Light List Accent 5"/>
    <w:basedOn w:val="TableNormal"/>
    <w:uiPriority w:val="61"/>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Times New Roman"/>
        <w:b/>
        <w:bCs/>
        <w:color w:val="FFFFFF"/>
      </w:rPr>
      <w:tblPr/>
      <w:tcPr>
        <w:shd w:val="clear" w:color="auto" w:fill="4BACC6"/>
      </w:tcPr>
    </w:tblStylePr>
    <w:tblStylePr w:type="lastRow">
      <w:pPr>
        <w:spacing w:before="0" w:after="0"/>
      </w:pPr>
      <w:rPr>
        <w:rFonts w:cs="Times New Roman"/>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111">
    <w:name w:val="Light List - Accent 111"/>
    <w:uiPriority w:val="61"/>
    <w:rsid w:val="00E97B25"/>
    <w:pPr>
      <w:spacing w:after="0" w:line="240" w:lineRule="auto"/>
    </w:pPr>
    <w:rPr>
      <w:rFonts w:ascii="Calibri" w:eastAsia="SimSun" w:hAnsi="Calibri" w:cs="Times New Roman"/>
      <w:sz w:val="20"/>
      <w:szCs w:val="20"/>
      <w:lang w:eastAsia="zh-CN"/>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character" w:styleId="SubtleReference">
    <w:name w:val="Subtle Reference"/>
    <w:basedOn w:val="DefaultParagraphFont"/>
    <w:uiPriority w:val="31"/>
    <w:qFormat/>
    <w:rsid w:val="00E97B25"/>
    <w:rPr>
      <w:rFonts w:cs="Times New Roman"/>
      <w:smallCaps/>
      <w:color w:val="C0504D"/>
      <w:u w:val="single"/>
    </w:rPr>
  </w:style>
  <w:style w:type="table" w:styleId="MediumGrid3-Accent2">
    <w:name w:val="Medium Grid 3 Accent 2"/>
    <w:basedOn w:val="TableNormal"/>
    <w:uiPriority w:val="69"/>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TableofFigures">
    <w:name w:val="table of figures"/>
    <w:basedOn w:val="Normal"/>
    <w:next w:val="Normal"/>
    <w:uiPriority w:val="99"/>
    <w:rsid w:val="00E97B25"/>
    <w:pPr>
      <w:tabs>
        <w:tab w:val="left" w:pos="913"/>
        <w:tab w:val="right" w:leader="dot" w:pos="9356"/>
      </w:tabs>
      <w:spacing w:after="0" w:line="240" w:lineRule="auto"/>
      <w:ind w:left="913" w:hanging="913"/>
    </w:pPr>
    <w:rPr>
      <w:rFonts w:ascii="Palatino Linotype" w:eastAsia="Times New Roman" w:hAnsi="Palatino Linotype" w:cs="Times New Roman"/>
      <w:sz w:val="20"/>
      <w:szCs w:val="24"/>
    </w:rPr>
  </w:style>
  <w:style w:type="table" w:styleId="MediumGrid3">
    <w:name w:val="Medium Grid 3"/>
    <w:basedOn w:val="TableNormal"/>
    <w:uiPriority w:val="69"/>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LightGrid-Accent1">
    <w:name w:val="Light Grid Accent 1"/>
    <w:basedOn w:val="TableNormal"/>
    <w:uiPriority w:val="62"/>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rPr>
        <w:rFonts w:cs="Times New Roman"/>
      </w:rPr>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EKSTIJSDrugaStran">
    <w:name w:val="TEKST_IJS_DrugaStran"/>
    <w:basedOn w:val="Normal"/>
    <w:rsid w:val="00E97B25"/>
    <w:pPr>
      <w:spacing w:after="0" w:line="440" w:lineRule="exact"/>
    </w:pPr>
    <w:rPr>
      <w:rFonts w:ascii="Palatino Linotype" w:eastAsia="Times New Roman" w:hAnsi="Palatino Linotype" w:cs="Tahoma"/>
      <w:b/>
      <w:sz w:val="32"/>
      <w:szCs w:val="32"/>
    </w:rPr>
  </w:style>
  <w:style w:type="table" w:styleId="LightList-Accent1">
    <w:name w:val="Light List Accent 1"/>
    <w:basedOn w:val="TableNormal"/>
    <w:uiPriority w:val="61"/>
    <w:rsid w:val="00E97B25"/>
    <w:pPr>
      <w:spacing w:after="0" w:line="240" w:lineRule="auto"/>
    </w:pPr>
    <w:rPr>
      <w:rFonts w:ascii="Calibri" w:eastAsia="SimSun" w:hAnsi="Calibri" w:cs="Times New Roman"/>
      <w:sz w:val="20"/>
      <w:szCs w:val="20"/>
      <w:lang w:eastAsia="zh-C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EKSTOpomba">
    <w:name w:val="TEKST_Opomba"/>
    <w:basedOn w:val="Normal"/>
    <w:next w:val="BodyText"/>
    <w:qFormat/>
    <w:rsid w:val="00E97B25"/>
    <w:pPr>
      <w:spacing w:after="120" w:line="240" w:lineRule="auto"/>
    </w:pPr>
    <w:rPr>
      <w:rFonts w:ascii="Palatino Linotype" w:eastAsia="Times New Roman" w:hAnsi="Palatino Linotype" w:cs="Times New Roman"/>
      <w:sz w:val="18"/>
      <w:szCs w:val="18"/>
    </w:rPr>
  </w:style>
  <w:style w:type="paragraph" w:customStyle="1" w:styleId="TEKSTPoudarek">
    <w:name w:val="TEKST_Poudarek"/>
    <w:basedOn w:val="BodyText"/>
    <w:next w:val="BodyText"/>
    <w:qFormat/>
    <w:rsid w:val="00E97B25"/>
    <w:pPr>
      <w:pBdr>
        <w:top w:val="single" w:sz="4" w:space="1" w:color="auto"/>
        <w:left w:val="single" w:sz="4" w:space="4" w:color="auto"/>
        <w:bottom w:val="single" w:sz="4" w:space="1" w:color="auto"/>
        <w:right w:val="single" w:sz="4" w:space="4" w:color="auto"/>
      </w:pBdr>
      <w:spacing w:before="120" w:after="240" w:line="247" w:lineRule="auto"/>
      <w:jc w:val="left"/>
    </w:pPr>
    <w:rPr>
      <w:i/>
      <w:szCs w:val="24"/>
      <w:lang w:eastAsia="en-US"/>
    </w:rPr>
  </w:style>
  <w:style w:type="paragraph" w:customStyle="1" w:styleId="TEKSTPrvaStranIJS">
    <w:name w:val="TEKST_PrvaStran_IJS"/>
    <w:basedOn w:val="Normal"/>
    <w:rsid w:val="00E97B25"/>
    <w:pPr>
      <w:spacing w:after="240" w:line="247" w:lineRule="auto"/>
      <w:contextualSpacing/>
    </w:pPr>
    <w:rPr>
      <w:rFonts w:ascii="Verdana" w:hAnsi="Verdana" w:cs="Tahoma"/>
      <w:color w:val="808080"/>
      <w:sz w:val="28"/>
    </w:rPr>
  </w:style>
  <w:style w:type="table" w:styleId="LightShading-Accent1">
    <w:name w:val="Light Shading Accent 1"/>
    <w:basedOn w:val="TableNormal"/>
    <w:uiPriority w:val="60"/>
    <w:rsid w:val="00E97B25"/>
    <w:pPr>
      <w:spacing w:after="0" w:line="240" w:lineRule="auto"/>
    </w:pPr>
    <w:rPr>
      <w:rFonts w:ascii="Calibri" w:eastAsia="SimSun" w:hAnsi="Calibri" w:cs="Times New Roman"/>
      <w:color w:val="0F4761" w:themeColor="accent1" w:themeShade="BF"/>
      <w:lang w:eastAsia="zh-CN"/>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customStyle="1" w:styleId="LightList-Accent1111">
    <w:name w:val="Light List - Accent 1111"/>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2">
    <w:name w:val="Light List - Accent 1112"/>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3">
    <w:name w:val="Light List - Accent 1113"/>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4">
    <w:name w:val="Light List - Accent 1114"/>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5">
    <w:name w:val="Light List - Accent 1115"/>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16">
    <w:name w:val="Light List - Accent 1116"/>
    <w:basedOn w:val="TableNormal"/>
    <w:uiPriority w:val="61"/>
    <w:rsid w:val="00E97B25"/>
    <w:pPr>
      <w:spacing w:after="200" w:line="276" w:lineRule="auto"/>
    </w:pPr>
    <w:rPr>
      <w:rFonts w:eastAsia="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Heading3Char1">
    <w:name w:val="Heading 3 Char1"/>
    <w:aliases w:val="Znak2 Char1"/>
    <w:basedOn w:val="DefaultParagraphFont"/>
    <w:uiPriority w:val="99"/>
    <w:semiHidden/>
    <w:rsid w:val="00E97B25"/>
    <w:rPr>
      <w:rFonts w:asciiTheme="majorHAnsi" w:eastAsiaTheme="majorEastAsia" w:hAnsiTheme="majorHAnsi" w:cstheme="majorBidi"/>
      <w:b/>
      <w:bCs/>
      <w:color w:val="156082" w:themeColor="accent1"/>
      <w:sz w:val="22"/>
      <w:szCs w:val="22"/>
      <w:lang w:val="sl-SI"/>
    </w:rPr>
  </w:style>
  <w:style w:type="character" w:customStyle="1" w:styleId="Heading4Char1">
    <w:name w:val="Heading 4 Char1"/>
    <w:aliases w:val="Znak Char1"/>
    <w:basedOn w:val="DefaultParagraphFont"/>
    <w:uiPriority w:val="99"/>
    <w:semiHidden/>
    <w:rsid w:val="00E97B25"/>
    <w:rPr>
      <w:rFonts w:asciiTheme="majorHAnsi" w:eastAsiaTheme="majorEastAsia" w:hAnsiTheme="majorHAnsi" w:cstheme="majorBidi"/>
      <w:b/>
      <w:bCs/>
      <w:i/>
      <w:iCs/>
      <w:color w:val="156082" w:themeColor="accent1"/>
      <w:sz w:val="22"/>
      <w:szCs w:val="22"/>
      <w:lang w:val="sl-SI"/>
    </w:rPr>
  </w:style>
  <w:style w:type="character" w:customStyle="1" w:styleId="FootnoteTextChar1">
    <w:name w:val="Footnote Text Char1"/>
    <w:aliases w:val="Footnote Char1,Char Char Char1,Sprotna opomba - besedilo Znak1 Char1,Sprotna opomba - besedilo Znak Znak2 Char1,Sprotna opomba - besedilo Znak1 Znak Znak1 Char1,Sprotna opomba - besedilo Znak1 Znak Znak Znak Char1,Footnot Char1"/>
    <w:basedOn w:val="DefaultParagraphFont"/>
    <w:uiPriority w:val="99"/>
    <w:semiHidden/>
    <w:rsid w:val="00E97B25"/>
    <w:rPr>
      <w:rFonts w:ascii="Palatino Linotype" w:eastAsia="Times New Roman" w:hAnsi="Palatino Linotype" w:cs="Palatino Linotype"/>
      <w:sz w:val="20"/>
      <w:szCs w:val="20"/>
      <w:lang w:eastAsia="en-US"/>
    </w:rPr>
  </w:style>
  <w:style w:type="paragraph" w:customStyle="1" w:styleId="TEKSTNormal-debelo">
    <w:name w:val="TEKST_Normal-debelo"/>
    <w:basedOn w:val="Normal"/>
    <w:rsid w:val="00E97B25"/>
    <w:pPr>
      <w:tabs>
        <w:tab w:val="left" w:pos="4820"/>
      </w:tabs>
      <w:spacing w:before="120" w:after="0" w:line="20" w:lineRule="atLeast"/>
      <w:ind w:right="-57"/>
    </w:pPr>
    <w:rPr>
      <w:rFonts w:ascii="Palatino Linotype" w:eastAsia="Times New Roman" w:hAnsi="Palatino Linotype" w:cs="Palatino Linotype"/>
      <w:b/>
      <w:bCs/>
      <w:szCs w:val="24"/>
      <w:lang w:eastAsia="zh-CN"/>
    </w:rPr>
  </w:style>
  <w:style w:type="numbering" w:styleId="111111">
    <w:name w:val="Outline List 2"/>
    <w:basedOn w:val="NoList"/>
    <w:rsid w:val="00E97B25"/>
    <w:pPr>
      <w:numPr>
        <w:numId w:val="6"/>
      </w:numPr>
    </w:pPr>
  </w:style>
  <w:style w:type="paragraph" w:customStyle="1" w:styleId="TEKSTTabelaSredinskaPoravnava">
    <w:name w:val="TEKST_Tabela_SredinskaPoravnava"/>
    <w:basedOn w:val="TEKSTTabela"/>
    <w:qFormat/>
    <w:rsid w:val="00E97B25"/>
  </w:style>
  <w:style w:type="paragraph" w:customStyle="1" w:styleId="TESTTabeladesnaPoravnava">
    <w:name w:val="TEST_Tabela_desnaPoravnava"/>
    <w:basedOn w:val="TEKSTTabela"/>
    <w:qFormat/>
    <w:rsid w:val="00E97B25"/>
    <w:pPr>
      <w:jc w:val="right"/>
    </w:pPr>
  </w:style>
  <w:style w:type="character" w:customStyle="1" w:styleId="fontstyle01">
    <w:name w:val="fontstyle01"/>
    <w:basedOn w:val="DefaultParagraphFont"/>
    <w:rsid w:val="00E97B25"/>
    <w:rPr>
      <w:rFonts w:ascii="Verdana" w:hAnsi="Verdana" w:hint="default"/>
      <w:b w:val="0"/>
      <w:bCs w:val="0"/>
      <w:i w:val="0"/>
      <w:iCs w:val="0"/>
      <w:color w:val="0000FF"/>
      <w:sz w:val="14"/>
      <w:szCs w:val="14"/>
    </w:rPr>
  </w:style>
  <w:style w:type="character" w:customStyle="1" w:styleId="NIRglavaZnak">
    <w:name w:val="NIR glava Znak"/>
    <w:link w:val="NIRglava"/>
    <w:locked/>
    <w:rsid w:val="00E97B25"/>
    <w:rPr>
      <w:rFonts w:ascii="Arial" w:hAnsi="Arial" w:cs="Times New Roman"/>
      <w:bCs/>
      <w:sz w:val="18"/>
      <w:szCs w:val="20"/>
      <w:lang w:val="en-GB"/>
    </w:rPr>
  </w:style>
  <w:style w:type="paragraph" w:customStyle="1" w:styleId="NIRglava">
    <w:name w:val="NIR glava"/>
    <w:basedOn w:val="Normal"/>
    <w:link w:val="NIRglavaZnak"/>
    <w:qFormat/>
    <w:rsid w:val="00E97B25"/>
    <w:pPr>
      <w:spacing w:after="0" w:line="240" w:lineRule="auto"/>
      <w:jc w:val="center"/>
    </w:pPr>
    <w:rPr>
      <w:rFonts w:ascii="Arial" w:hAnsi="Arial" w:cs="Times New Roman"/>
      <w:bCs/>
      <w:sz w:val="18"/>
      <w:szCs w:val="20"/>
      <w:lang w:val="en-GB"/>
    </w:rPr>
  </w:style>
  <w:style w:type="paragraph" w:customStyle="1" w:styleId="SEZNAMKratic">
    <w:name w:val="SEZNAM_Kratic"/>
    <w:basedOn w:val="Normal"/>
    <w:qFormat/>
    <w:rsid w:val="00E97B25"/>
    <w:pPr>
      <w:tabs>
        <w:tab w:val="left" w:pos="2268"/>
      </w:tabs>
      <w:spacing w:after="0" w:line="247" w:lineRule="auto"/>
      <w:ind w:left="2268" w:hanging="2268"/>
    </w:pPr>
    <w:rPr>
      <w:rFonts w:ascii="Palatino Linotype" w:hAnsi="Palatino Linotype"/>
    </w:rPr>
  </w:style>
  <w:style w:type="paragraph" w:customStyle="1" w:styleId="SEZNAMkratic0">
    <w:name w:val="SEZNAM_kratic"/>
    <w:basedOn w:val="SEZNAMKratic"/>
    <w:qFormat/>
    <w:rsid w:val="00E97B25"/>
    <w:rPr>
      <w:sz w:val="20"/>
    </w:rPr>
  </w:style>
  <w:style w:type="paragraph" w:customStyle="1" w:styleId="msonormal0">
    <w:name w:val="msonormal"/>
    <w:basedOn w:val="Normal"/>
    <w:rsid w:val="00E97B2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xl67">
    <w:name w:val="xl67"/>
    <w:basedOn w:val="Normal"/>
    <w:rsid w:val="00E97B25"/>
    <w:pPr>
      <w:spacing w:before="100" w:beforeAutospacing="1" w:after="100" w:afterAutospacing="1" w:line="240" w:lineRule="auto"/>
    </w:pPr>
    <w:rPr>
      <w:rFonts w:ascii="Tahoma" w:eastAsia="Times New Roman" w:hAnsi="Tahoma" w:cs="Tahoma"/>
      <w:sz w:val="16"/>
      <w:szCs w:val="16"/>
      <w:lang w:eastAsia="sl-SI"/>
    </w:rPr>
  </w:style>
  <w:style w:type="paragraph" w:customStyle="1" w:styleId="xl68">
    <w:name w:val="xl68"/>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sl-SI"/>
    </w:rPr>
  </w:style>
  <w:style w:type="paragraph" w:customStyle="1" w:styleId="xl69">
    <w:name w:val="xl69"/>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ahoma" w:eastAsia="Times New Roman" w:hAnsi="Tahoma" w:cs="Tahoma"/>
      <w:sz w:val="16"/>
      <w:szCs w:val="16"/>
      <w:lang w:eastAsia="sl-SI"/>
    </w:rPr>
  </w:style>
  <w:style w:type="paragraph" w:customStyle="1" w:styleId="xl70">
    <w:name w:val="xl70"/>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sl-SI"/>
    </w:rPr>
  </w:style>
  <w:style w:type="paragraph" w:customStyle="1" w:styleId="xl71">
    <w:name w:val="xl71"/>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sl-SI"/>
    </w:rPr>
  </w:style>
  <w:style w:type="paragraph" w:customStyle="1" w:styleId="xl72">
    <w:name w:val="xl72"/>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sl-SI"/>
    </w:rPr>
  </w:style>
  <w:style w:type="paragraph" w:customStyle="1" w:styleId="xl73">
    <w:name w:val="xl73"/>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sz w:val="16"/>
      <w:szCs w:val="16"/>
      <w:lang w:eastAsia="sl-SI"/>
    </w:rPr>
  </w:style>
  <w:style w:type="paragraph" w:customStyle="1" w:styleId="xl74">
    <w:name w:val="xl74"/>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ahoma" w:eastAsia="Times New Roman" w:hAnsi="Tahoma" w:cs="Tahoma"/>
      <w:sz w:val="16"/>
      <w:szCs w:val="16"/>
      <w:lang w:eastAsia="sl-SI"/>
    </w:rPr>
  </w:style>
  <w:style w:type="paragraph" w:customStyle="1" w:styleId="xl75">
    <w:name w:val="xl75"/>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sl-SI"/>
    </w:rPr>
  </w:style>
  <w:style w:type="paragraph" w:customStyle="1" w:styleId="xl76">
    <w:name w:val="xl76"/>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sl-SI"/>
    </w:rPr>
  </w:style>
  <w:style w:type="paragraph" w:customStyle="1" w:styleId="xl77">
    <w:name w:val="xl77"/>
    <w:basedOn w:val="Normal"/>
    <w:rsid w:val="00E97B2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ahoma" w:eastAsia="Times New Roman" w:hAnsi="Tahoma" w:cs="Tahoma"/>
      <w:b/>
      <w:bCs/>
      <w:sz w:val="16"/>
      <w:szCs w:val="16"/>
      <w:lang w:eastAsia="sl-SI"/>
    </w:rPr>
  </w:style>
  <w:style w:type="paragraph" w:customStyle="1" w:styleId="Footnotebesedilo">
    <w:name w:val="Footnote besedilo"/>
    <w:qFormat/>
    <w:rsid w:val="00E97B25"/>
    <w:pPr>
      <w:spacing w:before="60" w:after="0" w:line="240" w:lineRule="auto"/>
      <w:ind w:left="284" w:hanging="284"/>
    </w:pPr>
    <w:rPr>
      <w:rFonts w:ascii="Arial" w:hAnsi="Arial"/>
      <w:sz w:val="16"/>
      <w:szCs w:val="14"/>
    </w:rPr>
  </w:style>
  <w:style w:type="character" w:customStyle="1" w:styleId="hwtze">
    <w:name w:val="hwtze"/>
    <w:basedOn w:val="DefaultParagraphFont"/>
    <w:rsid w:val="00E97B25"/>
  </w:style>
  <w:style w:type="character" w:customStyle="1" w:styleId="rynqvb">
    <w:name w:val="rynqvb"/>
    <w:basedOn w:val="DefaultParagraphFont"/>
    <w:rsid w:val="00E97B25"/>
  </w:style>
  <w:style w:type="table" w:styleId="GridTable5Dark-Accent1">
    <w:name w:val="Grid Table 5 Dark Accent 1"/>
    <w:basedOn w:val="TableNormal"/>
    <w:uiPriority w:val="50"/>
    <w:rsid w:val="00E97B25"/>
    <w:pPr>
      <w:spacing w:after="0" w:line="240" w:lineRule="auto"/>
    </w:pPr>
    <w:rPr>
      <w:lang w:val="de-D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TabelleHeader1zentriert">
    <w:name w:val="Tabelle Header ↓ 1 zentriert"/>
    <w:uiPriority w:val="99"/>
    <w:semiHidden/>
    <w:qFormat/>
    <w:rsid w:val="00E97B25"/>
    <w:pPr>
      <w:keepLines/>
      <w:spacing w:after="0" w:line="276" w:lineRule="auto"/>
      <w:jc w:val="center"/>
    </w:pPr>
    <w:rPr>
      <w:b/>
      <w:bCs/>
      <w:sz w:val="20"/>
      <w:lang w:val="de-DE"/>
    </w:rPr>
  </w:style>
  <w:style w:type="paragraph" w:customStyle="1" w:styleId="TabelleHeader1">
    <w:name w:val="Tabelle Header → 1"/>
    <w:uiPriority w:val="99"/>
    <w:semiHidden/>
    <w:qFormat/>
    <w:rsid w:val="00E97B25"/>
    <w:pPr>
      <w:keepLines/>
      <w:spacing w:after="0" w:line="276" w:lineRule="auto"/>
    </w:pPr>
    <w:rPr>
      <w:rFonts w:ascii="Arial" w:hAnsi="Arial"/>
      <w:b/>
      <w:sz w:val="20"/>
      <w:lang w:val="de-DE"/>
    </w:rPr>
  </w:style>
  <w:style w:type="paragraph" w:customStyle="1" w:styleId="TabelleHeader3">
    <w:name w:val="Tabelle Header → 3"/>
    <w:basedOn w:val="Normal"/>
    <w:uiPriority w:val="99"/>
    <w:semiHidden/>
    <w:qFormat/>
    <w:rsid w:val="00E97B25"/>
    <w:pPr>
      <w:keepNext/>
      <w:keepLines/>
      <w:spacing w:after="0" w:line="276" w:lineRule="auto"/>
    </w:pPr>
    <w:rPr>
      <w:b/>
      <w:sz w:val="20"/>
      <w:lang w:val="de-DE"/>
    </w:rPr>
  </w:style>
  <w:style w:type="paragraph" w:customStyle="1" w:styleId="TabelleHeader4">
    <w:name w:val="Tabelle Header → 4"/>
    <w:basedOn w:val="Normal"/>
    <w:uiPriority w:val="99"/>
    <w:semiHidden/>
    <w:qFormat/>
    <w:rsid w:val="00E97B25"/>
    <w:pPr>
      <w:keepLines/>
      <w:spacing w:after="0" w:line="276" w:lineRule="auto"/>
    </w:pPr>
    <w:rPr>
      <w:b/>
      <w:sz w:val="20"/>
      <w:lang w:val="de-DE"/>
    </w:rPr>
  </w:style>
  <w:style w:type="paragraph" w:customStyle="1" w:styleId="TabelleHeader5">
    <w:name w:val="Tabelle Header → 5"/>
    <w:basedOn w:val="Normal"/>
    <w:uiPriority w:val="99"/>
    <w:semiHidden/>
    <w:qFormat/>
    <w:rsid w:val="00E97B25"/>
    <w:pPr>
      <w:keepLines/>
      <w:spacing w:after="0" w:line="276" w:lineRule="auto"/>
    </w:pPr>
    <w:rPr>
      <w:b/>
      <w:sz w:val="20"/>
      <w:lang w:val="de-DE"/>
    </w:rPr>
  </w:style>
  <w:style w:type="paragraph" w:customStyle="1" w:styleId="TabelleHeader2zentriert">
    <w:name w:val="Tabelle Header ↓ 2 zentriert"/>
    <w:uiPriority w:val="99"/>
    <w:semiHidden/>
    <w:qFormat/>
    <w:rsid w:val="00E97B25"/>
    <w:pPr>
      <w:keepLines/>
      <w:spacing w:after="0" w:line="276" w:lineRule="auto"/>
      <w:jc w:val="center"/>
    </w:pPr>
    <w:rPr>
      <w:b/>
      <w:sz w:val="20"/>
      <w:lang w:val="de-DE"/>
    </w:rPr>
  </w:style>
  <w:style w:type="paragraph" w:customStyle="1" w:styleId="TabelleHeader3linksbndig">
    <w:name w:val="Tabelle Header ↓ 3 linksbündig"/>
    <w:uiPriority w:val="99"/>
    <w:semiHidden/>
    <w:qFormat/>
    <w:rsid w:val="00E97B25"/>
    <w:pPr>
      <w:keepLines/>
      <w:spacing w:after="0" w:line="276" w:lineRule="auto"/>
    </w:pPr>
    <w:rPr>
      <w:b/>
      <w:sz w:val="20"/>
      <w:lang w:val="de-DE"/>
    </w:rPr>
  </w:style>
  <w:style w:type="paragraph" w:customStyle="1" w:styleId="TabelleHeader40">
    <w:name w:val="Tabelle Header ↓ 4"/>
    <w:uiPriority w:val="99"/>
    <w:semiHidden/>
    <w:qFormat/>
    <w:rsid w:val="00E97B25"/>
    <w:pPr>
      <w:keepLines/>
      <w:spacing w:after="0" w:line="276" w:lineRule="auto"/>
    </w:pPr>
    <w:rPr>
      <w:b/>
      <w:sz w:val="20"/>
      <w:lang w:val="de-DE"/>
    </w:rPr>
  </w:style>
  <w:style w:type="paragraph" w:customStyle="1" w:styleId="TabelleHeader50">
    <w:name w:val="Tabelle Header ↓ 5"/>
    <w:uiPriority w:val="99"/>
    <w:semiHidden/>
    <w:qFormat/>
    <w:rsid w:val="00E97B25"/>
    <w:pPr>
      <w:keepLines/>
      <w:spacing w:after="0" w:line="276" w:lineRule="auto"/>
    </w:pPr>
    <w:rPr>
      <w:b/>
      <w:sz w:val="20"/>
      <w:lang w:val="de-DE"/>
    </w:rPr>
  </w:style>
  <w:style w:type="paragraph" w:customStyle="1" w:styleId="TabelleHeader2nur1Spalte">
    <w:name w:val="Tabelle Header ↓ 2 nur 1. Spalte"/>
    <w:uiPriority w:val="99"/>
    <w:semiHidden/>
    <w:qFormat/>
    <w:rsid w:val="00E97B25"/>
    <w:pPr>
      <w:keepLines/>
      <w:spacing w:after="0" w:line="276" w:lineRule="auto"/>
    </w:pPr>
    <w:rPr>
      <w:b/>
      <w:sz w:val="20"/>
      <w:lang w:val="de-DE"/>
    </w:rPr>
  </w:style>
  <w:style w:type="paragraph" w:customStyle="1" w:styleId="TabelleHeader3nur1Spalte">
    <w:name w:val="Tabelle Header ↓ 3 nur 1. Spalte"/>
    <w:basedOn w:val="Normal"/>
    <w:uiPriority w:val="99"/>
    <w:semiHidden/>
    <w:qFormat/>
    <w:rsid w:val="00E97B25"/>
    <w:pPr>
      <w:keepLines/>
      <w:spacing w:after="0" w:line="276" w:lineRule="auto"/>
    </w:pPr>
    <w:rPr>
      <w:b/>
      <w:sz w:val="20"/>
      <w:lang w:val="de-DE"/>
    </w:rPr>
  </w:style>
  <w:style w:type="paragraph" w:styleId="List">
    <w:name w:val="List"/>
    <w:basedOn w:val="Normal"/>
    <w:uiPriority w:val="29"/>
    <w:semiHidden/>
    <w:rsid w:val="00E97B25"/>
    <w:pPr>
      <w:keepNext/>
      <w:keepLines/>
      <w:numPr>
        <w:numId w:val="7"/>
      </w:numPr>
      <w:tabs>
        <w:tab w:val="num" w:pos="360"/>
      </w:tabs>
      <w:spacing w:after="200" w:line="276" w:lineRule="auto"/>
      <w:ind w:left="0" w:firstLine="0"/>
    </w:pPr>
    <w:rPr>
      <w:lang w:val="de-DE"/>
    </w:rPr>
  </w:style>
  <w:style w:type="paragraph" w:styleId="List2">
    <w:name w:val="List 2"/>
    <w:basedOn w:val="Normal"/>
    <w:uiPriority w:val="29"/>
    <w:semiHidden/>
    <w:rsid w:val="00E97B25"/>
    <w:pPr>
      <w:keepNext/>
      <w:keepLines/>
      <w:numPr>
        <w:ilvl w:val="1"/>
        <w:numId w:val="7"/>
      </w:numPr>
      <w:tabs>
        <w:tab w:val="num" w:pos="360"/>
      </w:tabs>
      <w:spacing w:after="200" w:line="276" w:lineRule="auto"/>
      <w:ind w:left="0" w:firstLine="0"/>
    </w:pPr>
    <w:rPr>
      <w:lang w:val="de-DE"/>
    </w:rPr>
  </w:style>
  <w:style w:type="paragraph" w:styleId="List3">
    <w:name w:val="List 3"/>
    <w:basedOn w:val="Normal"/>
    <w:uiPriority w:val="29"/>
    <w:semiHidden/>
    <w:rsid w:val="00E97B25"/>
    <w:pPr>
      <w:keepNext/>
      <w:keepLines/>
      <w:numPr>
        <w:ilvl w:val="2"/>
        <w:numId w:val="7"/>
      </w:numPr>
      <w:tabs>
        <w:tab w:val="num" w:pos="360"/>
      </w:tabs>
      <w:spacing w:after="200" w:line="276" w:lineRule="auto"/>
      <w:ind w:left="851" w:firstLine="0"/>
    </w:pPr>
    <w:rPr>
      <w:lang w:val="de-DE"/>
    </w:rPr>
  </w:style>
  <w:style w:type="paragraph" w:styleId="List4">
    <w:name w:val="List 4"/>
    <w:basedOn w:val="Normal"/>
    <w:uiPriority w:val="29"/>
    <w:semiHidden/>
    <w:rsid w:val="00E97B25"/>
    <w:pPr>
      <w:keepNext/>
      <w:keepLines/>
      <w:numPr>
        <w:ilvl w:val="3"/>
        <w:numId w:val="7"/>
      </w:numPr>
      <w:tabs>
        <w:tab w:val="num" w:pos="360"/>
      </w:tabs>
      <w:spacing w:after="200" w:line="276" w:lineRule="auto"/>
      <w:ind w:left="1135" w:firstLine="0"/>
    </w:pPr>
    <w:rPr>
      <w:lang w:val="de-DE"/>
    </w:rPr>
  </w:style>
  <w:style w:type="character" w:customStyle="1" w:styleId="NichtaufgelsteErwhnung1">
    <w:name w:val="Nicht aufgelöste Erwähnung1"/>
    <w:basedOn w:val="DefaultParagraphFont"/>
    <w:uiPriority w:val="99"/>
    <w:semiHidden/>
    <w:rsid w:val="00E97B25"/>
    <w:rPr>
      <w:color w:val="605E5C"/>
      <w:shd w:val="clear" w:color="auto" w:fill="E1DFDD"/>
    </w:rPr>
  </w:style>
  <w:style w:type="paragraph" w:styleId="ListNumber">
    <w:name w:val="List Number"/>
    <w:basedOn w:val="Normal"/>
    <w:uiPriority w:val="29"/>
    <w:semiHidden/>
    <w:rsid w:val="00E97B25"/>
    <w:pPr>
      <w:keepNext/>
      <w:keepLines/>
      <w:numPr>
        <w:numId w:val="8"/>
      </w:numPr>
      <w:spacing w:after="200" w:line="276" w:lineRule="auto"/>
    </w:pPr>
    <w:rPr>
      <w:lang w:val="de-DE"/>
    </w:rPr>
  </w:style>
  <w:style w:type="paragraph" w:styleId="ListNumber2">
    <w:name w:val="List Number 2"/>
    <w:basedOn w:val="Normal"/>
    <w:uiPriority w:val="29"/>
    <w:semiHidden/>
    <w:rsid w:val="00E97B25"/>
    <w:pPr>
      <w:keepNext/>
      <w:keepLines/>
      <w:spacing w:after="200" w:line="276" w:lineRule="auto"/>
    </w:pPr>
    <w:rPr>
      <w:lang w:val="de-DE"/>
    </w:rPr>
  </w:style>
  <w:style w:type="paragraph" w:styleId="ListContinue3">
    <w:name w:val="List Continue 3"/>
    <w:basedOn w:val="Normal"/>
    <w:uiPriority w:val="29"/>
    <w:semiHidden/>
    <w:rsid w:val="00E97B25"/>
    <w:pPr>
      <w:spacing w:before="120" w:after="200" w:line="276" w:lineRule="auto"/>
      <w:ind w:left="680"/>
      <w:contextualSpacing/>
    </w:pPr>
    <w:rPr>
      <w:lang w:val="de-DE"/>
    </w:rPr>
  </w:style>
  <w:style w:type="paragraph" w:styleId="ListContinue4">
    <w:name w:val="List Continue 4"/>
    <w:basedOn w:val="Normal"/>
    <w:uiPriority w:val="29"/>
    <w:semiHidden/>
    <w:rsid w:val="00E97B25"/>
    <w:pPr>
      <w:spacing w:before="120" w:after="200" w:line="276" w:lineRule="auto"/>
      <w:ind w:left="907"/>
      <w:contextualSpacing/>
    </w:pPr>
    <w:rPr>
      <w:lang w:val="de-DE"/>
    </w:rPr>
  </w:style>
  <w:style w:type="paragraph" w:styleId="ListContinue5">
    <w:name w:val="List Continue 5"/>
    <w:basedOn w:val="Normal"/>
    <w:uiPriority w:val="29"/>
    <w:semiHidden/>
    <w:rsid w:val="00E97B25"/>
    <w:pPr>
      <w:spacing w:before="120" w:after="200" w:line="276" w:lineRule="auto"/>
      <w:ind w:left="1418"/>
      <w:contextualSpacing/>
    </w:pPr>
    <w:rPr>
      <w:lang w:val="de-DE"/>
    </w:rPr>
  </w:style>
  <w:style w:type="paragraph" w:styleId="ListNumber3">
    <w:name w:val="List Number 3"/>
    <w:basedOn w:val="Normal"/>
    <w:uiPriority w:val="29"/>
    <w:semiHidden/>
    <w:rsid w:val="00E97B25"/>
    <w:pPr>
      <w:keepNext/>
      <w:keepLines/>
      <w:spacing w:after="200" w:line="276" w:lineRule="auto"/>
    </w:pPr>
    <w:rPr>
      <w:lang w:val="de-DE"/>
    </w:rPr>
  </w:style>
  <w:style w:type="paragraph" w:styleId="ListNumber4">
    <w:name w:val="List Number 4"/>
    <w:basedOn w:val="Normal"/>
    <w:uiPriority w:val="29"/>
    <w:semiHidden/>
    <w:rsid w:val="00E97B25"/>
    <w:pPr>
      <w:keepNext/>
      <w:keepLines/>
      <w:spacing w:after="200" w:line="276" w:lineRule="auto"/>
    </w:pPr>
    <w:rPr>
      <w:lang w:val="de-DE"/>
    </w:rPr>
  </w:style>
  <w:style w:type="paragraph" w:styleId="ListNumber5">
    <w:name w:val="List Number 5"/>
    <w:basedOn w:val="Normal"/>
    <w:uiPriority w:val="29"/>
    <w:semiHidden/>
    <w:rsid w:val="00E97B25"/>
    <w:pPr>
      <w:keepNext/>
      <w:keepLines/>
      <w:spacing w:after="200" w:line="276" w:lineRule="auto"/>
    </w:pPr>
    <w:rPr>
      <w:lang w:val="de-DE"/>
    </w:rPr>
  </w:style>
  <w:style w:type="paragraph" w:styleId="ListContinue">
    <w:name w:val="List Continue"/>
    <w:basedOn w:val="Normal"/>
    <w:uiPriority w:val="29"/>
    <w:semiHidden/>
    <w:rsid w:val="00E97B25"/>
    <w:pPr>
      <w:spacing w:before="120" w:after="200" w:line="276" w:lineRule="auto"/>
      <w:ind w:left="227"/>
      <w:contextualSpacing/>
    </w:pPr>
    <w:rPr>
      <w:lang w:val="de-DE"/>
    </w:rPr>
  </w:style>
  <w:style w:type="paragraph" w:styleId="ListContinue2">
    <w:name w:val="List Continue 2"/>
    <w:basedOn w:val="Normal"/>
    <w:uiPriority w:val="29"/>
    <w:semiHidden/>
    <w:rsid w:val="00E97B25"/>
    <w:pPr>
      <w:spacing w:before="120" w:after="200" w:line="276" w:lineRule="auto"/>
      <w:ind w:left="454"/>
      <w:contextualSpacing/>
    </w:pPr>
    <w:rPr>
      <w:lang w:val="de-DE"/>
    </w:rPr>
  </w:style>
  <w:style w:type="paragraph" w:styleId="List5">
    <w:name w:val="List 5"/>
    <w:basedOn w:val="Normal"/>
    <w:uiPriority w:val="29"/>
    <w:semiHidden/>
    <w:rsid w:val="00E97B25"/>
    <w:pPr>
      <w:keepNext/>
      <w:keepLines/>
      <w:numPr>
        <w:ilvl w:val="4"/>
        <w:numId w:val="7"/>
      </w:numPr>
      <w:tabs>
        <w:tab w:val="num" w:pos="360"/>
      </w:tabs>
      <w:spacing w:after="200" w:line="276" w:lineRule="auto"/>
      <w:ind w:left="1418" w:firstLine="0"/>
    </w:pPr>
    <w:rPr>
      <w:lang w:val="de-DE"/>
    </w:rPr>
  </w:style>
  <w:style w:type="paragraph" w:customStyle="1" w:styleId="Listenfortsetzung6">
    <w:name w:val="Listenfortsetzung 6"/>
    <w:basedOn w:val="Normal"/>
    <w:uiPriority w:val="29"/>
    <w:semiHidden/>
    <w:qFormat/>
    <w:rsid w:val="00E97B25"/>
    <w:pPr>
      <w:spacing w:before="120" w:after="200" w:line="276" w:lineRule="auto"/>
      <w:ind w:left="1701"/>
    </w:pPr>
    <w:rPr>
      <w:lang w:val="de-DE"/>
    </w:rPr>
  </w:style>
  <w:style w:type="paragraph" w:customStyle="1" w:styleId="Listenfortsetzung7">
    <w:name w:val="Listenfortsetzung 7"/>
    <w:basedOn w:val="Normal"/>
    <w:uiPriority w:val="29"/>
    <w:semiHidden/>
    <w:qFormat/>
    <w:rsid w:val="00E97B25"/>
    <w:pPr>
      <w:spacing w:before="120" w:after="200" w:line="276" w:lineRule="auto"/>
      <w:ind w:left="1985"/>
    </w:pPr>
    <w:rPr>
      <w:lang w:val="de-DE"/>
    </w:rPr>
  </w:style>
  <w:style w:type="paragraph" w:customStyle="1" w:styleId="Listenfortsetzung8">
    <w:name w:val="Listenfortsetzung 8"/>
    <w:basedOn w:val="Normal"/>
    <w:uiPriority w:val="29"/>
    <w:semiHidden/>
    <w:qFormat/>
    <w:rsid w:val="00E97B25"/>
    <w:pPr>
      <w:spacing w:before="120" w:after="200" w:line="276" w:lineRule="auto"/>
      <w:ind w:left="2268"/>
    </w:pPr>
    <w:rPr>
      <w:lang w:val="de-DE"/>
    </w:rPr>
  </w:style>
  <w:style w:type="paragraph" w:customStyle="1" w:styleId="Listennummer6">
    <w:name w:val="Listennummer 6"/>
    <w:basedOn w:val="Normal"/>
    <w:uiPriority w:val="29"/>
    <w:semiHidden/>
    <w:qFormat/>
    <w:rsid w:val="00E97B25"/>
    <w:pPr>
      <w:spacing w:after="200" w:line="276" w:lineRule="auto"/>
    </w:pPr>
    <w:rPr>
      <w:lang w:val="de-DE"/>
    </w:rPr>
  </w:style>
  <w:style w:type="paragraph" w:customStyle="1" w:styleId="Listennummer7">
    <w:name w:val="Listennummer 7"/>
    <w:basedOn w:val="Normal"/>
    <w:uiPriority w:val="29"/>
    <w:semiHidden/>
    <w:qFormat/>
    <w:rsid w:val="00E97B25"/>
    <w:pPr>
      <w:spacing w:after="200" w:line="276" w:lineRule="auto"/>
    </w:pPr>
    <w:rPr>
      <w:lang w:val="de-DE"/>
    </w:rPr>
  </w:style>
  <w:style w:type="paragraph" w:customStyle="1" w:styleId="Listennummer8">
    <w:name w:val="Listennummer 8"/>
    <w:basedOn w:val="Normal"/>
    <w:uiPriority w:val="29"/>
    <w:semiHidden/>
    <w:qFormat/>
    <w:rsid w:val="00E97B25"/>
    <w:pPr>
      <w:spacing w:after="200" w:line="276" w:lineRule="auto"/>
    </w:pPr>
    <w:rPr>
      <w:lang w:val="de-DE"/>
    </w:rPr>
  </w:style>
  <w:style w:type="paragraph" w:customStyle="1" w:styleId="Liste6">
    <w:name w:val="Liste 6"/>
    <w:basedOn w:val="Normal"/>
    <w:uiPriority w:val="29"/>
    <w:semiHidden/>
    <w:qFormat/>
    <w:rsid w:val="00E97B25"/>
    <w:pPr>
      <w:numPr>
        <w:ilvl w:val="5"/>
        <w:numId w:val="7"/>
      </w:numPr>
      <w:spacing w:after="200" w:line="276" w:lineRule="auto"/>
    </w:pPr>
    <w:rPr>
      <w:lang w:val="de-DE"/>
    </w:rPr>
  </w:style>
  <w:style w:type="paragraph" w:customStyle="1" w:styleId="Liste7">
    <w:name w:val="Liste 7"/>
    <w:basedOn w:val="Normal"/>
    <w:uiPriority w:val="29"/>
    <w:semiHidden/>
    <w:qFormat/>
    <w:rsid w:val="00E97B25"/>
    <w:pPr>
      <w:numPr>
        <w:ilvl w:val="6"/>
        <w:numId w:val="7"/>
      </w:numPr>
      <w:spacing w:after="200" w:line="276" w:lineRule="auto"/>
    </w:pPr>
    <w:rPr>
      <w:lang w:val="de-DE"/>
    </w:rPr>
  </w:style>
  <w:style w:type="paragraph" w:customStyle="1" w:styleId="Liste8">
    <w:name w:val="Liste 8"/>
    <w:basedOn w:val="Normal"/>
    <w:uiPriority w:val="29"/>
    <w:semiHidden/>
    <w:qFormat/>
    <w:rsid w:val="00E97B25"/>
    <w:pPr>
      <w:numPr>
        <w:ilvl w:val="7"/>
        <w:numId w:val="7"/>
      </w:numPr>
      <w:spacing w:after="200" w:line="276" w:lineRule="auto"/>
      <w:ind w:left="2269" w:hanging="284"/>
    </w:pPr>
    <w:rPr>
      <w:lang w:val="de-DE"/>
    </w:rPr>
  </w:style>
  <w:style w:type="paragraph" w:customStyle="1" w:styleId="Liste9">
    <w:name w:val="Liste 9"/>
    <w:basedOn w:val="Normal"/>
    <w:uiPriority w:val="29"/>
    <w:semiHidden/>
    <w:qFormat/>
    <w:rsid w:val="00E97B25"/>
    <w:pPr>
      <w:numPr>
        <w:ilvl w:val="8"/>
        <w:numId w:val="7"/>
      </w:numPr>
      <w:spacing w:after="200" w:line="276" w:lineRule="auto"/>
    </w:pPr>
    <w:rPr>
      <w:lang w:val="de-DE"/>
    </w:rPr>
  </w:style>
  <w:style w:type="paragraph" w:customStyle="1" w:styleId="Listennummer9">
    <w:name w:val="Listennummer 9"/>
    <w:basedOn w:val="Normal"/>
    <w:uiPriority w:val="29"/>
    <w:semiHidden/>
    <w:qFormat/>
    <w:rsid w:val="00E97B25"/>
    <w:pPr>
      <w:spacing w:after="200" w:line="276" w:lineRule="auto"/>
    </w:pPr>
    <w:rPr>
      <w:lang w:val="de-DE"/>
    </w:rPr>
  </w:style>
  <w:style w:type="paragraph" w:customStyle="1" w:styleId="Listenfortsetzung9">
    <w:name w:val="Listenfortsetzung 9"/>
    <w:basedOn w:val="Normal"/>
    <w:uiPriority w:val="29"/>
    <w:semiHidden/>
    <w:qFormat/>
    <w:rsid w:val="00E97B25"/>
    <w:pPr>
      <w:spacing w:before="120" w:after="200" w:line="276" w:lineRule="auto"/>
      <w:ind w:left="2552"/>
    </w:pPr>
    <w:rPr>
      <w:lang w:val="de-DE"/>
    </w:rPr>
  </w:style>
  <w:style w:type="paragraph" w:styleId="NoSpacing">
    <w:name w:val="No Spacing"/>
    <w:uiPriority w:val="9"/>
    <w:qFormat/>
    <w:rsid w:val="00E97B25"/>
    <w:pPr>
      <w:spacing w:after="0" w:line="240" w:lineRule="auto"/>
    </w:pPr>
    <w:rPr>
      <w:sz w:val="24"/>
      <w:lang w:val="de-DE"/>
    </w:rPr>
  </w:style>
  <w:style w:type="paragraph" w:customStyle="1" w:styleId="Angebotsuntertitel">
    <w:name w:val="Angebotsuntertitel"/>
    <w:basedOn w:val="Normal"/>
    <w:uiPriority w:val="99"/>
    <w:semiHidden/>
    <w:qFormat/>
    <w:rsid w:val="00E97B25"/>
    <w:pPr>
      <w:spacing w:after="0" w:line="280" w:lineRule="atLeast"/>
    </w:pPr>
    <w:rPr>
      <w:rFonts w:ascii="Arial" w:hAnsi="Arial"/>
      <w:lang w:val="de-DE"/>
    </w:rPr>
  </w:style>
  <w:style w:type="paragraph" w:customStyle="1" w:styleId="DatumI">
    <w:name w:val="Datum_ÖI"/>
    <w:basedOn w:val="Normal"/>
    <w:uiPriority w:val="99"/>
    <w:semiHidden/>
    <w:qFormat/>
    <w:rsid w:val="00E97B25"/>
    <w:pPr>
      <w:spacing w:after="180" w:line="280" w:lineRule="atLeast"/>
    </w:pPr>
    <w:rPr>
      <w:rFonts w:ascii="Arial" w:hAnsi="Arial"/>
      <w:lang w:val="de-DE"/>
    </w:rPr>
  </w:style>
  <w:style w:type="paragraph" w:customStyle="1" w:styleId="Angebotstitel">
    <w:name w:val="Angebotstitel"/>
    <w:basedOn w:val="Normal"/>
    <w:uiPriority w:val="99"/>
    <w:semiHidden/>
    <w:qFormat/>
    <w:rsid w:val="00E97B25"/>
    <w:pPr>
      <w:spacing w:after="0" w:line="400" w:lineRule="atLeast"/>
    </w:pPr>
    <w:rPr>
      <w:rFonts w:ascii="Arial" w:hAnsi="Arial"/>
      <w:color w:val="156082" w:themeColor="accent1"/>
      <w:sz w:val="36"/>
      <w:lang w:val="de-DE"/>
    </w:rPr>
  </w:style>
  <w:style w:type="paragraph" w:customStyle="1" w:styleId="AutorenI">
    <w:name w:val="Autoren_ÖI"/>
    <w:basedOn w:val="Normal"/>
    <w:uiPriority w:val="99"/>
    <w:semiHidden/>
    <w:qFormat/>
    <w:rsid w:val="00E97B25"/>
    <w:pPr>
      <w:spacing w:before="40" w:after="40" w:line="280" w:lineRule="atLeast"/>
    </w:pPr>
    <w:rPr>
      <w:rFonts w:ascii="Arial" w:hAnsi="Arial"/>
      <w:sz w:val="20"/>
      <w:lang w:val="de-DE"/>
    </w:rPr>
  </w:style>
  <w:style w:type="paragraph" w:customStyle="1" w:styleId="Fusszeile2I">
    <w:name w:val="Fusszeile_2_ÖI"/>
    <w:basedOn w:val="Fusszeile1I"/>
    <w:uiPriority w:val="99"/>
    <w:semiHidden/>
    <w:qFormat/>
    <w:rsid w:val="00E97B25"/>
    <w:pPr>
      <w:spacing w:before="20" w:after="20"/>
    </w:pPr>
    <w:rPr>
      <w:b w:val="0"/>
      <w:szCs w:val="12"/>
    </w:rPr>
  </w:style>
  <w:style w:type="paragraph" w:customStyle="1" w:styleId="Fusszeile1I">
    <w:name w:val="Fusszeile_1_ÖI"/>
    <w:basedOn w:val="Normal"/>
    <w:next w:val="Fusszeile2I"/>
    <w:uiPriority w:val="99"/>
    <w:semiHidden/>
    <w:qFormat/>
    <w:rsid w:val="00E97B25"/>
    <w:pPr>
      <w:spacing w:before="40" w:after="0" w:line="200" w:lineRule="exact"/>
    </w:pPr>
    <w:rPr>
      <w:rFonts w:ascii="Arial" w:hAnsi="Arial"/>
      <w:b/>
      <w:sz w:val="16"/>
      <w:lang w:val="de-DE"/>
    </w:rPr>
  </w:style>
  <w:style w:type="paragraph" w:customStyle="1" w:styleId="PartnerI">
    <w:name w:val="Partner_ÖI"/>
    <w:basedOn w:val="Normal"/>
    <w:uiPriority w:val="99"/>
    <w:semiHidden/>
    <w:rsid w:val="00E97B25"/>
    <w:pPr>
      <w:spacing w:before="180" w:after="180" w:line="220" w:lineRule="atLeast"/>
    </w:pPr>
    <w:rPr>
      <w:rFonts w:ascii="Arial" w:eastAsia="Times New Roman" w:hAnsi="Arial"/>
      <w:iCs/>
      <w:sz w:val="16"/>
      <w:szCs w:val="16"/>
      <w:lang w:val="de-DE"/>
    </w:rPr>
  </w:style>
  <w:style w:type="paragraph" w:customStyle="1" w:styleId="HiddenText">
    <w:name w:val="Hidden Text"/>
    <w:basedOn w:val="Standardtext"/>
    <w:uiPriority w:val="99"/>
    <w:semiHidden/>
    <w:qFormat/>
    <w:rsid w:val="00E97B25"/>
    <w:rPr>
      <w:vanish/>
      <w:color w:val="FF0000"/>
      <w:lang w:val="de-DE"/>
    </w:rPr>
  </w:style>
  <w:style w:type="paragraph" w:customStyle="1" w:styleId="Bulletlist">
    <w:name w:val="Bullet list"/>
    <w:basedOn w:val="Normal"/>
    <w:next w:val="Normal"/>
    <w:uiPriority w:val="22"/>
    <w:qFormat/>
    <w:rsid w:val="00E97B25"/>
    <w:pPr>
      <w:numPr>
        <w:numId w:val="9"/>
      </w:numPr>
      <w:spacing w:after="200" w:line="276" w:lineRule="auto"/>
      <w:jc w:val="both"/>
    </w:pPr>
    <w:rPr>
      <w:rFonts w:ascii="Times New Roman" w:hAnsi="Times New Roman"/>
      <w:sz w:val="24"/>
      <w:lang w:val="de-DE"/>
    </w:rPr>
  </w:style>
  <w:style w:type="paragraph" w:customStyle="1" w:styleId="Aufzhlung4I">
    <w:name w:val="Aufzählung_4_ÖI"/>
    <w:basedOn w:val="Normal"/>
    <w:uiPriority w:val="23"/>
    <w:semiHidden/>
    <w:qFormat/>
    <w:rsid w:val="00E97B25"/>
    <w:pPr>
      <w:numPr>
        <w:ilvl w:val="3"/>
        <w:numId w:val="9"/>
      </w:numPr>
      <w:tabs>
        <w:tab w:val="num" w:pos="1134"/>
      </w:tabs>
      <w:spacing w:after="200" w:line="280" w:lineRule="atLeast"/>
      <w:ind w:left="1134" w:hanging="1134"/>
    </w:pPr>
    <w:rPr>
      <w:lang w:val="de-DE"/>
    </w:rPr>
  </w:style>
  <w:style w:type="paragraph" w:customStyle="1" w:styleId="Aufzhlung5I">
    <w:name w:val="Aufzählung_5_ÖI"/>
    <w:basedOn w:val="Normal"/>
    <w:uiPriority w:val="23"/>
    <w:semiHidden/>
    <w:qFormat/>
    <w:rsid w:val="00E97B25"/>
    <w:pPr>
      <w:numPr>
        <w:ilvl w:val="4"/>
        <w:numId w:val="9"/>
      </w:numPr>
      <w:spacing w:after="200" w:line="280" w:lineRule="atLeast"/>
      <w:ind w:left="0" w:firstLine="0"/>
    </w:pPr>
    <w:rPr>
      <w:lang w:val="de-DE"/>
    </w:rPr>
  </w:style>
  <w:style w:type="paragraph" w:customStyle="1" w:styleId="berschrift1Verzeichnisse">
    <w:name w:val="Überschrift 1_Verzeichnisse"/>
    <w:basedOn w:val="berschrift1Inhaltsverzeichnis"/>
    <w:next w:val="Standardtext"/>
    <w:uiPriority w:val="99"/>
    <w:rsid w:val="00E97B25"/>
  </w:style>
  <w:style w:type="paragraph" w:customStyle="1" w:styleId="berschrift1Inhaltsverzeichnis">
    <w:name w:val="Überschrift 1_Inhaltsverzeichnis"/>
    <w:basedOn w:val="Normal"/>
    <w:next w:val="Standardtext"/>
    <w:uiPriority w:val="99"/>
    <w:semiHidden/>
    <w:qFormat/>
    <w:rsid w:val="00E97B25"/>
    <w:pPr>
      <w:pageBreakBefore/>
      <w:spacing w:after="400" w:line="276" w:lineRule="auto"/>
      <w:outlineLvl w:val="0"/>
    </w:pPr>
    <w:rPr>
      <w:b/>
      <w:bCs/>
      <w:color w:val="006AA4"/>
      <w:sz w:val="36"/>
      <w:szCs w:val="24"/>
      <w:lang w:val="de-DE"/>
    </w:rPr>
  </w:style>
  <w:style w:type="paragraph" w:customStyle="1" w:styleId="Liste1">
    <w:name w:val="Liste1"/>
    <w:basedOn w:val="Standardtext"/>
    <w:uiPriority w:val="24"/>
    <w:rsid w:val="00E97B25"/>
    <w:pPr>
      <w:numPr>
        <w:numId w:val="10"/>
      </w:numPr>
      <w:tabs>
        <w:tab w:val="clear" w:pos="737"/>
        <w:tab w:val="num" w:pos="720"/>
      </w:tabs>
      <w:spacing w:after="120"/>
      <w:ind w:left="454" w:hanging="454"/>
    </w:pPr>
    <w:rPr>
      <w:lang w:val="de-DE"/>
    </w:rPr>
  </w:style>
  <w:style w:type="paragraph" w:customStyle="1" w:styleId="HinweistextblauI">
    <w:name w:val="Hinweistext blau_ÖI"/>
    <w:uiPriority w:val="28"/>
    <w:semiHidden/>
    <w:qFormat/>
    <w:rsid w:val="00E97B25"/>
    <w:pPr>
      <w:spacing w:before="60" w:after="60" w:line="276" w:lineRule="auto"/>
    </w:pPr>
    <w:rPr>
      <w:rFonts w:ascii="Arial" w:hAnsi="Arial"/>
      <w:color w:val="006AA4"/>
      <w:lang w:val="de-DE"/>
    </w:rPr>
  </w:style>
  <w:style w:type="character" w:styleId="PlaceholderText">
    <w:name w:val="Placeholder Text"/>
    <w:basedOn w:val="DefaultParagraphFont"/>
    <w:uiPriority w:val="99"/>
    <w:semiHidden/>
    <w:rsid w:val="00E97B25"/>
    <w:rPr>
      <w:color w:val="808080"/>
    </w:rPr>
  </w:style>
  <w:style w:type="paragraph" w:customStyle="1" w:styleId="DeckblattStandardI">
    <w:name w:val="Deckblatt_Standard_ÖI"/>
    <w:uiPriority w:val="99"/>
    <w:semiHidden/>
    <w:qFormat/>
    <w:rsid w:val="00E97B25"/>
    <w:pPr>
      <w:suppressAutoHyphens/>
      <w:spacing w:after="200" w:line="276" w:lineRule="auto"/>
      <w:ind w:right="249"/>
    </w:pPr>
    <w:rPr>
      <w:rFonts w:ascii="Arial" w:hAnsi="Arial"/>
      <w:sz w:val="20"/>
      <w:lang w:val="de-DE"/>
    </w:rPr>
  </w:style>
  <w:style w:type="paragraph" w:customStyle="1" w:styleId="Deckblatt1I">
    <w:name w:val="Deckblatt_Ü1_ÖI"/>
    <w:next w:val="DeckblattStandardI"/>
    <w:uiPriority w:val="99"/>
    <w:semiHidden/>
    <w:qFormat/>
    <w:rsid w:val="00E97B25"/>
    <w:pPr>
      <w:suppressAutoHyphens/>
      <w:spacing w:after="200" w:line="276" w:lineRule="auto"/>
      <w:ind w:right="249"/>
      <w:outlineLvl w:val="0"/>
    </w:pPr>
    <w:rPr>
      <w:rFonts w:ascii="Arial" w:hAnsi="Arial"/>
      <w:b/>
      <w:sz w:val="20"/>
      <w:lang w:val="de-DE"/>
    </w:rPr>
  </w:style>
  <w:style w:type="paragraph" w:customStyle="1" w:styleId="Deckblatt1KleinI">
    <w:name w:val="Deckblatt_Ü1_Klein_ÖI"/>
    <w:next w:val="DeckblattStandardKleinI"/>
    <w:uiPriority w:val="99"/>
    <w:semiHidden/>
    <w:qFormat/>
    <w:rsid w:val="00E97B25"/>
    <w:pPr>
      <w:suppressAutoHyphens/>
      <w:spacing w:before="40" w:after="200" w:line="276" w:lineRule="auto"/>
      <w:outlineLvl w:val="0"/>
    </w:pPr>
    <w:rPr>
      <w:rFonts w:ascii="Arial" w:hAnsi="Arial"/>
      <w:b/>
      <w:sz w:val="16"/>
      <w:lang w:val="de-DE"/>
    </w:rPr>
  </w:style>
  <w:style w:type="paragraph" w:customStyle="1" w:styleId="DeckblattStandardKleinI">
    <w:name w:val="Deckblatt_Standard_Klein_ÖI"/>
    <w:uiPriority w:val="99"/>
    <w:semiHidden/>
    <w:qFormat/>
    <w:rsid w:val="00E97B25"/>
    <w:pPr>
      <w:suppressAutoHyphens/>
      <w:spacing w:after="200" w:line="220" w:lineRule="exact"/>
    </w:pPr>
    <w:rPr>
      <w:rFonts w:ascii="Arial" w:hAnsi="Arial"/>
      <w:sz w:val="16"/>
      <w:szCs w:val="12"/>
      <w:lang w:val="de-DE"/>
    </w:rPr>
  </w:style>
  <w:style w:type="paragraph" w:customStyle="1" w:styleId="DeckblattTitelI">
    <w:name w:val="Deckblatt_Titel_ÖI"/>
    <w:uiPriority w:val="99"/>
    <w:semiHidden/>
    <w:qFormat/>
    <w:rsid w:val="00E97B25"/>
    <w:pPr>
      <w:suppressAutoHyphens/>
      <w:spacing w:after="200" w:line="276" w:lineRule="auto"/>
      <w:ind w:right="249"/>
    </w:pPr>
    <w:rPr>
      <w:rFonts w:ascii="Arial" w:hAnsi="Arial"/>
      <w:color w:val="156082" w:themeColor="accent1"/>
      <w:sz w:val="36"/>
      <w:lang w:val="de-DE"/>
    </w:rPr>
  </w:style>
  <w:style w:type="paragraph" w:customStyle="1" w:styleId="DeckblattversteckterHinweistext">
    <w:name w:val="Deckblatt_versteckter Hinweistext"/>
    <w:uiPriority w:val="99"/>
    <w:semiHidden/>
    <w:qFormat/>
    <w:rsid w:val="00E97B25"/>
    <w:pPr>
      <w:suppressAutoHyphens/>
      <w:spacing w:before="60" w:after="200" w:line="276" w:lineRule="auto"/>
    </w:pPr>
    <w:rPr>
      <w:rFonts w:ascii="Arial" w:hAnsi="Arial"/>
      <w:vanish/>
      <w:color w:val="FF0000"/>
      <w:lang w:val="de-DE"/>
    </w:rPr>
  </w:style>
  <w:style w:type="character" w:customStyle="1" w:styleId="FettBlau11Pt">
    <w:name w:val="Fett Blau 11 Pt"/>
    <w:basedOn w:val="DefaultParagraphFont"/>
    <w:uiPriority w:val="1"/>
    <w:semiHidden/>
    <w:qFormat/>
    <w:rsid w:val="00E97B25"/>
    <w:rPr>
      <w:b/>
      <w:color w:val="006AA4"/>
    </w:rPr>
  </w:style>
  <w:style w:type="paragraph" w:customStyle="1" w:styleId="TabelleHeader18Pt">
    <w:name w:val="Tabelle Header ↓ 1 8Pt"/>
    <w:uiPriority w:val="99"/>
    <w:semiHidden/>
    <w:qFormat/>
    <w:rsid w:val="00E97B25"/>
    <w:pPr>
      <w:keepNext/>
      <w:keepLines/>
      <w:spacing w:after="0" w:line="276" w:lineRule="auto"/>
    </w:pPr>
    <w:rPr>
      <w:rFonts w:ascii="Arial" w:hAnsi="Arial"/>
      <w:b/>
      <w:sz w:val="16"/>
      <w:szCs w:val="16"/>
      <w:lang w:val="de-DE"/>
    </w:rPr>
  </w:style>
  <w:style w:type="paragraph" w:customStyle="1" w:styleId="HinweisbalkenI">
    <w:name w:val="Hinweisbalken_ÖI"/>
    <w:uiPriority w:val="28"/>
    <w:semiHidden/>
    <w:qFormat/>
    <w:rsid w:val="00E97B25"/>
    <w:pPr>
      <w:pBdr>
        <w:top w:val="single" w:sz="4" w:space="1" w:color="006AA4"/>
        <w:bottom w:val="single" w:sz="4" w:space="1" w:color="006AA4"/>
      </w:pBdr>
      <w:spacing w:before="60" w:after="60" w:line="276" w:lineRule="auto"/>
    </w:pPr>
    <w:rPr>
      <w:rFonts w:ascii="Arial" w:hAnsi="Arial"/>
      <w:color w:val="156082" w:themeColor="accent1"/>
      <w:lang w:val="de-DE"/>
    </w:rPr>
  </w:style>
  <w:style w:type="paragraph" w:customStyle="1" w:styleId="TabelleHeader18Pt0">
    <w:name w:val="Tabelle Header → 1 8Pt"/>
    <w:uiPriority w:val="99"/>
    <w:semiHidden/>
    <w:qFormat/>
    <w:rsid w:val="00E97B25"/>
    <w:pPr>
      <w:keepNext/>
      <w:keepLines/>
      <w:spacing w:after="0" w:line="276" w:lineRule="auto"/>
    </w:pPr>
    <w:rPr>
      <w:rFonts w:ascii="Arial" w:hAnsi="Arial"/>
      <w:b/>
      <w:sz w:val="16"/>
      <w:szCs w:val="16"/>
      <w:lang w:val="de-DE"/>
    </w:rPr>
  </w:style>
  <w:style w:type="paragraph" w:customStyle="1" w:styleId="TabelleHeader2rechtsbndig">
    <w:name w:val="Tabelle Header ↓ 2 rechtsbündig"/>
    <w:uiPriority w:val="99"/>
    <w:semiHidden/>
    <w:qFormat/>
    <w:rsid w:val="00E97B25"/>
    <w:pPr>
      <w:keepLines/>
      <w:spacing w:after="0" w:line="276" w:lineRule="auto"/>
      <w:jc w:val="right"/>
    </w:pPr>
    <w:rPr>
      <w:b/>
      <w:sz w:val="20"/>
      <w:lang w:val="de-DE"/>
    </w:rPr>
  </w:style>
  <w:style w:type="paragraph" w:customStyle="1" w:styleId="Schnellbausteinname">
    <w:name w:val="Schnellbausteinname"/>
    <w:uiPriority w:val="4"/>
    <w:semiHidden/>
    <w:qFormat/>
    <w:rsid w:val="00E97B25"/>
    <w:pPr>
      <w:shd w:val="solid" w:color="47D459" w:themeColor="accent3" w:themeTint="99" w:fill="auto"/>
      <w:spacing w:after="200" w:line="240" w:lineRule="auto"/>
    </w:pPr>
    <w:rPr>
      <w:rFonts w:ascii="Arial" w:hAnsi="Arial" w:cs="Times New Roman"/>
      <w:b/>
      <w:bCs/>
      <w:sz w:val="28"/>
      <w:szCs w:val="28"/>
      <w:lang w:val="de-DE"/>
    </w:rPr>
  </w:style>
  <w:style w:type="paragraph" w:customStyle="1" w:styleId="TabelleHeader2zentriert8Pt">
    <w:name w:val="Tabelle Header ↓ 2 zentriert 8Pt"/>
    <w:uiPriority w:val="99"/>
    <w:semiHidden/>
    <w:qFormat/>
    <w:rsid w:val="00E97B25"/>
    <w:pPr>
      <w:keepNext/>
      <w:keepLines/>
      <w:spacing w:after="0" w:line="240" w:lineRule="auto"/>
      <w:jc w:val="center"/>
    </w:pPr>
    <w:rPr>
      <w:b/>
      <w:sz w:val="16"/>
      <w:lang w:val="de-DE"/>
    </w:rPr>
  </w:style>
  <w:style w:type="paragraph" w:customStyle="1" w:styleId="TabelleHeader28Pt">
    <w:name w:val="Tabelle Header → 2 8Pt"/>
    <w:uiPriority w:val="99"/>
    <w:semiHidden/>
    <w:qFormat/>
    <w:rsid w:val="00E97B25"/>
    <w:pPr>
      <w:keepNext/>
      <w:keepLines/>
      <w:spacing w:after="0" w:line="276" w:lineRule="auto"/>
    </w:pPr>
    <w:rPr>
      <w:b/>
      <w:bCs/>
      <w:sz w:val="16"/>
      <w:lang w:val="de-DE"/>
    </w:rPr>
  </w:style>
  <w:style w:type="paragraph" w:customStyle="1" w:styleId="Verzeichnis1oNum">
    <w:name w:val="Verzeichnis 1 oNum"/>
    <w:uiPriority w:val="99"/>
    <w:semiHidden/>
    <w:qFormat/>
    <w:rsid w:val="00E97B25"/>
    <w:pPr>
      <w:tabs>
        <w:tab w:val="right" w:pos="9639"/>
      </w:tabs>
      <w:spacing w:after="200" w:line="276" w:lineRule="auto"/>
    </w:pPr>
    <w:rPr>
      <w:b/>
      <w:noProof/>
      <w:color w:val="156082" w:themeColor="accent1"/>
      <w:sz w:val="24"/>
      <w:lang w:val="de-DE"/>
    </w:rPr>
  </w:style>
  <w:style w:type="paragraph" w:customStyle="1" w:styleId="Deckblatt2KleinI">
    <w:name w:val="Deckblatt_Ü2_Klein_ÖI"/>
    <w:next w:val="DeckblattStandardKleinI"/>
    <w:uiPriority w:val="99"/>
    <w:semiHidden/>
    <w:qFormat/>
    <w:rsid w:val="00E97B25"/>
    <w:pPr>
      <w:spacing w:after="0" w:line="276" w:lineRule="auto"/>
      <w:outlineLvl w:val="1"/>
    </w:pPr>
    <w:rPr>
      <w:rFonts w:ascii="Arial" w:hAnsi="Arial"/>
      <w:b/>
      <w:sz w:val="16"/>
      <w:lang w:val="de-DE"/>
    </w:rPr>
  </w:style>
  <w:style w:type="table" w:styleId="TableGridLight">
    <w:name w:val="Grid Table Light"/>
    <w:basedOn w:val="TableNormal"/>
    <w:uiPriority w:val="40"/>
    <w:rsid w:val="00E97B25"/>
    <w:pPr>
      <w:keepNext/>
      <w:keepLines/>
      <w:spacing w:after="0" w:line="240" w:lineRule="auto"/>
    </w:pPr>
    <w:rPr>
      <w:lang w:val="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Pr>
  </w:style>
  <w:style w:type="paragraph" w:customStyle="1" w:styleId="1LebenslaufI">
    <w:name w:val="Ü1_Lebenslauf_ÖI"/>
    <w:next w:val="Standardtext"/>
    <w:uiPriority w:val="99"/>
    <w:semiHidden/>
    <w:qFormat/>
    <w:rsid w:val="00E97B25"/>
    <w:pPr>
      <w:spacing w:before="60" w:after="200" w:line="276" w:lineRule="auto"/>
      <w:outlineLvl w:val="0"/>
    </w:pPr>
    <w:rPr>
      <w:rFonts w:ascii="Arial" w:hAnsi="Arial"/>
      <w:lang w:val="de-DE"/>
    </w:rPr>
  </w:style>
  <w:style w:type="paragraph" w:customStyle="1" w:styleId="2LebenslaufNameI">
    <w:name w:val="Ü2_Lebenslauf_Name_ÖI"/>
    <w:next w:val="Standardtext"/>
    <w:uiPriority w:val="20"/>
    <w:semiHidden/>
    <w:qFormat/>
    <w:rsid w:val="00E97B25"/>
    <w:pPr>
      <w:spacing w:after="120" w:line="276" w:lineRule="auto"/>
      <w:outlineLvl w:val="1"/>
    </w:pPr>
    <w:rPr>
      <w:rFonts w:ascii="Arial" w:hAnsi="Arial"/>
      <w:b/>
      <w:color w:val="156082" w:themeColor="accent1"/>
      <w:lang w:val="de-DE"/>
    </w:rPr>
  </w:style>
  <w:style w:type="paragraph" w:customStyle="1" w:styleId="TabelleHeader2linksbndig">
    <w:name w:val="Tabelle Header ↓ 2 linksbündig"/>
    <w:uiPriority w:val="99"/>
    <w:semiHidden/>
    <w:qFormat/>
    <w:rsid w:val="00E97B25"/>
    <w:pPr>
      <w:keepLines/>
      <w:spacing w:after="0" w:line="276" w:lineRule="auto"/>
    </w:pPr>
    <w:rPr>
      <w:b/>
      <w:sz w:val="20"/>
      <w:lang w:val="de-DE"/>
    </w:rPr>
  </w:style>
  <w:style w:type="paragraph" w:customStyle="1" w:styleId="berschrift2oNum">
    <w:name w:val="Überschrift 2 oNum"/>
    <w:next w:val="Standardtext"/>
    <w:uiPriority w:val="99"/>
    <w:semiHidden/>
    <w:qFormat/>
    <w:rsid w:val="00E97B25"/>
    <w:pPr>
      <w:spacing w:after="200" w:line="276" w:lineRule="auto"/>
      <w:jc w:val="both"/>
      <w:outlineLvl w:val="1"/>
    </w:pPr>
    <w:rPr>
      <w:rFonts w:ascii="Arial" w:hAnsi="Arial"/>
      <w:b/>
      <w:bCs/>
      <w:color w:val="006AA4"/>
      <w:sz w:val="24"/>
      <w:szCs w:val="24"/>
      <w:lang w:val="de-DE"/>
    </w:rPr>
  </w:style>
  <w:style w:type="paragraph" w:customStyle="1" w:styleId="ListenfortsetzungAufzhlung1I">
    <w:name w:val="Listenfortsetzung_Aufzählung_1_ÖI"/>
    <w:uiPriority w:val="23"/>
    <w:semiHidden/>
    <w:qFormat/>
    <w:rsid w:val="00E97B25"/>
    <w:pPr>
      <w:spacing w:after="120" w:line="276" w:lineRule="auto"/>
      <w:ind w:left="227"/>
      <w:jc w:val="both"/>
    </w:pPr>
    <w:rPr>
      <w:lang w:val="de-DE"/>
    </w:rPr>
  </w:style>
  <w:style w:type="paragraph" w:customStyle="1" w:styleId="ListenfortsetzungAufzhlung2I">
    <w:name w:val="Listenfortsetzung_Aufzählung_2_ÖI"/>
    <w:uiPriority w:val="23"/>
    <w:semiHidden/>
    <w:qFormat/>
    <w:rsid w:val="00E97B25"/>
    <w:pPr>
      <w:spacing w:after="120" w:line="276" w:lineRule="auto"/>
      <w:ind w:left="454"/>
      <w:jc w:val="both"/>
    </w:pPr>
    <w:rPr>
      <w:lang w:val="de-DE"/>
    </w:rPr>
  </w:style>
  <w:style w:type="paragraph" w:customStyle="1" w:styleId="ListenfortsetzungAufzhlung3I">
    <w:name w:val="Listenfortsetzung_Aufzählung_3_ÖI"/>
    <w:uiPriority w:val="23"/>
    <w:semiHidden/>
    <w:qFormat/>
    <w:rsid w:val="00E97B25"/>
    <w:pPr>
      <w:spacing w:after="120" w:line="276" w:lineRule="auto"/>
      <w:ind w:left="680"/>
      <w:jc w:val="both"/>
    </w:pPr>
    <w:rPr>
      <w:lang w:val="de-DE"/>
    </w:rPr>
  </w:style>
  <w:style w:type="paragraph" w:customStyle="1" w:styleId="ListenfortsetzungListe123I">
    <w:name w:val="Listenfortsetzung – Liste 123_ÖI"/>
    <w:uiPriority w:val="24"/>
    <w:semiHidden/>
    <w:qFormat/>
    <w:rsid w:val="00E97B25"/>
    <w:pPr>
      <w:spacing w:after="120" w:line="276" w:lineRule="auto"/>
      <w:ind w:left="454"/>
      <w:jc w:val="both"/>
    </w:pPr>
    <w:rPr>
      <w:rFonts w:ascii="Arial" w:hAnsi="Arial"/>
      <w:lang w:val="de-DE"/>
    </w:rPr>
  </w:style>
  <w:style w:type="paragraph" w:customStyle="1" w:styleId="ListenfortsetzungListeabcI">
    <w:name w:val="Listenfortsetzung – Liste abc_ÖI"/>
    <w:uiPriority w:val="25"/>
    <w:semiHidden/>
    <w:qFormat/>
    <w:rsid w:val="00E97B25"/>
    <w:pPr>
      <w:spacing w:after="120" w:line="276" w:lineRule="auto"/>
      <w:ind w:left="454"/>
      <w:jc w:val="both"/>
    </w:pPr>
    <w:rPr>
      <w:lang w:val="de-DE"/>
    </w:rPr>
  </w:style>
  <w:style w:type="paragraph" w:customStyle="1" w:styleId="ListenfortsetzungListeblau123I">
    <w:name w:val="Listenfortsetzung – Liste blau 123_ÖI"/>
    <w:uiPriority w:val="26"/>
    <w:semiHidden/>
    <w:qFormat/>
    <w:rsid w:val="00E97B25"/>
    <w:pPr>
      <w:spacing w:after="120" w:line="276" w:lineRule="auto"/>
      <w:ind w:left="454"/>
      <w:jc w:val="both"/>
    </w:pPr>
    <w:rPr>
      <w:b/>
      <w:color w:val="006AA4"/>
      <w:lang w:val="de-DE"/>
    </w:rPr>
  </w:style>
  <w:style w:type="paragraph" w:customStyle="1" w:styleId="TabelleHeader3zentriert">
    <w:name w:val="Tabelle Header ↓ 3 zentriert"/>
    <w:uiPriority w:val="99"/>
    <w:semiHidden/>
    <w:qFormat/>
    <w:rsid w:val="00E97B25"/>
    <w:pPr>
      <w:keepLines/>
      <w:spacing w:after="200" w:line="276" w:lineRule="auto"/>
      <w:jc w:val="center"/>
    </w:pPr>
    <w:rPr>
      <w:b/>
      <w:sz w:val="20"/>
      <w:lang w:val="de-DE"/>
    </w:rPr>
  </w:style>
  <w:style w:type="table" w:customStyle="1" w:styleId="Oeko2">
    <w:name w:val="Oeko_2"/>
    <w:basedOn w:val="TableNormal"/>
    <w:uiPriority w:val="99"/>
    <w:rsid w:val="00E97B25"/>
    <w:pPr>
      <w:spacing w:before="40" w:after="40" w:line="240" w:lineRule="auto"/>
    </w:pPr>
    <w:rPr>
      <w:rFonts w:ascii="Arial" w:hAnsi="Arial"/>
      <w:sz w:val="20"/>
      <w:lang w:val="de-DE"/>
    </w:rPr>
    <w:tblPr>
      <w:tblStyleRowBandSize w:val="1"/>
      <w:tblInd w:w="85" w:type="dxa"/>
      <w:tblBorders>
        <w:insideV w:val="single" w:sz="2" w:space="0" w:color="868686"/>
      </w:tblBorders>
      <w:tblCellMar>
        <w:left w:w="85" w:type="dxa"/>
        <w:right w:w="85" w:type="dxa"/>
      </w:tblCellMar>
    </w:tblPr>
    <w:tblStylePr w:type="firstRow">
      <w:rPr>
        <w:b/>
      </w:rPr>
      <w:tblPr/>
      <w:tcPr>
        <w:tcBorders>
          <w:bottom w:val="single" w:sz="12" w:space="0" w:color="196B24" w:themeColor="accent3"/>
        </w:tcBorders>
      </w:tcPr>
    </w:tblStylePr>
    <w:tblStylePr w:type="firstCol">
      <w:pPr>
        <w:wordWrap/>
        <w:ind w:leftChars="0" w:left="0"/>
      </w:pPr>
      <w:tblPr/>
      <w:tcPr>
        <w:tcBorders>
          <w:right w:val="single" w:sz="4" w:space="0" w:color="868686"/>
          <w:insideV w:val="nil"/>
        </w:tcBorders>
      </w:tcPr>
    </w:tblStylePr>
    <w:tblStylePr w:type="band1Horz">
      <w:tblPr/>
      <w:tcPr>
        <w:tcBorders>
          <w:bottom w:val="single" w:sz="2" w:space="0" w:color="868686"/>
        </w:tcBorders>
      </w:tcPr>
    </w:tblStylePr>
    <w:tblStylePr w:type="band2Horz">
      <w:tblPr/>
      <w:tcPr>
        <w:tcBorders>
          <w:bottom w:val="single" w:sz="2" w:space="0" w:color="868686"/>
        </w:tcBorders>
      </w:tcPr>
    </w:tblStylePr>
  </w:style>
  <w:style w:type="paragraph" w:customStyle="1" w:styleId="DatenzelleWerterechtsbndig">
    <w:name w:val="Datenzelle_Werte_rechtsbündig"/>
    <w:uiPriority w:val="98"/>
    <w:semiHidden/>
    <w:qFormat/>
    <w:rsid w:val="00E97B25"/>
    <w:pPr>
      <w:spacing w:after="0" w:line="240" w:lineRule="auto"/>
      <w:jc w:val="right"/>
    </w:pPr>
    <w:rPr>
      <w:sz w:val="20"/>
      <w:lang w:val="de-DE"/>
    </w:rPr>
  </w:style>
  <w:style w:type="paragraph" w:customStyle="1" w:styleId="TabelleHeader1nur1Spalte">
    <w:name w:val="Tabelle Header ↓ 1 nur 1. Spalte"/>
    <w:uiPriority w:val="99"/>
    <w:semiHidden/>
    <w:qFormat/>
    <w:rsid w:val="00E97B25"/>
    <w:pPr>
      <w:keepLines/>
      <w:spacing w:after="200" w:line="276" w:lineRule="auto"/>
    </w:pPr>
    <w:rPr>
      <w:b/>
      <w:bCs/>
      <w:sz w:val="20"/>
      <w:lang w:val="de-DE"/>
    </w:rPr>
  </w:style>
  <w:style w:type="character" w:customStyle="1" w:styleId="FootnoteTextChar3">
    <w:name w:val="Footnote Text Char3"/>
    <w:aliases w:val="Footnote Text Char Char,-E Fußnotentext Char,footnote text Char,Fußnotentext Ursprung Char,Footnote Text Char1 Char,Footnote1 Char,-E Fußnotentext1 Char,footnote text1 Char,Fußnotentext Ursprung1 Char,Footnote Text Char2 Char"/>
    <w:basedOn w:val="DefaultParagraphFont"/>
    <w:uiPriority w:val="99"/>
    <w:qFormat/>
    <w:rsid w:val="00E97B25"/>
    <w:rPr>
      <w:rFonts w:ascii="Times New Roman" w:hAnsi="Times New Roman" w:cs="Times New Roman"/>
      <w:sz w:val="20"/>
      <w:szCs w:val="20"/>
      <w:lang w:val="en-GB"/>
    </w:rPr>
  </w:style>
  <w:style w:type="table" w:customStyle="1" w:styleId="Formatvorlage1">
    <w:name w:val="Formatvorlage1"/>
    <w:basedOn w:val="TableNormal"/>
    <w:uiPriority w:val="99"/>
    <w:rsid w:val="00E97B25"/>
    <w:pPr>
      <w:spacing w:after="0" w:line="240" w:lineRule="auto"/>
    </w:pPr>
    <w:rPr>
      <w:rFonts w:ascii="Times New Roman" w:hAnsi="Times New Roman"/>
      <w:lang w:val="de-DE"/>
    </w:rPr>
    <w:tblPr/>
  </w:style>
  <w:style w:type="table" w:customStyle="1" w:styleId="Table">
    <w:name w:val="Table"/>
    <w:basedOn w:val="TableNormal"/>
    <w:uiPriority w:val="99"/>
    <w:rsid w:val="00E97B25"/>
    <w:pPr>
      <w:spacing w:after="0" w:line="240" w:lineRule="auto"/>
    </w:pPr>
    <w:rPr>
      <w:lang w:val="de-DE"/>
    </w:rPr>
    <w:tblPr/>
  </w:style>
  <w:style w:type="table" w:customStyle="1" w:styleId="Table1">
    <w:name w:val="Table1"/>
    <w:basedOn w:val="TableNormal"/>
    <w:uiPriority w:val="99"/>
    <w:rsid w:val="00E97B25"/>
    <w:pPr>
      <w:spacing w:after="0" w:line="240" w:lineRule="auto"/>
    </w:pPr>
    <w:rPr>
      <w:lang w:val="de-DE"/>
    </w:rPr>
    <w:tblPr/>
  </w:style>
  <w:style w:type="table" w:styleId="PlainTable5">
    <w:name w:val="Plain Table 5"/>
    <w:basedOn w:val="TableNormal"/>
    <w:uiPriority w:val="45"/>
    <w:rsid w:val="00E97B25"/>
    <w:pPr>
      <w:spacing w:after="0" w:line="240" w:lineRule="auto"/>
    </w:pPr>
    <w:rPr>
      <w:lang w:val="de-D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Formatvorlage2">
    <w:name w:val="Formatvorlage2"/>
    <w:basedOn w:val="TableNormal"/>
    <w:uiPriority w:val="99"/>
    <w:rsid w:val="00E97B25"/>
    <w:pPr>
      <w:spacing w:after="0" w:line="240" w:lineRule="auto"/>
    </w:pPr>
    <w:rPr>
      <w:rFonts w:ascii="Times New Roman" w:hAnsi="Times New Roman"/>
      <w:sz w:val="18"/>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Standardtext0">
    <w:name w:val="Standardtext"/>
    <w:basedOn w:val="Normal"/>
    <w:link w:val="StandardtextZchn"/>
    <w:qFormat/>
    <w:rsid w:val="00E97B25"/>
    <w:pPr>
      <w:spacing w:after="180" w:line="280" w:lineRule="atLeast"/>
      <w:jc w:val="both"/>
    </w:pPr>
    <w:rPr>
      <w:rFonts w:ascii="Arial" w:hAnsi="Arial"/>
      <w:lang w:val="en-GB"/>
    </w:rPr>
  </w:style>
  <w:style w:type="character" w:customStyle="1" w:styleId="StandardtextZchn">
    <w:name w:val="Standardtext Zchn"/>
    <w:basedOn w:val="DefaultParagraphFont"/>
    <w:link w:val="Standardtext0"/>
    <w:rsid w:val="00E97B25"/>
    <w:rPr>
      <w:rFonts w:ascii="Arial" w:hAnsi="Arial"/>
      <w:lang w:val="en-GB"/>
    </w:rPr>
  </w:style>
  <w:style w:type="table" w:customStyle="1" w:styleId="TableNormal1">
    <w:name w:val="Table Normal1"/>
    <w:uiPriority w:val="2"/>
    <w:semiHidden/>
    <w:unhideWhenUsed/>
    <w:qFormat/>
    <w:rsid w:val="00E97B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ref-lnk">
    <w:name w:val="ref-lnk"/>
    <w:basedOn w:val="DefaultParagraphFont"/>
    <w:rsid w:val="00E97B25"/>
  </w:style>
  <w:style w:type="character" w:customStyle="1" w:styleId="off-screen">
    <w:name w:val="off-screen"/>
    <w:basedOn w:val="DefaultParagraphFont"/>
    <w:rsid w:val="00E97B25"/>
  </w:style>
  <w:style w:type="character" w:customStyle="1" w:styleId="findhit">
    <w:name w:val="findhit"/>
    <w:basedOn w:val="DefaultParagraphFont"/>
    <w:rsid w:val="00E97B25"/>
  </w:style>
  <w:style w:type="character" w:customStyle="1" w:styleId="superscript">
    <w:name w:val="superscript"/>
    <w:basedOn w:val="DefaultParagraphFont"/>
    <w:rsid w:val="00E97B25"/>
  </w:style>
  <w:style w:type="table" w:styleId="GridTable1Light">
    <w:name w:val="Grid Table 1 Light"/>
    <w:basedOn w:val="TableNormal"/>
    <w:uiPriority w:val="46"/>
    <w:rsid w:val="00E97B25"/>
    <w:pPr>
      <w:spacing w:after="0" w:line="240" w:lineRule="auto"/>
    </w:pPr>
    <w:rPr>
      <w:lang w:val="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unhideWhenUsed/>
    <w:rsid w:val="00E97B25"/>
    <w:rPr>
      <w:color w:val="2B579A"/>
      <w:shd w:val="clear" w:color="auto" w:fill="E1DFDD"/>
    </w:rPr>
  </w:style>
  <w:style w:type="character" w:customStyle="1" w:styleId="UnresolvedMention2">
    <w:name w:val="Unresolved Mention2"/>
    <w:basedOn w:val="DefaultParagraphFont"/>
    <w:uiPriority w:val="99"/>
    <w:semiHidden/>
    <w:unhideWhenUsed/>
    <w:rsid w:val="00E97B25"/>
    <w:rPr>
      <w:color w:val="605E5C"/>
      <w:shd w:val="clear" w:color="auto" w:fill="E1DFDD"/>
    </w:rPr>
  </w:style>
  <w:style w:type="numbering" w:customStyle="1" w:styleId="Style2">
    <w:name w:val="Style2"/>
    <w:uiPriority w:val="99"/>
    <w:rsid w:val="00E97B25"/>
    <w:pPr>
      <w:numPr>
        <w:numId w:val="11"/>
      </w:numPr>
    </w:pPr>
  </w:style>
  <w:style w:type="character" w:customStyle="1" w:styleId="anchor-text">
    <w:name w:val="anchor-text"/>
    <w:basedOn w:val="DefaultParagraphFont"/>
    <w:rsid w:val="00E97B25"/>
  </w:style>
  <w:style w:type="paragraph" w:customStyle="1" w:styleId="Alinejapika">
    <w:name w:val="Alineja_pika"/>
    <w:next w:val="BodyText"/>
    <w:rsid w:val="00E97B25"/>
    <w:pPr>
      <w:numPr>
        <w:numId w:val="14"/>
      </w:numPr>
      <w:spacing w:after="0" w:line="276" w:lineRule="auto"/>
      <w:jc w:val="both"/>
    </w:pPr>
    <w:rPr>
      <w:rFonts w:ascii="Tahoma" w:eastAsia="Palatino Linotype" w:hAnsi="Tahoma" w:cs="Palatino Linotype"/>
    </w:rPr>
  </w:style>
  <w:style w:type="character" w:customStyle="1" w:styleId="UnresolvedMention3">
    <w:name w:val="Unresolved Mention3"/>
    <w:basedOn w:val="DefaultParagraphFont"/>
    <w:uiPriority w:val="99"/>
    <w:semiHidden/>
    <w:unhideWhenUsed/>
    <w:rsid w:val="00E97B25"/>
    <w:rPr>
      <w:color w:val="605E5C"/>
      <w:shd w:val="clear" w:color="auto" w:fill="E1DFDD"/>
    </w:rPr>
  </w:style>
  <w:style w:type="paragraph" w:customStyle="1" w:styleId="NaslovUKREPA">
    <w:name w:val="NaslovUKREPA"/>
    <w:basedOn w:val="Normal"/>
    <w:next w:val="BodyText"/>
    <w:link w:val="NaslovUKREPAChar"/>
    <w:uiPriority w:val="99"/>
    <w:rsid w:val="00E97B25"/>
    <w:pPr>
      <w:keepNext/>
      <w:spacing w:before="240" w:after="120" w:line="247" w:lineRule="auto"/>
      <w:ind w:left="360" w:hanging="360"/>
    </w:pPr>
    <w:rPr>
      <w:rFonts w:ascii="Palatino Linotype" w:eastAsia="Times New Roman" w:hAnsi="Palatino Linotype" w:cs="Times New Roman"/>
      <w:b/>
      <w:smallCaps/>
      <w:sz w:val="24"/>
      <w:szCs w:val="24"/>
      <w:lang w:val="en-GB" w:eastAsia="sl-SI"/>
    </w:rPr>
  </w:style>
  <w:style w:type="character" w:customStyle="1" w:styleId="NaslovUKREPAChar">
    <w:name w:val="NaslovUKREPA Char"/>
    <w:basedOn w:val="DefaultParagraphFont"/>
    <w:link w:val="NaslovUKREPA"/>
    <w:uiPriority w:val="99"/>
    <w:rsid w:val="00E97B25"/>
    <w:rPr>
      <w:rFonts w:ascii="Palatino Linotype" w:eastAsia="Times New Roman" w:hAnsi="Palatino Linotype" w:cs="Times New Roman"/>
      <w:b/>
      <w:smallCaps/>
      <w:sz w:val="24"/>
      <w:szCs w:val="24"/>
      <w:lang w:val="en-GB" w:eastAsia="sl-SI"/>
    </w:rPr>
  </w:style>
  <w:style w:type="table" w:customStyle="1" w:styleId="Tabela-SLOG1">
    <w:name w:val="Tabela-SLOG1"/>
    <w:basedOn w:val="TableNormal"/>
    <w:next w:val="TableGrid"/>
    <w:uiPriority w:val="59"/>
    <w:rsid w:val="007C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LOG2">
    <w:name w:val="Tabela-SLOG2"/>
    <w:basedOn w:val="TableNormal"/>
    <w:next w:val="TableGrid"/>
    <w:uiPriority w:val="59"/>
    <w:rsid w:val="00D54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LOG3">
    <w:name w:val="Tabela-SLOG3"/>
    <w:basedOn w:val="TableNormal"/>
    <w:next w:val="TableGrid"/>
    <w:uiPriority w:val="59"/>
    <w:rsid w:val="00C23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LOG4">
    <w:name w:val="Tabela-SLOG4"/>
    <w:basedOn w:val="TableNormal"/>
    <w:next w:val="TableGrid"/>
    <w:uiPriority w:val="59"/>
    <w:rsid w:val="001A3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KASLIKE">
    <w:name w:val="NIKA SLIKE"/>
    <w:basedOn w:val="Normal"/>
    <w:link w:val="NIKASLIKEZnak"/>
    <w:qFormat/>
    <w:rsid w:val="0091142E"/>
    <w:pPr>
      <w:jc w:val="center"/>
    </w:pPr>
    <w:rPr>
      <w:rFonts w:ascii="Arial" w:hAnsi="Arial" w:cs="Arial"/>
      <w:b/>
      <w:bCs/>
      <w:i/>
      <w:iCs/>
      <w:sz w:val="18"/>
      <w:szCs w:val="18"/>
    </w:rPr>
  </w:style>
  <w:style w:type="character" w:customStyle="1" w:styleId="NIKASLIKEZnak">
    <w:name w:val="NIKA SLIKE Znak"/>
    <w:basedOn w:val="DefaultParagraphFont"/>
    <w:link w:val="NIKASLIKE"/>
    <w:rsid w:val="0091142E"/>
    <w:rPr>
      <w:rFonts w:ascii="Arial" w:hAnsi="Arial" w:cs="Arial"/>
      <w:b/>
      <w:bCs/>
      <w:i/>
      <w:iCs/>
      <w:sz w:val="18"/>
      <w:szCs w:val="18"/>
    </w:rPr>
  </w:style>
  <w:style w:type="paragraph" w:customStyle="1" w:styleId="nikatabelee">
    <w:name w:val="nika tabelee"/>
    <w:basedOn w:val="Normal"/>
    <w:link w:val="nikatabeleeZnak"/>
    <w:qFormat/>
    <w:rsid w:val="002F38E7"/>
    <w:pPr>
      <w:spacing w:before="100" w:beforeAutospacing="1" w:after="100" w:afterAutospacing="1" w:line="240" w:lineRule="auto"/>
      <w:jc w:val="center"/>
    </w:pPr>
    <w:rPr>
      <w:rFonts w:ascii="Arial" w:hAnsi="Arial" w:cs="Arial"/>
      <w:b/>
      <w:bCs/>
      <w:i/>
      <w:iCs/>
      <w:sz w:val="18"/>
      <w:szCs w:val="18"/>
    </w:rPr>
  </w:style>
  <w:style w:type="character" w:customStyle="1" w:styleId="nikatabeleeZnak">
    <w:name w:val="nika tabelee Znak"/>
    <w:basedOn w:val="DefaultParagraphFont"/>
    <w:link w:val="nikatabelee"/>
    <w:rsid w:val="002F38E7"/>
    <w:rPr>
      <w:rFonts w:ascii="Arial" w:hAnsi="Arial" w:cs="Arial"/>
      <w:b/>
      <w:bCs/>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32478">
      <w:bodyDiv w:val="1"/>
      <w:marLeft w:val="0"/>
      <w:marRight w:val="0"/>
      <w:marTop w:val="0"/>
      <w:marBottom w:val="0"/>
      <w:divBdr>
        <w:top w:val="none" w:sz="0" w:space="0" w:color="auto"/>
        <w:left w:val="none" w:sz="0" w:space="0" w:color="auto"/>
        <w:bottom w:val="none" w:sz="0" w:space="0" w:color="auto"/>
        <w:right w:val="none" w:sz="0" w:space="0" w:color="auto"/>
      </w:divBdr>
    </w:div>
    <w:div w:id="485244681">
      <w:bodyDiv w:val="1"/>
      <w:marLeft w:val="0"/>
      <w:marRight w:val="0"/>
      <w:marTop w:val="0"/>
      <w:marBottom w:val="0"/>
      <w:divBdr>
        <w:top w:val="none" w:sz="0" w:space="0" w:color="auto"/>
        <w:left w:val="none" w:sz="0" w:space="0" w:color="auto"/>
        <w:bottom w:val="none" w:sz="0" w:space="0" w:color="auto"/>
        <w:right w:val="none" w:sz="0" w:space="0" w:color="auto"/>
      </w:divBdr>
    </w:div>
    <w:div w:id="1431389086">
      <w:bodyDiv w:val="1"/>
      <w:marLeft w:val="0"/>
      <w:marRight w:val="0"/>
      <w:marTop w:val="0"/>
      <w:marBottom w:val="0"/>
      <w:divBdr>
        <w:top w:val="none" w:sz="0" w:space="0" w:color="auto"/>
        <w:left w:val="none" w:sz="0" w:space="0" w:color="auto"/>
        <w:bottom w:val="none" w:sz="0" w:space="0" w:color="auto"/>
        <w:right w:val="none" w:sz="0" w:space="0" w:color="auto"/>
      </w:divBdr>
    </w:div>
    <w:div w:id="191210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kazalci.arso.gov.si/sl/taxonomy/term/93" TargetMode="External"/><Relationship Id="rId21" Type="http://schemas.openxmlformats.org/officeDocument/2006/relationships/hyperlink" Target="file:///D:\Dokumenti\Ceusbs\UNFCCC\PorocanjePoPariskemSporazumu\BTR1_2024\SlikeZaBTR_Energetika_NacRazmere.xlsx" TargetMode="External"/><Relationship Id="rId42" Type="http://schemas.openxmlformats.org/officeDocument/2006/relationships/image" Target="media/image17.emf"/><Relationship Id="rId47" Type="http://schemas.openxmlformats.org/officeDocument/2006/relationships/image" Target="media/image22.emf"/><Relationship Id="rId63" Type="http://schemas.openxmlformats.org/officeDocument/2006/relationships/hyperlink" Target="https://www.energetika-portal.si/fileadmin/dokumenti/publikacije/nepn/dokumenti/strpodl-nepn_pos_dec2024.pdf" TargetMode="External"/><Relationship Id="rId68" Type="http://schemas.openxmlformats.org/officeDocument/2006/relationships/image" Target="media/image34.jpeg"/><Relationship Id="rId84" Type="http://schemas.openxmlformats.org/officeDocument/2006/relationships/footer" Target="footer10.xml"/><Relationship Id="rId89" Type="http://schemas.openxmlformats.org/officeDocument/2006/relationships/header" Target="header12.xml"/><Relationship Id="rId16" Type="http://schemas.openxmlformats.org/officeDocument/2006/relationships/image" Target="media/image7.png"/><Relationship Id="rId11" Type="http://schemas.openxmlformats.org/officeDocument/2006/relationships/image" Target="media/image2.emf"/><Relationship Id="rId32" Type="http://schemas.openxmlformats.org/officeDocument/2006/relationships/hyperlink" Target="https://www.care4climate.si/sl" TargetMode="External"/><Relationship Id="rId37" Type="http://schemas.openxmlformats.org/officeDocument/2006/relationships/header" Target="header3.xml"/><Relationship Id="rId53" Type="http://schemas.openxmlformats.org/officeDocument/2006/relationships/image" Target="media/image28.emf"/><Relationship Id="rId58" Type="http://schemas.openxmlformats.org/officeDocument/2006/relationships/header" Target="header6.xml"/><Relationship Id="rId74" Type="http://schemas.openxmlformats.org/officeDocument/2006/relationships/image" Target="media/image40.png"/><Relationship Id="rId79" Type="http://schemas.openxmlformats.org/officeDocument/2006/relationships/header" Target="header7.xml"/><Relationship Id="rId5" Type="http://schemas.openxmlformats.org/officeDocument/2006/relationships/webSettings" Target="webSettings.xml"/><Relationship Id="rId90" Type="http://schemas.openxmlformats.org/officeDocument/2006/relationships/footer" Target="footer13.xml"/><Relationship Id="rId95" Type="http://schemas.openxmlformats.org/officeDocument/2006/relationships/footer" Target="footer14.xml"/><Relationship Id="rId22" Type="http://schemas.openxmlformats.org/officeDocument/2006/relationships/image" Target="media/image11.emf"/><Relationship Id="rId27" Type="http://schemas.openxmlformats.org/officeDocument/2006/relationships/hyperlink" Target="https://kazalci.arso.gov.si/en/teme/podnebno-ogledalo" TargetMode="External"/><Relationship Id="rId43" Type="http://schemas.openxmlformats.org/officeDocument/2006/relationships/image" Target="media/image18.emf"/><Relationship Id="rId48" Type="http://schemas.openxmlformats.org/officeDocument/2006/relationships/image" Target="media/image23.emf"/><Relationship Id="rId64" Type="http://schemas.openxmlformats.org/officeDocument/2006/relationships/image" Target="media/image32.emf"/><Relationship Id="rId69" Type="http://schemas.openxmlformats.org/officeDocument/2006/relationships/image" Target="media/image35.png"/><Relationship Id="rId80" Type="http://schemas.openxmlformats.org/officeDocument/2006/relationships/header" Target="header8.xml"/><Relationship Id="rId85" Type="http://schemas.openxmlformats.org/officeDocument/2006/relationships/header" Target="header10.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image" Target="media/image14.emf"/><Relationship Id="rId33" Type="http://schemas.openxmlformats.org/officeDocument/2006/relationships/header" Target="header1.xml"/><Relationship Id="rId38" Type="http://schemas.openxmlformats.org/officeDocument/2006/relationships/footer" Target="footer3.xml"/><Relationship Id="rId46" Type="http://schemas.openxmlformats.org/officeDocument/2006/relationships/image" Target="media/image21.emf"/><Relationship Id="rId59" Type="http://schemas.openxmlformats.org/officeDocument/2006/relationships/footer" Target="footer6.xml"/><Relationship Id="rId67" Type="http://schemas.openxmlformats.org/officeDocument/2006/relationships/image" Target="media/image33.png"/><Relationship Id="rId20" Type="http://schemas.openxmlformats.org/officeDocument/2006/relationships/hyperlink" Target="file:///D:\Dokumenti\Ceusbs\UNFCCC\PorocanjePoPariskemSporazumu\BTR1_2024\SlikeZaBTR_Energetika_NacRazmere.xlsx" TargetMode="External"/><Relationship Id="rId41" Type="http://schemas.openxmlformats.org/officeDocument/2006/relationships/hyperlink" Target="https://www.energetika-portal.si/fileadmin/dokumenti/publikacije/nepn/dokumenti/strpodl-nepn_pos_dec2024.pdf" TargetMode="External"/><Relationship Id="rId54" Type="http://schemas.openxmlformats.org/officeDocument/2006/relationships/header" Target="header4.xml"/><Relationship Id="rId62" Type="http://schemas.openxmlformats.org/officeDocument/2006/relationships/image" Target="media/image31.emf"/><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header" Target="header9.xml"/><Relationship Id="rId88" Type="http://schemas.openxmlformats.org/officeDocument/2006/relationships/footer" Target="footer12.xml"/><Relationship Id="rId91" Type="http://schemas.openxmlformats.org/officeDocument/2006/relationships/hyperlink" Target="https://publications.jrc.ec.europa.eu/repository/handle/JRC137809" TargetMode="External"/><Relationship Id="rId96"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emf"/><Relationship Id="rId28" Type="http://schemas.openxmlformats.org/officeDocument/2006/relationships/hyperlink" Target="http://www.samo1planet.si" TargetMode="External"/><Relationship Id="rId36" Type="http://schemas.openxmlformats.org/officeDocument/2006/relationships/footer" Target="footer2.xml"/><Relationship Id="rId49" Type="http://schemas.openxmlformats.org/officeDocument/2006/relationships/image" Target="media/image24.emf"/><Relationship Id="rId57" Type="http://schemas.openxmlformats.org/officeDocument/2006/relationships/footer" Target="footer5.xml"/><Relationship Id="rId10" Type="http://schemas.openxmlformats.org/officeDocument/2006/relationships/hyperlink" Target="https://unfccc.int/sites/default/files/resource/CMA2018_03a02E.pdf" TargetMode="External"/><Relationship Id="rId31" Type="http://schemas.openxmlformats.org/officeDocument/2006/relationships/hyperlink" Target="http://www.uradni-list.si/1/objava.jsp?sop=2022-01-1635" TargetMode="External"/><Relationship Id="rId44" Type="http://schemas.openxmlformats.org/officeDocument/2006/relationships/image" Target="media/image19.emf"/><Relationship Id="rId52" Type="http://schemas.openxmlformats.org/officeDocument/2006/relationships/image" Target="media/image27.emf"/><Relationship Id="rId60" Type="http://schemas.openxmlformats.org/officeDocument/2006/relationships/image" Target="media/image29.emf"/><Relationship Id="rId65" Type="http://schemas.openxmlformats.org/officeDocument/2006/relationships/package" Target="embeddings/Microsoft_Visio_Drawing11111111111111111111111111111.vsdx"/><Relationship Id="rId73" Type="http://schemas.openxmlformats.org/officeDocument/2006/relationships/image" Target="media/image39.png"/><Relationship Id="rId78" Type="http://schemas.openxmlformats.org/officeDocument/2006/relationships/footer" Target="footer7.xml"/><Relationship Id="rId81" Type="http://schemas.openxmlformats.org/officeDocument/2006/relationships/footer" Target="footer8.xml"/><Relationship Id="rId86" Type="http://schemas.openxmlformats.org/officeDocument/2006/relationships/header" Target="header11.xml"/><Relationship Id="rId94" Type="http://schemas.openxmlformats.org/officeDocument/2006/relationships/header" Target="header14.xm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p.mope@gov.si" TargetMode="External"/><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15.emf"/><Relationship Id="rId34" Type="http://schemas.openxmlformats.org/officeDocument/2006/relationships/header" Target="header2.xml"/><Relationship Id="rId50" Type="http://schemas.openxmlformats.org/officeDocument/2006/relationships/image" Target="media/image25.emf"/><Relationship Id="rId55" Type="http://schemas.openxmlformats.org/officeDocument/2006/relationships/header" Target="header5.xml"/><Relationship Id="rId76" Type="http://schemas.openxmlformats.org/officeDocument/2006/relationships/image" Target="media/image42.png"/><Relationship Id="rId97" Type="http://schemas.openxmlformats.org/officeDocument/2006/relationships/header" Target="header15.xml"/><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image" Target="media/image44.png"/><Relationship Id="rId2" Type="http://schemas.openxmlformats.org/officeDocument/2006/relationships/numbering" Target="numbering.xml"/><Relationship Id="rId29" Type="http://schemas.openxmlformats.org/officeDocument/2006/relationships/hyperlink" Target="http://www.sptm.si" TargetMode="External"/><Relationship Id="rId24" Type="http://schemas.openxmlformats.org/officeDocument/2006/relationships/image" Target="media/image13.emf"/><Relationship Id="rId40" Type="http://schemas.openxmlformats.org/officeDocument/2006/relationships/image" Target="media/image16.emf"/><Relationship Id="rId45" Type="http://schemas.openxmlformats.org/officeDocument/2006/relationships/image" Target="media/image20.emf"/><Relationship Id="rId66" Type="http://schemas.openxmlformats.org/officeDocument/2006/relationships/hyperlink" Target="https://www.energetika-portal.si/fileadmin/dokumenti/publikacije/nepn/dokumenti/strpodl-nepn_pos_dec2024.pdf" TargetMode="External"/><Relationship Id="rId87" Type="http://schemas.openxmlformats.org/officeDocument/2006/relationships/footer" Target="footer11.xml"/><Relationship Id="rId61" Type="http://schemas.openxmlformats.org/officeDocument/2006/relationships/image" Target="media/image30.emf"/><Relationship Id="rId82" Type="http://schemas.openxmlformats.org/officeDocument/2006/relationships/footer" Target="footer9.xml"/><Relationship Id="rId19" Type="http://schemas.openxmlformats.org/officeDocument/2006/relationships/image" Target="media/image10.emf"/><Relationship Id="rId14" Type="http://schemas.openxmlformats.org/officeDocument/2006/relationships/image" Target="media/image5.png"/><Relationship Id="rId30" Type="http://schemas.openxmlformats.org/officeDocument/2006/relationships/hyperlink" Target="https://poi.borzen.si/" TargetMode="External"/><Relationship Id="rId35" Type="http://schemas.openxmlformats.org/officeDocument/2006/relationships/footer" Target="footer1.xml"/><Relationship Id="rId56" Type="http://schemas.openxmlformats.org/officeDocument/2006/relationships/footer" Target="footer4.xml"/><Relationship Id="rId77" Type="http://schemas.openxmlformats.org/officeDocument/2006/relationships/chart" Target="charts/chart1.xm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6.emf"/><Relationship Id="rId72" Type="http://schemas.openxmlformats.org/officeDocument/2006/relationships/image" Target="media/image38.png"/><Relationship Id="rId93" Type="http://schemas.openxmlformats.org/officeDocument/2006/relationships/header" Target="header13.xml"/><Relationship Id="rId98" Type="http://schemas.openxmlformats.org/officeDocument/2006/relationships/footer" Target="footer16.xml"/></Relationships>
</file>

<file path=word/_rels/footnotes.xml.rels><?xml version="1.0" encoding="UTF-8" standalone="yes"?>
<Relationships xmlns="http://schemas.openxmlformats.org/package/2006/relationships"><Relationship Id="rId26" Type="http://schemas.openxmlformats.org/officeDocument/2006/relationships/hyperlink" Target="http://www.pisrs.si/Pis.web/pregledPredpisa?id=ZAKO8286" TargetMode="External"/><Relationship Id="rId117" Type="http://schemas.openxmlformats.org/officeDocument/2006/relationships/hyperlink" Target="https://pisrs.si/pregledPredpisa?id=RESO131" TargetMode="External"/><Relationship Id="rId21" Type="http://schemas.openxmlformats.org/officeDocument/2006/relationships/hyperlink" Target="https://ec.europa.eu/info/strategy/decision-making-process/how-decisions-are-made_en" TargetMode="External"/><Relationship Id="rId42" Type="http://schemas.openxmlformats.org/officeDocument/2006/relationships/hyperlink" Target="https://www.energetika-portal.si/fileadmin/dokumenti/publikacije/nepn/dokumenti/nepn2024_final_dec2024.pdf" TargetMode="External"/><Relationship Id="rId47" Type="http://schemas.openxmlformats.org/officeDocument/2006/relationships/hyperlink" Target="http://www.uradni-list.si/1/objava.jsp?sop=2022-01-2848" TargetMode="External"/><Relationship Id="rId63" Type="http://schemas.openxmlformats.org/officeDocument/2006/relationships/hyperlink" Target="https://www.agen-rs.si/documents/10926/38704/Poro%C4%8Dilo_o_stanju_v-energetiki_v_Sloveniji_za-leto-2023_Agencija_za-energijo.pdf/d90eab12-a4c0-45d7-9a54-9e0d25ef2c4c" TargetMode="External"/><Relationship Id="rId68" Type="http://schemas.openxmlformats.org/officeDocument/2006/relationships/hyperlink" Target="https://www.uradni-list.si/glasilo-uradni-list-rs/vsebina/2022-01-4095" TargetMode="External"/><Relationship Id="rId84" Type="http://schemas.openxmlformats.org/officeDocument/2006/relationships/hyperlink" Target="http://www.uradni-list.si/1/objava.jsp?sop=2020-01-2176" TargetMode="External"/><Relationship Id="rId89" Type="http://schemas.openxmlformats.org/officeDocument/2006/relationships/hyperlink" Target="https://www.uradni-list.si/glasilo-uradni-list-rs/vsebina/2022-01-2364" TargetMode="External"/><Relationship Id="rId112" Type="http://schemas.openxmlformats.org/officeDocument/2006/relationships/hyperlink" Target="https://kazalci.arso.gov.si/sl/content/poskodovanost-gozdov-osutost-dreves-5" TargetMode="External"/><Relationship Id="rId16" Type="http://schemas.openxmlformats.org/officeDocument/2006/relationships/hyperlink" Target="https://unfccc.int/documents/626622" TargetMode="External"/><Relationship Id="rId107" Type="http://schemas.openxmlformats.org/officeDocument/2006/relationships/hyperlink" Target="https://kazalci.arso.gov.si/sl/content/namakanje-kmetijskih-zemljisc-4" TargetMode="External"/><Relationship Id="rId11" Type="http://schemas.openxmlformats.org/officeDocument/2006/relationships/hyperlink" Target="https://www.ipcc-nggip.iges.or.jp/public/2006gl/" TargetMode="External"/><Relationship Id="rId32" Type="http://schemas.openxmlformats.org/officeDocument/2006/relationships/hyperlink" Target="https://www.uradni-list.si/glasilo-uradni-list-rs/vsebina/2024-01-2328/sklep-o-visini-okoljske-dajatve-za-onesnazevanje-zraka-z-emisijo-ogljikovega-dioksida" TargetMode="External"/><Relationship Id="rId37" Type="http://schemas.openxmlformats.org/officeDocument/2006/relationships/hyperlink" Target="http://www.uradni-list.si/1/objava.jsp?sop=2020-01-2762" TargetMode="External"/><Relationship Id="rId53" Type="http://schemas.openxmlformats.org/officeDocument/2006/relationships/hyperlink" Target="https://borzen.si/sl-si/" TargetMode="External"/><Relationship Id="rId58" Type="http://schemas.openxmlformats.org/officeDocument/2006/relationships/hyperlink" Target="http://www.uradni-list.si/1/objava.jsp?sop=2022-01-1635" TargetMode="External"/><Relationship Id="rId74" Type="http://schemas.openxmlformats.org/officeDocument/2006/relationships/hyperlink" Target="https://www.uradni-list.si/glasilo-uradni-list-rs/vsebina/2021-01-2570" TargetMode="External"/><Relationship Id="rId79" Type="http://schemas.openxmlformats.org/officeDocument/2006/relationships/hyperlink" Target="http://www.uradni-list.si/1/objava.jsp?sop=2016-01-2573" TargetMode="External"/><Relationship Id="rId102" Type="http://schemas.openxmlformats.org/officeDocument/2006/relationships/hyperlink" Target="https://kazalci.arso.gov.si/sl/content/temperaturni-primanjkljaj-presezek-0" TargetMode="External"/><Relationship Id="rId123" Type="http://schemas.openxmlformats.org/officeDocument/2006/relationships/hyperlink" Target="https://mrv.emsa.europa.eu/" TargetMode="External"/><Relationship Id="rId5" Type="http://schemas.openxmlformats.org/officeDocument/2006/relationships/hyperlink" Target="https://www.facebook.com/ArsoVreme/" TargetMode="External"/><Relationship Id="rId90" Type="http://schemas.openxmlformats.org/officeDocument/2006/relationships/hyperlink" Target="https://www.uradni-list.si/glasilo-uradni-list-rs/vsebina/2024-01-2264" TargetMode="External"/><Relationship Id="rId95" Type="http://schemas.openxmlformats.org/officeDocument/2006/relationships/hyperlink" Target="https://podnebnapot2050.si/wp-content/uploads/2024/11/LIFE-ClimatePath2050-Deliverable-C2.1_Part_1_Summary-report.pdf" TargetMode="External"/><Relationship Id="rId22" Type="http://schemas.openxmlformats.org/officeDocument/2006/relationships/hyperlink" Target="https://ec.europa.eu/info/law/better-regulation/have-your-say_en" TargetMode="External"/><Relationship Id="rId27" Type="http://schemas.openxmlformats.org/officeDocument/2006/relationships/hyperlink" Target="https://unfccc.int/documents/626622" TargetMode="External"/><Relationship Id="rId43" Type="http://schemas.openxmlformats.org/officeDocument/2006/relationships/hyperlink" Target="https://www.energetika-portal.si/dokumenti/strateski-razvojni-dokumenti/nacionalna-strategija-za-izstop-iz-premoga-in-prestrukturiranje-premogovnih-regij/" TargetMode="External"/><Relationship Id="rId48" Type="http://schemas.openxmlformats.org/officeDocument/2006/relationships/hyperlink" Target="http://www.uradni-list.si/1/objava.jsp?sop=2021-01-2570" TargetMode="External"/><Relationship Id="rId64" Type="http://schemas.openxmlformats.org/officeDocument/2006/relationships/hyperlink" Target="https://www.ekosklad.si/informacije/o-skladu/letna-porocila/letno-porocilo-eko-sklada-za-leto-2023" TargetMode="External"/><Relationship Id="rId69" Type="http://schemas.openxmlformats.org/officeDocument/2006/relationships/hyperlink" Target="https://www.uradni-list.si/glasilo-uradni-list-rs/vsebina/2023-01-3891" TargetMode="External"/><Relationship Id="rId113" Type="http://schemas.openxmlformats.org/officeDocument/2006/relationships/hyperlink" Target="https://kazalci.arso.gov.si/sl/content/poskodovanost-gozdov-osutost-dreves-5" TargetMode="External"/><Relationship Id="rId118" Type="http://schemas.openxmlformats.org/officeDocument/2006/relationships/hyperlink" Target="https://pisrs.si/pregledPredpisa?id=RESO117" TargetMode="External"/><Relationship Id="rId80" Type="http://schemas.openxmlformats.org/officeDocument/2006/relationships/hyperlink" Target="http://www.uradni-list.si/1/objava.jsp?sop=2020-01-2762" TargetMode="External"/><Relationship Id="rId85" Type="http://schemas.openxmlformats.org/officeDocument/2006/relationships/hyperlink" Target="http://www.uradni-list.si/1/objava.jsp?sop=2020-01-2762" TargetMode="External"/><Relationship Id="rId12" Type="http://schemas.openxmlformats.org/officeDocument/2006/relationships/hyperlink" Target="https://www.ipcc.ch/report/2019-refinement-to-the-2006-ipcc-guidelines-for-national-greenhouse-gas-inventories/" TargetMode="External"/><Relationship Id="rId17" Type="http://schemas.openxmlformats.org/officeDocument/2006/relationships/hyperlink" Target="https://podnebnapot2050.si/wp-content/uploads/2022/06/PO2022_Zvezek1_Cilji_KON_2022-06-15F.pdf" TargetMode="External"/><Relationship Id="rId33" Type="http://schemas.openxmlformats.org/officeDocument/2006/relationships/hyperlink" Target="https://www.energetika-portal.si/podrocja/energetika/ukrepi-za-omilitev-draginje-na-podrocju-energetike/naftni-derivati/" TargetMode="External"/><Relationship Id="rId38" Type="http://schemas.openxmlformats.org/officeDocument/2006/relationships/hyperlink" Target="http://www.uradni-list.si/1/objava.jsp?sop=2022-01-1979" TargetMode="External"/><Relationship Id="rId59" Type="http://schemas.openxmlformats.org/officeDocument/2006/relationships/hyperlink" Target="http://www.uradni-list.si/1/objava.jsp?sop=2021-01-3349" TargetMode="External"/><Relationship Id="rId103" Type="http://schemas.openxmlformats.org/officeDocument/2006/relationships/hyperlink" Target="https://kazalci.arso.gov.si/sl/content/letna-recna-bilanca-10" TargetMode="External"/><Relationship Id="rId108" Type="http://schemas.openxmlformats.org/officeDocument/2006/relationships/hyperlink" Target="https://kazalci.arso.gov.si/sl/content/triglavski-ledenik-0" TargetMode="External"/><Relationship Id="rId54" Type="http://schemas.openxmlformats.org/officeDocument/2006/relationships/hyperlink" Target="https://www.agen-rs.si/gradiva/-/asset_publisher/M2GdU2jRtCxV/content/porocilo-o-stanju-na-podrocju-energetike-v-sloveniji-v-letu-2013?inheritRedirect=false&amp;redirect=https%3A%2F%2Fwww.agen-rs.si%2Fgradiva%3Fp_p_id%3D101_INSTANCE_M2GdU2jRtCxV%26p_p_lifecycle%3D0%26p_p_state%3Dnormal%26p_p_mode%3Dview%26p_p_col_id%3Dcolumn-1%26p_p_col_count%3D1" TargetMode="External"/><Relationship Id="rId70" Type="http://schemas.openxmlformats.org/officeDocument/2006/relationships/hyperlink" Target="https://www.uradni-list.si/glasilo-uradni-list-rs/vsebina/2024-01-3304" TargetMode="External"/><Relationship Id="rId75" Type="http://schemas.openxmlformats.org/officeDocument/2006/relationships/hyperlink" Target="https://www.uradni-list.si/glasilo-uradni-list-rs/vsebina/2021-01-3725" TargetMode="External"/><Relationship Id="rId91" Type="http://schemas.openxmlformats.org/officeDocument/2006/relationships/hyperlink" Target="https://www.energetika-portal.si/fileadmin/dokumenti/publikacije/nepn/dokumenti/strpodl-nepn_pos_dec2024.pdf" TargetMode="External"/><Relationship Id="rId96" Type="http://schemas.openxmlformats.org/officeDocument/2006/relationships/hyperlink" Target="https://podnebnapot2050.si/wp-content/uploads/2024/11/LIFE-ClimatePath2050-Deliverable-C2.1_Part_2_Energy-sector-models_compressed.pdf" TargetMode="External"/><Relationship Id="rId1" Type="http://schemas.openxmlformats.org/officeDocument/2006/relationships/hyperlink" Target="https://unfccc.int/documents/644792" TargetMode="External"/><Relationship Id="rId6" Type="http://schemas.openxmlformats.org/officeDocument/2006/relationships/hyperlink" Target="https://x.com/meteoSI" TargetMode="External"/><Relationship Id="rId23" Type="http://schemas.openxmlformats.org/officeDocument/2006/relationships/hyperlink" Target="https://unfccc.int/documents/626622" TargetMode="External"/><Relationship Id="rId28" Type="http://schemas.openxmlformats.org/officeDocument/2006/relationships/hyperlink" Target="https://unfccc.int/sites/default/files/NDC/2023-10/ES-2023-10-17%20Predlo&#382;itev%20EU%20NDC%20update.pdf" TargetMode="External"/><Relationship Id="rId49" Type="http://schemas.openxmlformats.org/officeDocument/2006/relationships/hyperlink" Target="http://www.uradni-list.si/1/objava.jsp?sop=2021-01-3725" TargetMode="External"/><Relationship Id="rId114" Type="http://schemas.openxmlformats.org/officeDocument/2006/relationships/hyperlink" Target="https://kazalci.arso.gov.si/en/content/heat-waves-and-daily-number-deaths-1" TargetMode="External"/><Relationship Id="rId119" Type="http://schemas.openxmlformats.org/officeDocument/2006/relationships/hyperlink" Target="https://one.oecd.org/document/DCD/DAC(2024)40/FINAL/en/pdf" TargetMode="External"/><Relationship Id="rId44" Type="http://schemas.openxmlformats.org/officeDocument/2006/relationships/hyperlink" Target="https://www.energetika-portal.si/dokumenti/strateski-razvojni-dokumenti/nacionalna-strategija-za-izstop-iz-premoga-in-prestrukturiranje-premogovnih-regij/obmocna-nacrta-za-premogovni-regiji/" TargetMode="External"/><Relationship Id="rId60" Type="http://schemas.openxmlformats.org/officeDocument/2006/relationships/hyperlink" Target="https://www.gov.si/zbirke/javne-objave/javni-razpis-za-sofinanciranje-nalozb-v-skupnostno-samooskrbo-z-elektricno-energijo-iz-obnovljivih-virov-energije/" TargetMode="External"/><Relationship Id="rId65" Type="http://schemas.openxmlformats.org/officeDocument/2006/relationships/hyperlink" Target="https://www.ekosklad.si/informacije/o-skladu/letna-porocila/letno-porocilo-eko-sklada-za-leto-2023" TargetMode="External"/><Relationship Id="rId81" Type="http://schemas.openxmlformats.org/officeDocument/2006/relationships/hyperlink" Target="https://www.uradni-list.si/glasilo-uradni-list-rs/vsebina/2022-01-3199" TargetMode="External"/><Relationship Id="rId86" Type="http://schemas.openxmlformats.org/officeDocument/2006/relationships/hyperlink" Target="http://www.eu-skladi.si/kohezija-do-2013/predpisi/operativni-programi/2007-2013/operativni-program-razvoja-okoljske-in-prometne-infrastrukture/OPROPIcistopis_9_9_2015.pdf" TargetMode="External"/><Relationship Id="rId4" Type="http://schemas.openxmlformats.org/officeDocument/2006/relationships/hyperlink" Target="https://meteo.arso.gov.si/met/sl/climate/current/" TargetMode="External"/><Relationship Id="rId9" Type="http://schemas.openxmlformats.org/officeDocument/2006/relationships/hyperlink" Target="https://unfccc.int/documents/193408" TargetMode="External"/><Relationship Id="rId13" Type="http://schemas.openxmlformats.org/officeDocument/2006/relationships/hyperlink" Target="https://publications.jrc.ec.europa.eu/repository/handle/JRC137809" TargetMode="External"/><Relationship Id="rId18" Type="http://schemas.openxmlformats.org/officeDocument/2006/relationships/hyperlink" Target="https://kazalci.arso.gov.si/sl/teme/po-doseganje-ciljev" TargetMode="External"/><Relationship Id="rId39" Type="http://schemas.openxmlformats.org/officeDocument/2006/relationships/hyperlink" Target="http://www.uradni-list.si/1/objava.jsp?sop=2022-01-2022" TargetMode="External"/><Relationship Id="rId109" Type="http://schemas.openxmlformats.org/officeDocument/2006/relationships/hyperlink" Target="https://kazalci.arso.gov.si/sl/content/visina-morja-5" TargetMode="External"/><Relationship Id="rId34" Type="http://schemas.openxmlformats.org/officeDocument/2006/relationships/hyperlink" Target="https://ejn.gov.si/novice/novica-85.html" TargetMode="External"/><Relationship Id="rId50" Type="http://schemas.openxmlformats.org/officeDocument/2006/relationships/hyperlink" Target="http://www.uradni-list.si/1/objava.jsp?sop=2022-01-2848" TargetMode="External"/><Relationship Id="rId55" Type="http://schemas.openxmlformats.org/officeDocument/2006/relationships/hyperlink" Target="http://www.pisrs.si/Pis.web/pregledPredpisa?id=URED8432" TargetMode="External"/><Relationship Id="rId76" Type="http://schemas.openxmlformats.org/officeDocument/2006/relationships/hyperlink" Target="https://www.uradni-list.si/glasilo-uradni-list-rs/vsebina/2022-01-2848" TargetMode="External"/><Relationship Id="rId97" Type="http://schemas.openxmlformats.org/officeDocument/2006/relationships/hyperlink" Target="https://podnebnapot2050.si/wp-content/uploads/2024/11/LIFE-ClimatePath2050-Deliverable-C2.1_Part_4_Other-IPCC-sectors.pdf" TargetMode="External"/><Relationship Id="rId104" Type="http://schemas.openxmlformats.org/officeDocument/2006/relationships/hyperlink" Target="https://kazalci.arso.gov.si/sl/content/proizvodnja-elektricne-energije-iz-obnovljivih-virov-energije-3" TargetMode="External"/><Relationship Id="rId120" Type="http://schemas.openxmlformats.org/officeDocument/2006/relationships/hyperlink" Target="https://one.oecd.org/document/DCD/DAC(2024)40/FINAL/en/pdf" TargetMode="External"/><Relationship Id="rId7" Type="http://schemas.openxmlformats.org/officeDocument/2006/relationships/hyperlink" Target="https://www.arso.gov.si/o%20agenciji/knji%c5%benica/mese%c4%8dni%20bilten./" TargetMode="External"/><Relationship Id="rId71" Type="http://schemas.openxmlformats.org/officeDocument/2006/relationships/hyperlink" Target="https://www.energetika-portal.si/fileadmin/dokumenti/publikacije/dseps/dseps_2050_final.pdf" TargetMode="External"/><Relationship Id="rId92" Type="http://schemas.openxmlformats.org/officeDocument/2006/relationships/hyperlink" Target="https://www.energetika-portal.si/fileadmin/dokumenti/publikacije/nepn/dokumenti/strpodl-nepn_pos_dec2024.pdf" TargetMode="External"/><Relationship Id="rId2" Type="http://schemas.openxmlformats.org/officeDocument/2006/relationships/hyperlink" Target="https://unfccc.int/documents/644829" TargetMode="External"/><Relationship Id="rId29" Type="http://schemas.openxmlformats.org/officeDocument/2006/relationships/hyperlink" Target="https://unfccc.int/sites/default/files/NDC/2023-10/ES-2023-10-17%20Predlo&#382;itev%20EU%20NDC%20update.pdf" TargetMode="External"/><Relationship Id="rId24" Type="http://schemas.openxmlformats.org/officeDocument/2006/relationships/hyperlink" Target="https://unfccc.int/documents/626622" TargetMode="External"/><Relationship Id="rId40" Type="http://schemas.openxmlformats.org/officeDocument/2006/relationships/hyperlink" Target="http://www.uradni-list.si/1/objava.jsp?sop=2022-01-2641" TargetMode="External"/><Relationship Id="rId45" Type="http://schemas.openxmlformats.org/officeDocument/2006/relationships/hyperlink" Target="http://www.uradni-list.si/1/objava.jsp?sop=2021-01-2570" TargetMode="External"/><Relationship Id="rId66" Type="http://schemas.openxmlformats.org/officeDocument/2006/relationships/hyperlink" Target="https://www.gov.si/zbirke/projekti-in-programi/izvajanje-slovenske-strategije-pametne-specializacije/" TargetMode="External"/><Relationship Id="rId87" Type="http://schemas.openxmlformats.org/officeDocument/2006/relationships/hyperlink" Target="https://www.sptm.si/gradiva/smernice" TargetMode="External"/><Relationship Id="rId110" Type="http://schemas.openxmlformats.org/officeDocument/2006/relationships/hyperlink" Target="https://kazalci.arso.gov.si/sl/content/hidroloska-susa-podzemnih-voda-0" TargetMode="External"/><Relationship Id="rId115" Type="http://schemas.openxmlformats.org/officeDocument/2006/relationships/hyperlink" Target="https://kazalci.arso.gov.si/en/content/reported-cases-lyme-borreliosis-and-tick-borne-meningoencephalitis-slovenia-3" TargetMode="External"/><Relationship Id="rId61" Type="http://schemas.openxmlformats.org/officeDocument/2006/relationships/hyperlink" Target="https://www.sodo.si/sl/distibucija-elektricne-energije/stanje-vlog-za-samooskrbo" TargetMode="External"/><Relationship Id="rId82" Type="http://schemas.openxmlformats.org/officeDocument/2006/relationships/hyperlink" Target="https://www.energetika-portal.si/fileadmin/dokumenti/podrocja/energetika/energetska_revscina/an_enrev_nov2023.pdf" TargetMode="External"/><Relationship Id="rId19" Type="http://schemas.openxmlformats.org/officeDocument/2006/relationships/hyperlink" Target="https://kazalci.arso.gov.si/index.php/sl/teme/podnebno-ogledalo" TargetMode="External"/><Relationship Id="rId14" Type="http://schemas.openxmlformats.org/officeDocument/2006/relationships/hyperlink" Target="https://climate.ec.europa.eu/document/download/d0671350-37f2-4bc4-88e8-088d0508fb03_en?filename=COM_2024_498_F1_REPORT_FROM_COMMISSION_EN_V4_P1_3729454.PDF" TargetMode="External"/><Relationship Id="rId30" Type="http://schemas.openxmlformats.org/officeDocument/2006/relationships/hyperlink" Target="https://publications.jrc.ec.europa.eu/repository/handle/JRC137809" TargetMode="External"/><Relationship Id="rId35" Type="http://schemas.openxmlformats.org/officeDocument/2006/relationships/hyperlink" Target="https://www.uradni-list.si/glasilo-uradni-list-rs/vsebina/2020-01-2762" TargetMode="External"/><Relationship Id="rId56" Type="http://schemas.openxmlformats.org/officeDocument/2006/relationships/hyperlink" Target="http://www.pisrs.si/Pis.web/pregledPredpisa?id=URED8432" TargetMode="External"/><Relationship Id="rId77" Type="http://schemas.openxmlformats.org/officeDocument/2006/relationships/hyperlink" Target="https://www.uradni-list.si/glasilo-uradni-list-rs/vsebina/2024-01-3208" TargetMode="External"/><Relationship Id="rId100" Type="http://schemas.openxmlformats.org/officeDocument/2006/relationships/hyperlink" Target="https://podatki.gov.si/data/search?s=podnebne+projekcije" TargetMode="External"/><Relationship Id="rId105" Type="http://schemas.openxmlformats.org/officeDocument/2006/relationships/hyperlink" Target="https://kazalci.arso.gov.si/sl/content/kmetijske-suse-0" TargetMode="External"/><Relationship Id="rId8" Type="http://schemas.openxmlformats.org/officeDocument/2006/relationships/hyperlink" Target="http://data.europa.eu/eli/reg/2018/1999/oj" TargetMode="External"/><Relationship Id="rId51" Type="http://schemas.openxmlformats.org/officeDocument/2006/relationships/hyperlink" Target="http://www.uradni-list.si/1/objava.jsp?sop=2022-01-0539" TargetMode="External"/><Relationship Id="rId72" Type="http://schemas.openxmlformats.org/officeDocument/2006/relationships/hyperlink" Target="https://www.energetika-portal.si/fileadmin/dokumenti/podrocja/energetika/javne_stavbe/smernice_kd_23.2.2017.pdf" TargetMode="External"/><Relationship Id="rId93" Type="http://schemas.openxmlformats.org/officeDocument/2006/relationships/hyperlink" Target="https://doi.org/10.1016/j.ecoinf.2023.102115" TargetMode="External"/><Relationship Id="rId98" Type="http://schemas.openxmlformats.org/officeDocument/2006/relationships/hyperlink" Target="https://meteo.arso.gov.si/uploads/probase/www/climate/text/sl/publications/OPS21_Porocilo.pdf" TargetMode="External"/><Relationship Id="rId121" Type="http://schemas.openxmlformats.org/officeDocument/2006/relationships/hyperlink" Target="https://publications.jrc.ec.europa.eu/repository/handle/JRC137809" TargetMode="External"/><Relationship Id="rId3" Type="http://schemas.openxmlformats.org/officeDocument/2006/relationships/hyperlink" Target="https://unfccc.int/documents/644830" TargetMode="External"/><Relationship Id="rId25" Type="http://schemas.openxmlformats.org/officeDocument/2006/relationships/hyperlink" Target="https://www.energetika-portal.si/fileadmin/dokumenti/publikacije/nepn/izvajanje/nepn_porizv_sep2022.pdf" TargetMode="External"/><Relationship Id="rId46" Type="http://schemas.openxmlformats.org/officeDocument/2006/relationships/hyperlink" Target="http://www.uradni-list.si/1/objava.jsp?sop=2021-01-3725" TargetMode="External"/><Relationship Id="rId67" Type="http://schemas.openxmlformats.org/officeDocument/2006/relationships/hyperlink" Target="https://www.uradni-list.si/glasilo-uradni-list-rs/vsebina/2022-01-1635" TargetMode="External"/><Relationship Id="rId116" Type="http://schemas.openxmlformats.org/officeDocument/2006/relationships/hyperlink" Target="https://kazalci.arso.gov.si/sl/content/ekstremni-padavinski-dogodki-0" TargetMode="External"/><Relationship Id="rId20" Type="http://schemas.openxmlformats.org/officeDocument/2006/relationships/hyperlink" Target="https://eur-lex.europa.eu/eli/reg/2018/1999/2023-11-20" TargetMode="External"/><Relationship Id="rId41" Type="http://schemas.openxmlformats.org/officeDocument/2006/relationships/hyperlink" Target="https://www.energetika-portal.si/fileadmin/dokumenti/publikacije/nepn/dokumenti/nepn_5.0_final_feb-2020.pdf" TargetMode="External"/><Relationship Id="rId62" Type="http://schemas.openxmlformats.org/officeDocument/2006/relationships/hyperlink" Target="https://www.agen-rs.si/gradiva/-/asset_publisher/M2GdU2jRtCxV/content/porocilo-o-stanju-na-podrocju-energetike-v-sloveniji-v-letu-2013?inheritRedirect=false&amp;redirect=https%3A%2F%2Fwww.agen-rs.si%2Fgradiva%3Fp_p_id%3D101_INSTANCE_M2GdU2jRtCxV%26p_p_lifecycle%3D0%26p_p_state%3Dnormal%26p_p_mode%3Dview%26p_p_col_id%3Dcolumn-1%26p_p_col_count%3D1" TargetMode="External"/><Relationship Id="rId83" Type="http://schemas.openxmlformats.org/officeDocument/2006/relationships/hyperlink" Target="http://www.uradni-list.si/1/objava.jsp?sop=2016-01-2348" TargetMode="External"/><Relationship Id="rId88" Type="http://schemas.openxmlformats.org/officeDocument/2006/relationships/hyperlink" Target="https://www.uradni-list.si/glasilo-uradni-list-rs/vsebina/2021-01-4387" TargetMode="External"/><Relationship Id="rId111" Type="http://schemas.openxmlformats.org/officeDocument/2006/relationships/hyperlink" Target="https://kazalci.arso.gov.si/sl/content/triglavski-ledenik-0" TargetMode="External"/><Relationship Id="rId15" Type="http://schemas.openxmlformats.org/officeDocument/2006/relationships/hyperlink" Target="https://www.eea.europa.eu/en/newsroom/news/eea-trends-and-projections" TargetMode="External"/><Relationship Id="rId36" Type="http://schemas.openxmlformats.org/officeDocument/2006/relationships/hyperlink" Target="http://www.uradni-list.si/1/objava.jsp?sop=2014-01-4042" TargetMode="External"/><Relationship Id="rId57" Type="http://schemas.openxmlformats.org/officeDocument/2006/relationships/hyperlink" Target="https://www.agen-rs.si/gradiva/-/asset_publisher/M2GdU2jRtCxV/content/porocilo-o-stanju-na-podrocju-energetike-v-sloveniji-v-letu-2013?inheritRedirect=false&amp;redirect=https%3A%2F%2Fwww.agen-rs.si%2Fgradiva%3Fp_p_id%3D101_INSTANCE_M2GdU2jRtCxV%26p_p_lifecycle%3D0%26p_p_state%3Dnormal%26p_p_mode%3Dview%26p_p_col_id%3Dcolumn-1%26p_p_col_count%3D1" TargetMode="External"/><Relationship Id="rId106" Type="http://schemas.openxmlformats.org/officeDocument/2006/relationships/hyperlink" Target="https://kazalci.arso.gov.si/sl/content/kmetijske-suse-0" TargetMode="External"/><Relationship Id="rId10" Type="http://schemas.openxmlformats.org/officeDocument/2006/relationships/hyperlink" Target="https://unfccc.int/documents/460951" TargetMode="External"/><Relationship Id="rId31" Type="http://schemas.openxmlformats.org/officeDocument/2006/relationships/hyperlink" Target="https://unfccc.int/documents/193407" TargetMode="External"/><Relationship Id="rId52" Type="http://schemas.openxmlformats.org/officeDocument/2006/relationships/hyperlink" Target="http://www.uradni-list.si/1/objava.jsp?sop=2022-01-0539" TargetMode="External"/><Relationship Id="rId73" Type="http://schemas.openxmlformats.org/officeDocument/2006/relationships/hyperlink" Target="https://www.eu-skladi.si/sl/dokumenti/kljucni-dokumenti/op_slo_web.pdf" TargetMode="External"/><Relationship Id="rId78" Type="http://schemas.openxmlformats.org/officeDocument/2006/relationships/hyperlink" Target="http://www.uradni-list.si/1/objava.jsp?sop=2015-01-3265" TargetMode="External"/><Relationship Id="rId94" Type="http://schemas.openxmlformats.org/officeDocument/2006/relationships/hyperlink" Target="https://www.energetika-portal.si/fileadmin/dokumenti/publikacije/nepn/dokumenti/strpodl-nepn_pos_dec2024.pdf" TargetMode="External"/><Relationship Id="rId99" Type="http://schemas.openxmlformats.org/officeDocument/2006/relationships/hyperlink" Target="https://meteo.arso.gov.si/uploads/probase/www/climate/OPS21/Priloge-app/" TargetMode="External"/><Relationship Id="rId101" Type="http://schemas.openxmlformats.org/officeDocument/2006/relationships/hyperlink" Target="https://www.eea.europa.eu/en/analysis/indicators/economic-losses-from-climate-related" TargetMode="External"/><Relationship Id="rId122" Type="http://schemas.openxmlformats.org/officeDocument/2006/relationships/hyperlink" Target="https://transport.ec.europa.eu/facts-funding/studies-data/eu-transport-figures-statistical-pocketbook/statistical-pocketbook-2023_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sl-SI" sz="1100" b="1"/>
              <a:t>9.70 M</a:t>
            </a:r>
            <a:r>
              <a:rPr lang="sl-SI" sz="1100" b="1" baseline="0"/>
              <a:t> </a:t>
            </a:r>
          </a:p>
          <a:p>
            <a:pPr>
              <a:defRPr sz="1100" b="1"/>
            </a:pPr>
            <a:r>
              <a:rPr lang="sl-SI" sz="1100" b="1" baseline="0"/>
              <a:t>EUR</a:t>
            </a:r>
            <a:endParaRPr lang="sl-SI" sz="1100" b="1"/>
          </a:p>
        </c:rich>
      </c:tx>
      <c:layout>
        <c:manualLayout>
          <c:xMode val="edge"/>
          <c:yMode val="edge"/>
          <c:x val="0.44888188976377952"/>
          <c:y val="0.34141260568235421"/>
        </c:manualLayout>
      </c:layout>
      <c:overlay val="0"/>
      <c:spPr>
        <a:noFill/>
        <a:ln>
          <a:noFill/>
        </a:ln>
        <a:effectLst/>
      </c:spPr>
      <c:txPr>
        <a:bodyPr rot="0" spcFirstLastPara="1" vertOverflow="ellipsis" vert="horz" wrap="square" anchor="ctr" anchorCtr="1"/>
        <a:lstStyle/>
        <a:p>
          <a:pPr>
            <a:defRPr sz="11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l-SI"/>
        </a:p>
      </c:txPr>
    </c:title>
    <c:autoTitleDeleted val="0"/>
    <c:plotArea>
      <c:layout>
        <c:manualLayout>
          <c:layoutTarget val="inner"/>
          <c:xMode val="edge"/>
          <c:yMode val="edge"/>
          <c:x val="0.28691776027996502"/>
          <c:y val="5.2053775536122504E-2"/>
          <c:w val="0.44005358705161851"/>
          <c:h val="0.73088485046635598"/>
        </c:manualLayout>
      </c:layout>
      <c:doughnutChart>
        <c:varyColors val="1"/>
        <c:dLbls>
          <c:showLegendKey val="0"/>
          <c:showVal val="0"/>
          <c:showCatName val="0"/>
          <c:showSerName val="0"/>
          <c:showPercent val="0"/>
          <c:showBubbleSize val="0"/>
          <c:showLeaderLines val="0"/>
        </c:dLbls>
        <c:firstSliceAng val="0"/>
        <c:holeSize val="4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sl-SI"/>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sl-SI"/>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3.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3" name="Picture 2" descr="A pie chart with numbers and text&#10;&#10;AI-generated content may be incorrect."/>
        <cdr:cNvPicPr>
          <a:picLocks xmlns:a="http://schemas.openxmlformats.org/drawingml/2006/main" noChangeAspect="1"/>
        </cdr:cNvPicPr>
      </cdr:nvPicPr>
      <cdr:blipFill>
        <a:blip xmlns:a="http://schemas.openxmlformats.org/drawingml/2006/main" xmlns:r="http://schemas.openxmlformats.org/officeDocument/2006/relationships" r:embed="rId1">
          <a:extLst>
            <a:ext uri="{28A0092B-C50C-407E-A947-70E740481C1C}">
              <a14:useLocalDpi xmlns:a14="http://schemas.microsoft.com/office/drawing/2010/main" val="0"/>
            </a:ext>
          </a:extLst>
        </a:blip>
        <a:stretch xmlns:a="http://schemas.openxmlformats.org/drawingml/2006/main">
          <a:fillRect/>
        </a:stretch>
      </cdr:blipFill>
      <cdr:spPr>
        <a:xfrm xmlns:a="http://schemas.openxmlformats.org/drawingml/2006/main">
          <a:off x="0" y="0"/>
          <a:ext cx="4601217" cy="2753109"/>
        </a:xfrm>
        <a:prstGeom xmlns:a="http://schemas.openxmlformats.org/drawingml/2006/main" prst="rect">
          <a:avLst/>
        </a:prstGeom>
      </cdr:spPr>
    </cdr:pic>
  </cdr:relSizeAnchor>
</c:userShape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37527E4-E269-4ECC-B523-2634C325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203</Pages>
  <Words>79315</Words>
  <Characters>452097</Characters>
  <Application>Microsoft Office Word</Application>
  <DocSecurity>0</DocSecurity>
  <Lines>3767</Lines>
  <Paragraphs>1060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MJU</Company>
  <LinksUpToDate>false</LinksUpToDate>
  <CharactersWithSpaces>530352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MOPE</dc:creator>
  <cp:keywords/>
  <dc:description/>
  <cp:lastModifiedBy>Tina Kobilšek</cp:lastModifiedBy>
  <cp:revision>10</cp:revision>
  <dcterms:created xsi:type="dcterms:W3CDTF">2025-05-14T07:42:00Z</dcterms:created>
  <dcterms:modified xsi:type="dcterms:W3CDTF">2025-05-14T09:35:00Z</dcterms:modified>
</cp:coreProperties>
</file>