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4EB" w:rsidRPr="00B148B1" w:rsidRDefault="00D774EB" w:rsidP="00D774EB">
      <w:pPr>
        <w:spacing w:line="360" w:lineRule="atLeast"/>
        <w:jc w:val="center"/>
        <w:rPr>
          <w:rFonts w:cs="Arial"/>
          <w:b/>
        </w:rPr>
      </w:pPr>
    </w:p>
    <w:p w:rsidR="00D774EB" w:rsidRPr="00B148B1" w:rsidRDefault="00D774EB" w:rsidP="00D774EB">
      <w:pPr>
        <w:spacing w:line="360" w:lineRule="atLeast"/>
        <w:jc w:val="center"/>
        <w:rPr>
          <w:rFonts w:cs="Arial"/>
          <w:b/>
        </w:rPr>
      </w:pPr>
    </w:p>
    <w:p w:rsidR="00D774EB" w:rsidRPr="00B148B1" w:rsidRDefault="00D774EB" w:rsidP="00D774EB">
      <w:pPr>
        <w:spacing w:line="360" w:lineRule="atLeast"/>
        <w:jc w:val="center"/>
        <w:rPr>
          <w:rFonts w:cs="Arial"/>
          <w:b/>
        </w:rPr>
      </w:pPr>
    </w:p>
    <w:p w:rsidR="00D774EB" w:rsidRPr="00B148B1" w:rsidRDefault="00D774EB" w:rsidP="00D774EB">
      <w:pPr>
        <w:spacing w:line="360" w:lineRule="atLeast"/>
        <w:jc w:val="center"/>
        <w:rPr>
          <w:rFonts w:cs="Arial"/>
          <w:b/>
        </w:rPr>
      </w:pPr>
    </w:p>
    <w:p w:rsidR="00D774EB" w:rsidRPr="00B148B1" w:rsidRDefault="00D774EB" w:rsidP="00D774EB">
      <w:pPr>
        <w:spacing w:line="360" w:lineRule="atLeast"/>
        <w:jc w:val="center"/>
        <w:rPr>
          <w:rFonts w:cs="Arial"/>
          <w:b/>
        </w:rPr>
      </w:pPr>
    </w:p>
    <w:p w:rsidR="00545A76" w:rsidRPr="00B148B1" w:rsidRDefault="00545A76" w:rsidP="00D774EB">
      <w:pPr>
        <w:spacing w:line="360" w:lineRule="atLeast"/>
        <w:jc w:val="center"/>
        <w:rPr>
          <w:rFonts w:cs="Arial"/>
          <w:b/>
        </w:rPr>
      </w:pPr>
    </w:p>
    <w:p w:rsidR="008B035B" w:rsidRPr="00F0332C" w:rsidRDefault="008B035B" w:rsidP="008B035B">
      <w:pPr>
        <w:pStyle w:val="datumtevilka"/>
        <w:rPr>
          <w:rFonts w:cs="Arial"/>
        </w:rPr>
      </w:pPr>
      <w:r w:rsidRPr="00F0332C">
        <w:rPr>
          <w:rFonts w:cs="Arial"/>
        </w:rPr>
        <w:t xml:space="preserve">Številka: </w:t>
      </w:r>
      <w:r w:rsidRPr="00F0332C">
        <w:rPr>
          <w:rFonts w:cs="Arial"/>
        </w:rPr>
        <w:tab/>
      </w:r>
      <w:r w:rsidRPr="00F0332C">
        <w:rPr>
          <w:rFonts w:cs="Arial"/>
          <w:color w:val="000000"/>
        </w:rPr>
        <w:t>35400-6/2020/4</w:t>
      </w:r>
    </w:p>
    <w:p w:rsidR="008B035B" w:rsidRPr="00F0332C" w:rsidRDefault="008B035B" w:rsidP="008B035B">
      <w:pPr>
        <w:pStyle w:val="datumtevilka"/>
        <w:rPr>
          <w:rFonts w:cs="Arial"/>
        </w:rPr>
      </w:pPr>
      <w:r w:rsidRPr="00F0332C">
        <w:rPr>
          <w:rFonts w:cs="Arial"/>
        </w:rPr>
        <w:t xml:space="preserve">Datum: </w:t>
      </w:r>
      <w:r w:rsidRPr="00F0332C">
        <w:rPr>
          <w:rFonts w:cs="Arial"/>
        </w:rPr>
        <w:tab/>
      </w:r>
      <w:r w:rsidRPr="00F0332C">
        <w:rPr>
          <w:rFonts w:cs="Arial"/>
          <w:color w:val="000000"/>
        </w:rPr>
        <w:t>17. 9. 2020</w:t>
      </w:r>
      <w:r w:rsidRPr="00F0332C">
        <w:rPr>
          <w:rFonts w:cs="Arial"/>
        </w:rPr>
        <w:t xml:space="preserve"> </w:t>
      </w:r>
    </w:p>
    <w:p w:rsidR="008B035B" w:rsidRPr="00F0332C" w:rsidRDefault="008B035B" w:rsidP="008B035B">
      <w:pPr>
        <w:spacing w:line="260" w:lineRule="exact"/>
        <w:jc w:val="center"/>
        <w:rPr>
          <w:rFonts w:cs="Arial"/>
          <w:b/>
          <w:szCs w:val="20"/>
        </w:rPr>
      </w:pPr>
    </w:p>
    <w:p w:rsidR="008B035B" w:rsidRPr="00F0332C" w:rsidRDefault="008B035B" w:rsidP="008B035B">
      <w:pPr>
        <w:spacing w:line="260" w:lineRule="exact"/>
        <w:jc w:val="center"/>
        <w:rPr>
          <w:rFonts w:cs="Arial"/>
          <w:b/>
          <w:szCs w:val="20"/>
        </w:rPr>
      </w:pPr>
    </w:p>
    <w:p w:rsidR="008B035B" w:rsidRPr="00F0332C" w:rsidRDefault="008B035B" w:rsidP="008B035B">
      <w:pPr>
        <w:spacing w:line="260" w:lineRule="exact"/>
        <w:jc w:val="center"/>
        <w:rPr>
          <w:rFonts w:cs="Arial"/>
          <w:b/>
          <w:szCs w:val="20"/>
        </w:rPr>
      </w:pPr>
    </w:p>
    <w:p w:rsidR="008B035B" w:rsidRPr="00F0332C" w:rsidRDefault="008B035B" w:rsidP="008B035B">
      <w:pPr>
        <w:spacing w:line="260" w:lineRule="exact"/>
        <w:jc w:val="center"/>
        <w:rPr>
          <w:rFonts w:cs="Arial"/>
          <w:b/>
          <w:szCs w:val="20"/>
        </w:rPr>
      </w:pPr>
    </w:p>
    <w:p w:rsidR="008B035B" w:rsidRPr="00F0332C" w:rsidRDefault="008B035B" w:rsidP="008B035B">
      <w:pPr>
        <w:spacing w:line="260" w:lineRule="exact"/>
        <w:jc w:val="center"/>
        <w:rPr>
          <w:rFonts w:cs="Arial"/>
          <w:b/>
          <w:szCs w:val="20"/>
        </w:rPr>
      </w:pPr>
    </w:p>
    <w:p w:rsidR="008B035B" w:rsidRPr="00F0332C" w:rsidRDefault="008B035B" w:rsidP="008B035B">
      <w:pPr>
        <w:spacing w:line="260" w:lineRule="exact"/>
        <w:jc w:val="center"/>
        <w:rPr>
          <w:rFonts w:cs="Arial"/>
          <w:b/>
          <w:szCs w:val="20"/>
        </w:rPr>
      </w:pPr>
    </w:p>
    <w:p w:rsidR="008B035B" w:rsidRPr="00F0332C" w:rsidRDefault="008B035B" w:rsidP="008B035B">
      <w:pPr>
        <w:spacing w:line="260" w:lineRule="exact"/>
        <w:jc w:val="center"/>
        <w:rPr>
          <w:rFonts w:cs="Arial"/>
          <w:b/>
          <w:szCs w:val="20"/>
        </w:rPr>
      </w:pPr>
    </w:p>
    <w:p w:rsidR="008B035B" w:rsidRPr="00F0332C" w:rsidRDefault="008B035B" w:rsidP="008B035B">
      <w:pPr>
        <w:spacing w:line="260" w:lineRule="exact"/>
        <w:jc w:val="center"/>
        <w:rPr>
          <w:rFonts w:cs="Arial"/>
          <w:b/>
          <w:szCs w:val="20"/>
        </w:rPr>
      </w:pPr>
    </w:p>
    <w:p w:rsidR="008B035B" w:rsidRPr="00F0332C" w:rsidRDefault="008B035B" w:rsidP="008B035B">
      <w:pPr>
        <w:spacing w:line="260" w:lineRule="exact"/>
        <w:jc w:val="center"/>
        <w:rPr>
          <w:rFonts w:cs="Arial"/>
          <w:b/>
          <w:szCs w:val="20"/>
        </w:rPr>
      </w:pPr>
    </w:p>
    <w:p w:rsidR="008B035B" w:rsidRPr="00F0332C" w:rsidRDefault="008B035B" w:rsidP="008B035B">
      <w:pPr>
        <w:spacing w:line="260" w:lineRule="exact"/>
        <w:jc w:val="center"/>
        <w:rPr>
          <w:rFonts w:cs="Arial"/>
          <w:b/>
          <w:szCs w:val="20"/>
        </w:rPr>
      </w:pPr>
    </w:p>
    <w:p w:rsidR="008B035B" w:rsidRPr="00F0332C" w:rsidRDefault="008B035B" w:rsidP="008B035B">
      <w:pPr>
        <w:spacing w:line="260" w:lineRule="exact"/>
        <w:jc w:val="center"/>
        <w:rPr>
          <w:rFonts w:cs="Arial"/>
          <w:b/>
          <w:szCs w:val="20"/>
        </w:rPr>
      </w:pPr>
    </w:p>
    <w:p w:rsidR="008B035B" w:rsidRPr="00F0332C" w:rsidRDefault="008B035B" w:rsidP="008B035B">
      <w:pPr>
        <w:spacing w:line="260" w:lineRule="exact"/>
        <w:jc w:val="center"/>
        <w:rPr>
          <w:rFonts w:cs="Arial"/>
          <w:b/>
          <w:szCs w:val="20"/>
        </w:rPr>
      </w:pPr>
    </w:p>
    <w:p w:rsidR="008B035B" w:rsidRPr="00F0332C" w:rsidRDefault="008B035B" w:rsidP="008B035B">
      <w:pPr>
        <w:spacing w:line="260" w:lineRule="exact"/>
        <w:jc w:val="center"/>
        <w:rPr>
          <w:rFonts w:cs="Arial"/>
          <w:b/>
          <w:szCs w:val="20"/>
        </w:rPr>
      </w:pPr>
      <w:r w:rsidRPr="00F0332C">
        <w:rPr>
          <w:rFonts w:cs="Arial"/>
          <w:b/>
          <w:szCs w:val="20"/>
        </w:rPr>
        <w:t>OPERATIVNI PROGRAM ODVAJANJA IN ČIŠČENJA KOMUNALNE ODPADNE VODE</w:t>
      </w:r>
    </w:p>
    <w:p w:rsidR="008B035B" w:rsidRDefault="008B035B" w:rsidP="008B035B">
      <w:pPr>
        <w:spacing w:line="260" w:lineRule="exact"/>
        <w:jc w:val="center"/>
        <w:rPr>
          <w:rFonts w:cs="Arial"/>
          <w:b/>
          <w:szCs w:val="20"/>
        </w:rPr>
      </w:pPr>
    </w:p>
    <w:p w:rsidR="008B035B" w:rsidRPr="00F0332C" w:rsidRDefault="008B035B" w:rsidP="008B035B">
      <w:pPr>
        <w:spacing w:line="260" w:lineRule="exact"/>
        <w:jc w:val="center"/>
        <w:rPr>
          <w:rFonts w:cs="Arial"/>
          <w:b/>
          <w:szCs w:val="20"/>
        </w:rPr>
      </w:pPr>
    </w:p>
    <w:p w:rsidR="008B035B" w:rsidRPr="00F0332C" w:rsidRDefault="008B035B" w:rsidP="008B035B">
      <w:pPr>
        <w:spacing w:line="260" w:lineRule="exact"/>
        <w:ind w:left="426" w:right="417"/>
        <w:rPr>
          <w:rFonts w:cs="Arial"/>
          <w:szCs w:val="20"/>
        </w:rPr>
      </w:pPr>
      <w:r w:rsidRPr="00F0332C">
        <w:rPr>
          <w:rFonts w:cs="Arial"/>
          <w:szCs w:val="20"/>
        </w:rPr>
        <w:t xml:space="preserve">na podlagi 36. člena Zakona o varstvu okolja (Uradni list RS, št. 39/06 – uradno prečiščeno besedilo, 49/06 – ZMetD, 66/06 – </w:t>
      </w:r>
      <w:proofErr w:type="spellStart"/>
      <w:r w:rsidRPr="00F0332C">
        <w:rPr>
          <w:rFonts w:cs="Arial"/>
          <w:szCs w:val="20"/>
        </w:rPr>
        <w:t>odl</w:t>
      </w:r>
      <w:proofErr w:type="spellEnd"/>
      <w:r w:rsidRPr="00F0332C">
        <w:rPr>
          <w:rFonts w:cs="Arial"/>
          <w:szCs w:val="20"/>
        </w:rPr>
        <w:t>. US, 33/07 – ZPNačrt, 57/08 – ZFO-1A, 70/08, 108/09, 108/09 – ZPNačrt,</w:t>
      </w:r>
      <w:r>
        <w:rPr>
          <w:rFonts w:cs="Arial"/>
          <w:szCs w:val="20"/>
        </w:rPr>
        <w:t xml:space="preserve"> 48/12, 57/12, 92/13, 56/15</w:t>
      </w:r>
      <w:r w:rsidRPr="00F0332C">
        <w:rPr>
          <w:rFonts w:cs="Arial"/>
          <w:szCs w:val="20"/>
        </w:rPr>
        <w:t xml:space="preserve">, 102/15, </w:t>
      </w:r>
      <w:hyperlink r:id="rId9" w:tgtFrame="_blank" w:tooltip="Zakon o spremembah in dopolnitvah Zakona o varstvu okolja" w:history="1">
        <w:r w:rsidRPr="00F0332C">
          <w:rPr>
            <w:rFonts w:cs="Arial"/>
            <w:szCs w:val="20"/>
          </w:rPr>
          <w:t>30/16</w:t>
        </w:r>
      </w:hyperlink>
      <w:r w:rsidRPr="00F0332C">
        <w:rPr>
          <w:rFonts w:cs="Arial"/>
          <w:szCs w:val="20"/>
        </w:rPr>
        <w:t xml:space="preserve">, </w:t>
      </w:r>
      <w:hyperlink r:id="rId10" w:tgtFrame="_blank" w:tooltip="Gradbeni zakon" w:history="1">
        <w:r w:rsidRPr="00F0332C">
          <w:rPr>
            <w:rFonts w:cs="Arial"/>
            <w:szCs w:val="20"/>
          </w:rPr>
          <w:t>61/17</w:t>
        </w:r>
      </w:hyperlink>
      <w:r w:rsidRPr="00F0332C">
        <w:rPr>
          <w:rFonts w:cs="Arial"/>
          <w:szCs w:val="20"/>
        </w:rPr>
        <w:t xml:space="preserve"> – GZ, </w:t>
      </w:r>
      <w:hyperlink r:id="rId11" w:tgtFrame="_blank" w:tooltip="Zakon o nevladnih organizacijah" w:history="1">
        <w:r w:rsidRPr="00F0332C">
          <w:rPr>
            <w:rFonts w:cs="Arial"/>
            <w:szCs w:val="20"/>
          </w:rPr>
          <w:t>21/18</w:t>
        </w:r>
      </w:hyperlink>
      <w:r w:rsidRPr="00F0332C">
        <w:rPr>
          <w:rFonts w:cs="Arial"/>
          <w:szCs w:val="20"/>
        </w:rPr>
        <w:t xml:space="preserve"> – </w:t>
      </w:r>
      <w:proofErr w:type="spellStart"/>
      <w:r w:rsidRPr="00F0332C">
        <w:rPr>
          <w:rFonts w:cs="Arial"/>
          <w:szCs w:val="20"/>
        </w:rPr>
        <w:t>ZNOrg</w:t>
      </w:r>
      <w:proofErr w:type="spellEnd"/>
      <w:r w:rsidRPr="00F0332C">
        <w:rPr>
          <w:rFonts w:cs="Arial"/>
          <w:szCs w:val="20"/>
        </w:rPr>
        <w:t xml:space="preserve"> in </w:t>
      </w:r>
      <w:hyperlink r:id="rId12" w:tgtFrame="_blank" w:tooltip="Zakon o interventnih ukrepih pri ravnanju s komunalno odpadno embalažo in z odpadnimi nagrobnimi svečami" w:history="1">
        <w:r w:rsidRPr="00F0332C">
          <w:rPr>
            <w:rFonts w:cs="Arial"/>
            <w:szCs w:val="20"/>
          </w:rPr>
          <w:t>84/18</w:t>
        </w:r>
      </w:hyperlink>
      <w:r w:rsidRPr="00F0332C">
        <w:rPr>
          <w:rFonts w:cs="Arial"/>
          <w:szCs w:val="20"/>
        </w:rPr>
        <w:t xml:space="preserve"> – ZIURKOE) v zvezi s 36. členom Uredbe o odvajanju in čiščenju komunalne odpadne vode (Uradni list RS, št. 98/15,76/17 in 81/19) ter v skladu s 17. členom Direktive 91/271/EGS o čiščenju komunalne odpadne vode</w:t>
      </w:r>
    </w:p>
    <w:p w:rsidR="00D774EB" w:rsidRDefault="00D774EB" w:rsidP="00D774EB">
      <w:pPr>
        <w:jc w:val="center"/>
        <w:rPr>
          <w:rFonts w:cs="Arial"/>
          <w:b/>
        </w:rPr>
      </w:pPr>
    </w:p>
    <w:p w:rsidR="004773B4" w:rsidRDefault="004773B4" w:rsidP="00D774EB">
      <w:pPr>
        <w:jc w:val="center"/>
        <w:rPr>
          <w:rFonts w:cs="Arial"/>
          <w:b/>
        </w:rPr>
      </w:pPr>
    </w:p>
    <w:p w:rsidR="004773B4" w:rsidRPr="00B148B1" w:rsidRDefault="004773B4" w:rsidP="00D774EB">
      <w:pPr>
        <w:jc w:val="center"/>
        <w:rPr>
          <w:rFonts w:cs="Arial"/>
          <w:b/>
        </w:rPr>
      </w:pPr>
    </w:p>
    <w:p w:rsidR="00D774EB" w:rsidRPr="00B148B1" w:rsidRDefault="00D774EB" w:rsidP="00D774EB">
      <w:pPr>
        <w:jc w:val="center"/>
        <w:rPr>
          <w:rFonts w:cs="Arial"/>
          <w:b/>
        </w:rPr>
      </w:pPr>
    </w:p>
    <w:p w:rsidR="00D774EB" w:rsidRPr="00B148B1" w:rsidRDefault="00D774EB" w:rsidP="00D774EB">
      <w:pPr>
        <w:jc w:val="center"/>
        <w:rPr>
          <w:rFonts w:cs="Arial"/>
          <w:b/>
        </w:rPr>
      </w:pPr>
    </w:p>
    <w:p w:rsidR="00D774EB" w:rsidRPr="00B148B1" w:rsidRDefault="00D774EB" w:rsidP="00D774EB">
      <w:pPr>
        <w:jc w:val="center"/>
        <w:rPr>
          <w:rFonts w:cs="Arial"/>
          <w:b/>
        </w:rPr>
      </w:pPr>
    </w:p>
    <w:p w:rsidR="00D774EB" w:rsidRPr="00B148B1" w:rsidRDefault="00D774EB" w:rsidP="00D774EB">
      <w:pPr>
        <w:jc w:val="center"/>
        <w:rPr>
          <w:rFonts w:cs="Arial"/>
          <w:b/>
        </w:rPr>
      </w:pPr>
    </w:p>
    <w:p w:rsidR="00D774EB" w:rsidRPr="00B148B1" w:rsidRDefault="00D774EB" w:rsidP="00D774EB">
      <w:pPr>
        <w:jc w:val="center"/>
        <w:rPr>
          <w:rFonts w:cs="Arial"/>
          <w:b/>
        </w:rPr>
      </w:pPr>
    </w:p>
    <w:p w:rsidR="00D774EB" w:rsidRDefault="00D774EB" w:rsidP="00D774EB">
      <w:pPr>
        <w:jc w:val="center"/>
        <w:rPr>
          <w:rFonts w:cs="Arial"/>
          <w:b/>
        </w:rPr>
      </w:pPr>
    </w:p>
    <w:p w:rsidR="008B035B" w:rsidRDefault="008B035B" w:rsidP="00D774EB">
      <w:pPr>
        <w:jc w:val="center"/>
        <w:rPr>
          <w:rFonts w:cs="Arial"/>
          <w:b/>
        </w:rPr>
      </w:pPr>
    </w:p>
    <w:p w:rsidR="008B035B" w:rsidRDefault="008B035B" w:rsidP="00D774EB">
      <w:pPr>
        <w:jc w:val="center"/>
        <w:rPr>
          <w:rFonts w:cs="Arial"/>
          <w:b/>
        </w:rPr>
      </w:pPr>
    </w:p>
    <w:p w:rsidR="008B035B" w:rsidRPr="00B148B1" w:rsidRDefault="008B035B" w:rsidP="00D774EB">
      <w:pPr>
        <w:jc w:val="center"/>
        <w:rPr>
          <w:rFonts w:cs="Arial"/>
          <w:b/>
        </w:rPr>
      </w:pPr>
    </w:p>
    <w:p w:rsidR="00D774EB" w:rsidRPr="00B148B1" w:rsidRDefault="00D774EB" w:rsidP="00D774EB">
      <w:pPr>
        <w:jc w:val="center"/>
        <w:rPr>
          <w:rFonts w:cs="Arial"/>
          <w:b/>
        </w:rPr>
      </w:pPr>
    </w:p>
    <w:p w:rsidR="00D774EB" w:rsidRPr="00B148B1" w:rsidRDefault="00D774EB" w:rsidP="00D774EB">
      <w:pPr>
        <w:jc w:val="center"/>
        <w:rPr>
          <w:rFonts w:cs="Arial"/>
          <w:b/>
        </w:rPr>
      </w:pPr>
    </w:p>
    <w:p w:rsidR="00D774EB" w:rsidRPr="00B148B1" w:rsidRDefault="00D774EB" w:rsidP="00D774EB">
      <w:pPr>
        <w:jc w:val="center"/>
        <w:rPr>
          <w:rFonts w:cs="Arial"/>
          <w:b/>
        </w:rPr>
      </w:pPr>
    </w:p>
    <w:p w:rsidR="00D774EB" w:rsidRPr="00B148B1" w:rsidRDefault="00D774EB" w:rsidP="00D774EB">
      <w:pPr>
        <w:spacing w:before="240" w:line="360" w:lineRule="atLeast"/>
        <w:rPr>
          <w:rFonts w:cs="Arial"/>
          <w:b/>
          <w:sz w:val="28"/>
          <w:szCs w:val="28"/>
        </w:rPr>
      </w:pPr>
      <w:r w:rsidRPr="00B148B1">
        <w:rPr>
          <w:rFonts w:cs="Arial"/>
          <w:b/>
          <w:sz w:val="28"/>
          <w:szCs w:val="28"/>
        </w:rPr>
        <w:lastRenderedPageBreak/>
        <w:t>KAZALO</w:t>
      </w:r>
    </w:p>
    <w:p w:rsidR="00D774EB" w:rsidRPr="00B148B1" w:rsidRDefault="00D774EB" w:rsidP="00D774EB">
      <w:pPr>
        <w:rPr>
          <w:rFonts w:cs="Arial"/>
        </w:rPr>
      </w:pPr>
    </w:p>
    <w:p w:rsidR="00866B34" w:rsidRDefault="00D774EB">
      <w:pPr>
        <w:pStyle w:val="Kazalovsebine1"/>
        <w:rPr>
          <w:rFonts w:asciiTheme="minorHAnsi" w:eastAsiaTheme="minorEastAsia" w:hAnsiTheme="minorHAnsi" w:cstheme="minorBidi"/>
          <w:b w:val="0"/>
          <w:bCs w:val="0"/>
          <w:caps w:val="0"/>
          <w:noProof/>
          <w:sz w:val="22"/>
          <w:szCs w:val="22"/>
        </w:rPr>
      </w:pPr>
      <w:r w:rsidRPr="00B148B1">
        <w:rPr>
          <w:rFonts w:cs="Arial"/>
          <w:b w:val="0"/>
          <w:bCs w:val="0"/>
          <w:caps w:val="0"/>
          <w:smallCaps/>
        </w:rPr>
        <w:fldChar w:fldCharType="begin"/>
      </w:r>
      <w:r w:rsidRPr="00B148B1">
        <w:rPr>
          <w:rFonts w:cs="Arial"/>
          <w:b w:val="0"/>
          <w:bCs w:val="0"/>
          <w:caps w:val="0"/>
          <w:smallCaps/>
        </w:rPr>
        <w:instrText xml:space="preserve"> TOC \o "1-4" \h \z \u </w:instrText>
      </w:r>
      <w:r w:rsidRPr="00B148B1">
        <w:rPr>
          <w:rFonts w:cs="Arial"/>
          <w:b w:val="0"/>
          <w:bCs w:val="0"/>
          <w:caps w:val="0"/>
          <w:smallCaps/>
        </w:rPr>
        <w:fldChar w:fldCharType="separate"/>
      </w:r>
      <w:hyperlink w:anchor="_Toc50628032" w:history="1">
        <w:r w:rsidR="00866B34" w:rsidRPr="009C1388">
          <w:rPr>
            <w:rStyle w:val="Hiperpovezava"/>
            <w:noProof/>
          </w:rPr>
          <w:t>1.</w:t>
        </w:r>
        <w:r w:rsidR="00866B34">
          <w:rPr>
            <w:rFonts w:asciiTheme="minorHAnsi" w:eastAsiaTheme="minorEastAsia" w:hAnsiTheme="minorHAnsi" w:cstheme="minorBidi"/>
            <w:b w:val="0"/>
            <w:bCs w:val="0"/>
            <w:caps w:val="0"/>
            <w:noProof/>
            <w:sz w:val="22"/>
            <w:szCs w:val="22"/>
          </w:rPr>
          <w:tab/>
        </w:r>
        <w:r w:rsidR="00866B34" w:rsidRPr="009C1388">
          <w:rPr>
            <w:rStyle w:val="Hiperpovezava"/>
            <w:noProof/>
          </w:rPr>
          <w:t>UVOD</w:t>
        </w:r>
        <w:r w:rsidR="00866B34">
          <w:rPr>
            <w:noProof/>
            <w:webHidden/>
          </w:rPr>
          <w:tab/>
        </w:r>
        <w:r w:rsidR="00866B34">
          <w:rPr>
            <w:noProof/>
            <w:webHidden/>
          </w:rPr>
          <w:fldChar w:fldCharType="begin"/>
        </w:r>
        <w:r w:rsidR="00866B34">
          <w:rPr>
            <w:noProof/>
            <w:webHidden/>
          </w:rPr>
          <w:instrText xml:space="preserve"> PAGEREF _Toc50628032 \h </w:instrText>
        </w:r>
        <w:r w:rsidR="00866B34">
          <w:rPr>
            <w:noProof/>
            <w:webHidden/>
          </w:rPr>
        </w:r>
        <w:r w:rsidR="00866B34">
          <w:rPr>
            <w:noProof/>
            <w:webHidden/>
          </w:rPr>
          <w:fldChar w:fldCharType="separate"/>
        </w:r>
        <w:r w:rsidR="00CE7C73">
          <w:rPr>
            <w:noProof/>
            <w:webHidden/>
          </w:rPr>
          <w:t>7</w:t>
        </w:r>
        <w:r w:rsidR="00866B34">
          <w:rPr>
            <w:noProof/>
            <w:webHidden/>
          </w:rPr>
          <w:fldChar w:fldCharType="end"/>
        </w:r>
      </w:hyperlink>
    </w:p>
    <w:p w:rsidR="00866B34" w:rsidRDefault="003340A3">
      <w:pPr>
        <w:pStyle w:val="Kazalovsebine2"/>
        <w:rPr>
          <w:rFonts w:asciiTheme="minorHAnsi" w:eastAsiaTheme="minorEastAsia" w:hAnsiTheme="minorHAnsi" w:cstheme="minorBidi"/>
          <w:smallCaps w:val="0"/>
          <w:noProof/>
          <w:sz w:val="22"/>
          <w:szCs w:val="22"/>
        </w:rPr>
      </w:pPr>
      <w:hyperlink w:anchor="_Toc50628033" w:history="1">
        <w:r w:rsidR="00866B34" w:rsidRPr="009C1388">
          <w:rPr>
            <w:rStyle w:val="Hiperpovezava"/>
            <w:noProof/>
          </w:rPr>
          <w:t>1.1.</w:t>
        </w:r>
        <w:r w:rsidR="00866B34">
          <w:rPr>
            <w:rFonts w:asciiTheme="minorHAnsi" w:eastAsiaTheme="minorEastAsia" w:hAnsiTheme="minorHAnsi" w:cstheme="minorBidi"/>
            <w:smallCaps w:val="0"/>
            <w:noProof/>
            <w:sz w:val="22"/>
            <w:szCs w:val="22"/>
          </w:rPr>
          <w:tab/>
        </w:r>
        <w:r w:rsidR="00866B34" w:rsidRPr="009C1388">
          <w:rPr>
            <w:rStyle w:val="Hiperpovezava"/>
            <w:noProof/>
          </w:rPr>
          <w:t>Splošno o operativnem programu odvajanja in čiščenja komunalne odpadne vode</w:t>
        </w:r>
        <w:r w:rsidR="00866B34">
          <w:rPr>
            <w:noProof/>
            <w:webHidden/>
          </w:rPr>
          <w:tab/>
        </w:r>
        <w:r w:rsidR="00866B34">
          <w:rPr>
            <w:noProof/>
            <w:webHidden/>
          </w:rPr>
          <w:fldChar w:fldCharType="begin"/>
        </w:r>
        <w:r w:rsidR="00866B34">
          <w:rPr>
            <w:noProof/>
            <w:webHidden/>
          </w:rPr>
          <w:instrText xml:space="preserve"> PAGEREF _Toc50628033 \h </w:instrText>
        </w:r>
        <w:r w:rsidR="00866B34">
          <w:rPr>
            <w:noProof/>
            <w:webHidden/>
          </w:rPr>
        </w:r>
        <w:r w:rsidR="00866B34">
          <w:rPr>
            <w:noProof/>
            <w:webHidden/>
          </w:rPr>
          <w:fldChar w:fldCharType="separate"/>
        </w:r>
        <w:r w:rsidR="00CE7C73">
          <w:rPr>
            <w:noProof/>
            <w:webHidden/>
          </w:rPr>
          <w:t>7</w:t>
        </w:r>
        <w:r w:rsidR="00866B34">
          <w:rPr>
            <w:noProof/>
            <w:webHidden/>
          </w:rPr>
          <w:fldChar w:fldCharType="end"/>
        </w:r>
      </w:hyperlink>
    </w:p>
    <w:p w:rsidR="00866B34" w:rsidRDefault="003340A3">
      <w:pPr>
        <w:pStyle w:val="Kazalovsebine2"/>
        <w:rPr>
          <w:rFonts w:asciiTheme="minorHAnsi" w:eastAsiaTheme="minorEastAsia" w:hAnsiTheme="minorHAnsi" w:cstheme="minorBidi"/>
          <w:smallCaps w:val="0"/>
          <w:noProof/>
          <w:sz w:val="22"/>
          <w:szCs w:val="22"/>
        </w:rPr>
      </w:pPr>
      <w:hyperlink w:anchor="_Toc50628034" w:history="1">
        <w:r w:rsidR="00866B34" w:rsidRPr="009C1388">
          <w:rPr>
            <w:rStyle w:val="Hiperpovezava"/>
            <w:noProof/>
          </w:rPr>
          <w:t>1.2.</w:t>
        </w:r>
        <w:r w:rsidR="00866B34">
          <w:rPr>
            <w:rFonts w:asciiTheme="minorHAnsi" w:eastAsiaTheme="minorEastAsia" w:hAnsiTheme="minorHAnsi" w:cstheme="minorBidi"/>
            <w:smallCaps w:val="0"/>
            <w:noProof/>
            <w:sz w:val="22"/>
            <w:szCs w:val="22"/>
          </w:rPr>
          <w:tab/>
        </w:r>
        <w:r w:rsidR="00866B34" w:rsidRPr="009C1388">
          <w:rPr>
            <w:rStyle w:val="Hiperpovezava"/>
            <w:noProof/>
          </w:rPr>
          <w:t>Pomen zakonodaje EU</w:t>
        </w:r>
        <w:r w:rsidR="00866B34">
          <w:rPr>
            <w:noProof/>
            <w:webHidden/>
          </w:rPr>
          <w:tab/>
        </w:r>
        <w:r w:rsidR="00866B34">
          <w:rPr>
            <w:noProof/>
            <w:webHidden/>
          </w:rPr>
          <w:fldChar w:fldCharType="begin"/>
        </w:r>
        <w:r w:rsidR="00866B34">
          <w:rPr>
            <w:noProof/>
            <w:webHidden/>
          </w:rPr>
          <w:instrText xml:space="preserve"> PAGEREF _Toc50628034 \h </w:instrText>
        </w:r>
        <w:r w:rsidR="00866B34">
          <w:rPr>
            <w:noProof/>
            <w:webHidden/>
          </w:rPr>
        </w:r>
        <w:r w:rsidR="00866B34">
          <w:rPr>
            <w:noProof/>
            <w:webHidden/>
          </w:rPr>
          <w:fldChar w:fldCharType="separate"/>
        </w:r>
        <w:r w:rsidR="00CE7C73">
          <w:rPr>
            <w:noProof/>
            <w:webHidden/>
          </w:rPr>
          <w:t>9</w:t>
        </w:r>
        <w:r w:rsidR="00866B34">
          <w:rPr>
            <w:noProof/>
            <w:webHidden/>
          </w:rPr>
          <w:fldChar w:fldCharType="end"/>
        </w:r>
      </w:hyperlink>
    </w:p>
    <w:p w:rsidR="00866B34" w:rsidRDefault="003340A3">
      <w:pPr>
        <w:pStyle w:val="Kazalovsebine3"/>
        <w:rPr>
          <w:rFonts w:asciiTheme="minorHAnsi" w:eastAsiaTheme="minorEastAsia" w:hAnsiTheme="minorHAnsi" w:cstheme="minorBidi"/>
          <w:i w:val="0"/>
          <w:iCs w:val="0"/>
          <w:sz w:val="22"/>
          <w:szCs w:val="22"/>
        </w:rPr>
      </w:pPr>
      <w:hyperlink w:anchor="_Toc50628035" w:history="1">
        <w:r w:rsidR="00866B34" w:rsidRPr="009C1388">
          <w:rPr>
            <w:rStyle w:val="Hiperpovezava"/>
          </w:rPr>
          <w:t>1.2.1.</w:t>
        </w:r>
        <w:r w:rsidR="00866B34">
          <w:rPr>
            <w:rFonts w:asciiTheme="minorHAnsi" w:eastAsiaTheme="minorEastAsia" w:hAnsiTheme="minorHAnsi" w:cstheme="minorBidi"/>
            <w:i w:val="0"/>
            <w:iCs w:val="0"/>
            <w:sz w:val="22"/>
            <w:szCs w:val="22"/>
          </w:rPr>
          <w:tab/>
        </w:r>
        <w:r w:rsidR="00866B34" w:rsidRPr="009C1388">
          <w:rPr>
            <w:rStyle w:val="Hiperpovezava"/>
          </w:rPr>
          <w:t>Direktiva 91/271/EGS o čiščenju komunalne odpadne vode</w:t>
        </w:r>
        <w:r w:rsidR="00866B34">
          <w:rPr>
            <w:webHidden/>
          </w:rPr>
          <w:tab/>
        </w:r>
        <w:r w:rsidR="00866B34">
          <w:rPr>
            <w:webHidden/>
          </w:rPr>
          <w:fldChar w:fldCharType="begin"/>
        </w:r>
        <w:r w:rsidR="00866B34">
          <w:rPr>
            <w:webHidden/>
          </w:rPr>
          <w:instrText xml:space="preserve"> PAGEREF _Toc50628035 \h </w:instrText>
        </w:r>
        <w:r w:rsidR="00866B34">
          <w:rPr>
            <w:webHidden/>
          </w:rPr>
        </w:r>
        <w:r w:rsidR="00866B34">
          <w:rPr>
            <w:webHidden/>
          </w:rPr>
          <w:fldChar w:fldCharType="separate"/>
        </w:r>
        <w:r w:rsidR="00CE7C73">
          <w:rPr>
            <w:webHidden/>
          </w:rPr>
          <w:t>9</w:t>
        </w:r>
        <w:r w:rsidR="00866B34">
          <w:rPr>
            <w:webHidden/>
          </w:rPr>
          <w:fldChar w:fldCharType="end"/>
        </w:r>
      </w:hyperlink>
    </w:p>
    <w:p w:rsidR="00866B34" w:rsidRDefault="003340A3">
      <w:pPr>
        <w:pStyle w:val="Kazalovsebine3"/>
        <w:rPr>
          <w:rFonts w:asciiTheme="minorHAnsi" w:eastAsiaTheme="minorEastAsia" w:hAnsiTheme="minorHAnsi" w:cstheme="minorBidi"/>
          <w:i w:val="0"/>
          <w:iCs w:val="0"/>
          <w:sz w:val="22"/>
          <w:szCs w:val="22"/>
        </w:rPr>
      </w:pPr>
      <w:hyperlink w:anchor="_Toc50628036" w:history="1">
        <w:r w:rsidR="00866B34" w:rsidRPr="009C1388">
          <w:rPr>
            <w:rStyle w:val="Hiperpovezava"/>
          </w:rPr>
          <w:t>1.2.2.</w:t>
        </w:r>
        <w:r w:rsidR="00866B34">
          <w:rPr>
            <w:rFonts w:asciiTheme="minorHAnsi" w:eastAsiaTheme="minorEastAsia" w:hAnsiTheme="minorHAnsi" w:cstheme="minorBidi"/>
            <w:i w:val="0"/>
            <w:iCs w:val="0"/>
            <w:sz w:val="22"/>
            <w:szCs w:val="22"/>
          </w:rPr>
          <w:tab/>
        </w:r>
        <w:r w:rsidR="00866B34" w:rsidRPr="009C1388">
          <w:rPr>
            <w:rStyle w:val="Hiperpovezava"/>
          </w:rPr>
          <w:t>Direktiva 2008/98/ES o odpadkih</w:t>
        </w:r>
        <w:r w:rsidR="00866B34">
          <w:rPr>
            <w:webHidden/>
          </w:rPr>
          <w:tab/>
        </w:r>
        <w:r w:rsidR="00866B34">
          <w:rPr>
            <w:webHidden/>
          </w:rPr>
          <w:fldChar w:fldCharType="begin"/>
        </w:r>
        <w:r w:rsidR="00866B34">
          <w:rPr>
            <w:webHidden/>
          </w:rPr>
          <w:instrText xml:space="preserve"> PAGEREF _Toc50628036 \h </w:instrText>
        </w:r>
        <w:r w:rsidR="00866B34">
          <w:rPr>
            <w:webHidden/>
          </w:rPr>
        </w:r>
        <w:r w:rsidR="00866B34">
          <w:rPr>
            <w:webHidden/>
          </w:rPr>
          <w:fldChar w:fldCharType="separate"/>
        </w:r>
        <w:r w:rsidR="00CE7C73">
          <w:rPr>
            <w:webHidden/>
          </w:rPr>
          <w:t>10</w:t>
        </w:r>
        <w:r w:rsidR="00866B34">
          <w:rPr>
            <w:webHidden/>
          </w:rPr>
          <w:fldChar w:fldCharType="end"/>
        </w:r>
      </w:hyperlink>
    </w:p>
    <w:p w:rsidR="00866B34" w:rsidRDefault="003340A3">
      <w:pPr>
        <w:pStyle w:val="Kazalovsebine3"/>
        <w:rPr>
          <w:rFonts w:asciiTheme="minorHAnsi" w:eastAsiaTheme="minorEastAsia" w:hAnsiTheme="minorHAnsi" w:cstheme="minorBidi"/>
          <w:i w:val="0"/>
          <w:iCs w:val="0"/>
          <w:sz w:val="22"/>
          <w:szCs w:val="22"/>
        </w:rPr>
      </w:pPr>
      <w:hyperlink w:anchor="_Toc50628037" w:history="1">
        <w:r w:rsidR="00866B34" w:rsidRPr="009C1388">
          <w:rPr>
            <w:rStyle w:val="Hiperpovezava"/>
          </w:rPr>
          <w:t>1.2.3.</w:t>
        </w:r>
        <w:r w:rsidR="00866B34">
          <w:rPr>
            <w:rFonts w:asciiTheme="minorHAnsi" w:eastAsiaTheme="minorEastAsia" w:hAnsiTheme="minorHAnsi" w:cstheme="minorBidi"/>
            <w:i w:val="0"/>
            <w:iCs w:val="0"/>
            <w:sz w:val="22"/>
            <w:szCs w:val="22"/>
          </w:rPr>
          <w:tab/>
        </w:r>
        <w:r w:rsidR="00866B34" w:rsidRPr="009C1388">
          <w:rPr>
            <w:rStyle w:val="Hiperpovezava"/>
          </w:rPr>
          <w:t>Direktiva 2000/60/ES (vodna direktiva)</w:t>
        </w:r>
        <w:r w:rsidR="00866B34">
          <w:rPr>
            <w:webHidden/>
          </w:rPr>
          <w:tab/>
        </w:r>
        <w:r w:rsidR="00866B34">
          <w:rPr>
            <w:webHidden/>
          </w:rPr>
          <w:fldChar w:fldCharType="begin"/>
        </w:r>
        <w:r w:rsidR="00866B34">
          <w:rPr>
            <w:webHidden/>
          </w:rPr>
          <w:instrText xml:space="preserve"> PAGEREF _Toc50628037 \h </w:instrText>
        </w:r>
        <w:r w:rsidR="00866B34">
          <w:rPr>
            <w:webHidden/>
          </w:rPr>
        </w:r>
        <w:r w:rsidR="00866B34">
          <w:rPr>
            <w:webHidden/>
          </w:rPr>
          <w:fldChar w:fldCharType="separate"/>
        </w:r>
        <w:r w:rsidR="00CE7C73">
          <w:rPr>
            <w:webHidden/>
          </w:rPr>
          <w:t>11</w:t>
        </w:r>
        <w:r w:rsidR="00866B34">
          <w:rPr>
            <w:webHidden/>
          </w:rPr>
          <w:fldChar w:fldCharType="end"/>
        </w:r>
      </w:hyperlink>
    </w:p>
    <w:p w:rsidR="00866B34" w:rsidRDefault="003340A3">
      <w:pPr>
        <w:pStyle w:val="Kazalovsebine3"/>
        <w:rPr>
          <w:rFonts w:asciiTheme="minorHAnsi" w:eastAsiaTheme="minorEastAsia" w:hAnsiTheme="minorHAnsi" w:cstheme="minorBidi"/>
          <w:i w:val="0"/>
          <w:iCs w:val="0"/>
          <w:sz w:val="22"/>
          <w:szCs w:val="22"/>
        </w:rPr>
      </w:pPr>
      <w:hyperlink w:anchor="_Toc50628038" w:history="1">
        <w:r w:rsidR="00866B34" w:rsidRPr="009C1388">
          <w:rPr>
            <w:rStyle w:val="Hiperpovezava"/>
          </w:rPr>
          <w:t>1.2.4.</w:t>
        </w:r>
        <w:r w:rsidR="00866B34">
          <w:rPr>
            <w:rFonts w:asciiTheme="minorHAnsi" w:eastAsiaTheme="minorEastAsia" w:hAnsiTheme="minorHAnsi" w:cstheme="minorBidi"/>
            <w:i w:val="0"/>
            <w:iCs w:val="0"/>
            <w:sz w:val="22"/>
            <w:szCs w:val="22"/>
          </w:rPr>
          <w:tab/>
        </w:r>
        <w:r w:rsidR="00866B34" w:rsidRPr="009C1388">
          <w:rPr>
            <w:rStyle w:val="Hiperpovezava"/>
          </w:rPr>
          <w:t>Direktiva 2008/56/ES (okvirna direktiva o morski strategiji)</w:t>
        </w:r>
        <w:r w:rsidR="00866B34">
          <w:rPr>
            <w:webHidden/>
          </w:rPr>
          <w:tab/>
        </w:r>
        <w:r w:rsidR="00866B34">
          <w:rPr>
            <w:webHidden/>
          </w:rPr>
          <w:fldChar w:fldCharType="begin"/>
        </w:r>
        <w:r w:rsidR="00866B34">
          <w:rPr>
            <w:webHidden/>
          </w:rPr>
          <w:instrText xml:space="preserve"> PAGEREF _Toc50628038 \h </w:instrText>
        </w:r>
        <w:r w:rsidR="00866B34">
          <w:rPr>
            <w:webHidden/>
          </w:rPr>
        </w:r>
        <w:r w:rsidR="00866B34">
          <w:rPr>
            <w:webHidden/>
          </w:rPr>
          <w:fldChar w:fldCharType="separate"/>
        </w:r>
        <w:r w:rsidR="00CE7C73">
          <w:rPr>
            <w:webHidden/>
          </w:rPr>
          <w:t>11</w:t>
        </w:r>
        <w:r w:rsidR="00866B34">
          <w:rPr>
            <w:webHidden/>
          </w:rPr>
          <w:fldChar w:fldCharType="end"/>
        </w:r>
      </w:hyperlink>
    </w:p>
    <w:p w:rsidR="00866B34" w:rsidRDefault="003340A3">
      <w:pPr>
        <w:pStyle w:val="Kazalovsebine3"/>
        <w:rPr>
          <w:rFonts w:asciiTheme="minorHAnsi" w:eastAsiaTheme="minorEastAsia" w:hAnsiTheme="minorHAnsi" w:cstheme="minorBidi"/>
          <w:i w:val="0"/>
          <w:iCs w:val="0"/>
          <w:sz w:val="22"/>
          <w:szCs w:val="22"/>
        </w:rPr>
      </w:pPr>
      <w:hyperlink w:anchor="_Toc50628039" w:history="1">
        <w:r w:rsidR="00866B34" w:rsidRPr="009C1388">
          <w:rPr>
            <w:rStyle w:val="Hiperpovezava"/>
          </w:rPr>
          <w:t>1.2.5.</w:t>
        </w:r>
        <w:r w:rsidR="00866B34">
          <w:rPr>
            <w:rFonts w:asciiTheme="minorHAnsi" w:eastAsiaTheme="minorEastAsia" w:hAnsiTheme="minorHAnsi" w:cstheme="minorBidi"/>
            <w:i w:val="0"/>
            <w:iCs w:val="0"/>
            <w:sz w:val="22"/>
            <w:szCs w:val="22"/>
          </w:rPr>
          <w:tab/>
        </w:r>
        <w:r w:rsidR="00866B34" w:rsidRPr="009C1388">
          <w:rPr>
            <w:rStyle w:val="Hiperpovezava"/>
          </w:rPr>
          <w:t>Direktiva 2006/7/ES o upravljanju kakovosti kopalnih voda</w:t>
        </w:r>
        <w:r w:rsidR="00866B34">
          <w:rPr>
            <w:webHidden/>
          </w:rPr>
          <w:tab/>
        </w:r>
        <w:r w:rsidR="00866B34">
          <w:rPr>
            <w:webHidden/>
          </w:rPr>
          <w:fldChar w:fldCharType="begin"/>
        </w:r>
        <w:r w:rsidR="00866B34">
          <w:rPr>
            <w:webHidden/>
          </w:rPr>
          <w:instrText xml:space="preserve"> PAGEREF _Toc50628039 \h </w:instrText>
        </w:r>
        <w:r w:rsidR="00866B34">
          <w:rPr>
            <w:webHidden/>
          </w:rPr>
        </w:r>
        <w:r w:rsidR="00866B34">
          <w:rPr>
            <w:webHidden/>
          </w:rPr>
          <w:fldChar w:fldCharType="separate"/>
        </w:r>
        <w:r w:rsidR="00CE7C73">
          <w:rPr>
            <w:webHidden/>
          </w:rPr>
          <w:t>11</w:t>
        </w:r>
        <w:r w:rsidR="00866B34">
          <w:rPr>
            <w:webHidden/>
          </w:rPr>
          <w:fldChar w:fldCharType="end"/>
        </w:r>
      </w:hyperlink>
    </w:p>
    <w:p w:rsidR="00866B34" w:rsidRDefault="003340A3">
      <w:pPr>
        <w:pStyle w:val="Kazalovsebine2"/>
        <w:rPr>
          <w:rFonts w:asciiTheme="minorHAnsi" w:eastAsiaTheme="minorEastAsia" w:hAnsiTheme="minorHAnsi" w:cstheme="minorBidi"/>
          <w:smallCaps w:val="0"/>
          <w:noProof/>
          <w:sz w:val="22"/>
          <w:szCs w:val="22"/>
        </w:rPr>
      </w:pPr>
      <w:hyperlink w:anchor="_Toc50628040" w:history="1">
        <w:r w:rsidR="00866B34" w:rsidRPr="009C1388">
          <w:rPr>
            <w:rStyle w:val="Hiperpovezava"/>
            <w:noProof/>
          </w:rPr>
          <w:t>1.3.</w:t>
        </w:r>
        <w:r w:rsidR="00866B34">
          <w:rPr>
            <w:rFonts w:asciiTheme="minorHAnsi" w:eastAsiaTheme="minorEastAsia" w:hAnsiTheme="minorHAnsi" w:cstheme="minorBidi"/>
            <w:smallCaps w:val="0"/>
            <w:noProof/>
            <w:sz w:val="22"/>
            <w:szCs w:val="22"/>
          </w:rPr>
          <w:tab/>
        </w:r>
        <w:r w:rsidR="00866B34" w:rsidRPr="009C1388">
          <w:rPr>
            <w:rStyle w:val="Hiperpovezava"/>
            <w:noProof/>
          </w:rPr>
          <w:t>Slovenska zakonodaja</w:t>
        </w:r>
        <w:r w:rsidR="00866B34">
          <w:rPr>
            <w:noProof/>
            <w:webHidden/>
          </w:rPr>
          <w:tab/>
        </w:r>
        <w:r w:rsidR="00866B34">
          <w:rPr>
            <w:noProof/>
            <w:webHidden/>
          </w:rPr>
          <w:fldChar w:fldCharType="begin"/>
        </w:r>
        <w:r w:rsidR="00866B34">
          <w:rPr>
            <w:noProof/>
            <w:webHidden/>
          </w:rPr>
          <w:instrText xml:space="preserve"> PAGEREF _Toc50628040 \h </w:instrText>
        </w:r>
        <w:r w:rsidR="00866B34">
          <w:rPr>
            <w:noProof/>
            <w:webHidden/>
          </w:rPr>
        </w:r>
        <w:r w:rsidR="00866B34">
          <w:rPr>
            <w:noProof/>
            <w:webHidden/>
          </w:rPr>
          <w:fldChar w:fldCharType="separate"/>
        </w:r>
        <w:r w:rsidR="00CE7C73">
          <w:rPr>
            <w:noProof/>
            <w:webHidden/>
          </w:rPr>
          <w:t>12</w:t>
        </w:r>
        <w:r w:rsidR="00866B34">
          <w:rPr>
            <w:noProof/>
            <w:webHidden/>
          </w:rPr>
          <w:fldChar w:fldCharType="end"/>
        </w:r>
      </w:hyperlink>
    </w:p>
    <w:p w:rsidR="00866B34" w:rsidRDefault="003340A3">
      <w:pPr>
        <w:pStyle w:val="Kazalovsebine3"/>
        <w:rPr>
          <w:rFonts w:asciiTheme="minorHAnsi" w:eastAsiaTheme="minorEastAsia" w:hAnsiTheme="minorHAnsi" w:cstheme="minorBidi"/>
          <w:i w:val="0"/>
          <w:iCs w:val="0"/>
          <w:sz w:val="22"/>
          <w:szCs w:val="22"/>
        </w:rPr>
      </w:pPr>
      <w:hyperlink w:anchor="_Toc50628041" w:history="1">
        <w:r w:rsidR="00866B34" w:rsidRPr="009C1388">
          <w:rPr>
            <w:rStyle w:val="Hiperpovezava"/>
          </w:rPr>
          <w:t>1.3.1.</w:t>
        </w:r>
        <w:r w:rsidR="00866B34">
          <w:rPr>
            <w:rFonts w:asciiTheme="minorHAnsi" w:eastAsiaTheme="minorEastAsia" w:hAnsiTheme="minorHAnsi" w:cstheme="minorBidi"/>
            <w:i w:val="0"/>
            <w:iCs w:val="0"/>
            <w:sz w:val="22"/>
            <w:szCs w:val="22"/>
          </w:rPr>
          <w:tab/>
        </w:r>
        <w:r w:rsidR="00866B34" w:rsidRPr="009C1388">
          <w:rPr>
            <w:rStyle w:val="Hiperpovezava"/>
          </w:rPr>
          <w:t>Pomen izrazov</w:t>
        </w:r>
        <w:r w:rsidR="00866B34">
          <w:rPr>
            <w:webHidden/>
          </w:rPr>
          <w:tab/>
        </w:r>
        <w:r w:rsidR="00866B34">
          <w:rPr>
            <w:webHidden/>
          </w:rPr>
          <w:fldChar w:fldCharType="begin"/>
        </w:r>
        <w:r w:rsidR="00866B34">
          <w:rPr>
            <w:webHidden/>
          </w:rPr>
          <w:instrText xml:space="preserve"> PAGEREF _Toc50628041 \h </w:instrText>
        </w:r>
        <w:r w:rsidR="00866B34">
          <w:rPr>
            <w:webHidden/>
          </w:rPr>
        </w:r>
        <w:r w:rsidR="00866B34">
          <w:rPr>
            <w:webHidden/>
          </w:rPr>
          <w:fldChar w:fldCharType="separate"/>
        </w:r>
        <w:r w:rsidR="00CE7C73">
          <w:rPr>
            <w:webHidden/>
          </w:rPr>
          <w:t>13</w:t>
        </w:r>
        <w:r w:rsidR="00866B34">
          <w:rPr>
            <w:webHidden/>
          </w:rPr>
          <w:fldChar w:fldCharType="end"/>
        </w:r>
      </w:hyperlink>
    </w:p>
    <w:p w:rsidR="00866B34" w:rsidRDefault="003340A3">
      <w:pPr>
        <w:pStyle w:val="Kazalovsebine3"/>
        <w:rPr>
          <w:rFonts w:asciiTheme="minorHAnsi" w:eastAsiaTheme="minorEastAsia" w:hAnsiTheme="minorHAnsi" w:cstheme="minorBidi"/>
          <w:i w:val="0"/>
          <w:iCs w:val="0"/>
          <w:sz w:val="22"/>
          <w:szCs w:val="22"/>
        </w:rPr>
      </w:pPr>
      <w:hyperlink w:anchor="_Toc50628042" w:history="1">
        <w:r w:rsidR="00866B34" w:rsidRPr="009C1388">
          <w:rPr>
            <w:rStyle w:val="Hiperpovezava"/>
          </w:rPr>
          <w:t>1.3.2.</w:t>
        </w:r>
        <w:r w:rsidR="00866B34">
          <w:rPr>
            <w:rFonts w:asciiTheme="minorHAnsi" w:eastAsiaTheme="minorEastAsia" w:hAnsiTheme="minorHAnsi" w:cstheme="minorBidi"/>
            <w:i w:val="0"/>
            <w:iCs w:val="0"/>
            <w:sz w:val="22"/>
            <w:szCs w:val="22"/>
          </w:rPr>
          <w:tab/>
        </w:r>
        <w:r w:rsidR="00866B34" w:rsidRPr="009C1388">
          <w:rPr>
            <w:rStyle w:val="Hiperpovezava"/>
          </w:rPr>
          <w:t>Javna služba odvajanja in čiščenja komunalne odpadne vode</w:t>
        </w:r>
        <w:r w:rsidR="00866B34">
          <w:rPr>
            <w:webHidden/>
          </w:rPr>
          <w:tab/>
        </w:r>
        <w:r w:rsidR="00866B34">
          <w:rPr>
            <w:webHidden/>
          </w:rPr>
          <w:fldChar w:fldCharType="begin"/>
        </w:r>
        <w:r w:rsidR="00866B34">
          <w:rPr>
            <w:webHidden/>
          </w:rPr>
          <w:instrText xml:space="preserve"> PAGEREF _Toc50628042 \h </w:instrText>
        </w:r>
        <w:r w:rsidR="00866B34">
          <w:rPr>
            <w:webHidden/>
          </w:rPr>
        </w:r>
        <w:r w:rsidR="00866B34">
          <w:rPr>
            <w:webHidden/>
          </w:rPr>
          <w:fldChar w:fldCharType="separate"/>
        </w:r>
        <w:r w:rsidR="00CE7C73">
          <w:rPr>
            <w:webHidden/>
          </w:rPr>
          <w:t>15</w:t>
        </w:r>
        <w:r w:rsidR="00866B34">
          <w:rPr>
            <w:webHidden/>
          </w:rPr>
          <w:fldChar w:fldCharType="end"/>
        </w:r>
      </w:hyperlink>
    </w:p>
    <w:p w:rsidR="00866B34" w:rsidRDefault="003340A3">
      <w:pPr>
        <w:pStyle w:val="Kazalovsebine3"/>
        <w:rPr>
          <w:rFonts w:asciiTheme="minorHAnsi" w:eastAsiaTheme="minorEastAsia" w:hAnsiTheme="minorHAnsi" w:cstheme="minorBidi"/>
          <w:i w:val="0"/>
          <w:iCs w:val="0"/>
          <w:sz w:val="22"/>
          <w:szCs w:val="22"/>
        </w:rPr>
      </w:pPr>
      <w:hyperlink w:anchor="_Toc50628043" w:history="1">
        <w:r w:rsidR="00866B34" w:rsidRPr="009C1388">
          <w:rPr>
            <w:rStyle w:val="Hiperpovezava"/>
          </w:rPr>
          <w:t>1.3.3.</w:t>
        </w:r>
        <w:r w:rsidR="00866B34">
          <w:rPr>
            <w:rFonts w:asciiTheme="minorHAnsi" w:eastAsiaTheme="minorEastAsia" w:hAnsiTheme="minorHAnsi" w:cstheme="minorBidi"/>
            <w:i w:val="0"/>
            <w:iCs w:val="0"/>
            <w:sz w:val="22"/>
            <w:szCs w:val="22"/>
          </w:rPr>
          <w:tab/>
        </w:r>
        <w:r w:rsidR="00866B34" w:rsidRPr="009C1388">
          <w:rPr>
            <w:rStyle w:val="Hiperpovezava"/>
          </w:rPr>
          <w:t>Občutljiva območja</w:t>
        </w:r>
        <w:r w:rsidR="00866B34">
          <w:rPr>
            <w:webHidden/>
          </w:rPr>
          <w:tab/>
        </w:r>
        <w:r w:rsidR="00866B34">
          <w:rPr>
            <w:webHidden/>
          </w:rPr>
          <w:fldChar w:fldCharType="begin"/>
        </w:r>
        <w:r w:rsidR="00866B34">
          <w:rPr>
            <w:webHidden/>
          </w:rPr>
          <w:instrText xml:space="preserve"> PAGEREF _Toc50628043 \h </w:instrText>
        </w:r>
        <w:r w:rsidR="00866B34">
          <w:rPr>
            <w:webHidden/>
          </w:rPr>
        </w:r>
        <w:r w:rsidR="00866B34">
          <w:rPr>
            <w:webHidden/>
          </w:rPr>
          <w:fldChar w:fldCharType="separate"/>
        </w:r>
        <w:r w:rsidR="00CE7C73">
          <w:rPr>
            <w:webHidden/>
          </w:rPr>
          <w:t>16</w:t>
        </w:r>
        <w:r w:rsidR="00866B34">
          <w:rPr>
            <w:webHidden/>
          </w:rPr>
          <w:fldChar w:fldCharType="end"/>
        </w:r>
      </w:hyperlink>
    </w:p>
    <w:p w:rsidR="00866B34" w:rsidRDefault="003340A3">
      <w:pPr>
        <w:pStyle w:val="Kazalovsebine3"/>
        <w:rPr>
          <w:rFonts w:asciiTheme="minorHAnsi" w:eastAsiaTheme="minorEastAsia" w:hAnsiTheme="minorHAnsi" w:cstheme="minorBidi"/>
          <w:i w:val="0"/>
          <w:iCs w:val="0"/>
          <w:sz w:val="22"/>
          <w:szCs w:val="22"/>
        </w:rPr>
      </w:pPr>
      <w:hyperlink w:anchor="_Toc50628044" w:history="1">
        <w:r w:rsidR="00866B34" w:rsidRPr="009C1388">
          <w:rPr>
            <w:rStyle w:val="Hiperpovezava"/>
          </w:rPr>
          <w:t>1.3.4.</w:t>
        </w:r>
        <w:r w:rsidR="00866B34">
          <w:rPr>
            <w:rFonts w:asciiTheme="minorHAnsi" w:eastAsiaTheme="minorEastAsia" w:hAnsiTheme="minorHAnsi" w:cstheme="minorBidi"/>
            <w:i w:val="0"/>
            <w:iCs w:val="0"/>
            <w:sz w:val="22"/>
            <w:szCs w:val="22"/>
          </w:rPr>
          <w:tab/>
        </w:r>
        <w:r w:rsidR="00866B34" w:rsidRPr="009C1388">
          <w:rPr>
            <w:rStyle w:val="Hiperpovezava"/>
          </w:rPr>
          <w:t>Spremembe in dopolnitve predpisanih zahtev</w:t>
        </w:r>
        <w:r w:rsidR="00866B34">
          <w:rPr>
            <w:webHidden/>
          </w:rPr>
          <w:tab/>
        </w:r>
        <w:r w:rsidR="00866B34">
          <w:rPr>
            <w:webHidden/>
          </w:rPr>
          <w:fldChar w:fldCharType="begin"/>
        </w:r>
        <w:r w:rsidR="00866B34">
          <w:rPr>
            <w:webHidden/>
          </w:rPr>
          <w:instrText xml:space="preserve"> PAGEREF _Toc50628044 \h </w:instrText>
        </w:r>
        <w:r w:rsidR="00866B34">
          <w:rPr>
            <w:webHidden/>
          </w:rPr>
        </w:r>
        <w:r w:rsidR="00866B34">
          <w:rPr>
            <w:webHidden/>
          </w:rPr>
          <w:fldChar w:fldCharType="separate"/>
        </w:r>
        <w:r w:rsidR="00CE7C73">
          <w:rPr>
            <w:webHidden/>
          </w:rPr>
          <w:t>17</w:t>
        </w:r>
        <w:r w:rsidR="00866B34">
          <w:rPr>
            <w:webHidden/>
          </w:rPr>
          <w:fldChar w:fldCharType="end"/>
        </w:r>
      </w:hyperlink>
    </w:p>
    <w:p w:rsidR="00866B34" w:rsidRDefault="003340A3">
      <w:pPr>
        <w:pStyle w:val="Kazalovsebine4"/>
        <w:rPr>
          <w:rFonts w:asciiTheme="minorHAnsi" w:eastAsiaTheme="minorEastAsia" w:hAnsiTheme="minorHAnsi" w:cstheme="minorBidi"/>
          <w:smallCaps w:val="0"/>
          <w:noProof/>
          <w:sz w:val="22"/>
          <w:szCs w:val="22"/>
        </w:rPr>
      </w:pPr>
      <w:hyperlink w:anchor="_Toc50628045" w:history="1">
        <w:r w:rsidR="00866B34" w:rsidRPr="009C1388">
          <w:rPr>
            <w:rStyle w:val="Hiperpovezava"/>
            <w:noProof/>
          </w:rPr>
          <w:t>1.3.4.1 Sprememba aglomeracij</w:t>
        </w:r>
        <w:r w:rsidR="00866B34">
          <w:rPr>
            <w:noProof/>
            <w:webHidden/>
          </w:rPr>
          <w:tab/>
        </w:r>
        <w:r w:rsidR="00866B34">
          <w:rPr>
            <w:noProof/>
            <w:webHidden/>
          </w:rPr>
          <w:fldChar w:fldCharType="begin"/>
        </w:r>
        <w:r w:rsidR="00866B34">
          <w:rPr>
            <w:noProof/>
            <w:webHidden/>
          </w:rPr>
          <w:instrText xml:space="preserve"> PAGEREF _Toc50628045 \h </w:instrText>
        </w:r>
        <w:r w:rsidR="00866B34">
          <w:rPr>
            <w:noProof/>
            <w:webHidden/>
          </w:rPr>
        </w:r>
        <w:r w:rsidR="00866B34">
          <w:rPr>
            <w:noProof/>
            <w:webHidden/>
          </w:rPr>
          <w:fldChar w:fldCharType="separate"/>
        </w:r>
        <w:r w:rsidR="00CE7C73">
          <w:rPr>
            <w:noProof/>
            <w:webHidden/>
          </w:rPr>
          <w:t>17</w:t>
        </w:r>
        <w:r w:rsidR="00866B34">
          <w:rPr>
            <w:noProof/>
            <w:webHidden/>
          </w:rPr>
          <w:fldChar w:fldCharType="end"/>
        </w:r>
      </w:hyperlink>
    </w:p>
    <w:p w:rsidR="00866B34" w:rsidRDefault="003340A3">
      <w:pPr>
        <w:pStyle w:val="Kazalovsebine4"/>
        <w:rPr>
          <w:rFonts w:asciiTheme="minorHAnsi" w:eastAsiaTheme="minorEastAsia" w:hAnsiTheme="minorHAnsi" w:cstheme="minorBidi"/>
          <w:smallCaps w:val="0"/>
          <w:noProof/>
          <w:sz w:val="22"/>
          <w:szCs w:val="22"/>
        </w:rPr>
      </w:pPr>
      <w:hyperlink w:anchor="_Toc50628046" w:history="1">
        <w:r w:rsidR="00866B34" w:rsidRPr="009C1388">
          <w:rPr>
            <w:rStyle w:val="Hiperpovezava"/>
            <w:noProof/>
          </w:rPr>
          <w:t>1.3.4.2 Zahteve, ki se nanašajo na izvajanje meritev pri mali komunalni čistilni napravi z zmogljivostjo, manjšo od 50 PE</w:t>
        </w:r>
        <w:r w:rsidR="00866B34">
          <w:rPr>
            <w:noProof/>
            <w:webHidden/>
          </w:rPr>
          <w:tab/>
        </w:r>
        <w:r w:rsidR="00866B34">
          <w:rPr>
            <w:noProof/>
            <w:webHidden/>
          </w:rPr>
          <w:fldChar w:fldCharType="begin"/>
        </w:r>
        <w:r w:rsidR="00866B34">
          <w:rPr>
            <w:noProof/>
            <w:webHidden/>
          </w:rPr>
          <w:instrText xml:space="preserve"> PAGEREF _Toc50628046 \h </w:instrText>
        </w:r>
        <w:r w:rsidR="00866B34">
          <w:rPr>
            <w:noProof/>
            <w:webHidden/>
          </w:rPr>
        </w:r>
        <w:r w:rsidR="00866B34">
          <w:rPr>
            <w:noProof/>
            <w:webHidden/>
          </w:rPr>
          <w:fldChar w:fldCharType="separate"/>
        </w:r>
        <w:r w:rsidR="00CE7C73">
          <w:rPr>
            <w:noProof/>
            <w:webHidden/>
          </w:rPr>
          <w:t>17</w:t>
        </w:r>
        <w:r w:rsidR="00866B34">
          <w:rPr>
            <w:noProof/>
            <w:webHidden/>
          </w:rPr>
          <w:fldChar w:fldCharType="end"/>
        </w:r>
      </w:hyperlink>
    </w:p>
    <w:p w:rsidR="00866B34" w:rsidRDefault="003340A3">
      <w:pPr>
        <w:pStyle w:val="Kazalovsebine4"/>
        <w:rPr>
          <w:rFonts w:asciiTheme="minorHAnsi" w:eastAsiaTheme="minorEastAsia" w:hAnsiTheme="minorHAnsi" w:cstheme="minorBidi"/>
          <w:smallCaps w:val="0"/>
          <w:noProof/>
          <w:sz w:val="22"/>
          <w:szCs w:val="22"/>
        </w:rPr>
      </w:pPr>
      <w:hyperlink w:anchor="_Toc50628047" w:history="1">
        <w:r w:rsidR="00866B34" w:rsidRPr="009C1388">
          <w:rPr>
            <w:rStyle w:val="Hiperpovezava"/>
            <w:noProof/>
          </w:rPr>
          <w:t>1.3.4.3 Zahteve za opremljanje aglomeracij</w:t>
        </w:r>
        <w:r w:rsidR="00866B34">
          <w:rPr>
            <w:noProof/>
            <w:webHidden/>
          </w:rPr>
          <w:tab/>
        </w:r>
        <w:r w:rsidR="00866B34">
          <w:rPr>
            <w:noProof/>
            <w:webHidden/>
          </w:rPr>
          <w:fldChar w:fldCharType="begin"/>
        </w:r>
        <w:r w:rsidR="00866B34">
          <w:rPr>
            <w:noProof/>
            <w:webHidden/>
          </w:rPr>
          <w:instrText xml:space="preserve"> PAGEREF _Toc50628047 \h </w:instrText>
        </w:r>
        <w:r w:rsidR="00866B34">
          <w:rPr>
            <w:noProof/>
            <w:webHidden/>
          </w:rPr>
        </w:r>
        <w:r w:rsidR="00866B34">
          <w:rPr>
            <w:noProof/>
            <w:webHidden/>
          </w:rPr>
          <w:fldChar w:fldCharType="separate"/>
        </w:r>
        <w:r w:rsidR="00CE7C73">
          <w:rPr>
            <w:noProof/>
            <w:webHidden/>
          </w:rPr>
          <w:t>18</w:t>
        </w:r>
        <w:r w:rsidR="00866B34">
          <w:rPr>
            <w:noProof/>
            <w:webHidden/>
          </w:rPr>
          <w:fldChar w:fldCharType="end"/>
        </w:r>
      </w:hyperlink>
    </w:p>
    <w:p w:rsidR="00866B34" w:rsidRDefault="003340A3">
      <w:pPr>
        <w:pStyle w:val="Kazalovsebine4"/>
        <w:rPr>
          <w:rFonts w:asciiTheme="minorHAnsi" w:eastAsiaTheme="minorEastAsia" w:hAnsiTheme="minorHAnsi" w:cstheme="minorBidi"/>
          <w:smallCaps w:val="0"/>
          <w:noProof/>
          <w:sz w:val="22"/>
          <w:szCs w:val="22"/>
        </w:rPr>
      </w:pPr>
      <w:hyperlink w:anchor="_Toc50628048" w:history="1">
        <w:r w:rsidR="00866B34" w:rsidRPr="009C1388">
          <w:rPr>
            <w:rStyle w:val="Hiperpovezava"/>
            <w:noProof/>
          </w:rPr>
          <w:t>1.3.4.4 Določbe v zvezi z opremljanjem stavbnih zemljišč</w:t>
        </w:r>
        <w:r w:rsidR="00866B34">
          <w:rPr>
            <w:noProof/>
            <w:webHidden/>
          </w:rPr>
          <w:tab/>
        </w:r>
        <w:r w:rsidR="00866B34">
          <w:rPr>
            <w:noProof/>
            <w:webHidden/>
          </w:rPr>
          <w:fldChar w:fldCharType="begin"/>
        </w:r>
        <w:r w:rsidR="00866B34">
          <w:rPr>
            <w:noProof/>
            <w:webHidden/>
          </w:rPr>
          <w:instrText xml:space="preserve"> PAGEREF _Toc50628048 \h </w:instrText>
        </w:r>
        <w:r w:rsidR="00866B34">
          <w:rPr>
            <w:noProof/>
            <w:webHidden/>
          </w:rPr>
        </w:r>
        <w:r w:rsidR="00866B34">
          <w:rPr>
            <w:noProof/>
            <w:webHidden/>
          </w:rPr>
          <w:fldChar w:fldCharType="separate"/>
        </w:r>
        <w:r w:rsidR="00CE7C73">
          <w:rPr>
            <w:noProof/>
            <w:webHidden/>
          </w:rPr>
          <w:t>18</w:t>
        </w:r>
        <w:r w:rsidR="00866B34">
          <w:rPr>
            <w:noProof/>
            <w:webHidden/>
          </w:rPr>
          <w:fldChar w:fldCharType="end"/>
        </w:r>
      </w:hyperlink>
    </w:p>
    <w:p w:rsidR="00866B34" w:rsidRDefault="003340A3">
      <w:pPr>
        <w:pStyle w:val="Kazalovsebine4"/>
        <w:rPr>
          <w:rFonts w:asciiTheme="minorHAnsi" w:eastAsiaTheme="minorEastAsia" w:hAnsiTheme="minorHAnsi" w:cstheme="minorBidi"/>
          <w:smallCaps w:val="0"/>
          <w:noProof/>
          <w:sz w:val="22"/>
          <w:szCs w:val="22"/>
        </w:rPr>
      </w:pPr>
      <w:hyperlink w:anchor="_Toc50628049" w:history="1">
        <w:r w:rsidR="00866B34" w:rsidRPr="009C1388">
          <w:rPr>
            <w:rStyle w:val="Hiperpovezava"/>
            <w:noProof/>
          </w:rPr>
          <w:t>1.3.4.5 Ugotavljanje stopnje opremljenosti aglomeracij in stopnje priključenosti</w:t>
        </w:r>
        <w:r w:rsidR="00866B34">
          <w:rPr>
            <w:noProof/>
            <w:webHidden/>
          </w:rPr>
          <w:tab/>
        </w:r>
        <w:r w:rsidR="00866B34">
          <w:rPr>
            <w:noProof/>
            <w:webHidden/>
          </w:rPr>
          <w:fldChar w:fldCharType="begin"/>
        </w:r>
        <w:r w:rsidR="00866B34">
          <w:rPr>
            <w:noProof/>
            <w:webHidden/>
          </w:rPr>
          <w:instrText xml:space="preserve"> PAGEREF _Toc50628049 \h </w:instrText>
        </w:r>
        <w:r w:rsidR="00866B34">
          <w:rPr>
            <w:noProof/>
            <w:webHidden/>
          </w:rPr>
        </w:r>
        <w:r w:rsidR="00866B34">
          <w:rPr>
            <w:noProof/>
            <w:webHidden/>
          </w:rPr>
          <w:fldChar w:fldCharType="separate"/>
        </w:r>
        <w:r w:rsidR="00CE7C73">
          <w:rPr>
            <w:noProof/>
            <w:webHidden/>
          </w:rPr>
          <w:t>18</w:t>
        </w:r>
        <w:r w:rsidR="00866B34">
          <w:rPr>
            <w:noProof/>
            <w:webHidden/>
          </w:rPr>
          <w:fldChar w:fldCharType="end"/>
        </w:r>
      </w:hyperlink>
    </w:p>
    <w:p w:rsidR="00866B34" w:rsidRDefault="003340A3">
      <w:pPr>
        <w:pStyle w:val="Kazalovsebine4"/>
        <w:rPr>
          <w:rFonts w:asciiTheme="minorHAnsi" w:eastAsiaTheme="minorEastAsia" w:hAnsiTheme="minorHAnsi" w:cstheme="minorBidi"/>
          <w:smallCaps w:val="0"/>
          <w:noProof/>
          <w:sz w:val="22"/>
          <w:szCs w:val="22"/>
        </w:rPr>
      </w:pPr>
      <w:hyperlink w:anchor="_Toc50628050" w:history="1">
        <w:r w:rsidR="00866B34" w:rsidRPr="009C1388">
          <w:rPr>
            <w:rStyle w:val="Hiperpovezava"/>
            <w:noProof/>
          </w:rPr>
          <w:t>1.3.4.6 Siva voda in suha stranišča</w:t>
        </w:r>
        <w:r w:rsidR="00866B34">
          <w:rPr>
            <w:noProof/>
            <w:webHidden/>
          </w:rPr>
          <w:tab/>
        </w:r>
        <w:r w:rsidR="00866B34">
          <w:rPr>
            <w:noProof/>
            <w:webHidden/>
          </w:rPr>
          <w:fldChar w:fldCharType="begin"/>
        </w:r>
        <w:r w:rsidR="00866B34">
          <w:rPr>
            <w:noProof/>
            <w:webHidden/>
          </w:rPr>
          <w:instrText xml:space="preserve"> PAGEREF _Toc50628050 \h </w:instrText>
        </w:r>
        <w:r w:rsidR="00866B34">
          <w:rPr>
            <w:noProof/>
            <w:webHidden/>
          </w:rPr>
        </w:r>
        <w:r w:rsidR="00866B34">
          <w:rPr>
            <w:noProof/>
            <w:webHidden/>
          </w:rPr>
          <w:fldChar w:fldCharType="separate"/>
        </w:r>
        <w:r w:rsidR="00CE7C73">
          <w:rPr>
            <w:noProof/>
            <w:webHidden/>
          </w:rPr>
          <w:t>19</w:t>
        </w:r>
        <w:r w:rsidR="00866B34">
          <w:rPr>
            <w:noProof/>
            <w:webHidden/>
          </w:rPr>
          <w:fldChar w:fldCharType="end"/>
        </w:r>
      </w:hyperlink>
    </w:p>
    <w:p w:rsidR="00866B34" w:rsidRDefault="003340A3">
      <w:pPr>
        <w:pStyle w:val="Kazalovsebine4"/>
        <w:rPr>
          <w:rFonts w:asciiTheme="minorHAnsi" w:eastAsiaTheme="minorEastAsia" w:hAnsiTheme="minorHAnsi" w:cstheme="minorBidi"/>
          <w:smallCaps w:val="0"/>
          <w:noProof/>
          <w:sz w:val="22"/>
          <w:szCs w:val="22"/>
        </w:rPr>
      </w:pPr>
      <w:hyperlink w:anchor="_Toc50628051" w:history="1">
        <w:r w:rsidR="00866B34" w:rsidRPr="009C1388">
          <w:rPr>
            <w:rStyle w:val="Hiperpovezava"/>
            <w:noProof/>
          </w:rPr>
          <w:t>1.3.4.7 Sestavljena aglomeracija</w:t>
        </w:r>
        <w:r w:rsidR="00866B34">
          <w:rPr>
            <w:noProof/>
            <w:webHidden/>
          </w:rPr>
          <w:tab/>
        </w:r>
        <w:r w:rsidR="00866B34">
          <w:rPr>
            <w:noProof/>
            <w:webHidden/>
          </w:rPr>
          <w:fldChar w:fldCharType="begin"/>
        </w:r>
        <w:r w:rsidR="00866B34">
          <w:rPr>
            <w:noProof/>
            <w:webHidden/>
          </w:rPr>
          <w:instrText xml:space="preserve"> PAGEREF _Toc50628051 \h </w:instrText>
        </w:r>
        <w:r w:rsidR="00866B34">
          <w:rPr>
            <w:noProof/>
            <w:webHidden/>
          </w:rPr>
        </w:r>
        <w:r w:rsidR="00866B34">
          <w:rPr>
            <w:noProof/>
            <w:webHidden/>
          </w:rPr>
          <w:fldChar w:fldCharType="separate"/>
        </w:r>
        <w:r w:rsidR="00CE7C73">
          <w:rPr>
            <w:noProof/>
            <w:webHidden/>
          </w:rPr>
          <w:t>20</w:t>
        </w:r>
        <w:r w:rsidR="00866B34">
          <w:rPr>
            <w:noProof/>
            <w:webHidden/>
          </w:rPr>
          <w:fldChar w:fldCharType="end"/>
        </w:r>
      </w:hyperlink>
    </w:p>
    <w:p w:rsidR="00866B34" w:rsidRDefault="003340A3">
      <w:pPr>
        <w:pStyle w:val="Kazalovsebine3"/>
        <w:rPr>
          <w:rFonts w:asciiTheme="minorHAnsi" w:eastAsiaTheme="minorEastAsia" w:hAnsiTheme="minorHAnsi" w:cstheme="minorBidi"/>
          <w:i w:val="0"/>
          <w:iCs w:val="0"/>
          <w:sz w:val="22"/>
          <w:szCs w:val="22"/>
        </w:rPr>
      </w:pPr>
      <w:hyperlink w:anchor="_Toc50628052" w:history="1">
        <w:r w:rsidR="00866B34" w:rsidRPr="009C1388">
          <w:rPr>
            <w:rStyle w:val="Hiperpovezava"/>
          </w:rPr>
          <w:t>1.3.5.</w:t>
        </w:r>
        <w:r w:rsidR="00866B34">
          <w:rPr>
            <w:rFonts w:asciiTheme="minorHAnsi" w:eastAsiaTheme="minorEastAsia" w:hAnsiTheme="minorHAnsi" w:cstheme="minorBidi"/>
            <w:i w:val="0"/>
            <w:iCs w:val="0"/>
            <w:sz w:val="22"/>
            <w:szCs w:val="22"/>
          </w:rPr>
          <w:tab/>
        </w:r>
        <w:r w:rsidR="00866B34" w:rsidRPr="009C1388">
          <w:rPr>
            <w:rStyle w:val="Hiperpovezava"/>
          </w:rPr>
          <w:t>Zahteve za aglomeracije</w:t>
        </w:r>
        <w:r w:rsidR="00866B34">
          <w:rPr>
            <w:webHidden/>
          </w:rPr>
          <w:tab/>
        </w:r>
        <w:r w:rsidR="00866B34">
          <w:rPr>
            <w:webHidden/>
          </w:rPr>
          <w:fldChar w:fldCharType="begin"/>
        </w:r>
        <w:r w:rsidR="00866B34">
          <w:rPr>
            <w:webHidden/>
          </w:rPr>
          <w:instrText xml:space="preserve"> PAGEREF _Toc50628052 \h </w:instrText>
        </w:r>
        <w:r w:rsidR="00866B34">
          <w:rPr>
            <w:webHidden/>
          </w:rPr>
        </w:r>
        <w:r w:rsidR="00866B34">
          <w:rPr>
            <w:webHidden/>
          </w:rPr>
          <w:fldChar w:fldCharType="separate"/>
        </w:r>
        <w:r w:rsidR="00CE7C73">
          <w:rPr>
            <w:webHidden/>
          </w:rPr>
          <w:t>20</w:t>
        </w:r>
        <w:r w:rsidR="00866B34">
          <w:rPr>
            <w:webHidden/>
          </w:rPr>
          <w:fldChar w:fldCharType="end"/>
        </w:r>
      </w:hyperlink>
    </w:p>
    <w:p w:rsidR="00866B34" w:rsidRDefault="003340A3">
      <w:pPr>
        <w:pStyle w:val="Kazalovsebine4"/>
        <w:rPr>
          <w:rFonts w:asciiTheme="minorHAnsi" w:eastAsiaTheme="minorEastAsia" w:hAnsiTheme="minorHAnsi" w:cstheme="minorBidi"/>
          <w:smallCaps w:val="0"/>
          <w:noProof/>
          <w:sz w:val="22"/>
          <w:szCs w:val="22"/>
        </w:rPr>
      </w:pPr>
      <w:hyperlink w:anchor="_Toc50628053" w:history="1">
        <w:r w:rsidR="00866B34" w:rsidRPr="009C1388">
          <w:rPr>
            <w:rStyle w:val="Hiperpovezava"/>
            <w:noProof/>
          </w:rPr>
          <w:t>1.3.5.1 Zahteve pristopne pogodbe RS k EU</w:t>
        </w:r>
        <w:r w:rsidR="00866B34">
          <w:rPr>
            <w:noProof/>
            <w:webHidden/>
          </w:rPr>
          <w:tab/>
        </w:r>
        <w:r w:rsidR="00866B34">
          <w:rPr>
            <w:noProof/>
            <w:webHidden/>
          </w:rPr>
          <w:fldChar w:fldCharType="begin"/>
        </w:r>
        <w:r w:rsidR="00866B34">
          <w:rPr>
            <w:noProof/>
            <w:webHidden/>
          </w:rPr>
          <w:instrText xml:space="preserve"> PAGEREF _Toc50628053 \h </w:instrText>
        </w:r>
        <w:r w:rsidR="00866B34">
          <w:rPr>
            <w:noProof/>
            <w:webHidden/>
          </w:rPr>
        </w:r>
        <w:r w:rsidR="00866B34">
          <w:rPr>
            <w:noProof/>
            <w:webHidden/>
          </w:rPr>
          <w:fldChar w:fldCharType="separate"/>
        </w:r>
        <w:r w:rsidR="00CE7C73">
          <w:rPr>
            <w:noProof/>
            <w:webHidden/>
          </w:rPr>
          <w:t>21</w:t>
        </w:r>
        <w:r w:rsidR="00866B34">
          <w:rPr>
            <w:noProof/>
            <w:webHidden/>
          </w:rPr>
          <w:fldChar w:fldCharType="end"/>
        </w:r>
      </w:hyperlink>
    </w:p>
    <w:p w:rsidR="00866B34" w:rsidRDefault="003340A3">
      <w:pPr>
        <w:pStyle w:val="Kazalovsebine4"/>
        <w:rPr>
          <w:rFonts w:asciiTheme="minorHAnsi" w:eastAsiaTheme="minorEastAsia" w:hAnsiTheme="minorHAnsi" w:cstheme="minorBidi"/>
          <w:smallCaps w:val="0"/>
          <w:noProof/>
          <w:sz w:val="22"/>
          <w:szCs w:val="22"/>
        </w:rPr>
      </w:pPr>
      <w:hyperlink w:anchor="_Toc50628054" w:history="1">
        <w:r w:rsidR="00866B34" w:rsidRPr="009C1388">
          <w:rPr>
            <w:rStyle w:val="Hiperpovezava"/>
            <w:noProof/>
          </w:rPr>
          <w:t>1.3.5.2 Zahteve Uredbe o odvajanju in čiščenju komunalne odpadne vode</w:t>
        </w:r>
        <w:r w:rsidR="00866B34">
          <w:rPr>
            <w:noProof/>
            <w:webHidden/>
          </w:rPr>
          <w:tab/>
        </w:r>
        <w:r w:rsidR="00866B34">
          <w:rPr>
            <w:noProof/>
            <w:webHidden/>
          </w:rPr>
          <w:fldChar w:fldCharType="begin"/>
        </w:r>
        <w:r w:rsidR="00866B34">
          <w:rPr>
            <w:noProof/>
            <w:webHidden/>
          </w:rPr>
          <w:instrText xml:space="preserve"> PAGEREF _Toc50628054 \h </w:instrText>
        </w:r>
        <w:r w:rsidR="00866B34">
          <w:rPr>
            <w:noProof/>
            <w:webHidden/>
          </w:rPr>
        </w:r>
        <w:r w:rsidR="00866B34">
          <w:rPr>
            <w:noProof/>
            <w:webHidden/>
          </w:rPr>
          <w:fldChar w:fldCharType="separate"/>
        </w:r>
        <w:r w:rsidR="00CE7C73">
          <w:rPr>
            <w:noProof/>
            <w:webHidden/>
          </w:rPr>
          <w:t>21</w:t>
        </w:r>
        <w:r w:rsidR="00866B34">
          <w:rPr>
            <w:noProof/>
            <w:webHidden/>
          </w:rPr>
          <w:fldChar w:fldCharType="end"/>
        </w:r>
      </w:hyperlink>
    </w:p>
    <w:p w:rsidR="00866B34" w:rsidRDefault="003340A3">
      <w:pPr>
        <w:pStyle w:val="Kazalovsebine3"/>
        <w:rPr>
          <w:rFonts w:asciiTheme="minorHAnsi" w:eastAsiaTheme="minorEastAsia" w:hAnsiTheme="minorHAnsi" w:cstheme="minorBidi"/>
          <w:i w:val="0"/>
          <w:iCs w:val="0"/>
          <w:sz w:val="22"/>
          <w:szCs w:val="22"/>
        </w:rPr>
      </w:pPr>
      <w:hyperlink w:anchor="_Toc50628055" w:history="1">
        <w:r w:rsidR="00866B34" w:rsidRPr="009C1388">
          <w:rPr>
            <w:rStyle w:val="Hiperpovezava"/>
          </w:rPr>
          <w:t>1.3.6.</w:t>
        </w:r>
        <w:r w:rsidR="00866B34">
          <w:rPr>
            <w:rFonts w:asciiTheme="minorHAnsi" w:eastAsiaTheme="minorEastAsia" w:hAnsiTheme="minorHAnsi" w:cstheme="minorBidi"/>
            <w:i w:val="0"/>
            <w:iCs w:val="0"/>
            <w:sz w:val="22"/>
            <w:szCs w:val="22"/>
          </w:rPr>
          <w:tab/>
        </w:r>
        <w:r w:rsidR="00866B34" w:rsidRPr="009C1388">
          <w:rPr>
            <w:rStyle w:val="Hiperpovezava"/>
          </w:rPr>
          <w:t>Zahteve za objekte na območju zunaj meja aglomeracij</w:t>
        </w:r>
        <w:r w:rsidR="00866B34">
          <w:rPr>
            <w:webHidden/>
          </w:rPr>
          <w:tab/>
        </w:r>
        <w:r w:rsidR="00866B34">
          <w:rPr>
            <w:webHidden/>
          </w:rPr>
          <w:fldChar w:fldCharType="begin"/>
        </w:r>
        <w:r w:rsidR="00866B34">
          <w:rPr>
            <w:webHidden/>
          </w:rPr>
          <w:instrText xml:space="preserve"> PAGEREF _Toc50628055 \h </w:instrText>
        </w:r>
        <w:r w:rsidR="00866B34">
          <w:rPr>
            <w:webHidden/>
          </w:rPr>
        </w:r>
        <w:r w:rsidR="00866B34">
          <w:rPr>
            <w:webHidden/>
          </w:rPr>
          <w:fldChar w:fldCharType="separate"/>
        </w:r>
        <w:r w:rsidR="00CE7C73">
          <w:rPr>
            <w:webHidden/>
          </w:rPr>
          <w:t>25</w:t>
        </w:r>
        <w:r w:rsidR="00866B34">
          <w:rPr>
            <w:webHidden/>
          </w:rPr>
          <w:fldChar w:fldCharType="end"/>
        </w:r>
      </w:hyperlink>
    </w:p>
    <w:p w:rsidR="00866B34" w:rsidRDefault="003340A3">
      <w:pPr>
        <w:pStyle w:val="Kazalovsebine2"/>
        <w:rPr>
          <w:rFonts w:asciiTheme="minorHAnsi" w:eastAsiaTheme="minorEastAsia" w:hAnsiTheme="minorHAnsi" w:cstheme="minorBidi"/>
          <w:smallCaps w:val="0"/>
          <w:noProof/>
          <w:sz w:val="22"/>
          <w:szCs w:val="22"/>
        </w:rPr>
      </w:pPr>
      <w:hyperlink w:anchor="_Toc50628056" w:history="1">
        <w:r w:rsidR="00866B34" w:rsidRPr="009C1388">
          <w:rPr>
            <w:rStyle w:val="Hiperpovezava"/>
            <w:noProof/>
          </w:rPr>
          <w:t>1.4.</w:t>
        </w:r>
        <w:r w:rsidR="00866B34">
          <w:rPr>
            <w:rFonts w:asciiTheme="minorHAnsi" w:eastAsiaTheme="minorEastAsia" w:hAnsiTheme="minorHAnsi" w:cstheme="minorBidi"/>
            <w:smallCaps w:val="0"/>
            <w:noProof/>
            <w:sz w:val="22"/>
            <w:szCs w:val="22"/>
          </w:rPr>
          <w:tab/>
        </w:r>
        <w:r w:rsidR="00866B34" w:rsidRPr="009C1388">
          <w:rPr>
            <w:rStyle w:val="Hiperpovezava"/>
            <w:noProof/>
          </w:rPr>
          <w:t>Evidence na področju odvajanja in čiščenja komunalne odpadne vode</w:t>
        </w:r>
        <w:r w:rsidR="00866B34">
          <w:rPr>
            <w:noProof/>
            <w:webHidden/>
          </w:rPr>
          <w:tab/>
        </w:r>
        <w:r w:rsidR="00866B34">
          <w:rPr>
            <w:noProof/>
            <w:webHidden/>
          </w:rPr>
          <w:fldChar w:fldCharType="begin"/>
        </w:r>
        <w:r w:rsidR="00866B34">
          <w:rPr>
            <w:noProof/>
            <w:webHidden/>
          </w:rPr>
          <w:instrText xml:space="preserve"> PAGEREF _Toc50628056 \h </w:instrText>
        </w:r>
        <w:r w:rsidR="00866B34">
          <w:rPr>
            <w:noProof/>
            <w:webHidden/>
          </w:rPr>
        </w:r>
        <w:r w:rsidR="00866B34">
          <w:rPr>
            <w:noProof/>
            <w:webHidden/>
          </w:rPr>
          <w:fldChar w:fldCharType="separate"/>
        </w:r>
        <w:r w:rsidR="00CE7C73">
          <w:rPr>
            <w:noProof/>
            <w:webHidden/>
          </w:rPr>
          <w:t>26</w:t>
        </w:r>
        <w:r w:rsidR="00866B34">
          <w:rPr>
            <w:noProof/>
            <w:webHidden/>
          </w:rPr>
          <w:fldChar w:fldCharType="end"/>
        </w:r>
      </w:hyperlink>
    </w:p>
    <w:p w:rsidR="00866B34" w:rsidRDefault="003340A3">
      <w:pPr>
        <w:pStyle w:val="Kazalovsebine3"/>
        <w:rPr>
          <w:rFonts w:asciiTheme="minorHAnsi" w:eastAsiaTheme="minorEastAsia" w:hAnsiTheme="minorHAnsi" w:cstheme="minorBidi"/>
          <w:i w:val="0"/>
          <w:iCs w:val="0"/>
          <w:sz w:val="22"/>
          <w:szCs w:val="22"/>
        </w:rPr>
      </w:pPr>
      <w:hyperlink w:anchor="_Toc50628057" w:history="1">
        <w:r w:rsidR="00866B34" w:rsidRPr="009C1388">
          <w:rPr>
            <w:rStyle w:val="Hiperpovezava"/>
          </w:rPr>
          <w:t>1.4.1.</w:t>
        </w:r>
        <w:r w:rsidR="00866B34">
          <w:rPr>
            <w:rFonts w:asciiTheme="minorHAnsi" w:eastAsiaTheme="minorEastAsia" w:hAnsiTheme="minorHAnsi" w:cstheme="minorBidi"/>
            <w:i w:val="0"/>
            <w:iCs w:val="0"/>
            <w:sz w:val="22"/>
            <w:szCs w:val="22"/>
          </w:rPr>
          <w:tab/>
        </w:r>
        <w:r w:rsidR="00866B34" w:rsidRPr="009C1388">
          <w:rPr>
            <w:rStyle w:val="Hiperpovezava"/>
          </w:rPr>
          <w:t>Zbirke podatkov MOP</w:t>
        </w:r>
        <w:r w:rsidR="00866B34">
          <w:rPr>
            <w:webHidden/>
          </w:rPr>
          <w:tab/>
        </w:r>
        <w:r w:rsidR="00866B34">
          <w:rPr>
            <w:webHidden/>
          </w:rPr>
          <w:fldChar w:fldCharType="begin"/>
        </w:r>
        <w:r w:rsidR="00866B34">
          <w:rPr>
            <w:webHidden/>
          </w:rPr>
          <w:instrText xml:space="preserve"> PAGEREF _Toc50628057 \h </w:instrText>
        </w:r>
        <w:r w:rsidR="00866B34">
          <w:rPr>
            <w:webHidden/>
          </w:rPr>
        </w:r>
        <w:r w:rsidR="00866B34">
          <w:rPr>
            <w:webHidden/>
          </w:rPr>
          <w:fldChar w:fldCharType="separate"/>
        </w:r>
        <w:r w:rsidR="00CE7C73">
          <w:rPr>
            <w:webHidden/>
          </w:rPr>
          <w:t>26</w:t>
        </w:r>
        <w:r w:rsidR="00866B34">
          <w:rPr>
            <w:webHidden/>
          </w:rPr>
          <w:fldChar w:fldCharType="end"/>
        </w:r>
      </w:hyperlink>
    </w:p>
    <w:p w:rsidR="00866B34" w:rsidRDefault="003340A3">
      <w:pPr>
        <w:pStyle w:val="Kazalovsebine3"/>
        <w:rPr>
          <w:rFonts w:asciiTheme="minorHAnsi" w:eastAsiaTheme="minorEastAsia" w:hAnsiTheme="minorHAnsi" w:cstheme="minorBidi"/>
          <w:i w:val="0"/>
          <w:iCs w:val="0"/>
          <w:sz w:val="22"/>
          <w:szCs w:val="22"/>
        </w:rPr>
      </w:pPr>
      <w:hyperlink w:anchor="_Toc50628058" w:history="1">
        <w:r w:rsidR="00866B34" w:rsidRPr="009C1388">
          <w:rPr>
            <w:rStyle w:val="Hiperpovezava"/>
          </w:rPr>
          <w:t>1.4.2.</w:t>
        </w:r>
        <w:r w:rsidR="00866B34">
          <w:rPr>
            <w:rFonts w:asciiTheme="minorHAnsi" w:eastAsiaTheme="minorEastAsia" w:hAnsiTheme="minorHAnsi" w:cstheme="minorBidi"/>
            <w:i w:val="0"/>
            <w:iCs w:val="0"/>
            <w:sz w:val="22"/>
            <w:szCs w:val="22"/>
          </w:rPr>
          <w:tab/>
        </w:r>
        <w:r w:rsidR="00866B34" w:rsidRPr="009C1388">
          <w:rPr>
            <w:rStyle w:val="Hiperpovezava"/>
          </w:rPr>
          <w:t>Zbirke podatkov ARSO</w:t>
        </w:r>
        <w:r w:rsidR="00866B34">
          <w:rPr>
            <w:webHidden/>
          </w:rPr>
          <w:tab/>
        </w:r>
        <w:r w:rsidR="00866B34">
          <w:rPr>
            <w:webHidden/>
          </w:rPr>
          <w:fldChar w:fldCharType="begin"/>
        </w:r>
        <w:r w:rsidR="00866B34">
          <w:rPr>
            <w:webHidden/>
          </w:rPr>
          <w:instrText xml:space="preserve"> PAGEREF _Toc50628058 \h </w:instrText>
        </w:r>
        <w:r w:rsidR="00866B34">
          <w:rPr>
            <w:webHidden/>
          </w:rPr>
        </w:r>
        <w:r w:rsidR="00866B34">
          <w:rPr>
            <w:webHidden/>
          </w:rPr>
          <w:fldChar w:fldCharType="separate"/>
        </w:r>
        <w:r w:rsidR="00CE7C73">
          <w:rPr>
            <w:webHidden/>
          </w:rPr>
          <w:t>27</w:t>
        </w:r>
        <w:r w:rsidR="00866B34">
          <w:rPr>
            <w:webHidden/>
          </w:rPr>
          <w:fldChar w:fldCharType="end"/>
        </w:r>
      </w:hyperlink>
    </w:p>
    <w:p w:rsidR="00866B34" w:rsidRDefault="003340A3">
      <w:pPr>
        <w:pStyle w:val="Kazalovsebine3"/>
        <w:rPr>
          <w:rFonts w:asciiTheme="minorHAnsi" w:eastAsiaTheme="minorEastAsia" w:hAnsiTheme="minorHAnsi" w:cstheme="minorBidi"/>
          <w:i w:val="0"/>
          <w:iCs w:val="0"/>
          <w:sz w:val="22"/>
          <w:szCs w:val="22"/>
        </w:rPr>
      </w:pPr>
      <w:hyperlink w:anchor="_Toc50628059" w:history="1">
        <w:r w:rsidR="00866B34" w:rsidRPr="009C1388">
          <w:rPr>
            <w:rStyle w:val="Hiperpovezava"/>
          </w:rPr>
          <w:t>1.4.3.</w:t>
        </w:r>
        <w:r w:rsidR="00866B34">
          <w:rPr>
            <w:rFonts w:asciiTheme="minorHAnsi" w:eastAsiaTheme="minorEastAsia" w:hAnsiTheme="minorHAnsi" w:cstheme="minorBidi"/>
            <w:i w:val="0"/>
            <w:iCs w:val="0"/>
            <w:sz w:val="22"/>
            <w:szCs w:val="22"/>
          </w:rPr>
          <w:tab/>
        </w:r>
        <w:r w:rsidR="00866B34" w:rsidRPr="009C1388">
          <w:rPr>
            <w:rStyle w:val="Hiperpovezava"/>
          </w:rPr>
          <w:t>Zbirke podatkov GURS</w:t>
        </w:r>
        <w:r w:rsidR="00866B34">
          <w:rPr>
            <w:webHidden/>
          </w:rPr>
          <w:tab/>
        </w:r>
        <w:r w:rsidR="00866B34">
          <w:rPr>
            <w:webHidden/>
          </w:rPr>
          <w:fldChar w:fldCharType="begin"/>
        </w:r>
        <w:r w:rsidR="00866B34">
          <w:rPr>
            <w:webHidden/>
          </w:rPr>
          <w:instrText xml:space="preserve"> PAGEREF _Toc50628059 \h </w:instrText>
        </w:r>
        <w:r w:rsidR="00866B34">
          <w:rPr>
            <w:webHidden/>
          </w:rPr>
        </w:r>
        <w:r w:rsidR="00866B34">
          <w:rPr>
            <w:webHidden/>
          </w:rPr>
          <w:fldChar w:fldCharType="separate"/>
        </w:r>
        <w:r w:rsidR="00CE7C73">
          <w:rPr>
            <w:webHidden/>
          </w:rPr>
          <w:t>28</w:t>
        </w:r>
        <w:r w:rsidR="00866B34">
          <w:rPr>
            <w:webHidden/>
          </w:rPr>
          <w:fldChar w:fldCharType="end"/>
        </w:r>
      </w:hyperlink>
    </w:p>
    <w:p w:rsidR="00866B34" w:rsidRDefault="003340A3">
      <w:pPr>
        <w:pStyle w:val="Kazalovsebine2"/>
        <w:rPr>
          <w:rFonts w:asciiTheme="minorHAnsi" w:eastAsiaTheme="minorEastAsia" w:hAnsiTheme="minorHAnsi" w:cstheme="minorBidi"/>
          <w:smallCaps w:val="0"/>
          <w:noProof/>
          <w:sz w:val="22"/>
          <w:szCs w:val="22"/>
        </w:rPr>
      </w:pPr>
      <w:hyperlink w:anchor="_Toc50628060" w:history="1">
        <w:r w:rsidR="00866B34" w:rsidRPr="009C1388">
          <w:rPr>
            <w:rStyle w:val="Hiperpovezava"/>
            <w:noProof/>
          </w:rPr>
          <w:t>1.5.</w:t>
        </w:r>
        <w:r w:rsidR="00866B34">
          <w:rPr>
            <w:rFonts w:asciiTheme="minorHAnsi" w:eastAsiaTheme="minorEastAsia" w:hAnsiTheme="minorHAnsi" w:cstheme="minorBidi"/>
            <w:smallCaps w:val="0"/>
            <w:noProof/>
            <w:sz w:val="22"/>
            <w:szCs w:val="22"/>
          </w:rPr>
          <w:tab/>
        </w:r>
        <w:r w:rsidR="00866B34" w:rsidRPr="009C1388">
          <w:rPr>
            <w:rStyle w:val="Hiperpovezava"/>
            <w:noProof/>
          </w:rPr>
          <w:t>Celovita presoja vplivov na okolje</w:t>
        </w:r>
        <w:r w:rsidR="00866B34">
          <w:rPr>
            <w:noProof/>
            <w:webHidden/>
          </w:rPr>
          <w:tab/>
        </w:r>
        <w:r w:rsidR="00866B34">
          <w:rPr>
            <w:noProof/>
            <w:webHidden/>
          </w:rPr>
          <w:fldChar w:fldCharType="begin"/>
        </w:r>
        <w:r w:rsidR="00866B34">
          <w:rPr>
            <w:noProof/>
            <w:webHidden/>
          </w:rPr>
          <w:instrText xml:space="preserve"> PAGEREF _Toc50628060 \h </w:instrText>
        </w:r>
        <w:r w:rsidR="00866B34">
          <w:rPr>
            <w:noProof/>
            <w:webHidden/>
          </w:rPr>
        </w:r>
        <w:r w:rsidR="00866B34">
          <w:rPr>
            <w:noProof/>
            <w:webHidden/>
          </w:rPr>
          <w:fldChar w:fldCharType="separate"/>
        </w:r>
        <w:r w:rsidR="00CE7C73">
          <w:rPr>
            <w:noProof/>
            <w:webHidden/>
          </w:rPr>
          <w:t>28</w:t>
        </w:r>
        <w:r w:rsidR="00866B34">
          <w:rPr>
            <w:noProof/>
            <w:webHidden/>
          </w:rPr>
          <w:fldChar w:fldCharType="end"/>
        </w:r>
      </w:hyperlink>
    </w:p>
    <w:p w:rsidR="00866B34" w:rsidRDefault="003340A3">
      <w:pPr>
        <w:pStyle w:val="Kazalovsebine1"/>
        <w:rPr>
          <w:rFonts w:asciiTheme="minorHAnsi" w:eastAsiaTheme="minorEastAsia" w:hAnsiTheme="minorHAnsi" w:cstheme="minorBidi"/>
          <w:b w:val="0"/>
          <w:bCs w:val="0"/>
          <w:caps w:val="0"/>
          <w:noProof/>
          <w:sz w:val="22"/>
          <w:szCs w:val="22"/>
        </w:rPr>
      </w:pPr>
      <w:hyperlink w:anchor="_Toc50628061" w:history="1">
        <w:r w:rsidR="00866B34" w:rsidRPr="009C1388">
          <w:rPr>
            <w:rStyle w:val="Hiperpovezava"/>
            <w:noProof/>
          </w:rPr>
          <w:t>2.</w:t>
        </w:r>
        <w:r w:rsidR="00866B34">
          <w:rPr>
            <w:rFonts w:asciiTheme="minorHAnsi" w:eastAsiaTheme="minorEastAsia" w:hAnsiTheme="minorHAnsi" w:cstheme="minorBidi"/>
            <w:b w:val="0"/>
            <w:bCs w:val="0"/>
            <w:caps w:val="0"/>
            <w:noProof/>
            <w:sz w:val="22"/>
            <w:szCs w:val="22"/>
          </w:rPr>
          <w:tab/>
        </w:r>
        <w:r w:rsidR="00866B34" w:rsidRPr="009C1388">
          <w:rPr>
            <w:rStyle w:val="Hiperpovezava"/>
            <w:noProof/>
          </w:rPr>
          <w:t>PREGLED STANJA NA PODROČJU ODVAJANJA IN ČIŠČENJA KOMUNALNE ODPADNE VODE TER RAVNANJA Z BLATOM</w:t>
        </w:r>
        <w:r w:rsidR="00866B34">
          <w:rPr>
            <w:noProof/>
            <w:webHidden/>
          </w:rPr>
          <w:tab/>
        </w:r>
        <w:r w:rsidR="00866B34">
          <w:rPr>
            <w:noProof/>
            <w:webHidden/>
          </w:rPr>
          <w:fldChar w:fldCharType="begin"/>
        </w:r>
        <w:r w:rsidR="00866B34">
          <w:rPr>
            <w:noProof/>
            <w:webHidden/>
          </w:rPr>
          <w:instrText xml:space="preserve"> PAGEREF _Toc50628061 \h </w:instrText>
        </w:r>
        <w:r w:rsidR="00866B34">
          <w:rPr>
            <w:noProof/>
            <w:webHidden/>
          </w:rPr>
        </w:r>
        <w:r w:rsidR="00866B34">
          <w:rPr>
            <w:noProof/>
            <w:webHidden/>
          </w:rPr>
          <w:fldChar w:fldCharType="separate"/>
        </w:r>
        <w:r w:rsidR="00CE7C73">
          <w:rPr>
            <w:noProof/>
            <w:webHidden/>
          </w:rPr>
          <w:t>30</w:t>
        </w:r>
        <w:r w:rsidR="00866B34">
          <w:rPr>
            <w:noProof/>
            <w:webHidden/>
          </w:rPr>
          <w:fldChar w:fldCharType="end"/>
        </w:r>
      </w:hyperlink>
    </w:p>
    <w:p w:rsidR="00866B34" w:rsidRDefault="003340A3">
      <w:pPr>
        <w:pStyle w:val="Kazalovsebine2"/>
        <w:rPr>
          <w:rFonts w:asciiTheme="minorHAnsi" w:eastAsiaTheme="minorEastAsia" w:hAnsiTheme="minorHAnsi" w:cstheme="minorBidi"/>
          <w:smallCaps w:val="0"/>
          <w:noProof/>
          <w:sz w:val="22"/>
          <w:szCs w:val="22"/>
        </w:rPr>
      </w:pPr>
      <w:hyperlink w:anchor="_Toc50628062" w:history="1">
        <w:r w:rsidR="00866B34" w:rsidRPr="009C1388">
          <w:rPr>
            <w:rStyle w:val="Hiperpovezava"/>
            <w:noProof/>
          </w:rPr>
          <w:t>2.1.</w:t>
        </w:r>
        <w:r w:rsidR="00866B34">
          <w:rPr>
            <w:rFonts w:asciiTheme="minorHAnsi" w:eastAsiaTheme="minorEastAsia" w:hAnsiTheme="minorHAnsi" w:cstheme="minorBidi"/>
            <w:smallCaps w:val="0"/>
            <w:noProof/>
            <w:sz w:val="22"/>
            <w:szCs w:val="22"/>
          </w:rPr>
          <w:tab/>
        </w:r>
        <w:r w:rsidR="00866B34" w:rsidRPr="009C1388">
          <w:rPr>
            <w:rStyle w:val="Hiperpovezava"/>
            <w:noProof/>
          </w:rPr>
          <w:t>Predhodni operativni program</w:t>
        </w:r>
        <w:r w:rsidR="00866B34">
          <w:rPr>
            <w:noProof/>
            <w:webHidden/>
          </w:rPr>
          <w:tab/>
        </w:r>
        <w:r w:rsidR="00866B34">
          <w:rPr>
            <w:noProof/>
            <w:webHidden/>
          </w:rPr>
          <w:fldChar w:fldCharType="begin"/>
        </w:r>
        <w:r w:rsidR="00866B34">
          <w:rPr>
            <w:noProof/>
            <w:webHidden/>
          </w:rPr>
          <w:instrText xml:space="preserve"> PAGEREF _Toc50628062 \h </w:instrText>
        </w:r>
        <w:r w:rsidR="00866B34">
          <w:rPr>
            <w:noProof/>
            <w:webHidden/>
          </w:rPr>
        </w:r>
        <w:r w:rsidR="00866B34">
          <w:rPr>
            <w:noProof/>
            <w:webHidden/>
          </w:rPr>
          <w:fldChar w:fldCharType="separate"/>
        </w:r>
        <w:r w:rsidR="00CE7C73">
          <w:rPr>
            <w:noProof/>
            <w:webHidden/>
          </w:rPr>
          <w:t>30</w:t>
        </w:r>
        <w:r w:rsidR="00866B34">
          <w:rPr>
            <w:noProof/>
            <w:webHidden/>
          </w:rPr>
          <w:fldChar w:fldCharType="end"/>
        </w:r>
      </w:hyperlink>
    </w:p>
    <w:p w:rsidR="00866B34" w:rsidRDefault="003340A3">
      <w:pPr>
        <w:pStyle w:val="Kazalovsebine3"/>
        <w:rPr>
          <w:rFonts w:asciiTheme="minorHAnsi" w:eastAsiaTheme="minorEastAsia" w:hAnsiTheme="minorHAnsi" w:cstheme="minorBidi"/>
          <w:i w:val="0"/>
          <w:iCs w:val="0"/>
          <w:sz w:val="22"/>
          <w:szCs w:val="22"/>
        </w:rPr>
      </w:pPr>
      <w:hyperlink w:anchor="_Toc50628063" w:history="1">
        <w:r w:rsidR="00866B34" w:rsidRPr="009C1388">
          <w:rPr>
            <w:rStyle w:val="Hiperpovezava"/>
          </w:rPr>
          <w:t>2.1.1.</w:t>
        </w:r>
        <w:r w:rsidR="00866B34">
          <w:rPr>
            <w:rFonts w:asciiTheme="minorHAnsi" w:eastAsiaTheme="minorEastAsia" w:hAnsiTheme="minorHAnsi" w:cstheme="minorBidi"/>
            <w:i w:val="0"/>
            <w:iCs w:val="0"/>
            <w:sz w:val="22"/>
            <w:szCs w:val="22"/>
          </w:rPr>
          <w:tab/>
        </w:r>
        <w:r w:rsidR="00866B34" w:rsidRPr="009C1388">
          <w:rPr>
            <w:rStyle w:val="Hiperpovezava"/>
          </w:rPr>
          <w:t>Aglomeracije iz predhodnega operativnega programa</w:t>
        </w:r>
        <w:r w:rsidR="00866B34">
          <w:rPr>
            <w:webHidden/>
          </w:rPr>
          <w:tab/>
        </w:r>
        <w:r w:rsidR="00866B34">
          <w:rPr>
            <w:webHidden/>
          </w:rPr>
          <w:fldChar w:fldCharType="begin"/>
        </w:r>
        <w:r w:rsidR="00866B34">
          <w:rPr>
            <w:webHidden/>
          </w:rPr>
          <w:instrText xml:space="preserve"> PAGEREF _Toc50628063 \h </w:instrText>
        </w:r>
        <w:r w:rsidR="00866B34">
          <w:rPr>
            <w:webHidden/>
          </w:rPr>
        </w:r>
        <w:r w:rsidR="00866B34">
          <w:rPr>
            <w:webHidden/>
          </w:rPr>
          <w:fldChar w:fldCharType="separate"/>
        </w:r>
        <w:r w:rsidR="00CE7C73">
          <w:rPr>
            <w:webHidden/>
          </w:rPr>
          <w:t>30</w:t>
        </w:r>
        <w:r w:rsidR="00866B34">
          <w:rPr>
            <w:webHidden/>
          </w:rPr>
          <w:fldChar w:fldCharType="end"/>
        </w:r>
      </w:hyperlink>
    </w:p>
    <w:p w:rsidR="00866B34" w:rsidRDefault="003340A3">
      <w:pPr>
        <w:pStyle w:val="Kazalovsebine3"/>
        <w:rPr>
          <w:rFonts w:asciiTheme="minorHAnsi" w:eastAsiaTheme="minorEastAsia" w:hAnsiTheme="minorHAnsi" w:cstheme="minorBidi"/>
          <w:i w:val="0"/>
          <w:iCs w:val="0"/>
          <w:sz w:val="22"/>
          <w:szCs w:val="22"/>
        </w:rPr>
      </w:pPr>
      <w:hyperlink w:anchor="_Toc50628064" w:history="1">
        <w:r w:rsidR="00866B34" w:rsidRPr="009C1388">
          <w:rPr>
            <w:rStyle w:val="Hiperpovezava"/>
          </w:rPr>
          <w:t>2.1.2.</w:t>
        </w:r>
        <w:r w:rsidR="00866B34">
          <w:rPr>
            <w:rFonts w:asciiTheme="minorHAnsi" w:eastAsiaTheme="minorEastAsia" w:hAnsiTheme="minorHAnsi" w:cstheme="minorBidi"/>
            <w:i w:val="0"/>
            <w:iCs w:val="0"/>
            <w:sz w:val="22"/>
            <w:szCs w:val="22"/>
          </w:rPr>
          <w:tab/>
        </w:r>
        <w:r w:rsidR="00866B34" w:rsidRPr="009C1388">
          <w:rPr>
            <w:rStyle w:val="Hiperpovezava"/>
          </w:rPr>
          <w:t>Povzetek ukrepov iz predhodnega operativnega programa</w:t>
        </w:r>
        <w:r w:rsidR="00866B34">
          <w:rPr>
            <w:webHidden/>
          </w:rPr>
          <w:tab/>
        </w:r>
        <w:r w:rsidR="00866B34">
          <w:rPr>
            <w:webHidden/>
          </w:rPr>
          <w:fldChar w:fldCharType="begin"/>
        </w:r>
        <w:r w:rsidR="00866B34">
          <w:rPr>
            <w:webHidden/>
          </w:rPr>
          <w:instrText xml:space="preserve"> PAGEREF _Toc50628064 \h </w:instrText>
        </w:r>
        <w:r w:rsidR="00866B34">
          <w:rPr>
            <w:webHidden/>
          </w:rPr>
        </w:r>
        <w:r w:rsidR="00866B34">
          <w:rPr>
            <w:webHidden/>
          </w:rPr>
          <w:fldChar w:fldCharType="separate"/>
        </w:r>
        <w:r w:rsidR="00CE7C73">
          <w:rPr>
            <w:webHidden/>
          </w:rPr>
          <w:t>32</w:t>
        </w:r>
        <w:r w:rsidR="00866B34">
          <w:rPr>
            <w:webHidden/>
          </w:rPr>
          <w:fldChar w:fldCharType="end"/>
        </w:r>
      </w:hyperlink>
    </w:p>
    <w:p w:rsidR="00866B34" w:rsidRDefault="003340A3">
      <w:pPr>
        <w:pStyle w:val="Kazalovsebine3"/>
        <w:rPr>
          <w:rFonts w:asciiTheme="minorHAnsi" w:eastAsiaTheme="minorEastAsia" w:hAnsiTheme="minorHAnsi" w:cstheme="minorBidi"/>
          <w:i w:val="0"/>
          <w:iCs w:val="0"/>
          <w:sz w:val="22"/>
          <w:szCs w:val="22"/>
        </w:rPr>
      </w:pPr>
      <w:hyperlink w:anchor="_Toc50628065" w:history="1">
        <w:r w:rsidR="00866B34" w:rsidRPr="009C1388">
          <w:rPr>
            <w:rStyle w:val="Hiperpovezava"/>
          </w:rPr>
          <w:t>2.1.3.</w:t>
        </w:r>
        <w:r w:rsidR="00866B34">
          <w:rPr>
            <w:rFonts w:asciiTheme="minorHAnsi" w:eastAsiaTheme="minorEastAsia" w:hAnsiTheme="minorHAnsi" w:cstheme="minorBidi"/>
            <w:i w:val="0"/>
            <w:iCs w:val="0"/>
            <w:sz w:val="22"/>
            <w:szCs w:val="22"/>
          </w:rPr>
          <w:tab/>
        </w:r>
        <w:r w:rsidR="00866B34" w:rsidRPr="009C1388">
          <w:rPr>
            <w:rStyle w:val="Hiperpovezava"/>
          </w:rPr>
          <w:t>Povzetek finančne ocene predhodnega operativnega programa</w:t>
        </w:r>
        <w:r w:rsidR="00866B34">
          <w:rPr>
            <w:webHidden/>
          </w:rPr>
          <w:tab/>
        </w:r>
        <w:r w:rsidR="00866B34">
          <w:rPr>
            <w:webHidden/>
          </w:rPr>
          <w:fldChar w:fldCharType="begin"/>
        </w:r>
        <w:r w:rsidR="00866B34">
          <w:rPr>
            <w:webHidden/>
          </w:rPr>
          <w:instrText xml:space="preserve"> PAGEREF _Toc50628065 \h </w:instrText>
        </w:r>
        <w:r w:rsidR="00866B34">
          <w:rPr>
            <w:webHidden/>
          </w:rPr>
        </w:r>
        <w:r w:rsidR="00866B34">
          <w:rPr>
            <w:webHidden/>
          </w:rPr>
          <w:fldChar w:fldCharType="separate"/>
        </w:r>
        <w:r w:rsidR="00CE7C73">
          <w:rPr>
            <w:webHidden/>
          </w:rPr>
          <w:t>33</w:t>
        </w:r>
        <w:r w:rsidR="00866B34">
          <w:rPr>
            <w:webHidden/>
          </w:rPr>
          <w:fldChar w:fldCharType="end"/>
        </w:r>
      </w:hyperlink>
    </w:p>
    <w:p w:rsidR="00866B34" w:rsidRDefault="003340A3">
      <w:pPr>
        <w:pStyle w:val="Kazalovsebine3"/>
        <w:rPr>
          <w:rFonts w:asciiTheme="minorHAnsi" w:eastAsiaTheme="minorEastAsia" w:hAnsiTheme="minorHAnsi" w:cstheme="minorBidi"/>
          <w:i w:val="0"/>
          <w:iCs w:val="0"/>
          <w:sz w:val="22"/>
          <w:szCs w:val="22"/>
        </w:rPr>
      </w:pPr>
      <w:hyperlink w:anchor="_Toc50628066" w:history="1">
        <w:r w:rsidR="00866B34" w:rsidRPr="009C1388">
          <w:rPr>
            <w:rStyle w:val="Hiperpovezava"/>
          </w:rPr>
          <w:t>2.1.4.</w:t>
        </w:r>
        <w:r w:rsidR="00866B34">
          <w:rPr>
            <w:rFonts w:asciiTheme="minorHAnsi" w:eastAsiaTheme="minorEastAsia" w:hAnsiTheme="minorHAnsi" w:cstheme="minorBidi"/>
            <w:i w:val="0"/>
            <w:iCs w:val="0"/>
            <w:sz w:val="22"/>
            <w:szCs w:val="22"/>
          </w:rPr>
          <w:tab/>
        </w:r>
        <w:r w:rsidR="00866B34" w:rsidRPr="009C1388">
          <w:rPr>
            <w:rStyle w:val="Hiperpovezava"/>
          </w:rPr>
          <w:t>Ocena izvajanja predhodnega operativnega programa</w:t>
        </w:r>
        <w:r w:rsidR="00866B34">
          <w:rPr>
            <w:webHidden/>
          </w:rPr>
          <w:tab/>
        </w:r>
        <w:r w:rsidR="00866B34">
          <w:rPr>
            <w:webHidden/>
          </w:rPr>
          <w:fldChar w:fldCharType="begin"/>
        </w:r>
        <w:r w:rsidR="00866B34">
          <w:rPr>
            <w:webHidden/>
          </w:rPr>
          <w:instrText xml:space="preserve"> PAGEREF _Toc50628066 \h </w:instrText>
        </w:r>
        <w:r w:rsidR="00866B34">
          <w:rPr>
            <w:webHidden/>
          </w:rPr>
        </w:r>
        <w:r w:rsidR="00866B34">
          <w:rPr>
            <w:webHidden/>
          </w:rPr>
          <w:fldChar w:fldCharType="separate"/>
        </w:r>
        <w:r w:rsidR="00CE7C73">
          <w:rPr>
            <w:webHidden/>
          </w:rPr>
          <w:t>34</w:t>
        </w:r>
        <w:r w:rsidR="00866B34">
          <w:rPr>
            <w:webHidden/>
          </w:rPr>
          <w:fldChar w:fldCharType="end"/>
        </w:r>
      </w:hyperlink>
    </w:p>
    <w:p w:rsidR="00866B34" w:rsidRDefault="003340A3">
      <w:pPr>
        <w:pStyle w:val="Kazalovsebine4"/>
        <w:rPr>
          <w:rFonts w:asciiTheme="minorHAnsi" w:eastAsiaTheme="minorEastAsia" w:hAnsiTheme="minorHAnsi" w:cstheme="minorBidi"/>
          <w:smallCaps w:val="0"/>
          <w:noProof/>
          <w:sz w:val="22"/>
          <w:szCs w:val="22"/>
        </w:rPr>
      </w:pPr>
      <w:hyperlink w:anchor="_Toc50628067" w:history="1">
        <w:r w:rsidR="00866B34" w:rsidRPr="009C1388">
          <w:rPr>
            <w:rStyle w:val="Hiperpovezava"/>
            <w:noProof/>
          </w:rPr>
          <w:t>2.1.4.1 Ocena stopnje priključenosti na javno kanalizacijo – v aglomeracijah iz predhodnega operativnega programa</w:t>
        </w:r>
        <w:r w:rsidR="00866B34">
          <w:rPr>
            <w:noProof/>
            <w:webHidden/>
          </w:rPr>
          <w:tab/>
        </w:r>
        <w:r w:rsidR="00866B34">
          <w:rPr>
            <w:noProof/>
            <w:webHidden/>
          </w:rPr>
          <w:fldChar w:fldCharType="begin"/>
        </w:r>
        <w:r w:rsidR="00866B34">
          <w:rPr>
            <w:noProof/>
            <w:webHidden/>
          </w:rPr>
          <w:instrText xml:space="preserve"> PAGEREF _Toc50628067 \h </w:instrText>
        </w:r>
        <w:r w:rsidR="00866B34">
          <w:rPr>
            <w:noProof/>
            <w:webHidden/>
          </w:rPr>
        </w:r>
        <w:r w:rsidR="00866B34">
          <w:rPr>
            <w:noProof/>
            <w:webHidden/>
          </w:rPr>
          <w:fldChar w:fldCharType="separate"/>
        </w:r>
        <w:r w:rsidR="00CE7C73">
          <w:rPr>
            <w:noProof/>
            <w:webHidden/>
          </w:rPr>
          <w:t>35</w:t>
        </w:r>
        <w:r w:rsidR="00866B34">
          <w:rPr>
            <w:noProof/>
            <w:webHidden/>
          </w:rPr>
          <w:fldChar w:fldCharType="end"/>
        </w:r>
      </w:hyperlink>
    </w:p>
    <w:p w:rsidR="00866B34" w:rsidRDefault="003340A3">
      <w:pPr>
        <w:pStyle w:val="Kazalovsebine4"/>
        <w:rPr>
          <w:rFonts w:asciiTheme="minorHAnsi" w:eastAsiaTheme="minorEastAsia" w:hAnsiTheme="minorHAnsi" w:cstheme="minorBidi"/>
          <w:smallCaps w:val="0"/>
          <w:noProof/>
          <w:sz w:val="22"/>
          <w:szCs w:val="22"/>
        </w:rPr>
      </w:pPr>
      <w:hyperlink w:anchor="_Toc50628068" w:history="1">
        <w:r w:rsidR="00866B34" w:rsidRPr="009C1388">
          <w:rPr>
            <w:rStyle w:val="Hiperpovezava"/>
            <w:noProof/>
          </w:rPr>
          <w:t>2.1.4.2 Preliminarna ocena skladnosti</w:t>
        </w:r>
        <w:r w:rsidR="00866B34">
          <w:rPr>
            <w:noProof/>
            <w:webHidden/>
          </w:rPr>
          <w:tab/>
        </w:r>
        <w:r w:rsidR="00866B34">
          <w:rPr>
            <w:noProof/>
            <w:webHidden/>
          </w:rPr>
          <w:fldChar w:fldCharType="begin"/>
        </w:r>
        <w:r w:rsidR="00866B34">
          <w:rPr>
            <w:noProof/>
            <w:webHidden/>
          </w:rPr>
          <w:instrText xml:space="preserve"> PAGEREF _Toc50628068 \h </w:instrText>
        </w:r>
        <w:r w:rsidR="00866B34">
          <w:rPr>
            <w:noProof/>
            <w:webHidden/>
          </w:rPr>
        </w:r>
        <w:r w:rsidR="00866B34">
          <w:rPr>
            <w:noProof/>
            <w:webHidden/>
          </w:rPr>
          <w:fldChar w:fldCharType="separate"/>
        </w:r>
        <w:r w:rsidR="00CE7C73">
          <w:rPr>
            <w:noProof/>
            <w:webHidden/>
          </w:rPr>
          <w:t>36</w:t>
        </w:r>
        <w:r w:rsidR="00866B34">
          <w:rPr>
            <w:noProof/>
            <w:webHidden/>
          </w:rPr>
          <w:fldChar w:fldCharType="end"/>
        </w:r>
      </w:hyperlink>
    </w:p>
    <w:p w:rsidR="00866B34" w:rsidRDefault="003340A3">
      <w:pPr>
        <w:pStyle w:val="Kazalovsebine4"/>
        <w:rPr>
          <w:rFonts w:asciiTheme="minorHAnsi" w:eastAsiaTheme="minorEastAsia" w:hAnsiTheme="minorHAnsi" w:cstheme="minorBidi"/>
          <w:smallCaps w:val="0"/>
          <w:noProof/>
          <w:sz w:val="22"/>
          <w:szCs w:val="22"/>
        </w:rPr>
      </w:pPr>
      <w:hyperlink w:anchor="_Toc50628069" w:history="1">
        <w:r w:rsidR="00866B34" w:rsidRPr="009C1388">
          <w:rPr>
            <w:rStyle w:val="Hiperpovezava"/>
            <w:noProof/>
          </w:rPr>
          <w:t>2.1.4.3 Ocena stopnje priključenosti na posamezno vrsto ureditve – zunaj meja aglomeracij iz predhodnega operativnega programa</w:t>
        </w:r>
        <w:r w:rsidR="00866B34">
          <w:rPr>
            <w:noProof/>
            <w:webHidden/>
          </w:rPr>
          <w:tab/>
        </w:r>
        <w:r w:rsidR="00866B34">
          <w:rPr>
            <w:noProof/>
            <w:webHidden/>
          </w:rPr>
          <w:fldChar w:fldCharType="begin"/>
        </w:r>
        <w:r w:rsidR="00866B34">
          <w:rPr>
            <w:noProof/>
            <w:webHidden/>
          </w:rPr>
          <w:instrText xml:space="preserve"> PAGEREF _Toc50628069 \h </w:instrText>
        </w:r>
        <w:r w:rsidR="00866B34">
          <w:rPr>
            <w:noProof/>
            <w:webHidden/>
          </w:rPr>
        </w:r>
        <w:r w:rsidR="00866B34">
          <w:rPr>
            <w:noProof/>
            <w:webHidden/>
          </w:rPr>
          <w:fldChar w:fldCharType="separate"/>
        </w:r>
        <w:r w:rsidR="00CE7C73">
          <w:rPr>
            <w:noProof/>
            <w:webHidden/>
          </w:rPr>
          <w:t>38</w:t>
        </w:r>
        <w:r w:rsidR="00866B34">
          <w:rPr>
            <w:noProof/>
            <w:webHidden/>
          </w:rPr>
          <w:fldChar w:fldCharType="end"/>
        </w:r>
      </w:hyperlink>
    </w:p>
    <w:p w:rsidR="00866B34" w:rsidRDefault="003340A3">
      <w:pPr>
        <w:pStyle w:val="Kazalovsebine2"/>
        <w:rPr>
          <w:rFonts w:asciiTheme="minorHAnsi" w:eastAsiaTheme="minorEastAsia" w:hAnsiTheme="minorHAnsi" w:cstheme="minorBidi"/>
          <w:smallCaps w:val="0"/>
          <w:noProof/>
          <w:sz w:val="22"/>
          <w:szCs w:val="22"/>
        </w:rPr>
      </w:pPr>
      <w:hyperlink w:anchor="_Toc50628070" w:history="1">
        <w:r w:rsidR="00866B34" w:rsidRPr="009C1388">
          <w:rPr>
            <w:rStyle w:val="Hiperpovezava"/>
            <w:noProof/>
          </w:rPr>
          <w:t>2.2.</w:t>
        </w:r>
        <w:r w:rsidR="00866B34">
          <w:rPr>
            <w:rFonts w:asciiTheme="minorHAnsi" w:eastAsiaTheme="minorEastAsia" w:hAnsiTheme="minorHAnsi" w:cstheme="minorBidi"/>
            <w:smallCaps w:val="0"/>
            <w:noProof/>
            <w:sz w:val="22"/>
            <w:szCs w:val="22"/>
          </w:rPr>
          <w:tab/>
        </w:r>
        <w:r w:rsidR="00866B34" w:rsidRPr="009C1388">
          <w:rPr>
            <w:rStyle w:val="Hiperpovezava"/>
            <w:noProof/>
          </w:rPr>
          <w:t>Poraba finančnih sredstev</w:t>
        </w:r>
        <w:r w:rsidR="00866B34">
          <w:rPr>
            <w:noProof/>
            <w:webHidden/>
          </w:rPr>
          <w:tab/>
        </w:r>
        <w:r w:rsidR="00866B34">
          <w:rPr>
            <w:noProof/>
            <w:webHidden/>
          </w:rPr>
          <w:fldChar w:fldCharType="begin"/>
        </w:r>
        <w:r w:rsidR="00866B34">
          <w:rPr>
            <w:noProof/>
            <w:webHidden/>
          </w:rPr>
          <w:instrText xml:space="preserve"> PAGEREF _Toc50628070 \h </w:instrText>
        </w:r>
        <w:r w:rsidR="00866B34">
          <w:rPr>
            <w:noProof/>
            <w:webHidden/>
          </w:rPr>
        </w:r>
        <w:r w:rsidR="00866B34">
          <w:rPr>
            <w:noProof/>
            <w:webHidden/>
          </w:rPr>
          <w:fldChar w:fldCharType="separate"/>
        </w:r>
        <w:r w:rsidR="00CE7C73">
          <w:rPr>
            <w:noProof/>
            <w:webHidden/>
          </w:rPr>
          <w:t>39</w:t>
        </w:r>
        <w:r w:rsidR="00866B34">
          <w:rPr>
            <w:noProof/>
            <w:webHidden/>
          </w:rPr>
          <w:fldChar w:fldCharType="end"/>
        </w:r>
      </w:hyperlink>
    </w:p>
    <w:p w:rsidR="00866B34" w:rsidRDefault="003340A3">
      <w:pPr>
        <w:pStyle w:val="Kazalovsebine2"/>
        <w:rPr>
          <w:rFonts w:asciiTheme="minorHAnsi" w:eastAsiaTheme="minorEastAsia" w:hAnsiTheme="minorHAnsi" w:cstheme="minorBidi"/>
          <w:smallCaps w:val="0"/>
          <w:noProof/>
          <w:sz w:val="22"/>
          <w:szCs w:val="22"/>
        </w:rPr>
      </w:pPr>
      <w:hyperlink w:anchor="_Toc50628071" w:history="1">
        <w:r w:rsidR="00866B34" w:rsidRPr="009C1388">
          <w:rPr>
            <w:rStyle w:val="Hiperpovezava"/>
            <w:noProof/>
          </w:rPr>
          <w:t>2.3.</w:t>
        </w:r>
        <w:r w:rsidR="00866B34">
          <w:rPr>
            <w:rFonts w:asciiTheme="minorHAnsi" w:eastAsiaTheme="minorEastAsia" w:hAnsiTheme="minorHAnsi" w:cstheme="minorBidi"/>
            <w:smallCaps w:val="0"/>
            <w:noProof/>
            <w:sz w:val="22"/>
            <w:szCs w:val="22"/>
          </w:rPr>
          <w:tab/>
        </w:r>
        <w:r w:rsidR="00866B34" w:rsidRPr="009C1388">
          <w:rPr>
            <w:rStyle w:val="Hiperpovezava"/>
            <w:noProof/>
          </w:rPr>
          <w:t>Ravnanje z blatom</w:t>
        </w:r>
        <w:r w:rsidR="00866B34">
          <w:rPr>
            <w:noProof/>
            <w:webHidden/>
          </w:rPr>
          <w:tab/>
        </w:r>
        <w:r w:rsidR="00866B34">
          <w:rPr>
            <w:noProof/>
            <w:webHidden/>
          </w:rPr>
          <w:fldChar w:fldCharType="begin"/>
        </w:r>
        <w:r w:rsidR="00866B34">
          <w:rPr>
            <w:noProof/>
            <w:webHidden/>
          </w:rPr>
          <w:instrText xml:space="preserve"> PAGEREF _Toc50628071 \h </w:instrText>
        </w:r>
        <w:r w:rsidR="00866B34">
          <w:rPr>
            <w:noProof/>
            <w:webHidden/>
          </w:rPr>
        </w:r>
        <w:r w:rsidR="00866B34">
          <w:rPr>
            <w:noProof/>
            <w:webHidden/>
          </w:rPr>
          <w:fldChar w:fldCharType="separate"/>
        </w:r>
        <w:r w:rsidR="00CE7C73">
          <w:rPr>
            <w:noProof/>
            <w:webHidden/>
          </w:rPr>
          <w:t>42</w:t>
        </w:r>
        <w:r w:rsidR="00866B34">
          <w:rPr>
            <w:noProof/>
            <w:webHidden/>
          </w:rPr>
          <w:fldChar w:fldCharType="end"/>
        </w:r>
      </w:hyperlink>
    </w:p>
    <w:p w:rsidR="00866B34" w:rsidRDefault="003340A3">
      <w:pPr>
        <w:pStyle w:val="Kazalovsebine1"/>
        <w:rPr>
          <w:rFonts w:asciiTheme="minorHAnsi" w:eastAsiaTheme="minorEastAsia" w:hAnsiTheme="minorHAnsi" w:cstheme="minorBidi"/>
          <w:b w:val="0"/>
          <w:bCs w:val="0"/>
          <w:caps w:val="0"/>
          <w:noProof/>
          <w:sz w:val="22"/>
          <w:szCs w:val="22"/>
        </w:rPr>
      </w:pPr>
      <w:hyperlink w:anchor="_Toc50628072" w:history="1">
        <w:r w:rsidR="00866B34" w:rsidRPr="009C1388">
          <w:rPr>
            <w:rStyle w:val="Hiperpovezava"/>
            <w:noProof/>
          </w:rPr>
          <w:t>3.</w:t>
        </w:r>
        <w:r w:rsidR="00866B34">
          <w:rPr>
            <w:rFonts w:asciiTheme="minorHAnsi" w:eastAsiaTheme="minorEastAsia" w:hAnsiTheme="minorHAnsi" w:cstheme="minorBidi"/>
            <w:b w:val="0"/>
            <w:bCs w:val="0"/>
            <w:caps w:val="0"/>
            <w:noProof/>
            <w:sz w:val="22"/>
            <w:szCs w:val="22"/>
          </w:rPr>
          <w:tab/>
        </w:r>
        <w:r w:rsidR="00866B34" w:rsidRPr="009C1388">
          <w:rPr>
            <w:rStyle w:val="Hiperpovezava"/>
            <w:noProof/>
          </w:rPr>
          <w:t>SPREMEMBE AGLOMERACIJ GLEDE NA PREDHODNI OPERATIVNI PROGRAM</w:t>
        </w:r>
        <w:r w:rsidR="00866B34">
          <w:rPr>
            <w:noProof/>
            <w:webHidden/>
          </w:rPr>
          <w:tab/>
        </w:r>
        <w:r w:rsidR="00866B34">
          <w:rPr>
            <w:noProof/>
            <w:webHidden/>
          </w:rPr>
          <w:fldChar w:fldCharType="begin"/>
        </w:r>
        <w:r w:rsidR="00866B34">
          <w:rPr>
            <w:noProof/>
            <w:webHidden/>
          </w:rPr>
          <w:instrText xml:space="preserve"> PAGEREF _Toc50628072 \h </w:instrText>
        </w:r>
        <w:r w:rsidR="00866B34">
          <w:rPr>
            <w:noProof/>
            <w:webHidden/>
          </w:rPr>
        </w:r>
        <w:r w:rsidR="00866B34">
          <w:rPr>
            <w:noProof/>
            <w:webHidden/>
          </w:rPr>
          <w:fldChar w:fldCharType="separate"/>
        </w:r>
        <w:r w:rsidR="00CE7C73">
          <w:rPr>
            <w:noProof/>
            <w:webHidden/>
          </w:rPr>
          <w:t>44</w:t>
        </w:r>
        <w:r w:rsidR="00866B34">
          <w:rPr>
            <w:noProof/>
            <w:webHidden/>
          </w:rPr>
          <w:fldChar w:fldCharType="end"/>
        </w:r>
      </w:hyperlink>
    </w:p>
    <w:p w:rsidR="00866B34" w:rsidRDefault="003340A3">
      <w:pPr>
        <w:pStyle w:val="Kazalovsebine2"/>
        <w:rPr>
          <w:rFonts w:asciiTheme="minorHAnsi" w:eastAsiaTheme="minorEastAsia" w:hAnsiTheme="minorHAnsi" w:cstheme="minorBidi"/>
          <w:smallCaps w:val="0"/>
          <w:noProof/>
          <w:sz w:val="22"/>
          <w:szCs w:val="22"/>
        </w:rPr>
      </w:pPr>
      <w:hyperlink w:anchor="_Toc50628073" w:history="1">
        <w:r w:rsidR="00866B34" w:rsidRPr="009C1388">
          <w:rPr>
            <w:rStyle w:val="Hiperpovezava"/>
            <w:noProof/>
          </w:rPr>
          <w:t>3.1.</w:t>
        </w:r>
        <w:r w:rsidR="00866B34">
          <w:rPr>
            <w:rFonts w:asciiTheme="minorHAnsi" w:eastAsiaTheme="minorEastAsia" w:hAnsiTheme="minorHAnsi" w:cstheme="minorBidi"/>
            <w:smallCaps w:val="0"/>
            <w:noProof/>
            <w:sz w:val="22"/>
            <w:szCs w:val="22"/>
          </w:rPr>
          <w:tab/>
        </w:r>
        <w:r w:rsidR="00866B34" w:rsidRPr="009C1388">
          <w:rPr>
            <w:rStyle w:val="Hiperpovezava"/>
            <w:noProof/>
          </w:rPr>
          <w:t>Metodologija za določitev aglomeracij</w:t>
        </w:r>
        <w:r w:rsidR="00866B34">
          <w:rPr>
            <w:noProof/>
            <w:webHidden/>
          </w:rPr>
          <w:tab/>
        </w:r>
        <w:r w:rsidR="00866B34">
          <w:rPr>
            <w:noProof/>
            <w:webHidden/>
          </w:rPr>
          <w:fldChar w:fldCharType="begin"/>
        </w:r>
        <w:r w:rsidR="00866B34">
          <w:rPr>
            <w:noProof/>
            <w:webHidden/>
          </w:rPr>
          <w:instrText xml:space="preserve"> PAGEREF _Toc50628073 \h </w:instrText>
        </w:r>
        <w:r w:rsidR="00866B34">
          <w:rPr>
            <w:noProof/>
            <w:webHidden/>
          </w:rPr>
        </w:r>
        <w:r w:rsidR="00866B34">
          <w:rPr>
            <w:noProof/>
            <w:webHidden/>
          </w:rPr>
          <w:fldChar w:fldCharType="separate"/>
        </w:r>
        <w:r w:rsidR="00CE7C73">
          <w:rPr>
            <w:noProof/>
            <w:webHidden/>
          </w:rPr>
          <w:t>44</w:t>
        </w:r>
        <w:r w:rsidR="00866B34">
          <w:rPr>
            <w:noProof/>
            <w:webHidden/>
          </w:rPr>
          <w:fldChar w:fldCharType="end"/>
        </w:r>
      </w:hyperlink>
    </w:p>
    <w:p w:rsidR="00866B34" w:rsidRDefault="003340A3">
      <w:pPr>
        <w:pStyle w:val="Kazalovsebine2"/>
        <w:rPr>
          <w:rFonts w:asciiTheme="minorHAnsi" w:eastAsiaTheme="minorEastAsia" w:hAnsiTheme="minorHAnsi" w:cstheme="minorBidi"/>
          <w:smallCaps w:val="0"/>
          <w:noProof/>
          <w:sz w:val="22"/>
          <w:szCs w:val="22"/>
        </w:rPr>
      </w:pPr>
      <w:hyperlink w:anchor="_Toc50628074" w:history="1">
        <w:r w:rsidR="00866B34" w:rsidRPr="009C1388">
          <w:rPr>
            <w:rStyle w:val="Hiperpovezava"/>
            <w:noProof/>
          </w:rPr>
          <w:t>3.2.</w:t>
        </w:r>
        <w:r w:rsidR="00866B34">
          <w:rPr>
            <w:rFonts w:asciiTheme="minorHAnsi" w:eastAsiaTheme="minorEastAsia" w:hAnsiTheme="minorHAnsi" w:cstheme="minorBidi"/>
            <w:smallCaps w:val="0"/>
            <w:noProof/>
            <w:sz w:val="22"/>
            <w:szCs w:val="22"/>
          </w:rPr>
          <w:tab/>
        </w:r>
        <w:r w:rsidR="00866B34" w:rsidRPr="009C1388">
          <w:rPr>
            <w:rStyle w:val="Hiperpovezava"/>
            <w:noProof/>
          </w:rPr>
          <w:t>Spremembe aglomeracij s skupno obremenitvijo, enako ali večjo od 2.000 PE</w:t>
        </w:r>
        <w:r w:rsidR="00866B34">
          <w:rPr>
            <w:noProof/>
            <w:webHidden/>
          </w:rPr>
          <w:tab/>
        </w:r>
        <w:r w:rsidR="00866B34">
          <w:rPr>
            <w:noProof/>
            <w:webHidden/>
          </w:rPr>
          <w:fldChar w:fldCharType="begin"/>
        </w:r>
        <w:r w:rsidR="00866B34">
          <w:rPr>
            <w:noProof/>
            <w:webHidden/>
          </w:rPr>
          <w:instrText xml:space="preserve"> PAGEREF _Toc50628074 \h </w:instrText>
        </w:r>
        <w:r w:rsidR="00866B34">
          <w:rPr>
            <w:noProof/>
            <w:webHidden/>
          </w:rPr>
        </w:r>
        <w:r w:rsidR="00866B34">
          <w:rPr>
            <w:noProof/>
            <w:webHidden/>
          </w:rPr>
          <w:fldChar w:fldCharType="separate"/>
        </w:r>
        <w:r w:rsidR="00CE7C73">
          <w:rPr>
            <w:noProof/>
            <w:webHidden/>
          </w:rPr>
          <w:t>47</w:t>
        </w:r>
        <w:r w:rsidR="00866B34">
          <w:rPr>
            <w:noProof/>
            <w:webHidden/>
          </w:rPr>
          <w:fldChar w:fldCharType="end"/>
        </w:r>
      </w:hyperlink>
    </w:p>
    <w:p w:rsidR="00866B34" w:rsidRDefault="003340A3">
      <w:pPr>
        <w:pStyle w:val="Kazalovsebine2"/>
        <w:rPr>
          <w:rFonts w:asciiTheme="minorHAnsi" w:eastAsiaTheme="minorEastAsia" w:hAnsiTheme="minorHAnsi" w:cstheme="minorBidi"/>
          <w:smallCaps w:val="0"/>
          <w:noProof/>
          <w:sz w:val="22"/>
          <w:szCs w:val="22"/>
        </w:rPr>
      </w:pPr>
      <w:hyperlink w:anchor="_Toc50628075" w:history="1">
        <w:r w:rsidR="00866B34" w:rsidRPr="009C1388">
          <w:rPr>
            <w:rStyle w:val="Hiperpovezava"/>
            <w:noProof/>
          </w:rPr>
          <w:t>3.3.</w:t>
        </w:r>
        <w:r w:rsidR="00866B34">
          <w:rPr>
            <w:rFonts w:asciiTheme="minorHAnsi" w:eastAsiaTheme="minorEastAsia" w:hAnsiTheme="minorHAnsi" w:cstheme="minorBidi"/>
            <w:smallCaps w:val="0"/>
            <w:noProof/>
            <w:sz w:val="22"/>
            <w:szCs w:val="22"/>
          </w:rPr>
          <w:tab/>
        </w:r>
        <w:r w:rsidR="00866B34" w:rsidRPr="009C1388">
          <w:rPr>
            <w:rStyle w:val="Hiperpovezava"/>
            <w:noProof/>
          </w:rPr>
          <w:t>Spremembe aglomeracij s skupno obremenitvijo, enako ali večjo od 10.000 PE in manjšo od 15.000 PE</w:t>
        </w:r>
        <w:r w:rsidR="00866B34">
          <w:rPr>
            <w:noProof/>
            <w:webHidden/>
          </w:rPr>
          <w:tab/>
        </w:r>
        <w:r w:rsidR="00866B34">
          <w:rPr>
            <w:noProof/>
            <w:webHidden/>
          </w:rPr>
          <w:fldChar w:fldCharType="begin"/>
        </w:r>
        <w:r w:rsidR="00866B34">
          <w:rPr>
            <w:noProof/>
            <w:webHidden/>
          </w:rPr>
          <w:instrText xml:space="preserve"> PAGEREF _Toc50628075 \h </w:instrText>
        </w:r>
        <w:r w:rsidR="00866B34">
          <w:rPr>
            <w:noProof/>
            <w:webHidden/>
          </w:rPr>
        </w:r>
        <w:r w:rsidR="00866B34">
          <w:rPr>
            <w:noProof/>
            <w:webHidden/>
          </w:rPr>
          <w:fldChar w:fldCharType="separate"/>
        </w:r>
        <w:r w:rsidR="00CE7C73">
          <w:rPr>
            <w:noProof/>
            <w:webHidden/>
          </w:rPr>
          <w:t>48</w:t>
        </w:r>
        <w:r w:rsidR="00866B34">
          <w:rPr>
            <w:noProof/>
            <w:webHidden/>
          </w:rPr>
          <w:fldChar w:fldCharType="end"/>
        </w:r>
      </w:hyperlink>
    </w:p>
    <w:p w:rsidR="00866B34" w:rsidRDefault="003340A3">
      <w:pPr>
        <w:pStyle w:val="Kazalovsebine2"/>
        <w:rPr>
          <w:rFonts w:asciiTheme="minorHAnsi" w:eastAsiaTheme="minorEastAsia" w:hAnsiTheme="minorHAnsi" w:cstheme="minorBidi"/>
          <w:smallCaps w:val="0"/>
          <w:noProof/>
          <w:sz w:val="22"/>
          <w:szCs w:val="22"/>
        </w:rPr>
      </w:pPr>
      <w:hyperlink w:anchor="_Toc50628076" w:history="1">
        <w:r w:rsidR="00866B34" w:rsidRPr="009C1388">
          <w:rPr>
            <w:rStyle w:val="Hiperpovezava"/>
            <w:noProof/>
          </w:rPr>
          <w:t>3.4.</w:t>
        </w:r>
        <w:r w:rsidR="00866B34">
          <w:rPr>
            <w:rFonts w:asciiTheme="minorHAnsi" w:eastAsiaTheme="minorEastAsia" w:hAnsiTheme="minorHAnsi" w:cstheme="minorBidi"/>
            <w:smallCaps w:val="0"/>
            <w:noProof/>
            <w:sz w:val="22"/>
            <w:szCs w:val="22"/>
          </w:rPr>
          <w:tab/>
        </w:r>
        <w:r w:rsidR="00866B34" w:rsidRPr="009C1388">
          <w:rPr>
            <w:rStyle w:val="Hiperpovezava"/>
            <w:noProof/>
          </w:rPr>
          <w:t>Spremembe aglomeracij s skupno obremenitvijo, enako ali večjo od 15.000 PE</w:t>
        </w:r>
        <w:r w:rsidR="00866B34">
          <w:rPr>
            <w:noProof/>
            <w:webHidden/>
          </w:rPr>
          <w:tab/>
        </w:r>
        <w:r w:rsidR="00866B34">
          <w:rPr>
            <w:noProof/>
            <w:webHidden/>
          </w:rPr>
          <w:fldChar w:fldCharType="begin"/>
        </w:r>
        <w:r w:rsidR="00866B34">
          <w:rPr>
            <w:noProof/>
            <w:webHidden/>
          </w:rPr>
          <w:instrText xml:space="preserve"> PAGEREF _Toc50628076 \h </w:instrText>
        </w:r>
        <w:r w:rsidR="00866B34">
          <w:rPr>
            <w:noProof/>
            <w:webHidden/>
          </w:rPr>
        </w:r>
        <w:r w:rsidR="00866B34">
          <w:rPr>
            <w:noProof/>
            <w:webHidden/>
          </w:rPr>
          <w:fldChar w:fldCharType="separate"/>
        </w:r>
        <w:r w:rsidR="00CE7C73">
          <w:rPr>
            <w:noProof/>
            <w:webHidden/>
          </w:rPr>
          <w:t>49</w:t>
        </w:r>
        <w:r w:rsidR="00866B34">
          <w:rPr>
            <w:noProof/>
            <w:webHidden/>
          </w:rPr>
          <w:fldChar w:fldCharType="end"/>
        </w:r>
      </w:hyperlink>
    </w:p>
    <w:p w:rsidR="00866B34" w:rsidRDefault="003340A3">
      <w:pPr>
        <w:pStyle w:val="Kazalovsebine1"/>
        <w:rPr>
          <w:rFonts w:asciiTheme="minorHAnsi" w:eastAsiaTheme="minorEastAsia" w:hAnsiTheme="minorHAnsi" w:cstheme="minorBidi"/>
          <w:b w:val="0"/>
          <w:bCs w:val="0"/>
          <w:caps w:val="0"/>
          <w:noProof/>
          <w:sz w:val="22"/>
          <w:szCs w:val="22"/>
        </w:rPr>
      </w:pPr>
      <w:hyperlink w:anchor="_Toc50628077" w:history="1">
        <w:r w:rsidR="00866B34" w:rsidRPr="009C1388">
          <w:rPr>
            <w:rStyle w:val="Hiperpovezava"/>
            <w:noProof/>
          </w:rPr>
          <w:t>4.</w:t>
        </w:r>
        <w:r w:rsidR="00866B34">
          <w:rPr>
            <w:rFonts w:asciiTheme="minorHAnsi" w:eastAsiaTheme="minorEastAsia" w:hAnsiTheme="minorHAnsi" w:cstheme="minorBidi"/>
            <w:b w:val="0"/>
            <w:bCs w:val="0"/>
            <w:caps w:val="0"/>
            <w:noProof/>
            <w:sz w:val="22"/>
            <w:szCs w:val="22"/>
          </w:rPr>
          <w:tab/>
        </w:r>
        <w:r w:rsidR="00866B34" w:rsidRPr="009C1388">
          <w:rPr>
            <w:rStyle w:val="Hiperpovezava"/>
            <w:noProof/>
          </w:rPr>
          <w:t>OCENA VRZELI IN POTREBNIH UKREPOV DO IZPOLNJEVANJA ZAHTEV</w:t>
        </w:r>
        <w:r w:rsidR="00866B34">
          <w:rPr>
            <w:noProof/>
            <w:webHidden/>
          </w:rPr>
          <w:tab/>
        </w:r>
        <w:r w:rsidR="00866B34">
          <w:rPr>
            <w:noProof/>
            <w:webHidden/>
          </w:rPr>
          <w:fldChar w:fldCharType="begin"/>
        </w:r>
        <w:r w:rsidR="00866B34">
          <w:rPr>
            <w:noProof/>
            <w:webHidden/>
          </w:rPr>
          <w:instrText xml:space="preserve"> PAGEREF _Toc50628077 \h </w:instrText>
        </w:r>
        <w:r w:rsidR="00866B34">
          <w:rPr>
            <w:noProof/>
            <w:webHidden/>
          </w:rPr>
        </w:r>
        <w:r w:rsidR="00866B34">
          <w:rPr>
            <w:noProof/>
            <w:webHidden/>
          </w:rPr>
          <w:fldChar w:fldCharType="separate"/>
        </w:r>
        <w:r w:rsidR="00CE7C73">
          <w:rPr>
            <w:noProof/>
            <w:webHidden/>
          </w:rPr>
          <w:t>51</w:t>
        </w:r>
        <w:r w:rsidR="00866B34">
          <w:rPr>
            <w:noProof/>
            <w:webHidden/>
          </w:rPr>
          <w:fldChar w:fldCharType="end"/>
        </w:r>
      </w:hyperlink>
    </w:p>
    <w:p w:rsidR="00866B34" w:rsidRDefault="003340A3">
      <w:pPr>
        <w:pStyle w:val="Kazalovsebine2"/>
        <w:rPr>
          <w:rFonts w:asciiTheme="minorHAnsi" w:eastAsiaTheme="minorEastAsia" w:hAnsiTheme="minorHAnsi" w:cstheme="minorBidi"/>
          <w:smallCaps w:val="0"/>
          <w:noProof/>
          <w:sz w:val="22"/>
          <w:szCs w:val="22"/>
        </w:rPr>
      </w:pPr>
      <w:hyperlink w:anchor="_Toc50628078" w:history="1">
        <w:r w:rsidR="00866B34" w:rsidRPr="009C1388">
          <w:rPr>
            <w:rStyle w:val="Hiperpovezava"/>
            <w:noProof/>
          </w:rPr>
          <w:t>4.1.</w:t>
        </w:r>
        <w:r w:rsidR="00866B34">
          <w:rPr>
            <w:rFonts w:asciiTheme="minorHAnsi" w:eastAsiaTheme="minorEastAsia" w:hAnsiTheme="minorHAnsi" w:cstheme="minorBidi"/>
            <w:smallCaps w:val="0"/>
            <w:noProof/>
            <w:sz w:val="22"/>
            <w:szCs w:val="22"/>
          </w:rPr>
          <w:tab/>
        </w:r>
        <w:r w:rsidR="00866B34" w:rsidRPr="009C1388">
          <w:rPr>
            <w:rStyle w:val="Hiperpovezava"/>
            <w:noProof/>
          </w:rPr>
          <w:t>Ocena opremljenosti in stopnje priključenosti aglomeracij</w:t>
        </w:r>
        <w:r w:rsidR="00866B34">
          <w:rPr>
            <w:noProof/>
            <w:webHidden/>
          </w:rPr>
          <w:tab/>
        </w:r>
        <w:r w:rsidR="00866B34">
          <w:rPr>
            <w:noProof/>
            <w:webHidden/>
          </w:rPr>
          <w:fldChar w:fldCharType="begin"/>
        </w:r>
        <w:r w:rsidR="00866B34">
          <w:rPr>
            <w:noProof/>
            <w:webHidden/>
          </w:rPr>
          <w:instrText xml:space="preserve"> PAGEREF _Toc50628078 \h </w:instrText>
        </w:r>
        <w:r w:rsidR="00866B34">
          <w:rPr>
            <w:noProof/>
            <w:webHidden/>
          </w:rPr>
        </w:r>
        <w:r w:rsidR="00866B34">
          <w:rPr>
            <w:noProof/>
            <w:webHidden/>
          </w:rPr>
          <w:fldChar w:fldCharType="separate"/>
        </w:r>
        <w:r w:rsidR="00CE7C73">
          <w:rPr>
            <w:noProof/>
            <w:webHidden/>
          </w:rPr>
          <w:t>51</w:t>
        </w:r>
        <w:r w:rsidR="00866B34">
          <w:rPr>
            <w:noProof/>
            <w:webHidden/>
          </w:rPr>
          <w:fldChar w:fldCharType="end"/>
        </w:r>
      </w:hyperlink>
    </w:p>
    <w:p w:rsidR="00866B34" w:rsidRDefault="003340A3">
      <w:pPr>
        <w:pStyle w:val="Kazalovsebine3"/>
        <w:rPr>
          <w:rFonts w:asciiTheme="minorHAnsi" w:eastAsiaTheme="minorEastAsia" w:hAnsiTheme="minorHAnsi" w:cstheme="minorBidi"/>
          <w:i w:val="0"/>
          <w:iCs w:val="0"/>
          <w:sz w:val="22"/>
          <w:szCs w:val="22"/>
        </w:rPr>
      </w:pPr>
      <w:hyperlink w:anchor="_Toc50628079" w:history="1">
        <w:r w:rsidR="00866B34" w:rsidRPr="009C1388">
          <w:rPr>
            <w:rStyle w:val="Hiperpovezava"/>
          </w:rPr>
          <w:t>4.1.1.</w:t>
        </w:r>
        <w:r w:rsidR="00866B34">
          <w:rPr>
            <w:rFonts w:asciiTheme="minorHAnsi" w:eastAsiaTheme="minorEastAsia" w:hAnsiTheme="minorHAnsi" w:cstheme="minorBidi"/>
            <w:i w:val="0"/>
            <w:iCs w:val="0"/>
            <w:sz w:val="22"/>
            <w:szCs w:val="22"/>
          </w:rPr>
          <w:tab/>
        </w:r>
        <w:r w:rsidR="00866B34" w:rsidRPr="009C1388">
          <w:rPr>
            <w:rStyle w:val="Hiperpovezava"/>
          </w:rPr>
          <w:t>Ocena opremljenosti aglomeracij</w:t>
        </w:r>
        <w:r w:rsidR="00866B34">
          <w:rPr>
            <w:webHidden/>
          </w:rPr>
          <w:tab/>
        </w:r>
        <w:r w:rsidR="00866B34">
          <w:rPr>
            <w:webHidden/>
          </w:rPr>
          <w:fldChar w:fldCharType="begin"/>
        </w:r>
        <w:r w:rsidR="00866B34">
          <w:rPr>
            <w:webHidden/>
          </w:rPr>
          <w:instrText xml:space="preserve"> PAGEREF _Toc50628079 \h </w:instrText>
        </w:r>
        <w:r w:rsidR="00866B34">
          <w:rPr>
            <w:webHidden/>
          </w:rPr>
        </w:r>
        <w:r w:rsidR="00866B34">
          <w:rPr>
            <w:webHidden/>
          </w:rPr>
          <w:fldChar w:fldCharType="separate"/>
        </w:r>
        <w:r w:rsidR="00CE7C73">
          <w:rPr>
            <w:webHidden/>
          </w:rPr>
          <w:t>51</w:t>
        </w:r>
        <w:r w:rsidR="00866B34">
          <w:rPr>
            <w:webHidden/>
          </w:rPr>
          <w:fldChar w:fldCharType="end"/>
        </w:r>
      </w:hyperlink>
    </w:p>
    <w:p w:rsidR="00866B34" w:rsidRDefault="003340A3">
      <w:pPr>
        <w:pStyle w:val="Kazalovsebine3"/>
        <w:rPr>
          <w:rFonts w:asciiTheme="minorHAnsi" w:eastAsiaTheme="minorEastAsia" w:hAnsiTheme="minorHAnsi" w:cstheme="minorBidi"/>
          <w:i w:val="0"/>
          <w:iCs w:val="0"/>
          <w:sz w:val="22"/>
          <w:szCs w:val="22"/>
        </w:rPr>
      </w:pPr>
      <w:hyperlink w:anchor="_Toc50628080" w:history="1">
        <w:r w:rsidR="00866B34" w:rsidRPr="009C1388">
          <w:rPr>
            <w:rStyle w:val="Hiperpovezava"/>
          </w:rPr>
          <w:t>4.1.2.</w:t>
        </w:r>
        <w:r w:rsidR="00866B34">
          <w:rPr>
            <w:rFonts w:asciiTheme="minorHAnsi" w:eastAsiaTheme="minorEastAsia" w:hAnsiTheme="minorHAnsi" w:cstheme="minorBidi"/>
            <w:i w:val="0"/>
            <w:iCs w:val="0"/>
            <w:sz w:val="22"/>
            <w:szCs w:val="22"/>
          </w:rPr>
          <w:tab/>
        </w:r>
        <w:r w:rsidR="00866B34" w:rsidRPr="009C1388">
          <w:rPr>
            <w:rStyle w:val="Hiperpovezava"/>
          </w:rPr>
          <w:t>Ocena stopnje priključenosti glede na stalno prijavljene prebivalce</w:t>
        </w:r>
        <w:r w:rsidR="00866B34">
          <w:rPr>
            <w:webHidden/>
          </w:rPr>
          <w:tab/>
        </w:r>
        <w:r w:rsidR="00866B34">
          <w:rPr>
            <w:webHidden/>
          </w:rPr>
          <w:fldChar w:fldCharType="begin"/>
        </w:r>
        <w:r w:rsidR="00866B34">
          <w:rPr>
            <w:webHidden/>
          </w:rPr>
          <w:instrText xml:space="preserve"> PAGEREF _Toc50628080 \h </w:instrText>
        </w:r>
        <w:r w:rsidR="00866B34">
          <w:rPr>
            <w:webHidden/>
          </w:rPr>
        </w:r>
        <w:r w:rsidR="00866B34">
          <w:rPr>
            <w:webHidden/>
          </w:rPr>
          <w:fldChar w:fldCharType="separate"/>
        </w:r>
        <w:r w:rsidR="00CE7C73">
          <w:rPr>
            <w:webHidden/>
          </w:rPr>
          <w:t>52</w:t>
        </w:r>
        <w:r w:rsidR="00866B34">
          <w:rPr>
            <w:webHidden/>
          </w:rPr>
          <w:fldChar w:fldCharType="end"/>
        </w:r>
      </w:hyperlink>
    </w:p>
    <w:p w:rsidR="00866B34" w:rsidRDefault="003340A3">
      <w:pPr>
        <w:pStyle w:val="Kazalovsebine3"/>
        <w:rPr>
          <w:rFonts w:asciiTheme="minorHAnsi" w:eastAsiaTheme="minorEastAsia" w:hAnsiTheme="minorHAnsi" w:cstheme="minorBidi"/>
          <w:i w:val="0"/>
          <w:iCs w:val="0"/>
          <w:sz w:val="22"/>
          <w:szCs w:val="22"/>
        </w:rPr>
      </w:pPr>
      <w:hyperlink w:anchor="_Toc50628081" w:history="1">
        <w:r w:rsidR="00866B34" w:rsidRPr="009C1388">
          <w:rPr>
            <w:rStyle w:val="Hiperpovezava"/>
          </w:rPr>
          <w:t>4.1.3.</w:t>
        </w:r>
        <w:r w:rsidR="00866B34">
          <w:rPr>
            <w:rFonts w:asciiTheme="minorHAnsi" w:eastAsiaTheme="minorEastAsia" w:hAnsiTheme="minorHAnsi" w:cstheme="minorBidi"/>
            <w:i w:val="0"/>
            <w:iCs w:val="0"/>
            <w:sz w:val="22"/>
            <w:szCs w:val="22"/>
          </w:rPr>
          <w:tab/>
        </w:r>
        <w:r w:rsidR="00866B34" w:rsidRPr="009C1388">
          <w:rPr>
            <w:rStyle w:val="Hiperpovezava"/>
          </w:rPr>
          <w:t>Ocena stopnje priključenosti glede na skupno obremenitev aglomeracije</w:t>
        </w:r>
        <w:r w:rsidR="00866B34">
          <w:rPr>
            <w:webHidden/>
          </w:rPr>
          <w:tab/>
        </w:r>
        <w:r w:rsidR="00866B34">
          <w:rPr>
            <w:webHidden/>
          </w:rPr>
          <w:fldChar w:fldCharType="begin"/>
        </w:r>
        <w:r w:rsidR="00866B34">
          <w:rPr>
            <w:webHidden/>
          </w:rPr>
          <w:instrText xml:space="preserve"> PAGEREF _Toc50628081 \h </w:instrText>
        </w:r>
        <w:r w:rsidR="00866B34">
          <w:rPr>
            <w:webHidden/>
          </w:rPr>
        </w:r>
        <w:r w:rsidR="00866B34">
          <w:rPr>
            <w:webHidden/>
          </w:rPr>
          <w:fldChar w:fldCharType="separate"/>
        </w:r>
        <w:r w:rsidR="00CE7C73">
          <w:rPr>
            <w:webHidden/>
          </w:rPr>
          <w:t>53</w:t>
        </w:r>
        <w:r w:rsidR="00866B34">
          <w:rPr>
            <w:webHidden/>
          </w:rPr>
          <w:fldChar w:fldCharType="end"/>
        </w:r>
      </w:hyperlink>
    </w:p>
    <w:p w:rsidR="00866B34" w:rsidRDefault="003340A3">
      <w:pPr>
        <w:pStyle w:val="Kazalovsebine2"/>
        <w:rPr>
          <w:rFonts w:asciiTheme="minorHAnsi" w:eastAsiaTheme="minorEastAsia" w:hAnsiTheme="minorHAnsi" w:cstheme="minorBidi"/>
          <w:smallCaps w:val="0"/>
          <w:noProof/>
          <w:sz w:val="22"/>
          <w:szCs w:val="22"/>
        </w:rPr>
      </w:pPr>
      <w:hyperlink w:anchor="_Toc50628082" w:history="1">
        <w:r w:rsidR="00866B34" w:rsidRPr="009C1388">
          <w:rPr>
            <w:rStyle w:val="Hiperpovezava"/>
            <w:noProof/>
          </w:rPr>
          <w:t>4.2.</w:t>
        </w:r>
        <w:r w:rsidR="00866B34">
          <w:rPr>
            <w:rFonts w:asciiTheme="minorHAnsi" w:eastAsiaTheme="minorEastAsia" w:hAnsiTheme="minorHAnsi" w:cstheme="minorBidi"/>
            <w:smallCaps w:val="0"/>
            <w:noProof/>
            <w:sz w:val="22"/>
            <w:szCs w:val="22"/>
          </w:rPr>
          <w:tab/>
        </w:r>
        <w:r w:rsidR="00866B34" w:rsidRPr="009C1388">
          <w:rPr>
            <w:rStyle w:val="Hiperpovezava"/>
            <w:noProof/>
          </w:rPr>
          <w:t>Preliminarna ocena skladnosti</w:t>
        </w:r>
        <w:r w:rsidR="00866B34">
          <w:rPr>
            <w:noProof/>
            <w:webHidden/>
          </w:rPr>
          <w:tab/>
        </w:r>
        <w:r w:rsidR="00866B34">
          <w:rPr>
            <w:noProof/>
            <w:webHidden/>
          </w:rPr>
          <w:fldChar w:fldCharType="begin"/>
        </w:r>
        <w:r w:rsidR="00866B34">
          <w:rPr>
            <w:noProof/>
            <w:webHidden/>
          </w:rPr>
          <w:instrText xml:space="preserve"> PAGEREF _Toc50628082 \h </w:instrText>
        </w:r>
        <w:r w:rsidR="00866B34">
          <w:rPr>
            <w:noProof/>
            <w:webHidden/>
          </w:rPr>
        </w:r>
        <w:r w:rsidR="00866B34">
          <w:rPr>
            <w:noProof/>
            <w:webHidden/>
          </w:rPr>
          <w:fldChar w:fldCharType="separate"/>
        </w:r>
        <w:r w:rsidR="00CE7C73">
          <w:rPr>
            <w:noProof/>
            <w:webHidden/>
          </w:rPr>
          <w:t>54</w:t>
        </w:r>
        <w:r w:rsidR="00866B34">
          <w:rPr>
            <w:noProof/>
            <w:webHidden/>
          </w:rPr>
          <w:fldChar w:fldCharType="end"/>
        </w:r>
      </w:hyperlink>
    </w:p>
    <w:p w:rsidR="00866B34" w:rsidRDefault="003340A3">
      <w:pPr>
        <w:pStyle w:val="Kazalovsebine2"/>
        <w:rPr>
          <w:rFonts w:asciiTheme="minorHAnsi" w:eastAsiaTheme="minorEastAsia" w:hAnsiTheme="minorHAnsi" w:cstheme="minorBidi"/>
          <w:smallCaps w:val="0"/>
          <w:noProof/>
          <w:sz w:val="22"/>
          <w:szCs w:val="22"/>
        </w:rPr>
      </w:pPr>
      <w:hyperlink w:anchor="_Toc50628083" w:history="1">
        <w:r w:rsidR="00866B34" w:rsidRPr="009C1388">
          <w:rPr>
            <w:rStyle w:val="Hiperpovezava"/>
            <w:noProof/>
          </w:rPr>
          <w:t>4.3.</w:t>
        </w:r>
        <w:r w:rsidR="00866B34">
          <w:rPr>
            <w:rFonts w:asciiTheme="minorHAnsi" w:eastAsiaTheme="minorEastAsia" w:hAnsiTheme="minorHAnsi" w:cstheme="minorBidi"/>
            <w:smallCaps w:val="0"/>
            <w:noProof/>
            <w:sz w:val="22"/>
            <w:szCs w:val="22"/>
          </w:rPr>
          <w:tab/>
        </w:r>
        <w:r w:rsidR="00866B34" w:rsidRPr="009C1388">
          <w:rPr>
            <w:rStyle w:val="Hiperpovezava"/>
            <w:noProof/>
          </w:rPr>
          <w:t>Ocena opremljenosti na območju zunaj meja aglomeracij</w:t>
        </w:r>
        <w:r w:rsidR="00866B34">
          <w:rPr>
            <w:noProof/>
            <w:webHidden/>
          </w:rPr>
          <w:tab/>
        </w:r>
        <w:r w:rsidR="00866B34">
          <w:rPr>
            <w:noProof/>
            <w:webHidden/>
          </w:rPr>
          <w:fldChar w:fldCharType="begin"/>
        </w:r>
        <w:r w:rsidR="00866B34">
          <w:rPr>
            <w:noProof/>
            <w:webHidden/>
          </w:rPr>
          <w:instrText xml:space="preserve"> PAGEREF _Toc50628083 \h </w:instrText>
        </w:r>
        <w:r w:rsidR="00866B34">
          <w:rPr>
            <w:noProof/>
            <w:webHidden/>
          </w:rPr>
        </w:r>
        <w:r w:rsidR="00866B34">
          <w:rPr>
            <w:noProof/>
            <w:webHidden/>
          </w:rPr>
          <w:fldChar w:fldCharType="separate"/>
        </w:r>
        <w:r w:rsidR="00CE7C73">
          <w:rPr>
            <w:noProof/>
            <w:webHidden/>
          </w:rPr>
          <w:t>55</w:t>
        </w:r>
        <w:r w:rsidR="00866B34">
          <w:rPr>
            <w:noProof/>
            <w:webHidden/>
          </w:rPr>
          <w:fldChar w:fldCharType="end"/>
        </w:r>
      </w:hyperlink>
    </w:p>
    <w:p w:rsidR="00866B34" w:rsidRDefault="003340A3">
      <w:pPr>
        <w:pStyle w:val="Kazalovsebine3"/>
        <w:rPr>
          <w:rFonts w:asciiTheme="minorHAnsi" w:eastAsiaTheme="minorEastAsia" w:hAnsiTheme="minorHAnsi" w:cstheme="minorBidi"/>
          <w:i w:val="0"/>
          <w:iCs w:val="0"/>
          <w:sz w:val="22"/>
          <w:szCs w:val="22"/>
        </w:rPr>
      </w:pPr>
      <w:hyperlink w:anchor="_Toc50628084" w:history="1">
        <w:r w:rsidR="00866B34" w:rsidRPr="009C1388">
          <w:rPr>
            <w:rStyle w:val="Hiperpovezava"/>
          </w:rPr>
          <w:t>4.3.1.</w:t>
        </w:r>
        <w:r w:rsidR="00866B34">
          <w:rPr>
            <w:rFonts w:asciiTheme="minorHAnsi" w:eastAsiaTheme="minorEastAsia" w:hAnsiTheme="minorHAnsi" w:cstheme="minorBidi"/>
            <w:i w:val="0"/>
            <w:iCs w:val="0"/>
            <w:sz w:val="22"/>
            <w:szCs w:val="22"/>
          </w:rPr>
          <w:tab/>
        </w:r>
        <w:r w:rsidR="00866B34" w:rsidRPr="009C1388">
          <w:rPr>
            <w:rStyle w:val="Hiperpovezava"/>
          </w:rPr>
          <w:t>Siva voda</w:t>
        </w:r>
        <w:r w:rsidR="00866B34">
          <w:rPr>
            <w:webHidden/>
          </w:rPr>
          <w:tab/>
        </w:r>
        <w:r w:rsidR="00866B34">
          <w:rPr>
            <w:webHidden/>
          </w:rPr>
          <w:fldChar w:fldCharType="begin"/>
        </w:r>
        <w:r w:rsidR="00866B34">
          <w:rPr>
            <w:webHidden/>
          </w:rPr>
          <w:instrText xml:space="preserve"> PAGEREF _Toc50628084 \h </w:instrText>
        </w:r>
        <w:r w:rsidR="00866B34">
          <w:rPr>
            <w:webHidden/>
          </w:rPr>
        </w:r>
        <w:r w:rsidR="00866B34">
          <w:rPr>
            <w:webHidden/>
          </w:rPr>
          <w:fldChar w:fldCharType="separate"/>
        </w:r>
        <w:r w:rsidR="00CE7C73">
          <w:rPr>
            <w:webHidden/>
          </w:rPr>
          <w:t>55</w:t>
        </w:r>
        <w:r w:rsidR="00866B34">
          <w:rPr>
            <w:webHidden/>
          </w:rPr>
          <w:fldChar w:fldCharType="end"/>
        </w:r>
      </w:hyperlink>
    </w:p>
    <w:p w:rsidR="00866B34" w:rsidRDefault="003340A3">
      <w:pPr>
        <w:pStyle w:val="Kazalovsebine2"/>
        <w:rPr>
          <w:rFonts w:asciiTheme="minorHAnsi" w:eastAsiaTheme="minorEastAsia" w:hAnsiTheme="minorHAnsi" w:cstheme="minorBidi"/>
          <w:smallCaps w:val="0"/>
          <w:noProof/>
          <w:sz w:val="22"/>
          <w:szCs w:val="22"/>
        </w:rPr>
      </w:pPr>
      <w:hyperlink w:anchor="_Toc50628085" w:history="1">
        <w:r w:rsidR="00866B34" w:rsidRPr="009C1388">
          <w:rPr>
            <w:rStyle w:val="Hiperpovezava"/>
            <w:noProof/>
          </w:rPr>
          <w:t>4.4.</w:t>
        </w:r>
        <w:r w:rsidR="00866B34">
          <w:rPr>
            <w:rFonts w:asciiTheme="minorHAnsi" w:eastAsiaTheme="minorEastAsia" w:hAnsiTheme="minorHAnsi" w:cstheme="minorBidi"/>
            <w:smallCaps w:val="0"/>
            <w:noProof/>
            <w:sz w:val="22"/>
            <w:szCs w:val="22"/>
          </w:rPr>
          <w:tab/>
        </w:r>
        <w:r w:rsidR="00866B34" w:rsidRPr="009C1388">
          <w:rPr>
            <w:rStyle w:val="Hiperpovezava"/>
            <w:noProof/>
          </w:rPr>
          <w:t>Razvitost infrastrukture za odvajanje in čiščenje komunalne odpadne vode</w:t>
        </w:r>
        <w:r w:rsidR="00866B34">
          <w:rPr>
            <w:noProof/>
            <w:webHidden/>
          </w:rPr>
          <w:tab/>
        </w:r>
        <w:r w:rsidR="00866B34">
          <w:rPr>
            <w:noProof/>
            <w:webHidden/>
          </w:rPr>
          <w:fldChar w:fldCharType="begin"/>
        </w:r>
        <w:r w:rsidR="00866B34">
          <w:rPr>
            <w:noProof/>
            <w:webHidden/>
          </w:rPr>
          <w:instrText xml:space="preserve"> PAGEREF _Toc50628085 \h </w:instrText>
        </w:r>
        <w:r w:rsidR="00866B34">
          <w:rPr>
            <w:noProof/>
            <w:webHidden/>
          </w:rPr>
        </w:r>
        <w:r w:rsidR="00866B34">
          <w:rPr>
            <w:noProof/>
            <w:webHidden/>
          </w:rPr>
          <w:fldChar w:fldCharType="separate"/>
        </w:r>
        <w:r w:rsidR="00CE7C73">
          <w:rPr>
            <w:noProof/>
            <w:webHidden/>
          </w:rPr>
          <w:t>56</w:t>
        </w:r>
        <w:r w:rsidR="00866B34">
          <w:rPr>
            <w:noProof/>
            <w:webHidden/>
          </w:rPr>
          <w:fldChar w:fldCharType="end"/>
        </w:r>
      </w:hyperlink>
    </w:p>
    <w:p w:rsidR="00866B34" w:rsidRDefault="003340A3">
      <w:pPr>
        <w:pStyle w:val="Kazalovsebine2"/>
        <w:rPr>
          <w:rFonts w:asciiTheme="minorHAnsi" w:eastAsiaTheme="minorEastAsia" w:hAnsiTheme="minorHAnsi" w:cstheme="minorBidi"/>
          <w:smallCaps w:val="0"/>
          <w:noProof/>
          <w:sz w:val="22"/>
          <w:szCs w:val="22"/>
        </w:rPr>
      </w:pPr>
      <w:hyperlink w:anchor="_Toc50628086" w:history="1">
        <w:r w:rsidR="00866B34" w:rsidRPr="009C1388">
          <w:rPr>
            <w:rStyle w:val="Hiperpovezava"/>
            <w:noProof/>
          </w:rPr>
          <w:t>4.5.</w:t>
        </w:r>
        <w:r w:rsidR="00866B34">
          <w:rPr>
            <w:rFonts w:asciiTheme="minorHAnsi" w:eastAsiaTheme="minorEastAsia" w:hAnsiTheme="minorHAnsi" w:cstheme="minorBidi"/>
            <w:smallCaps w:val="0"/>
            <w:noProof/>
            <w:sz w:val="22"/>
            <w:szCs w:val="22"/>
          </w:rPr>
          <w:tab/>
        </w:r>
        <w:r w:rsidR="00866B34" w:rsidRPr="009C1388">
          <w:rPr>
            <w:rStyle w:val="Hiperpovezava"/>
            <w:noProof/>
          </w:rPr>
          <w:t>Ocena potrebnih ukrepov in roki za izpolnitev vrzeli</w:t>
        </w:r>
        <w:r w:rsidR="00866B34">
          <w:rPr>
            <w:noProof/>
            <w:webHidden/>
          </w:rPr>
          <w:tab/>
        </w:r>
        <w:r w:rsidR="00866B34">
          <w:rPr>
            <w:noProof/>
            <w:webHidden/>
          </w:rPr>
          <w:fldChar w:fldCharType="begin"/>
        </w:r>
        <w:r w:rsidR="00866B34">
          <w:rPr>
            <w:noProof/>
            <w:webHidden/>
          </w:rPr>
          <w:instrText xml:space="preserve"> PAGEREF _Toc50628086 \h </w:instrText>
        </w:r>
        <w:r w:rsidR="00866B34">
          <w:rPr>
            <w:noProof/>
            <w:webHidden/>
          </w:rPr>
        </w:r>
        <w:r w:rsidR="00866B34">
          <w:rPr>
            <w:noProof/>
            <w:webHidden/>
          </w:rPr>
          <w:fldChar w:fldCharType="separate"/>
        </w:r>
        <w:r w:rsidR="00CE7C73">
          <w:rPr>
            <w:noProof/>
            <w:webHidden/>
          </w:rPr>
          <w:t>56</w:t>
        </w:r>
        <w:r w:rsidR="00866B34">
          <w:rPr>
            <w:noProof/>
            <w:webHidden/>
          </w:rPr>
          <w:fldChar w:fldCharType="end"/>
        </w:r>
      </w:hyperlink>
    </w:p>
    <w:p w:rsidR="00866B34" w:rsidRDefault="003340A3">
      <w:pPr>
        <w:pStyle w:val="Kazalovsebine3"/>
        <w:rPr>
          <w:rFonts w:asciiTheme="minorHAnsi" w:eastAsiaTheme="minorEastAsia" w:hAnsiTheme="minorHAnsi" w:cstheme="minorBidi"/>
          <w:i w:val="0"/>
          <w:iCs w:val="0"/>
          <w:sz w:val="22"/>
          <w:szCs w:val="22"/>
        </w:rPr>
      </w:pPr>
      <w:hyperlink w:anchor="_Toc50628087" w:history="1">
        <w:r w:rsidR="00866B34" w:rsidRPr="009C1388">
          <w:rPr>
            <w:rStyle w:val="Hiperpovezava"/>
          </w:rPr>
          <w:t>4.5.1.</w:t>
        </w:r>
        <w:r w:rsidR="00866B34">
          <w:rPr>
            <w:rFonts w:asciiTheme="minorHAnsi" w:eastAsiaTheme="minorEastAsia" w:hAnsiTheme="minorHAnsi" w:cstheme="minorBidi"/>
            <w:i w:val="0"/>
            <w:iCs w:val="0"/>
            <w:sz w:val="22"/>
            <w:szCs w:val="22"/>
          </w:rPr>
          <w:tab/>
        </w:r>
        <w:r w:rsidR="00866B34" w:rsidRPr="009C1388">
          <w:rPr>
            <w:rStyle w:val="Hiperpovezava"/>
          </w:rPr>
          <w:t>Ukrepi in roki za zagotavljanje odvajanja komunalne odpadne vode</w:t>
        </w:r>
        <w:r w:rsidR="00866B34">
          <w:rPr>
            <w:webHidden/>
          </w:rPr>
          <w:tab/>
        </w:r>
        <w:r w:rsidR="00866B34">
          <w:rPr>
            <w:webHidden/>
          </w:rPr>
          <w:fldChar w:fldCharType="begin"/>
        </w:r>
        <w:r w:rsidR="00866B34">
          <w:rPr>
            <w:webHidden/>
          </w:rPr>
          <w:instrText xml:space="preserve"> PAGEREF _Toc50628087 \h </w:instrText>
        </w:r>
        <w:r w:rsidR="00866B34">
          <w:rPr>
            <w:webHidden/>
          </w:rPr>
        </w:r>
        <w:r w:rsidR="00866B34">
          <w:rPr>
            <w:webHidden/>
          </w:rPr>
          <w:fldChar w:fldCharType="separate"/>
        </w:r>
        <w:r w:rsidR="00CE7C73">
          <w:rPr>
            <w:webHidden/>
          </w:rPr>
          <w:t>57</w:t>
        </w:r>
        <w:r w:rsidR="00866B34">
          <w:rPr>
            <w:webHidden/>
          </w:rPr>
          <w:fldChar w:fldCharType="end"/>
        </w:r>
      </w:hyperlink>
    </w:p>
    <w:p w:rsidR="00866B34" w:rsidRDefault="003340A3">
      <w:pPr>
        <w:pStyle w:val="Kazalovsebine3"/>
        <w:rPr>
          <w:rFonts w:asciiTheme="minorHAnsi" w:eastAsiaTheme="minorEastAsia" w:hAnsiTheme="minorHAnsi" w:cstheme="minorBidi"/>
          <w:i w:val="0"/>
          <w:iCs w:val="0"/>
          <w:sz w:val="22"/>
          <w:szCs w:val="22"/>
        </w:rPr>
      </w:pPr>
      <w:hyperlink w:anchor="_Toc50628088" w:history="1">
        <w:r w:rsidR="00866B34" w:rsidRPr="009C1388">
          <w:rPr>
            <w:rStyle w:val="Hiperpovezava"/>
          </w:rPr>
          <w:t>4.5.2.</w:t>
        </w:r>
        <w:r w:rsidR="00866B34">
          <w:rPr>
            <w:rFonts w:asciiTheme="minorHAnsi" w:eastAsiaTheme="minorEastAsia" w:hAnsiTheme="minorHAnsi" w:cstheme="minorBidi"/>
            <w:i w:val="0"/>
            <w:iCs w:val="0"/>
            <w:sz w:val="22"/>
            <w:szCs w:val="22"/>
          </w:rPr>
          <w:tab/>
        </w:r>
        <w:r w:rsidR="00866B34" w:rsidRPr="009C1388">
          <w:rPr>
            <w:rStyle w:val="Hiperpovezava"/>
          </w:rPr>
          <w:t>Ukrepi in roki za zagotavljanje ustreznega čiščenja komunalne odpadne vode</w:t>
        </w:r>
        <w:r w:rsidR="00866B34">
          <w:rPr>
            <w:webHidden/>
          </w:rPr>
          <w:tab/>
        </w:r>
        <w:r w:rsidR="00866B34">
          <w:rPr>
            <w:webHidden/>
          </w:rPr>
          <w:fldChar w:fldCharType="begin"/>
        </w:r>
        <w:r w:rsidR="00866B34">
          <w:rPr>
            <w:webHidden/>
          </w:rPr>
          <w:instrText xml:space="preserve"> PAGEREF _Toc50628088 \h </w:instrText>
        </w:r>
        <w:r w:rsidR="00866B34">
          <w:rPr>
            <w:webHidden/>
          </w:rPr>
        </w:r>
        <w:r w:rsidR="00866B34">
          <w:rPr>
            <w:webHidden/>
          </w:rPr>
          <w:fldChar w:fldCharType="separate"/>
        </w:r>
        <w:r w:rsidR="00CE7C73">
          <w:rPr>
            <w:webHidden/>
          </w:rPr>
          <w:t>57</w:t>
        </w:r>
        <w:r w:rsidR="00866B34">
          <w:rPr>
            <w:webHidden/>
          </w:rPr>
          <w:fldChar w:fldCharType="end"/>
        </w:r>
      </w:hyperlink>
    </w:p>
    <w:p w:rsidR="00866B34" w:rsidRDefault="003340A3">
      <w:pPr>
        <w:pStyle w:val="Kazalovsebine4"/>
        <w:rPr>
          <w:rFonts w:asciiTheme="minorHAnsi" w:eastAsiaTheme="minorEastAsia" w:hAnsiTheme="minorHAnsi" w:cstheme="minorBidi"/>
          <w:smallCaps w:val="0"/>
          <w:noProof/>
          <w:sz w:val="22"/>
          <w:szCs w:val="22"/>
        </w:rPr>
      </w:pPr>
      <w:hyperlink w:anchor="_Toc50628089" w:history="1">
        <w:r w:rsidR="00866B34" w:rsidRPr="009C1388">
          <w:rPr>
            <w:rStyle w:val="Hiperpovezava"/>
            <w:noProof/>
          </w:rPr>
          <w:t>4.5.2.1 Ukrepi in roki za zagotavljanje sekundarnega čiščenja komunalne odpadne vode</w:t>
        </w:r>
        <w:r w:rsidR="00866B34">
          <w:rPr>
            <w:noProof/>
            <w:webHidden/>
          </w:rPr>
          <w:tab/>
        </w:r>
        <w:r w:rsidR="00866B34">
          <w:rPr>
            <w:noProof/>
            <w:webHidden/>
          </w:rPr>
          <w:fldChar w:fldCharType="begin"/>
        </w:r>
        <w:r w:rsidR="00866B34">
          <w:rPr>
            <w:noProof/>
            <w:webHidden/>
          </w:rPr>
          <w:instrText xml:space="preserve"> PAGEREF _Toc50628089 \h </w:instrText>
        </w:r>
        <w:r w:rsidR="00866B34">
          <w:rPr>
            <w:noProof/>
            <w:webHidden/>
          </w:rPr>
        </w:r>
        <w:r w:rsidR="00866B34">
          <w:rPr>
            <w:noProof/>
            <w:webHidden/>
          </w:rPr>
          <w:fldChar w:fldCharType="separate"/>
        </w:r>
        <w:r w:rsidR="00CE7C73">
          <w:rPr>
            <w:noProof/>
            <w:webHidden/>
          </w:rPr>
          <w:t>57</w:t>
        </w:r>
        <w:r w:rsidR="00866B34">
          <w:rPr>
            <w:noProof/>
            <w:webHidden/>
          </w:rPr>
          <w:fldChar w:fldCharType="end"/>
        </w:r>
      </w:hyperlink>
    </w:p>
    <w:p w:rsidR="00866B34" w:rsidRDefault="003340A3">
      <w:pPr>
        <w:pStyle w:val="Kazalovsebine4"/>
        <w:rPr>
          <w:rFonts w:asciiTheme="minorHAnsi" w:eastAsiaTheme="minorEastAsia" w:hAnsiTheme="minorHAnsi" w:cstheme="minorBidi"/>
          <w:smallCaps w:val="0"/>
          <w:noProof/>
          <w:sz w:val="22"/>
          <w:szCs w:val="22"/>
        </w:rPr>
      </w:pPr>
      <w:hyperlink w:anchor="_Toc50628090" w:history="1">
        <w:r w:rsidR="00866B34" w:rsidRPr="009C1388">
          <w:rPr>
            <w:rStyle w:val="Hiperpovezava"/>
            <w:noProof/>
          </w:rPr>
          <w:t>4.5.2.2 Ukrepi in roki za zagotavljanje terciarnega čiščenja komunalne odpadne vode</w:t>
        </w:r>
        <w:r w:rsidR="00866B34">
          <w:rPr>
            <w:noProof/>
            <w:webHidden/>
          </w:rPr>
          <w:tab/>
        </w:r>
        <w:r w:rsidR="00866B34">
          <w:rPr>
            <w:noProof/>
            <w:webHidden/>
          </w:rPr>
          <w:fldChar w:fldCharType="begin"/>
        </w:r>
        <w:r w:rsidR="00866B34">
          <w:rPr>
            <w:noProof/>
            <w:webHidden/>
          </w:rPr>
          <w:instrText xml:space="preserve"> PAGEREF _Toc50628090 \h </w:instrText>
        </w:r>
        <w:r w:rsidR="00866B34">
          <w:rPr>
            <w:noProof/>
            <w:webHidden/>
          </w:rPr>
        </w:r>
        <w:r w:rsidR="00866B34">
          <w:rPr>
            <w:noProof/>
            <w:webHidden/>
          </w:rPr>
          <w:fldChar w:fldCharType="separate"/>
        </w:r>
        <w:r w:rsidR="00CE7C73">
          <w:rPr>
            <w:noProof/>
            <w:webHidden/>
          </w:rPr>
          <w:t>58</w:t>
        </w:r>
        <w:r w:rsidR="00866B34">
          <w:rPr>
            <w:noProof/>
            <w:webHidden/>
          </w:rPr>
          <w:fldChar w:fldCharType="end"/>
        </w:r>
      </w:hyperlink>
    </w:p>
    <w:p w:rsidR="00866B34" w:rsidRDefault="003340A3">
      <w:pPr>
        <w:pStyle w:val="Kazalovsebine4"/>
        <w:rPr>
          <w:rFonts w:asciiTheme="minorHAnsi" w:eastAsiaTheme="minorEastAsia" w:hAnsiTheme="minorHAnsi" w:cstheme="minorBidi"/>
          <w:smallCaps w:val="0"/>
          <w:noProof/>
          <w:sz w:val="22"/>
          <w:szCs w:val="22"/>
        </w:rPr>
      </w:pPr>
      <w:hyperlink w:anchor="_Toc50628091" w:history="1">
        <w:r w:rsidR="00866B34" w:rsidRPr="009C1388">
          <w:rPr>
            <w:rStyle w:val="Hiperpovezava"/>
            <w:noProof/>
          </w:rPr>
          <w:t>4.5.2.3 Ukrepi in roki za zagotavljanje primernega čiščenja komunalne odpadne vode</w:t>
        </w:r>
        <w:r w:rsidR="00866B34">
          <w:rPr>
            <w:noProof/>
            <w:webHidden/>
          </w:rPr>
          <w:tab/>
        </w:r>
        <w:r w:rsidR="00866B34">
          <w:rPr>
            <w:noProof/>
            <w:webHidden/>
          </w:rPr>
          <w:fldChar w:fldCharType="begin"/>
        </w:r>
        <w:r w:rsidR="00866B34">
          <w:rPr>
            <w:noProof/>
            <w:webHidden/>
          </w:rPr>
          <w:instrText xml:space="preserve"> PAGEREF _Toc50628091 \h </w:instrText>
        </w:r>
        <w:r w:rsidR="00866B34">
          <w:rPr>
            <w:noProof/>
            <w:webHidden/>
          </w:rPr>
        </w:r>
        <w:r w:rsidR="00866B34">
          <w:rPr>
            <w:noProof/>
            <w:webHidden/>
          </w:rPr>
          <w:fldChar w:fldCharType="separate"/>
        </w:r>
        <w:r w:rsidR="00CE7C73">
          <w:rPr>
            <w:noProof/>
            <w:webHidden/>
          </w:rPr>
          <w:t>60</w:t>
        </w:r>
        <w:r w:rsidR="00866B34">
          <w:rPr>
            <w:noProof/>
            <w:webHidden/>
          </w:rPr>
          <w:fldChar w:fldCharType="end"/>
        </w:r>
      </w:hyperlink>
    </w:p>
    <w:p w:rsidR="00866B34" w:rsidRDefault="003340A3">
      <w:pPr>
        <w:pStyle w:val="Kazalovsebine4"/>
        <w:rPr>
          <w:rFonts w:asciiTheme="minorHAnsi" w:eastAsiaTheme="minorEastAsia" w:hAnsiTheme="minorHAnsi" w:cstheme="minorBidi"/>
          <w:smallCaps w:val="0"/>
          <w:noProof/>
          <w:sz w:val="22"/>
          <w:szCs w:val="22"/>
        </w:rPr>
      </w:pPr>
      <w:hyperlink w:anchor="_Toc50628092" w:history="1">
        <w:r w:rsidR="00866B34" w:rsidRPr="009C1388">
          <w:rPr>
            <w:rStyle w:val="Hiperpovezava"/>
            <w:noProof/>
          </w:rPr>
          <w:t>4.5.2.4 Ukrepi za zagotavljanje dodatne obdelave komunalne odpadne vode</w:t>
        </w:r>
        <w:r w:rsidR="00866B34">
          <w:rPr>
            <w:noProof/>
            <w:webHidden/>
          </w:rPr>
          <w:tab/>
        </w:r>
        <w:r w:rsidR="00866B34">
          <w:rPr>
            <w:noProof/>
            <w:webHidden/>
          </w:rPr>
          <w:fldChar w:fldCharType="begin"/>
        </w:r>
        <w:r w:rsidR="00866B34">
          <w:rPr>
            <w:noProof/>
            <w:webHidden/>
          </w:rPr>
          <w:instrText xml:space="preserve"> PAGEREF _Toc50628092 \h </w:instrText>
        </w:r>
        <w:r w:rsidR="00866B34">
          <w:rPr>
            <w:noProof/>
            <w:webHidden/>
          </w:rPr>
        </w:r>
        <w:r w:rsidR="00866B34">
          <w:rPr>
            <w:noProof/>
            <w:webHidden/>
          </w:rPr>
          <w:fldChar w:fldCharType="separate"/>
        </w:r>
        <w:r w:rsidR="00CE7C73">
          <w:rPr>
            <w:noProof/>
            <w:webHidden/>
          </w:rPr>
          <w:t>60</w:t>
        </w:r>
        <w:r w:rsidR="00866B34">
          <w:rPr>
            <w:noProof/>
            <w:webHidden/>
          </w:rPr>
          <w:fldChar w:fldCharType="end"/>
        </w:r>
      </w:hyperlink>
    </w:p>
    <w:p w:rsidR="00866B34" w:rsidRDefault="003340A3">
      <w:pPr>
        <w:pStyle w:val="Kazalovsebine3"/>
        <w:rPr>
          <w:rFonts w:asciiTheme="minorHAnsi" w:eastAsiaTheme="minorEastAsia" w:hAnsiTheme="minorHAnsi" w:cstheme="minorBidi"/>
          <w:i w:val="0"/>
          <w:iCs w:val="0"/>
          <w:sz w:val="22"/>
          <w:szCs w:val="22"/>
        </w:rPr>
      </w:pPr>
      <w:hyperlink w:anchor="_Toc50628093" w:history="1">
        <w:r w:rsidR="00866B34" w:rsidRPr="009C1388">
          <w:rPr>
            <w:rStyle w:val="Hiperpovezava"/>
          </w:rPr>
          <w:t>4.5.3.</w:t>
        </w:r>
        <w:r w:rsidR="00866B34">
          <w:rPr>
            <w:rFonts w:asciiTheme="minorHAnsi" w:eastAsiaTheme="minorEastAsia" w:hAnsiTheme="minorHAnsi" w:cstheme="minorBidi"/>
            <w:i w:val="0"/>
            <w:iCs w:val="0"/>
            <w:sz w:val="22"/>
            <w:szCs w:val="22"/>
          </w:rPr>
          <w:tab/>
        </w:r>
        <w:r w:rsidR="00866B34" w:rsidRPr="009C1388">
          <w:rPr>
            <w:rStyle w:val="Hiperpovezava"/>
          </w:rPr>
          <w:t>Ukrepi za padavinsko odpadno vodo</w:t>
        </w:r>
        <w:r w:rsidR="00866B34">
          <w:rPr>
            <w:webHidden/>
          </w:rPr>
          <w:tab/>
        </w:r>
        <w:r w:rsidR="00866B34">
          <w:rPr>
            <w:webHidden/>
          </w:rPr>
          <w:fldChar w:fldCharType="begin"/>
        </w:r>
        <w:r w:rsidR="00866B34">
          <w:rPr>
            <w:webHidden/>
          </w:rPr>
          <w:instrText xml:space="preserve"> PAGEREF _Toc50628093 \h </w:instrText>
        </w:r>
        <w:r w:rsidR="00866B34">
          <w:rPr>
            <w:webHidden/>
          </w:rPr>
        </w:r>
        <w:r w:rsidR="00866B34">
          <w:rPr>
            <w:webHidden/>
          </w:rPr>
          <w:fldChar w:fldCharType="separate"/>
        </w:r>
        <w:r w:rsidR="00CE7C73">
          <w:rPr>
            <w:webHidden/>
          </w:rPr>
          <w:t>61</w:t>
        </w:r>
        <w:r w:rsidR="00866B34">
          <w:rPr>
            <w:webHidden/>
          </w:rPr>
          <w:fldChar w:fldCharType="end"/>
        </w:r>
      </w:hyperlink>
    </w:p>
    <w:p w:rsidR="00866B34" w:rsidRDefault="003340A3">
      <w:pPr>
        <w:pStyle w:val="Kazalovsebine2"/>
        <w:rPr>
          <w:rFonts w:asciiTheme="minorHAnsi" w:eastAsiaTheme="minorEastAsia" w:hAnsiTheme="minorHAnsi" w:cstheme="minorBidi"/>
          <w:smallCaps w:val="0"/>
          <w:noProof/>
          <w:sz w:val="22"/>
          <w:szCs w:val="22"/>
        </w:rPr>
      </w:pPr>
      <w:hyperlink w:anchor="_Toc50628094" w:history="1">
        <w:r w:rsidR="00866B34" w:rsidRPr="009C1388">
          <w:rPr>
            <w:rStyle w:val="Hiperpovezava"/>
            <w:noProof/>
          </w:rPr>
          <w:t>4.6.</w:t>
        </w:r>
        <w:r w:rsidR="00866B34">
          <w:rPr>
            <w:rFonts w:asciiTheme="minorHAnsi" w:eastAsiaTheme="minorEastAsia" w:hAnsiTheme="minorHAnsi" w:cstheme="minorBidi"/>
            <w:smallCaps w:val="0"/>
            <w:noProof/>
            <w:sz w:val="22"/>
            <w:szCs w:val="22"/>
          </w:rPr>
          <w:tab/>
        </w:r>
        <w:r w:rsidR="00866B34" w:rsidRPr="009C1388">
          <w:rPr>
            <w:rStyle w:val="Hiperpovezava"/>
            <w:noProof/>
          </w:rPr>
          <w:t>Ukrepi za zagotavljanje predpisane opremljenosti na območju zunaj meja aglomeracij</w:t>
        </w:r>
        <w:r w:rsidR="00866B34">
          <w:rPr>
            <w:noProof/>
            <w:webHidden/>
          </w:rPr>
          <w:tab/>
        </w:r>
        <w:r w:rsidR="00764FCA">
          <w:rPr>
            <w:noProof/>
            <w:webHidden/>
          </w:rPr>
          <w:tab/>
        </w:r>
        <w:r w:rsidR="00764FCA">
          <w:rPr>
            <w:noProof/>
            <w:webHidden/>
          </w:rPr>
          <w:tab/>
        </w:r>
        <w:r w:rsidR="00866B34">
          <w:rPr>
            <w:noProof/>
            <w:webHidden/>
          </w:rPr>
          <w:fldChar w:fldCharType="begin"/>
        </w:r>
        <w:r w:rsidR="00866B34">
          <w:rPr>
            <w:noProof/>
            <w:webHidden/>
          </w:rPr>
          <w:instrText xml:space="preserve"> PAGEREF _Toc50628094 \h </w:instrText>
        </w:r>
        <w:r w:rsidR="00866B34">
          <w:rPr>
            <w:noProof/>
            <w:webHidden/>
          </w:rPr>
        </w:r>
        <w:r w:rsidR="00866B34">
          <w:rPr>
            <w:noProof/>
            <w:webHidden/>
          </w:rPr>
          <w:fldChar w:fldCharType="separate"/>
        </w:r>
        <w:r w:rsidR="00CE7C73">
          <w:rPr>
            <w:noProof/>
            <w:webHidden/>
          </w:rPr>
          <w:t>61</w:t>
        </w:r>
        <w:r w:rsidR="00866B34">
          <w:rPr>
            <w:noProof/>
            <w:webHidden/>
          </w:rPr>
          <w:fldChar w:fldCharType="end"/>
        </w:r>
      </w:hyperlink>
    </w:p>
    <w:p w:rsidR="00866B34" w:rsidRDefault="003340A3">
      <w:pPr>
        <w:pStyle w:val="Kazalovsebine2"/>
        <w:rPr>
          <w:rFonts w:asciiTheme="minorHAnsi" w:eastAsiaTheme="minorEastAsia" w:hAnsiTheme="minorHAnsi" w:cstheme="minorBidi"/>
          <w:smallCaps w:val="0"/>
          <w:noProof/>
          <w:sz w:val="22"/>
          <w:szCs w:val="22"/>
        </w:rPr>
      </w:pPr>
      <w:hyperlink w:anchor="_Toc50628095" w:history="1">
        <w:r w:rsidR="00866B34" w:rsidRPr="009C1388">
          <w:rPr>
            <w:rStyle w:val="Hiperpovezava"/>
            <w:noProof/>
          </w:rPr>
          <w:t>4.7.</w:t>
        </w:r>
        <w:r w:rsidR="00866B34">
          <w:rPr>
            <w:rFonts w:asciiTheme="minorHAnsi" w:eastAsiaTheme="minorEastAsia" w:hAnsiTheme="minorHAnsi" w:cstheme="minorBidi"/>
            <w:smallCaps w:val="0"/>
            <w:noProof/>
            <w:sz w:val="22"/>
            <w:szCs w:val="22"/>
          </w:rPr>
          <w:tab/>
        </w:r>
        <w:r w:rsidR="00866B34" w:rsidRPr="009C1388">
          <w:rPr>
            <w:rStyle w:val="Hiperpovezava"/>
            <w:noProof/>
          </w:rPr>
          <w:t>Prednostni vrstni red izvajanja ukrepov</w:t>
        </w:r>
        <w:r w:rsidR="00866B34">
          <w:rPr>
            <w:noProof/>
            <w:webHidden/>
          </w:rPr>
          <w:tab/>
        </w:r>
        <w:r w:rsidR="00866B34">
          <w:rPr>
            <w:noProof/>
            <w:webHidden/>
          </w:rPr>
          <w:fldChar w:fldCharType="begin"/>
        </w:r>
        <w:r w:rsidR="00866B34">
          <w:rPr>
            <w:noProof/>
            <w:webHidden/>
          </w:rPr>
          <w:instrText xml:space="preserve"> PAGEREF _Toc50628095 \h </w:instrText>
        </w:r>
        <w:r w:rsidR="00866B34">
          <w:rPr>
            <w:noProof/>
            <w:webHidden/>
          </w:rPr>
        </w:r>
        <w:r w:rsidR="00866B34">
          <w:rPr>
            <w:noProof/>
            <w:webHidden/>
          </w:rPr>
          <w:fldChar w:fldCharType="separate"/>
        </w:r>
        <w:r w:rsidR="00CE7C73">
          <w:rPr>
            <w:noProof/>
            <w:webHidden/>
          </w:rPr>
          <w:t>62</w:t>
        </w:r>
        <w:r w:rsidR="00866B34">
          <w:rPr>
            <w:noProof/>
            <w:webHidden/>
          </w:rPr>
          <w:fldChar w:fldCharType="end"/>
        </w:r>
      </w:hyperlink>
    </w:p>
    <w:p w:rsidR="00866B34" w:rsidRDefault="003340A3">
      <w:pPr>
        <w:pStyle w:val="Kazalovsebine1"/>
        <w:rPr>
          <w:rFonts w:asciiTheme="minorHAnsi" w:eastAsiaTheme="minorEastAsia" w:hAnsiTheme="minorHAnsi" w:cstheme="minorBidi"/>
          <w:b w:val="0"/>
          <w:bCs w:val="0"/>
          <w:caps w:val="0"/>
          <w:noProof/>
          <w:sz w:val="22"/>
          <w:szCs w:val="22"/>
        </w:rPr>
      </w:pPr>
      <w:hyperlink w:anchor="_Toc50628096" w:history="1">
        <w:r w:rsidR="00866B34" w:rsidRPr="009C1388">
          <w:rPr>
            <w:rStyle w:val="Hiperpovezava"/>
            <w:noProof/>
          </w:rPr>
          <w:t>5.</w:t>
        </w:r>
        <w:r w:rsidR="00866B34">
          <w:rPr>
            <w:rFonts w:asciiTheme="minorHAnsi" w:eastAsiaTheme="minorEastAsia" w:hAnsiTheme="minorHAnsi" w:cstheme="minorBidi"/>
            <w:b w:val="0"/>
            <w:bCs w:val="0"/>
            <w:caps w:val="0"/>
            <w:noProof/>
            <w:sz w:val="22"/>
            <w:szCs w:val="22"/>
          </w:rPr>
          <w:tab/>
        </w:r>
        <w:r w:rsidR="00866B34" w:rsidRPr="009C1388">
          <w:rPr>
            <w:rStyle w:val="Hiperpovezava"/>
            <w:noProof/>
          </w:rPr>
          <w:t>OCENA STROŠKOV UKREPOV DO IZPOLNJEVANJA ZAHTEV</w:t>
        </w:r>
        <w:r w:rsidR="00866B34">
          <w:rPr>
            <w:noProof/>
            <w:webHidden/>
          </w:rPr>
          <w:tab/>
        </w:r>
        <w:r w:rsidR="00866B34">
          <w:rPr>
            <w:noProof/>
            <w:webHidden/>
          </w:rPr>
          <w:fldChar w:fldCharType="begin"/>
        </w:r>
        <w:r w:rsidR="00866B34">
          <w:rPr>
            <w:noProof/>
            <w:webHidden/>
          </w:rPr>
          <w:instrText xml:space="preserve"> PAGEREF _Toc50628096 \h </w:instrText>
        </w:r>
        <w:r w:rsidR="00866B34">
          <w:rPr>
            <w:noProof/>
            <w:webHidden/>
          </w:rPr>
        </w:r>
        <w:r w:rsidR="00866B34">
          <w:rPr>
            <w:noProof/>
            <w:webHidden/>
          </w:rPr>
          <w:fldChar w:fldCharType="separate"/>
        </w:r>
        <w:r w:rsidR="00CE7C73">
          <w:rPr>
            <w:noProof/>
            <w:webHidden/>
          </w:rPr>
          <w:t>66</w:t>
        </w:r>
        <w:r w:rsidR="00866B34">
          <w:rPr>
            <w:noProof/>
            <w:webHidden/>
          </w:rPr>
          <w:fldChar w:fldCharType="end"/>
        </w:r>
      </w:hyperlink>
    </w:p>
    <w:p w:rsidR="00866B34" w:rsidRDefault="003340A3">
      <w:pPr>
        <w:pStyle w:val="Kazalovsebine2"/>
        <w:rPr>
          <w:rFonts w:asciiTheme="minorHAnsi" w:eastAsiaTheme="minorEastAsia" w:hAnsiTheme="minorHAnsi" w:cstheme="minorBidi"/>
          <w:smallCaps w:val="0"/>
          <w:noProof/>
          <w:sz w:val="22"/>
          <w:szCs w:val="22"/>
        </w:rPr>
      </w:pPr>
      <w:hyperlink w:anchor="_Toc50628097" w:history="1">
        <w:r w:rsidR="00866B34" w:rsidRPr="009C1388">
          <w:rPr>
            <w:rStyle w:val="Hiperpovezava"/>
            <w:noProof/>
          </w:rPr>
          <w:t>5.1.</w:t>
        </w:r>
        <w:r w:rsidR="00866B34">
          <w:rPr>
            <w:rFonts w:asciiTheme="minorHAnsi" w:eastAsiaTheme="minorEastAsia" w:hAnsiTheme="minorHAnsi" w:cstheme="minorBidi"/>
            <w:smallCaps w:val="0"/>
            <w:noProof/>
            <w:sz w:val="22"/>
            <w:szCs w:val="22"/>
          </w:rPr>
          <w:tab/>
        </w:r>
        <w:r w:rsidR="00866B34" w:rsidRPr="009C1388">
          <w:rPr>
            <w:rStyle w:val="Hiperpovezava"/>
            <w:noProof/>
          </w:rPr>
          <w:t>Izhodišča za oceno stroškov ukrepov</w:t>
        </w:r>
        <w:r w:rsidR="00866B34">
          <w:rPr>
            <w:noProof/>
            <w:webHidden/>
          </w:rPr>
          <w:tab/>
        </w:r>
        <w:r w:rsidR="00866B34">
          <w:rPr>
            <w:noProof/>
            <w:webHidden/>
          </w:rPr>
          <w:fldChar w:fldCharType="begin"/>
        </w:r>
        <w:r w:rsidR="00866B34">
          <w:rPr>
            <w:noProof/>
            <w:webHidden/>
          </w:rPr>
          <w:instrText xml:space="preserve"> PAGEREF _Toc50628097 \h </w:instrText>
        </w:r>
        <w:r w:rsidR="00866B34">
          <w:rPr>
            <w:noProof/>
            <w:webHidden/>
          </w:rPr>
        </w:r>
        <w:r w:rsidR="00866B34">
          <w:rPr>
            <w:noProof/>
            <w:webHidden/>
          </w:rPr>
          <w:fldChar w:fldCharType="separate"/>
        </w:r>
        <w:r w:rsidR="00CE7C73">
          <w:rPr>
            <w:noProof/>
            <w:webHidden/>
          </w:rPr>
          <w:t>66</w:t>
        </w:r>
        <w:r w:rsidR="00866B34">
          <w:rPr>
            <w:noProof/>
            <w:webHidden/>
          </w:rPr>
          <w:fldChar w:fldCharType="end"/>
        </w:r>
      </w:hyperlink>
    </w:p>
    <w:p w:rsidR="00866B34" w:rsidRDefault="003340A3">
      <w:pPr>
        <w:pStyle w:val="Kazalovsebine2"/>
        <w:rPr>
          <w:rFonts w:asciiTheme="minorHAnsi" w:eastAsiaTheme="minorEastAsia" w:hAnsiTheme="minorHAnsi" w:cstheme="minorBidi"/>
          <w:smallCaps w:val="0"/>
          <w:noProof/>
          <w:sz w:val="22"/>
          <w:szCs w:val="22"/>
        </w:rPr>
      </w:pPr>
      <w:hyperlink w:anchor="_Toc50628098" w:history="1">
        <w:r w:rsidR="00866B34" w:rsidRPr="009C1388">
          <w:rPr>
            <w:rStyle w:val="Hiperpovezava"/>
            <w:noProof/>
          </w:rPr>
          <w:t>5.2.</w:t>
        </w:r>
        <w:r w:rsidR="00866B34">
          <w:rPr>
            <w:rFonts w:asciiTheme="minorHAnsi" w:eastAsiaTheme="minorEastAsia" w:hAnsiTheme="minorHAnsi" w:cstheme="minorBidi"/>
            <w:smallCaps w:val="0"/>
            <w:noProof/>
            <w:sz w:val="22"/>
            <w:szCs w:val="22"/>
          </w:rPr>
          <w:tab/>
        </w:r>
        <w:r w:rsidR="00866B34" w:rsidRPr="009C1388">
          <w:rPr>
            <w:rStyle w:val="Hiperpovezava"/>
            <w:noProof/>
          </w:rPr>
          <w:t>Ocena investicijskih stroškov ukrepov</w:t>
        </w:r>
        <w:r w:rsidR="00866B34">
          <w:rPr>
            <w:noProof/>
            <w:webHidden/>
          </w:rPr>
          <w:tab/>
        </w:r>
        <w:r w:rsidR="00866B34">
          <w:rPr>
            <w:noProof/>
            <w:webHidden/>
          </w:rPr>
          <w:fldChar w:fldCharType="begin"/>
        </w:r>
        <w:r w:rsidR="00866B34">
          <w:rPr>
            <w:noProof/>
            <w:webHidden/>
          </w:rPr>
          <w:instrText xml:space="preserve"> PAGEREF _Toc50628098 \h </w:instrText>
        </w:r>
        <w:r w:rsidR="00866B34">
          <w:rPr>
            <w:noProof/>
            <w:webHidden/>
          </w:rPr>
        </w:r>
        <w:r w:rsidR="00866B34">
          <w:rPr>
            <w:noProof/>
            <w:webHidden/>
          </w:rPr>
          <w:fldChar w:fldCharType="separate"/>
        </w:r>
        <w:r w:rsidR="00CE7C73">
          <w:rPr>
            <w:noProof/>
            <w:webHidden/>
          </w:rPr>
          <w:t>68</w:t>
        </w:r>
        <w:r w:rsidR="00866B34">
          <w:rPr>
            <w:noProof/>
            <w:webHidden/>
          </w:rPr>
          <w:fldChar w:fldCharType="end"/>
        </w:r>
      </w:hyperlink>
    </w:p>
    <w:p w:rsidR="00866B34" w:rsidRDefault="003340A3">
      <w:pPr>
        <w:pStyle w:val="Kazalovsebine3"/>
        <w:rPr>
          <w:rFonts w:asciiTheme="minorHAnsi" w:eastAsiaTheme="minorEastAsia" w:hAnsiTheme="minorHAnsi" w:cstheme="minorBidi"/>
          <w:i w:val="0"/>
          <w:iCs w:val="0"/>
          <w:sz w:val="22"/>
          <w:szCs w:val="22"/>
        </w:rPr>
      </w:pPr>
      <w:hyperlink w:anchor="_Toc50628099" w:history="1">
        <w:r w:rsidR="00866B34" w:rsidRPr="009C1388">
          <w:rPr>
            <w:rStyle w:val="Hiperpovezava"/>
          </w:rPr>
          <w:t>5.2.1.</w:t>
        </w:r>
        <w:r w:rsidR="00866B34">
          <w:rPr>
            <w:rFonts w:asciiTheme="minorHAnsi" w:eastAsiaTheme="minorEastAsia" w:hAnsiTheme="minorHAnsi" w:cstheme="minorBidi"/>
            <w:i w:val="0"/>
            <w:iCs w:val="0"/>
            <w:sz w:val="22"/>
            <w:szCs w:val="22"/>
          </w:rPr>
          <w:tab/>
        </w:r>
        <w:r w:rsidR="00866B34" w:rsidRPr="009C1388">
          <w:rPr>
            <w:rStyle w:val="Hiperpovezava"/>
          </w:rPr>
          <w:t>Ocena investicijskih stroškov ukrepov za opremljanje aglomeracij</w:t>
        </w:r>
        <w:r w:rsidR="00866B34">
          <w:rPr>
            <w:webHidden/>
          </w:rPr>
          <w:tab/>
        </w:r>
        <w:r w:rsidR="00866B34">
          <w:rPr>
            <w:webHidden/>
          </w:rPr>
          <w:fldChar w:fldCharType="begin"/>
        </w:r>
        <w:r w:rsidR="00866B34">
          <w:rPr>
            <w:webHidden/>
          </w:rPr>
          <w:instrText xml:space="preserve"> PAGEREF _Toc50628099 \h </w:instrText>
        </w:r>
        <w:r w:rsidR="00866B34">
          <w:rPr>
            <w:webHidden/>
          </w:rPr>
        </w:r>
        <w:r w:rsidR="00866B34">
          <w:rPr>
            <w:webHidden/>
          </w:rPr>
          <w:fldChar w:fldCharType="separate"/>
        </w:r>
        <w:r w:rsidR="00CE7C73">
          <w:rPr>
            <w:webHidden/>
          </w:rPr>
          <w:t>68</w:t>
        </w:r>
        <w:r w:rsidR="00866B34">
          <w:rPr>
            <w:webHidden/>
          </w:rPr>
          <w:fldChar w:fldCharType="end"/>
        </w:r>
      </w:hyperlink>
    </w:p>
    <w:p w:rsidR="00866B34" w:rsidRDefault="003340A3">
      <w:pPr>
        <w:pStyle w:val="Kazalovsebine3"/>
        <w:rPr>
          <w:rFonts w:asciiTheme="minorHAnsi" w:eastAsiaTheme="minorEastAsia" w:hAnsiTheme="minorHAnsi" w:cstheme="minorBidi"/>
          <w:i w:val="0"/>
          <w:iCs w:val="0"/>
          <w:sz w:val="22"/>
          <w:szCs w:val="22"/>
        </w:rPr>
      </w:pPr>
      <w:hyperlink w:anchor="_Toc50628100" w:history="1">
        <w:r w:rsidR="00866B34" w:rsidRPr="009C1388">
          <w:rPr>
            <w:rStyle w:val="Hiperpovezava"/>
          </w:rPr>
          <w:t>5.2.2.</w:t>
        </w:r>
        <w:r w:rsidR="00866B34">
          <w:rPr>
            <w:rFonts w:asciiTheme="minorHAnsi" w:eastAsiaTheme="minorEastAsia" w:hAnsiTheme="minorHAnsi" w:cstheme="minorBidi"/>
            <w:i w:val="0"/>
            <w:iCs w:val="0"/>
            <w:sz w:val="22"/>
            <w:szCs w:val="22"/>
          </w:rPr>
          <w:tab/>
        </w:r>
        <w:r w:rsidR="00866B34" w:rsidRPr="009C1388">
          <w:rPr>
            <w:rStyle w:val="Hiperpovezava"/>
          </w:rPr>
          <w:t>Ocena investicijskih stroškov ukrepov za opremljanje objektov na območju zunaj meja aglomeracij</w:t>
        </w:r>
        <w:r w:rsidR="00866B34">
          <w:rPr>
            <w:webHidden/>
          </w:rPr>
          <w:tab/>
        </w:r>
        <w:r w:rsidR="00764FCA">
          <w:rPr>
            <w:webHidden/>
          </w:rPr>
          <w:tab/>
        </w:r>
        <w:r w:rsidR="00866B34">
          <w:rPr>
            <w:webHidden/>
          </w:rPr>
          <w:fldChar w:fldCharType="begin"/>
        </w:r>
        <w:r w:rsidR="00866B34">
          <w:rPr>
            <w:webHidden/>
          </w:rPr>
          <w:instrText xml:space="preserve"> PAGEREF _Toc50628100 \h </w:instrText>
        </w:r>
        <w:r w:rsidR="00866B34">
          <w:rPr>
            <w:webHidden/>
          </w:rPr>
        </w:r>
        <w:r w:rsidR="00866B34">
          <w:rPr>
            <w:webHidden/>
          </w:rPr>
          <w:fldChar w:fldCharType="separate"/>
        </w:r>
        <w:r w:rsidR="00CE7C73">
          <w:rPr>
            <w:webHidden/>
          </w:rPr>
          <w:t>69</w:t>
        </w:r>
        <w:r w:rsidR="00866B34">
          <w:rPr>
            <w:webHidden/>
          </w:rPr>
          <w:fldChar w:fldCharType="end"/>
        </w:r>
      </w:hyperlink>
    </w:p>
    <w:p w:rsidR="00866B34" w:rsidRDefault="003340A3">
      <w:pPr>
        <w:pStyle w:val="Kazalovsebine3"/>
        <w:rPr>
          <w:rFonts w:asciiTheme="minorHAnsi" w:eastAsiaTheme="minorEastAsia" w:hAnsiTheme="minorHAnsi" w:cstheme="minorBidi"/>
          <w:i w:val="0"/>
          <w:iCs w:val="0"/>
          <w:sz w:val="22"/>
          <w:szCs w:val="22"/>
        </w:rPr>
      </w:pPr>
      <w:hyperlink w:anchor="_Toc50628101" w:history="1">
        <w:r w:rsidR="00866B34" w:rsidRPr="009C1388">
          <w:rPr>
            <w:rStyle w:val="Hiperpovezava"/>
          </w:rPr>
          <w:t>5.2.3.</w:t>
        </w:r>
        <w:r w:rsidR="00866B34">
          <w:rPr>
            <w:rFonts w:asciiTheme="minorHAnsi" w:eastAsiaTheme="minorEastAsia" w:hAnsiTheme="minorHAnsi" w:cstheme="minorBidi"/>
            <w:i w:val="0"/>
            <w:iCs w:val="0"/>
            <w:sz w:val="22"/>
            <w:szCs w:val="22"/>
          </w:rPr>
          <w:tab/>
        </w:r>
        <w:r w:rsidR="00866B34" w:rsidRPr="009C1388">
          <w:rPr>
            <w:rStyle w:val="Hiperpovezava"/>
          </w:rPr>
          <w:t>Ocena investicijskih stroškov ukrepov po občinah</w:t>
        </w:r>
        <w:r w:rsidR="00866B34">
          <w:rPr>
            <w:webHidden/>
          </w:rPr>
          <w:tab/>
        </w:r>
        <w:r w:rsidR="00866B34">
          <w:rPr>
            <w:webHidden/>
          </w:rPr>
          <w:fldChar w:fldCharType="begin"/>
        </w:r>
        <w:r w:rsidR="00866B34">
          <w:rPr>
            <w:webHidden/>
          </w:rPr>
          <w:instrText xml:space="preserve"> PAGEREF _Toc50628101 \h </w:instrText>
        </w:r>
        <w:r w:rsidR="00866B34">
          <w:rPr>
            <w:webHidden/>
          </w:rPr>
        </w:r>
        <w:r w:rsidR="00866B34">
          <w:rPr>
            <w:webHidden/>
          </w:rPr>
          <w:fldChar w:fldCharType="separate"/>
        </w:r>
        <w:r w:rsidR="00CE7C73">
          <w:rPr>
            <w:webHidden/>
          </w:rPr>
          <w:t>69</w:t>
        </w:r>
        <w:r w:rsidR="00866B34">
          <w:rPr>
            <w:webHidden/>
          </w:rPr>
          <w:fldChar w:fldCharType="end"/>
        </w:r>
      </w:hyperlink>
    </w:p>
    <w:p w:rsidR="00866B34" w:rsidRDefault="003340A3">
      <w:pPr>
        <w:pStyle w:val="Kazalovsebine3"/>
        <w:rPr>
          <w:rFonts w:asciiTheme="minorHAnsi" w:eastAsiaTheme="minorEastAsia" w:hAnsiTheme="minorHAnsi" w:cstheme="minorBidi"/>
          <w:i w:val="0"/>
          <w:iCs w:val="0"/>
          <w:sz w:val="22"/>
          <w:szCs w:val="22"/>
        </w:rPr>
      </w:pPr>
      <w:hyperlink w:anchor="_Toc50628102" w:history="1">
        <w:r w:rsidR="00866B34" w:rsidRPr="009C1388">
          <w:rPr>
            <w:rStyle w:val="Hiperpovezava"/>
          </w:rPr>
          <w:t>5.2.4.</w:t>
        </w:r>
        <w:r w:rsidR="00866B34">
          <w:rPr>
            <w:rFonts w:asciiTheme="minorHAnsi" w:eastAsiaTheme="minorEastAsia" w:hAnsiTheme="minorHAnsi" w:cstheme="minorBidi"/>
            <w:i w:val="0"/>
            <w:iCs w:val="0"/>
            <w:sz w:val="22"/>
            <w:szCs w:val="22"/>
          </w:rPr>
          <w:tab/>
        </w:r>
        <w:r w:rsidR="00866B34" w:rsidRPr="009C1388">
          <w:rPr>
            <w:rStyle w:val="Hiperpovezava"/>
          </w:rPr>
          <w:t>Ocena investicijskih stroškov ukrepov po statističnih regijah</w:t>
        </w:r>
        <w:r w:rsidR="00866B34">
          <w:rPr>
            <w:webHidden/>
          </w:rPr>
          <w:tab/>
        </w:r>
        <w:r w:rsidR="00866B34">
          <w:rPr>
            <w:webHidden/>
          </w:rPr>
          <w:fldChar w:fldCharType="begin"/>
        </w:r>
        <w:r w:rsidR="00866B34">
          <w:rPr>
            <w:webHidden/>
          </w:rPr>
          <w:instrText xml:space="preserve"> PAGEREF _Toc50628102 \h </w:instrText>
        </w:r>
        <w:r w:rsidR="00866B34">
          <w:rPr>
            <w:webHidden/>
          </w:rPr>
        </w:r>
        <w:r w:rsidR="00866B34">
          <w:rPr>
            <w:webHidden/>
          </w:rPr>
          <w:fldChar w:fldCharType="separate"/>
        </w:r>
        <w:r w:rsidR="00CE7C73">
          <w:rPr>
            <w:webHidden/>
          </w:rPr>
          <w:t>69</w:t>
        </w:r>
        <w:r w:rsidR="00866B34">
          <w:rPr>
            <w:webHidden/>
          </w:rPr>
          <w:fldChar w:fldCharType="end"/>
        </w:r>
      </w:hyperlink>
    </w:p>
    <w:p w:rsidR="00866B34" w:rsidRDefault="003340A3">
      <w:pPr>
        <w:pStyle w:val="Kazalovsebine2"/>
        <w:rPr>
          <w:rFonts w:asciiTheme="minorHAnsi" w:eastAsiaTheme="minorEastAsia" w:hAnsiTheme="minorHAnsi" w:cstheme="minorBidi"/>
          <w:smallCaps w:val="0"/>
          <w:noProof/>
          <w:sz w:val="22"/>
          <w:szCs w:val="22"/>
        </w:rPr>
      </w:pPr>
      <w:hyperlink w:anchor="_Toc50628103" w:history="1">
        <w:r w:rsidR="00866B34" w:rsidRPr="009C1388">
          <w:rPr>
            <w:rStyle w:val="Hiperpovezava"/>
            <w:noProof/>
          </w:rPr>
          <w:t>5.3.</w:t>
        </w:r>
        <w:r w:rsidR="00866B34">
          <w:rPr>
            <w:rFonts w:asciiTheme="minorHAnsi" w:eastAsiaTheme="minorEastAsia" w:hAnsiTheme="minorHAnsi" w:cstheme="minorBidi"/>
            <w:smallCaps w:val="0"/>
            <w:noProof/>
            <w:sz w:val="22"/>
            <w:szCs w:val="22"/>
          </w:rPr>
          <w:tab/>
        </w:r>
        <w:r w:rsidR="00866B34" w:rsidRPr="009C1388">
          <w:rPr>
            <w:rStyle w:val="Hiperpovezava"/>
            <w:noProof/>
          </w:rPr>
          <w:t>Viri finančnih sredstev za izvedbo ukrepov</w:t>
        </w:r>
        <w:r w:rsidR="00866B34">
          <w:rPr>
            <w:noProof/>
            <w:webHidden/>
          </w:rPr>
          <w:tab/>
        </w:r>
        <w:r w:rsidR="00866B34">
          <w:rPr>
            <w:noProof/>
            <w:webHidden/>
          </w:rPr>
          <w:fldChar w:fldCharType="begin"/>
        </w:r>
        <w:r w:rsidR="00866B34">
          <w:rPr>
            <w:noProof/>
            <w:webHidden/>
          </w:rPr>
          <w:instrText xml:space="preserve"> PAGEREF _Toc50628103 \h </w:instrText>
        </w:r>
        <w:r w:rsidR="00866B34">
          <w:rPr>
            <w:noProof/>
            <w:webHidden/>
          </w:rPr>
        </w:r>
        <w:r w:rsidR="00866B34">
          <w:rPr>
            <w:noProof/>
            <w:webHidden/>
          </w:rPr>
          <w:fldChar w:fldCharType="separate"/>
        </w:r>
        <w:r w:rsidR="00CE7C73">
          <w:rPr>
            <w:noProof/>
            <w:webHidden/>
          </w:rPr>
          <w:t>70</w:t>
        </w:r>
        <w:r w:rsidR="00866B34">
          <w:rPr>
            <w:noProof/>
            <w:webHidden/>
          </w:rPr>
          <w:fldChar w:fldCharType="end"/>
        </w:r>
      </w:hyperlink>
    </w:p>
    <w:p w:rsidR="00866B34" w:rsidRDefault="003340A3">
      <w:pPr>
        <w:pStyle w:val="Kazalovsebine3"/>
        <w:rPr>
          <w:rFonts w:asciiTheme="minorHAnsi" w:eastAsiaTheme="minorEastAsia" w:hAnsiTheme="minorHAnsi" w:cstheme="minorBidi"/>
          <w:i w:val="0"/>
          <w:iCs w:val="0"/>
          <w:sz w:val="22"/>
          <w:szCs w:val="22"/>
        </w:rPr>
      </w:pPr>
      <w:hyperlink w:anchor="_Toc50628104" w:history="1">
        <w:r w:rsidR="00866B34" w:rsidRPr="009C1388">
          <w:rPr>
            <w:rStyle w:val="Hiperpovezava"/>
          </w:rPr>
          <w:t>5.3.1.</w:t>
        </w:r>
        <w:r w:rsidR="00866B34">
          <w:rPr>
            <w:rFonts w:asciiTheme="minorHAnsi" w:eastAsiaTheme="minorEastAsia" w:hAnsiTheme="minorHAnsi" w:cstheme="minorBidi"/>
            <w:i w:val="0"/>
            <w:iCs w:val="0"/>
            <w:sz w:val="22"/>
            <w:szCs w:val="22"/>
          </w:rPr>
          <w:tab/>
        </w:r>
        <w:r w:rsidR="00866B34" w:rsidRPr="009C1388">
          <w:rPr>
            <w:rStyle w:val="Hiperpovezava"/>
          </w:rPr>
          <w:t>Viri finančnih sredstev za opremljanje aglomeracij</w:t>
        </w:r>
        <w:r w:rsidR="00866B34">
          <w:rPr>
            <w:webHidden/>
          </w:rPr>
          <w:tab/>
        </w:r>
        <w:r w:rsidR="00866B34">
          <w:rPr>
            <w:webHidden/>
          </w:rPr>
          <w:fldChar w:fldCharType="begin"/>
        </w:r>
        <w:r w:rsidR="00866B34">
          <w:rPr>
            <w:webHidden/>
          </w:rPr>
          <w:instrText xml:space="preserve"> PAGEREF _Toc50628104 \h </w:instrText>
        </w:r>
        <w:r w:rsidR="00866B34">
          <w:rPr>
            <w:webHidden/>
          </w:rPr>
        </w:r>
        <w:r w:rsidR="00866B34">
          <w:rPr>
            <w:webHidden/>
          </w:rPr>
          <w:fldChar w:fldCharType="separate"/>
        </w:r>
        <w:r w:rsidR="00CE7C73">
          <w:rPr>
            <w:webHidden/>
          </w:rPr>
          <w:t>70</w:t>
        </w:r>
        <w:r w:rsidR="00866B34">
          <w:rPr>
            <w:webHidden/>
          </w:rPr>
          <w:fldChar w:fldCharType="end"/>
        </w:r>
      </w:hyperlink>
    </w:p>
    <w:p w:rsidR="00866B34" w:rsidRDefault="003340A3">
      <w:pPr>
        <w:pStyle w:val="Kazalovsebine4"/>
        <w:rPr>
          <w:rFonts w:asciiTheme="minorHAnsi" w:eastAsiaTheme="minorEastAsia" w:hAnsiTheme="minorHAnsi" w:cstheme="minorBidi"/>
          <w:smallCaps w:val="0"/>
          <w:noProof/>
          <w:sz w:val="22"/>
          <w:szCs w:val="22"/>
        </w:rPr>
      </w:pPr>
      <w:hyperlink w:anchor="_Toc50628105" w:history="1">
        <w:r w:rsidR="00866B34" w:rsidRPr="009C1388">
          <w:rPr>
            <w:rStyle w:val="Hiperpovezava"/>
            <w:noProof/>
          </w:rPr>
          <w:t>5.3.1.1 Sredstva EU</w:t>
        </w:r>
        <w:r w:rsidR="00866B34">
          <w:rPr>
            <w:noProof/>
            <w:webHidden/>
          </w:rPr>
          <w:tab/>
        </w:r>
        <w:r w:rsidR="00866B34">
          <w:rPr>
            <w:noProof/>
            <w:webHidden/>
          </w:rPr>
          <w:fldChar w:fldCharType="begin"/>
        </w:r>
        <w:r w:rsidR="00866B34">
          <w:rPr>
            <w:noProof/>
            <w:webHidden/>
          </w:rPr>
          <w:instrText xml:space="preserve"> PAGEREF _Toc50628105 \h </w:instrText>
        </w:r>
        <w:r w:rsidR="00866B34">
          <w:rPr>
            <w:noProof/>
            <w:webHidden/>
          </w:rPr>
        </w:r>
        <w:r w:rsidR="00866B34">
          <w:rPr>
            <w:noProof/>
            <w:webHidden/>
          </w:rPr>
          <w:fldChar w:fldCharType="separate"/>
        </w:r>
        <w:r w:rsidR="00CE7C73">
          <w:rPr>
            <w:noProof/>
            <w:webHidden/>
          </w:rPr>
          <w:t>70</w:t>
        </w:r>
        <w:r w:rsidR="00866B34">
          <w:rPr>
            <w:noProof/>
            <w:webHidden/>
          </w:rPr>
          <w:fldChar w:fldCharType="end"/>
        </w:r>
      </w:hyperlink>
    </w:p>
    <w:p w:rsidR="00866B34" w:rsidRDefault="003340A3">
      <w:pPr>
        <w:pStyle w:val="Kazalovsebine4"/>
        <w:rPr>
          <w:rFonts w:asciiTheme="minorHAnsi" w:eastAsiaTheme="minorEastAsia" w:hAnsiTheme="minorHAnsi" w:cstheme="minorBidi"/>
          <w:smallCaps w:val="0"/>
          <w:noProof/>
          <w:sz w:val="22"/>
          <w:szCs w:val="22"/>
        </w:rPr>
      </w:pPr>
      <w:hyperlink w:anchor="_Toc50628106" w:history="1">
        <w:r w:rsidR="00866B34" w:rsidRPr="009C1388">
          <w:rPr>
            <w:rStyle w:val="Hiperpovezava"/>
            <w:noProof/>
          </w:rPr>
          <w:t>5.3.1.2 Sklad za vode</w:t>
        </w:r>
        <w:r w:rsidR="00866B34">
          <w:rPr>
            <w:noProof/>
            <w:webHidden/>
          </w:rPr>
          <w:tab/>
        </w:r>
        <w:r w:rsidR="00866B34">
          <w:rPr>
            <w:noProof/>
            <w:webHidden/>
          </w:rPr>
          <w:fldChar w:fldCharType="begin"/>
        </w:r>
        <w:r w:rsidR="00866B34">
          <w:rPr>
            <w:noProof/>
            <w:webHidden/>
          </w:rPr>
          <w:instrText xml:space="preserve"> PAGEREF _Toc50628106 \h </w:instrText>
        </w:r>
        <w:r w:rsidR="00866B34">
          <w:rPr>
            <w:noProof/>
            <w:webHidden/>
          </w:rPr>
        </w:r>
        <w:r w:rsidR="00866B34">
          <w:rPr>
            <w:noProof/>
            <w:webHidden/>
          </w:rPr>
          <w:fldChar w:fldCharType="separate"/>
        </w:r>
        <w:r w:rsidR="00CE7C73">
          <w:rPr>
            <w:noProof/>
            <w:webHidden/>
          </w:rPr>
          <w:t>72</w:t>
        </w:r>
        <w:r w:rsidR="00866B34">
          <w:rPr>
            <w:noProof/>
            <w:webHidden/>
          </w:rPr>
          <w:fldChar w:fldCharType="end"/>
        </w:r>
      </w:hyperlink>
    </w:p>
    <w:p w:rsidR="00866B34" w:rsidRDefault="003340A3">
      <w:pPr>
        <w:pStyle w:val="Kazalovsebine4"/>
        <w:rPr>
          <w:rFonts w:asciiTheme="minorHAnsi" w:eastAsiaTheme="minorEastAsia" w:hAnsiTheme="minorHAnsi" w:cstheme="minorBidi"/>
          <w:smallCaps w:val="0"/>
          <w:noProof/>
          <w:sz w:val="22"/>
          <w:szCs w:val="22"/>
        </w:rPr>
      </w:pPr>
      <w:hyperlink w:anchor="_Toc50628107" w:history="1">
        <w:r w:rsidR="00866B34" w:rsidRPr="009C1388">
          <w:rPr>
            <w:rStyle w:val="Hiperpovezava"/>
            <w:noProof/>
          </w:rPr>
          <w:t>5.3.1.3 Občinski proračuni</w:t>
        </w:r>
        <w:r w:rsidR="00866B34">
          <w:rPr>
            <w:noProof/>
            <w:webHidden/>
          </w:rPr>
          <w:tab/>
        </w:r>
        <w:r w:rsidR="00866B34">
          <w:rPr>
            <w:noProof/>
            <w:webHidden/>
          </w:rPr>
          <w:fldChar w:fldCharType="begin"/>
        </w:r>
        <w:r w:rsidR="00866B34">
          <w:rPr>
            <w:noProof/>
            <w:webHidden/>
          </w:rPr>
          <w:instrText xml:space="preserve"> PAGEREF _Toc50628107 \h </w:instrText>
        </w:r>
        <w:r w:rsidR="00866B34">
          <w:rPr>
            <w:noProof/>
            <w:webHidden/>
          </w:rPr>
        </w:r>
        <w:r w:rsidR="00866B34">
          <w:rPr>
            <w:noProof/>
            <w:webHidden/>
          </w:rPr>
          <w:fldChar w:fldCharType="separate"/>
        </w:r>
        <w:r w:rsidR="00CE7C73">
          <w:rPr>
            <w:noProof/>
            <w:webHidden/>
          </w:rPr>
          <w:t>73</w:t>
        </w:r>
        <w:r w:rsidR="00866B34">
          <w:rPr>
            <w:noProof/>
            <w:webHidden/>
          </w:rPr>
          <w:fldChar w:fldCharType="end"/>
        </w:r>
      </w:hyperlink>
    </w:p>
    <w:p w:rsidR="00866B34" w:rsidRDefault="003340A3">
      <w:pPr>
        <w:pStyle w:val="Kazalovsebine3"/>
        <w:rPr>
          <w:rFonts w:asciiTheme="minorHAnsi" w:eastAsiaTheme="minorEastAsia" w:hAnsiTheme="minorHAnsi" w:cstheme="minorBidi"/>
          <w:i w:val="0"/>
          <w:iCs w:val="0"/>
          <w:sz w:val="22"/>
          <w:szCs w:val="22"/>
        </w:rPr>
      </w:pPr>
      <w:hyperlink w:anchor="_Toc50628108" w:history="1">
        <w:r w:rsidR="00866B34" w:rsidRPr="009C1388">
          <w:rPr>
            <w:rStyle w:val="Hiperpovezava"/>
          </w:rPr>
          <w:t>5.3.2.</w:t>
        </w:r>
        <w:r w:rsidR="00866B34">
          <w:rPr>
            <w:rFonts w:asciiTheme="minorHAnsi" w:eastAsiaTheme="minorEastAsia" w:hAnsiTheme="minorHAnsi" w:cstheme="minorBidi"/>
            <w:i w:val="0"/>
            <w:iCs w:val="0"/>
            <w:sz w:val="22"/>
            <w:szCs w:val="22"/>
          </w:rPr>
          <w:tab/>
        </w:r>
        <w:r w:rsidR="00866B34" w:rsidRPr="009C1388">
          <w:rPr>
            <w:rStyle w:val="Hiperpovezava"/>
          </w:rPr>
          <w:t>Struktura in obseg potrebnih finančnih sredstev za izvedbo ukrepov v aglomeracijah</w:t>
        </w:r>
        <w:r w:rsidR="00866B34">
          <w:rPr>
            <w:webHidden/>
          </w:rPr>
          <w:tab/>
        </w:r>
        <w:r w:rsidR="00866B34">
          <w:rPr>
            <w:webHidden/>
          </w:rPr>
          <w:fldChar w:fldCharType="begin"/>
        </w:r>
        <w:r w:rsidR="00866B34">
          <w:rPr>
            <w:webHidden/>
          </w:rPr>
          <w:instrText xml:space="preserve"> PAGEREF _Toc50628108 \h </w:instrText>
        </w:r>
        <w:r w:rsidR="00866B34">
          <w:rPr>
            <w:webHidden/>
          </w:rPr>
        </w:r>
        <w:r w:rsidR="00866B34">
          <w:rPr>
            <w:webHidden/>
          </w:rPr>
          <w:fldChar w:fldCharType="separate"/>
        </w:r>
        <w:r w:rsidR="00CE7C73">
          <w:rPr>
            <w:webHidden/>
          </w:rPr>
          <w:t>76</w:t>
        </w:r>
        <w:r w:rsidR="00866B34">
          <w:rPr>
            <w:webHidden/>
          </w:rPr>
          <w:fldChar w:fldCharType="end"/>
        </w:r>
      </w:hyperlink>
    </w:p>
    <w:p w:rsidR="00866B34" w:rsidRDefault="003340A3">
      <w:pPr>
        <w:pStyle w:val="Kazalovsebine3"/>
        <w:rPr>
          <w:rFonts w:asciiTheme="minorHAnsi" w:eastAsiaTheme="minorEastAsia" w:hAnsiTheme="minorHAnsi" w:cstheme="minorBidi"/>
          <w:i w:val="0"/>
          <w:iCs w:val="0"/>
          <w:sz w:val="22"/>
          <w:szCs w:val="22"/>
        </w:rPr>
      </w:pPr>
      <w:hyperlink w:anchor="_Toc50628109" w:history="1">
        <w:r w:rsidR="00866B34" w:rsidRPr="009C1388">
          <w:rPr>
            <w:rStyle w:val="Hiperpovezava"/>
          </w:rPr>
          <w:t>5.3.3.</w:t>
        </w:r>
        <w:r w:rsidR="00866B34">
          <w:rPr>
            <w:rFonts w:asciiTheme="minorHAnsi" w:eastAsiaTheme="minorEastAsia" w:hAnsiTheme="minorHAnsi" w:cstheme="minorBidi"/>
            <w:i w:val="0"/>
            <w:iCs w:val="0"/>
            <w:sz w:val="22"/>
            <w:szCs w:val="22"/>
          </w:rPr>
          <w:tab/>
        </w:r>
        <w:r w:rsidR="00866B34" w:rsidRPr="009C1388">
          <w:rPr>
            <w:rStyle w:val="Hiperpovezava"/>
          </w:rPr>
          <w:t>Viri finančnih sredstev za izvedbo ukrepov na območju zunaj meja aglomeracij</w:t>
        </w:r>
        <w:r w:rsidR="00866B34">
          <w:rPr>
            <w:webHidden/>
          </w:rPr>
          <w:tab/>
        </w:r>
        <w:r w:rsidR="00866B34">
          <w:rPr>
            <w:webHidden/>
          </w:rPr>
          <w:fldChar w:fldCharType="begin"/>
        </w:r>
        <w:r w:rsidR="00866B34">
          <w:rPr>
            <w:webHidden/>
          </w:rPr>
          <w:instrText xml:space="preserve"> PAGEREF _Toc50628109 \h </w:instrText>
        </w:r>
        <w:r w:rsidR="00866B34">
          <w:rPr>
            <w:webHidden/>
          </w:rPr>
        </w:r>
        <w:r w:rsidR="00866B34">
          <w:rPr>
            <w:webHidden/>
          </w:rPr>
          <w:fldChar w:fldCharType="separate"/>
        </w:r>
        <w:r w:rsidR="00CE7C73">
          <w:rPr>
            <w:webHidden/>
          </w:rPr>
          <w:t>77</w:t>
        </w:r>
        <w:r w:rsidR="00866B34">
          <w:rPr>
            <w:webHidden/>
          </w:rPr>
          <w:fldChar w:fldCharType="end"/>
        </w:r>
      </w:hyperlink>
    </w:p>
    <w:p w:rsidR="00866B34" w:rsidRDefault="003340A3">
      <w:pPr>
        <w:pStyle w:val="Kazalovsebine1"/>
        <w:rPr>
          <w:rFonts w:asciiTheme="minorHAnsi" w:eastAsiaTheme="minorEastAsia" w:hAnsiTheme="minorHAnsi" w:cstheme="minorBidi"/>
          <w:b w:val="0"/>
          <w:bCs w:val="0"/>
          <w:caps w:val="0"/>
          <w:noProof/>
          <w:sz w:val="22"/>
          <w:szCs w:val="22"/>
        </w:rPr>
      </w:pPr>
      <w:hyperlink w:anchor="_Toc50628110" w:history="1">
        <w:r w:rsidR="00866B34" w:rsidRPr="009C1388">
          <w:rPr>
            <w:rStyle w:val="Hiperpovezava"/>
            <w:noProof/>
          </w:rPr>
          <w:t>6.</w:t>
        </w:r>
        <w:r w:rsidR="00866B34">
          <w:rPr>
            <w:rFonts w:asciiTheme="minorHAnsi" w:eastAsiaTheme="minorEastAsia" w:hAnsiTheme="minorHAnsi" w:cstheme="minorBidi"/>
            <w:b w:val="0"/>
            <w:bCs w:val="0"/>
            <w:caps w:val="0"/>
            <w:noProof/>
            <w:sz w:val="22"/>
            <w:szCs w:val="22"/>
          </w:rPr>
          <w:tab/>
        </w:r>
        <w:r w:rsidR="00866B34" w:rsidRPr="009C1388">
          <w:rPr>
            <w:rStyle w:val="Hiperpovezava"/>
            <w:noProof/>
          </w:rPr>
          <w:t>POVZETEK NAČRTOVANIH UKREPOV</w:t>
        </w:r>
        <w:r w:rsidR="00866B34">
          <w:rPr>
            <w:noProof/>
            <w:webHidden/>
          </w:rPr>
          <w:tab/>
        </w:r>
        <w:r w:rsidR="00866B34">
          <w:rPr>
            <w:noProof/>
            <w:webHidden/>
          </w:rPr>
          <w:fldChar w:fldCharType="begin"/>
        </w:r>
        <w:r w:rsidR="00866B34">
          <w:rPr>
            <w:noProof/>
            <w:webHidden/>
          </w:rPr>
          <w:instrText xml:space="preserve"> PAGEREF _Toc50628110 \h </w:instrText>
        </w:r>
        <w:r w:rsidR="00866B34">
          <w:rPr>
            <w:noProof/>
            <w:webHidden/>
          </w:rPr>
        </w:r>
        <w:r w:rsidR="00866B34">
          <w:rPr>
            <w:noProof/>
            <w:webHidden/>
          </w:rPr>
          <w:fldChar w:fldCharType="separate"/>
        </w:r>
        <w:r w:rsidR="00CE7C73">
          <w:rPr>
            <w:noProof/>
            <w:webHidden/>
          </w:rPr>
          <w:t>78</w:t>
        </w:r>
        <w:r w:rsidR="00866B34">
          <w:rPr>
            <w:noProof/>
            <w:webHidden/>
          </w:rPr>
          <w:fldChar w:fldCharType="end"/>
        </w:r>
      </w:hyperlink>
    </w:p>
    <w:p w:rsidR="00866B34" w:rsidRDefault="003340A3">
      <w:pPr>
        <w:pStyle w:val="Kazalovsebine2"/>
        <w:rPr>
          <w:rFonts w:asciiTheme="minorHAnsi" w:eastAsiaTheme="minorEastAsia" w:hAnsiTheme="minorHAnsi" w:cstheme="minorBidi"/>
          <w:smallCaps w:val="0"/>
          <w:noProof/>
          <w:sz w:val="22"/>
          <w:szCs w:val="22"/>
        </w:rPr>
      </w:pPr>
      <w:hyperlink w:anchor="_Toc50628111" w:history="1">
        <w:r w:rsidR="00866B34" w:rsidRPr="009C1388">
          <w:rPr>
            <w:rStyle w:val="Hiperpovezava"/>
            <w:noProof/>
          </w:rPr>
          <w:t>6.1.</w:t>
        </w:r>
        <w:r w:rsidR="00866B34">
          <w:rPr>
            <w:rFonts w:asciiTheme="minorHAnsi" w:eastAsiaTheme="minorEastAsia" w:hAnsiTheme="minorHAnsi" w:cstheme="minorBidi"/>
            <w:smallCaps w:val="0"/>
            <w:noProof/>
            <w:sz w:val="22"/>
            <w:szCs w:val="22"/>
          </w:rPr>
          <w:tab/>
        </w:r>
        <w:r w:rsidR="00866B34" w:rsidRPr="009C1388">
          <w:rPr>
            <w:rStyle w:val="Hiperpovezava"/>
            <w:noProof/>
          </w:rPr>
          <w:t>Povzetek načrtovanih ukrepov občin za obdobje 2018–2028</w:t>
        </w:r>
        <w:r w:rsidR="00866B34">
          <w:rPr>
            <w:noProof/>
            <w:webHidden/>
          </w:rPr>
          <w:tab/>
        </w:r>
        <w:r w:rsidR="00866B34">
          <w:rPr>
            <w:noProof/>
            <w:webHidden/>
          </w:rPr>
          <w:fldChar w:fldCharType="begin"/>
        </w:r>
        <w:r w:rsidR="00866B34">
          <w:rPr>
            <w:noProof/>
            <w:webHidden/>
          </w:rPr>
          <w:instrText xml:space="preserve"> PAGEREF _Toc50628111 \h </w:instrText>
        </w:r>
        <w:r w:rsidR="00866B34">
          <w:rPr>
            <w:noProof/>
            <w:webHidden/>
          </w:rPr>
        </w:r>
        <w:r w:rsidR="00866B34">
          <w:rPr>
            <w:noProof/>
            <w:webHidden/>
          </w:rPr>
          <w:fldChar w:fldCharType="separate"/>
        </w:r>
        <w:r w:rsidR="00CE7C73">
          <w:rPr>
            <w:noProof/>
            <w:webHidden/>
          </w:rPr>
          <w:t>78</w:t>
        </w:r>
        <w:r w:rsidR="00866B34">
          <w:rPr>
            <w:noProof/>
            <w:webHidden/>
          </w:rPr>
          <w:fldChar w:fldCharType="end"/>
        </w:r>
      </w:hyperlink>
    </w:p>
    <w:p w:rsidR="00866B34" w:rsidRDefault="003340A3">
      <w:pPr>
        <w:pStyle w:val="Kazalovsebine2"/>
        <w:rPr>
          <w:rFonts w:asciiTheme="minorHAnsi" w:eastAsiaTheme="minorEastAsia" w:hAnsiTheme="minorHAnsi" w:cstheme="minorBidi"/>
          <w:smallCaps w:val="0"/>
          <w:noProof/>
          <w:sz w:val="22"/>
          <w:szCs w:val="22"/>
        </w:rPr>
      </w:pPr>
      <w:hyperlink w:anchor="_Toc50628112" w:history="1">
        <w:r w:rsidR="00866B34" w:rsidRPr="009C1388">
          <w:rPr>
            <w:rStyle w:val="Hiperpovezava"/>
            <w:noProof/>
          </w:rPr>
          <w:t>6.2.</w:t>
        </w:r>
        <w:r w:rsidR="00866B34">
          <w:rPr>
            <w:rFonts w:asciiTheme="minorHAnsi" w:eastAsiaTheme="minorEastAsia" w:hAnsiTheme="minorHAnsi" w:cstheme="minorBidi"/>
            <w:smallCaps w:val="0"/>
            <w:noProof/>
            <w:sz w:val="22"/>
            <w:szCs w:val="22"/>
          </w:rPr>
          <w:tab/>
        </w:r>
        <w:r w:rsidR="00866B34" w:rsidRPr="009C1388">
          <w:rPr>
            <w:rStyle w:val="Hiperpovezava"/>
            <w:noProof/>
          </w:rPr>
          <w:t>Ukrepi za izboljšanje informacijskega sistema javnih služb varstva okolja na področju odvajanja in čiščenja komunalne odpadne vode</w:t>
        </w:r>
        <w:r w:rsidR="00866B34">
          <w:rPr>
            <w:noProof/>
            <w:webHidden/>
          </w:rPr>
          <w:tab/>
        </w:r>
        <w:r w:rsidR="00866B34">
          <w:rPr>
            <w:noProof/>
            <w:webHidden/>
          </w:rPr>
          <w:fldChar w:fldCharType="begin"/>
        </w:r>
        <w:r w:rsidR="00866B34">
          <w:rPr>
            <w:noProof/>
            <w:webHidden/>
          </w:rPr>
          <w:instrText xml:space="preserve"> PAGEREF _Toc50628112 \h </w:instrText>
        </w:r>
        <w:r w:rsidR="00866B34">
          <w:rPr>
            <w:noProof/>
            <w:webHidden/>
          </w:rPr>
        </w:r>
        <w:r w:rsidR="00866B34">
          <w:rPr>
            <w:noProof/>
            <w:webHidden/>
          </w:rPr>
          <w:fldChar w:fldCharType="separate"/>
        </w:r>
        <w:r w:rsidR="00CE7C73">
          <w:rPr>
            <w:noProof/>
            <w:webHidden/>
          </w:rPr>
          <w:t>79</w:t>
        </w:r>
        <w:r w:rsidR="00866B34">
          <w:rPr>
            <w:noProof/>
            <w:webHidden/>
          </w:rPr>
          <w:fldChar w:fldCharType="end"/>
        </w:r>
      </w:hyperlink>
    </w:p>
    <w:p w:rsidR="00866B34" w:rsidRDefault="003340A3">
      <w:pPr>
        <w:pStyle w:val="Kazalovsebine1"/>
        <w:rPr>
          <w:rFonts w:asciiTheme="minorHAnsi" w:eastAsiaTheme="minorEastAsia" w:hAnsiTheme="minorHAnsi" w:cstheme="minorBidi"/>
          <w:b w:val="0"/>
          <w:bCs w:val="0"/>
          <w:caps w:val="0"/>
          <w:noProof/>
          <w:sz w:val="22"/>
          <w:szCs w:val="22"/>
        </w:rPr>
      </w:pPr>
      <w:hyperlink w:anchor="_Toc50628113" w:history="1">
        <w:r w:rsidR="00866B34" w:rsidRPr="009C1388">
          <w:rPr>
            <w:rStyle w:val="Hiperpovezava"/>
            <w:noProof/>
          </w:rPr>
          <w:t>7.</w:t>
        </w:r>
        <w:r w:rsidR="00866B34">
          <w:rPr>
            <w:rFonts w:asciiTheme="minorHAnsi" w:eastAsiaTheme="minorEastAsia" w:hAnsiTheme="minorHAnsi" w:cstheme="minorBidi"/>
            <w:b w:val="0"/>
            <w:bCs w:val="0"/>
            <w:caps w:val="0"/>
            <w:noProof/>
            <w:sz w:val="22"/>
            <w:szCs w:val="22"/>
          </w:rPr>
          <w:tab/>
        </w:r>
        <w:r w:rsidR="00866B34" w:rsidRPr="009C1388">
          <w:rPr>
            <w:rStyle w:val="Hiperpovezava"/>
            <w:noProof/>
          </w:rPr>
          <w:t>VIRI</w:t>
        </w:r>
        <w:r w:rsidR="00866B34">
          <w:rPr>
            <w:noProof/>
            <w:webHidden/>
          </w:rPr>
          <w:tab/>
        </w:r>
        <w:r w:rsidR="00866B34">
          <w:rPr>
            <w:noProof/>
            <w:webHidden/>
          </w:rPr>
          <w:fldChar w:fldCharType="begin"/>
        </w:r>
        <w:r w:rsidR="00866B34">
          <w:rPr>
            <w:noProof/>
            <w:webHidden/>
          </w:rPr>
          <w:instrText xml:space="preserve"> PAGEREF _Toc50628113 \h </w:instrText>
        </w:r>
        <w:r w:rsidR="00866B34">
          <w:rPr>
            <w:noProof/>
            <w:webHidden/>
          </w:rPr>
        </w:r>
        <w:r w:rsidR="00866B34">
          <w:rPr>
            <w:noProof/>
            <w:webHidden/>
          </w:rPr>
          <w:fldChar w:fldCharType="separate"/>
        </w:r>
        <w:r w:rsidR="00CE7C73">
          <w:rPr>
            <w:noProof/>
            <w:webHidden/>
          </w:rPr>
          <w:t>81</w:t>
        </w:r>
        <w:r w:rsidR="00866B34">
          <w:rPr>
            <w:noProof/>
            <w:webHidden/>
          </w:rPr>
          <w:fldChar w:fldCharType="end"/>
        </w:r>
      </w:hyperlink>
    </w:p>
    <w:p w:rsidR="00866B34" w:rsidRDefault="003340A3">
      <w:pPr>
        <w:pStyle w:val="Kazalovsebine1"/>
        <w:rPr>
          <w:rFonts w:asciiTheme="minorHAnsi" w:eastAsiaTheme="minorEastAsia" w:hAnsiTheme="minorHAnsi" w:cstheme="minorBidi"/>
          <w:b w:val="0"/>
          <w:bCs w:val="0"/>
          <w:caps w:val="0"/>
          <w:noProof/>
          <w:sz w:val="22"/>
          <w:szCs w:val="22"/>
        </w:rPr>
      </w:pPr>
      <w:hyperlink w:anchor="_Toc50628114" w:history="1">
        <w:r w:rsidR="00866B34" w:rsidRPr="009C1388">
          <w:rPr>
            <w:rStyle w:val="Hiperpovezava"/>
            <w:noProof/>
          </w:rPr>
          <w:t>8.</w:t>
        </w:r>
        <w:r w:rsidR="00866B34">
          <w:rPr>
            <w:rFonts w:asciiTheme="minorHAnsi" w:eastAsiaTheme="minorEastAsia" w:hAnsiTheme="minorHAnsi" w:cstheme="minorBidi"/>
            <w:b w:val="0"/>
            <w:bCs w:val="0"/>
            <w:caps w:val="0"/>
            <w:noProof/>
            <w:sz w:val="22"/>
            <w:szCs w:val="22"/>
          </w:rPr>
          <w:tab/>
        </w:r>
        <w:r w:rsidR="00866B34" w:rsidRPr="009C1388">
          <w:rPr>
            <w:rStyle w:val="Hiperpovezava"/>
            <w:noProof/>
          </w:rPr>
          <w:t>PRILOGE</w:t>
        </w:r>
        <w:r w:rsidR="00866B34">
          <w:rPr>
            <w:noProof/>
            <w:webHidden/>
          </w:rPr>
          <w:tab/>
        </w:r>
        <w:r w:rsidR="00866B34">
          <w:rPr>
            <w:noProof/>
            <w:webHidden/>
          </w:rPr>
          <w:fldChar w:fldCharType="begin"/>
        </w:r>
        <w:r w:rsidR="00866B34">
          <w:rPr>
            <w:noProof/>
            <w:webHidden/>
          </w:rPr>
          <w:instrText xml:space="preserve"> PAGEREF _Toc50628114 \h </w:instrText>
        </w:r>
        <w:r w:rsidR="00866B34">
          <w:rPr>
            <w:noProof/>
            <w:webHidden/>
          </w:rPr>
        </w:r>
        <w:r w:rsidR="00866B34">
          <w:rPr>
            <w:noProof/>
            <w:webHidden/>
          </w:rPr>
          <w:fldChar w:fldCharType="separate"/>
        </w:r>
        <w:r w:rsidR="00CE7C73">
          <w:rPr>
            <w:noProof/>
            <w:webHidden/>
          </w:rPr>
          <w:t>83</w:t>
        </w:r>
        <w:r w:rsidR="00866B34">
          <w:rPr>
            <w:noProof/>
            <w:webHidden/>
          </w:rPr>
          <w:fldChar w:fldCharType="end"/>
        </w:r>
      </w:hyperlink>
    </w:p>
    <w:p w:rsidR="00D774EB" w:rsidRPr="00B148B1" w:rsidRDefault="00D774EB" w:rsidP="00D774EB">
      <w:pPr>
        <w:tabs>
          <w:tab w:val="right" w:leader="dot" w:pos="8789"/>
        </w:tabs>
        <w:rPr>
          <w:rFonts w:cs="Arial"/>
        </w:rPr>
      </w:pPr>
      <w:r w:rsidRPr="00B148B1">
        <w:rPr>
          <w:rFonts w:cs="Arial"/>
          <w:b/>
          <w:bCs/>
          <w:caps/>
          <w:smallCaps/>
          <w:szCs w:val="20"/>
        </w:rPr>
        <w:fldChar w:fldCharType="end"/>
      </w:r>
    </w:p>
    <w:p w:rsidR="00D774EB" w:rsidRPr="00B148B1" w:rsidRDefault="00D774EB" w:rsidP="00053555">
      <w:pPr>
        <w:spacing w:before="240" w:line="360" w:lineRule="atLeast"/>
      </w:pPr>
      <w:r w:rsidRPr="00B148B1">
        <w:br w:type="page"/>
      </w:r>
      <w:r w:rsidRPr="00B148B1">
        <w:rPr>
          <w:rFonts w:cs="Arial"/>
          <w:b/>
          <w:sz w:val="28"/>
          <w:szCs w:val="28"/>
        </w:rPr>
        <w:lastRenderedPageBreak/>
        <w:t>KAZALO PREGLEDNIC:</w:t>
      </w:r>
    </w:p>
    <w:p w:rsidR="00AE4F63" w:rsidRPr="00B148B1" w:rsidRDefault="00AE4F63" w:rsidP="00AE4F63">
      <w:pPr>
        <w:rPr>
          <w:rFonts w:cs="Arial"/>
        </w:rPr>
      </w:pPr>
    </w:p>
    <w:p w:rsidR="00814432" w:rsidRPr="00814432" w:rsidRDefault="00D774EB" w:rsidP="00EF10DF">
      <w:pPr>
        <w:pStyle w:val="Kazalovsebine3"/>
        <w:rPr>
          <w:rStyle w:val="Hiperpovezava"/>
        </w:rPr>
      </w:pPr>
      <w:r w:rsidRPr="00B148B1">
        <w:rPr>
          <w:rStyle w:val="Hiperpovezava"/>
        </w:rPr>
        <w:fldChar w:fldCharType="begin"/>
      </w:r>
      <w:r w:rsidRPr="00B148B1">
        <w:rPr>
          <w:rStyle w:val="Hiperpovezava"/>
        </w:rPr>
        <w:instrText xml:space="preserve"> TOC \h \z \c "Preglednica" </w:instrText>
      </w:r>
      <w:r w:rsidRPr="00B148B1">
        <w:rPr>
          <w:rStyle w:val="Hiperpovezava"/>
        </w:rPr>
        <w:fldChar w:fldCharType="separate"/>
      </w:r>
      <w:hyperlink w:anchor="_Toc50626717" w:history="1">
        <w:r w:rsidR="00814432" w:rsidRPr="0057546C">
          <w:rPr>
            <w:rStyle w:val="Hiperpovezava"/>
          </w:rPr>
          <w:t>Preglednica 1: Število in skupna obremenitev aglomeracij iz predhodnega operativnega programa po velikostnih razredih in legi</w:t>
        </w:r>
        <w:r w:rsidR="00814432" w:rsidRPr="00814432">
          <w:rPr>
            <w:rStyle w:val="Hiperpovezava"/>
            <w:webHidden/>
          </w:rPr>
          <w:tab/>
        </w:r>
        <w:r w:rsidR="00814432" w:rsidRPr="00814432">
          <w:rPr>
            <w:rStyle w:val="Hiperpovezava"/>
            <w:webHidden/>
          </w:rPr>
          <w:fldChar w:fldCharType="begin"/>
        </w:r>
        <w:r w:rsidR="00814432" w:rsidRPr="00814432">
          <w:rPr>
            <w:rStyle w:val="Hiperpovezava"/>
            <w:webHidden/>
          </w:rPr>
          <w:instrText xml:space="preserve"> PAGEREF _Toc50626717 \h </w:instrText>
        </w:r>
        <w:r w:rsidR="00814432" w:rsidRPr="00814432">
          <w:rPr>
            <w:rStyle w:val="Hiperpovezava"/>
            <w:webHidden/>
          </w:rPr>
        </w:r>
        <w:r w:rsidR="00814432" w:rsidRPr="00814432">
          <w:rPr>
            <w:rStyle w:val="Hiperpovezava"/>
            <w:webHidden/>
          </w:rPr>
          <w:fldChar w:fldCharType="separate"/>
        </w:r>
        <w:r w:rsidR="00CE7C73">
          <w:rPr>
            <w:rStyle w:val="Hiperpovezava"/>
            <w:webHidden/>
          </w:rPr>
          <w:t>30</w:t>
        </w:r>
        <w:r w:rsidR="00814432" w:rsidRPr="00814432">
          <w:rPr>
            <w:rStyle w:val="Hiperpovezava"/>
            <w:webHidden/>
          </w:rPr>
          <w:fldChar w:fldCharType="end"/>
        </w:r>
      </w:hyperlink>
    </w:p>
    <w:p w:rsidR="00814432" w:rsidRPr="00814432" w:rsidRDefault="003340A3" w:rsidP="00EF10DF">
      <w:pPr>
        <w:pStyle w:val="Kazalovsebine3"/>
        <w:rPr>
          <w:rStyle w:val="Hiperpovezava"/>
        </w:rPr>
      </w:pPr>
      <w:hyperlink w:anchor="_Toc50626718" w:history="1">
        <w:r w:rsidR="00814432" w:rsidRPr="0057546C">
          <w:rPr>
            <w:rStyle w:val="Hiperpovezava"/>
          </w:rPr>
          <w:t>Preglednica 2: Ocena finančnih sredstev predhodnega operativnega programa</w:t>
        </w:r>
        <w:r w:rsidR="00814432" w:rsidRPr="00814432">
          <w:rPr>
            <w:rStyle w:val="Hiperpovezava"/>
            <w:webHidden/>
          </w:rPr>
          <w:tab/>
        </w:r>
        <w:r w:rsidR="00814432" w:rsidRPr="00814432">
          <w:rPr>
            <w:rStyle w:val="Hiperpovezava"/>
            <w:webHidden/>
          </w:rPr>
          <w:fldChar w:fldCharType="begin"/>
        </w:r>
        <w:r w:rsidR="00814432" w:rsidRPr="00814432">
          <w:rPr>
            <w:rStyle w:val="Hiperpovezava"/>
            <w:webHidden/>
          </w:rPr>
          <w:instrText xml:space="preserve"> PAGEREF _Toc50626718 \h </w:instrText>
        </w:r>
        <w:r w:rsidR="00814432" w:rsidRPr="00814432">
          <w:rPr>
            <w:rStyle w:val="Hiperpovezava"/>
            <w:webHidden/>
          </w:rPr>
        </w:r>
        <w:r w:rsidR="00814432" w:rsidRPr="00814432">
          <w:rPr>
            <w:rStyle w:val="Hiperpovezava"/>
            <w:webHidden/>
          </w:rPr>
          <w:fldChar w:fldCharType="separate"/>
        </w:r>
        <w:r w:rsidR="00CE7C73">
          <w:rPr>
            <w:rStyle w:val="Hiperpovezava"/>
            <w:webHidden/>
          </w:rPr>
          <w:t>33</w:t>
        </w:r>
        <w:r w:rsidR="00814432" w:rsidRPr="00814432">
          <w:rPr>
            <w:rStyle w:val="Hiperpovezava"/>
            <w:webHidden/>
          </w:rPr>
          <w:fldChar w:fldCharType="end"/>
        </w:r>
      </w:hyperlink>
    </w:p>
    <w:p w:rsidR="00814432" w:rsidRPr="00814432" w:rsidRDefault="003340A3" w:rsidP="00EF10DF">
      <w:pPr>
        <w:pStyle w:val="Kazalovsebine3"/>
        <w:rPr>
          <w:rStyle w:val="Hiperpovezava"/>
        </w:rPr>
      </w:pPr>
      <w:hyperlink w:anchor="_Toc50626719" w:history="1">
        <w:r w:rsidR="00814432" w:rsidRPr="0057546C">
          <w:rPr>
            <w:rStyle w:val="Hiperpovezava"/>
          </w:rPr>
          <w:t>Preglednica 3: Napredek v stopnji priključenosti na javno kanalizacijo</w:t>
        </w:r>
        <w:r w:rsidR="00814432" w:rsidRPr="00814432">
          <w:rPr>
            <w:rStyle w:val="Hiperpovezava"/>
            <w:webHidden/>
          </w:rPr>
          <w:tab/>
        </w:r>
        <w:r w:rsidR="00814432" w:rsidRPr="00814432">
          <w:rPr>
            <w:rStyle w:val="Hiperpovezava"/>
            <w:webHidden/>
          </w:rPr>
          <w:fldChar w:fldCharType="begin"/>
        </w:r>
        <w:r w:rsidR="00814432" w:rsidRPr="00814432">
          <w:rPr>
            <w:rStyle w:val="Hiperpovezava"/>
            <w:webHidden/>
          </w:rPr>
          <w:instrText xml:space="preserve"> PAGEREF _Toc50626719 \h </w:instrText>
        </w:r>
        <w:r w:rsidR="00814432" w:rsidRPr="00814432">
          <w:rPr>
            <w:rStyle w:val="Hiperpovezava"/>
            <w:webHidden/>
          </w:rPr>
        </w:r>
        <w:r w:rsidR="00814432" w:rsidRPr="00814432">
          <w:rPr>
            <w:rStyle w:val="Hiperpovezava"/>
            <w:webHidden/>
          </w:rPr>
          <w:fldChar w:fldCharType="separate"/>
        </w:r>
        <w:r w:rsidR="00CE7C73">
          <w:rPr>
            <w:rStyle w:val="Hiperpovezava"/>
            <w:webHidden/>
          </w:rPr>
          <w:t>34</w:t>
        </w:r>
        <w:r w:rsidR="00814432" w:rsidRPr="00814432">
          <w:rPr>
            <w:rStyle w:val="Hiperpovezava"/>
            <w:webHidden/>
          </w:rPr>
          <w:fldChar w:fldCharType="end"/>
        </w:r>
      </w:hyperlink>
    </w:p>
    <w:p w:rsidR="00814432" w:rsidRPr="00814432" w:rsidRDefault="003340A3" w:rsidP="00EF10DF">
      <w:pPr>
        <w:pStyle w:val="Kazalovsebine3"/>
        <w:rPr>
          <w:rStyle w:val="Hiperpovezava"/>
        </w:rPr>
      </w:pPr>
      <w:hyperlink w:anchor="_Toc50626720" w:history="1">
        <w:r w:rsidR="00814432" w:rsidRPr="0057546C">
          <w:rPr>
            <w:rStyle w:val="Hiperpovezava"/>
          </w:rPr>
          <w:t>Preglednica 4: Priključenost na javno kanalizacijo po velikostnih razredih aglomeracij iz pr</w:t>
        </w:r>
        <w:r w:rsidR="00866B34">
          <w:rPr>
            <w:rStyle w:val="Hiperpovezava"/>
          </w:rPr>
          <w:t>edhodnega operativnega programa</w:t>
        </w:r>
        <w:r w:rsidR="00814432" w:rsidRPr="00814432">
          <w:rPr>
            <w:rStyle w:val="Hiperpovezava"/>
            <w:webHidden/>
          </w:rPr>
          <w:tab/>
        </w:r>
        <w:r w:rsidR="00814432" w:rsidRPr="00814432">
          <w:rPr>
            <w:rStyle w:val="Hiperpovezava"/>
            <w:webHidden/>
          </w:rPr>
          <w:fldChar w:fldCharType="begin"/>
        </w:r>
        <w:r w:rsidR="00814432" w:rsidRPr="00814432">
          <w:rPr>
            <w:rStyle w:val="Hiperpovezava"/>
            <w:webHidden/>
          </w:rPr>
          <w:instrText xml:space="preserve"> PAGEREF _Toc50626720 \h </w:instrText>
        </w:r>
        <w:r w:rsidR="00814432" w:rsidRPr="00814432">
          <w:rPr>
            <w:rStyle w:val="Hiperpovezava"/>
            <w:webHidden/>
          </w:rPr>
        </w:r>
        <w:r w:rsidR="00814432" w:rsidRPr="00814432">
          <w:rPr>
            <w:rStyle w:val="Hiperpovezava"/>
            <w:webHidden/>
          </w:rPr>
          <w:fldChar w:fldCharType="separate"/>
        </w:r>
        <w:r w:rsidR="00CE7C73">
          <w:rPr>
            <w:rStyle w:val="Hiperpovezava"/>
            <w:webHidden/>
          </w:rPr>
          <w:t>35</w:t>
        </w:r>
        <w:r w:rsidR="00814432" w:rsidRPr="00814432">
          <w:rPr>
            <w:rStyle w:val="Hiperpovezava"/>
            <w:webHidden/>
          </w:rPr>
          <w:fldChar w:fldCharType="end"/>
        </w:r>
      </w:hyperlink>
    </w:p>
    <w:p w:rsidR="00814432" w:rsidRPr="00814432" w:rsidRDefault="003340A3" w:rsidP="00EF10DF">
      <w:pPr>
        <w:pStyle w:val="Kazalovsebine3"/>
        <w:rPr>
          <w:rStyle w:val="Hiperpovezava"/>
        </w:rPr>
      </w:pPr>
      <w:hyperlink w:anchor="_Toc50626721" w:history="1">
        <w:r w:rsidR="00814432" w:rsidRPr="0057546C">
          <w:rPr>
            <w:rStyle w:val="Hiperpovezava"/>
          </w:rPr>
          <w:t>Preglednica 5: Obremenitev po načinu izvajanja javne službe zunaj meja aglomeracij</w:t>
        </w:r>
        <w:r w:rsidR="00814432" w:rsidRPr="00814432">
          <w:rPr>
            <w:rStyle w:val="Hiperpovezava"/>
            <w:webHidden/>
          </w:rPr>
          <w:tab/>
        </w:r>
        <w:r w:rsidR="00814432" w:rsidRPr="00814432">
          <w:rPr>
            <w:rStyle w:val="Hiperpovezava"/>
            <w:webHidden/>
          </w:rPr>
          <w:fldChar w:fldCharType="begin"/>
        </w:r>
        <w:r w:rsidR="00814432" w:rsidRPr="00814432">
          <w:rPr>
            <w:rStyle w:val="Hiperpovezava"/>
            <w:webHidden/>
          </w:rPr>
          <w:instrText xml:space="preserve"> PAGEREF _Toc50626721 \h </w:instrText>
        </w:r>
        <w:r w:rsidR="00814432" w:rsidRPr="00814432">
          <w:rPr>
            <w:rStyle w:val="Hiperpovezava"/>
            <w:webHidden/>
          </w:rPr>
        </w:r>
        <w:r w:rsidR="00814432" w:rsidRPr="00814432">
          <w:rPr>
            <w:rStyle w:val="Hiperpovezava"/>
            <w:webHidden/>
          </w:rPr>
          <w:fldChar w:fldCharType="separate"/>
        </w:r>
        <w:r w:rsidR="00CE7C73">
          <w:rPr>
            <w:rStyle w:val="Hiperpovezava"/>
            <w:webHidden/>
          </w:rPr>
          <w:t>39</w:t>
        </w:r>
        <w:r w:rsidR="00814432" w:rsidRPr="00814432">
          <w:rPr>
            <w:rStyle w:val="Hiperpovezava"/>
            <w:webHidden/>
          </w:rPr>
          <w:fldChar w:fldCharType="end"/>
        </w:r>
      </w:hyperlink>
    </w:p>
    <w:p w:rsidR="00814432" w:rsidRPr="00814432" w:rsidRDefault="003340A3" w:rsidP="00EF10DF">
      <w:pPr>
        <w:pStyle w:val="Kazalovsebine3"/>
        <w:rPr>
          <w:rStyle w:val="Hiperpovezava"/>
        </w:rPr>
      </w:pPr>
      <w:hyperlink w:anchor="_Toc50626722" w:history="1">
        <w:r w:rsidR="00814432" w:rsidRPr="0057546C">
          <w:rPr>
            <w:rStyle w:val="Hiperpovezava"/>
          </w:rPr>
          <w:t>Preglednica 6: Investicijski izdatki in finančni viri za odvajanje in čiščenje komunalne odpadne vode v obdobju 2007–2019 (v mio EUR)</w:t>
        </w:r>
        <w:r w:rsidR="00814432" w:rsidRPr="00814432">
          <w:rPr>
            <w:rStyle w:val="Hiperpovezava"/>
            <w:webHidden/>
          </w:rPr>
          <w:tab/>
        </w:r>
        <w:r w:rsidR="00814432" w:rsidRPr="00814432">
          <w:rPr>
            <w:rStyle w:val="Hiperpovezava"/>
            <w:webHidden/>
          </w:rPr>
          <w:fldChar w:fldCharType="begin"/>
        </w:r>
        <w:r w:rsidR="00814432" w:rsidRPr="00814432">
          <w:rPr>
            <w:rStyle w:val="Hiperpovezava"/>
            <w:webHidden/>
          </w:rPr>
          <w:instrText xml:space="preserve"> PAGEREF _Toc50626722 \h </w:instrText>
        </w:r>
        <w:r w:rsidR="00814432" w:rsidRPr="00814432">
          <w:rPr>
            <w:rStyle w:val="Hiperpovezava"/>
            <w:webHidden/>
          </w:rPr>
        </w:r>
        <w:r w:rsidR="00814432" w:rsidRPr="00814432">
          <w:rPr>
            <w:rStyle w:val="Hiperpovezava"/>
            <w:webHidden/>
          </w:rPr>
          <w:fldChar w:fldCharType="separate"/>
        </w:r>
        <w:r w:rsidR="00CE7C73">
          <w:rPr>
            <w:rStyle w:val="Hiperpovezava"/>
            <w:webHidden/>
          </w:rPr>
          <w:t>40</w:t>
        </w:r>
        <w:r w:rsidR="00814432" w:rsidRPr="00814432">
          <w:rPr>
            <w:rStyle w:val="Hiperpovezava"/>
            <w:webHidden/>
          </w:rPr>
          <w:fldChar w:fldCharType="end"/>
        </w:r>
      </w:hyperlink>
    </w:p>
    <w:p w:rsidR="00814432" w:rsidRPr="00814432" w:rsidRDefault="003340A3" w:rsidP="00EF10DF">
      <w:pPr>
        <w:pStyle w:val="Kazalovsebine3"/>
        <w:rPr>
          <w:rStyle w:val="Hiperpovezava"/>
        </w:rPr>
      </w:pPr>
      <w:hyperlink w:anchor="_Toc50626723" w:history="1">
        <w:r w:rsidR="00814432" w:rsidRPr="0057546C">
          <w:rPr>
            <w:rStyle w:val="Hiperpovezava"/>
          </w:rPr>
          <w:t>Preglednica</w:t>
        </w:r>
        <w:r w:rsidR="00EF10DF">
          <w:rPr>
            <w:rStyle w:val="Hiperpovezava"/>
          </w:rPr>
          <w:t xml:space="preserve"> </w:t>
        </w:r>
        <w:r w:rsidR="00814432" w:rsidRPr="0057546C">
          <w:rPr>
            <w:rStyle w:val="Hiperpovezava"/>
          </w:rPr>
          <w:t>7: Spremembe aglomeracij glede na aglomeracije iz predhodnega operativnega progra</w:t>
        </w:r>
        <w:r w:rsidR="00EF10DF">
          <w:rPr>
            <w:rStyle w:val="Hiperpovezava"/>
            <w:webHidden/>
          </w:rPr>
          <w:t>ma</w:t>
        </w:r>
        <w:r w:rsidR="00EF10DF">
          <w:rPr>
            <w:rStyle w:val="Hiperpovezava"/>
            <w:webHidden/>
          </w:rPr>
          <w:tab/>
        </w:r>
        <w:r w:rsidR="00EF10DF">
          <w:rPr>
            <w:rStyle w:val="Hiperpovezava"/>
            <w:webHidden/>
          </w:rPr>
          <w:tab/>
        </w:r>
        <w:r w:rsidR="00814432" w:rsidRPr="00814432">
          <w:rPr>
            <w:rStyle w:val="Hiperpovezava"/>
            <w:webHidden/>
          </w:rPr>
          <w:fldChar w:fldCharType="begin"/>
        </w:r>
        <w:r w:rsidR="00814432" w:rsidRPr="00814432">
          <w:rPr>
            <w:rStyle w:val="Hiperpovezava"/>
            <w:webHidden/>
          </w:rPr>
          <w:instrText xml:space="preserve"> PAGEREF _Toc50626723 \h </w:instrText>
        </w:r>
        <w:r w:rsidR="00814432" w:rsidRPr="00814432">
          <w:rPr>
            <w:rStyle w:val="Hiperpovezava"/>
            <w:webHidden/>
          </w:rPr>
        </w:r>
        <w:r w:rsidR="00814432" w:rsidRPr="00814432">
          <w:rPr>
            <w:rStyle w:val="Hiperpovezava"/>
            <w:webHidden/>
          </w:rPr>
          <w:fldChar w:fldCharType="separate"/>
        </w:r>
        <w:r w:rsidR="00CE7C73">
          <w:rPr>
            <w:rStyle w:val="Hiperpovezava"/>
            <w:webHidden/>
          </w:rPr>
          <w:t>50</w:t>
        </w:r>
        <w:r w:rsidR="00814432" w:rsidRPr="00814432">
          <w:rPr>
            <w:rStyle w:val="Hiperpovezava"/>
            <w:webHidden/>
          </w:rPr>
          <w:fldChar w:fldCharType="end"/>
        </w:r>
      </w:hyperlink>
    </w:p>
    <w:p w:rsidR="00814432" w:rsidRPr="00814432" w:rsidRDefault="003340A3" w:rsidP="00EF10DF">
      <w:pPr>
        <w:pStyle w:val="Kazalovsebine3"/>
        <w:rPr>
          <w:rStyle w:val="Hiperpovezava"/>
        </w:rPr>
      </w:pPr>
      <w:hyperlink w:anchor="_Toc50626724" w:history="1">
        <w:r w:rsidR="00814432" w:rsidRPr="0057546C">
          <w:rPr>
            <w:rStyle w:val="Hiperpovezava"/>
          </w:rPr>
          <w:t>Preglednica 8: Ocena stopnje opremljenosti aglomeracij z javno kanalizacijo po velikostnih razredih aglomeracij</w:t>
        </w:r>
        <w:r w:rsidR="00EF10DF">
          <w:rPr>
            <w:rStyle w:val="Hiperpovezava"/>
            <w:webHidden/>
          </w:rPr>
          <w:tab/>
        </w:r>
        <w:r w:rsidR="00EF10DF">
          <w:rPr>
            <w:rStyle w:val="Hiperpovezava"/>
            <w:webHidden/>
          </w:rPr>
          <w:tab/>
        </w:r>
        <w:r w:rsidR="00814432" w:rsidRPr="00814432">
          <w:rPr>
            <w:rStyle w:val="Hiperpovezava"/>
            <w:webHidden/>
          </w:rPr>
          <w:fldChar w:fldCharType="begin"/>
        </w:r>
        <w:r w:rsidR="00814432" w:rsidRPr="00814432">
          <w:rPr>
            <w:rStyle w:val="Hiperpovezava"/>
            <w:webHidden/>
          </w:rPr>
          <w:instrText xml:space="preserve"> PAGEREF _Toc50626724 \h </w:instrText>
        </w:r>
        <w:r w:rsidR="00814432" w:rsidRPr="00814432">
          <w:rPr>
            <w:rStyle w:val="Hiperpovezava"/>
            <w:webHidden/>
          </w:rPr>
        </w:r>
        <w:r w:rsidR="00814432" w:rsidRPr="00814432">
          <w:rPr>
            <w:rStyle w:val="Hiperpovezava"/>
            <w:webHidden/>
          </w:rPr>
          <w:fldChar w:fldCharType="separate"/>
        </w:r>
        <w:r w:rsidR="00CE7C73">
          <w:rPr>
            <w:rStyle w:val="Hiperpovezava"/>
            <w:webHidden/>
          </w:rPr>
          <w:t>51</w:t>
        </w:r>
        <w:r w:rsidR="00814432" w:rsidRPr="00814432">
          <w:rPr>
            <w:rStyle w:val="Hiperpovezava"/>
            <w:webHidden/>
          </w:rPr>
          <w:fldChar w:fldCharType="end"/>
        </w:r>
      </w:hyperlink>
    </w:p>
    <w:p w:rsidR="00814432" w:rsidRPr="00814432" w:rsidRDefault="003340A3" w:rsidP="00EF10DF">
      <w:pPr>
        <w:pStyle w:val="Kazalovsebine3"/>
        <w:rPr>
          <w:rStyle w:val="Hiperpovezava"/>
        </w:rPr>
      </w:pPr>
      <w:hyperlink w:anchor="_Toc50626725" w:history="1">
        <w:r w:rsidR="00814432" w:rsidRPr="0057546C">
          <w:rPr>
            <w:rStyle w:val="Hiperpovezava"/>
          </w:rPr>
          <w:t>Preglednica 9: Ocena stopnje priključenosti na javno kanalizacijsko omrežje in komunalno čistilno napravo po velikostnih razredih aglomeracij glede na stalno prijavljene prebivalce</w:t>
        </w:r>
        <w:r w:rsidR="00814432" w:rsidRPr="00814432">
          <w:rPr>
            <w:rStyle w:val="Hiperpovezava"/>
            <w:webHidden/>
          </w:rPr>
          <w:tab/>
        </w:r>
        <w:r w:rsidR="00814432" w:rsidRPr="00814432">
          <w:rPr>
            <w:rStyle w:val="Hiperpovezava"/>
            <w:webHidden/>
          </w:rPr>
          <w:fldChar w:fldCharType="begin"/>
        </w:r>
        <w:r w:rsidR="00814432" w:rsidRPr="00814432">
          <w:rPr>
            <w:rStyle w:val="Hiperpovezava"/>
            <w:webHidden/>
          </w:rPr>
          <w:instrText xml:space="preserve"> PAGEREF _Toc50626725 \h </w:instrText>
        </w:r>
        <w:r w:rsidR="00814432" w:rsidRPr="00814432">
          <w:rPr>
            <w:rStyle w:val="Hiperpovezava"/>
            <w:webHidden/>
          </w:rPr>
        </w:r>
        <w:r w:rsidR="00814432" w:rsidRPr="00814432">
          <w:rPr>
            <w:rStyle w:val="Hiperpovezava"/>
            <w:webHidden/>
          </w:rPr>
          <w:fldChar w:fldCharType="separate"/>
        </w:r>
        <w:r w:rsidR="00CE7C73">
          <w:rPr>
            <w:rStyle w:val="Hiperpovezava"/>
            <w:webHidden/>
          </w:rPr>
          <w:t>52</w:t>
        </w:r>
        <w:r w:rsidR="00814432" w:rsidRPr="00814432">
          <w:rPr>
            <w:rStyle w:val="Hiperpovezava"/>
            <w:webHidden/>
          </w:rPr>
          <w:fldChar w:fldCharType="end"/>
        </w:r>
      </w:hyperlink>
    </w:p>
    <w:p w:rsidR="00814432" w:rsidRPr="00814432" w:rsidRDefault="003340A3" w:rsidP="00EF10DF">
      <w:pPr>
        <w:pStyle w:val="Kazalovsebine3"/>
        <w:rPr>
          <w:rStyle w:val="Hiperpovezava"/>
        </w:rPr>
      </w:pPr>
      <w:hyperlink w:anchor="_Toc50626726" w:history="1">
        <w:r w:rsidR="00814432" w:rsidRPr="0057546C">
          <w:rPr>
            <w:rStyle w:val="Hiperpovezava"/>
          </w:rPr>
          <w:t>Preglednica 10: Ocena stopnje priključenosti na javno kanalizacijo in komunalno čistilno napravo po velikostnih razredih aglomeracij glede na skupno obremenitev</w:t>
        </w:r>
        <w:r w:rsidR="00814432" w:rsidRPr="00814432">
          <w:rPr>
            <w:rStyle w:val="Hiperpovezava"/>
            <w:webHidden/>
          </w:rPr>
          <w:tab/>
        </w:r>
        <w:r w:rsidR="00814432" w:rsidRPr="00814432">
          <w:rPr>
            <w:rStyle w:val="Hiperpovezava"/>
            <w:webHidden/>
          </w:rPr>
          <w:fldChar w:fldCharType="begin"/>
        </w:r>
        <w:r w:rsidR="00814432" w:rsidRPr="00814432">
          <w:rPr>
            <w:rStyle w:val="Hiperpovezava"/>
            <w:webHidden/>
          </w:rPr>
          <w:instrText xml:space="preserve"> PAGEREF _Toc50626726 \h </w:instrText>
        </w:r>
        <w:r w:rsidR="00814432" w:rsidRPr="00814432">
          <w:rPr>
            <w:rStyle w:val="Hiperpovezava"/>
            <w:webHidden/>
          </w:rPr>
        </w:r>
        <w:r w:rsidR="00814432" w:rsidRPr="00814432">
          <w:rPr>
            <w:rStyle w:val="Hiperpovezava"/>
            <w:webHidden/>
          </w:rPr>
          <w:fldChar w:fldCharType="separate"/>
        </w:r>
        <w:r w:rsidR="00CE7C73">
          <w:rPr>
            <w:rStyle w:val="Hiperpovezava"/>
            <w:webHidden/>
          </w:rPr>
          <w:t>54</w:t>
        </w:r>
        <w:r w:rsidR="00814432" w:rsidRPr="00814432">
          <w:rPr>
            <w:rStyle w:val="Hiperpovezava"/>
            <w:webHidden/>
          </w:rPr>
          <w:fldChar w:fldCharType="end"/>
        </w:r>
      </w:hyperlink>
    </w:p>
    <w:p w:rsidR="00814432" w:rsidRPr="00814432" w:rsidRDefault="003340A3" w:rsidP="00EF10DF">
      <w:pPr>
        <w:pStyle w:val="Kazalovsebine3"/>
        <w:rPr>
          <w:rStyle w:val="Hiperpovezava"/>
        </w:rPr>
      </w:pPr>
      <w:hyperlink w:anchor="_Toc50626727" w:history="1">
        <w:r w:rsidR="00814432" w:rsidRPr="0057546C">
          <w:rPr>
            <w:rStyle w:val="Hiperpovezava"/>
          </w:rPr>
          <w:t>Preglednica 11: Skupna obremenitev po načinu izvajanja javne službe zunaj meja aglomeracij</w:t>
        </w:r>
        <w:r w:rsidR="00814432" w:rsidRPr="00814432">
          <w:rPr>
            <w:rStyle w:val="Hiperpovezava"/>
            <w:webHidden/>
          </w:rPr>
          <w:tab/>
        </w:r>
        <w:r w:rsidR="00814432" w:rsidRPr="00814432">
          <w:rPr>
            <w:rStyle w:val="Hiperpovezava"/>
            <w:webHidden/>
          </w:rPr>
          <w:fldChar w:fldCharType="begin"/>
        </w:r>
        <w:r w:rsidR="00814432" w:rsidRPr="00814432">
          <w:rPr>
            <w:rStyle w:val="Hiperpovezava"/>
            <w:webHidden/>
          </w:rPr>
          <w:instrText xml:space="preserve"> PAGEREF _Toc50626727 \h </w:instrText>
        </w:r>
        <w:r w:rsidR="00814432" w:rsidRPr="00814432">
          <w:rPr>
            <w:rStyle w:val="Hiperpovezava"/>
            <w:webHidden/>
          </w:rPr>
        </w:r>
        <w:r w:rsidR="00814432" w:rsidRPr="00814432">
          <w:rPr>
            <w:rStyle w:val="Hiperpovezava"/>
            <w:webHidden/>
          </w:rPr>
          <w:fldChar w:fldCharType="separate"/>
        </w:r>
        <w:r w:rsidR="00CE7C73">
          <w:rPr>
            <w:rStyle w:val="Hiperpovezava"/>
            <w:webHidden/>
          </w:rPr>
          <w:t>55</w:t>
        </w:r>
        <w:r w:rsidR="00814432" w:rsidRPr="00814432">
          <w:rPr>
            <w:rStyle w:val="Hiperpovezava"/>
            <w:webHidden/>
          </w:rPr>
          <w:fldChar w:fldCharType="end"/>
        </w:r>
      </w:hyperlink>
    </w:p>
    <w:p w:rsidR="00814432" w:rsidRPr="00814432" w:rsidRDefault="003340A3" w:rsidP="00EF10DF">
      <w:pPr>
        <w:pStyle w:val="Kazalovsebine3"/>
        <w:rPr>
          <w:rStyle w:val="Hiperpovezava"/>
        </w:rPr>
      </w:pPr>
      <w:hyperlink w:anchor="_Toc50626728" w:history="1">
        <w:r w:rsidR="00814432" w:rsidRPr="0057546C">
          <w:rPr>
            <w:rStyle w:val="Hiperpovezava"/>
          </w:rPr>
          <w:t>Preglednica 12: Zahteve komunalnih ali skupnih čistilnih naprav za zagotovitev terciarnega čiščenja z iztokom na občutljiva območja</w:t>
        </w:r>
        <w:r w:rsidR="00814432" w:rsidRPr="00814432">
          <w:rPr>
            <w:rStyle w:val="Hiperpovezava"/>
            <w:webHidden/>
          </w:rPr>
          <w:tab/>
        </w:r>
        <w:r w:rsidR="00814432" w:rsidRPr="00814432">
          <w:rPr>
            <w:rStyle w:val="Hiperpovezava"/>
            <w:webHidden/>
          </w:rPr>
          <w:fldChar w:fldCharType="begin"/>
        </w:r>
        <w:r w:rsidR="00814432" w:rsidRPr="00814432">
          <w:rPr>
            <w:rStyle w:val="Hiperpovezava"/>
            <w:webHidden/>
          </w:rPr>
          <w:instrText xml:space="preserve"> PAGEREF _Toc50626728 \h </w:instrText>
        </w:r>
        <w:r w:rsidR="00814432" w:rsidRPr="00814432">
          <w:rPr>
            <w:rStyle w:val="Hiperpovezava"/>
            <w:webHidden/>
          </w:rPr>
        </w:r>
        <w:r w:rsidR="00814432" w:rsidRPr="00814432">
          <w:rPr>
            <w:rStyle w:val="Hiperpovezava"/>
            <w:webHidden/>
          </w:rPr>
          <w:fldChar w:fldCharType="separate"/>
        </w:r>
        <w:r w:rsidR="00CE7C73">
          <w:rPr>
            <w:rStyle w:val="Hiperpovezava"/>
            <w:webHidden/>
          </w:rPr>
          <w:t>58</w:t>
        </w:r>
        <w:r w:rsidR="00814432" w:rsidRPr="00814432">
          <w:rPr>
            <w:rStyle w:val="Hiperpovezava"/>
            <w:webHidden/>
          </w:rPr>
          <w:fldChar w:fldCharType="end"/>
        </w:r>
      </w:hyperlink>
    </w:p>
    <w:p w:rsidR="00814432" w:rsidRPr="00814432" w:rsidRDefault="003340A3" w:rsidP="00EF10DF">
      <w:pPr>
        <w:pStyle w:val="Kazalovsebine3"/>
        <w:rPr>
          <w:rStyle w:val="Hiperpovezava"/>
        </w:rPr>
      </w:pPr>
      <w:hyperlink w:anchor="_Toc50626729" w:history="1">
        <w:r w:rsidR="00814432" w:rsidRPr="0057546C">
          <w:rPr>
            <w:rStyle w:val="Hiperpovezava"/>
          </w:rPr>
          <w:t>Preglednica 13: Zahteve komunalnih ali skupnih čistilnih naprav za zagotovitev terciarnega čiščenja z iztokom na vodnem območju Donava, ki ni občutljivo območje</w:t>
        </w:r>
        <w:r w:rsidR="00814432" w:rsidRPr="00814432">
          <w:rPr>
            <w:rStyle w:val="Hiperpovezava"/>
            <w:webHidden/>
          </w:rPr>
          <w:tab/>
        </w:r>
        <w:r w:rsidR="00814432" w:rsidRPr="00814432">
          <w:rPr>
            <w:rStyle w:val="Hiperpovezava"/>
            <w:webHidden/>
          </w:rPr>
          <w:fldChar w:fldCharType="begin"/>
        </w:r>
        <w:r w:rsidR="00814432" w:rsidRPr="00814432">
          <w:rPr>
            <w:rStyle w:val="Hiperpovezava"/>
            <w:webHidden/>
          </w:rPr>
          <w:instrText xml:space="preserve"> PAGEREF _Toc50626729 \h </w:instrText>
        </w:r>
        <w:r w:rsidR="00814432" w:rsidRPr="00814432">
          <w:rPr>
            <w:rStyle w:val="Hiperpovezava"/>
            <w:webHidden/>
          </w:rPr>
        </w:r>
        <w:r w:rsidR="00814432" w:rsidRPr="00814432">
          <w:rPr>
            <w:rStyle w:val="Hiperpovezava"/>
            <w:webHidden/>
          </w:rPr>
          <w:fldChar w:fldCharType="separate"/>
        </w:r>
        <w:r w:rsidR="00CE7C73">
          <w:rPr>
            <w:rStyle w:val="Hiperpovezava"/>
            <w:webHidden/>
          </w:rPr>
          <w:t>59</w:t>
        </w:r>
        <w:r w:rsidR="00814432" w:rsidRPr="00814432">
          <w:rPr>
            <w:rStyle w:val="Hiperpovezava"/>
            <w:webHidden/>
          </w:rPr>
          <w:fldChar w:fldCharType="end"/>
        </w:r>
      </w:hyperlink>
    </w:p>
    <w:p w:rsidR="00814432" w:rsidRPr="00814432" w:rsidRDefault="003340A3" w:rsidP="00EF10DF">
      <w:pPr>
        <w:pStyle w:val="Kazalovsebine3"/>
        <w:rPr>
          <w:rStyle w:val="Hiperpovezava"/>
        </w:rPr>
      </w:pPr>
      <w:hyperlink w:anchor="_Toc50626730" w:history="1">
        <w:r w:rsidR="00814432" w:rsidRPr="0057546C">
          <w:rPr>
            <w:rStyle w:val="Hiperpovezava"/>
          </w:rPr>
          <w:t>Preglednica 14: Zahteve komunalnih ali skupnih čistilnih naprav za zagotovitev dodatne obdelave na območju razpoklinskih vodonosnikov, vključno s kraškimi</w:t>
        </w:r>
        <w:r w:rsidR="00814432" w:rsidRPr="00814432">
          <w:rPr>
            <w:rStyle w:val="Hiperpovezava"/>
            <w:webHidden/>
          </w:rPr>
          <w:tab/>
        </w:r>
        <w:r w:rsidR="00814432" w:rsidRPr="00814432">
          <w:rPr>
            <w:rStyle w:val="Hiperpovezava"/>
            <w:webHidden/>
          </w:rPr>
          <w:fldChar w:fldCharType="begin"/>
        </w:r>
        <w:r w:rsidR="00814432" w:rsidRPr="00814432">
          <w:rPr>
            <w:rStyle w:val="Hiperpovezava"/>
            <w:webHidden/>
          </w:rPr>
          <w:instrText xml:space="preserve"> PAGEREF _Toc50626730 \h </w:instrText>
        </w:r>
        <w:r w:rsidR="00814432" w:rsidRPr="00814432">
          <w:rPr>
            <w:rStyle w:val="Hiperpovezava"/>
            <w:webHidden/>
          </w:rPr>
        </w:r>
        <w:r w:rsidR="00814432" w:rsidRPr="00814432">
          <w:rPr>
            <w:rStyle w:val="Hiperpovezava"/>
            <w:webHidden/>
          </w:rPr>
          <w:fldChar w:fldCharType="separate"/>
        </w:r>
        <w:r w:rsidR="00CE7C73">
          <w:rPr>
            <w:rStyle w:val="Hiperpovezava"/>
            <w:webHidden/>
          </w:rPr>
          <w:t>61</w:t>
        </w:r>
        <w:r w:rsidR="00814432" w:rsidRPr="00814432">
          <w:rPr>
            <w:rStyle w:val="Hiperpovezava"/>
            <w:webHidden/>
          </w:rPr>
          <w:fldChar w:fldCharType="end"/>
        </w:r>
      </w:hyperlink>
    </w:p>
    <w:p w:rsidR="00814432" w:rsidRPr="00814432" w:rsidRDefault="003340A3" w:rsidP="00EF10DF">
      <w:pPr>
        <w:pStyle w:val="Kazalovsebine3"/>
        <w:rPr>
          <w:rStyle w:val="Hiperpovezava"/>
        </w:rPr>
      </w:pPr>
      <w:hyperlink w:anchor="_Toc50626731" w:history="1">
        <w:r w:rsidR="00814432" w:rsidRPr="0057546C">
          <w:rPr>
            <w:rStyle w:val="Hiperpovezava"/>
          </w:rPr>
          <w:t>Preglednica 15</w:t>
        </w:r>
        <w:r w:rsidR="00814432" w:rsidRPr="00814432">
          <w:rPr>
            <w:rStyle w:val="Hiperpovezava"/>
          </w:rPr>
          <w:t xml:space="preserve">: </w:t>
        </w:r>
        <w:r w:rsidR="00814432" w:rsidRPr="0057546C">
          <w:rPr>
            <w:rStyle w:val="Hiperpovezava"/>
          </w:rPr>
          <w:t>Veljavne aglomeracije, ki so na podlagi preliminarne ocene skladnosti ocenjene kot neskladne s 3. členom Direktive 91/271/EGS</w:t>
        </w:r>
        <w:r w:rsidR="00814432" w:rsidRPr="00814432">
          <w:rPr>
            <w:rStyle w:val="Hiperpovezava"/>
            <w:webHidden/>
          </w:rPr>
          <w:tab/>
        </w:r>
        <w:r w:rsidR="00814432" w:rsidRPr="00814432">
          <w:rPr>
            <w:rStyle w:val="Hiperpovezava"/>
            <w:webHidden/>
          </w:rPr>
          <w:fldChar w:fldCharType="begin"/>
        </w:r>
        <w:r w:rsidR="00814432" w:rsidRPr="00814432">
          <w:rPr>
            <w:rStyle w:val="Hiperpovezava"/>
            <w:webHidden/>
          </w:rPr>
          <w:instrText xml:space="preserve"> PAGEREF _Toc50626731 \h </w:instrText>
        </w:r>
        <w:r w:rsidR="00814432" w:rsidRPr="00814432">
          <w:rPr>
            <w:rStyle w:val="Hiperpovezava"/>
            <w:webHidden/>
          </w:rPr>
        </w:r>
        <w:r w:rsidR="00814432" w:rsidRPr="00814432">
          <w:rPr>
            <w:rStyle w:val="Hiperpovezava"/>
            <w:webHidden/>
          </w:rPr>
          <w:fldChar w:fldCharType="separate"/>
        </w:r>
        <w:r w:rsidR="00CE7C73">
          <w:rPr>
            <w:rStyle w:val="Hiperpovezava"/>
            <w:webHidden/>
          </w:rPr>
          <w:t>62</w:t>
        </w:r>
        <w:r w:rsidR="00814432" w:rsidRPr="00814432">
          <w:rPr>
            <w:rStyle w:val="Hiperpovezava"/>
            <w:webHidden/>
          </w:rPr>
          <w:fldChar w:fldCharType="end"/>
        </w:r>
      </w:hyperlink>
    </w:p>
    <w:p w:rsidR="00814432" w:rsidRPr="00814432" w:rsidRDefault="003340A3" w:rsidP="00EF10DF">
      <w:pPr>
        <w:pStyle w:val="Kazalovsebine3"/>
        <w:rPr>
          <w:rStyle w:val="Hiperpovezava"/>
        </w:rPr>
      </w:pPr>
      <w:hyperlink w:anchor="_Toc50626732" w:history="1">
        <w:r w:rsidR="00814432" w:rsidRPr="0057546C">
          <w:rPr>
            <w:rStyle w:val="Hiperpovezava"/>
          </w:rPr>
          <w:t>Preglednica 16: Veljavne aglomeracije, ki so na podlagi preliminarne ocene skladnosti ocenjene kot neskladne s 4. in 5. členom Direktive 91/271/EGS</w:t>
        </w:r>
        <w:r w:rsidR="00814432" w:rsidRPr="00814432">
          <w:rPr>
            <w:rStyle w:val="Hiperpovezava"/>
            <w:webHidden/>
          </w:rPr>
          <w:tab/>
        </w:r>
        <w:r w:rsidR="00814432" w:rsidRPr="00814432">
          <w:rPr>
            <w:rStyle w:val="Hiperpovezava"/>
            <w:webHidden/>
          </w:rPr>
          <w:fldChar w:fldCharType="begin"/>
        </w:r>
        <w:r w:rsidR="00814432" w:rsidRPr="00814432">
          <w:rPr>
            <w:rStyle w:val="Hiperpovezava"/>
            <w:webHidden/>
          </w:rPr>
          <w:instrText xml:space="preserve"> PAGEREF _Toc50626732 \h </w:instrText>
        </w:r>
        <w:r w:rsidR="00814432" w:rsidRPr="00814432">
          <w:rPr>
            <w:rStyle w:val="Hiperpovezava"/>
            <w:webHidden/>
          </w:rPr>
        </w:r>
        <w:r w:rsidR="00814432" w:rsidRPr="00814432">
          <w:rPr>
            <w:rStyle w:val="Hiperpovezava"/>
            <w:webHidden/>
          </w:rPr>
          <w:fldChar w:fldCharType="separate"/>
        </w:r>
        <w:r w:rsidR="00CE7C73">
          <w:rPr>
            <w:rStyle w:val="Hiperpovezava"/>
            <w:webHidden/>
          </w:rPr>
          <w:t>63</w:t>
        </w:r>
        <w:r w:rsidR="00814432" w:rsidRPr="00814432">
          <w:rPr>
            <w:rStyle w:val="Hiperpovezava"/>
            <w:webHidden/>
          </w:rPr>
          <w:fldChar w:fldCharType="end"/>
        </w:r>
      </w:hyperlink>
    </w:p>
    <w:p w:rsidR="00814432" w:rsidRPr="00814432" w:rsidRDefault="003340A3" w:rsidP="00EF10DF">
      <w:pPr>
        <w:pStyle w:val="Kazalovsebine3"/>
        <w:rPr>
          <w:rStyle w:val="Hiperpovezava"/>
        </w:rPr>
      </w:pPr>
      <w:hyperlink w:anchor="_Toc50626733" w:history="1">
        <w:r w:rsidR="00814432" w:rsidRPr="0057546C">
          <w:rPr>
            <w:rStyle w:val="Hiperpovezava"/>
          </w:rPr>
          <w:t>Preglednica 17: Ocenjeni investicijski stroški za izvedbo operativnega programa po velikostnih razredih aglomeracij</w:t>
        </w:r>
        <w:r w:rsidR="00814432" w:rsidRPr="00814432">
          <w:rPr>
            <w:rStyle w:val="Hiperpovezava"/>
            <w:webHidden/>
          </w:rPr>
          <w:tab/>
        </w:r>
        <w:r w:rsidR="00814432" w:rsidRPr="00814432">
          <w:rPr>
            <w:rStyle w:val="Hiperpovezava"/>
            <w:webHidden/>
          </w:rPr>
          <w:fldChar w:fldCharType="begin"/>
        </w:r>
        <w:r w:rsidR="00814432" w:rsidRPr="00814432">
          <w:rPr>
            <w:rStyle w:val="Hiperpovezava"/>
            <w:webHidden/>
          </w:rPr>
          <w:instrText xml:space="preserve"> PAGEREF _Toc50626733 \h </w:instrText>
        </w:r>
        <w:r w:rsidR="00814432" w:rsidRPr="00814432">
          <w:rPr>
            <w:rStyle w:val="Hiperpovezava"/>
            <w:webHidden/>
          </w:rPr>
        </w:r>
        <w:r w:rsidR="00814432" w:rsidRPr="00814432">
          <w:rPr>
            <w:rStyle w:val="Hiperpovezava"/>
            <w:webHidden/>
          </w:rPr>
          <w:fldChar w:fldCharType="separate"/>
        </w:r>
        <w:r w:rsidR="00CE7C73">
          <w:rPr>
            <w:rStyle w:val="Hiperpovezava"/>
            <w:webHidden/>
          </w:rPr>
          <w:t>68</w:t>
        </w:r>
        <w:r w:rsidR="00814432" w:rsidRPr="00814432">
          <w:rPr>
            <w:rStyle w:val="Hiperpovezava"/>
            <w:webHidden/>
          </w:rPr>
          <w:fldChar w:fldCharType="end"/>
        </w:r>
      </w:hyperlink>
    </w:p>
    <w:p w:rsidR="00814432" w:rsidRPr="00814432" w:rsidRDefault="003340A3" w:rsidP="00EF10DF">
      <w:pPr>
        <w:pStyle w:val="Kazalovsebine3"/>
        <w:rPr>
          <w:rStyle w:val="Hiperpovezava"/>
        </w:rPr>
      </w:pPr>
      <w:hyperlink w:anchor="_Toc50626734" w:history="1">
        <w:r w:rsidR="00814432" w:rsidRPr="0057546C">
          <w:rPr>
            <w:rStyle w:val="Hiperpovezava"/>
          </w:rPr>
          <w:t>Preglednica 18: Ocenjeni investicijski stroški za nadgradnjo čistilnih naprav</w:t>
        </w:r>
        <w:r w:rsidR="00814432" w:rsidRPr="00814432">
          <w:rPr>
            <w:rStyle w:val="Hiperpovezava"/>
            <w:webHidden/>
          </w:rPr>
          <w:tab/>
        </w:r>
        <w:r w:rsidR="00814432" w:rsidRPr="00814432">
          <w:rPr>
            <w:rStyle w:val="Hiperpovezava"/>
            <w:webHidden/>
          </w:rPr>
          <w:fldChar w:fldCharType="begin"/>
        </w:r>
        <w:r w:rsidR="00814432" w:rsidRPr="00814432">
          <w:rPr>
            <w:rStyle w:val="Hiperpovezava"/>
            <w:webHidden/>
          </w:rPr>
          <w:instrText xml:space="preserve"> PAGEREF _Toc50626734 \h </w:instrText>
        </w:r>
        <w:r w:rsidR="00814432" w:rsidRPr="00814432">
          <w:rPr>
            <w:rStyle w:val="Hiperpovezava"/>
            <w:webHidden/>
          </w:rPr>
        </w:r>
        <w:r w:rsidR="00814432" w:rsidRPr="00814432">
          <w:rPr>
            <w:rStyle w:val="Hiperpovezava"/>
            <w:webHidden/>
          </w:rPr>
          <w:fldChar w:fldCharType="separate"/>
        </w:r>
        <w:r w:rsidR="00CE7C73">
          <w:rPr>
            <w:rStyle w:val="Hiperpovezava"/>
            <w:webHidden/>
          </w:rPr>
          <w:t>69</w:t>
        </w:r>
        <w:r w:rsidR="00814432" w:rsidRPr="00814432">
          <w:rPr>
            <w:rStyle w:val="Hiperpovezava"/>
            <w:webHidden/>
          </w:rPr>
          <w:fldChar w:fldCharType="end"/>
        </w:r>
      </w:hyperlink>
    </w:p>
    <w:p w:rsidR="00814432" w:rsidRPr="00814432" w:rsidRDefault="003340A3" w:rsidP="00EF10DF">
      <w:pPr>
        <w:pStyle w:val="Kazalovsebine3"/>
        <w:rPr>
          <w:rStyle w:val="Hiperpovezava"/>
        </w:rPr>
      </w:pPr>
      <w:hyperlink w:anchor="_Toc50626735" w:history="1">
        <w:r w:rsidR="00814432" w:rsidRPr="0057546C">
          <w:rPr>
            <w:rStyle w:val="Hiperpovezava"/>
          </w:rPr>
          <w:t>Preglednica 19: Ocenjeni investicijski stroški za izvedbo operativnega programa po statističnih regija</w:t>
        </w:r>
        <w:r w:rsidR="00EF10DF">
          <w:rPr>
            <w:rStyle w:val="Hiperpovezava"/>
          </w:rPr>
          <w:tab/>
        </w:r>
        <w:r w:rsidR="00814432" w:rsidRPr="00814432">
          <w:rPr>
            <w:rStyle w:val="Hiperpovezava"/>
            <w:webHidden/>
          </w:rPr>
          <w:fldChar w:fldCharType="begin"/>
        </w:r>
        <w:r w:rsidR="00814432" w:rsidRPr="00814432">
          <w:rPr>
            <w:rStyle w:val="Hiperpovezava"/>
            <w:webHidden/>
          </w:rPr>
          <w:instrText xml:space="preserve"> PAGEREF _Toc50626735 \h </w:instrText>
        </w:r>
        <w:r w:rsidR="00814432" w:rsidRPr="00814432">
          <w:rPr>
            <w:rStyle w:val="Hiperpovezava"/>
            <w:webHidden/>
          </w:rPr>
        </w:r>
        <w:r w:rsidR="00814432" w:rsidRPr="00814432">
          <w:rPr>
            <w:rStyle w:val="Hiperpovezava"/>
            <w:webHidden/>
          </w:rPr>
          <w:fldChar w:fldCharType="separate"/>
        </w:r>
        <w:r w:rsidR="00CE7C73">
          <w:rPr>
            <w:rStyle w:val="Hiperpovezava"/>
            <w:webHidden/>
          </w:rPr>
          <w:t>69</w:t>
        </w:r>
        <w:r w:rsidR="00814432" w:rsidRPr="00814432">
          <w:rPr>
            <w:rStyle w:val="Hiperpovezava"/>
            <w:webHidden/>
          </w:rPr>
          <w:fldChar w:fldCharType="end"/>
        </w:r>
      </w:hyperlink>
    </w:p>
    <w:p w:rsidR="00814432" w:rsidRPr="00814432" w:rsidRDefault="003340A3" w:rsidP="00EF10DF">
      <w:pPr>
        <w:pStyle w:val="Kazalovsebine3"/>
        <w:rPr>
          <w:rStyle w:val="Hiperpovezava"/>
        </w:rPr>
      </w:pPr>
      <w:hyperlink w:anchor="_Toc50626736" w:history="1">
        <w:r w:rsidR="00814432" w:rsidRPr="0057546C">
          <w:rPr>
            <w:rStyle w:val="Hiperpovezava"/>
          </w:rPr>
          <w:t>Preglednica 20: Struktura in predvideni obseg potrebnih finančnih sredstev za izvedbo ukrepov v aglomeracijah v naslednjih osmih letih</w:t>
        </w:r>
        <w:r w:rsidR="00814432" w:rsidRPr="00814432">
          <w:rPr>
            <w:rStyle w:val="Hiperpovezava"/>
            <w:webHidden/>
          </w:rPr>
          <w:tab/>
        </w:r>
        <w:r w:rsidR="00814432" w:rsidRPr="00814432">
          <w:rPr>
            <w:rStyle w:val="Hiperpovezava"/>
            <w:webHidden/>
          </w:rPr>
          <w:fldChar w:fldCharType="begin"/>
        </w:r>
        <w:r w:rsidR="00814432" w:rsidRPr="00814432">
          <w:rPr>
            <w:rStyle w:val="Hiperpovezava"/>
            <w:webHidden/>
          </w:rPr>
          <w:instrText xml:space="preserve"> PAGEREF _Toc50626736 \h </w:instrText>
        </w:r>
        <w:r w:rsidR="00814432" w:rsidRPr="00814432">
          <w:rPr>
            <w:rStyle w:val="Hiperpovezava"/>
            <w:webHidden/>
          </w:rPr>
        </w:r>
        <w:r w:rsidR="00814432" w:rsidRPr="00814432">
          <w:rPr>
            <w:rStyle w:val="Hiperpovezava"/>
            <w:webHidden/>
          </w:rPr>
          <w:fldChar w:fldCharType="separate"/>
        </w:r>
        <w:r w:rsidR="00CE7C73">
          <w:rPr>
            <w:rStyle w:val="Hiperpovezava"/>
            <w:webHidden/>
          </w:rPr>
          <w:t>77</w:t>
        </w:r>
        <w:r w:rsidR="00814432" w:rsidRPr="00814432">
          <w:rPr>
            <w:rStyle w:val="Hiperpovezava"/>
            <w:webHidden/>
          </w:rPr>
          <w:fldChar w:fldCharType="end"/>
        </w:r>
      </w:hyperlink>
    </w:p>
    <w:p w:rsidR="00D774EB" w:rsidRPr="00B148B1" w:rsidRDefault="00D774EB" w:rsidP="00EF10DF">
      <w:pPr>
        <w:pStyle w:val="Kazalovsebine3"/>
        <w:rPr>
          <w:rStyle w:val="Hiperpovezava"/>
        </w:rPr>
      </w:pPr>
      <w:r w:rsidRPr="00B148B1">
        <w:rPr>
          <w:rStyle w:val="Hiperpovezava"/>
        </w:rPr>
        <w:fldChar w:fldCharType="end"/>
      </w:r>
      <w:bookmarkStart w:id="0" w:name="_GoBack"/>
      <w:bookmarkEnd w:id="0"/>
    </w:p>
    <w:p w:rsidR="00D036B3" w:rsidRPr="00B148B1" w:rsidRDefault="00D036B3" w:rsidP="00053555">
      <w:pPr>
        <w:spacing w:before="240" w:line="360" w:lineRule="atLeast"/>
        <w:rPr>
          <w:rFonts w:cs="Arial"/>
          <w:b/>
          <w:sz w:val="28"/>
          <w:szCs w:val="28"/>
        </w:rPr>
      </w:pPr>
    </w:p>
    <w:p w:rsidR="00D774EB" w:rsidRPr="00B148B1" w:rsidRDefault="00D774EB" w:rsidP="00053555">
      <w:pPr>
        <w:spacing w:before="240" w:line="360" w:lineRule="atLeast"/>
        <w:rPr>
          <w:rFonts w:cs="Arial"/>
          <w:b/>
          <w:sz w:val="28"/>
          <w:szCs w:val="28"/>
        </w:rPr>
      </w:pPr>
      <w:r w:rsidRPr="00B148B1">
        <w:rPr>
          <w:rFonts w:cs="Arial"/>
          <w:b/>
          <w:sz w:val="28"/>
          <w:szCs w:val="28"/>
        </w:rPr>
        <w:lastRenderedPageBreak/>
        <w:t>KAZALO SLIK:</w:t>
      </w:r>
    </w:p>
    <w:p w:rsidR="00AE4F63" w:rsidRPr="00B148B1" w:rsidRDefault="00AE4F63" w:rsidP="00053555">
      <w:pPr>
        <w:pStyle w:val="Kazalovsebine2"/>
        <w:rPr>
          <w:rStyle w:val="Hiperpovezava"/>
          <w:noProof/>
        </w:rPr>
      </w:pPr>
    </w:p>
    <w:p w:rsidR="004B4484" w:rsidRPr="00B148B1" w:rsidRDefault="00D774EB" w:rsidP="00EF10DF">
      <w:pPr>
        <w:pStyle w:val="Kazalovsebine3"/>
        <w:rPr>
          <w:rStyle w:val="Hiperpovezava"/>
        </w:rPr>
      </w:pPr>
      <w:r w:rsidRPr="00B148B1">
        <w:rPr>
          <w:rStyle w:val="Hiperpovezava"/>
        </w:rPr>
        <w:fldChar w:fldCharType="begin"/>
      </w:r>
      <w:r w:rsidRPr="00B148B1">
        <w:rPr>
          <w:rStyle w:val="Hiperpovezava"/>
        </w:rPr>
        <w:instrText xml:space="preserve"> TOC \h \z \c "Slika" </w:instrText>
      </w:r>
      <w:r w:rsidRPr="00B148B1">
        <w:rPr>
          <w:rStyle w:val="Hiperpovezava"/>
        </w:rPr>
        <w:fldChar w:fldCharType="separate"/>
      </w:r>
      <w:hyperlink w:anchor="_Toc45777403" w:history="1">
        <w:r w:rsidR="004B4484" w:rsidRPr="00B148B1">
          <w:rPr>
            <w:rStyle w:val="Hiperpovezava"/>
          </w:rPr>
          <w:t>Slika 1: Koraki določitve veljavnih aglomeracij</w:t>
        </w:r>
        <w:r w:rsidR="004B4484" w:rsidRPr="00B148B1">
          <w:rPr>
            <w:rStyle w:val="Hiperpovezava"/>
            <w:webHidden/>
          </w:rPr>
          <w:tab/>
        </w:r>
        <w:r w:rsidR="004B4484" w:rsidRPr="00B148B1">
          <w:rPr>
            <w:rStyle w:val="Hiperpovezava"/>
            <w:webHidden/>
          </w:rPr>
          <w:fldChar w:fldCharType="begin"/>
        </w:r>
        <w:r w:rsidR="004B4484" w:rsidRPr="00B148B1">
          <w:rPr>
            <w:rStyle w:val="Hiperpovezava"/>
            <w:webHidden/>
          </w:rPr>
          <w:instrText xml:space="preserve"> PAGEREF _Toc45777403 \h </w:instrText>
        </w:r>
        <w:r w:rsidR="004B4484" w:rsidRPr="00B148B1">
          <w:rPr>
            <w:rStyle w:val="Hiperpovezava"/>
            <w:webHidden/>
          </w:rPr>
        </w:r>
        <w:r w:rsidR="004B4484" w:rsidRPr="00B148B1">
          <w:rPr>
            <w:rStyle w:val="Hiperpovezava"/>
            <w:webHidden/>
          </w:rPr>
          <w:fldChar w:fldCharType="separate"/>
        </w:r>
        <w:r w:rsidR="00CE7C73">
          <w:rPr>
            <w:rStyle w:val="Hiperpovezava"/>
            <w:webHidden/>
          </w:rPr>
          <w:t>46</w:t>
        </w:r>
        <w:r w:rsidR="004B4484" w:rsidRPr="00B148B1">
          <w:rPr>
            <w:rStyle w:val="Hiperpovezava"/>
            <w:webHidden/>
          </w:rPr>
          <w:fldChar w:fldCharType="end"/>
        </w:r>
      </w:hyperlink>
    </w:p>
    <w:p w:rsidR="004B4484" w:rsidRPr="00B148B1" w:rsidRDefault="003340A3" w:rsidP="00EF10DF">
      <w:pPr>
        <w:pStyle w:val="Kazalovsebine3"/>
        <w:rPr>
          <w:rStyle w:val="Hiperpovezava"/>
        </w:rPr>
      </w:pPr>
      <w:hyperlink w:anchor="_Toc45777404" w:history="1">
        <w:r w:rsidR="004B4484" w:rsidRPr="00B148B1">
          <w:rPr>
            <w:rStyle w:val="Hiperpovezava"/>
          </w:rPr>
          <w:t>Slika 2: Delovanje sklada InvestEU</w:t>
        </w:r>
        <w:r w:rsidR="004B4484" w:rsidRPr="00B148B1">
          <w:rPr>
            <w:rStyle w:val="Hiperpovezava"/>
            <w:webHidden/>
          </w:rPr>
          <w:tab/>
        </w:r>
        <w:r w:rsidR="004B4484" w:rsidRPr="00B148B1">
          <w:rPr>
            <w:rStyle w:val="Hiperpovezava"/>
            <w:webHidden/>
          </w:rPr>
          <w:fldChar w:fldCharType="begin"/>
        </w:r>
        <w:r w:rsidR="004B4484" w:rsidRPr="00B148B1">
          <w:rPr>
            <w:rStyle w:val="Hiperpovezava"/>
            <w:webHidden/>
          </w:rPr>
          <w:instrText xml:space="preserve"> PAGEREF _Toc45777404 \h </w:instrText>
        </w:r>
        <w:r w:rsidR="004B4484" w:rsidRPr="00B148B1">
          <w:rPr>
            <w:rStyle w:val="Hiperpovezava"/>
            <w:webHidden/>
          </w:rPr>
        </w:r>
        <w:r w:rsidR="004B4484" w:rsidRPr="00B148B1">
          <w:rPr>
            <w:rStyle w:val="Hiperpovezava"/>
            <w:webHidden/>
          </w:rPr>
          <w:fldChar w:fldCharType="separate"/>
        </w:r>
        <w:r w:rsidR="00CE7C73">
          <w:rPr>
            <w:rStyle w:val="Hiperpovezava"/>
            <w:webHidden/>
          </w:rPr>
          <w:t>71</w:t>
        </w:r>
        <w:r w:rsidR="004B4484" w:rsidRPr="00B148B1">
          <w:rPr>
            <w:rStyle w:val="Hiperpovezava"/>
            <w:webHidden/>
          </w:rPr>
          <w:fldChar w:fldCharType="end"/>
        </w:r>
      </w:hyperlink>
    </w:p>
    <w:p w:rsidR="00D774EB" w:rsidRPr="00B148B1" w:rsidRDefault="00D774EB" w:rsidP="00EF10DF">
      <w:pPr>
        <w:pStyle w:val="Kazalovsebine3"/>
        <w:rPr>
          <w:rStyle w:val="Hiperpovezava"/>
        </w:rPr>
      </w:pPr>
      <w:r w:rsidRPr="00B148B1">
        <w:rPr>
          <w:rStyle w:val="Hiperpovezava"/>
        </w:rPr>
        <w:fldChar w:fldCharType="end"/>
      </w:r>
    </w:p>
    <w:p w:rsidR="00D774EB" w:rsidRPr="00B148B1" w:rsidRDefault="00D774EB" w:rsidP="00053555">
      <w:pPr>
        <w:spacing w:before="240" w:line="360" w:lineRule="atLeast"/>
        <w:rPr>
          <w:rFonts w:cs="Arial"/>
          <w:b/>
          <w:sz w:val="28"/>
          <w:szCs w:val="28"/>
        </w:rPr>
      </w:pPr>
      <w:r w:rsidRPr="00B148B1">
        <w:rPr>
          <w:rFonts w:cs="Arial"/>
          <w:b/>
          <w:sz w:val="28"/>
          <w:szCs w:val="28"/>
        </w:rPr>
        <w:t>KAZALO GRAFIKONOV:</w:t>
      </w:r>
    </w:p>
    <w:p w:rsidR="00AE4F63" w:rsidRPr="00B148B1" w:rsidRDefault="00AE4F63" w:rsidP="00EF10DF">
      <w:pPr>
        <w:pStyle w:val="Kazalovsebine3"/>
      </w:pPr>
    </w:p>
    <w:p w:rsidR="00866B34" w:rsidRPr="00866B34" w:rsidRDefault="00D774EB" w:rsidP="00866B34">
      <w:pPr>
        <w:pStyle w:val="Kazalovsebine3"/>
        <w:rPr>
          <w:rStyle w:val="Hiperpovezava"/>
        </w:rPr>
      </w:pPr>
      <w:r w:rsidRPr="00B148B1">
        <w:rPr>
          <w:rStyle w:val="Hiperpovezava"/>
        </w:rPr>
        <w:fldChar w:fldCharType="begin"/>
      </w:r>
      <w:r w:rsidRPr="00B148B1">
        <w:rPr>
          <w:rStyle w:val="Hiperpovezava"/>
        </w:rPr>
        <w:instrText xml:space="preserve"> TOC \h \z \c "Grafikon" </w:instrText>
      </w:r>
      <w:r w:rsidRPr="00B148B1">
        <w:rPr>
          <w:rStyle w:val="Hiperpovezava"/>
        </w:rPr>
        <w:fldChar w:fldCharType="separate"/>
      </w:r>
      <w:hyperlink w:anchor="_Toc50627608" w:history="1">
        <w:r w:rsidR="00866B34" w:rsidRPr="00813493">
          <w:rPr>
            <w:rStyle w:val="Hiperpovezava"/>
          </w:rPr>
          <w:t>Grafikon 1: Investicijski izdatki za odvajanje in čiščenje komunalne odpadne vode po posameznih letih v obdobju od 2007 do 2019 (v mio EUR)</w:t>
        </w:r>
        <w:r w:rsidR="00866B34" w:rsidRPr="00866B34">
          <w:rPr>
            <w:rStyle w:val="Hiperpovezava"/>
            <w:webHidden/>
          </w:rPr>
          <w:tab/>
        </w:r>
        <w:r w:rsidR="00866B34" w:rsidRPr="00866B34">
          <w:rPr>
            <w:rStyle w:val="Hiperpovezava"/>
            <w:webHidden/>
          </w:rPr>
          <w:fldChar w:fldCharType="begin"/>
        </w:r>
        <w:r w:rsidR="00866B34" w:rsidRPr="00866B34">
          <w:rPr>
            <w:rStyle w:val="Hiperpovezava"/>
            <w:webHidden/>
          </w:rPr>
          <w:instrText xml:space="preserve"> PAGEREF _Toc50627608 \h </w:instrText>
        </w:r>
        <w:r w:rsidR="00866B34" w:rsidRPr="00866B34">
          <w:rPr>
            <w:rStyle w:val="Hiperpovezava"/>
            <w:webHidden/>
          </w:rPr>
        </w:r>
        <w:r w:rsidR="00866B34" w:rsidRPr="00866B34">
          <w:rPr>
            <w:rStyle w:val="Hiperpovezava"/>
            <w:webHidden/>
          </w:rPr>
          <w:fldChar w:fldCharType="separate"/>
        </w:r>
        <w:r w:rsidR="00CE7C73">
          <w:rPr>
            <w:rStyle w:val="Hiperpovezava"/>
            <w:webHidden/>
          </w:rPr>
          <w:t>41</w:t>
        </w:r>
        <w:r w:rsidR="00866B34" w:rsidRPr="00866B34">
          <w:rPr>
            <w:rStyle w:val="Hiperpovezava"/>
            <w:webHidden/>
          </w:rPr>
          <w:fldChar w:fldCharType="end"/>
        </w:r>
      </w:hyperlink>
    </w:p>
    <w:p w:rsidR="00866B34" w:rsidRPr="00866B34" w:rsidRDefault="003340A3" w:rsidP="00866B34">
      <w:pPr>
        <w:pStyle w:val="Kazalovsebine3"/>
        <w:rPr>
          <w:rStyle w:val="Hiperpovezava"/>
        </w:rPr>
      </w:pPr>
      <w:hyperlink w:anchor="_Toc50627609" w:history="1">
        <w:r w:rsidR="00866B34" w:rsidRPr="00813493">
          <w:rPr>
            <w:rStyle w:val="Hiperpovezava"/>
          </w:rPr>
          <w:t>Grafikon 2: Struktura finančnih virov investicijskih izdatkov za odvajanje in čiščenje komunalne odpadne vode v obdobju od 2007 do 2019</w:t>
        </w:r>
        <w:r w:rsidR="00866B34" w:rsidRPr="00866B34">
          <w:rPr>
            <w:rStyle w:val="Hiperpovezava"/>
            <w:webHidden/>
          </w:rPr>
          <w:tab/>
        </w:r>
        <w:r w:rsidR="00866B34" w:rsidRPr="00866B34">
          <w:rPr>
            <w:rStyle w:val="Hiperpovezava"/>
            <w:webHidden/>
          </w:rPr>
          <w:fldChar w:fldCharType="begin"/>
        </w:r>
        <w:r w:rsidR="00866B34" w:rsidRPr="00866B34">
          <w:rPr>
            <w:rStyle w:val="Hiperpovezava"/>
            <w:webHidden/>
          </w:rPr>
          <w:instrText xml:space="preserve"> PAGEREF _Toc50627609 \h </w:instrText>
        </w:r>
        <w:r w:rsidR="00866B34" w:rsidRPr="00866B34">
          <w:rPr>
            <w:rStyle w:val="Hiperpovezava"/>
            <w:webHidden/>
          </w:rPr>
        </w:r>
        <w:r w:rsidR="00866B34" w:rsidRPr="00866B34">
          <w:rPr>
            <w:rStyle w:val="Hiperpovezava"/>
            <w:webHidden/>
          </w:rPr>
          <w:fldChar w:fldCharType="separate"/>
        </w:r>
        <w:r w:rsidR="00CE7C73">
          <w:rPr>
            <w:rStyle w:val="Hiperpovezava"/>
            <w:webHidden/>
          </w:rPr>
          <w:t>41</w:t>
        </w:r>
        <w:r w:rsidR="00866B34" w:rsidRPr="00866B34">
          <w:rPr>
            <w:rStyle w:val="Hiperpovezava"/>
            <w:webHidden/>
          </w:rPr>
          <w:fldChar w:fldCharType="end"/>
        </w:r>
      </w:hyperlink>
    </w:p>
    <w:p w:rsidR="00866B34" w:rsidRPr="00866B34" w:rsidRDefault="003340A3" w:rsidP="00866B34">
      <w:pPr>
        <w:pStyle w:val="Kazalovsebine3"/>
        <w:rPr>
          <w:rStyle w:val="Hiperpovezava"/>
        </w:rPr>
      </w:pPr>
      <w:hyperlink w:anchor="_Toc50627610" w:history="1">
        <w:r w:rsidR="00866B34" w:rsidRPr="00813493">
          <w:rPr>
            <w:rStyle w:val="Hiperpovezava"/>
          </w:rPr>
          <w:t>Grafikon 3: Gibanje prihodkov iz naslova okoljske dajatve za onesnaževanje okolja zaradi odvajanja odpadnih voda po občinah v obdobju 2007</w:t>
        </w:r>
        <w:r w:rsidR="00866B34" w:rsidRPr="00866B34">
          <w:rPr>
            <w:rStyle w:val="Hiperpovezava"/>
          </w:rPr>
          <w:t>–</w:t>
        </w:r>
        <w:r w:rsidR="00866B34" w:rsidRPr="00813493">
          <w:rPr>
            <w:rStyle w:val="Hiperpovezava"/>
          </w:rPr>
          <w:t>2019</w:t>
        </w:r>
        <w:r w:rsidR="00866B34" w:rsidRPr="00866B34">
          <w:rPr>
            <w:rStyle w:val="Hiperpovezava"/>
            <w:webHidden/>
          </w:rPr>
          <w:tab/>
        </w:r>
        <w:r w:rsidR="00866B34" w:rsidRPr="00866B34">
          <w:rPr>
            <w:rStyle w:val="Hiperpovezava"/>
            <w:webHidden/>
          </w:rPr>
          <w:fldChar w:fldCharType="begin"/>
        </w:r>
        <w:r w:rsidR="00866B34" w:rsidRPr="00866B34">
          <w:rPr>
            <w:rStyle w:val="Hiperpovezava"/>
            <w:webHidden/>
          </w:rPr>
          <w:instrText xml:space="preserve"> PAGEREF _Toc50627610 \h </w:instrText>
        </w:r>
        <w:r w:rsidR="00866B34" w:rsidRPr="00866B34">
          <w:rPr>
            <w:rStyle w:val="Hiperpovezava"/>
            <w:webHidden/>
          </w:rPr>
        </w:r>
        <w:r w:rsidR="00866B34" w:rsidRPr="00866B34">
          <w:rPr>
            <w:rStyle w:val="Hiperpovezava"/>
            <w:webHidden/>
          </w:rPr>
          <w:fldChar w:fldCharType="separate"/>
        </w:r>
        <w:r w:rsidR="00CE7C73">
          <w:rPr>
            <w:rStyle w:val="Hiperpovezava"/>
            <w:webHidden/>
          </w:rPr>
          <w:t>73</w:t>
        </w:r>
        <w:r w:rsidR="00866B34" w:rsidRPr="00866B34">
          <w:rPr>
            <w:rStyle w:val="Hiperpovezava"/>
            <w:webHidden/>
          </w:rPr>
          <w:fldChar w:fldCharType="end"/>
        </w:r>
      </w:hyperlink>
    </w:p>
    <w:p w:rsidR="00866B34" w:rsidRPr="00866B34" w:rsidRDefault="003340A3" w:rsidP="00866B34">
      <w:pPr>
        <w:pStyle w:val="Kazalovsebine3"/>
        <w:rPr>
          <w:rStyle w:val="Hiperpovezava"/>
        </w:rPr>
      </w:pPr>
      <w:hyperlink w:anchor="_Toc50627611" w:history="1">
        <w:r w:rsidR="00866B34" w:rsidRPr="00813493">
          <w:rPr>
            <w:rStyle w:val="Hiperpovezava"/>
          </w:rPr>
          <w:t>Grafikon 4: Prihodki iz naslova komunalnega prispevka po občinah v obdobju 2007</w:t>
        </w:r>
        <w:r w:rsidR="00866B34" w:rsidRPr="00866B34">
          <w:rPr>
            <w:rStyle w:val="Hiperpovezava"/>
          </w:rPr>
          <w:t>–</w:t>
        </w:r>
        <w:r w:rsidR="00866B34" w:rsidRPr="00813493">
          <w:rPr>
            <w:rStyle w:val="Hiperpovezava"/>
          </w:rPr>
          <w:t>2019</w:t>
        </w:r>
        <w:r w:rsidR="00866B34" w:rsidRPr="00866B34">
          <w:rPr>
            <w:rStyle w:val="Hiperpovezava"/>
            <w:webHidden/>
          </w:rPr>
          <w:tab/>
        </w:r>
        <w:r w:rsidR="00866B34" w:rsidRPr="00866B34">
          <w:rPr>
            <w:rStyle w:val="Hiperpovezava"/>
            <w:webHidden/>
          </w:rPr>
          <w:fldChar w:fldCharType="begin"/>
        </w:r>
        <w:r w:rsidR="00866B34" w:rsidRPr="00866B34">
          <w:rPr>
            <w:rStyle w:val="Hiperpovezava"/>
            <w:webHidden/>
          </w:rPr>
          <w:instrText xml:space="preserve"> PAGEREF _Toc50627611 \h </w:instrText>
        </w:r>
        <w:r w:rsidR="00866B34" w:rsidRPr="00866B34">
          <w:rPr>
            <w:rStyle w:val="Hiperpovezava"/>
            <w:webHidden/>
          </w:rPr>
        </w:r>
        <w:r w:rsidR="00866B34" w:rsidRPr="00866B34">
          <w:rPr>
            <w:rStyle w:val="Hiperpovezava"/>
            <w:webHidden/>
          </w:rPr>
          <w:fldChar w:fldCharType="separate"/>
        </w:r>
        <w:r w:rsidR="00CE7C73">
          <w:rPr>
            <w:rStyle w:val="Hiperpovezava"/>
            <w:webHidden/>
          </w:rPr>
          <w:t>74</w:t>
        </w:r>
        <w:r w:rsidR="00866B34" w:rsidRPr="00866B34">
          <w:rPr>
            <w:rStyle w:val="Hiperpovezava"/>
            <w:webHidden/>
          </w:rPr>
          <w:fldChar w:fldCharType="end"/>
        </w:r>
      </w:hyperlink>
    </w:p>
    <w:p w:rsidR="00866B34" w:rsidRPr="00866B34" w:rsidRDefault="003340A3" w:rsidP="00866B34">
      <w:pPr>
        <w:pStyle w:val="Kazalovsebine3"/>
        <w:rPr>
          <w:rStyle w:val="Hiperpovezava"/>
        </w:rPr>
      </w:pPr>
      <w:hyperlink w:anchor="_Toc50627612" w:history="1">
        <w:r w:rsidR="00866B34" w:rsidRPr="00813493">
          <w:rPr>
            <w:rStyle w:val="Hiperpovezava"/>
          </w:rPr>
          <w:t>Grafikon 5: Zadolženost občin v obdobju od leta 2010 do leta 2018</w:t>
        </w:r>
        <w:r w:rsidR="00866B34" w:rsidRPr="00866B34">
          <w:rPr>
            <w:rStyle w:val="Hiperpovezava"/>
            <w:webHidden/>
          </w:rPr>
          <w:tab/>
        </w:r>
        <w:r w:rsidR="00866B34" w:rsidRPr="00866B34">
          <w:rPr>
            <w:rStyle w:val="Hiperpovezava"/>
            <w:webHidden/>
          </w:rPr>
          <w:fldChar w:fldCharType="begin"/>
        </w:r>
        <w:r w:rsidR="00866B34" w:rsidRPr="00866B34">
          <w:rPr>
            <w:rStyle w:val="Hiperpovezava"/>
            <w:webHidden/>
          </w:rPr>
          <w:instrText xml:space="preserve"> PAGEREF _Toc50627612 \h </w:instrText>
        </w:r>
        <w:r w:rsidR="00866B34" w:rsidRPr="00866B34">
          <w:rPr>
            <w:rStyle w:val="Hiperpovezava"/>
            <w:webHidden/>
          </w:rPr>
        </w:r>
        <w:r w:rsidR="00866B34" w:rsidRPr="00866B34">
          <w:rPr>
            <w:rStyle w:val="Hiperpovezava"/>
            <w:webHidden/>
          </w:rPr>
          <w:fldChar w:fldCharType="separate"/>
        </w:r>
        <w:r w:rsidR="00CE7C73">
          <w:rPr>
            <w:rStyle w:val="Hiperpovezava"/>
            <w:webHidden/>
          </w:rPr>
          <w:t>75</w:t>
        </w:r>
        <w:r w:rsidR="00866B34" w:rsidRPr="00866B34">
          <w:rPr>
            <w:rStyle w:val="Hiperpovezava"/>
            <w:webHidden/>
          </w:rPr>
          <w:fldChar w:fldCharType="end"/>
        </w:r>
      </w:hyperlink>
    </w:p>
    <w:p w:rsidR="00866B34" w:rsidRPr="00866B34" w:rsidRDefault="003340A3" w:rsidP="00866B34">
      <w:pPr>
        <w:pStyle w:val="Kazalovsebine3"/>
        <w:rPr>
          <w:rStyle w:val="Hiperpovezava"/>
        </w:rPr>
      </w:pPr>
      <w:hyperlink w:anchor="_Toc50627613" w:history="1">
        <w:r w:rsidR="00866B34" w:rsidRPr="00813493">
          <w:rPr>
            <w:rStyle w:val="Hiperpovezava"/>
          </w:rPr>
          <w:t>Grafikon 6: Zadolženost občin po namenu zadolžitve na dan 31. 12. 2018</w:t>
        </w:r>
        <w:r w:rsidR="00866B34" w:rsidRPr="00866B34">
          <w:rPr>
            <w:rStyle w:val="Hiperpovezava"/>
            <w:webHidden/>
          </w:rPr>
          <w:tab/>
        </w:r>
        <w:r w:rsidR="00866B34" w:rsidRPr="00866B34">
          <w:rPr>
            <w:rStyle w:val="Hiperpovezava"/>
            <w:webHidden/>
          </w:rPr>
          <w:fldChar w:fldCharType="begin"/>
        </w:r>
        <w:r w:rsidR="00866B34" w:rsidRPr="00866B34">
          <w:rPr>
            <w:rStyle w:val="Hiperpovezava"/>
            <w:webHidden/>
          </w:rPr>
          <w:instrText xml:space="preserve"> PAGEREF _Toc50627613 \h </w:instrText>
        </w:r>
        <w:r w:rsidR="00866B34" w:rsidRPr="00866B34">
          <w:rPr>
            <w:rStyle w:val="Hiperpovezava"/>
            <w:webHidden/>
          </w:rPr>
        </w:r>
        <w:r w:rsidR="00866B34" w:rsidRPr="00866B34">
          <w:rPr>
            <w:rStyle w:val="Hiperpovezava"/>
            <w:webHidden/>
          </w:rPr>
          <w:fldChar w:fldCharType="separate"/>
        </w:r>
        <w:r w:rsidR="00CE7C73">
          <w:rPr>
            <w:rStyle w:val="Hiperpovezava"/>
            <w:webHidden/>
          </w:rPr>
          <w:t>76</w:t>
        </w:r>
        <w:r w:rsidR="00866B34" w:rsidRPr="00866B34">
          <w:rPr>
            <w:rStyle w:val="Hiperpovezava"/>
            <w:webHidden/>
          </w:rPr>
          <w:fldChar w:fldCharType="end"/>
        </w:r>
      </w:hyperlink>
    </w:p>
    <w:p w:rsidR="00866B34" w:rsidRPr="00866B34" w:rsidRDefault="003340A3" w:rsidP="00866B34">
      <w:pPr>
        <w:pStyle w:val="Kazalovsebine3"/>
        <w:rPr>
          <w:rStyle w:val="Hiperpovezava"/>
        </w:rPr>
      </w:pPr>
      <w:hyperlink w:anchor="_Toc50627614" w:history="1">
        <w:r w:rsidR="00866B34" w:rsidRPr="00813493">
          <w:rPr>
            <w:rStyle w:val="Hiperpovezava"/>
          </w:rPr>
          <w:t>Grafikon 7: Ocena finančnih sredstev za zagotavljanje predpisane opremljenosti aglomeracij</w:t>
        </w:r>
        <w:r w:rsidR="00866B34" w:rsidRPr="00866B34">
          <w:rPr>
            <w:rStyle w:val="Hiperpovezava"/>
            <w:webHidden/>
          </w:rPr>
          <w:tab/>
        </w:r>
        <w:r w:rsidR="00866B34" w:rsidRPr="00866B34">
          <w:rPr>
            <w:rStyle w:val="Hiperpovezava"/>
            <w:webHidden/>
          </w:rPr>
          <w:fldChar w:fldCharType="begin"/>
        </w:r>
        <w:r w:rsidR="00866B34" w:rsidRPr="00866B34">
          <w:rPr>
            <w:rStyle w:val="Hiperpovezava"/>
            <w:webHidden/>
          </w:rPr>
          <w:instrText xml:space="preserve"> PAGEREF _Toc50627614 \h </w:instrText>
        </w:r>
        <w:r w:rsidR="00866B34" w:rsidRPr="00866B34">
          <w:rPr>
            <w:rStyle w:val="Hiperpovezava"/>
            <w:webHidden/>
          </w:rPr>
        </w:r>
        <w:r w:rsidR="00866B34" w:rsidRPr="00866B34">
          <w:rPr>
            <w:rStyle w:val="Hiperpovezava"/>
            <w:webHidden/>
          </w:rPr>
          <w:fldChar w:fldCharType="separate"/>
        </w:r>
        <w:r w:rsidR="00CE7C73">
          <w:rPr>
            <w:rStyle w:val="Hiperpovezava"/>
            <w:webHidden/>
          </w:rPr>
          <w:t>78</w:t>
        </w:r>
        <w:r w:rsidR="00866B34" w:rsidRPr="00866B34">
          <w:rPr>
            <w:rStyle w:val="Hiperpovezava"/>
            <w:webHidden/>
          </w:rPr>
          <w:fldChar w:fldCharType="end"/>
        </w:r>
      </w:hyperlink>
    </w:p>
    <w:p w:rsidR="00866B34" w:rsidRPr="00866B34" w:rsidRDefault="003340A3" w:rsidP="00866B34">
      <w:pPr>
        <w:pStyle w:val="Kazalovsebine3"/>
        <w:rPr>
          <w:rStyle w:val="Hiperpovezava"/>
        </w:rPr>
      </w:pPr>
      <w:hyperlink w:anchor="_Toc50627615" w:history="1">
        <w:r w:rsidR="00866B34" w:rsidRPr="00813493">
          <w:rPr>
            <w:rStyle w:val="Hiperpovezava"/>
          </w:rPr>
          <w:t>Grafikon 8: Primerjava poročanih in ocenjenih investicijskih stroškov.</w:t>
        </w:r>
        <w:r w:rsidR="00866B34" w:rsidRPr="00866B34">
          <w:rPr>
            <w:rStyle w:val="Hiperpovezava"/>
            <w:webHidden/>
          </w:rPr>
          <w:tab/>
        </w:r>
        <w:r w:rsidR="00866B34" w:rsidRPr="00866B34">
          <w:rPr>
            <w:rStyle w:val="Hiperpovezava"/>
            <w:webHidden/>
          </w:rPr>
          <w:fldChar w:fldCharType="begin"/>
        </w:r>
        <w:r w:rsidR="00866B34" w:rsidRPr="00866B34">
          <w:rPr>
            <w:rStyle w:val="Hiperpovezava"/>
            <w:webHidden/>
          </w:rPr>
          <w:instrText xml:space="preserve"> PAGEREF _Toc50627615 \h </w:instrText>
        </w:r>
        <w:r w:rsidR="00866B34" w:rsidRPr="00866B34">
          <w:rPr>
            <w:rStyle w:val="Hiperpovezava"/>
            <w:webHidden/>
          </w:rPr>
        </w:r>
        <w:r w:rsidR="00866B34" w:rsidRPr="00866B34">
          <w:rPr>
            <w:rStyle w:val="Hiperpovezava"/>
            <w:webHidden/>
          </w:rPr>
          <w:fldChar w:fldCharType="separate"/>
        </w:r>
        <w:r w:rsidR="00CE7C73">
          <w:rPr>
            <w:rStyle w:val="Hiperpovezava"/>
            <w:webHidden/>
          </w:rPr>
          <w:t>79</w:t>
        </w:r>
        <w:r w:rsidR="00866B34" w:rsidRPr="00866B34">
          <w:rPr>
            <w:rStyle w:val="Hiperpovezava"/>
            <w:webHidden/>
          </w:rPr>
          <w:fldChar w:fldCharType="end"/>
        </w:r>
      </w:hyperlink>
    </w:p>
    <w:p w:rsidR="00D774EB" w:rsidRPr="00B148B1" w:rsidRDefault="00D774EB" w:rsidP="00866B34">
      <w:pPr>
        <w:pStyle w:val="Kazalovsebine3"/>
        <w:rPr>
          <w:rStyle w:val="Hiperpovezava"/>
        </w:rPr>
      </w:pPr>
      <w:r w:rsidRPr="00B148B1">
        <w:rPr>
          <w:rStyle w:val="Hiperpovezava"/>
        </w:rPr>
        <w:fldChar w:fldCharType="end"/>
      </w:r>
    </w:p>
    <w:p w:rsidR="000179E4" w:rsidRPr="00B148B1" w:rsidRDefault="000179E4">
      <w:pPr>
        <w:spacing w:after="200" w:line="276" w:lineRule="auto"/>
        <w:rPr>
          <w:rFonts w:cs="Arial"/>
          <w:b/>
          <w:kern w:val="32"/>
          <w:sz w:val="28"/>
          <w:szCs w:val="32"/>
          <w:lang w:eastAsia="sl-SI"/>
        </w:rPr>
      </w:pPr>
      <w:r w:rsidRPr="00B148B1">
        <w:rPr>
          <w:rFonts w:cs="Arial"/>
        </w:rPr>
        <w:br w:type="page"/>
      </w:r>
    </w:p>
    <w:p w:rsidR="00D774EB" w:rsidRPr="00B148B1" w:rsidRDefault="00D774EB" w:rsidP="00385BB8">
      <w:pPr>
        <w:pStyle w:val="Naslov1"/>
      </w:pPr>
      <w:bookmarkStart w:id="1" w:name="_Toc50628032"/>
      <w:r w:rsidRPr="00B148B1">
        <w:lastRenderedPageBreak/>
        <w:t>UVOD</w:t>
      </w:r>
      <w:bookmarkEnd w:id="1"/>
    </w:p>
    <w:p w:rsidR="00D774EB" w:rsidRPr="00B148B1" w:rsidRDefault="00D774EB" w:rsidP="00385BB8">
      <w:pPr>
        <w:pStyle w:val="Naslov2"/>
      </w:pPr>
      <w:bookmarkStart w:id="2" w:name="_Ref527496524"/>
      <w:bookmarkStart w:id="3" w:name="_Toc50628033"/>
      <w:r w:rsidRPr="00B148B1">
        <w:t>Splošno o operativnem programu odvajanja in čiščenja komunalne odpadne vode</w:t>
      </w:r>
      <w:bookmarkEnd w:id="2"/>
      <w:bookmarkEnd w:id="3"/>
    </w:p>
    <w:p w:rsidR="00D774EB" w:rsidRDefault="00D774EB" w:rsidP="005D4642">
      <w:pPr>
        <w:tabs>
          <w:tab w:val="left" w:pos="9600"/>
        </w:tabs>
        <w:spacing w:before="120" w:line="280" w:lineRule="atLeast"/>
        <w:rPr>
          <w:rFonts w:cs="Arial"/>
          <w:szCs w:val="20"/>
        </w:rPr>
      </w:pPr>
      <w:r w:rsidRPr="00CE7C73">
        <w:t xml:space="preserve">Operativni program odvajanja in čiščenja komunalne odpadne vode izhaja iz </w:t>
      </w:r>
      <w:r w:rsidR="005D4642" w:rsidRPr="00CE7C73">
        <w:t xml:space="preserve">Zakona o varstvu okolja (Uradni list RS, št. 39/06 – uradno prečiščeno besedilo, 49/06 – ZMetD, 66/06 – </w:t>
      </w:r>
      <w:proofErr w:type="spellStart"/>
      <w:r w:rsidR="005D4642" w:rsidRPr="00CE7C73">
        <w:t>odl</w:t>
      </w:r>
      <w:proofErr w:type="spellEnd"/>
      <w:r w:rsidR="005D4642" w:rsidRPr="00CE7C73">
        <w:t>. US, 33/07 – ZPNačrt, 57/08 – ZFO-1A, 70/08, 108/09, 108/09 – ZPNačrt-A, 48/12, 57/12, 92/13, 56/15, 102/15, 30/16, 61/17 – GZ</w:t>
      </w:r>
      <w:r w:rsidR="002309C6" w:rsidRPr="00CE7C73">
        <w:t>,</w:t>
      </w:r>
      <w:r w:rsidR="005D4642" w:rsidRPr="00CE7C73">
        <w:t xml:space="preserve"> 21/18 – </w:t>
      </w:r>
      <w:proofErr w:type="spellStart"/>
      <w:r w:rsidR="005D4642" w:rsidRPr="00CE7C73">
        <w:t>ZNOrg</w:t>
      </w:r>
      <w:proofErr w:type="spellEnd"/>
      <w:r w:rsidR="002309C6" w:rsidRPr="00CE7C73">
        <w:t xml:space="preserve"> in </w:t>
      </w:r>
      <w:hyperlink r:id="rId13" w:tgtFrame="_blank" w:tooltip="Zakon o interventnih ukrepih pri ravnanju s komunalno odpadno embalažo in z odpadnimi nagrobnimi svečami" w:history="1">
        <w:r w:rsidR="002309C6" w:rsidRPr="00CE7C73">
          <w:t>84/18</w:t>
        </w:r>
      </w:hyperlink>
      <w:r w:rsidR="002309C6" w:rsidRPr="00CE7C73">
        <w:t xml:space="preserve"> – ZIURKOE</w:t>
      </w:r>
      <w:r w:rsidR="005D4642" w:rsidRPr="00CE7C73">
        <w:t>)</w:t>
      </w:r>
      <w:r w:rsidRPr="00CE7C73">
        <w:t>, zahtev Direktive Sveta št. 91/271/EGS z dne 21. maja 1991 o čiščenju komunalne odpadne vode (UL L št. 135 z dne 30. 5. 1991, str. 40), zadnjič spremenjene z Direktivo Sveta 2013/64/EU z dne 17. decembra 2013 o spremembi direktiv Sveta 91/271/EGS in 1999/74/EC ter</w:t>
      </w:r>
      <w:r w:rsidRPr="00B148B1">
        <w:rPr>
          <w:rFonts w:cs="Arial"/>
        </w:rPr>
        <w:t xml:space="preserve"> direktiv 2000/60/ES, 2006/7/ES, 2006/25/ES in 2011/24/EU Evropskega parlamenta in Sveta zaradi spremembe položaja </w:t>
      </w:r>
      <w:proofErr w:type="spellStart"/>
      <w:r w:rsidRPr="00B148B1">
        <w:rPr>
          <w:rFonts w:cs="Arial"/>
        </w:rPr>
        <w:t>Mayotta</w:t>
      </w:r>
      <w:proofErr w:type="spellEnd"/>
      <w:r w:rsidRPr="00B148B1">
        <w:rPr>
          <w:rFonts w:cs="Arial"/>
        </w:rPr>
        <w:t xml:space="preserve"> v razmerju do Evropske unije (UL L št. 353 z dne 28. 12. 2013, str. 8)</w:t>
      </w:r>
      <w:r w:rsidRPr="00B148B1">
        <w:rPr>
          <w:rFonts w:cs="Arial"/>
          <w:szCs w:val="20"/>
        </w:rPr>
        <w:t xml:space="preserve"> (v nadaljnjem besedilu: Direktiva 91/271/EGS) in zahtev Uredbe </w:t>
      </w:r>
      <w:r w:rsidR="0088103A" w:rsidRPr="00B148B1">
        <w:rPr>
          <w:rFonts w:cs="Arial"/>
          <w:szCs w:val="20"/>
        </w:rPr>
        <w:t>o odvajanju in čiščenju komunalne odpadne vode (Uradni list RS, št. 98/15</w:t>
      </w:r>
      <w:r w:rsidR="005A0873" w:rsidRPr="00B148B1">
        <w:rPr>
          <w:rFonts w:cs="Arial"/>
          <w:szCs w:val="20"/>
        </w:rPr>
        <w:t>,</w:t>
      </w:r>
      <w:r w:rsidR="0088103A" w:rsidRPr="00B148B1">
        <w:rPr>
          <w:rFonts w:cs="Arial"/>
          <w:szCs w:val="20"/>
        </w:rPr>
        <w:t xml:space="preserve"> 76/17</w:t>
      </w:r>
      <w:r w:rsidR="005A0873" w:rsidRPr="00B148B1">
        <w:rPr>
          <w:rFonts w:cs="Arial"/>
          <w:szCs w:val="20"/>
        </w:rPr>
        <w:t xml:space="preserve"> in </w:t>
      </w:r>
      <w:r w:rsidR="002309C6" w:rsidRPr="00B148B1">
        <w:rPr>
          <w:rFonts w:cs="Arial"/>
          <w:szCs w:val="20"/>
        </w:rPr>
        <w:t>81/19</w:t>
      </w:r>
      <w:r w:rsidR="0088103A" w:rsidRPr="00B148B1">
        <w:rPr>
          <w:rFonts w:cs="Arial"/>
          <w:szCs w:val="20"/>
        </w:rPr>
        <w:t>)</w:t>
      </w:r>
      <w:r w:rsidRPr="00B148B1">
        <w:rPr>
          <w:rFonts w:cs="Arial"/>
          <w:szCs w:val="20"/>
        </w:rPr>
        <w:t>.</w:t>
      </w:r>
    </w:p>
    <w:p w:rsidR="00AD28D6" w:rsidRPr="00B148B1" w:rsidRDefault="00AD28D6" w:rsidP="005D4642">
      <w:pPr>
        <w:tabs>
          <w:tab w:val="left" w:pos="9600"/>
        </w:tabs>
        <w:spacing w:before="120" w:line="280" w:lineRule="atLeast"/>
        <w:rPr>
          <w:rFonts w:cs="Arial"/>
          <w:szCs w:val="20"/>
        </w:rPr>
      </w:pPr>
      <w:r>
        <w:rPr>
          <w:rFonts w:cs="Arial"/>
          <w:szCs w:val="20"/>
        </w:rPr>
        <w:t>V skladu z drugim odstavkom 36. člena Zakona o varstvu okolja se v operativnem programu varstva okolja praviloma za obdobje štirih let razčlenijo cilji, usmeritve in naloge aktov za posamezna področja ali vprašanja varstva okolja in velja do sprejema novega</w:t>
      </w:r>
      <w:r w:rsidR="002C2888">
        <w:rPr>
          <w:rFonts w:cs="Arial"/>
          <w:szCs w:val="20"/>
        </w:rPr>
        <w:t xml:space="preserve"> operativnega programa.</w:t>
      </w:r>
    </w:p>
    <w:p w:rsidR="00D774EB" w:rsidRPr="00B148B1" w:rsidRDefault="00D774EB" w:rsidP="00D774EB">
      <w:pPr>
        <w:tabs>
          <w:tab w:val="left" w:pos="9600"/>
        </w:tabs>
        <w:spacing w:before="120" w:line="280" w:lineRule="atLeast"/>
        <w:rPr>
          <w:rFonts w:cs="Arial"/>
          <w:szCs w:val="20"/>
        </w:rPr>
      </w:pPr>
      <w:r w:rsidRPr="00B148B1">
        <w:rPr>
          <w:rFonts w:cs="Arial"/>
          <w:szCs w:val="20"/>
        </w:rPr>
        <w:t xml:space="preserve">Operativni program odvajanja in čiščenja komunalne odpadne vode se nanaša </w:t>
      </w:r>
      <w:r w:rsidR="00F63A29">
        <w:rPr>
          <w:rFonts w:cs="Arial"/>
          <w:szCs w:val="20"/>
        </w:rPr>
        <w:t>n</w:t>
      </w:r>
      <w:r w:rsidR="00F63A29" w:rsidRPr="00B148B1">
        <w:rPr>
          <w:rFonts w:cs="Arial"/>
          <w:szCs w:val="20"/>
        </w:rPr>
        <w:t xml:space="preserve">a </w:t>
      </w:r>
      <w:r w:rsidRPr="00B148B1">
        <w:rPr>
          <w:rFonts w:cs="Arial"/>
          <w:szCs w:val="20"/>
        </w:rPr>
        <w:t>celotno območje Republike Slovenije</w:t>
      </w:r>
      <w:r w:rsidR="00186280" w:rsidRPr="00B148B1">
        <w:rPr>
          <w:rFonts w:cs="Arial"/>
          <w:szCs w:val="20"/>
        </w:rPr>
        <w:t xml:space="preserve"> (RS)</w:t>
      </w:r>
      <w:r w:rsidRPr="00B148B1">
        <w:rPr>
          <w:rFonts w:cs="Arial"/>
          <w:szCs w:val="20"/>
        </w:rPr>
        <w:t xml:space="preserve"> in je </w:t>
      </w:r>
      <w:r w:rsidR="00D2061D" w:rsidRPr="00B148B1">
        <w:rPr>
          <w:rFonts w:cs="Arial"/>
          <w:szCs w:val="20"/>
        </w:rPr>
        <w:t xml:space="preserve">med </w:t>
      </w:r>
      <w:r w:rsidRPr="00B148B1">
        <w:rPr>
          <w:rFonts w:cs="Arial"/>
          <w:szCs w:val="20"/>
        </w:rPr>
        <w:t>ključni</w:t>
      </w:r>
      <w:r w:rsidR="00D2061D" w:rsidRPr="00B148B1">
        <w:rPr>
          <w:rFonts w:cs="Arial"/>
          <w:szCs w:val="20"/>
        </w:rPr>
        <w:t>mi</w:t>
      </w:r>
      <w:r w:rsidRPr="00B148B1">
        <w:rPr>
          <w:rFonts w:cs="Arial"/>
          <w:szCs w:val="20"/>
        </w:rPr>
        <w:t xml:space="preserve"> </w:t>
      </w:r>
      <w:r w:rsidR="00E35945">
        <w:rPr>
          <w:rFonts w:cs="Arial"/>
          <w:szCs w:val="20"/>
        </w:rPr>
        <w:t>dokumenti</w:t>
      </w:r>
      <w:r w:rsidRPr="00B148B1">
        <w:rPr>
          <w:rFonts w:cs="Arial"/>
          <w:szCs w:val="20"/>
        </w:rPr>
        <w:t xml:space="preserve"> za doseganje ciljev na področju varstva voda pred onesnaženjem</w:t>
      </w:r>
      <w:r w:rsidR="005D4642" w:rsidRPr="00B148B1">
        <w:rPr>
          <w:rFonts w:cs="Arial"/>
          <w:szCs w:val="20"/>
        </w:rPr>
        <w:t xml:space="preserve"> z odvajanjem komunalne odpadne vode</w:t>
      </w:r>
      <w:r w:rsidRPr="00B148B1">
        <w:rPr>
          <w:rFonts w:cs="Arial"/>
          <w:szCs w:val="20"/>
        </w:rPr>
        <w:t xml:space="preserve">. Je </w:t>
      </w:r>
      <w:r w:rsidR="00E35945">
        <w:rPr>
          <w:rFonts w:cs="Arial"/>
          <w:szCs w:val="20"/>
        </w:rPr>
        <w:t>programski dokument</w:t>
      </w:r>
      <w:r w:rsidRPr="00B148B1">
        <w:rPr>
          <w:rFonts w:cs="Arial"/>
          <w:szCs w:val="20"/>
        </w:rPr>
        <w:t xml:space="preserve">, s katerim se </w:t>
      </w:r>
      <w:r w:rsidR="005D4642" w:rsidRPr="00B148B1">
        <w:rPr>
          <w:rFonts w:cs="Arial"/>
          <w:szCs w:val="20"/>
        </w:rPr>
        <w:t xml:space="preserve">za </w:t>
      </w:r>
      <w:r w:rsidR="00732F48" w:rsidRPr="00B148B1">
        <w:rPr>
          <w:rFonts w:cs="Arial"/>
          <w:szCs w:val="20"/>
        </w:rPr>
        <w:t>vsako posamezno aglomeracijo</w:t>
      </w:r>
      <w:r w:rsidRPr="00B148B1">
        <w:rPr>
          <w:rFonts w:cs="Arial"/>
          <w:szCs w:val="20"/>
        </w:rPr>
        <w:t>, za kater</w:t>
      </w:r>
      <w:r w:rsidR="004D21D3" w:rsidRPr="00B148B1">
        <w:rPr>
          <w:rFonts w:cs="Arial"/>
          <w:szCs w:val="20"/>
        </w:rPr>
        <w:t>o</w:t>
      </w:r>
      <w:r w:rsidRPr="00B148B1">
        <w:rPr>
          <w:rFonts w:cs="Arial"/>
          <w:szCs w:val="20"/>
        </w:rPr>
        <w:t xml:space="preserve"> je v predpisanih rokih treba zagotoviti opremljenost z javno infrastrukturo oziroma ob izpolnjevanju predpisanih pogojev opremljenost z drugo ustrezno infrastrukturo za odvajanje in čiščenje komunalne odpadne vode</w:t>
      </w:r>
      <w:r w:rsidR="00732F48" w:rsidRPr="00B148B1">
        <w:rPr>
          <w:rFonts w:cs="Arial"/>
          <w:szCs w:val="20"/>
        </w:rPr>
        <w:t xml:space="preserve">, podrobneje določijo zahteve v zvezi z odvajanjem in čiščenjem komunalne odpadne vode </w:t>
      </w:r>
      <w:r w:rsidR="00D2061D" w:rsidRPr="00B148B1">
        <w:rPr>
          <w:rFonts w:cs="Arial"/>
          <w:szCs w:val="20"/>
        </w:rPr>
        <w:t xml:space="preserve">ter </w:t>
      </w:r>
      <w:r w:rsidR="00732F48" w:rsidRPr="00B148B1">
        <w:rPr>
          <w:rFonts w:cs="Arial"/>
          <w:szCs w:val="20"/>
        </w:rPr>
        <w:t>roki za dose</w:t>
      </w:r>
      <w:r w:rsidR="00D2061D" w:rsidRPr="00B148B1">
        <w:rPr>
          <w:rFonts w:cs="Arial"/>
          <w:szCs w:val="20"/>
        </w:rPr>
        <w:t>g</w:t>
      </w:r>
      <w:r w:rsidR="00732F48" w:rsidRPr="00B148B1">
        <w:rPr>
          <w:rFonts w:cs="Arial"/>
          <w:szCs w:val="20"/>
        </w:rPr>
        <w:t>anje teh zahtev</w:t>
      </w:r>
      <w:r w:rsidRPr="00B148B1">
        <w:rPr>
          <w:rFonts w:cs="Arial"/>
          <w:szCs w:val="20"/>
        </w:rPr>
        <w:t xml:space="preserve">. Z operativnim programom odvajanja in čiščenja komunalne odpadne vode se podrobneje določijo tudi obveznosti v zvezi z opremljanjem posameznih objektov na območjih </w:t>
      </w:r>
      <w:r w:rsidR="00D2061D" w:rsidRPr="00B148B1">
        <w:rPr>
          <w:rFonts w:cs="Arial"/>
          <w:szCs w:val="20"/>
        </w:rPr>
        <w:t xml:space="preserve">zunaj </w:t>
      </w:r>
      <w:r w:rsidRPr="00B148B1">
        <w:rPr>
          <w:rFonts w:cs="Arial"/>
          <w:szCs w:val="20"/>
        </w:rPr>
        <w:t xml:space="preserve">meja aglomeracij, oziroma na območjih, ki niso opremljena z javno kanalizacijo in </w:t>
      </w:r>
      <w:r w:rsidR="000B0759" w:rsidRPr="00B148B1">
        <w:rPr>
          <w:rFonts w:cs="Arial"/>
          <w:szCs w:val="20"/>
        </w:rPr>
        <w:t xml:space="preserve">za katera </w:t>
      </w:r>
      <w:r w:rsidRPr="00B148B1">
        <w:rPr>
          <w:rFonts w:cs="Arial"/>
          <w:szCs w:val="20"/>
        </w:rPr>
        <w:t>opremljanje z javno kanalizacijo tudi ni predpisano.</w:t>
      </w:r>
    </w:p>
    <w:p w:rsidR="00D774EB" w:rsidRPr="00B148B1" w:rsidRDefault="0048363B" w:rsidP="00D774EB">
      <w:pPr>
        <w:tabs>
          <w:tab w:val="left" w:pos="9600"/>
        </w:tabs>
        <w:spacing w:before="120" w:line="280" w:lineRule="atLeast"/>
        <w:rPr>
          <w:rFonts w:cs="Arial"/>
          <w:szCs w:val="20"/>
        </w:rPr>
      </w:pPr>
      <w:r w:rsidRPr="00B148B1">
        <w:rPr>
          <w:rFonts w:cs="Arial"/>
          <w:szCs w:val="20"/>
        </w:rPr>
        <w:t>Sestavni</w:t>
      </w:r>
      <w:r w:rsidR="00D774EB" w:rsidRPr="00B148B1">
        <w:rPr>
          <w:rFonts w:cs="Arial"/>
          <w:szCs w:val="20"/>
        </w:rPr>
        <w:t xml:space="preserve"> deli programa so tudi:</w:t>
      </w:r>
      <w:r w:rsidR="00531F16" w:rsidRPr="00B148B1">
        <w:rPr>
          <w:rFonts w:cs="Arial"/>
          <w:szCs w:val="20"/>
        </w:rPr>
        <w:t xml:space="preserve"> </w:t>
      </w:r>
    </w:p>
    <w:p w:rsidR="00D774EB" w:rsidRPr="00B148B1" w:rsidRDefault="00D774EB" w:rsidP="004C2581">
      <w:pPr>
        <w:numPr>
          <w:ilvl w:val="0"/>
          <w:numId w:val="7"/>
        </w:numPr>
        <w:tabs>
          <w:tab w:val="num" w:pos="360"/>
          <w:tab w:val="left" w:pos="9600"/>
        </w:tabs>
        <w:spacing w:before="120" w:line="280" w:lineRule="atLeast"/>
        <w:ind w:left="357" w:hanging="357"/>
        <w:rPr>
          <w:rFonts w:cs="Arial"/>
          <w:szCs w:val="20"/>
        </w:rPr>
      </w:pPr>
      <w:r w:rsidRPr="00B148B1">
        <w:rPr>
          <w:rFonts w:cs="Arial"/>
          <w:szCs w:val="20"/>
        </w:rPr>
        <w:t xml:space="preserve">digitalni podatkovni sloj aglomeracij in njihovih geografskih meja za raven merila 1 : 5.000 v državnem koordinatnem sistemu, ki </w:t>
      </w:r>
      <w:r w:rsidR="00EB1EBD" w:rsidRPr="00B148B1">
        <w:rPr>
          <w:rFonts w:cs="Arial"/>
          <w:szCs w:val="20"/>
        </w:rPr>
        <w:t xml:space="preserve">za vsako posamezno aglomeracijo </w:t>
      </w:r>
      <w:r w:rsidRPr="00B148B1">
        <w:rPr>
          <w:rFonts w:cs="Arial"/>
          <w:szCs w:val="20"/>
        </w:rPr>
        <w:t>vključuje naslednje atributne podatke:</w:t>
      </w:r>
    </w:p>
    <w:p w:rsidR="00E15A9C" w:rsidRPr="00B148B1" w:rsidRDefault="00E15A9C" w:rsidP="004C2581">
      <w:pPr>
        <w:numPr>
          <w:ilvl w:val="0"/>
          <w:numId w:val="6"/>
        </w:numPr>
        <w:tabs>
          <w:tab w:val="left" w:pos="9600"/>
        </w:tabs>
        <w:spacing w:before="120" w:line="280" w:lineRule="atLeast"/>
        <w:rPr>
          <w:rFonts w:cs="Arial"/>
          <w:szCs w:val="20"/>
        </w:rPr>
      </w:pPr>
      <w:r w:rsidRPr="00B148B1">
        <w:rPr>
          <w:rFonts w:cs="Arial"/>
          <w:szCs w:val="20"/>
        </w:rPr>
        <w:t>identifikacijsko številko aglomeracije,</w:t>
      </w:r>
    </w:p>
    <w:p w:rsidR="00E15A9C" w:rsidRPr="00B148B1" w:rsidRDefault="00E15A9C" w:rsidP="004C2581">
      <w:pPr>
        <w:numPr>
          <w:ilvl w:val="0"/>
          <w:numId w:val="6"/>
        </w:numPr>
        <w:tabs>
          <w:tab w:val="left" w:pos="9600"/>
        </w:tabs>
        <w:spacing w:before="120" w:line="280" w:lineRule="atLeast"/>
        <w:rPr>
          <w:rFonts w:cs="Arial"/>
          <w:szCs w:val="20"/>
        </w:rPr>
      </w:pPr>
      <w:r w:rsidRPr="00B148B1">
        <w:rPr>
          <w:rFonts w:cs="Arial"/>
          <w:szCs w:val="20"/>
        </w:rPr>
        <w:t>ime aglomeracije,</w:t>
      </w:r>
    </w:p>
    <w:p w:rsidR="00E15A9C" w:rsidRPr="00B148B1" w:rsidRDefault="00567E33" w:rsidP="004C2581">
      <w:pPr>
        <w:numPr>
          <w:ilvl w:val="0"/>
          <w:numId w:val="6"/>
        </w:numPr>
        <w:tabs>
          <w:tab w:val="left" w:pos="9600"/>
        </w:tabs>
        <w:spacing w:before="120" w:line="280" w:lineRule="atLeast"/>
        <w:rPr>
          <w:rFonts w:cs="Arial"/>
          <w:szCs w:val="20"/>
        </w:rPr>
      </w:pPr>
      <w:r w:rsidRPr="00B148B1">
        <w:rPr>
          <w:rFonts w:cs="Arial"/>
          <w:szCs w:val="20"/>
        </w:rPr>
        <w:t>koordinati</w:t>
      </w:r>
      <w:r w:rsidR="00E15A9C" w:rsidRPr="00B148B1">
        <w:rPr>
          <w:rFonts w:cs="Arial"/>
          <w:szCs w:val="20"/>
        </w:rPr>
        <w:t xml:space="preserve"> X in Y </w:t>
      </w:r>
      <w:proofErr w:type="spellStart"/>
      <w:r w:rsidR="00E15A9C" w:rsidRPr="00B148B1">
        <w:rPr>
          <w:rFonts w:cs="Arial"/>
          <w:szCs w:val="20"/>
        </w:rPr>
        <w:t>centroida</w:t>
      </w:r>
      <w:proofErr w:type="spellEnd"/>
      <w:r w:rsidR="00E15A9C" w:rsidRPr="00B148B1">
        <w:rPr>
          <w:rFonts w:cs="Arial"/>
          <w:szCs w:val="20"/>
        </w:rPr>
        <w:t xml:space="preserve"> aglomeracije v državnem koordinatnem sistemu za raven merila 1</w:t>
      </w:r>
      <w:r w:rsidR="00D2061D" w:rsidRPr="00B148B1">
        <w:rPr>
          <w:rFonts w:cs="Arial"/>
          <w:szCs w:val="20"/>
        </w:rPr>
        <w:t xml:space="preserve"> </w:t>
      </w:r>
      <w:r w:rsidR="00E15A9C" w:rsidRPr="00B148B1">
        <w:rPr>
          <w:rFonts w:cs="Arial"/>
          <w:szCs w:val="20"/>
        </w:rPr>
        <w:t>:</w:t>
      </w:r>
      <w:r w:rsidR="00D2061D" w:rsidRPr="00B148B1">
        <w:rPr>
          <w:rFonts w:cs="Arial"/>
          <w:szCs w:val="20"/>
        </w:rPr>
        <w:t xml:space="preserve"> </w:t>
      </w:r>
      <w:r w:rsidR="00E15A9C" w:rsidRPr="00B148B1">
        <w:rPr>
          <w:rFonts w:cs="Arial"/>
          <w:szCs w:val="20"/>
        </w:rPr>
        <w:t>5.000,</w:t>
      </w:r>
    </w:p>
    <w:p w:rsidR="00E15A9C" w:rsidRPr="00B148B1" w:rsidRDefault="00E15A9C" w:rsidP="004C2581">
      <w:pPr>
        <w:numPr>
          <w:ilvl w:val="0"/>
          <w:numId w:val="6"/>
        </w:numPr>
        <w:tabs>
          <w:tab w:val="left" w:pos="9600"/>
        </w:tabs>
        <w:spacing w:before="120" w:line="280" w:lineRule="atLeast"/>
        <w:rPr>
          <w:rFonts w:cs="Arial"/>
          <w:szCs w:val="20"/>
        </w:rPr>
      </w:pPr>
      <w:r w:rsidRPr="00B148B1">
        <w:rPr>
          <w:rFonts w:cs="Arial"/>
          <w:szCs w:val="20"/>
        </w:rPr>
        <w:t xml:space="preserve">obremenitev aglomeracije </w:t>
      </w:r>
      <w:r w:rsidR="007574AC" w:rsidRPr="00B148B1">
        <w:rPr>
          <w:rFonts w:cs="Arial"/>
          <w:szCs w:val="20"/>
        </w:rPr>
        <w:t xml:space="preserve">zaradi </w:t>
      </w:r>
      <w:r w:rsidRPr="00B148B1">
        <w:rPr>
          <w:rFonts w:cs="Arial"/>
          <w:szCs w:val="20"/>
        </w:rPr>
        <w:t>poselitve (stalno prijavljeni prebivalci), izraženo v PE,</w:t>
      </w:r>
    </w:p>
    <w:p w:rsidR="00E15A9C" w:rsidRPr="00B148B1" w:rsidRDefault="00E15A9C" w:rsidP="004C2581">
      <w:pPr>
        <w:numPr>
          <w:ilvl w:val="0"/>
          <w:numId w:val="6"/>
        </w:numPr>
        <w:tabs>
          <w:tab w:val="left" w:pos="9600"/>
        </w:tabs>
        <w:spacing w:before="120" w:line="280" w:lineRule="atLeast"/>
        <w:rPr>
          <w:rFonts w:cs="Arial"/>
          <w:szCs w:val="20"/>
        </w:rPr>
      </w:pPr>
      <w:r w:rsidRPr="00B148B1">
        <w:rPr>
          <w:rFonts w:cs="Arial"/>
          <w:szCs w:val="20"/>
        </w:rPr>
        <w:t xml:space="preserve">obremenitev aglomeracije </w:t>
      </w:r>
      <w:r w:rsidR="007574AC" w:rsidRPr="00B148B1">
        <w:rPr>
          <w:rFonts w:cs="Arial"/>
          <w:szCs w:val="20"/>
        </w:rPr>
        <w:t xml:space="preserve">zaradi </w:t>
      </w:r>
      <w:r w:rsidRPr="00B148B1">
        <w:rPr>
          <w:rFonts w:cs="Arial"/>
          <w:szCs w:val="20"/>
        </w:rPr>
        <w:t>poselitve (začasno prijavljeni prebivalci), izraženo v PE,</w:t>
      </w:r>
    </w:p>
    <w:p w:rsidR="00E15A9C" w:rsidRPr="00B148B1" w:rsidRDefault="00E15A9C" w:rsidP="004C2581">
      <w:pPr>
        <w:numPr>
          <w:ilvl w:val="0"/>
          <w:numId w:val="6"/>
        </w:numPr>
        <w:tabs>
          <w:tab w:val="left" w:pos="9600"/>
        </w:tabs>
        <w:spacing w:before="120" w:line="280" w:lineRule="atLeast"/>
        <w:rPr>
          <w:rFonts w:cs="Arial"/>
          <w:szCs w:val="20"/>
        </w:rPr>
      </w:pPr>
      <w:r w:rsidRPr="00B148B1">
        <w:rPr>
          <w:rFonts w:cs="Arial"/>
          <w:szCs w:val="20"/>
        </w:rPr>
        <w:t>dodatno obremenitev aglomeracije iz naslova komunalne odpadne vode iz stavb ali delov stavb, kjer ni stalno prijavljenih prebivalcev</w:t>
      </w:r>
      <w:r w:rsidR="001030AF" w:rsidRPr="00B148B1">
        <w:rPr>
          <w:rFonts w:cs="Arial"/>
          <w:szCs w:val="20"/>
        </w:rPr>
        <w:t xml:space="preserve"> iz naslova izvajanja gospodarske ali druge dejavnosti</w:t>
      </w:r>
      <w:r w:rsidRPr="00B148B1">
        <w:rPr>
          <w:rFonts w:cs="Arial"/>
          <w:szCs w:val="20"/>
        </w:rPr>
        <w:t>, izraženo v PE,</w:t>
      </w:r>
    </w:p>
    <w:p w:rsidR="00E15A9C" w:rsidRPr="00B148B1" w:rsidRDefault="00E15A9C" w:rsidP="004C2581">
      <w:pPr>
        <w:numPr>
          <w:ilvl w:val="0"/>
          <w:numId w:val="6"/>
        </w:numPr>
        <w:tabs>
          <w:tab w:val="left" w:pos="9600"/>
        </w:tabs>
        <w:spacing w:before="120" w:line="280" w:lineRule="atLeast"/>
        <w:rPr>
          <w:rFonts w:cs="Arial"/>
          <w:szCs w:val="20"/>
        </w:rPr>
      </w:pPr>
      <w:r w:rsidRPr="00B148B1">
        <w:rPr>
          <w:rFonts w:cs="Arial"/>
          <w:szCs w:val="20"/>
        </w:rPr>
        <w:t>dodatno obremenitev aglomeracije iz naslova biološko razgradljive industrijske odpadne vode, izraženo v PE,</w:t>
      </w:r>
    </w:p>
    <w:p w:rsidR="00E15A9C" w:rsidRPr="00B148B1" w:rsidRDefault="00E15A9C" w:rsidP="004C2581">
      <w:pPr>
        <w:numPr>
          <w:ilvl w:val="0"/>
          <w:numId w:val="6"/>
        </w:numPr>
        <w:tabs>
          <w:tab w:val="left" w:pos="9600"/>
        </w:tabs>
        <w:spacing w:before="120" w:line="280" w:lineRule="atLeast"/>
        <w:rPr>
          <w:rFonts w:cs="Arial"/>
          <w:szCs w:val="20"/>
        </w:rPr>
      </w:pPr>
      <w:r w:rsidRPr="00B148B1">
        <w:rPr>
          <w:rFonts w:cs="Arial"/>
          <w:szCs w:val="20"/>
        </w:rPr>
        <w:lastRenderedPageBreak/>
        <w:t>ocenjeno dodatno obremenitev aglomeracije, izraženo v PE, če podatkov za izračun dodatne obremenitve iz šeste in sedme alineje te točke ni na voljo,</w:t>
      </w:r>
    </w:p>
    <w:p w:rsidR="00E15A9C" w:rsidRPr="00B148B1" w:rsidRDefault="00E15A9C" w:rsidP="004C2581">
      <w:pPr>
        <w:numPr>
          <w:ilvl w:val="0"/>
          <w:numId w:val="6"/>
        </w:numPr>
        <w:tabs>
          <w:tab w:val="left" w:pos="9600"/>
        </w:tabs>
        <w:spacing w:before="120" w:line="280" w:lineRule="atLeast"/>
        <w:rPr>
          <w:rFonts w:cs="Arial"/>
          <w:szCs w:val="20"/>
        </w:rPr>
      </w:pPr>
      <w:r w:rsidRPr="00B148B1">
        <w:rPr>
          <w:rFonts w:cs="Arial"/>
          <w:szCs w:val="20"/>
        </w:rPr>
        <w:t xml:space="preserve">skupno obremenitev aglomeracije, izračunano kot seštevek obremenitve aglomeracije </w:t>
      </w:r>
      <w:r w:rsidR="009E597E" w:rsidRPr="00B148B1">
        <w:rPr>
          <w:rFonts w:cs="Arial"/>
          <w:szCs w:val="20"/>
        </w:rPr>
        <w:t xml:space="preserve">zaradi </w:t>
      </w:r>
      <w:r w:rsidRPr="00B148B1">
        <w:rPr>
          <w:rFonts w:cs="Arial"/>
          <w:szCs w:val="20"/>
        </w:rPr>
        <w:t xml:space="preserve">poselitve (stalno prijavljeni prebivalci) in dodatne obremenitve aglomeracije iz </w:t>
      </w:r>
      <w:r w:rsidR="00EB1EBD" w:rsidRPr="00B148B1">
        <w:rPr>
          <w:rFonts w:cs="Arial"/>
          <w:szCs w:val="20"/>
        </w:rPr>
        <w:t>šeste in sedme alineje te točke</w:t>
      </w:r>
      <w:r w:rsidRPr="00B148B1">
        <w:rPr>
          <w:rFonts w:cs="Arial"/>
          <w:szCs w:val="20"/>
        </w:rPr>
        <w:t xml:space="preserve"> oziroma iz</w:t>
      </w:r>
      <w:r w:rsidR="00EB1EBD" w:rsidRPr="00B148B1">
        <w:rPr>
          <w:rFonts w:cs="Arial"/>
          <w:szCs w:val="20"/>
        </w:rPr>
        <w:t xml:space="preserve"> osme alineje te točke</w:t>
      </w:r>
      <w:r w:rsidRPr="00B148B1">
        <w:rPr>
          <w:rFonts w:cs="Arial"/>
          <w:szCs w:val="20"/>
        </w:rPr>
        <w:t>, izraženo v PE,</w:t>
      </w:r>
    </w:p>
    <w:p w:rsidR="00E15A9C" w:rsidRPr="00B148B1" w:rsidRDefault="00E15A9C" w:rsidP="004C2581">
      <w:pPr>
        <w:numPr>
          <w:ilvl w:val="0"/>
          <w:numId w:val="6"/>
        </w:numPr>
        <w:tabs>
          <w:tab w:val="left" w:pos="9600"/>
        </w:tabs>
        <w:spacing w:before="120" w:line="280" w:lineRule="atLeast"/>
        <w:rPr>
          <w:rFonts w:cs="Arial"/>
          <w:szCs w:val="20"/>
        </w:rPr>
      </w:pPr>
      <w:r w:rsidRPr="00B148B1">
        <w:rPr>
          <w:rFonts w:cs="Arial"/>
          <w:szCs w:val="20"/>
        </w:rPr>
        <w:t xml:space="preserve">prisotnost </w:t>
      </w:r>
      <w:r w:rsidR="00EB1EBD" w:rsidRPr="00B148B1">
        <w:rPr>
          <w:rFonts w:cs="Arial"/>
          <w:szCs w:val="20"/>
        </w:rPr>
        <w:t>stavb s številkami MID EHIŠ razvrščenih s klasifikacijskimi številkami iz Uredbe o odvajanju in čiščenju komunalne odpadne vode</w:t>
      </w:r>
      <w:r w:rsidRPr="00B148B1">
        <w:rPr>
          <w:rFonts w:cs="Arial"/>
          <w:szCs w:val="20"/>
        </w:rPr>
        <w:t>,</w:t>
      </w:r>
    </w:p>
    <w:p w:rsidR="00E15A9C" w:rsidRPr="00B148B1" w:rsidRDefault="00E15A9C" w:rsidP="004C2581">
      <w:pPr>
        <w:numPr>
          <w:ilvl w:val="0"/>
          <w:numId w:val="6"/>
        </w:numPr>
        <w:tabs>
          <w:tab w:val="left" w:pos="9600"/>
        </w:tabs>
        <w:spacing w:before="120" w:line="280" w:lineRule="atLeast"/>
        <w:rPr>
          <w:rFonts w:cs="Arial"/>
          <w:szCs w:val="20"/>
        </w:rPr>
      </w:pPr>
      <w:r w:rsidRPr="00B148B1">
        <w:rPr>
          <w:rFonts w:cs="Arial"/>
          <w:szCs w:val="20"/>
        </w:rPr>
        <w:t>površino aglomeracije, izraženo v ha,</w:t>
      </w:r>
    </w:p>
    <w:p w:rsidR="00E15A9C" w:rsidRPr="00B148B1" w:rsidRDefault="00E15A9C" w:rsidP="004C2581">
      <w:pPr>
        <w:numPr>
          <w:ilvl w:val="0"/>
          <w:numId w:val="6"/>
        </w:numPr>
        <w:tabs>
          <w:tab w:val="left" w:pos="9600"/>
        </w:tabs>
        <w:spacing w:before="120" w:line="280" w:lineRule="atLeast"/>
        <w:rPr>
          <w:rFonts w:cs="Arial"/>
          <w:szCs w:val="20"/>
        </w:rPr>
      </w:pPr>
      <w:r w:rsidRPr="00B148B1">
        <w:rPr>
          <w:rFonts w:cs="Arial"/>
          <w:szCs w:val="20"/>
        </w:rPr>
        <w:t>povprečno gostoto obremenitve v aglomeraciji, izračunano kot količnik skupne obremenitve in površine aglomeracije ter izraženo v PE/ha,</w:t>
      </w:r>
    </w:p>
    <w:p w:rsidR="00FD4FCE" w:rsidRPr="00B148B1" w:rsidRDefault="00E15A9C" w:rsidP="004C2581">
      <w:pPr>
        <w:numPr>
          <w:ilvl w:val="0"/>
          <w:numId w:val="6"/>
        </w:numPr>
        <w:tabs>
          <w:tab w:val="left" w:pos="9600"/>
        </w:tabs>
        <w:spacing w:before="120" w:line="280" w:lineRule="atLeast"/>
        <w:rPr>
          <w:rFonts w:cs="Arial"/>
          <w:szCs w:val="20"/>
        </w:rPr>
      </w:pPr>
      <w:r w:rsidRPr="00B148B1">
        <w:rPr>
          <w:rFonts w:cs="Arial"/>
          <w:szCs w:val="20"/>
        </w:rPr>
        <w:t>začetek veljavnosti podatka</w:t>
      </w:r>
      <w:r w:rsidR="00FD4FCE" w:rsidRPr="00B148B1">
        <w:rPr>
          <w:rFonts w:cs="Arial"/>
          <w:szCs w:val="20"/>
        </w:rPr>
        <w:t xml:space="preserve"> (datum določitve aglomeracije),</w:t>
      </w:r>
    </w:p>
    <w:p w:rsidR="002E3777" w:rsidRPr="00B148B1" w:rsidRDefault="002E3777" w:rsidP="004C2581">
      <w:pPr>
        <w:numPr>
          <w:ilvl w:val="0"/>
          <w:numId w:val="6"/>
        </w:numPr>
        <w:tabs>
          <w:tab w:val="left" w:pos="9600"/>
        </w:tabs>
        <w:spacing w:before="120" w:line="280" w:lineRule="atLeast"/>
        <w:rPr>
          <w:rFonts w:cs="Arial"/>
          <w:szCs w:val="20"/>
        </w:rPr>
      </w:pPr>
      <w:r w:rsidRPr="00B148B1">
        <w:rPr>
          <w:rFonts w:cs="Arial"/>
          <w:szCs w:val="20"/>
        </w:rPr>
        <w:t>ime občine</w:t>
      </w:r>
      <w:r w:rsidR="00667DFE" w:rsidRPr="00B148B1">
        <w:rPr>
          <w:rFonts w:cs="Arial"/>
          <w:szCs w:val="20"/>
        </w:rPr>
        <w:t>,</w:t>
      </w:r>
      <w:r w:rsidRPr="00B148B1">
        <w:rPr>
          <w:rFonts w:cs="Arial"/>
          <w:szCs w:val="20"/>
        </w:rPr>
        <w:t xml:space="preserve"> v kateri leži pretežni del aglomeracije,</w:t>
      </w:r>
    </w:p>
    <w:p w:rsidR="002E3777" w:rsidRPr="00B148B1" w:rsidRDefault="00667DFE" w:rsidP="004C2581">
      <w:pPr>
        <w:numPr>
          <w:ilvl w:val="0"/>
          <w:numId w:val="6"/>
        </w:numPr>
        <w:tabs>
          <w:tab w:val="left" w:pos="9600"/>
        </w:tabs>
        <w:spacing w:before="120" w:line="280" w:lineRule="atLeast"/>
        <w:rPr>
          <w:rFonts w:cs="Arial"/>
          <w:szCs w:val="20"/>
        </w:rPr>
      </w:pPr>
      <w:r w:rsidRPr="00B148B1">
        <w:rPr>
          <w:rFonts w:cs="Arial"/>
          <w:szCs w:val="20"/>
        </w:rPr>
        <w:t>i</w:t>
      </w:r>
      <w:r w:rsidR="002E3777" w:rsidRPr="00B148B1">
        <w:rPr>
          <w:rFonts w:cs="Arial"/>
          <w:szCs w:val="20"/>
        </w:rPr>
        <w:t>dentifikacijska številka sestavljene aglomeracije, če je aglomeracija del sestavljene aglomeracije,</w:t>
      </w:r>
    </w:p>
    <w:p w:rsidR="002E3777" w:rsidRPr="00B148B1" w:rsidRDefault="00667DFE" w:rsidP="004C2581">
      <w:pPr>
        <w:numPr>
          <w:ilvl w:val="0"/>
          <w:numId w:val="6"/>
        </w:numPr>
        <w:tabs>
          <w:tab w:val="left" w:pos="9600"/>
        </w:tabs>
        <w:spacing w:before="120" w:line="280" w:lineRule="atLeast"/>
        <w:rPr>
          <w:rFonts w:cs="Arial"/>
          <w:szCs w:val="20"/>
        </w:rPr>
      </w:pPr>
      <w:r w:rsidRPr="00B148B1">
        <w:rPr>
          <w:rFonts w:cs="Arial"/>
          <w:szCs w:val="20"/>
        </w:rPr>
        <w:t>i</w:t>
      </w:r>
      <w:r w:rsidR="002E3777" w:rsidRPr="00B148B1">
        <w:rPr>
          <w:rFonts w:cs="Arial"/>
          <w:szCs w:val="20"/>
        </w:rPr>
        <w:t>me sestavljene aglomeracije, če je aglomeracija del sestavljene aglomeracije,</w:t>
      </w:r>
    </w:p>
    <w:p w:rsidR="00E15A9C" w:rsidRPr="00B148B1" w:rsidRDefault="00FD4FCE" w:rsidP="004C2581">
      <w:pPr>
        <w:numPr>
          <w:ilvl w:val="0"/>
          <w:numId w:val="6"/>
        </w:numPr>
        <w:tabs>
          <w:tab w:val="left" w:pos="9600"/>
        </w:tabs>
        <w:spacing w:before="120" w:line="280" w:lineRule="atLeast"/>
        <w:rPr>
          <w:rFonts w:cs="Arial"/>
          <w:szCs w:val="20"/>
        </w:rPr>
      </w:pPr>
      <w:r w:rsidRPr="00B148B1">
        <w:rPr>
          <w:rFonts w:cs="Arial"/>
          <w:szCs w:val="20"/>
        </w:rPr>
        <w:t xml:space="preserve">lego aglomeracije glede na območja s posebnimi zahtevami iz predpisov, ki urejajo načrte upravljanja voda, ali </w:t>
      </w:r>
      <w:r w:rsidR="00595D42" w:rsidRPr="00B148B1">
        <w:rPr>
          <w:rFonts w:cs="Arial"/>
          <w:szCs w:val="20"/>
        </w:rPr>
        <w:t xml:space="preserve">glede </w:t>
      </w:r>
      <w:r w:rsidRPr="00B148B1">
        <w:rPr>
          <w:rFonts w:cs="Arial"/>
          <w:szCs w:val="20"/>
        </w:rPr>
        <w:t xml:space="preserve">na območja, kjer veljajo posebne zahteve v skladu s predpisi, ki urejajo emisije snovi pri odvajanju odpadnih voda (občutljiva območja, vodovarstvena območja, vplivna območja kopalnih voda, območja kraških vodonosnikov, vključno z </w:t>
      </w:r>
      <w:proofErr w:type="spellStart"/>
      <w:r w:rsidRPr="00B148B1">
        <w:rPr>
          <w:rFonts w:cs="Arial"/>
          <w:szCs w:val="20"/>
        </w:rPr>
        <w:t>razpoklinskimi</w:t>
      </w:r>
      <w:proofErr w:type="spellEnd"/>
      <w:r w:rsidRPr="00B148B1">
        <w:rPr>
          <w:rFonts w:cs="Arial"/>
          <w:szCs w:val="20"/>
        </w:rPr>
        <w:t xml:space="preserve">) </w:t>
      </w:r>
      <w:r w:rsidR="00E15A9C" w:rsidRPr="00B148B1">
        <w:rPr>
          <w:rFonts w:cs="Arial"/>
          <w:szCs w:val="20"/>
        </w:rPr>
        <w:t>in</w:t>
      </w:r>
    </w:p>
    <w:p w:rsidR="00E15A9C" w:rsidRPr="00B148B1" w:rsidRDefault="00E15A9C" w:rsidP="004C2581">
      <w:pPr>
        <w:numPr>
          <w:ilvl w:val="0"/>
          <w:numId w:val="6"/>
        </w:numPr>
        <w:tabs>
          <w:tab w:val="left" w:pos="9600"/>
        </w:tabs>
        <w:spacing w:before="120" w:line="280" w:lineRule="atLeast"/>
        <w:rPr>
          <w:rFonts w:cs="Arial"/>
          <w:szCs w:val="20"/>
        </w:rPr>
      </w:pPr>
      <w:r w:rsidRPr="00B148B1">
        <w:rPr>
          <w:rFonts w:cs="Arial"/>
          <w:szCs w:val="20"/>
        </w:rPr>
        <w:t>opombe.</w:t>
      </w:r>
    </w:p>
    <w:p w:rsidR="00D774EB" w:rsidRPr="00B148B1" w:rsidRDefault="00D774EB" w:rsidP="004C2581">
      <w:pPr>
        <w:numPr>
          <w:ilvl w:val="0"/>
          <w:numId w:val="7"/>
        </w:numPr>
        <w:tabs>
          <w:tab w:val="num" w:pos="360"/>
          <w:tab w:val="left" w:pos="9600"/>
        </w:tabs>
        <w:spacing w:before="120" w:line="280" w:lineRule="atLeast"/>
        <w:ind w:left="357" w:hanging="357"/>
        <w:rPr>
          <w:rFonts w:cs="Arial"/>
          <w:szCs w:val="20"/>
        </w:rPr>
      </w:pPr>
      <w:r w:rsidRPr="00B148B1">
        <w:rPr>
          <w:rFonts w:cs="Arial"/>
          <w:szCs w:val="20"/>
        </w:rPr>
        <w:t xml:space="preserve">digitalna podatkovna zbirka s prikazom zahtev in rokov za vsako posamezno aglomeracijo in za območja </w:t>
      </w:r>
      <w:r w:rsidR="007574AC" w:rsidRPr="00B148B1">
        <w:rPr>
          <w:rFonts w:cs="Arial"/>
          <w:szCs w:val="20"/>
        </w:rPr>
        <w:t xml:space="preserve">zunaj </w:t>
      </w:r>
      <w:r w:rsidRPr="00B148B1">
        <w:rPr>
          <w:rFonts w:cs="Arial"/>
          <w:szCs w:val="20"/>
        </w:rPr>
        <w:t xml:space="preserve">meja aglomeracij, ki </w:t>
      </w:r>
      <w:r w:rsidR="00375FDB" w:rsidRPr="00B148B1">
        <w:rPr>
          <w:rFonts w:cs="Arial"/>
          <w:szCs w:val="20"/>
        </w:rPr>
        <w:t>omogoča</w:t>
      </w:r>
      <w:r w:rsidRPr="00B148B1">
        <w:rPr>
          <w:rFonts w:cs="Arial"/>
          <w:szCs w:val="20"/>
        </w:rPr>
        <w:t xml:space="preserve"> izračune in poizvedbe za pripravo poročil o izvajanju predpisov, ki urejajo odvajanje in čiščenje komunalne odpadne vode, ter operativnega programa;</w:t>
      </w:r>
    </w:p>
    <w:p w:rsidR="00D774EB" w:rsidRPr="00B148B1" w:rsidRDefault="0069039D" w:rsidP="004C2581">
      <w:pPr>
        <w:numPr>
          <w:ilvl w:val="0"/>
          <w:numId w:val="7"/>
        </w:numPr>
        <w:tabs>
          <w:tab w:val="num" w:pos="360"/>
          <w:tab w:val="left" w:pos="9600"/>
        </w:tabs>
        <w:spacing w:before="120" w:line="280" w:lineRule="atLeast"/>
        <w:ind w:left="357" w:hanging="357"/>
        <w:rPr>
          <w:rFonts w:cs="Arial"/>
          <w:szCs w:val="20"/>
        </w:rPr>
      </w:pPr>
      <w:r w:rsidRPr="00B148B1">
        <w:rPr>
          <w:rFonts w:cs="Arial"/>
          <w:szCs w:val="20"/>
        </w:rPr>
        <w:t>prikaz aglomeracij v atlasu</w:t>
      </w:r>
      <w:r w:rsidR="00941FA1" w:rsidRPr="00B148B1">
        <w:rPr>
          <w:rFonts w:cs="Arial"/>
          <w:szCs w:val="20"/>
        </w:rPr>
        <w:t xml:space="preserve"> </w:t>
      </w:r>
      <w:r w:rsidR="009E597E" w:rsidRPr="00B148B1">
        <w:rPr>
          <w:rFonts w:cs="Arial"/>
          <w:szCs w:val="20"/>
        </w:rPr>
        <w:t>»UWWTD«</w:t>
      </w:r>
      <w:r w:rsidRPr="00B148B1">
        <w:rPr>
          <w:rFonts w:cs="Arial"/>
          <w:szCs w:val="20"/>
        </w:rPr>
        <w:t>;</w:t>
      </w:r>
    </w:p>
    <w:p w:rsidR="00DE4DBD" w:rsidRPr="00B148B1" w:rsidRDefault="00DE4DBD" w:rsidP="004C2581">
      <w:pPr>
        <w:numPr>
          <w:ilvl w:val="0"/>
          <w:numId w:val="7"/>
        </w:numPr>
        <w:tabs>
          <w:tab w:val="num" w:pos="360"/>
          <w:tab w:val="left" w:pos="9600"/>
        </w:tabs>
        <w:spacing w:before="120" w:line="280" w:lineRule="atLeast"/>
        <w:ind w:left="357" w:hanging="357"/>
        <w:rPr>
          <w:rFonts w:cs="Arial"/>
          <w:szCs w:val="20"/>
        </w:rPr>
      </w:pPr>
      <w:r w:rsidRPr="00B148B1">
        <w:rPr>
          <w:rFonts w:cs="Arial"/>
          <w:szCs w:val="20"/>
        </w:rPr>
        <w:t>prikaz izvedenih investicij</w:t>
      </w:r>
      <w:r w:rsidR="00375FDB" w:rsidRPr="00B148B1">
        <w:rPr>
          <w:rFonts w:cs="Arial"/>
          <w:szCs w:val="20"/>
        </w:rPr>
        <w:t xml:space="preserve"> v obdobju predhodnega </w:t>
      </w:r>
      <w:r w:rsidR="007574AC" w:rsidRPr="00B148B1">
        <w:rPr>
          <w:rFonts w:cs="Arial"/>
          <w:szCs w:val="20"/>
        </w:rPr>
        <w:t>o</w:t>
      </w:r>
      <w:r w:rsidR="00375FDB" w:rsidRPr="00B148B1">
        <w:rPr>
          <w:rFonts w:cs="Arial"/>
          <w:szCs w:val="20"/>
        </w:rPr>
        <w:t>perativnega programa odvajanja in čiščenja komunalne odpadne vode</w:t>
      </w:r>
      <w:r w:rsidRPr="00B148B1">
        <w:rPr>
          <w:rFonts w:cs="Arial"/>
          <w:szCs w:val="20"/>
        </w:rPr>
        <w:t>;</w:t>
      </w:r>
    </w:p>
    <w:p w:rsidR="00D774EB" w:rsidRPr="00B148B1" w:rsidRDefault="00D774EB" w:rsidP="004C2581">
      <w:pPr>
        <w:numPr>
          <w:ilvl w:val="0"/>
          <w:numId w:val="7"/>
        </w:numPr>
        <w:tabs>
          <w:tab w:val="num" w:pos="360"/>
          <w:tab w:val="left" w:pos="9600"/>
        </w:tabs>
        <w:spacing w:before="120" w:line="280" w:lineRule="atLeast"/>
        <w:ind w:left="357" w:hanging="357"/>
        <w:rPr>
          <w:rFonts w:cs="Arial"/>
          <w:szCs w:val="20"/>
        </w:rPr>
      </w:pPr>
      <w:r w:rsidRPr="00B148B1">
        <w:rPr>
          <w:rFonts w:cs="Arial"/>
          <w:szCs w:val="20"/>
        </w:rPr>
        <w:t>prikaz načrtovanih investicij za vsako posamezno aglomeracijo s skupno obremenitvijo, enako ali večjo od 2.000 PE, ločeno za javno kanalizacijsko omrežje in komunalno čistilno napravo;</w:t>
      </w:r>
    </w:p>
    <w:p w:rsidR="00D774EB" w:rsidRPr="00B148B1" w:rsidRDefault="00D774EB" w:rsidP="004C2581">
      <w:pPr>
        <w:numPr>
          <w:ilvl w:val="0"/>
          <w:numId w:val="7"/>
        </w:numPr>
        <w:tabs>
          <w:tab w:val="num" w:pos="360"/>
          <w:tab w:val="left" w:pos="9600"/>
        </w:tabs>
        <w:spacing w:before="120" w:line="280" w:lineRule="atLeast"/>
        <w:ind w:left="357" w:hanging="357"/>
        <w:rPr>
          <w:rFonts w:cs="Arial"/>
          <w:szCs w:val="20"/>
        </w:rPr>
      </w:pPr>
      <w:r w:rsidRPr="00B148B1">
        <w:rPr>
          <w:rFonts w:cs="Arial"/>
          <w:szCs w:val="20"/>
        </w:rPr>
        <w:t>prikaz načrtovanih investicij za vsako posamezno aglomeracijo s skupno obremenitvijo, manjšo od 2.000 PE, ločeno za javno kanalizacijsko omrežje in komunalno čistilno napravo</w:t>
      </w:r>
      <w:r w:rsidR="007574AC" w:rsidRPr="00B148B1">
        <w:rPr>
          <w:rFonts w:cs="Arial"/>
          <w:szCs w:val="20"/>
        </w:rPr>
        <w:t>,</w:t>
      </w:r>
      <w:r w:rsidRPr="00B148B1">
        <w:rPr>
          <w:rFonts w:cs="Arial"/>
          <w:szCs w:val="20"/>
        </w:rPr>
        <w:t xml:space="preserve"> in</w:t>
      </w:r>
    </w:p>
    <w:p w:rsidR="00D774EB" w:rsidRPr="00B148B1" w:rsidRDefault="00D774EB" w:rsidP="004C2581">
      <w:pPr>
        <w:numPr>
          <w:ilvl w:val="0"/>
          <w:numId w:val="7"/>
        </w:numPr>
        <w:tabs>
          <w:tab w:val="num" w:pos="360"/>
          <w:tab w:val="left" w:pos="9600"/>
        </w:tabs>
        <w:spacing w:before="120" w:line="280" w:lineRule="atLeast"/>
        <w:ind w:left="357" w:hanging="357"/>
        <w:rPr>
          <w:rFonts w:cs="Arial"/>
          <w:szCs w:val="20"/>
        </w:rPr>
      </w:pPr>
      <w:r w:rsidRPr="00B148B1">
        <w:rPr>
          <w:rFonts w:cs="Arial"/>
          <w:szCs w:val="20"/>
        </w:rPr>
        <w:t>prikaz razvitosti javne kanalizacije v občinah v skladu s predpisom, ki ureja merila za določanje razvitosti infrastrukture in obremenjenosti okolja zaradi ugotavljanja deleža plačila občini za koncesijo na naravni dobrini.</w:t>
      </w:r>
      <w:r w:rsidR="00531F16" w:rsidRPr="00B148B1">
        <w:rPr>
          <w:rFonts w:cs="Arial"/>
          <w:szCs w:val="20"/>
        </w:rPr>
        <w:t xml:space="preserve"> </w:t>
      </w:r>
    </w:p>
    <w:p w:rsidR="00D774EB" w:rsidRPr="00B148B1" w:rsidRDefault="00D774EB" w:rsidP="00D774EB">
      <w:pPr>
        <w:tabs>
          <w:tab w:val="num" w:pos="360"/>
          <w:tab w:val="left" w:pos="9600"/>
        </w:tabs>
        <w:spacing w:before="120" w:line="280" w:lineRule="atLeast"/>
        <w:rPr>
          <w:rFonts w:cs="Arial"/>
          <w:szCs w:val="20"/>
        </w:rPr>
      </w:pPr>
      <w:r w:rsidRPr="00B148B1">
        <w:rPr>
          <w:rFonts w:cs="Arial"/>
          <w:szCs w:val="20"/>
        </w:rPr>
        <w:t>Z operativnim programom odvajanja in čiščenja komunalne odpadne vode se na podlagi analize stanja na področju odvajanja in čiščenja komunaln</w:t>
      </w:r>
      <w:r w:rsidR="00E35B33" w:rsidRPr="00B148B1">
        <w:rPr>
          <w:rFonts w:cs="Arial"/>
          <w:szCs w:val="20"/>
        </w:rPr>
        <w:t xml:space="preserve">e odpadne vode določijo ukrepi </w:t>
      </w:r>
      <w:r w:rsidRPr="00B148B1">
        <w:rPr>
          <w:rFonts w:cs="Arial"/>
          <w:szCs w:val="20"/>
        </w:rPr>
        <w:t>za</w:t>
      </w:r>
      <w:r w:rsidR="00E35B33" w:rsidRPr="00B148B1">
        <w:rPr>
          <w:rFonts w:cs="Arial"/>
          <w:szCs w:val="20"/>
        </w:rPr>
        <w:t xml:space="preserve"> izpolnjevanje zahtev glede</w:t>
      </w:r>
      <w:r w:rsidR="00531F16" w:rsidRPr="00B148B1">
        <w:rPr>
          <w:rFonts w:cs="Arial"/>
          <w:szCs w:val="20"/>
        </w:rPr>
        <w:t xml:space="preserve"> </w:t>
      </w:r>
      <w:r w:rsidRPr="00B148B1">
        <w:rPr>
          <w:rFonts w:cs="Arial"/>
          <w:szCs w:val="20"/>
        </w:rPr>
        <w:t xml:space="preserve">opremljenosti </w:t>
      </w:r>
      <w:r w:rsidR="00E35B33" w:rsidRPr="00B148B1">
        <w:rPr>
          <w:rFonts w:cs="Arial"/>
          <w:szCs w:val="20"/>
        </w:rPr>
        <w:t xml:space="preserve">oziroma izboljšanje stopnje opremljenosti </w:t>
      </w:r>
      <w:r w:rsidRPr="00B148B1">
        <w:rPr>
          <w:rFonts w:cs="Arial"/>
          <w:szCs w:val="20"/>
        </w:rPr>
        <w:t>z infrastrukturo za odvajanje in čiščenje komunalne odpadne vode.</w:t>
      </w:r>
    </w:p>
    <w:p w:rsidR="00D774EB" w:rsidRPr="00B148B1" w:rsidRDefault="00D774EB" w:rsidP="00385BB8">
      <w:pPr>
        <w:pStyle w:val="Naslov2"/>
      </w:pPr>
      <w:bookmarkStart w:id="4" w:name="_Toc50628034"/>
      <w:r w:rsidRPr="00B148B1">
        <w:lastRenderedPageBreak/>
        <w:t>Pomen zakonodaje EU</w:t>
      </w:r>
      <w:bookmarkEnd w:id="4"/>
    </w:p>
    <w:p w:rsidR="00D774EB" w:rsidRPr="00B148B1" w:rsidRDefault="00D774EB" w:rsidP="00385BB8">
      <w:pPr>
        <w:pStyle w:val="Naslov3"/>
      </w:pPr>
      <w:bookmarkStart w:id="5" w:name="_Toc50628035"/>
      <w:r w:rsidRPr="00B148B1">
        <w:t>Direktiva 91/271/EGS</w:t>
      </w:r>
      <w:r w:rsidR="00CF12C7" w:rsidRPr="00B148B1">
        <w:t xml:space="preserve"> o čiščenju komunalne odpadne vode</w:t>
      </w:r>
      <w:bookmarkEnd w:id="5"/>
    </w:p>
    <w:p w:rsidR="00D774EB" w:rsidRPr="00B148B1" w:rsidRDefault="00CF12C7" w:rsidP="00D774EB">
      <w:pPr>
        <w:tabs>
          <w:tab w:val="num" w:pos="360"/>
          <w:tab w:val="left" w:pos="9600"/>
        </w:tabs>
        <w:spacing w:before="120" w:line="280" w:lineRule="atLeast"/>
        <w:rPr>
          <w:rFonts w:cs="Arial"/>
          <w:szCs w:val="20"/>
        </w:rPr>
      </w:pPr>
      <w:r w:rsidRPr="00B148B1">
        <w:rPr>
          <w:rFonts w:cs="Arial"/>
          <w:szCs w:val="20"/>
        </w:rPr>
        <w:t xml:space="preserve">Direktiva Sveta št. 91/271/EGS z dne 21. maja 1991 o čiščenju komunalne odpadne vode (UL L št. 135 z dne 30. 5. 1991, str. 40), zadnjič spremenjena z Direktivo Sveta 2013/64/EU z dne 17. decembra 2013 o spremembi direktiv Sveta 91/271/EGS in 1999/74/EC ter direktiv 2000/60/ES, 2006/7/ES, 2006/25/ES in 2011/24/EU Evropskega parlamenta in Sveta zaradi spremembe položaja </w:t>
      </w:r>
      <w:proofErr w:type="spellStart"/>
      <w:r w:rsidRPr="00B148B1">
        <w:rPr>
          <w:rFonts w:cs="Arial"/>
          <w:szCs w:val="20"/>
        </w:rPr>
        <w:t>Mayotta</w:t>
      </w:r>
      <w:proofErr w:type="spellEnd"/>
      <w:r w:rsidRPr="00B148B1">
        <w:rPr>
          <w:rFonts w:cs="Arial"/>
          <w:szCs w:val="20"/>
        </w:rPr>
        <w:t xml:space="preserve"> v razmerju do Evropske unije (UL L št. 353 z dne 28. 12. 2013, str. 8; v nadaljnjem besedilu: </w:t>
      </w:r>
      <w:r w:rsidR="00D774EB" w:rsidRPr="00B148B1">
        <w:rPr>
          <w:rFonts w:cs="Arial"/>
          <w:szCs w:val="20"/>
        </w:rPr>
        <w:t>Direktiva 91/271/EGS</w:t>
      </w:r>
      <w:r w:rsidRPr="00B148B1">
        <w:rPr>
          <w:rFonts w:cs="Arial"/>
          <w:szCs w:val="20"/>
        </w:rPr>
        <w:t>)</w:t>
      </w:r>
      <w:r w:rsidR="00D774EB" w:rsidRPr="00B148B1">
        <w:rPr>
          <w:rFonts w:cs="Arial"/>
          <w:szCs w:val="20"/>
        </w:rPr>
        <w:t xml:space="preserve"> je </w:t>
      </w:r>
      <w:r w:rsidR="007574AC" w:rsidRPr="00B148B1">
        <w:rPr>
          <w:rFonts w:cs="Arial"/>
          <w:szCs w:val="20"/>
        </w:rPr>
        <w:t xml:space="preserve">med </w:t>
      </w:r>
      <w:r w:rsidR="00D774EB" w:rsidRPr="00B148B1">
        <w:rPr>
          <w:rFonts w:cs="Arial"/>
          <w:szCs w:val="20"/>
        </w:rPr>
        <w:t>najpomembnejši</w:t>
      </w:r>
      <w:r w:rsidR="007574AC" w:rsidRPr="00B148B1">
        <w:rPr>
          <w:rFonts w:cs="Arial"/>
          <w:szCs w:val="20"/>
        </w:rPr>
        <w:t>mi</w:t>
      </w:r>
      <w:r w:rsidR="00D774EB" w:rsidRPr="00B148B1">
        <w:rPr>
          <w:rFonts w:cs="Arial"/>
          <w:szCs w:val="20"/>
        </w:rPr>
        <w:t xml:space="preserve"> </w:t>
      </w:r>
      <w:r w:rsidR="00712111" w:rsidRPr="00B148B1">
        <w:rPr>
          <w:rFonts w:cs="Arial"/>
          <w:szCs w:val="20"/>
        </w:rPr>
        <w:t xml:space="preserve">sredstvi </w:t>
      </w:r>
      <w:r w:rsidR="00D774EB" w:rsidRPr="00B148B1">
        <w:rPr>
          <w:rFonts w:cs="Arial"/>
          <w:szCs w:val="20"/>
        </w:rPr>
        <w:t xml:space="preserve">vodne politike v Evropi. Njen cilj je varstvo voda pred škodljivimi vplivi odvajanja komunalne odpadne vode iz aglomeracij </w:t>
      </w:r>
      <w:r w:rsidR="000A0403" w:rsidRPr="00B148B1">
        <w:rPr>
          <w:rFonts w:cs="Arial"/>
          <w:szCs w:val="20"/>
        </w:rPr>
        <w:t xml:space="preserve">in </w:t>
      </w:r>
      <w:r w:rsidR="00D774EB" w:rsidRPr="00B148B1">
        <w:rPr>
          <w:rFonts w:cs="Arial"/>
          <w:szCs w:val="20"/>
        </w:rPr>
        <w:t xml:space="preserve">biološko razgradljive industrijske odpadne vode iz kmetijsko-živilskega sektorja. Hkrati </w:t>
      </w:r>
      <w:r w:rsidR="00E50754" w:rsidRPr="00B148B1">
        <w:rPr>
          <w:rFonts w:cs="Arial"/>
          <w:szCs w:val="20"/>
        </w:rPr>
        <w:t xml:space="preserve">je </w:t>
      </w:r>
      <w:r w:rsidR="00D774EB" w:rsidRPr="00B148B1">
        <w:rPr>
          <w:rFonts w:cs="Arial"/>
          <w:szCs w:val="20"/>
        </w:rPr>
        <w:t xml:space="preserve">izvajanje Direktive 91/271/EGS </w:t>
      </w:r>
      <w:r w:rsidR="00C067DE" w:rsidRPr="00B148B1">
        <w:rPr>
          <w:rFonts w:cs="Arial"/>
          <w:szCs w:val="20"/>
        </w:rPr>
        <w:t>med</w:t>
      </w:r>
      <w:r w:rsidR="00D774EB" w:rsidRPr="00B148B1">
        <w:rPr>
          <w:rFonts w:cs="Arial"/>
          <w:szCs w:val="20"/>
        </w:rPr>
        <w:t xml:space="preserve"> ključni</w:t>
      </w:r>
      <w:r w:rsidR="00C067DE" w:rsidRPr="00B148B1">
        <w:rPr>
          <w:rFonts w:cs="Arial"/>
          <w:szCs w:val="20"/>
        </w:rPr>
        <w:t>mi</w:t>
      </w:r>
      <w:r w:rsidR="00D774EB" w:rsidRPr="00B148B1">
        <w:rPr>
          <w:rFonts w:cs="Arial"/>
          <w:szCs w:val="20"/>
        </w:rPr>
        <w:t xml:space="preserve"> izziv</w:t>
      </w:r>
      <w:r w:rsidR="00C067DE" w:rsidRPr="00B148B1">
        <w:rPr>
          <w:rFonts w:cs="Arial"/>
          <w:szCs w:val="20"/>
        </w:rPr>
        <w:t>i</w:t>
      </w:r>
      <w:r w:rsidR="00D774EB" w:rsidRPr="00B148B1">
        <w:rPr>
          <w:rFonts w:cs="Arial"/>
          <w:szCs w:val="20"/>
        </w:rPr>
        <w:t xml:space="preserve"> s finančnega in načrtovalskega vidika, saj je izvedba predpisanih ukrepov povezana z velikimi naložbami v infrastrukturo za odvajanje in čiščenje komunalnih odpadnih voda.</w:t>
      </w:r>
    </w:p>
    <w:p w:rsidR="00D774EB" w:rsidRPr="00B148B1" w:rsidRDefault="00D774EB" w:rsidP="00D774EB">
      <w:pPr>
        <w:tabs>
          <w:tab w:val="num" w:pos="360"/>
          <w:tab w:val="left" w:pos="9600"/>
        </w:tabs>
        <w:spacing w:before="120" w:line="280" w:lineRule="atLeast"/>
        <w:rPr>
          <w:rFonts w:cs="Arial"/>
          <w:szCs w:val="20"/>
        </w:rPr>
      </w:pPr>
      <w:r w:rsidRPr="00B148B1">
        <w:rPr>
          <w:rFonts w:cs="Arial"/>
          <w:szCs w:val="20"/>
        </w:rPr>
        <w:t>Cilj Direktive 91/271/EGS je zagotavljanje opremljenosti aglomeracij s skupno obremenitvijo, enako ali večjo od 2.000 PE, z infrastrukturo za odvajanje in čiščenje komunalne odpadne vode ter zagotavljanje ustreznega čiščenja komunalne odpadne vode iz aglomeracij s skupno obremenitvijo, manjšo od 2.000 PE, če se ta komunalna odpadna voda odvaja v kanalizacijsko omrežje.</w:t>
      </w:r>
    </w:p>
    <w:p w:rsidR="00D774EB" w:rsidRPr="00B148B1" w:rsidRDefault="00D774EB" w:rsidP="00D774EB">
      <w:pPr>
        <w:tabs>
          <w:tab w:val="left" w:pos="9600"/>
        </w:tabs>
        <w:spacing w:before="120" w:line="280" w:lineRule="atLeast"/>
        <w:rPr>
          <w:rFonts w:cs="Arial"/>
          <w:szCs w:val="20"/>
        </w:rPr>
      </w:pPr>
      <w:r w:rsidRPr="00B148B1">
        <w:rPr>
          <w:rFonts w:cs="Arial"/>
          <w:szCs w:val="20"/>
        </w:rPr>
        <w:t>Direktiva 91/271/EGS je bila sprejeta let</w:t>
      </w:r>
      <w:r w:rsidR="00C067DE" w:rsidRPr="00B148B1">
        <w:rPr>
          <w:rFonts w:cs="Arial"/>
          <w:szCs w:val="20"/>
        </w:rPr>
        <w:t>a</w:t>
      </w:r>
      <w:r w:rsidRPr="00B148B1">
        <w:rPr>
          <w:rFonts w:cs="Arial"/>
          <w:szCs w:val="20"/>
        </w:rPr>
        <w:t xml:space="preserve"> 1991 in določa naslednje obveznosti v zvezi z odvajanjem in čiščenjem komunalnih odpadnih voda:</w:t>
      </w:r>
    </w:p>
    <w:p w:rsidR="00D774EB" w:rsidRPr="00B148B1" w:rsidRDefault="00D774EB" w:rsidP="00385BB8">
      <w:pPr>
        <w:numPr>
          <w:ilvl w:val="0"/>
          <w:numId w:val="2"/>
        </w:numPr>
        <w:tabs>
          <w:tab w:val="left" w:pos="9600"/>
        </w:tabs>
        <w:spacing w:before="120" w:line="280" w:lineRule="atLeast"/>
        <w:rPr>
          <w:rFonts w:cs="Arial"/>
          <w:szCs w:val="20"/>
        </w:rPr>
      </w:pPr>
      <w:r w:rsidRPr="00B148B1">
        <w:rPr>
          <w:rFonts w:cs="Arial"/>
          <w:szCs w:val="20"/>
        </w:rPr>
        <w:t>zagotavljanje odvajanja komunalne odpadne vode po kanalizacijskih sistemih za vse aglomeracije s skupno obremenitvijo:</w:t>
      </w:r>
    </w:p>
    <w:p w:rsidR="00D774EB" w:rsidRPr="00B148B1" w:rsidRDefault="00D774EB" w:rsidP="004C2581">
      <w:pPr>
        <w:numPr>
          <w:ilvl w:val="0"/>
          <w:numId w:val="6"/>
        </w:numPr>
        <w:tabs>
          <w:tab w:val="left" w:pos="9600"/>
        </w:tabs>
        <w:spacing w:before="120" w:line="280" w:lineRule="atLeast"/>
        <w:rPr>
          <w:rFonts w:cs="Arial"/>
          <w:szCs w:val="20"/>
        </w:rPr>
      </w:pPr>
      <w:r w:rsidRPr="00B148B1">
        <w:rPr>
          <w:rFonts w:cs="Arial"/>
          <w:szCs w:val="20"/>
        </w:rPr>
        <w:t>enako ali večjo od 15.000 PE najpozneje do 31. decembra 2000,</w:t>
      </w:r>
    </w:p>
    <w:p w:rsidR="00D774EB" w:rsidRPr="00B148B1" w:rsidRDefault="00D774EB" w:rsidP="004C2581">
      <w:pPr>
        <w:numPr>
          <w:ilvl w:val="0"/>
          <w:numId w:val="6"/>
        </w:numPr>
        <w:tabs>
          <w:tab w:val="left" w:pos="9600"/>
        </w:tabs>
        <w:spacing w:before="120" w:line="280" w:lineRule="atLeast"/>
        <w:rPr>
          <w:rFonts w:cs="Arial"/>
          <w:szCs w:val="20"/>
        </w:rPr>
      </w:pPr>
      <w:r w:rsidRPr="00B148B1">
        <w:rPr>
          <w:rFonts w:cs="Arial"/>
          <w:szCs w:val="20"/>
        </w:rPr>
        <w:t>enako ali večjo od 2.000 PE in manjšo od 15.000 PE najpozneje do 31. decembra 2005 in</w:t>
      </w:r>
    </w:p>
    <w:p w:rsidR="00D774EB" w:rsidRPr="00B148B1" w:rsidRDefault="00D774EB" w:rsidP="004C2581">
      <w:pPr>
        <w:numPr>
          <w:ilvl w:val="0"/>
          <w:numId w:val="6"/>
        </w:numPr>
        <w:tabs>
          <w:tab w:val="left" w:pos="9600"/>
        </w:tabs>
        <w:spacing w:before="120" w:line="280" w:lineRule="atLeast"/>
        <w:rPr>
          <w:rFonts w:cs="Arial"/>
          <w:szCs w:val="20"/>
        </w:rPr>
      </w:pPr>
      <w:r w:rsidRPr="00B148B1">
        <w:rPr>
          <w:rFonts w:cs="Arial"/>
          <w:szCs w:val="20"/>
        </w:rPr>
        <w:t>enako ali večjo od 10.000 PE, iz katerih se odpadna voda odvaja v občutljiva območja ali v vode na prispevnih območjih občutljivih območij in lahko vpliva na njihovo stanje, najpozneje do 31. decembra 1998;</w:t>
      </w:r>
    </w:p>
    <w:p w:rsidR="00D774EB" w:rsidRPr="00B148B1" w:rsidRDefault="00D774EB" w:rsidP="00385BB8">
      <w:pPr>
        <w:numPr>
          <w:ilvl w:val="0"/>
          <w:numId w:val="2"/>
        </w:numPr>
        <w:tabs>
          <w:tab w:val="left" w:pos="9600"/>
        </w:tabs>
        <w:spacing w:before="120" w:line="280" w:lineRule="atLeast"/>
        <w:rPr>
          <w:rFonts w:cs="Arial"/>
          <w:szCs w:val="20"/>
        </w:rPr>
      </w:pPr>
      <w:r w:rsidRPr="00B148B1">
        <w:rPr>
          <w:rFonts w:cs="Arial"/>
          <w:szCs w:val="20"/>
        </w:rPr>
        <w:t>zagotavljanje sekundarnega čiščenja komunalne odpadne vode, ki vstopa v kanalizacijske sisteme, za vse aglomeracije s skupno obremenitvijo:</w:t>
      </w:r>
    </w:p>
    <w:p w:rsidR="00D774EB" w:rsidRPr="00B148B1" w:rsidRDefault="00D774EB" w:rsidP="004C2581">
      <w:pPr>
        <w:numPr>
          <w:ilvl w:val="0"/>
          <w:numId w:val="6"/>
        </w:numPr>
        <w:tabs>
          <w:tab w:val="left" w:pos="9600"/>
        </w:tabs>
        <w:spacing w:before="120" w:line="280" w:lineRule="atLeast"/>
        <w:rPr>
          <w:rFonts w:cs="Arial"/>
          <w:szCs w:val="20"/>
        </w:rPr>
      </w:pPr>
      <w:r w:rsidRPr="00B148B1">
        <w:rPr>
          <w:rFonts w:cs="Arial"/>
          <w:szCs w:val="20"/>
        </w:rPr>
        <w:t>enako ali večjo od 15.000 PE najpozneje do 31. decembra 2000,</w:t>
      </w:r>
    </w:p>
    <w:p w:rsidR="00D774EB" w:rsidRPr="00B148B1" w:rsidRDefault="00D774EB" w:rsidP="004C2581">
      <w:pPr>
        <w:numPr>
          <w:ilvl w:val="0"/>
          <w:numId w:val="6"/>
        </w:numPr>
        <w:tabs>
          <w:tab w:val="left" w:pos="9600"/>
        </w:tabs>
        <w:spacing w:before="120" w:line="280" w:lineRule="atLeast"/>
        <w:rPr>
          <w:rFonts w:cs="Arial"/>
          <w:szCs w:val="20"/>
        </w:rPr>
      </w:pPr>
      <w:r w:rsidRPr="00B148B1">
        <w:rPr>
          <w:rFonts w:cs="Arial"/>
          <w:szCs w:val="20"/>
        </w:rPr>
        <w:t>enako ali večjo od 10.000 in manjšo od 15.000 PE najpozneje do 31. decembra 2005 in</w:t>
      </w:r>
    </w:p>
    <w:p w:rsidR="00D774EB" w:rsidRPr="00B148B1" w:rsidRDefault="00D774EB" w:rsidP="004C2581">
      <w:pPr>
        <w:numPr>
          <w:ilvl w:val="0"/>
          <w:numId w:val="6"/>
        </w:numPr>
        <w:tabs>
          <w:tab w:val="left" w:pos="9600"/>
        </w:tabs>
        <w:spacing w:before="120" w:line="280" w:lineRule="atLeast"/>
        <w:rPr>
          <w:rFonts w:cs="Arial"/>
          <w:szCs w:val="20"/>
        </w:rPr>
      </w:pPr>
      <w:r w:rsidRPr="00B148B1">
        <w:rPr>
          <w:rFonts w:cs="Arial"/>
          <w:szCs w:val="20"/>
        </w:rPr>
        <w:t>enako ali večjo od 2.000 in manjšo od 10.000 PE z izpusti v sladke vode in estuarije najpozneje do 31. decembra 2005;</w:t>
      </w:r>
    </w:p>
    <w:p w:rsidR="00D774EB" w:rsidRPr="00B148B1" w:rsidRDefault="00D774EB" w:rsidP="00385BB8">
      <w:pPr>
        <w:numPr>
          <w:ilvl w:val="0"/>
          <w:numId w:val="2"/>
        </w:numPr>
        <w:tabs>
          <w:tab w:val="left" w:pos="9600"/>
        </w:tabs>
        <w:spacing w:before="120" w:line="280" w:lineRule="atLeast"/>
        <w:rPr>
          <w:rFonts w:cs="Arial"/>
          <w:szCs w:val="20"/>
        </w:rPr>
      </w:pPr>
      <w:r w:rsidRPr="00B148B1">
        <w:rPr>
          <w:rFonts w:cs="Arial"/>
          <w:szCs w:val="20"/>
        </w:rPr>
        <w:t>zagotavljanje strožjega postopka čiščenja komunalne odpadne vode, ki vstopa v kanalizacijske sisteme z izpusti v občutljiva območja ali v vode na prispevnih območjih občutljivih območij in lahko vpliva na njihovo stanje, za vse aglomeracije s skupno obremenitvijo:</w:t>
      </w:r>
    </w:p>
    <w:p w:rsidR="00D774EB" w:rsidRPr="00B148B1" w:rsidRDefault="00D774EB" w:rsidP="004C2581">
      <w:pPr>
        <w:numPr>
          <w:ilvl w:val="0"/>
          <w:numId w:val="6"/>
        </w:numPr>
        <w:tabs>
          <w:tab w:val="left" w:pos="9600"/>
        </w:tabs>
        <w:spacing w:before="120" w:line="280" w:lineRule="atLeast"/>
        <w:rPr>
          <w:rFonts w:cs="Arial"/>
          <w:szCs w:val="20"/>
        </w:rPr>
      </w:pPr>
      <w:r w:rsidRPr="00B148B1">
        <w:rPr>
          <w:rFonts w:cs="Arial"/>
          <w:szCs w:val="20"/>
        </w:rPr>
        <w:t>enako ali večjo od 10.000 PE najpozneje do 31. decembra 1998;</w:t>
      </w:r>
    </w:p>
    <w:p w:rsidR="00D774EB" w:rsidRPr="00B148B1" w:rsidRDefault="00D774EB" w:rsidP="00385BB8">
      <w:pPr>
        <w:numPr>
          <w:ilvl w:val="0"/>
          <w:numId w:val="2"/>
        </w:numPr>
        <w:tabs>
          <w:tab w:val="left" w:pos="9600"/>
        </w:tabs>
        <w:spacing w:before="120" w:line="280" w:lineRule="atLeast"/>
        <w:rPr>
          <w:rFonts w:cs="Arial"/>
          <w:szCs w:val="20"/>
        </w:rPr>
      </w:pPr>
      <w:r w:rsidRPr="00B148B1">
        <w:rPr>
          <w:rFonts w:cs="Arial"/>
          <w:szCs w:val="20"/>
        </w:rPr>
        <w:t>zagotavljanje primernega postopka čiščenja komunalne odpadne vode, ki vstopa v kanalizacijske sisteme, za vse aglomeracije s skupno obremenitvijo:</w:t>
      </w:r>
    </w:p>
    <w:p w:rsidR="00D774EB" w:rsidRPr="00B148B1" w:rsidRDefault="00D774EB" w:rsidP="004C2581">
      <w:pPr>
        <w:numPr>
          <w:ilvl w:val="0"/>
          <w:numId w:val="6"/>
        </w:numPr>
        <w:tabs>
          <w:tab w:val="left" w:pos="9600"/>
        </w:tabs>
        <w:spacing w:before="120" w:line="280" w:lineRule="atLeast"/>
        <w:rPr>
          <w:rFonts w:cs="Arial"/>
          <w:szCs w:val="20"/>
        </w:rPr>
      </w:pPr>
      <w:r w:rsidRPr="00B148B1">
        <w:rPr>
          <w:rFonts w:cs="Arial"/>
          <w:szCs w:val="20"/>
        </w:rPr>
        <w:t>manjšo od 2.000 PE z izpusti v sladko vodo in estuarije najpozneje do 31. decembra 2005,</w:t>
      </w:r>
    </w:p>
    <w:p w:rsidR="00D774EB" w:rsidRPr="00B148B1" w:rsidRDefault="00D774EB" w:rsidP="004C2581">
      <w:pPr>
        <w:numPr>
          <w:ilvl w:val="0"/>
          <w:numId w:val="6"/>
        </w:numPr>
        <w:tabs>
          <w:tab w:val="left" w:pos="9600"/>
        </w:tabs>
        <w:spacing w:before="120" w:line="280" w:lineRule="atLeast"/>
        <w:rPr>
          <w:rFonts w:cs="Arial"/>
          <w:szCs w:val="20"/>
        </w:rPr>
      </w:pPr>
      <w:r w:rsidRPr="00B148B1">
        <w:rPr>
          <w:rFonts w:cs="Arial"/>
          <w:szCs w:val="20"/>
        </w:rPr>
        <w:t>manjšo od 10.000 PE z izpusti v obalne vode najpozneje do 31. decembra 2005;</w:t>
      </w:r>
    </w:p>
    <w:p w:rsidR="00D774EB" w:rsidRPr="00B148B1" w:rsidRDefault="00D774EB" w:rsidP="00385BB8">
      <w:pPr>
        <w:numPr>
          <w:ilvl w:val="0"/>
          <w:numId w:val="2"/>
        </w:numPr>
        <w:tabs>
          <w:tab w:val="left" w:pos="9600"/>
        </w:tabs>
        <w:spacing w:before="120" w:line="280" w:lineRule="atLeast"/>
        <w:rPr>
          <w:rFonts w:cs="Arial"/>
          <w:szCs w:val="20"/>
        </w:rPr>
      </w:pPr>
      <w:r w:rsidRPr="00B148B1">
        <w:rPr>
          <w:rFonts w:cs="Arial"/>
          <w:szCs w:val="20"/>
        </w:rPr>
        <w:lastRenderedPageBreak/>
        <w:t>določitev občutljivih območ</w:t>
      </w:r>
      <w:r w:rsidR="00C067DE" w:rsidRPr="00B148B1">
        <w:rPr>
          <w:rFonts w:cs="Arial"/>
          <w:szCs w:val="20"/>
        </w:rPr>
        <w:t>ij</w:t>
      </w:r>
      <w:r w:rsidRPr="00B148B1">
        <w:rPr>
          <w:rFonts w:cs="Arial"/>
          <w:szCs w:val="20"/>
        </w:rPr>
        <w:t xml:space="preserve"> in njihovih prispevnih območij, kjer se zahteva strožji postopek čiščenja, ter njihovo revizijo vsaka štiri leta;</w:t>
      </w:r>
    </w:p>
    <w:p w:rsidR="00D774EB" w:rsidRPr="00B148B1" w:rsidRDefault="00D774EB" w:rsidP="00385BB8">
      <w:pPr>
        <w:numPr>
          <w:ilvl w:val="0"/>
          <w:numId w:val="2"/>
        </w:numPr>
        <w:tabs>
          <w:tab w:val="left" w:pos="9600"/>
        </w:tabs>
        <w:spacing w:before="120" w:line="280" w:lineRule="atLeast"/>
        <w:rPr>
          <w:rFonts w:cs="Arial"/>
          <w:szCs w:val="20"/>
        </w:rPr>
      </w:pPr>
      <w:r w:rsidRPr="00B148B1">
        <w:rPr>
          <w:rFonts w:cs="Arial"/>
          <w:szCs w:val="20"/>
        </w:rPr>
        <w:t>pridobitev predhodnih dovoljenj za izpuste iz komunalnih čistilnih naprav;</w:t>
      </w:r>
    </w:p>
    <w:p w:rsidR="00181A0A" w:rsidRPr="00B148B1" w:rsidRDefault="00D774EB" w:rsidP="00385BB8">
      <w:pPr>
        <w:numPr>
          <w:ilvl w:val="0"/>
          <w:numId w:val="2"/>
        </w:numPr>
        <w:tabs>
          <w:tab w:val="left" w:pos="9600"/>
        </w:tabs>
        <w:spacing w:before="120" w:line="280" w:lineRule="atLeast"/>
        <w:rPr>
          <w:rFonts w:cs="Arial"/>
          <w:szCs w:val="20"/>
        </w:rPr>
      </w:pPr>
      <w:r w:rsidRPr="00B148B1">
        <w:rPr>
          <w:rFonts w:cs="Arial"/>
          <w:szCs w:val="20"/>
        </w:rPr>
        <w:t xml:space="preserve">pridobitev predhodnih dovoljenj za izpuste industrijske odpadne vode iz naprav oziroma dejavnosti za nekatere industrijske sektorje z biološko razgradljivo industrijsko odpadno vodo </w:t>
      </w:r>
      <w:r w:rsidR="00C067DE" w:rsidRPr="00B148B1">
        <w:rPr>
          <w:rFonts w:cs="Arial"/>
          <w:szCs w:val="20"/>
        </w:rPr>
        <w:t xml:space="preserve">in </w:t>
      </w:r>
      <w:r w:rsidRPr="00B148B1">
        <w:rPr>
          <w:rFonts w:cs="Arial"/>
          <w:szCs w:val="20"/>
        </w:rPr>
        <w:t xml:space="preserve">določitev ustreznih zahtev za te izpuste, kadar se industrijska odpadna voda ne odvaja v kanalizacijsko omrežje oziroma ne vstopa v komunalne čistilne naprave. </w:t>
      </w:r>
    </w:p>
    <w:p w:rsidR="00D774EB" w:rsidRPr="00B148B1" w:rsidRDefault="00D774EB" w:rsidP="00D774EB">
      <w:pPr>
        <w:tabs>
          <w:tab w:val="left" w:pos="9600"/>
        </w:tabs>
        <w:spacing w:before="120" w:line="280" w:lineRule="atLeast"/>
        <w:rPr>
          <w:rFonts w:cs="Arial"/>
          <w:szCs w:val="20"/>
        </w:rPr>
      </w:pPr>
      <w:r w:rsidRPr="00B148B1">
        <w:rPr>
          <w:rFonts w:cs="Arial"/>
          <w:szCs w:val="20"/>
        </w:rPr>
        <w:t>Direktiva 91/271/EGS določa tudi tri vrste poročevalskih obveznosti:</w:t>
      </w:r>
    </w:p>
    <w:p w:rsidR="00D774EB" w:rsidRPr="00B148B1" w:rsidRDefault="00D774EB"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 xml:space="preserve">poročanje v skladu s četrtim odstavkom 15. člena Direktive 91/271/EGS o podatkih, ki jih pristojni organi držav članic (DČ) zberejo v skladu s tem členom, </w:t>
      </w:r>
    </w:p>
    <w:p w:rsidR="00D774EB" w:rsidRPr="00B148B1" w:rsidRDefault="00D774EB"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poročanje v skladu s 16. členom Direktive 91/271/EGS o stanju pri odvajanju komunalne odpadne vode in blata na nacionalni ravni</w:t>
      </w:r>
      <w:r w:rsidR="006C2E70" w:rsidRPr="00B148B1">
        <w:rPr>
          <w:rFonts w:cs="Arial"/>
          <w:szCs w:val="20"/>
        </w:rPr>
        <w:t>,</w:t>
      </w:r>
      <w:r w:rsidRPr="00B148B1">
        <w:rPr>
          <w:rFonts w:cs="Arial"/>
          <w:szCs w:val="20"/>
        </w:rPr>
        <w:t xml:space="preserve"> in sicer je treba vsaki dve leti izdelati poročilo in ga objaviti za javnost</w:t>
      </w:r>
      <w:r w:rsidR="00C067DE" w:rsidRPr="00B148B1">
        <w:rPr>
          <w:rFonts w:cs="Arial"/>
          <w:szCs w:val="20"/>
        </w:rPr>
        <w:t xml:space="preserve"> ter</w:t>
      </w:r>
      <w:r w:rsidRPr="00B148B1">
        <w:rPr>
          <w:rFonts w:cs="Arial"/>
          <w:szCs w:val="20"/>
        </w:rPr>
        <w:t xml:space="preserve"> </w:t>
      </w:r>
      <w:r w:rsidR="00C067DE" w:rsidRPr="00B148B1">
        <w:rPr>
          <w:rFonts w:cs="Arial"/>
          <w:szCs w:val="20"/>
        </w:rPr>
        <w:t xml:space="preserve">ga </w:t>
      </w:r>
      <w:r w:rsidRPr="00B148B1">
        <w:rPr>
          <w:rFonts w:cs="Arial"/>
          <w:szCs w:val="20"/>
        </w:rPr>
        <w:t>takoj po njegovi objavi pos</w:t>
      </w:r>
      <w:r w:rsidR="00CE4506" w:rsidRPr="00B148B1">
        <w:rPr>
          <w:rFonts w:cs="Arial"/>
          <w:szCs w:val="20"/>
        </w:rPr>
        <w:t>lati</w:t>
      </w:r>
      <w:r w:rsidRPr="00B148B1">
        <w:rPr>
          <w:rFonts w:cs="Arial"/>
          <w:szCs w:val="20"/>
        </w:rPr>
        <w:t xml:space="preserve"> EK,</w:t>
      </w:r>
    </w:p>
    <w:p w:rsidR="00D774EB" w:rsidRPr="00B148B1" w:rsidRDefault="00D774EB"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poročanje v skladu s tretjim odstavkom 17. člena Direktive 91/271/EGS o najnovejših informacijah iz programa za izvajanje Direktive 91/271/EGS, in sicer je treba EK vsaki dve leti po potrebi priskrbeti najnovejše informacije iz tega programa.</w:t>
      </w:r>
    </w:p>
    <w:p w:rsidR="00D774EB" w:rsidRPr="00B148B1" w:rsidRDefault="00D774EB" w:rsidP="00D774EB">
      <w:pPr>
        <w:tabs>
          <w:tab w:val="num" w:pos="360"/>
          <w:tab w:val="left" w:pos="9600"/>
        </w:tabs>
        <w:spacing w:before="120" w:line="280" w:lineRule="atLeast"/>
        <w:rPr>
          <w:rFonts w:cs="Arial"/>
          <w:szCs w:val="20"/>
        </w:rPr>
      </w:pPr>
      <w:r w:rsidRPr="00B148B1">
        <w:rPr>
          <w:rFonts w:cs="Arial"/>
          <w:szCs w:val="20"/>
        </w:rPr>
        <w:t>Popolno izvajanje Direktive 91/271/EGS je predpogoj za doseganje:</w:t>
      </w:r>
    </w:p>
    <w:p w:rsidR="00602478" w:rsidRPr="00B148B1" w:rsidRDefault="00602478"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ciljev za vodno direktivo v skladu s predpisi, ki urejajo načrte upravljanja voda na vodnih območjih,</w:t>
      </w:r>
    </w:p>
    <w:p w:rsidR="00602478" w:rsidRPr="00B148B1" w:rsidRDefault="00602478"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ciljev za morsko okolje v skladu s predpisi, ki urejajo načrte upravljanja z morskim okolje</w:t>
      </w:r>
      <w:r w:rsidR="00EC137D" w:rsidRPr="00B148B1">
        <w:rPr>
          <w:rFonts w:cs="Arial"/>
          <w:szCs w:val="20"/>
        </w:rPr>
        <w:t>m</w:t>
      </w:r>
      <w:r w:rsidR="009614B0" w:rsidRPr="00B148B1">
        <w:rPr>
          <w:rFonts w:cs="Arial"/>
          <w:szCs w:val="20"/>
        </w:rPr>
        <w:t>,</w:t>
      </w:r>
      <w:r w:rsidRPr="00B148B1">
        <w:rPr>
          <w:rFonts w:cs="Arial"/>
          <w:szCs w:val="20"/>
        </w:rPr>
        <w:t xml:space="preserve"> in</w:t>
      </w:r>
    </w:p>
    <w:p w:rsidR="00437B6F" w:rsidRPr="00B148B1" w:rsidRDefault="00602478"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predpisane kakovosti kopalne vode v skladu s predpisi, ki urejajo upravljanje kakovosti kopalnih voda.</w:t>
      </w:r>
    </w:p>
    <w:p w:rsidR="00D774EB" w:rsidRPr="00B148B1" w:rsidRDefault="00D774EB" w:rsidP="00D774EB">
      <w:pPr>
        <w:tabs>
          <w:tab w:val="num" w:pos="360"/>
          <w:tab w:val="left" w:pos="9600"/>
        </w:tabs>
        <w:spacing w:before="120" w:line="280" w:lineRule="atLeast"/>
        <w:rPr>
          <w:rFonts w:cs="Arial"/>
          <w:szCs w:val="20"/>
        </w:rPr>
      </w:pPr>
      <w:r w:rsidRPr="00B148B1">
        <w:rPr>
          <w:rFonts w:cs="Arial"/>
          <w:szCs w:val="20"/>
        </w:rPr>
        <w:t xml:space="preserve">Za RS, ki je v Evropsko unijo (EU) vstopila po uveljavitvi Direktive 91/271/EGS, morajo biti zahteve iz Direktive 91/271/EGS izpolnjene v rokih, določenih v Aktu o pogojih pristopa Češke republike, Republike Estonije, Republike Cipra, Republike Latvije, Republike Litve, Republike Madžarske, Republike Malte, Republike Poljske, Republike Slovenije in Slovaške republike in prilagoditvah </w:t>
      </w:r>
      <w:r w:rsidR="00C067DE" w:rsidRPr="00B148B1">
        <w:rPr>
          <w:rFonts w:cs="Arial"/>
          <w:szCs w:val="20"/>
        </w:rPr>
        <w:t>p</w:t>
      </w:r>
      <w:r w:rsidRPr="00B148B1">
        <w:rPr>
          <w:rFonts w:cs="Arial"/>
          <w:szCs w:val="20"/>
        </w:rPr>
        <w:t xml:space="preserve">ogodb, na katerih temelji Evropska unija (UL L št. 236 z dne 23. 9. 2003, str. 33) (v nadaljnjem besedilu: </w:t>
      </w:r>
      <w:r w:rsidR="00C067DE" w:rsidRPr="00B148B1">
        <w:rPr>
          <w:rFonts w:cs="Arial"/>
          <w:szCs w:val="20"/>
        </w:rPr>
        <w:t>p</w:t>
      </w:r>
      <w:r w:rsidRPr="00B148B1">
        <w:rPr>
          <w:rFonts w:cs="Arial"/>
          <w:szCs w:val="20"/>
        </w:rPr>
        <w:t xml:space="preserve">ristopna pogodba RS k EU). </w:t>
      </w:r>
    </w:p>
    <w:p w:rsidR="00D774EB" w:rsidRPr="00B148B1" w:rsidRDefault="00D774EB" w:rsidP="00385BB8">
      <w:pPr>
        <w:pStyle w:val="Naslov3"/>
      </w:pPr>
      <w:bookmarkStart w:id="6" w:name="_Toc50628036"/>
      <w:r w:rsidRPr="00B148B1">
        <w:t>Direktiva 2008/98/ES o odpadkih</w:t>
      </w:r>
      <w:bookmarkEnd w:id="6"/>
    </w:p>
    <w:p w:rsidR="00D774EB" w:rsidRPr="00B148B1" w:rsidRDefault="00D774EB" w:rsidP="00664AB4">
      <w:pPr>
        <w:tabs>
          <w:tab w:val="num" w:pos="360"/>
          <w:tab w:val="left" w:pos="9600"/>
        </w:tabs>
        <w:spacing w:before="120" w:line="280" w:lineRule="atLeast"/>
        <w:rPr>
          <w:rFonts w:cs="Arial"/>
          <w:szCs w:val="20"/>
        </w:rPr>
      </w:pPr>
      <w:r w:rsidRPr="00B148B1">
        <w:rPr>
          <w:rFonts w:cs="Arial"/>
          <w:szCs w:val="20"/>
        </w:rPr>
        <w:t xml:space="preserve">Z Direktivo 2008/98/ES Evropskega parlamenta in Sveta z dne 19. novembra 2008 o odpadkih in razveljavitvi nekaterih direktiv (UL L št. 312 z dne 22. 11. 2008, str. 3), zadnjič spremenjeno z Direktivo Komisije (EU) 2015/1127 z dne 10. julija 2015 o spremembi Priloge II k Direktivi 2008/98/ES Evropskega parlamenta in Sveta o odpadkih in razveljavitvi nekaterih direktiv (UL L št. 184 z dne 11. 7. 2015, str. 13), (v nadaljnjem besedilu: Direktiva 2008/98/ES) je določeno, da se </w:t>
      </w:r>
      <w:r w:rsidR="00C20B9F" w:rsidRPr="00B148B1">
        <w:rPr>
          <w:rFonts w:cs="Arial"/>
          <w:szCs w:val="20"/>
        </w:rPr>
        <w:t xml:space="preserve">s </w:t>
      </w:r>
      <w:r w:rsidRPr="00B148B1">
        <w:rPr>
          <w:rFonts w:cs="Arial"/>
          <w:szCs w:val="20"/>
        </w:rPr>
        <w:t xml:space="preserve">področja njene uporabe </w:t>
      </w:r>
      <w:r w:rsidR="00C33048" w:rsidRPr="00B148B1">
        <w:rPr>
          <w:rFonts w:cs="Arial"/>
          <w:szCs w:val="20"/>
        </w:rPr>
        <w:t xml:space="preserve">izvzamejo odpadne vode </w:t>
      </w:r>
      <w:r w:rsidRPr="00B148B1">
        <w:rPr>
          <w:rFonts w:cs="Arial"/>
          <w:szCs w:val="20"/>
        </w:rPr>
        <w:t>v obsegu, ki ga ureja druga zakonodaja Skupnosti. Direktiva 2008/98/ES se tako ne uporablja za ravnanje s komunalno odpadno vodo ali ravnanje z biološko razgradl</w:t>
      </w:r>
      <w:r w:rsidR="00301F59" w:rsidRPr="00B148B1">
        <w:rPr>
          <w:rFonts w:cs="Arial"/>
          <w:szCs w:val="20"/>
        </w:rPr>
        <w:t>jivo odpadno vodo, ki je urejena</w:t>
      </w:r>
      <w:r w:rsidRPr="00B148B1">
        <w:rPr>
          <w:rFonts w:cs="Arial"/>
          <w:szCs w:val="20"/>
        </w:rPr>
        <w:t xml:space="preserve"> z Direktivo 91/271/EGS.</w:t>
      </w:r>
    </w:p>
    <w:p w:rsidR="00D774EB" w:rsidRPr="00B148B1" w:rsidRDefault="00D774EB" w:rsidP="00D774EB">
      <w:pPr>
        <w:tabs>
          <w:tab w:val="num" w:pos="360"/>
          <w:tab w:val="left" w:pos="9600"/>
        </w:tabs>
        <w:spacing w:before="120" w:line="280" w:lineRule="atLeast"/>
        <w:rPr>
          <w:rFonts w:cs="Arial"/>
          <w:szCs w:val="20"/>
        </w:rPr>
      </w:pPr>
      <w:r w:rsidRPr="00B148B1">
        <w:rPr>
          <w:rFonts w:cs="Arial"/>
          <w:szCs w:val="20"/>
        </w:rPr>
        <w:t xml:space="preserve">Glede na navedeno bi se za ravnanje s komunalno odpadno vodo, ki ni urejena z Direktivo 91/271/EGS, torej za ravnanje s komunalno odpadno vodo iz aglomeracij s skupno obremenitvijo, manjšo od 2.000 PE, kjer se komunalna odpadna voda ne odvaja v kanalizacijsko omrežje, ali za ravnanje s komunalno odpadno vodo, ki nastaja v objektih na območju </w:t>
      </w:r>
      <w:r w:rsidR="00C067DE" w:rsidRPr="00B148B1">
        <w:rPr>
          <w:rFonts w:cs="Arial"/>
          <w:szCs w:val="20"/>
        </w:rPr>
        <w:t xml:space="preserve">zunaj </w:t>
      </w:r>
      <w:r w:rsidRPr="00B148B1">
        <w:rPr>
          <w:rFonts w:cs="Arial"/>
          <w:szCs w:val="20"/>
        </w:rPr>
        <w:t xml:space="preserve">meja aglomeracij, morale uporabljati zahteve Direktive 2008/98/ES. </w:t>
      </w:r>
    </w:p>
    <w:p w:rsidR="00D774EB" w:rsidRPr="00B148B1" w:rsidRDefault="00D774EB" w:rsidP="00D774EB">
      <w:pPr>
        <w:tabs>
          <w:tab w:val="num" w:pos="360"/>
          <w:tab w:val="left" w:pos="9600"/>
        </w:tabs>
        <w:spacing w:before="120" w:line="280" w:lineRule="atLeast"/>
        <w:rPr>
          <w:rFonts w:cs="Arial"/>
          <w:szCs w:val="20"/>
        </w:rPr>
      </w:pPr>
      <w:r w:rsidRPr="00B148B1">
        <w:rPr>
          <w:rFonts w:cs="Arial"/>
          <w:szCs w:val="20"/>
        </w:rPr>
        <w:lastRenderedPageBreak/>
        <w:t xml:space="preserve">Ob upoštevanju navedenega je treba zagotoviti, da pravni red na ravni posamezne države članice ureja tudi zahteve v zvezi s komunalno odpadno vodo iz prejšnjega odstavka. V Sloveniji je ravnanje s to komunalno odpadno vodo urejeno z Uredbo o odvajanju in čiščenju komunalne odpadne vode. Ob upoštevanju zahtev v zvezi z uporabo Direktive 2008/98/ES se tako zahteve predpisov o odpadkih pri ravnanju s komunalno odpadno vodo </w:t>
      </w:r>
      <w:r w:rsidR="00301F59" w:rsidRPr="00B148B1">
        <w:rPr>
          <w:rFonts w:cs="Arial"/>
          <w:szCs w:val="20"/>
        </w:rPr>
        <w:t xml:space="preserve">v Sloveniji </w:t>
      </w:r>
      <w:r w:rsidRPr="00B148B1">
        <w:rPr>
          <w:rFonts w:cs="Arial"/>
          <w:szCs w:val="20"/>
        </w:rPr>
        <w:t xml:space="preserve">ne uporabljajo. </w:t>
      </w:r>
    </w:p>
    <w:p w:rsidR="00D774EB" w:rsidRPr="00B148B1" w:rsidRDefault="00D774EB" w:rsidP="00385BB8">
      <w:pPr>
        <w:pStyle w:val="Naslov3"/>
      </w:pPr>
      <w:bookmarkStart w:id="7" w:name="_Toc50628037"/>
      <w:r w:rsidRPr="00B148B1">
        <w:t>Direktiva 2000/60/ES (</w:t>
      </w:r>
      <w:r w:rsidR="00567E33" w:rsidRPr="00B148B1">
        <w:t>v</w:t>
      </w:r>
      <w:r w:rsidRPr="00B148B1">
        <w:t>odna direktiva)</w:t>
      </w:r>
      <w:bookmarkEnd w:id="7"/>
      <w:r w:rsidRPr="00B148B1">
        <w:t xml:space="preserve"> </w:t>
      </w:r>
    </w:p>
    <w:p w:rsidR="00D774EB" w:rsidRPr="00B148B1" w:rsidRDefault="00D774EB" w:rsidP="00D774EB">
      <w:pPr>
        <w:tabs>
          <w:tab w:val="num" w:pos="360"/>
          <w:tab w:val="left" w:pos="9600"/>
        </w:tabs>
        <w:spacing w:before="120" w:line="280" w:lineRule="atLeast"/>
        <w:rPr>
          <w:rFonts w:cs="Arial"/>
          <w:szCs w:val="20"/>
        </w:rPr>
      </w:pPr>
      <w:r w:rsidRPr="00B148B1">
        <w:rPr>
          <w:rFonts w:cs="Arial"/>
          <w:szCs w:val="20"/>
        </w:rPr>
        <w:t>Direktiva Evropskega parlamenta in Sveta 2000/60/ES z dne 23. oktobra 2000 o določitvi okvira za ukrepe Skupnosti na področju vodne politike (UL L št. 327 z dne 22. 12. 2000, str. 1), zadnjič spremenjena z Direktivo Komisije 2014/101/EU z dne 30. oktobra 2014 o spremembi Direktive Evropskega parlamenta in Sveta 2000/60/ES o določitvi okvira za ukrepe Skupnosti na področju vodne politike (UL L št. 311 z dne 31. 10. 2014, str. 32), (v nadaljnjem besedilu: Direktiva 2000/60/ES) ureja celovito načrtovanje upravljanja voda s ciljem doseganja dobrega stanja vseh voda v EU do konca leta 2015, z možnostjo podaljšanja rokov za doseganje posameznih ciljev načrtov upravljanja voda do konca leta 2021 oziroma</w:t>
      </w:r>
      <w:r w:rsidR="005535D3" w:rsidRPr="00B148B1">
        <w:rPr>
          <w:rFonts w:cs="Arial"/>
          <w:szCs w:val="20"/>
        </w:rPr>
        <w:t xml:space="preserve"> najpozneje</w:t>
      </w:r>
      <w:r w:rsidRPr="00B148B1">
        <w:rPr>
          <w:rFonts w:cs="Arial"/>
          <w:szCs w:val="20"/>
        </w:rPr>
        <w:t xml:space="preserve"> </w:t>
      </w:r>
      <w:r w:rsidR="007A2A77" w:rsidRPr="00B148B1">
        <w:rPr>
          <w:rFonts w:cs="Arial"/>
          <w:szCs w:val="20"/>
        </w:rPr>
        <w:t xml:space="preserve">do konca leta </w:t>
      </w:r>
      <w:r w:rsidRPr="00B148B1">
        <w:rPr>
          <w:rFonts w:cs="Arial"/>
          <w:szCs w:val="20"/>
        </w:rPr>
        <w:t xml:space="preserve">2027. Ureja tudi varstvo voda, ki se uporabljajo za odvzem pitne vode, da se prepreči poslabšanje njihove kakovosti </w:t>
      </w:r>
      <w:r w:rsidR="00C20B9F" w:rsidRPr="00B148B1">
        <w:rPr>
          <w:rFonts w:cs="Arial"/>
          <w:szCs w:val="20"/>
        </w:rPr>
        <w:t xml:space="preserve">in </w:t>
      </w:r>
      <w:r w:rsidR="00904B54" w:rsidRPr="00B148B1">
        <w:rPr>
          <w:rFonts w:cs="Arial"/>
          <w:szCs w:val="20"/>
        </w:rPr>
        <w:t>s tem</w:t>
      </w:r>
      <w:r w:rsidR="007A2A77" w:rsidRPr="00B148B1">
        <w:rPr>
          <w:rFonts w:cs="Arial"/>
          <w:szCs w:val="20"/>
        </w:rPr>
        <w:t xml:space="preserve"> </w:t>
      </w:r>
      <w:r w:rsidRPr="00B148B1">
        <w:rPr>
          <w:rFonts w:cs="Arial"/>
          <w:szCs w:val="20"/>
        </w:rPr>
        <w:t>zmanjša stopnja čiščenja, ki je potrebna za pripravo pitne vode.</w:t>
      </w:r>
    </w:p>
    <w:p w:rsidR="00D774EB" w:rsidRPr="00B148B1" w:rsidRDefault="00D774EB" w:rsidP="00D774EB">
      <w:pPr>
        <w:tabs>
          <w:tab w:val="num" w:pos="360"/>
          <w:tab w:val="left" w:pos="9600"/>
        </w:tabs>
        <w:spacing w:before="120" w:line="280" w:lineRule="atLeast"/>
        <w:rPr>
          <w:rFonts w:cs="Arial"/>
          <w:szCs w:val="20"/>
        </w:rPr>
      </w:pPr>
      <w:r w:rsidRPr="00B148B1">
        <w:rPr>
          <w:rFonts w:cs="Arial"/>
          <w:szCs w:val="20"/>
        </w:rPr>
        <w:t>Strategije za preprečevanje in nadzorovanje onesnaževanja podzemne vode v skladu s 17. členom vodne direktive podrobneje ureja njena t</w:t>
      </w:r>
      <w:r w:rsidR="00C20B9F" w:rsidRPr="00B148B1">
        <w:rPr>
          <w:rFonts w:cs="Arial"/>
          <w:szCs w:val="20"/>
        </w:rPr>
        <w:t>ako imenovana</w:t>
      </w:r>
      <w:r w:rsidRPr="00B148B1">
        <w:rPr>
          <w:rFonts w:cs="Arial"/>
          <w:szCs w:val="20"/>
        </w:rPr>
        <w:t xml:space="preserve"> hčerinska Direktiva 2006/118/ES o varstvu podzemne vode pred onesnaževanjem in poslabšanjem (UL L </w:t>
      </w:r>
      <w:r w:rsidR="00C20B9F" w:rsidRPr="00B148B1">
        <w:rPr>
          <w:rFonts w:cs="Arial"/>
          <w:szCs w:val="20"/>
        </w:rPr>
        <w:t xml:space="preserve">št. </w:t>
      </w:r>
      <w:r w:rsidRPr="00B148B1">
        <w:rPr>
          <w:rFonts w:cs="Arial"/>
          <w:szCs w:val="20"/>
        </w:rPr>
        <w:t>372 z dne 27.</w:t>
      </w:r>
      <w:r w:rsidR="00C20B9F" w:rsidRPr="00B148B1">
        <w:rPr>
          <w:rFonts w:cs="Arial"/>
          <w:szCs w:val="20"/>
        </w:rPr>
        <w:t xml:space="preserve"> </w:t>
      </w:r>
      <w:r w:rsidRPr="00B148B1">
        <w:rPr>
          <w:rFonts w:cs="Arial"/>
          <w:szCs w:val="20"/>
        </w:rPr>
        <w:t>12.</w:t>
      </w:r>
      <w:r w:rsidR="00C20B9F" w:rsidRPr="00B148B1">
        <w:rPr>
          <w:rFonts w:cs="Arial"/>
          <w:szCs w:val="20"/>
        </w:rPr>
        <w:t xml:space="preserve"> </w:t>
      </w:r>
      <w:r w:rsidRPr="00B148B1">
        <w:rPr>
          <w:rFonts w:cs="Arial"/>
          <w:szCs w:val="20"/>
        </w:rPr>
        <w:t>2006, str. 19), zadnjič spremenjena z Direktiv</w:t>
      </w:r>
      <w:r w:rsidR="00C20B9F" w:rsidRPr="00B148B1">
        <w:rPr>
          <w:rFonts w:cs="Arial"/>
          <w:szCs w:val="20"/>
        </w:rPr>
        <w:t>o</w:t>
      </w:r>
      <w:r w:rsidRPr="00B148B1">
        <w:rPr>
          <w:rFonts w:cs="Arial"/>
          <w:szCs w:val="20"/>
        </w:rPr>
        <w:t xml:space="preserve"> Komisije 2014/80/EU z dne 20. junija 2014 o spremembi Priloge II k Direktivi 2006/118/ES Evropskega parlamenta in Sveta o varstvu podzemne vode pred onesnaževanjem in poslabšanjem (UL L </w:t>
      </w:r>
      <w:r w:rsidR="00C20B9F" w:rsidRPr="00B148B1">
        <w:rPr>
          <w:rFonts w:cs="Arial"/>
          <w:szCs w:val="20"/>
        </w:rPr>
        <w:t xml:space="preserve">št. </w:t>
      </w:r>
      <w:r w:rsidRPr="00B148B1">
        <w:rPr>
          <w:rFonts w:cs="Arial"/>
          <w:szCs w:val="20"/>
        </w:rPr>
        <w:t>182 z dne 21.</w:t>
      </w:r>
      <w:r w:rsidR="00204566" w:rsidRPr="00B148B1">
        <w:rPr>
          <w:rFonts w:cs="Arial"/>
          <w:szCs w:val="20"/>
        </w:rPr>
        <w:t xml:space="preserve"> </w:t>
      </w:r>
      <w:r w:rsidRPr="00B148B1">
        <w:rPr>
          <w:rFonts w:cs="Arial"/>
          <w:szCs w:val="20"/>
        </w:rPr>
        <w:t>6.</w:t>
      </w:r>
      <w:r w:rsidR="00204566" w:rsidRPr="00B148B1">
        <w:rPr>
          <w:rFonts w:cs="Arial"/>
          <w:szCs w:val="20"/>
        </w:rPr>
        <w:t xml:space="preserve"> </w:t>
      </w:r>
      <w:r w:rsidRPr="00B148B1">
        <w:rPr>
          <w:rFonts w:cs="Arial"/>
          <w:szCs w:val="20"/>
        </w:rPr>
        <w:t>2014, str. 52) (v nadaljnjem besedilu: Direktiva 2006/118/ES). Direktiva 2006/118/ES v zvezi s tem določa obveznost izvajanja ukrepov za preprečevanje oziroma zmanjševanje vnosa onesnaževal v podzemne vode.</w:t>
      </w:r>
    </w:p>
    <w:p w:rsidR="00D774EB" w:rsidRPr="00B148B1" w:rsidRDefault="00D774EB" w:rsidP="00D774EB">
      <w:pPr>
        <w:tabs>
          <w:tab w:val="num" w:pos="360"/>
          <w:tab w:val="left" w:pos="9600"/>
        </w:tabs>
        <w:spacing w:before="120" w:line="280" w:lineRule="atLeast"/>
        <w:rPr>
          <w:rFonts w:cs="Arial"/>
          <w:szCs w:val="20"/>
        </w:rPr>
      </w:pPr>
      <w:r w:rsidRPr="00B148B1">
        <w:rPr>
          <w:rFonts w:cs="Arial"/>
          <w:szCs w:val="20"/>
        </w:rPr>
        <w:t>Za doseganje ciljev na področju celovitega načrtovanja upravljanja voda, vključno s cilji na področju preprečevanja oziroma zmanjševanja vnosa onesnaževal v podzemno vodo, je predpogoj tudi popolno izvajanje Direktive 91/271/EGS.</w:t>
      </w:r>
    </w:p>
    <w:p w:rsidR="00D774EB" w:rsidRPr="00B148B1" w:rsidRDefault="00D774EB" w:rsidP="00385BB8">
      <w:pPr>
        <w:pStyle w:val="Naslov3"/>
      </w:pPr>
      <w:bookmarkStart w:id="8" w:name="_Toc50628038"/>
      <w:r w:rsidRPr="00B148B1">
        <w:t>Direktiva 2008/56/ES (</w:t>
      </w:r>
      <w:r w:rsidR="00567E33" w:rsidRPr="00B148B1">
        <w:t>o</w:t>
      </w:r>
      <w:r w:rsidRPr="00B148B1">
        <w:t>kvirna direktiva o morski strategiji)</w:t>
      </w:r>
      <w:bookmarkEnd w:id="8"/>
    </w:p>
    <w:p w:rsidR="00D774EB" w:rsidRPr="00B148B1" w:rsidRDefault="00D774EB" w:rsidP="00D774EB">
      <w:pPr>
        <w:tabs>
          <w:tab w:val="num" w:pos="360"/>
          <w:tab w:val="left" w:pos="9600"/>
        </w:tabs>
        <w:spacing w:before="120" w:line="280" w:lineRule="atLeast"/>
        <w:rPr>
          <w:rFonts w:cs="Arial"/>
          <w:szCs w:val="20"/>
        </w:rPr>
      </w:pPr>
      <w:r w:rsidRPr="00B148B1">
        <w:rPr>
          <w:rFonts w:cs="Arial"/>
          <w:szCs w:val="20"/>
        </w:rPr>
        <w:t>Direktiva 2008/56/ES Evropskega parlamenta in Sveta z dne 17. junija 2008 o določitvi okvira za ukrepe Skupnosti na področju politike morskega okolja (</w:t>
      </w:r>
      <w:r w:rsidR="00C20B9F" w:rsidRPr="00B148B1">
        <w:rPr>
          <w:rFonts w:cs="Arial"/>
          <w:szCs w:val="20"/>
        </w:rPr>
        <w:t>o</w:t>
      </w:r>
      <w:r w:rsidRPr="00B148B1">
        <w:rPr>
          <w:rFonts w:cs="Arial"/>
          <w:szCs w:val="20"/>
        </w:rPr>
        <w:t xml:space="preserve">kvirna direktiva o morski strategiji) (UL L št. 164 z dne 25. 6. 2008, str. 19) ureja celovito načrtovanje upravljanja morskega okolja s ciljem trajnostne rabe morij in ohranjanja morskih ekosistemov. </w:t>
      </w:r>
    </w:p>
    <w:p w:rsidR="00D774EB" w:rsidRPr="00B148B1" w:rsidRDefault="00D774EB" w:rsidP="00D774EB">
      <w:pPr>
        <w:tabs>
          <w:tab w:val="num" w:pos="360"/>
          <w:tab w:val="left" w:pos="9600"/>
        </w:tabs>
        <w:spacing w:before="120" w:line="280" w:lineRule="atLeast"/>
        <w:rPr>
          <w:rFonts w:cs="Arial"/>
          <w:szCs w:val="20"/>
        </w:rPr>
      </w:pPr>
      <w:r w:rsidRPr="00B148B1">
        <w:rPr>
          <w:rFonts w:cs="Arial"/>
          <w:szCs w:val="20"/>
        </w:rPr>
        <w:t>Za doseganje ciljev na področju celovitega načrtovanja morskega okolja je predpogoj tudi popolno izvajanje Direktive 91/271/EGS.</w:t>
      </w:r>
    </w:p>
    <w:p w:rsidR="00D774EB" w:rsidRPr="00B148B1" w:rsidRDefault="00D774EB" w:rsidP="00385BB8">
      <w:pPr>
        <w:pStyle w:val="Naslov3"/>
      </w:pPr>
      <w:bookmarkStart w:id="9" w:name="_Toc50628039"/>
      <w:r w:rsidRPr="00B148B1">
        <w:t>Direktiva 2006/7/ES o upravljanju kakovosti kopalnih voda</w:t>
      </w:r>
      <w:bookmarkEnd w:id="9"/>
      <w:r w:rsidRPr="00B148B1">
        <w:t xml:space="preserve"> </w:t>
      </w:r>
    </w:p>
    <w:p w:rsidR="00D774EB" w:rsidRPr="00B148B1" w:rsidRDefault="00D774EB" w:rsidP="00D774EB">
      <w:pPr>
        <w:tabs>
          <w:tab w:val="num" w:pos="360"/>
          <w:tab w:val="left" w:pos="9600"/>
        </w:tabs>
        <w:spacing w:before="120" w:line="280" w:lineRule="atLeast"/>
        <w:rPr>
          <w:rFonts w:cs="Arial"/>
          <w:szCs w:val="20"/>
        </w:rPr>
      </w:pPr>
      <w:r w:rsidRPr="00B148B1">
        <w:rPr>
          <w:rFonts w:cs="Arial"/>
          <w:szCs w:val="20"/>
        </w:rPr>
        <w:t xml:space="preserve">Direktiva Evropskega parlamenta in Sveta 2006/7/ES z dne 15. februarja 2006 o upravljanju kakovosti kopalnih voda in razveljavitvi Direktive 76/160/EGS (UL L št. 64, z dne 4. 3. 2006, str. 37), zadnjič spremenjena z Direktivo Sveta 2013/64/EU z dne 17. decembra 2013 o spremembi direktiv Sveta 91/271/EGS in 1999/74/EC ter direktiv 2000/60/ES, 2006/7/ES, 2006/25/ES in 2011/24/EU Evropskega parlamenta in Sveta zaradi spremembe položaja </w:t>
      </w:r>
      <w:proofErr w:type="spellStart"/>
      <w:r w:rsidRPr="00B148B1">
        <w:rPr>
          <w:rFonts w:cs="Arial"/>
          <w:szCs w:val="20"/>
        </w:rPr>
        <w:t>Mayotta</w:t>
      </w:r>
      <w:proofErr w:type="spellEnd"/>
      <w:r w:rsidRPr="00B148B1">
        <w:rPr>
          <w:rFonts w:cs="Arial"/>
          <w:szCs w:val="20"/>
        </w:rPr>
        <w:t xml:space="preserve"> v razmerju do Evropske unije (UL L 353 z dne 28. 12. 2013, str. 8), določa zahteve v zvezi s kakovostjo kopalnih voda </w:t>
      </w:r>
      <w:r w:rsidR="00703206" w:rsidRPr="00B148B1">
        <w:rPr>
          <w:rFonts w:cs="Arial"/>
          <w:szCs w:val="20"/>
        </w:rPr>
        <w:t xml:space="preserve">in </w:t>
      </w:r>
      <w:r w:rsidRPr="00B148B1">
        <w:rPr>
          <w:rFonts w:cs="Arial"/>
          <w:szCs w:val="20"/>
        </w:rPr>
        <w:t xml:space="preserve">obveznost </w:t>
      </w:r>
      <w:r w:rsidRPr="00B148B1">
        <w:rPr>
          <w:rFonts w:cs="Arial"/>
          <w:szCs w:val="20"/>
        </w:rPr>
        <w:lastRenderedPageBreak/>
        <w:t xml:space="preserve">vzpostavitve sistema za zgodnje opozarjanje in obveščanje z namenom zagotavljanja zdravega in varnega kopanja v naravnih kopalnih vodah. </w:t>
      </w:r>
    </w:p>
    <w:p w:rsidR="00D774EB" w:rsidRPr="00B148B1" w:rsidRDefault="00D774EB" w:rsidP="00D774EB">
      <w:pPr>
        <w:tabs>
          <w:tab w:val="num" w:pos="360"/>
          <w:tab w:val="left" w:pos="9600"/>
        </w:tabs>
        <w:spacing w:before="120" w:line="280" w:lineRule="atLeast"/>
        <w:rPr>
          <w:rFonts w:cs="Arial"/>
          <w:szCs w:val="20"/>
        </w:rPr>
      </w:pPr>
      <w:r w:rsidRPr="00B148B1">
        <w:rPr>
          <w:rFonts w:cs="Arial"/>
          <w:szCs w:val="20"/>
        </w:rPr>
        <w:t xml:space="preserve">Za doseganje predpisane kakovosti kopalne vode, ki </w:t>
      </w:r>
      <w:r w:rsidR="00703206" w:rsidRPr="00B148B1">
        <w:rPr>
          <w:rFonts w:cs="Arial"/>
          <w:szCs w:val="20"/>
        </w:rPr>
        <w:t>je</w:t>
      </w:r>
      <w:r w:rsidRPr="00B148B1">
        <w:rPr>
          <w:rFonts w:cs="Arial"/>
          <w:szCs w:val="20"/>
        </w:rPr>
        <w:t xml:space="preserve"> dodatni cilj k okoljskim standardom kakovosti za vodna telesa površinskih voda v skladu z vodno direktivo, je predpogoj tudi popolno izvajanje Direktive 91/271/EGS.</w:t>
      </w:r>
    </w:p>
    <w:p w:rsidR="00D774EB" w:rsidRPr="00B148B1" w:rsidRDefault="00D774EB" w:rsidP="00385BB8">
      <w:pPr>
        <w:pStyle w:val="Naslov2"/>
      </w:pPr>
      <w:bookmarkStart w:id="10" w:name="_Toc50628040"/>
      <w:r w:rsidRPr="00B148B1">
        <w:t>Slovenska zakonodaja</w:t>
      </w:r>
      <w:bookmarkEnd w:id="10"/>
      <w:r w:rsidRPr="00B148B1">
        <w:t xml:space="preserve"> </w:t>
      </w:r>
    </w:p>
    <w:p w:rsidR="00D774EB" w:rsidRPr="00B148B1" w:rsidRDefault="00D774EB" w:rsidP="00D774EB">
      <w:pPr>
        <w:tabs>
          <w:tab w:val="left" w:pos="9600"/>
        </w:tabs>
        <w:spacing w:before="120" w:line="280" w:lineRule="atLeast"/>
        <w:rPr>
          <w:rFonts w:cs="Arial"/>
          <w:szCs w:val="20"/>
        </w:rPr>
      </w:pPr>
      <w:r w:rsidRPr="00B148B1">
        <w:rPr>
          <w:rFonts w:cs="Arial"/>
          <w:szCs w:val="20"/>
        </w:rPr>
        <w:t>Področje odvajanja in čiščenja komunalne odpadne vode ter izvajanje ukrepov iz Direktive 91/271/EGS v RS urejajo naslednji predpisi:</w:t>
      </w:r>
    </w:p>
    <w:p w:rsidR="006A753B" w:rsidRPr="00B148B1" w:rsidRDefault="006A753B" w:rsidP="004C2581">
      <w:pPr>
        <w:numPr>
          <w:ilvl w:val="0"/>
          <w:numId w:val="3"/>
        </w:numPr>
        <w:tabs>
          <w:tab w:val="left" w:pos="9600"/>
        </w:tabs>
        <w:spacing w:before="120" w:line="280" w:lineRule="atLeast"/>
        <w:rPr>
          <w:rFonts w:cs="Arial"/>
          <w:szCs w:val="20"/>
        </w:rPr>
      </w:pPr>
      <w:r w:rsidRPr="00B148B1">
        <w:rPr>
          <w:rFonts w:cs="Arial"/>
          <w:szCs w:val="20"/>
        </w:rPr>
        <w:t>Zakon o vodah (Uradni list RS, št. 67/02, 2/04 – ZZdrI-A, 41/04 – ZVO-1, 57/08, 57/12, 100/13, 40/14, 56/15 in 65/20)</w:t>
      </w:r>
      <w:r w:rsidR="00F66ED3" w:rsidRPr="00B148B1">
        <w:rPr>
          <w:rFonts w:cs="Arial"/>
          <w:szCs w:val="20"/>
        </w:rPr>
        <w:t>,</w:t>
      </w:r>
    </w:p>
    <w:p w:rsidR="00D774EB" w:rsidRPr="00B148B1" w:rsidRDefault="00D774EB" w:rsidP="004C2581">
      <w:pPr>
        <w:numPr>
          <w:ilvl w:val="0"/>
          <w:numId w:val="3"/>
        </w:numPr>
        <w:tabs>
          <w:tab w:val="left" w:pos="9600"/>
        </w:tabs>
        <w:spacing w:before="120" w:line="280" w:lineRule="atLeast"/>
        <w:rPr>
          <w:rFonts w:cs="Arial"/>
          <w:szCs w:val="20"/>
        </w:rPr>
      </w:pPr>
      <w:r w:rsidRPr="00B148B1">
        <w:rPr>
          <w:rFonts w:cs="Arial"/>
          <w:szCs w:val="20"/>
        </w:rPr>
        <w:t xml:space="preserve">Zakon </w:t>
      </w:r>
      <w:r w:rsidR="0022448A" w:rsidRPr="00B148B1">
        <w:rPr>
          <w:rFonts w:cs="Arial"/>
          <w:szCs w:val="20"/>
        </w:rPr>
        <w:t xml:space="preserve">o varstvu okolja (Uradni list RS, št. 39/06 – uradno prečiščeno besedilo, 49/06 – ZMetD, 66/06 – </w:t>
      </w:r>
      <w:proofErr w:type="spellStart"/>
      <w:r w:rsidR="0022448A" w:rsidRPr="00B148B1">
        <w:rPr>
          <w:rFonts w:cs="Arial"/>
          <w:szCs w:val="20"/>
        </w:rPr>
        <w:t>odl</w:t>
      </w:r>
      <w:proofErr w:type="spellEnd"/>
      <w:r w:rsidR="0022448A" w:rsidRPr="00B148B1">
        <w:rPr>
          <w:rFonts w:cs="Arial"/>
          <w:szCs w:val="20"/>
        </w:rPr>
        <w:t>. US, 33/07 – ZPNačrt, 57/08 – ZFO-1A, 70/08, 108/09, 108/09 – ZPNačrt-A, 48/12, 57/12, 92/13, 56/15, 102/15, 30/16, 61/17 – GZ</w:t>
      </w:r>
      <w:r w:rsidR="006D6BDC" w:rsidRPr="00B148B1">
        <w:rPr>
          <w:rFonts w:cs="Arial"/>
          <w:szCs w:val="20"/>
        </w:rPr>
        <w:t>,</w:t>
      </w:r>
      <w:r w:rsidR="0022448A" w:rsidRPr="00B148B1">
        <w:rPr>
          <w:rFonts w:cs="Arial"/>
          <w:szCs w:val="20"/>
        </w:rPr>
        <w:t xml:space="preserve"> 21/18 – </w:t>
      </w:r>
      <w:proofErr w:type="spellStart"/>
      <w:r w:rsidR="0022448A" w:rsidRPr="00B148B1">
        <w:rPr>
          <w:rFonts w:cs="Arial"/>
          <w:szCs w:val="20"/>
        </w:rPr>
        <w:t>ZNOrg</w:t>
      </w:r>
      <w:proofErr w:type="spellEnd"/>
      <w:r w:rsidR="001C3836" w:rsidRPr="00B148B1">
        <w:rPr>
          <w:rFonts w:cs="Arial"/>
          <w:szCs w:val="20"/>
        </w:rPr>
        <w:t xml:space="preserve"> in </w:t>
      </w:r>
      <w:r w:rsidR="00D2061D" w:rsidRPr="00B148B1">
        <w:rPr>
          <w:rFonts w:cs="Arial"/>
          <w:bCs/>
          <w:szCs w:val="20"/>
        </w:rPr>
        <w:t>84/18</w:t>
      </w:r>
      <w:r w:rsidR="001C3836" w:rsidRPr="00B148B1">
        <w:rPr>
          <w:rFonts w:cs="Arial"/>
          <w:bCs/>
          <w:szCs w:val="20"/>
        </w:rPr>
        <w:t xml:space="preserve"> – ZIURKOE</w:t>
      </w:r>
      <w:r w:rsidRPr="00B148B1">
        <w:rPr>
          <w:rFonts w:cs="Arial"/>
          <w:szCs w:val="20"/>
        </w:rPr>
        <w:t>),</w:t>
      </w:r>
    </w:p>
    <w:p w:rsidR="00D774EB" w:rsidRPr="00B148B1" w:rsidRDefault="00D774EB" w:rsidP="004C2581">
      <w:pPr>
        <w:numPr>
          <w:ilvl w:val="0"/>
          <w:numId w:val="3"/>
        </w:numPr>
        <w:tabs>
          <w:tab w:val="left" w:pos="9600"/>
        </w:tabs>
        <w:spacing w:before="120" w:line="280" w:lineRule="atLeast"/>
        <w:rPr>
          <w:rFonts w:cs="Arial"/>
          <w:szCs w:val="20"/>
        </w:rPr>
      </w:pPr>
      <w:r w:rsidRPr="00B148B1">
        <w:rPr>
          <w:rFonts w:cs="Arial"/>
          <w:szCs w:val="20"/>
        </w:rPr>
        <w:t xml:space="preserve">Zakon </w:t>
      </w:r>
      <w:r w:rsidR="0022448A" w:rsidRPr="00B148B1">
        <w:rPr>
          <w:rFonts w:cs="Arial"/>
          <w:szCs w:val="20"/>
        </w:rPr>
        <w:t>o gospodarskih javnih službah (Uradni list RS, št. 32/93, 30/98 – ZZLPPO, 127/06 – ZJZP, 38/10 – ZUKN in 57/11 – ORZGJS40</w:t>
      </w:r>
      <w:r w:rsidRPr="00B148B1">
        <w:rPr>
          <w:rFonts w:cs="Arial"/>
          <w:szCs w:val="20"/>
        </w:rPr>
        <w:t>),</w:t>
      </w:r>
    </w:p>
    <w:p w:rsidR="00D774EB" w:rsidRPr="00B148B1" w:rsidRDefault="00D774EB" w:rsidP="004C2581">
      <w:pPr>
        <w:numPr>
          <w:ilvl w:val="0"/>
          <w:numId w:val="3"/>
        </w:numPr>
        <w:tabs>
          <w:tab w:val="left" w:pos="9600"/>
        </w:tabs>
        <w:spacing w:before="120" w:line="280" w:lineRule="atLeast"/>
        <w:rPr>
          <w:rFonts w:cs="Arial"/>
          <w:szCs w:val="20"/>
        </w:rPr>
      </w:pPr>
      <w:r w:rsidRPr="00B148B1">
        <w:rPr>
          <w:rFonts w:cs="Arial"/>
          <w:szCs w:val="20"/>
        </w:rPr>
        <w:t xml:space="preserve">Zakon </w:t>
      </w:r>
      <w:r w:rsidR="0022448A" w:rsidRPr="00B148B1">
        <w:rPr>
          <w:rFonts w:cs="Arial"/>
          <w:szCs w:val="20"/>
        </w:rPr>
        <w:t xml:space="preserve">o financiranju občin (Uradni list RS, št. 123/06, 57/08, 36/11, 14/15 – ZUUJFO, 71/17 in 21/18 – </w:t>
      </w:r>
      <w:proofErr w:type="spellStart"/>
      <w:r w:rsidR="0022448A" w:rsidRPr="00B148B1">
        <w:rPr>
          <w:rFonts w:cs="Arial"/>
          <w:szCs w:val="20"/>
        </w:rPr>
        <w:t>popr</w:t>
      </w:r>
      <w:proofErr w:type="spellEnd"/>
      <w:r w:rsidR="0022448A" w:rsidRPr="00B148B1">
        <w:rPr>
          <w:rFonts w:cs="Arial"/>
          <w:szCs w:val="20"/>
        </w:rPr>
        <w:t>.</w:t>
      </w:r>
      <w:r w:rsidR="00D2061D" w:rsidRPr="00B148B1">
        <w:rPr>
          <w:rFonts w:cs="Arial"/>
          <w:szCs w:val="20"/>
        </w:rPr>
        <w:t xml:space="preserve"> </w:t>
      </w:r>
      <w:r w:rsidR="00D2061D" w:rsidRPr="00B148B1">
        <w:rPr>
          <w:rFonts w:cs="Arial"/>
          <w:bCs/>
          <w:color w:val="626060"/>
          <w:szCs w:val="20"/>
          <w:shd w:val="clear" w:color="auto" w:fill="FFFFFF"/>
        </w:rPr>
        <w:t>in </w:t>
      </w:r>
      <w:hyperlink r:id="rId14" w:tgtFrame="_blank" w:tooltip="Zakon o interventnih ukrepih za omilitev in odpravo posledic epidemije COVID-19" w:history="1">
        <w:r w:rsidR="00D2061D" w:rsidRPr="00B148B1">
          <w:rPr>
            <w:rStyle w:val="Hiperpovezava"/>
            <w:bCs/>
            <w:color w:val="auto"/>
            <w:szCs w:val="20"/>
            <w:u w:val="none"/>
            <w:shd w:val="clear" w:color="auto" w:fill="FFFFFF"/>
          </w:rPr>
          <w:t>80/20</w:t>
        </w:r>
      </w:hyperlink>
      <w:r w:rsidR="00D2061D" w:rsidRPr="00B148B1">
        <w:rPr>
          <w:rFonts w:cs="Arial"/>
          <w:bCs/>
          <w:szCs w:val="20"/>
          <w:shd w:val="clear" w:color="auto" w:fill="FFFFFF"/>
        </w:rPr>
        <w:t> – ZIUOOPE</w:t>
      </w:r>
      <w:r w:rsidR="0022448A" w:rsidRPr="00B148B1">
        <w:rPr>
          <w:rFonts w:cs="Arial"/>
          <w:szCs w:val="20"/>
        </w:rPr>
        <w:t>)</w:t>
      </w:r>
      <w:r w:rsidRPr="00B148B1">
        <w:rPr>
          <w:rFonts w:cs="Arial"/>
          <w:szCs w:val="20"/>
        </w:rPr>
        <w:t>,</w:t>
      </w:r>
    </w:p>
    <w:p w:rsidR="00D774EB" w:rsidRPr="00B148B1" w:rsidRDefault="00D774EB" w:rsidP="004C2581">
      <w:pPr>
        <w:numPr>
          <w:ilvl w:val="0"/>
          <w:numId w:val="3"/>
        </w:numPr>
        <w:tabs>
          <w:tab w:val="left" w:pos="9600"/>
        </w:tabs>
        <w:spacing w:before="120" w:line="280" w:lineRule="atLeast"/>
        <w:rPr>
          <w:rFonts w:cs="Arial"/>
          <w:szCs w:val="20"/>
        </w:rPr>
      </w:pPr>
      <w:r w:rsidRPr="00B148B1">
        <w:rPr>
          <w:rFonts w:cs="Arial"/>
          <w:szCs w:val="20"/>
        </w:rPr>
        <w:t xml:space="preserve">Uredba </w:t>
      </w:r>
      <w:r w:rsidR="00EA0834" w:rsidRPr="00B148B1">
        <w:rPr>
          <w:rFonts w:cs="Arial"/>
          <w:szCs w:val="20"/>
        </w:rPr>
        <w:t>o emisiji snovi in toplote pri odvajanju odpadnih voda v vode in javno kanalizacijo (Uradni list RS, št. 64/12, 64/14 in 98/15</w:t>
      </w:r>
      <w:r w:rsidRPr="00B148B1">
        <w:rPr>
          <w:rFonts w:cs="Arial"/>
          <w:szCs w:val="20"/>
        </w:rPr>
        <w:t>),</w:t>
      </w:r>
    </w:p>
    <w:p w:rsidR="00D774EB" w:rsidRPr="00B148B1" w:rsidRDefault="00D774EB" w:rsidP="004C2581">
      <w:pPr>
        <w:numPr>
          <w:ilvl w:val="0"/>
          <w:numId w:val="3"/>
        </w:numPr>
        <w:tabs>
          <w:tab w:val="left" w:pos="9600"/>
        </w:tabs>
        <w:spacing w:before="120" w:line="280" w:lineRule="atLeast"/>
        <w:rPr>
          <w:rFonts w:cs="Arial"/>
          <w:szCs w:val="20"/>
        </w:rPr>
      </w:pPr>
      <w:r w:rsidRPr="00B148B1">
        <w:rPr>
          <w:rFonts w:cs="Arial"/>
          <w:szCs w:val="20"/>
        </w:rPr>
        <w:t xml:space="preserve">Uredba o odvajanju in čiščenju komunalne odpadne vode </w:t>
      </w:r>
      <w:r w:rsidR="00EA0834" w:rsidRPr="00B148B1">
        <w:rPr>
          <w:rFonts w:cs="Arial"/>
          <w:szCs w:val="20"/>
        </w:rPr>
        <w:t xml:space="preserve">(Uradni list RS, št. 98/15, 76/17 in </w:t>
      </w:r>
      <w:r w:rsidR="001C3836" w:rsidRPr="00B148B1">
        <w:rPr>
          <w:rFonts w:cs="Arial"/>
          <w:szCs w:val="20"/>
        </w:rPr>
        <w:t>81/19</w:t>
      </w:r>
      <w:r w:rsidRPr="00B148B1">
        <w:rPr>
          <w:rFonts w:cs="Arial"/>
          <w:szCs w:val="20"/>
        </w:rPr>
        <w:t>),</w:t>
      </w:r>
    </w:p>
    <w:p w:rsidR="00D774EB" w:rsidRPr="00B148B1" w:rsidRDefault="00D774EB" w:rsidP="004C2581">
      <w:pPr>
        <w:numPr>
          <w:ilvl w:val="0"/>
          <w:numId w:val="3"/>
        </w:numPr>
        <w:tabs>
          <w:tab w:val="left" w:pos="9600"/>
        </w:tabs>
        <w:spacing w:before="120" w:line="280" w:lineRule="atLeast"/>
        <w:rPr>
          <w:rFonts w:cs="Arial"/>
          <w:szCs w:val="20"/>
        </w:rPr>
      </w:pPr>
      <w:r w:rsidRPr="00B148B1">
        <w:rPr>
          <w:rFonts w:cs="Arial"/>
          <w:szCs w:val="20"/>
        </w:rPr>
        <w:t>Uredba o metodologiji za oblikovanje cen storitev obveznih občinskih gospodarskih javnih služb varstva okolja (</w:t>
      </w:r>
      <w:r w:rsidR="0055695F" w:rsidRPr="00B148B1">
        <w:rPr>
          <w:rFonts w:cs="Arial"/>
          <w:szCs w:val="20"/>
        </w:rPr>
        <w:t>Uradni list RS, št. 87/12, 109/12</w:t>
      </w:r>
      <w:r w:rsidR="001C3836" w:rsidRPr="00B148B1">
        <w:rPr>
          <w:rFonts w:cs="Arial"/>
          <w:szCs w:val="20"/>
        </w:rPr>
        <w:t>,</w:t>
      </w:r>
      <w:r w:rsidR="0055695F" w:rsidRPr="00B148B1">
        <w:rPr>
          <w:rFonts w:cs="Arial"/>
          <w:szCs w:val="20"/>
        </w:rPr>
        <w:t>76/17</w:t>
      </w:r>
      <w:r w:rsidR="001C3836" w:rsidRPr="00B148B1">
        <w:rPr>
          <w:rFonts w:cs="Arial"/>
          <w:szCs w:val="20"/>
        </w:rPr>
        <w:t xml:space="preserve"> in 78/19</w:t>
      </w:r>
      <w:r w:rsidRPr="00B148B1">
        <w:rPr>
          <w:rFonts w:cs="Arial"/>
          <w:szCs w:val="20"/>
        </w:rPr>
        <w:t>),</w:t>
      </w:r>
    </w:p>
    <w:p w:rsidR="00D774EB" w:rsidRPr="00B148B1" w:rsidRDefault="00D774EB" w:rsidP="004C2581">
      <w:pPr>
        <w:numPr>
          <w:ilvl w:val="0"/>
          <w:numId w:val="3"/>
        </w:numPr>
        <w:tabs>
          <w:tab w:val="left" w:pos="9600"/>
        </w:tabs>
        <w:spacing w:before="120" w:line="280" w:lineRule="atLeast"/>
        <w:rPr>
          <w:rFonts w:cs="Arial"/>
          <w:szCs w:val="20"/>
        </w:rPr>
      </w:pPr>
      <w:r w:rsidRPr="00B148B1">
        <w:rPr>
          <w:rFonts w:cs="Arial"/>
          <w:szCs w:val="20"/>
        </w:rPr>
        <w:t>Uredba o okoljski dajatvi za onesnaževanje okolja zaradi odvajanja odpadnih voda (Uradni list RS, št. 80/12 in 98/15),</w:t>
      </w:r>
    </w:p>
    <w:p w:rsidR="00D774EB" w:rsidRPr="00B148B1" w:rsidRDefault="00D774EB" w:rsidP="004C2581">
      <w:pPr>
        <w:numPr>
          <w:ilvl w:val="0"/>
          <w:numId w:val="3"/>
        </w:numPr>
        <w:tabs>
          <w:tab w:val="left" w:pos="9600"/>
        </w:tabs>
        <w:spacing w:before="120" w:line="280" w:lineRule="atLeast"/>
        <w:rPr>
          <w:rFonts w:cs="Arial"/>
          <w:szCs w:val="20"/>
        </w:rPr>
      </w:pPr>
      <w:r w:rsidRPr="00B148B1">
        <w:rPr>
          <w:rFonts w:cs="Arial"/>
          <w:szCs w:val="20"/>
        </w:rPr>
        <w:t>Uredba o uporabi blata iz komunalnih čistilnih naprav v kmetijstvu (Uradni list RS, št. 62/08),</w:t>
      </w:r>
    </w:p>
    <w:p w:rsidR="00C228E8" w:rsidRPr="00B148B1" w:rsidRDefault="00C228E8" w:rsidP="004C2581">
      <w:pPr>
        <w:numPr>
          <w:ilvl w:val="0"/>
          <w:numId w:val="3"/>
        </w:numPr>
        <w:tabs>
          <w:tab w:val="left" w:pos="9600"/>
        </w:tabs>
        <w:spacing w:before="120" w:line="280" w:lineRule="atLeast"/>
        <w:rPr>
          <w:rFonts w:cs="Arial"/>
          <w:szCs w:val="20"/>
        </w:rPr>
      </w:pPr>
      <w:r w:rsidRPr="00B148B1">
        <w:rPr>
          <w:rFonts w:cs="Arial"/>
          <w:szCs w:val="20"/>
        </w:rPr>
        <w:t xml:space="preserve">Uredba o predelavi biološko razgradljivih odpadkov in uporabi komposta ali </w:t>
      </w:r>
      <w:proofErr w:type="spellStart"/>
      <w:r w:rsidRPr="00B148B1">
        <w:rPr>
          <w:rFonts w:cs="Arial"/>
          <w:szCs w:val="20"/>
        </w:rPr>
        <w:t>digestata</w:t>
      </w:r>
      <w:proofErr w:type="spellEnd"/>
      <w:r w:rsidRPr="00B148B1">
        <w:rPr>
          <w:rFonts w:cs="Arial"/>
          <w:szCs w:val="20"/>
        </w:rPr>
        <w:t xml:space="preserve"> (Uradni list RS, št. 99/13, 56/15 in 56/18),</w:t>
      </w:r>
    </w:p>
    <w:p w:rsidR="00D774EB" w:rsidRPr="00B148B1" w:rsidRDefault="00D774EB" w:rsidP="004C2581">
      <w:pPr>
        <w:numPr>
          <w:ilvl w:val="0"/>
          <w:numId w:val="3"/>
        </w:numPr>
        <w:tabs>
          <w:tab w:val="left" w:pos="9600"/>
        </w:tabs>
        <w:spacing w:before="120" w:line="280" w:lineRule="atLeast"/>
        <w:rPr>
          <w:rFonts w:cs="Arial"/>
          <w:szCs w:val="20"/>
        </w:rPr>
      </w:pPr>
      <w:r w:rsidRPr="00B148B1">
        <w:rPr>
          <w:rFonts w:cs="Arial"/>
          <w:szCs w:val="20"/>
        </w:rPr>
        <w:t>Pravilnik o občutljivih območ</w:t>
      </w:r>
      <w:r w:rsidR="0055695F" w:rsidRPr="00B148B1">
        <w:rPr>
          <w:rFonts w:cs="Arial"/>
          <w:szCs w:val="20"/>
        </w:rPr>
        <w:t>ji</w:t>
      </w:r>
      <w:r w:rsidR="00FE4687" w:rsidRPr="00B148B1">
        <w:rPr>
          <w:rFonts w:cs="Arial"/>
          <w:szCs w:val="20"/>
        </w:rPr>
        <w:t>h (Uradni list RS, št. 98/15),</w:t>
      </w:r>
    </w:p>
    <w:p w:rsidR="00D774EB" w:rsidRPr="00B148B1" w:rsidRDefault="00D774EB" w:rsidP="004C2581">
      <w:pPr>
        <w:numPr>
          <w:ilvl w:val="0"/>
          <w:numId w:val="3"/>
        </w:numPr>
        <w:tabs>
          <w:tab w:val="left" w:pos="9600"/>
        </w:tabs>
        <w:spacing w:before="120" w:line="280" w:lineRule="atLeast"/>
        <w:rPr>
          <w:rFonts w:cs="Arial"/>
          <w:szCs w:val="20"/>
        </w:rPr>
      </w:pPr>
      <w:r w:rsidRPr="00B148B1">
        <w:rPr>
          <w:rFonts w:cs="Arial"/>
          <w:szCs w:val="20"/>
        </w:rPr>
        <w:t xml:space="preserve">Pravilnik o prvih meritvah in obratovalnem </w:t>
      </w:r>
      <w:proofErr w:type="spellStart"/>
      <w:r w:rsidRPr="00B148B1">
        <w:rPr>
          <w:rFonts w:cs="Arial"/>
          <w:szCs w:val="20"/>
        </w:rPr>
        <w:t>monitoringu</w:t>
      </w:r>
      <w:proofErr w:type="spellEnd"/>
      <w:r w:rsidRPr="00B148B1">
        <w:rPr>
          <w:rFonts w:cs="Arial"/>
          <w:szCs w:val="20"/>
        </w:rPr>
        <w:t xml:space="preserve"> odpadnih voda (Urad</w:t>
      </w:r>
      <w:r w:rsidR="0055695F" w:rsidRPr="00B148B1">
        <w:rPr>
          <w:rFonts w:cs="Arial"/>
          <w:szCs w:val="20"/>
        </w:rPr>
        <w:t>ni list RS, št. 94/</w:t>
      </w:r>
      <w:r w:rsidR="004E0E05" w:rsidRPr="00B148B1">
        <w:rPr>
          <w:rFonts w:cs="Arial"/>
          <w:szCs w:val="20"/>
        </w:rPr>
        <w:t>14 in 98/15).</w:t>
      </w:r>
    </w:p>
    <w:p w:rsidR="00D774EB" w:rsidRPr="00B148B1" w:rsidRDefault="00D774EB" w:rsidP="00D774EB">
      <w:pPr>
        <w:tabs>
          <w:tab w:val="left" w:pos="9600"/>
        </w:tabs>
        <w:spacing w:before="120" w:line="280" w:lineRule="atLeast"/>
        <w:rPr>
          <w:rFonts w:cs="Arial"/>
          <w:szCs w:val="20"/>
        </w:rPr>
      </w:pPr>
      <w:r w:rsidRPr="00B148B1">
        <w:rPr>
          <w:rFonts w:cs="Arial"/>
          <w:szCs w:val="20"/>
        </w:rPr>
        <w:t>Na izvajanje zahtev iz predpisov, ki urejajo odvajanje in čiščenje komunalne odpadne vode, se nanašajo tudi posamezne zahteve naslednjih predpisov:</w:t>
      </w:r>
    </w:p>
    <w:p w:rsidR="00D774EB" w:rsidRPr="00B148B1" w:rsidRDefault="00D774EB"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Ure</w:t>
      </w:r>
      <w:r w:rsidR="00437B6F" w:rsidRPr="00B148B1">
        <w:rPr>
          <w:rFonts w:cs="Arial"/>
          <w:szCs w:val="20"/>
        </w:rPr>
        <w:t>d</w:t>
      </w:r>
      <w:r w:rsidRPr="00B148B1">
        <w:rPr>
          <w:rFonts w:cs="Arial"/>
          <w:szCs w:val="20"/>
        </w:rPr>
        <w:t>b</w:t>
      </w:r>
      <w:r w:rsidR="00703206" w:rsidRPr="00B148B1">
        <w:rPr>
          <w:rFonts w:cs="Arial"/>
          <w:szCs w:val="20"/>
        </w:rPr>
        <w:t>e</w:t>
      </w:r>
      <w:r w:rsidRPr="00B148B1">
        <w:rPr>
          <w:rFonts w:cs="Arial"/>
          <w:szCs w:val="20"/>
        </w:rPr>
        <w:t xml:space="preserve"> o upravljanju kakovosti kopalnih voda (Uradni list RS, št. 25/08), ki določa vplivna območja, kjer je treba v času kopalne sezone zaradi odstranjevanja mikrobiološkega onesnaženja zagotoviti dodatno obdelavo odpadne vode, če je to predpisano, in</w:t>
      </w:r>
    </w:p>
    <w:p w:rsidR="00D774EB" w:rsidRPr="00B148B1" w:rsidRDefault="00D774EB"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predpis</w:t>
      </w:r>
      <w:r w:rsidR="00703206" w:rsidRPr="00B148B1">
        <w:rPr>
          <w:rFonts w:cs="Arial"/>
          <w:szCs w:val="20"/>
        </w:rPr>
        <w:t>ov</w:t>
      </w:r>
      <w:r w:rsidRPr="00B148B1">
        <w:rPr>
          <w:rFonts w:cs="Arial"/>
          <w:szCs w:val="20"/>
        </w:rPr>
        <w:t xml:space="preserve"> o vodovarstvenih območjih, ki določajo vodovarstvena območja in režime na teh območjih.</w:t>
      </w:r>
    </w:p>
    <w:p w:rsidR="00D774EB" w:rsidRPr="00B148B1" w:rsidRDefault="00D774EB" w:rsidP="00D774EB">
      <w:pPr>
        <w:tabs>
          <w:tab w:val="left" w:pos="9600"/>
        </w:tabs>
        <w:spacing w:before="120" w:line="280" w:lineRule="atLeast"/>
        <w:rPr>
          <w:rFonts w:cs="Arial"/>
          <w:szCs w:val="20"/>
        </w:rPr>
      </w:pPr>
    </w:p>
    <w:p w:rsidR="00D774EB" w:rsidRPr="00B148B1" w:rsidRDefault="00D774EB" w:rsidP="00D774EB">
      <w:pPr>
        <w:tabs>
          <w:tab w:val="left" w:pos="9600"/>
        </w:tabs>
        <w:spacing w:before="120" w:line="280" w:lineRule="atLeast"/>
        <w:rPr>
          <w:rFonts w:cs="Arial"/>
          <w:szCs w:val="20"/>
        </w:rPr>
      </w:pPr>
      <w:r w:rsidRPr="00B148B1">
        <w:rPr>
          <w:rFonts w:cs="Arial"/>
          <w:szCs w:val="20"/>
        </w:rPr>
        <w:lastRenderedPageBreak/>
        <w:t xml:space="preserve">RS je v okviru pogajanj za vstop v EU </w:t>
      </w:r>
      <w:r w:rsidR="00B44CC7" w:rsidRPr="00B148B1">
        <w:rPr>
          <w:rFonts w:cs="Arial"/>
          <w:szCs w:val="20"/>
        </w:rPr>
        <w:t xml:space="preserve">uveljavila </w:t>
      </w:r>
      <w:r w:rsidRPr="00B148B1">
        <w:rPr>
          <w:rFonts w:cs="Arial"/>
          <w:szCs w:val="20"/>
        </w:rPr>
        <w:t xml:space="preserve">desetletne prehodne roke za izvedbo zahtev Direktive 91/271/EGS, ki so določeni v </w:t>
      </w:r>
      <w:r w:rsidR="00703206" w:rsidRPr="00B148B1">
        <w:rPr>
          <w:rFonts w:cs="Arial"/>
          <w:szCs w:val="20"/>
        </w:rPr>
        <w:t>p</w:t>
      </w:r>
      <w:r w:rsidRPr="00B148B1">
        <w:rPr>
          <w:rFonts w:cs="Arial"/>
          <w:szCs w:val="20"/>
        </w:rPr>
        <w:t xml:space="preserve">ristopni pogodbi RS k EU. Obenem je Vlada RS v slovenskih predpisih določila tudi nekatere strožje zahteve glede odvajanja in čiščenja komunalne odpadne vode, kot izhajajo iz Direktive 91/271/EGS in </w:t>
      </w:r>
      <w:r w:rsidR="00703206" w:rsidRPr="00B148B1">
        <w:rPr>
          <w:rFonts w:cs="Arial"/>
          <w:szCs w:val="20"/>
        </w:rPr>
        <w:t>p</w:t>
      </w:r>
      <w:r w:rsidRPr="00B148B1">
        <w:rPr>
          <w:rFonts w:cs="Arial"/>
          <w:szCs w:val="20"/>
        </w:rPr>
        <w:t xml:space="preserve">ristopne pogodbe RS k EU. Konkretne zahteve oziroma obveznosti na področju odvajanja in čiščenja komunalne odpadne vode </w:t>
      </w:r>
      <w:r w:rsidR="003F5D4E" w:rsidRPr="00B148B1">
        <w:rPr>
          <w:rFonts w:cs="Arial"/>
          <w:szCs w:val="20"/>
        </w:rPr>
        <w:t xml:space="preserve">za aglomeracije </w:t>
      </w:r>
      <w:r w:rsidRPr="00B148B1">
        <w:rPr>
          <w:rFonts w:cs="Arial"/>
          <w:szCs w:val="20"/>
        </w:rPr>
        <w:t>so podrobneje urejene v Uredbi o odvajanju in čiščenju komunalne odpadne vode</w:t>
      </w:r>
      <w:r w:rsidR="00B44CC7" w:rsidRPr="00B148B1">
        <w:rPr>
          <w:rFonts w:cs="Arial"/>
          <w:szCs w:val="20"/>
        </w:rPr>
        <w:t xml:space="preserve"> </w:t>
      </w:r>
      <w:r w:rsidR="00703206" w:rsidRPr="00B148B1">
        <w:rPr>
          <w:rFonts w:cs="Arial"/>
          <w:szCs w:val="20"/>
        </w:rPr>
        <w:t xml:space="preserve">ter </w:t>
      </w:r>
      <w:r w:rsidR="00B44CC7" w:rsidRPr="00B148B1">
        <w:rPr>
          <w:rFonts w:cs="Arial"/>
          <w:szCs w:val="20"/>
        </w:rPr>
        <w:t xml:space="preserve">pojasnjene v </w:t>
      </w:r>
      <w:r w:rsidR="00703206" w:rsidRPr="00B148B1">
        <w:rPr>
          <w:rFonts w:cs="Arial"/>
          <w:szCs w:val="20"/>
        </w:rPr>
        <w:t>pod</w:t>
      </w:r>
      <w:r w:rsidR="00B44CC7" w:rsidRPr="00B148B1">
        <w:rPr>
          <w:rFonts w:cs="Arial"/>
          <w:szCs w:val="20"/>
        </w:rPr>
        <w:t>poglavju</w:t>
      </w:r>
      <w:r w:rsidR="008A3EB8" w:rsidRPr="00B148B1">
        <w:rPr>
          <w:rFonts w:cs="Arial"/>
          <w:szCs w:val="20"/>
        </w:rPr>
        <w:t xml:space="preserve"> </w:t>
      </w:r>
      <w:r w:rsidR="008A3EB8" w:rsidRPr="00B148B1">
        <w:rPr>
          <w:rFonts w:cs="Arial"/>
          <w:szCs w:val="20"/>
        </w:rPr>
        <w:fldChar w:fldCharType="begin"/>
      </w:r>
      <w:r w:rsidR="008A3EB8" w:rsidRPr="00B148B1">
        <w:rPr>
          <w:rFonts w:cs="Arial"/>
          <w:szCs w:val="20"/>
        </w:rPr>
        <w:instrText xml:space="preserve"> REF _Ref41483121 \n \h </w:instrText>
      </w:r>
      <w:r w:rsidR="00B148B1" w:rsidRPr="00B148B1">
        <w:rPr>
          <w:rFonts w:cs="Arial"/>
          <w:szCs w:val="20"/>
        </w:rPr>
        <w:instrText xml:space="preserve"> \* MERGEFORMAT </w:instrText>
      </w:r>
      <w:r w:rsidR="008A3EB8" w:rsidRPr="00B148B1">
        <w:rPr>
          <w:rFonts w:cs="Arial"/>
          <w:szCs w:val="20"/>
        </w:rPr>
      </w:r>
      <w:r w:rsidR="008A3EB8" w:rsidRPr="00B148B1">
        <w:rPr>
          <w:rFonts w:cs="Arial"/>
          <w:szCs w:val="20"/>
        </w:rPr>
        <w:fldChar w:fldCharType="separate"/>
      </w:r>
      <w:r w:rsidR="00E92793">
        <w:rPr>
          <w:rFonts w:cs="Arial"/>
          <w:szCs w:val="20"/>
        </w:rPr>
        <w:t>1.3.5</w:t>
      </w:r>
      <w:r w:rsidR="008A3EB8" w:rsidRPr="00B148B1">
        <w:rPr>
          <w:rFonts w:cs="Arial"/>
          <w:szCs w:val="20"/>
        </w:rPr>
        <w:fldChar w:fldCharType="end"/>
      </w:r>
      <w:r w:rsidR="006366A3" w:rsidRPr="00B148B1">
        <w:rPr>
          <w:rFonts w:cs="Arial"/>
          <w:szCs w:val="20"/>
        </w:rPr>
        <w:t>.</w:t>
      </w:r>
      <w:r w:rsidR="00B44CC7" w:rsidRPr="00B148B1">
        <w:rPr>
          <w:rFonts w:cs="Arial"/>
          <w:szCs w:val="20"/>
        </w:rPr>
        <w:t xml:space="preserve"> tega operativnega programa</w:t>
      </w:r>
      <w:r w:rsidRPr="00B148B1">
        <w:rPr>
          <w:rFonts w:cs="Arial"/>
          <w:szCs w:val="20"/>
        </w:rPr>
        <w:t>.</w:t>
      </w:r>
    </w:p>
    <w:p w:rsidR="00D774EB" w:rsidRPr="00B148B1" w:rsidRDefault="00D774EB" w:rsidP="00385BB8">
      <w:pPr>
        <w:pStyle w:val="Naslov3"/>
      </w:pPr>
      <w:bookmarkStart w:id="11" w:name="_Toc50628041"/>
      <w:r w:rsidRPr="00B148B1">
        <w:t xml:space="preserve">Pomen </w:t>
      </w:r>
      <w:r w:rsidR="00EC4A02" w:rsidRPr="00B148B1">
        <w:t>izrazov</w:t>
      </w:r>
      <w:bookmarkEnd w:id="11"/>
    </w:p>
    <w:p w:rsidR="00D774EB" w:rsidRPr="00B148B1" w:rsidRDefault="002A0414" w:rsidP="00CE7C73">
      <w:r w:rsidRPr="00B148B1">
        <w:t>Izrazi</w:t>
      </w:r>
      <w:r w:rsidR="00D774EB" w:rsidRPr="00B148B1">
        <w:t>, uporabljeni v tem operativnem programu, imajo enak pomen, kot določa</w:t>
      </w:r>
      <w:r w:rsidRPr="00B148B1">
        <w:t>ta</w:t>
      </w:r>
      <w:r w:rsidR="00D774EB" w:rsidRPr="00B148B1">
        <w:t xml:space="preserve"> predpis, ki ureja emisijo snovi in toplote pri odvajanju odpadnih voda v vode in javno kanalizacijo, </w:t>
      </w:r>
      <w:r w:rsidR="009B268D" w:rsidRPr="00B148B1">
        <w:t>in</w:t>
      </w:r>
      <w:r w:rsidR="00D774EB" w:rsidRPr="00B148B1">
        <w:t xml:space="preserve"> predpis, ki ureja odvajanje in čiščenje komunalne odpadne vode. V nadaljevanju so podane obrazložitve najpogosteje uporabljenih oziroma ključnih </w:t>
      </w:r>
      <w:r w:rsidRPr="00B148B1">
        <w:t xml:space="preserve">izrazov </w:t>
      </w:r>
      <w:r w:rsidR="00D774EB" w:rsidRPr="00B148B1">
        <w:t>na področju odvajanja in čiščenja komunalne in padavinske odpadne vode.</w:t>
      </w:r>
    </w:p>
    <w:p w:rsidR="00D774EB" w:rsidRPr="00B148B1" w:rsidRDefault="00D774EB" w:rsidP="00D774EB">
      <w:pPr>
        <w:tabs>
          <w:tab w:val="num" w:pos="360"/>
          <w:tab w:val="left" w:pos="9600"/>
        </w:tabs>
        <w:spacing w:before="240" w:line="280" w:lineRule="atLeast"/>
        <w:rPr>
          <w:rFonts w:cs="Arial"/>
        </w:rPr>
      </w:pPr>
      <w:r w:rsidRPr="00B148B1">
        <w:rPr>
          <w:rFonts w:cs="Arial"/>
          <w:i/>
          <w:szCs w:val="20"/>
          <w:u w:val="single"/>
        </w:rPr>
        <w:t>Aglomeracija</w:t>
      </w:r>
      <w:r w:rsidRPr="00B148B1">
        <w:rPr>
          <w:rFonts w:cs="Arial"/>
          <w:i/>
          <w:szCs w:val="20"/>
        </w:rPr>
        <w:t xml:space="preserve"> </w:t>
      </w:r>
      <w:r w:rsidRPr="00B148B1">
        <w:rPr>
          <w:rFonts w:cs="Arial"/>
          <w:szCs w:val="20"/>
        </w:rPr>
        <w:t xml:space="preserve">je območje poselitve, </w:t>
      </w:r>
      <w:r w:rsidRPr="00B148B1">
        <w:rPr>
          <w:rFonts w:cs="Arial"/>
        </w:rPr>
        <w:t>kjer sta poseljenost ali izvajanje gospodarske ali druge dejavnosti zgoščena tako, da je mogoče zbiranje komunalne odpadne vode v kanalizaciji in njeno odvajanje po kanalizaciji v komunalno čistilno napravo ali na končno mesto izpusta.</w:t>
      </w:r>
    </w:p>
    <w:p w:rsidR="00B01F4C" w:rsidRPr="00B148B1" w:rsidRDefault="00B01F4C" w:rsidP="00B01F4C">
      <w:pPr>
        <w:tabs>
          <w:tab w:val="num" w:pos="360"/>
          <w:tab w:val="left" w:pos="9600"/>
        </w:tabs>
        <w:spacing w:before="240" w:line="280" w:lineRule="atLeast"/>
        <w:rPr>
          <w:rFonts w:cs="Arial"/>
          <w:szCs w:val="20"/>
        </w:rPr>
      </w:pPr>
      <w:r w:rsidRPr="00B148B1">
        <w:rPr>
          <w:rFonts w:cs="Arial"/>
          <w:i/>
          <w:szCs w:val="20"/>
          <w:u w:val="single"/>
        </w:rPr>
        <w:t>Blato</w:t>
      </w:r>
      <w:r w:rsidRPr="00B148B1">
        <w:rPr>
          <w:rFonts w:cs="Arial"/>
          <w:i/>
          <w:szCs w:val="20"/>
        </w:rPr>
        <w:t xml:space="preserve"> </w:t>
      </w:r>
      <w:r w:rsidRPr="00B148B1">
        <w:rPr>
          <w:rFonts w:cs="Arial"/>
          <w:szCs w:val="20"/>
        </w:rPr>
        <w:t>je preostalo obdelano ali neobdelano blato iz komunalnih čistilnih naprav in preostalo blato iz obstoječih pretočnih greznic.</w:t>
      </w:r>
    </w:p>
    <w:p w:rsidR="00B01F4C" w:rsidRPr="00B148B1" w:rsidRDefault="00B01F4C" w:rsidP="00B01F4C">
      <w:pPr>
        <w:tabs>
          <w:tab w:val="num" w:pos="360"/>
          <w:tab w:val="left" w:pos="9600"/>
        </w:tabs>
        <w:spacing w:before="240" w:line="280" w:lineRule="atLeast"/>
        <w:rPr>
          <w:rFonts w:cs="Arial"/>
          <w:szCs w:val="20"/>
        </w:rPr>
      </w:pPr>
      <w:r w:rsidRPr="00B148B1">
        <w:rPr>
          <w:rFonts w:cs="Arial"/>
          <w:i/>
          <w:szCs w:val="20"/>
          <w:u w:val="single"/>
        </w:rPr>
        <w:t>Čistilna naprava</w:t>
      </w:r>
      <w:r w:rsidRPr="00B148B1">
        <w:rPr>
          <w:rFonts w:cs="Arial"/>
          <w:i/>
          <w:szCs w:val="20"/>
        </w:rPr>
        <w:t xml:space="preserve"> </w:t>
      </w:r>
      <w:r w:rsidRPr="00B148B1">
        <w:rPr>
          <w:rFonts w:cs="Arial"/>
          <w:szCs w:val="20"/>
        </w:rPr>
        <w:t>je naprava za čiščenje odpadne vode, ki zmanjšuje ali odpravlja njeno onesnaženost.</w:t>
      </w:r>
    </w:p>
    <w:p w:rsidR="00B01F4C" w:rsidRPr="00B148B1" w:rsidRDefault="00B01F4C" w:rsidP="00B01F4C">
      <w:pPr>
        <w:tabs>
          <w:tab w:val="num" w:pos="360"/>
          <w:tab w:val="left" w:pos="9600"/>
        </w:tabs>
        <w:spacing w:before="240" w:line="280" w:lineRule="atLeast"/>
        <w:rPr>
          <w:rFonts w:cs="Arial"/>
          <w:szCs w:val="20"/>
        </w:rPr>
      </w:pPr>
      <w:r w:rsidRPr="00B148B1">
        <w:rPr>
          <w:rFonts w:cs="Arial"/>
          <w:i/>
          <w:szCs w:val="20"/>
          <w:u w:val="single"/>
        </w:rPr>
        <w:t>Dodatna obdelava</w:t>
      </w:r>
      <w:r w:rsidRPr="00B148B1">
        <w:rPr>
          <w:rFonts w:cs="Arial"/>
          <w:szCs w:val="20"/>
        </w:rPr>
        <w:t xml:space="preserve"> je obdelava komunalne odpadne vode s postopkom, s katerim se zmanjšuje ali odpravlja njena mikrobiološka onesnaženost tako, da mejne vrednosti mikrobioloških parametrov iz 9. člena Uredbe o odvajanju in čiščenju komunalne odpadne vode niso presežene.</w:t>
      </w:r>
    </w:p>
    <w:p w:rsidR="00B01F4C" w:rsidRPr="00B148B1" w:rsidRDefault="00B01F4C" w:rsidP="00B01F4C">
      <w:pPr>
        <w:tabs>
          <w:tab w:val="num" w:pos="360"/>
          <w:tab w:val="left" w:pos="9600"/>
        </w:tabs>
        <w:spacing w:before="240" w:line="280" w:lineRule="atLeast"/>
        <w:rPr>
          <w:rFonts w:cs="Arial"/>
          <w:szCs w:val="20"/>
        </w:rPr>
      </w:pPr>
      <w:r w:rsidRPr="00B148B1">
        <w:rPr>
          <w:rFonts w:cs="Arial"/>
          <w:i/>
          <w:szCs w:val="20"/>
          <w:u w:val="single"/>
        </w:rPr>
        <w:t>Investicija</w:t>
      </w:r>
      <w:r w:rsidRPr="00B148B1">
        <w:rPr>
          <w:rFonts w:cs="Arial"/>
          <w:i/>
          <w:szCs w:val="20"/>
        </w:rPr>
        <w:t xml:space="preserve"> </w:t>
      </w:r>
      <w:r w:rsidRPr="00B148B1">
        <w:rPr>
          <w:rFonts w:cs="Arial"/>
          <w:szCs w:val="20"/>
        </w:rPr>
        <w:t xml:space="preserve">je gradnja novih infrastrukturnih objektov ali naprav, rekonstrukcija obstoječih infrastrukturnih objektov ali naprav, njihova nadomestna gradnja ali nadomestitev infrastrukturnih objektov ali naprav, namenjenih </w:t>
      </w:r>
      <w:r w:rsidR="002A0414" w:rsidRPr="00B148B1">
        <w:rPr>
          <w:rFonts w:cs="Arial"/>
          <w:szCs w:val="20"/>
        </w:rPr>
        <w:t xml:space="preserve">za </w:t>
      </w:r>
      <w:r w:rsidRPr="00B148B1">
        <w:rPr>
          <w:rFonts w:cs="Arial"/>
          <w:szCs w:val="20"/>
        </w:rPr>
        <w:t>izvajanj</w:t>
      </w:r>
      <w:r w:rsidR="002A0414" w:rsidRPr="00B148B1">
        <w:rPr>
          <w:rFonts w:cs="Arial"/>
          <w:szCs w:val="20"/>
        </w:rPr>
        <w:t>e</w:t>
      </w:r>
      <w:r w:rsidRPr="00B148B1">
        <w:rPr>
          <w:rFonts w:cs="Arial"/>
          <w:szCs w:val="20"/>
        </w:rPr>
        <w:t xml:space="preserve"> javne službe.</w:t>
      </w:r>
    </w:p>
    <w:p w:rsidR="00B01F4C" w:rsidRPr="00B148B1" w:rsidRDefault="00B01F4C" w:rsidP="00B01F4C">
      <w:pPr>
        <w:tabs>
          <w:tab w:val="num" w:pos="360"/>
          <w:tab w:val="left" w:pos="9600"/>
        </w:tabs>
        <w:spacing w:before="240" w:line="280" w:lineRule="atLeast"/>
        <w:rPr>
          <w:rFonts w:cs="Arial"/>
          <w:szCs w:val="20"/>
        </w:rPr>
      </w:pPr>
      <w:r w:rsidRPr="00B148B1">
        <w:rPr>
          <w:rFonts w:cs="Arial"/>
          <w:i/>
          <w:szCs w:val="20"/>
          <w:u w:val="single"/>
        </w:rPr>
        <w:t>Izvajalec javne službe</w:t>
      </w:r>
      <w:r w:rsidRPr="00B148B1">
        <w:rPr>
          <w:rFonts w:cs="Arial"/>
          <w:i/>
          <w:szCs w:val="20"/>
        </w:rPr>
        <w:t xml:space="preserve"> </w:t>
      </w:r>
      <w:r w:rsidRPr="00B148B1">
        <w:rPr>
          <w:rFonts w:cs="Arial"/>
          <w:szCs w:val="20"/>
        </w:rPr>
        <w:t>je pravna ali fizična oseba, ki jo na predpisani način izbere ali določi občina v skladu s predpisi, ki urejajo gospodarske javne službe.</w:t>
      </w:r>
    </w:p>
    <w:p w:rsidR="00D774EB" w:rsidRPr="00B148B1" w:rsidRDefault="00D774EB" w:rsidP="00D774EB">
      <w:pPr>
        <w:tabs>
          <w:tab w:val="left" w:pos="9600"/>
        </w:tabs>
        <w:spacing w:before="120" w:line="280" w:lineRule="atLeast"/>
        <w:rPr>
          <w:rFonts w:cs="Arial"/>
          <w:szCs w:val="20"/>
        </w:rPr>
      </w:pPr>
      <w:r w:rsidRPr="00B148B1">
        <w:rPr>
          <w:rFonts w:cs="Arial"/>
          <w:i/>
          <w:szCs w:val="20"/>
          <w:u w:val="single"/>
        </w:rPr>
        <w:t>Javna kanalizacija</w:t>
      </w:r>
      <w:r w:rsidRPr="00B148B1">
        <w:rPr>
          <w:rFonts w:cs="Arial"/>
          <w:i/>
          <w:szCs w:val="20"/>
        </w:rPr>
        <w:t xml:space="preserve"> </w:t>
      </w:r>
      <w:r w:rsidRPr="00B148B1">
        <w:rPr>
          <w:rFonts w:cs="Arial"/>
          <w:szCs w:val="20"/>
        </w:rPr>
        <w:t xml:space="preserve">je kanalizacija, skupaj s čistilno napravo, ki zaključuje to kanalizacijo, ki je kot javna infrastruktura lokalnega pomena namenjena </w:t>
      </w:r>
      <w:r w:rsidR="002A0414" w:rsidRPr="00B148B1">
        <w:rPr>
          <w:rFonts w:cs="Arial"/>
          <w:szCs w:val="20"/>
        </w:rPr>
        <w:t xml:space="preserve">za </w:t>
      </w:r>
      <w:r w:rsidRPr="00B148B1">
        <w:rPr>
          <w:rFonts w:cs="Arial"/>
          <w:szCs w:val="20"/>
        </w:rPr>
        <w:t>izvajanj</w:t>
      </w:r>
      <w:r w:rsidR="002A0414" w:rsidRPr="00B148B1">
        <w:rPr>
          <w:rFonts w:cs="Arial"/>
          <w:szCs w:val="20"/>
        </w:rPr>
        <w:t>e</w:t>
      </w:r>
      <w:r w:rsidRPr="00B148B1">
        <w:rPr>
          <w:rFonts w:cs="Arial"/>
          <w:szCs w:val="20"/>
        </w:rPr>
        <w:t xml:space="preserve"> obvezne občinske gospodarske javne službe odvajanja in čiščenja komunalne in padavinske odpadne vode (v nadaljnjem besedilu: javna služba).</w:t>
      </w:r>
      <w:r w:rsidR="00531F16" w:rsidRPr="00B148B1">
        <w:rPr>
          <w:rFonts w:cs="Arial"/>
          <w:szCs w:val="20"/>
        </w:rPr>
        <w:t xml:space="preserve"> </w:t>
      </w:r>
      <w:r w:rsidRPr="00B148B1">
        <w:rPr>
          <w:rFonts w:cs="Arial"/>
          <w:szCs w:val="20"/>
        </w:rPr>
        <w:t>Pri tem je kanalizacija sistem kanalov in jarkov ter z njimi povezanih tehnoloških sklopov in naprav, povezanih v kanalizacijsko omrežje, po katerem se zagotavlja odvajanje odpadne vode iz objektov ter ločeno od nje ali skupaj z njo tudi odvajanje padavinske odpadne vode s streh ali utrjenih, tlakovanih ali z drugim materialom prekritih površin objektov.</w:t>
      </w:r>
    </w:p>
    <w:p w:rsidR="00B01F4C" w:rsidRPr="00B148B1" w:rsidRDefault="00B01F4C" w:rsidP="00B01F4C">
      <w:pPr>
        <w:tabs>
          <w:tab w:val="num" w:pos="360"/>
          <w:tab w:val="left" w:pos="9600"/>
        </w:tabs>
        <w:spacing w:before="240" w:line="280" w:lineRule="atLeast"/>
        <w:rPr>
          <w:rFonts w:cs="Arial"/>
          <w:szCs w:val="20"/>
        </w:rPr>
      </w:pPr>
      <w:r w:rsidRPr="00B148B1">
        <w:rPr>
          <w:rFonts w:cs="Arial"/>
          <w:i/>
          <w:szCs w:val="20"/>
          <w:u w:val="single"/>
        </w:rPr>
        <w:t>Javno kanalizacijsko omrežje</w:t>
      </w:r>
      <w:r w:rsidRPr="00B148B1">
        <w:rPr>
          <w:rFonts w:cs="Arial"/>
          <w:i/>
          <w:szCs w:val="20"/>
        </w:rPr>
        <w:t xml:space="preserve"> </w:t>
      </w:r>
      <w:r w:rsidRPr="00B148B1">
        <w:rPr>
          <w:rFonts w:cs="Arial"/>
          <w:szCs w:val="20"/>
        </w:rPr>
        <w:t xml:space="preserve">je kanalizacijsko omrežje javne kanalizacije. </w:t>
      </w:r>
    </w:p>
    <w:p w:rsidR="00B01F4C" w:rsidRPr="00B148B1" w:rsidRDefault="00B01F4C" w:rsidP="00B01F4C">
      <w:pPr>
        <w:tabs>
          <w:tab w:val="num" w:pos="360"/>
          <w:tab w:val="left" w:pos="9600"/>
        </w:tabs>
        <w:spacing w:before="240" w:line="280" w:lineRule="atLeast"/>
        <w:rPr>
          <w:rFonts w:cs="Arial"/>
          <w:szCs w:val="20"/>
        </w:rPr>
      </w:pPr>
      <w:r w:rsidRPr="00B148B1">
        <w:rPr>
          <w:rFonts w:cs="Arial"/>
          <w:i/>
          <w:szCs w:val="20"/>
          <w:u w:val="single"/>
        </w:rPr>
        <w:t>Komunalna čistilna naprava</w:t>
      </w:r>
      <w:r w:rsidRPr="00B148B1">
        <w:rPr>
          <w:rFonts w:cs="Arial"/>
          <w:i/>
          <w:szCs w:val="20"/>
        </w:rPr>
        <w:t xml:space="preserve"> </w:t>
      </w:r>
      <w:r w:rsidRPr="00B148B1">
        <w:rPr>
          <w:rFonts w:cs="Arial"/>
          <w:szCs w:val="20"/>
        </w:rPr>
        <w:t xml:space="preserve">je naprava za čiščenje komunalne odpadne vode ali mešanice komunalne odpadne vode z industrijsko ali padavinsko odpadno vodo ali obema, ki zmanjšuje ali odpravlja njeno onesnaženost. Pri tem je </w:t>
      </w:r>
      <w:r w:rsidRPr="00B148B1">
        <w:rPr>
          <w:rFonts w:cs="Arial"/>
          <w:i/>
          <w:szCs w:val="20"/>
          <w:u w:val="single"/>
        </w:rPr>
        <w:t>mala komunalna čistilna naprava</w:t>
      </w:r>
      <w:r w:rsidRPr="00B148B1">
        <w:rPr>
          <w:rFonts w:cs="Arial"/>
          <w:szCs w:val="20"/>
        </w:rPr>
        <w:t xml:space="preserve"> komunalna čistilna naprava z zmogljivostjo, manjšo od 2</w:t>
      </w:r>
      <w:r w:rsidR="002A0414" w:rsidRPr="00B148B1">
        <w:rPr>
          <w:rFonts w:cs="Arial"/>
          <w:szCs w:val="20"/>
        </w:rPr>
        <w:t>.</w:t>
      </w:r>
      <w:r w:rsidRPr="00B148B1">
        <w:rPr>
          <w:rFonts w:cs="Arial"/>
          <w:szCs w:val="20"/>
        </w:rPr>
        <w:t>000 PE.</w:t>
      </w:r>
    </w:p>
    <w:p w:rsidR="00B01F4C" w:rsidRPr="00B148B1" w:rsidRDefault="00B01F4C" w:rsidP="00B01F4C">
      <w:pPr>
        <w:tabs>
          <w:tab w:val="num" w:pos="360"/>
          <w:tab w:val="left" w:pos="9600"/>
        </w:tabs>
        <w:spacing w:before="240" w:line="280" w:lineRule="atLeast"/>
        <w:rPr>
          <w:rFonts w:cs="Arial"/>
          <w:szCs w:val="20"/>
        </w:rPr>
      </w:pPr>
      <w:r w:rsidRPr="00B148B1">
        <w:rPr>
          <w:rFonts w:cs="Arial"/>
          <w:i/>
          <w:szCs w:val="20"/>
          <w:u w:val="single"/>
        </w:rPr>
        <w:lastRenderedPageBreak/>
        <w:t>Komunalna odpadna voda</w:t>
      </w:r>
      <w:r w:rsidRPr="00B148B1">
        <w:rPr>
          <w:rFonts w:cs="Arial"/>
          <w:i/>
          <w:szCs w:val="20"/>
        </w:rPr>
        <w:t xml:space="preserve"> </w:t>
      </w:r>
      <w:r w:rsidRPr="00B148B1">
        <w:rPr>
          <w:rFonts w:cs="Arial"/>
          <w:szCs w:val="20"/>
        </w:rPr>
        <w:t>je odpadna voda, ki nastaja v bivalnem okolju gospodinjstev zaradi rabe vode v sanitarnih prostorih, pri kuhanju, pranju in drugih gospodinjskih opravilih. Komunalna odpadna voda je tudi odpadna voda, ki:</w:t>
      </w:r>
    </w:p>
    <w:p w:rsidR="00B01F4C" w:rsidRPr="00B148B1" w:rsidRDefault="00B01F4C"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 xml:space="preserve">nastaja v objektih v javni rabi ali pri drugih dejavnostih, če je po nastanku in sestavi podobna vodi po uporabi v gospodinjstvu, </w:t>
      </w:r>
    </w:p>
    <w:p w:rsidR="00B01F4C" w:rsidRPr="00B148B1" w:rsidRDefault="00B01F4C"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nastaja kot industrijska odpadna voda v proizvodnji ali storitveni ali drugi dejavnosti ali mešanica te odpadne vode s komunalno ali padavinsko odpadno vodo, če je po naravi in sestavi podobna odpadni vodi po uporabi v gospodinjstvu, njen povprečni dnevni pretok ne presega 15 m</w:t>
      </w:r>
      <w:r w:rsidRPr="00B148B1">
        <w:rPr>
          <w:rFonts w:cs="Arial"/>
          <w:szCs w:val="20"/>
          <w:vertAlign w:val="superscript"/>
        </w:rPr>
        <w:t>3</w:t>
      </w:r>
      <w:r w:rsidRPr="00B148B1">
        <w:rPr>
          <w:rFonts w:cs="Arial"/>
          <w:szCs w:val="20"/>
        </w:rPr>
        <w:t>/dan, njena letna količina ne presega 4.000 m</w:t>
      </w:r>
      <w:r w:rsidRPr="00B148B1">
        <w:rPr>
          <w:rFonts w:cs="Arial"/>
          <w:szCs w:val="20"/>
          <w:vertAlign w:val="superscript"/>
        </w:rPr>
        <w:t>3</w:t>
      </w:r>
      <w:r w:rsidRPr="00B148B1">
        <w:rPr>
          <w:rFonts w:cs="Arial"/>
          <w:szCs w:val="20"/>
        </w:rPr>
        <w:t>, obremenjevanje okolja zaradi njenega odvajanja ne presega 50 PE in pri kateri za nobeno od onesnaževal letna količina ne presega predpisanih mejnih vrednosti letnih količin onesnaževal,</w:t>
      </w:r>
    </w:p>
    <w:p w:rsidR="00B01F4C" w:rsidRPr="00B148B1" w:rsidRDefault="00B01F4C"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nastaja kot industrijska odpadna voda, za katero iz posebnega predpisa, ki posamezna vprašanja emisije snovi in toplote pri odvajanju tovrstne industrijske odpadne vode ureja drugače, izhaja, da se za te industrijske odpadne vode ne uporablja</w:t>
      </w:r>
      <w:r w:rsidR="002A0414" w:rsidRPr="00B148B1">
        <w:rPr>
          <w:rFonts w:cs="Arial"/>
          <w:szCs w:val="20"/>
        </w:rPr>
        <w:t>,</w:t>
      </w:r>
      <w:r w:rsidRPr="00B148B1">
        <w:rPr>
          <w:rFonts w:cs="Arial"/>
          <w:szCs w:val="20"/>
        </w:rPr>
        <w:t xml:space="preserve"> ali</w:t>
      </w:r>
    </w:p>
    <w:p w:rsidR="00B01F4C" w:rsidRPr="00B148B1" w:rsidRDefault="00B01F4C"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nastaja kot industrijska odpadna voda v napravi, za katero iz posebnega predpisa, ki posamezna vprašanja emisije snovi in toplote pri odvajanju industrijske odpadne vode iz tovrstne naprave ureja drugače, izhaja, da se za industrijske odpadne vode iz te naprave ne uporablja.</w:t>
      </w:r>
    </w:p>
    <w:p w:rsidR="00B01F4C" w:rsidRPr="00B148B1" w:rsidRDefault="00B01F4C" w:rsidP="00B01F4C">
      <w:pPr>
        <w:tabs>
          <w:tab w:val="num" w:pos="360"/>
          <w:tab w:val="left" w:pos="9600"/>
        </w:tabs>
        <w:spacing w:before="240" w:line="280" w:lineRule="atLeast"/>
        <w:rPr>
          <w:rFonts w:cs="Arial"/>
          <w:szCs w:val="20"/>
        </w:rPr>
      </w:pPr>
      <w:r w:rsidRPr="00B148B1">
        <w:rPr>
          <w:rFonts w:cs="Arial"/>
          <w:i/>
          <w:szCs w:val="20"/>
          <w:u w:val="single"/>
        </w:rPr>
        <w:t>Nepretočna greznica</w:t>
      </w:r>
      <w:r w:rsidRPr="00B148B1">
        <w:rPr>
          <w:rFonts w:cs="Arial"/>
          <w:i/>
          <w:szCs w:val="20"/>
        </w:rPr>
        <w:t xml:space="preserve"> </w:t>
      </w:r>
      <w:r w:rsidRPr="00B148B1">
        <w:rPr>
          <w:rFonts w:cs="Arial"/>
          <w:szCs w:val="20"/>
        </w:rPr>
        <w:t>je neprepusten zbiralnik</w:t>
      </w:r>
      <w:r w:rsidR="009603EE" w:rsidRPr="00B148B1">
        <w:rPr>
          <w:rFonts w:cs="Arial"/>
          <w:szCs w:val="20"/>
        </w:rPr>
        <w:t>,</w:t>
      </w:r>
      <w:r w:rsidRPr="00B148B1">
        <w:rPr>
          <w:rFonts w:cs="Arial"/>
          <w:szCs w:val="20"/>
        </w:rPr>
        <w:t xml:space="preserve"> brez prekatov, namenjen </w:t>
      </w:r>
      <w:r w:rsidR="002A0414" w:rsidRPr="00B148B1">
        <w:rPr>
          <w:rFonts w:cs="Arial"/>
          <w:szCs w:val="20"/>
        </w:rPr>
        <w:t xml:space="preserve">za </w:t>
      </w:r>
      <w:r w:rsidRPr="00B148B1">
        <w:rPr>
          <w:rFonts w:cs="Arial"/>
          <w:szCs w:val="20"/>
        </w:rPr>
        <w:t>zbiranj</w:t>
      </w:r>
      <w:r w:rsidR="002A0414" w:rsidRPr="00B148B1">
        <w:rPr>
          <w:rFonts w:cs="Arial"/>
          <w:szCs w:val="20"/>
        </w:rPr>
        <w:t>e</w:t>
      </w:r>
      <w:r w:rsidRPr="00B148B1">
        <w:rPr>
          <w:rFonts w:cs="Arial"/>
          <w:szCs w:val="20"/>
        </w:rPr>
        <w:t xml:space="preserve"> komunalne odpadne vode.</w:t>
      </w:r>
    </w:p>
    <w:p w:rsidR="00B01F4C" w:rsidRPr="00B148B1" w:rsidRDefault="00B01F4C" w:rsidP="00B01F4C">
      <w:pPr>
        <w:tabs>
          <w:tab w:val="num" w:pos="360"/>
          <w:tab w:val="left" w:pos="9600"/>
        </w:tabs>
        <w:spacing w:before="240" w:line="280" w:lineRule="atLeast"/>
        <w:rPr>
          <w:rFonts w:cs="Arial"/>
          <w:szCs w:val="20"/>
        </w:rPr>
      </w:pPr>
      <w:r w:rsidRPr="00B148B1">
        <w:rPr>
          <w:rFonts w:cs="Arial"/>
          <w:i/>
          <w:szCs w:val="20"/>
          <w:u w:val="single"/>
        </w:rPr>
        <w:t>Občutljivo območje</w:t>
      </w:r>
      <w:r w:rsidRPr="00B148B1">
        <w:rPr>
          <w:rFonts w:cs="Arial"/>
          <w:i/>
          <w:szCs w:val="20"/>
        </w:rPr>
        <w:t xml:space="preserve"> </w:t>
      </w:r>
      <w:r w:rsidRPr="00B148B1">
        <w:rPr>
          <w:rFonts w:cs="Arial"/>
          <w:szCs w:val="20"/>
        </w:rPr>
        <w:t xml:space="preserve">je vodno telo površinske vode ali njegov del, ki je v skladu z merili iz Uredbe o odvajanju in čiščenju komunalne odpadne vode </w:t>
      </w:r>
      <w:r w:rsidR="00B43709" w:rsidRPr="00B148B1">
        <w:rPr>
          <w:rFonts w:cs="Arial"/>
          <w:szCs w:val="20"/>
        </w:rPr>
        <w:t xml:space="preserve">in </w:t>
      </w:r>
      <w:r w:rsidRPr="00B148B1">
        <w:rPr>
          <w:rFonts w:cs="Arial"/>
          <w:szCs w:val="20"/>
        </w:rPr>
        <w:t>s Pravilnikom o občutljivih območjih uvrščeno med občutljiva območja.</w:t>
      </w:r>
    </w:p>
    <w:p w:rsidR="00B01F4C" w:rsidRPr="00B148B1" w:rsidRDefault="00B01F4C" w:rsidP="00B01F4C">
      <w:pPr>
        <w:tabs>
          <w:tab w:val="num" w:pos="360"/>
          <w:tab w:val="left" w:pos="9600"/>
        </w:tabs>
        <w:spacing w:before="240" w:line="280" w:lineRule="atLeast"/>
        <w:rPr>
          <w:rFonts w:cs="Arial"/>
          <w:szCs w:val="20"/>
        </w:rPr>
      </w:pPr>
      <w:r w:rsidRPr="00B148B1">
        <w:rPr>
          <w:rFonts w:cs="Arial"/>
          <w:i/>
          <w:szCs w:val="20"/>
          <w:u w:val="single"/>
        </w:rPr>
        <w:t>Obstoječa pretočna greznica</w:t>
      </w:r>
      <w:r w:rsidRPr="00B148B1">
        <w:rPr>
          <w:rFonts w:cs="Arial"/>
          <w:i/>
          <w:szCs w:val="20"/>
        </w:rPr>
        <w:t xml:space="preserve"> </w:t>
      </w:r>
      <w:r w:rsidRPr="00B148B1">
        <w:rPr>
          <w:rFonts w:cs="Arial"/>
          <w:szCs w:val="20"/>
        </w:rPr>
        <w:t>je pretočna greznica, ki je bila zgrajena pred 31. decembr</w:t>
      </w:r>
      <w:r w:rsidR="002A0414" w:rsidRPr="00B148B1">
        <w:rPr>
          <w:rFonts w:cs="Arial"/>
          <w:szCs w:val="20"/>
        </w:rPr>
        <w:t>om</w:t>
      </w:r>
      <w:r w:rsidRPr="00B148B1">
        <w:rPr>
          <w:rFonts w:cs="Arial"/>
          <w:szCs w:val="20"/>
        </w:rPr>
        <w:t xml:space="preserve"> 2015 v skladu s predpisi, ki so veljali v času gradnje, in obratuje na dan 31. decembr</w:t>
      </w:r>
      <w:r w:rsidR="002A0414" w:rsidRPr="00B148B1">
        <w:rPr>
          <w:rFonts w:cs="Arial"/>
          <w:szCs w:val="20"/>
        </w:rPr>
        <w:t>a</w:t>
      </w:r>
      <w:r w:rsidRPr="00B148B1">
        <w:rPr>
          <w:rFonts w:cs="Arial"/>
          <w:szCs w:val="20"/>
        </w:rPr>
        <w:t xml:space="preserve"> 2015.</w:t>
      </w:r>
    </w:p>
    <w:p w:rsidR="00B01F4C" w:rsidRPr="00B148B1" w:rsidRDefault="00B01F4C" w:rsidP="00B01F4C">
      <w:pPr>
        <w:tabs>
          <w:tab w:val="num" w:pos="360"/>
          <w:tab w:val="left" w:pos="9600"/>
        </w:tabs>
        <w:spacing w:before="240" w:line="280" w:lineRule="atLeast"/>
        <w:rPr>
          <w:rFonts w:cs="Arial"/>
          <w:szCs w:val="20"/>
        </w:rPr>
      </w:pPr>
      <w:r w:rsidRPr="00B148B1">
        <w:rPr>
          <w:rFonts w:cs="Arial"/>
          <w:i/>
          <w:szCs w:val="20"/>
          <w:u w:val="single"/>
        </w:rPr>
        <w:t>Odpadna voda</w:t>
      </w:r>
      <w:r w:rsidRPr="00B148B1">
        <w:rPr>
          <w:rFonts w:cs="Arial"/>
          <w:i/>
          <w:szCs w:val="20"/>
        </w:rPr>
        <w:t xml:space="preserve"> </w:t>
      </w:r>
      <w:r w:rsidRPr="00B148B1">
        <w:rPr>
          <w:rFonts w:cs="Arial"/>
          <w:szCs w:val="20"/>
        </w:rPr>
        <w:t>je voda, ki se po uporabi ali kot posledica padavin onesnažena odvaja v javno kanalizacijo ali vode. Odpadna voda je lahko komunalna, industrijska ali padavinska odpadna voda.</w:t>
      </w:r>
    </w:p>
    <w:p w:rsidR="00B01F4C" w:rsidRPr="00B148B1" w:rsidRDefault="00B01F4C" w:rsidP="00B01F4C">
      <w:pPr>
        <w:tabs>
          <w:tab w:val="num" w:pos="360"/>
          <w:tab w:val="left" w:pos="9600"/>
        </w:tabs>
        <w:spacing w:before="240" w:line="280" w:lineRule="atLeast"/>
        <w:rPr>
          <w:rFonts w:cs="Arial"/>
          <w:szCs w:val="20"/>
        </w:rPr>
      </w:pPr>
      <w:r w:rsidRPr="00B148B1">
        <w:rPr>
          <w:rFonts w:cs="Arial"/>
          <w:i/>
          <w:szCs w:val="20"/>
          <w:u w:val="single"/>
        </w:rPr>
        <w:t>Padavinska odpadna voda</w:t>
      </w:r>
      <w:r w:rsidRPr="00B148B1">
        <w:rPr>
          <w:rFonts w:cs="Arial"/>
          <w:i/>
          <w:szCs w:val="20"/>
        </w:rPr>
        <w:t xml:space="preserve"> </w:t>
      </w:r>
      <w:r w:rsidRPr="00B148B1">
        <w:rPr>
          <w:rFonts w:cs="Arial"/>
          <w:szCs w:val="20"/>
        </w:rPr>
        <w:t xml:space="preserve">je </w:t>
      </w:r>
      <w:r w:rsidRPr="00B148B1">
        <w:rPr>
          <w:rFonts w:cs="Arial"/>
        </w:rPr>
        <w:t>odpadna voda, ki kot posledica meteornih padavin onesnažena odteka z utrjenih, tlakovanih ali z drugim materialom prekritih površin v vode ali se odvaja v javno kanalizacijo, razen če gre za padavinsko odpadno vodo, ki se zbira in odteka s površin objektov ali naprav za predhodno skladiščenje, predelavo, skladiščenje ali odstranjevanje odpadkov, razen njihovih streh, ali s funkcionalnih prometnih površin ob teh objektih in napravah, če na teh površinah poteka manipulacija z odpadki in bi lahko prišlo do onesnaženja površin.</w:t>
      </w:r>
    </w:p>
    <w:p w:rsidR="00B01F4C" w:rsidRPr="00B148B1" w:rsidRDefault="00B01F4C" w:rsidP="00B01F4C">
      <w:pPr>
        <w:tabs>
          <w:tab w:val="num" w:pos="360"/>
          <w:tab w:val="left" w:pos="9600"/>
        </w:tabs>
        <w:spacing w:before="240" w:line="280" w:lineRule="atLeast"/>
        <w:rPr>
          <w:rFonts w:cs="Arial"/>
          <w:szCs w:val="20"/>
        </w:rPr>
      </w:pPr>
      <w:r w:rsidRPr="00B148B1">
        <w:rPr>
          <w:rFonts w:cs="Arial"/>
          <w:i/>
          <w:szCs w:val="20"/>
          <w:u w:val="single"/>
        </w:rPr>
        <w:t>Prispevno območje občutljivega območja</w:t>
      </w:r>
      <w:r w:rsidRPr="00B148B1">
        <w:rPr>
          <w:rFonts w:cs="Arial"/>
          <w:i/>
          <w:szCs w:val="20"/>
        </w:rPr>
        <w:t xml:space="preserve"> </w:t>
      </w:r>
      <w:r w:rsidRPr="00B148B1">
        <w:rPr>
          <w:rFonts w:cs="Arial"/>
          <w:szCs w:val="20"/>
        </w:rPr>
        <w:t>je območje, s katerega vse celinske vode odtekajo</w:t>
      </w:r>
      <w:r w:rsidR="002A0414" w:rsidRPr="00B148B1">
        <w:rPr>
          <w:rFonts w:cs="Arial"/>
          <w:szCs w:val="20"/>
        </w:rPr>
        <w:t xml:space="preserve"> čez </w:t>
      </w:r>
      <w:r w:rsidRPr="00B148B1">
        <w:rPr>
          <w:rFonts w:cs="Arial"/>
          <w:szCs w:val="20"/>
        </w:rPr>
        <w:t>potok</w:t>
      </w:r>
      <w:r w:rsidR="002A0414" w:rsidRPr="00B148B1">
        <w:rPr>
          <w:rFonts w:cs="Arial"/>
          <w:szCs w:val="20"/>
        </w:rPr>
        <w:t>e</w:t>
      </w:r>
      <w:r w:rsidRPr="00B148B1">
        <w:rPr>
          <w:rFonts w:cs="Arial"/>
          <w:szCs w:val="20"/>
        </w:rPr>
        <w:t>, rek</w:t>
      </w:r>
      <w:r w:rsidR="002A0414" w:rsidRPr="00B148B1">
        <w:rPr>
          <w:rFonts w:cs="Arial"/>
          <w:szCs w:val="20"/>
        </w:rPr>
        <w:t>e</w:t>
      </w:r>
      <w:r w:rsidRPr="00B148B1">
        <w:rPr>
          <w:rFonts w:cs="Arial"/>
          <w:szCs w:val="20"/>
        </w:rPr>
        <w:t xml:space="preserve"> ali jezer</w:t>
      </w:r>
      <w:r w:rsidR="002A0414" w:rsidRPr="00B148B1">
        <w:rPr>
          <w:rFonts w:cs="Arial"/>
          <w:szCs w:val="20"/>
        </w:rPr>
        <w:t>a</w:t>
      </w:r>
      <w:r w:rsidRPr="00B148B1">
        <w:rPr>
          <w:rFonts w:cs="Arial"/>
          <w:szCs w:val="20"/>
        </w:rPr>
        <w:t xml:space="preserve"> </w:t>
      </w:r>
      <w:r w:rsidR="002A0414" w:rsidRPr="00B148B1">
        <w:rPr>
          <w:rFonts w:cs="Arial"/>
          <w:szCs w:val="20"/>
        </w:rPr>
        <w:t xml:space="preserve">na </w:t>
      </w:r>
      <w:r w:rsidRPr="00B148B1">
        <w:rPr>
          <w:rFonts w:cs="Arial"/>
          <w:szCs w:val="20"/>
        </w:rPr>
        <w:t>občutljivo območje in ki se določi na podlagi hidrografskih razvodnic.</w:t>
      </w:r>
    </w:p>
    <w:p w:rsidR="00830EFA" w:rsidRPr="00B148B1" w:rsidRDefault="00830EFA" w:rsidP="00D774EB">
      <w:pPr>
        <w:tabs>
          <w:tab w:val="num" w:pos="360"/>
          <w:tab w:val="left" w:pos="9600"/>
        </w:tabs>
        <w:spacing w:before="240" w:line="280" w:lineRule="atLeast"/>
        <w:rPr>
          <w:rFonts w:cs="Arial"/>
          <w:i/>
          <w:szCs w:val="20"/>
          <w:u w:val="single"/>
        </w:rPr>
      </w:pPr>
      <w:r w:rsidRPr="00B148B1">
        <w:rPr>
          <w:rFonts w:cs="Arial"/>
          <w:i/>
          <w:szCs w:val="20"/>
          <w:u w:val="single"/>
        </w:rPr>
        <w:t>Sekundarno čiščenje</w:t>
      </w:r>
      <w:r w:rsidRPr="00B148B1">
        <w:rPr>
          <w:rFonts w:cs="Arial"/>
          <w:szCs w:val="20"/>
        </w:rPr>
        <w:t xml:space="preserve"> </w:t>
      </w:r>
      <w:r w:rsidR="00073B08" w:rsidRPr="00B148B1">
        <w:rPr>
          <w:rFonts w:cs="Arial"/>
          <w:szCs w:val="20"/>
        </w:rPr>
        <w:t>je čiščenje komunalne odpadne vode s postopkom, ki vključuje biološko čiščenje s sekundarnim usedanjem, ali z drugim postopkom, s katerim se dosega odstranjevanje organskega onesnaženja tako, da mejne vrednosti parametrov onesnaženosti ali učinkov čiščenja za parametre biokemijska potreba po kisiku (BPK</w:t>
      </w:r>
      <w:r w:rsidR="00073B08" w:rsidRPr="00B148B1">
        <w:rPr>
          <w:rFonts w:cs="Arial"/>
          <w:szCs w:val="20"/>
          <w:vertAlign w:val="subscript"/>
        </w:rPr>
        <w:t>5</w:t>
      </w:r>
      <w:r w:rsidR="00073B08" w:rsidRPr="00B148B1">
        <w:rPr>
          <w:rFonts w:cs="Arial"/>
          <w:szCs w:val="20"/>
        </w:rPr>
        <w:t>), kemijska potreba po kisiku (KPK), neraztopljene snovi in amonijev dušik iz 6. člena Uredbe o odvajanju in čiščenju komunalne odpadne vode niso presežene.</w:t>
      </w:r>
    </w:p>
    <w:p w:rsidR="00B01F4C" w:rsidRPr="00B148B1" w:rsidRDefault="00B01F4C" w:rsidP="00B01F4C">
      <w:pPr>
        <w:tabs>
          <w:tab w:val="num" w:pos="360"/>
          <w:tab w:val="left" w:pos="9600"/>
        </w:tabs>
        <w:spacing w:before="240" w:line="280" w:lineRule="atLeast"/>
        <w:rPr>
          <w:rFonts w:cs="Arial"/>
          <w:szCs w:val="20"/>
        </w:rPr>
      </w:pPr>
      <w:r w:rsidRPr="00B148B1">
        <w:rPr>
          <w:rFonts w:cs="Arial"/>
          <w:i/>
          <w:szCs w:val="20"/>
          <w:u w:val="single"/>
        </w:rPr>
        <w:lastRenderedPageBreak/>
        <w:t>Skupna čistilna naprava</w:t>
      </w:r>
      <w:r w:rsidRPr="00B148B1">
        <w:rPr>
          <w:rFonts w:cs="Arial"/>
          <w:i/>
          <w:szCs w:val="20"/>
        </w:rPr>
        <w:t xml:space="preserve"> </w:t>
      </w:r>
      <w:r w:rsidRPr="00B148B1">
        <w:rPr>
          <w:rFonts w:cs="Arial"/>
          <w:szCs w:val="20"/>
        </w:rPr>
        <w:t xml:space="preserve">je naprava za čiščenje mešanice odpadnih voda, pri kateri delež obremenitve čistilne naprave, ki jo povzroča industrijska odpadna voda iz ene ali več istovrstnih naprav, presega 40 odstotkov, merjeno s KPK. Skupna čistilna naprava je del javne kanalizacije, če je namenjena </w:t>
      </w:r>
      <w:r w:rsidR="002A0414" w:rsidRPr="00B148B1">
        <w:rPr>
          <w:rFonts w:cs="Arial"/>
          <w:szCs w:val="20"/>
        </w:rPr>
        <w:t xml:space="preserve">za </w:t>
      </w:r>
      <w:r w:rsidRPr="00B148B1">
        <w:rPr>
          <w:rFonts w:cs="Arial"/>
          <w:szCs w:val="20"/>
        </w:rPr>
        <w:t>izvajanj</w:t>
      </w:r>
      <w:r w:rsidR="002A0414" w:rsidRPr="00B148B1">
        <w:rPr>
          <w:rFonts w:cs="Arial"/>
          <w:szCs w:val="20"/>
        </w:rPr>
        <w:t>e</w:t>
      </w:r>
      <w:r w:rsidRPr="00B148B1">
        <w:rPr>
          <w:rFonts w:cs="Arial"/>
          <w:szCs w:val="20"/>
        </w:rPr>
        <w:t xml:space="preserve"> javne službe odvajanja in čiščenja komunalne in padavinske odpadne vode.</w:t>
      </w:r>
    </w:p>
    <w:p w:rsidR="00830EFA" w:rsidRPr="00B148B1" w:rsidRDefault="00830EFA" w:rsidP="00D774EB">
      <w:pPr>
        <w:tabs>
          <w:tab w:val="num" w:pos="360"/>
          <w:tab w:val="left" w:pos="9600"/>
        </w:tabs>
        <w:spacing w:before="240" w:line="280" w:lineRule="atLeast"/>
        <w:rPr>
          <w:rFonts w:cs="Arial"/>
          <w:i/>
          <w:szCs w:val="20"/>
          <w:u w:val="single"/>
        </w:rPr>
      </w:pPr>
      <w:r w:rsidRPr="00B148B1">
        <w:rPr>
          <w:rFonts w:cs="Arial"/>
          <w:i/>
          <w:szCs w:val="20"/>
          <w:u w:val="single"/>
        </w:rPr>
        <w:t>Terciarno čiščenje</w:t>
      </w:r>
      <w:r w:rsidR="00073B08" w:rsidRPr="00B148B1">
        <w:rPr>
          <w:rFonts w:cs="Arial"/>
          <w:szCs w:val="20"/>
        </w:rPr>
        <w:t xml:space="preserve"> je čiščenje komunalne odpadne vode s katerim</w:t>
      </w:r>
      <w:r w:rsidR="00D85A31" w:rsidRPr="00B148B1">
        <w:rPr>
          <w:rFonts w:cs="Arial"/>
          <w:szCs w:val="20"/>
        </w:rPr>
        <w:t xml:space="preserve"> </w:t>
      </w:r>
      <w:r w:rsidR="00073B08" w:rsidRPr="00B148B1">
        <w:rPr>
          <w:rFonts w:cs="Arial"/>
          <w:szCs w:val="20"/>
        </w:rPr>
        <w:t>koli postopkom, s katerim se dosega odstranjevanje organskega onesnaženja, dušika in fosforja tako, da mejne vrednosti parametrov onesnaženosti ali učinkov čiščenja iz 6. in 7. člena Uredbe o odvajanju in čiščenju komunalne odpadne vode niso presežene.</w:t>
      </w:r>
    </w:p>
    <w:p w:rsidR="00B01F4C" w:rsidRPr="00B148B1" w:rsidRDefault="00B01F4C" w:rsidP="00B01F4C">
      <w:pPr>
        <w:tabs>
          <w:tab w:val="num" w:pos="360"/>
          <w:tab w:val="left" w:pos="9600"/>
        </w:tabs>
        <w:spacing w:before="240" w:line="280" w:lineRule="atLeast"/>
        <w:rPr>
          <w:rFonts w:cs="Arial"/>
          <w:szCs w:val="20"/>
        </w:rPr>
      </w:pPr>
      <w:r w:rsidRPr="00B148B1">
        <w:rPr>
          <w:rFonts w:cs="Arial"/>
          <w:i/>
          <w:szCs w:val="20"/>
          <w:u w:val="single"/>
        </w:rPr>
        <w:t>Vodno območje Donave</w:t>
      </w:r>
      <w:r w:rsidRPr="00B148B1">
        <w:rPr>
          <w:rFonts w:cs="Arial"/>
          <w:szCs w:val="20"/>
        </w:rPr>
        <w:t xml:space="preserve"> je del mednarodnega vodnega povodja Donave na območju Republike Slovenije</w:t>
      </w:r>
      <w:r w:rsidR="00A97D22" w:rsidRPr="00B148B1">
        <w:rPr>
          <w:rFonts w:cs="Arial"/>
          <w:szCs w:val="20"/>
        </w:rPr>
        <w:t>,</w:t>
      </w:r>
      <w:r w:rsidRPr="00B148B1">
        <w:rPr>
          <w:rFonts w:cs="Arial"/>
          <w:szCs w:val="20"/>
        </w:rPr>
        <w:t xml:space="preserve"> s pripadajočimi podzemnimi vodami, določeno v skladu s predpisi, ki urejajo vode.</w:t>
      </w:r>
    </w:p>
    <w:p w:rsidR="00D774EB" w:rsidRPr="00B148B1" w:rsidRDefault="00D774EB" w:rsidP="00D774EB">
      <w:pPr>
        <w:tabs>
          <w:tab w:val="num" w:pos="360"/>
          <w:tab w:val="left" w:pos="9600"/>
        </w:tabs>
        <w:spacing w:before="240" w:line="280" w:lineRule="atLeast"/>
        <w:rPr>
          <w:rFonts w:cs="Arial"/>
          <w:szCs w:val="20"/>
        </w:rPr>
      </w:pPr>
      <w:r w:rsidRPr="00B148B1">
        <w:rPr>
          <w:rFonts w:cs="Arial"/>
          <w:i/>
          <w:szCs w:val="20"/>
          <w:u w:val="single"/>
        </w:rPr>
        <w:t>Vplivno območje kopalnih voda</w:t>
      </w:r>
      <w:r w:rsidRPr="00B148B1">
        <w:rPr>
          <w:rFonts w:cs="Arial"/>
          <w:i/>
          <w:szCs w:val="20"/>
        </w:rPr>
        <w:t xml:space="preserve"> </w:t>
      </w:r>
      <w:r w:rsidRPr="00B148B1">
        <w:rPr>
          <w:rFonts w:cs="Arial"/>
          <w:szCs w:val="20"/>
        </w:rPr>
        <w:t xml:space="preserve">je območje, ki je določeno s predpisom, ki ureja upravljanje kakovosti kopalnih voda. To je območje vseh površinskih voda </w:t>
      </w:r>
      <w:proofErr w:type="spellStart"/>
      <w:r w:rsidRPr="00B148B1">
        <w:rPr>
          <w:rFonts w:cs="Arial"/>
          <w:szCs w:val="20"/>
        </w:rPr>
        <w:t>gorvodno</w:t>
      </w:r>
      <w:proofErr w:type="spellEnd"/>
      <w:r w:rsidRPr="00B148B1">
        <w:rPr>
          <w:rFonts w:cs="Arial"/>
          <w:szCs w:val="20"/>
        </w:rPr>
        <w:t xml:space="preserve"> od kopalne vode, vključno s 300 m širokim obrežnim pasom ob teh vodah, od koder je čas dotoka do </w:t>
      </w:r>
      <w:proofErr w:type="spellStart"/>
      <w:r w:rsidRPr="00B148B1">
        <w:rPr>
          <w:rFonts w:cs="Arial"/>
          <w:szCs w:val="20"/>
        </w:rPr>
        <w:t>gorvodne</w:t>
      </w:r>
      <w:proofErr w:type="spellEnd"/>
      <w:r w:rsidRPr="00B148B1">
        <w:rPr>
          <w:rFonts w:cs="Arial"/>
          <w:szCs w:val="20"/>
        </w:rPr>
        <w:t xml:space="preserve"> meje kopalne vode enak ali manjši od 48 ur, na morju pa tudi območje 700 m širokega pasu morja ob kopalni vodi.</w:t>
      </w:r>
      <w:r w:rsidR="00F71035" w:rsidRPr="00B148B1">
        <w:rPr>
          <w:rFonts w:cs="Arial"/>
          <w:szCs w:val="20"/>
        </w:rPr>
        <w:t xml:space="preserve"> </w:t>
      </w:r>
    </w:p>
    <w:p w:rsidR="00B530F0" w:rsidRPr="00B148B1" w:rsidRDefault="00B530F0" w:rsidP="00385BB8">
      <w:pPr>
        <w:pStyle w:val="Naslov3"/>
      </w:pPr>
      <w:bookmarkStart w:id="12" w:name="_Toc50628042"/>
      <w:r w:rsidRPr="00B148B1">
        <w:t>Javna služba odvajanja in čiščenja komunalne odpadne vode</w:t>
      </w:r>
      <w:bookmarkEnd w:id="12"/>
    </w:p>
    <w:p w:rsidR="00B530F0" w:rsidRPr="00B148B1" w:rsidRDefault="00B530F0" w:rsidP="00B530F0">
      <w:pPr>
        <w:tabs>
          <w:tab w:val="left" w:pos="9600"/>
        </w:tabs>
        <w:spacing w:before="120" w:line="280" w:lineRule="atLeast"/>
        <w:rPr>
          <w:rFonts w:cs="Arial"/>
          <w:szCs w:val="20"/>
        </w:rPr>
      </w:pPr>
      <w:r w:rsidRPr="00B148B1">
        <w:rPr>
          <w:rFonts w:cs="Arial"/>
          <w:szCs w:val="20"/>
        </w:rPr>
        <w:t xml:space="preserve">Odvajanje in čiščenje komunalne odpadne vode je v skladu Zakonom o varstvu okolja opredeljeno kot obvezna občinska gospodarska javna služba odvajanja in čiščenja komunalne in padavinske odpadne vode. Z gospodarskimi javnimi službami se zagotavljajo materialne javne dobrine kot proizvodi in storitve, katerih trajno in nemoteno proizvajanje v javnem interesu zagotavlja občina ali druga lokalna skupnost zaradi zadovoljevanja javnih potreb. </w:t>
      </w:r>
    </w:p>
    <w:p w:rsidR="00B530F0" w:rsidRPr="00B148B1" w:rsidRDefault="00B530F0" w:rsidP="00B530F0">
      <w:pPr>
        <w:tabs>
          <w:tab w:val="left" w:pos="9600"/>
        </w:tabs>
        <w:spacing w:before="120" w:line="280" w:lineRule="atLeast"/>
        <w:rPr>
          <w:rFonts w:cs="Arial"/>
          <w:szCs w:val="20"/>
        </w:rPr>
      </w:pPr>
      <w:r w:rsidRPr="00B148B1">
        <w:rPr>
          <w:rFonts w:cs="Arial"/>
          <w:szCs w:val="20"/>
        </w:rPr>
        <w:t>Glede na navedeno je na podlagi Zakona o gospodarskih javnih službah v predpisih lokalnih skupnosti določen način opravljanja gospodarske javne službe, in sicer ga predpiše lokalna skupnost z odlokom tako, da je zagotovljeno izvajanje javne službe v okviru funkcionalno in prostorsko zaokroženih oskrbovalnih sistemov. Z občinskim predpisom se za javno službo podrobneje določi:</w:t>
      </w:r>
    </w:p>
    <w:p w:rsidR="00B530F0" w:rsidRPr="00B148B1" w:rsidRDefault="00B530F0"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organizacijska in prostorska zasnova njihovega opravljanja po vrstah in številu izvajalcev (v</w:t>
      </w:r>
      <w:r w:rsidRPr="00B148B1">
        <w:rPr>
          <w:rFonts w:cs="Arial"/>
          <w:color w:val="0000FF"/>
        </w:rPr>
        <w:t xml:space="preserve"> </w:t>
      </w:r>
      <w:r w:rsidRPr="00B148B1">
        <w:rPr>
          <w:rFonts w:cs="Arial"/>
          <w:szCs w:val="20"/>
        </w:rPr>
        <w:t>režijskem obratu, javnem gospodarskem zavodu, javnem podjetju, na podlagi koncesije ali javnih kapitalskih vložkov),</w:t>
      </w:r>
    </w:p>
    <w:p w:rsidR="00B530F0" w:rsidRPr="00B148B1" w:rsidRDefault="00B530F0"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vrsta in obseg javnih dobrin ter njihova prostorska razporeditev,</w:t>
      </w:r>
    </w:p>
    <w:p w:rsidR="00B530F0" w:rsidRPr="00B148B1" w:rsidRDefault="00B530F0"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pogoji za zagotavljanje in uporabo javnih dobrin,</w:t>
      </w:r>
    </w:p>
    <w:p w:rsidR="00B530F0" w:rsidRPr="00B148B1" w:rsidRDefault="00B530F0"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pravice in obveznosti uporabnikov,</w:t>
      </w:r>
    </w:p>
    <w:p w:rsidR="00B530F0" w:rsidRPr="00B148B1" w:rsidRDefault="00B530F0"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viri financiranja gospodarskih javnih služb in način njihovega oblikovanja,</w:t>
      </w:r>
    </w:p>
    <w:p w:rsidR="00B530F0" w:rsidRPr="00B148B1" w:rsidRDefault="00B530F0"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vrsta in obseg objektov in naprav, potrebnih za izvajanje gospodarske javne službe, ki so lastnina republike ali lokalne skupnosti ter del javne lastnine, ki je javno dobro in varstvo, ki ga uživa,</w:t>
      </w:r>
    </w:p>
    <w:p w:rsidR="00B530F0" w:rsidRPr="00B148B1" w:rsidRDefault="00B530F0"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 xml:space="preserve">drugi </w:t>
      </w:r>
      <w:r w:rsidR="008948D3" w:rsidRPr="00B148B1">
        <w:rPr>
          <w:rFonts w:cs="Arial"/>
          <w:szCs w:val="20"/>
        </w:rPr>
        <w:t xml:space="preserve">dejavniki, </w:t>
      </w:r>
      <w:r w:rsidRPr="00B148B1">
        <w:rPr>
          <w:rFonts w:cs="Arial"/>
          <w:szCs w:val="20"/>
        </w:rPr>
        <w:t>pomembni za opravljanje in razvoj gospodarske javne službe.</w:t>
      </w:r>
    </w:p>
    <w:p w:rsidR="00B530F0" w:rsidRPr="00B148B1" w:rsidRDefault="00B530F0" w:rsidP="00B530F0">
      <w:pPr>
        <w:tabs>
          <w:tab w:val="left" w:pos="9600"/>
        </w:tabs>
        <w:spacing w:before="120" w:line="280" w:lineRule="atLeast"/>
        <w:rPr>
          <w:rFonts w:cs="Arial"/>
          <w:szCs w:val="20"/>
        </w:rPr>
      </w:pPr>
      <w:r w:rsidRPr="00B148B1">
        <w:rPr>
          <w:rFonts w:cs="Arial"/>
          <w:szCs w:val="20"/>
        </w:rPr>
        <w:t xml:space="preserve">Območje zagotavljanja javne službe je določeno z Uredbo o odvajanju in čiščenju komunalne odpadne vode in je celotno območje posamezne občine. Območje izvajalca javne službe je območje celotne občine ali njenega dela, kjer javno službo izvaja en izvajalec javne službe. Območje izvajalca javne službe je določeno s predpisom občine. </w:t>
      </w:r>
    </w:p>
    <w:p w:rsidR="00B530F0" w:rsidRPr="00B148B1" w:rsidRDefault="00B530F0" w:rsidP="00B530F0">
      <w:pPr>
        <w:tabs>
          <w:tab w:val="left" w:pos="9600"/>
        </w:tabs>
        <w:spacing w:before="120" w:line="280" w:lineRule="atLeast"/>
        <w:rPr>
          <w:rFonts w:cs="Arial"/>
          <w:szCs w:val="20"/>
        </w:rPr>
      </w:pPr>
      <w:r w:rsidRPr="00B148B1">
        <w:rPr>
          <w:rFonts w:cs="Arial"/>
          <w:szCs w:val="20"/>
        </w:rPr>
        <w:t>Naloge izvajalca javne službe, ki se nanašajo na odvajanje in čiščenje komunalne odpadne vode in so obvezne storitve, so:</w:t>
      </w:r>
    </w:p>
    <w:p w:rsidR="00B530F0" w:rsidRPr="00B148B1" w:rsidRDefault="00B530F0" w:rsidP="004C2581">
      <w:pPr>
        <w:numPr>
          <w:ilvl w:val="0"/>
          <w:numId w:val="20"/>
        </w:numPr>
        <w:tabs>
          <w:tab w:val="left" w:pos="9600"/>
        </w:tabs>
        <w:spacing w:before="120" w:line="280" w:lineRule="atLeast"/>
        <w:rPr>
          <w:rFonts w:cs="Arial"/>
          <w:szCs w:val="20"/>
        </w:rPr>
      </w:pPr>
      <w:r w:rsidRPr="00B148B1">
        <w:rPr>
          <w:rFonts w:cs="Arial"/>
          <w:szCs w:val="20"/>
        </w:rPr>
        <w:lastRenderedPageBreak/>
        <w:t>odvajanje in čiščenje komunalne odpadne vode, ki se odvaja v javno kanalizacijo, v skladu z 10. členom Uredbe o odvajanju in čiščenju komunalne odpadne vode ter dodatna obdelava komunalne odpadne vode v skladu z 11. členom Uredbe o odvajanju in čiščenju komunalne odpadne vode,</w:t>
      </w:r>
    </w:p>
    <w:p w:rsidR="00B530F0" w:rsidRPr="00B148B1" w:rsidRDefault="00B530F0" w:rsidP="004C2581">
      <w:pPr>
        <w:numPr>
          <w:ilvl w:val="0"/>
          <w:numId w:val="20"/>
        </w:numPr>
        <w:tabs>
          <w:tab w:val="left" w:pos="9600"/>
        </w:tabs>
        <w:spacing w:before="120" w:line="280" w:lineRule="atLeast"/>
        <w:rPr>
          <w:rFonts w:cs="Arial"/>
          <w:szCs w:val="20"/>
        </w:rPr>
      </w:pPr>
      <w:r w:rsidRPr="00B148B1">
        <w:rPr>
          <w:rFonts w:cs="Arial"/>
          <w:szCs w:val="20"/>
        </w:rPr>
        <w:t>redno vzdrževanje javne kanalizacije,</w:t>
      </w:r>
    </w:p>
    <w:p w:rsidR="00B530F0" w:rsidRPr="00B148B1" w:rsidRDefault="00B530F0" w:rsidP="004C2581">
      <w:pPr>
        <w:numPr>
          <w:ilvl w:val="0"/>
          <w:numId w:val="20"/>
        </w:numPr>
        <w:tabs>
          <w:tab w:val="left" w:pos="9600"/>
        </w:tabs>
        <w:spacing w:before="120" w:line="280" w:lineRule="atLeast"/>
        <w:rPr>
          <w:rFonts w:cs="Arial"/>
          <w:szCs w:val="20"/>
        </w:rPr>
      </w:pPr>
      <w:r w:rsidRPr="00B148B1">
        <w:rPr>
          <w:rFonts w:cs="Arial"/>
          <w:szCs w:val="20"/>
        </w:rPr>
        <w:t>prevzem in odvoz komunalne odpadne vode, ki se zbira v nepretočnih greznicah, v komunalno čistilno napravo ter njeno čiščenje,</w:t>
      </w:r>
    </w:p>
    <w:p w:rsidR="00B530F0" w:rsidRPr="00B148B1" w:rsidRDefault="00B530F0" w:rsidP="004C2581">
      <w:pPr>
        <w:numPr>
          <w:ilvl w:val="0"/>
          <w:numId w:val="20"/>
        </w:numPr>
        <w:tabs>
          <w:tab w:val="left" w:pos="9600"/>
        </w:tabs>
        <w:spacing w:before="120" w:line="280" w:lineRule="atLeast"/>
        <w:rPr>
          <w:rFonts w:cs="Arial"/>
          <w:szCs w:val="20"/>
        </w:rPr>
      </w:pPr>
      <w:r w:rsidRPr="00B148B1">
        <w:rPr>
          <w:rFonts w:cs="Arial"/>
          <w:szCs w:val="20"/>
        </w:rPr>
        <w:t>prevzem in odvoz blata iz malih komunalnih čistilnih naprav z zmogljivostjo, manjšo od 50 PE, in iz malih komunalnih čistilnih naprav iz petega odstavka 21. člena Uredbe o odvajanju in čiščenju komunalne odpadne vode (t.</w:t>
      </w:r>
      <w:r w:rsidR="00A80F5F" w:rsidRPr="00B148B1">
        <w:rPr>
          <w:rFonts w:cs="Arial"/>
          <w:szCs w:val="20"/>
        </w:rPr>
        <w:t xml:space="preserve"> </w:t>
      </w:r>
      <w:r w:rsidRPr="00B148B1">
        <w:rPr>
          <w:rFonts w:cs="Arial"/>
          <w:szCs w:val="20"/>
        </w:rPr>
        <w:t>j. male komunalne čistilne naprave z zmogljivostjo, enako ali večjo od 50 PE, ki ni javna infrastruktura lokalnega značaja) na območje komunalne čistilne naprave, ki je opremljena za obdelavo blata,</w:t>
      </w:r>
    </w:p>
    <w:p w:rsidR="00B530F0" w:rsidRPr="00B148B1" w:rsidRDefault="00B530F0" w:rsidP="004C2581">
      <w:pPr>
        <w:numPr>
          <w:ilvl w:val="0"/>
          <w:numId w:val="20"/>
        </w:numPr>
        <w:tabs>
          <w:tab w:val="left" w:pos="9600"/>
        </w:tabs>
        <w:spacing w:before="120" w:line="280" w:lineRule="atLeast"/>
        <w:rPr>
          <w:rFonts w:cs="Arial"/>
          <w:szCs w:val="20"/>
        </w:rPr>
      </w:pPr>
      <w:r w:rsidRPr="00B148B1">
        <w:rPr>
          <w:rFonts w:cs="Arial"/>
          <w:szCs w:val="20"/>
        </w:rPr>
        <w:t>obdelava blata,</w:t>
      </w:r>
    </w:p>
    <w:p w:rsidR="00B530F0" w:rsidRPr="00B148B1" w:rsidRDefault="00B530F0" w:rsidP="004C2581">
      <w:pPr>
        <w:numPr>
          <w:ilvl w:val="0"/>
          <w:numId w:val="20"/>
        </w:numPr>
        <w:tabs>
          <w:tab w:val="left" w:pos="9600"/>
        </w:tabs>
        <w:spacing w:before="120" w:line="280" w:lineRule="atLeast"/>
        <w:rPr>
          <w:rFonts w:cs="Arial"/>
          <w:szCs w:val="20"/>
        </w:rPr>
      </w:pPr>
      <w:r w:rsidRPr="00B148B1">
        <w:rPr>
          <w:rFonts w:cs="Arial"/>
          <w:szCs w:val="20"/>
        </w:rPr>
        <w:t>pregledovanje malih komunalnih čistilnih naprav z zmogljivostjo, manjšo od 50 PE,</w:t>
      </w:r>
    </w:p>
    <w:p w:rsidR="00B530F0" w:rsidRPr="00B148B1" w:rsidRDefault="00B530F0" w:rsidP="004C2581">
      <w:pPr>
        <w:numPr>
          <w:ilvl w:val="0"/>
          <w:numId w:val="20"/>
        </w:numPr>
        <w:tabs>
          <w:tab w:val="left" w:pos="9600"/>
        </w:tabs>
        <w:spacing w:before="120" w:line="280" w:lineRule="atLeast"/>
        <w:rPr>
          <w:rFonts w:cs="Arial"/>
          <w:szCs w:val="20"/>
        </w:rPr>
      </w:pPr>
      <w:r w:rsidRPr="00B148B1">
        <w:rPr>
          <w:rFonts w:cs="Arial"/>
          <w:szCs w:val="20"/>
        </w:rPr>
        <w:t>odvajanje in čiščenje padavinske odpadne vode, ki se odvaja v javno kanalizacijo z javnih površin,</w:t>
      </w:r>
    </w:p>
    <w:p w:rsidR="00B530F0" w:rsidRPr="00B148B1" w:rsidRDefault="00B530F0" w:rsidP="004C2581">
      <w:pPr>
        <w:numPr>
          <w:ilvl w:val="0"/>
          <w:numId w:val="20"/>
        </w:numPr>
        <w:tabs>
          <w:tab w:val="left" w:pos="9600"/>
        </w:tabs>
        <w:spacing w:before="120" w:line="280" w:lineRule="atLeast"/>
        <w:rPr>
          <w:rFonts w:cs="Arial"/>
          <w:szCs w:val="20"/>
        </w:rPr>
      </w:pPr>
      <w:r w:rsidRPr="00B148B1">
        <w:rPr>
          <w:rFonts w:cs="Arial"/>
          <w:szCs w:val="20"/>
        </w:rPr>
        <w:t>odvajanje in čiščenje padavinske odpadne vode, ki se odvaja v javno kanalizacijo s streh, če za to padavinsko odpadno vodo ni mogoče zagotoviti ravnanja v skladu s predpisom, ki ureja emisijo snovi in toplote pri odvajanju odpadnih voda v vode in javno kanalizacijo,</w:t>
      </w:r>
    </w:p>
    <w:p w:rsidR="00B530F0" w:rsidRPr="00B148B1" w:rsidRDefault="00B530F0" w:rsidP="004C2581">
      <w:pPr>
        <w:numPr>
          <w:ilvl w:val="0"/>
          <w:numId w:val="20"/>
        </w:numPr>
        <w:tabs>
          <w:tab w:val="left" w:pos="9600"/>
        </w:tabs>
        <w:spacing w:before="120" w:line="280" w:lineRule="atLeast"/>
        <w:rPr>
          <w:rFonts w:cs="Arial"/>
          <w:szCs w:val="20"/>
        </w:rPr>
      </w:pPr>
      <w:r w:rsidRPr="00B148B1">
        <w:rPr>
          <w:rFonts w:cs="Arial"/>
          <w:szCs w:val="20"/>
        </w:rPr>
        <w:t>odvajanje in čiščenje padavinske odpadne vode, ki se odvaja v javno kanalizacijo z zasebnih utrjenih površin, ki niso večje od 100 m</w:t>
      </w:r>
      <w:r w:rsidRPr="00B148B1">
        <w:rPr>
          <w:rFonts w:cs="Arial"/>
          <w:szCs w:val="20"/>
          <w:vertAlign w:val="superscript"/>
        </w:rPr>
        <w:t>2</w:t>
      </w:r>
      <w:r w:rsidRPr="00B148B1">
        <w:rPr>
          <w:rFonts w:cs="Arial"/>
          <w:szCs w:val="20"/>
        </w:rPr>
        <w:t xml:space="preserve"> in pripadajo objektu, iz katerega se odvaja komunalna odpadna voda ali padavinska odpadna voda s streh, če tako določa občinski predpis, ki ureja javno službo,</w:t>
      </w:r>
    </w:p>
    <w:p w:rsidR="00B530F0" w:rsidRPr="00B148B1" w:rsidRDefault="00B530F0" w:rsidP="004C2581">
      <w:pPr>
        <w:numPr>
          <w:ilvl w:val="0"/>
          <w:numId w:val="20"/>
        </w:numPr>
        <w:tabs>
          <w:tab w:val="left" w:pos="9600"/>
        </w:tabs>
        <w:spacing w:before="120" w:line="280" w:lineRule="atLeast"/>
        <w:rPr>
          <w:rFonts w:cs="Arial"/>
          <w:szCs w:val="20"/>
        </w:rPr>
      </w:pPr>
      <w:r w:rsidRPr="00B148B1">
        <w:rPr>
          <w:rFonts w:cs="Arial"/>
          <w:szCs w:val="20"/>
        </w:rPr>
        <w:t>obveščanje uporabnikov javne službe,</w:t>
      </w:r>
    </w:p>
    <w:p w:rsidR="00B530F0" w:rsidRPr="00B148B1" w:rsidRDefault="00B530F0" w:rsidP="004C2581">
      <w:pPr>
        <w:numPr>
          <w:ilvl w:val="0"/>
          <w:numId w:val="20"/>
        </w:numPr>
        <w:tabs>
          <w:tab w:val="left" w:pos="9600"/>
        </w:tabs>
        <w:spacing w:before="120" w:line="280" w:lineRule="atLeast"/>
        <w:rPr>
          <w:rFonts w:cs="Arial"/>
          <w:szCs w:val="20"/>
        </w:rPr>
      </w:pPr>
      <w:r w:rsidRPr="00B148B1">
        <w:rPr>
          <w:rFonts w:cs="Arial"/>
          <w:szCs w:val="20"/>
        </w:rPr>
        <w:t>izdelava programa izvajanja javne službe,</w:t>
      </w:r>
    </w:p>
    <w:p w:rsidR="00B530F0" w:rsidRPr="00B148B1" w:rsidRDefault="00B530F0" w:rsidP="004C2581">
      <w:pPr>
        <w:numPr>
          <w:ilvl w:val="0"/>
          <w:numId w:val="20"/>
        </w:numPr>
        <w:tabs>
          <w:tab w:val="left" w:pos="9600"/>
        </w:tabs>
        <w:spacing w:before="120" w:line="280" w:lineRule="atLeast"/>
        <w:rPr>
          <w:rFonts w:cs="Arial"/>
          <w:szCs w:val="20"/>
        </w:rPr>
      </w:pPr>
      <w:r w:rsidRPr="00B148B1">
        <w:rPr>
          <w:rFonts w:cs="Arial"/>
          <w:szCs w:val="20"/>
        </w:rPr>
        <w:t>vodenje evidence o izvajanju javne službe,</w:t>
      </w:r>
    </w:p>
    <w:p w:rsidR="00B530F0" w:rsidRPr="00B148B1" w:rsidRDefault="00B530F0" w:rsidP="004C2581">
      <w:pPr>
        <w:numPr>
          <w:ilvl w:val="0"/>
          <w:numId w:val="20"/>
        </w:numPr>
        <w:tabs>
          <w:tab w:val="left" w:pos="9600"/>
        </w:tabs>
        <w:spacing w:before="120" w:line="280" w:lineRule="atLeast"/>
        <w:rPr>
          <w:rFonts w:cs="Arial"/>
          <w:szCs w:val="20"/>
        </w:rPr>
      </w:pPr>
      <w:r w:rsidRPr="00B148B1">
        <w:rPr>
          <w:rFonts w:cs="Arial"/>
          <w:szCs w:val="20"/>
        </w:rPr>
        <w:t>poročanje o izvajanju javne službe in</w:t>
      </w:r>
    </w:p>
    <w:p w:rsidR="008A3EB8" w:rsidRPr="00B148B1" w:rsidRDefault="00B530F0" w:rsidP="004C2581">
      <w:pPr>
        <w:numPr>
          <w:ilvl w:val="0"/>
          <w:numId w:val="20"/>
        </w:numPr>
        <w:tabs>
          <w:tab w:val="left" w:pos="9600"/>
        </w:tabs>
        <w:spacing w:before="120" w:line="280" w:lineRule="atLeast"/>
        <w:rPr>
          <w:rFonts w:cs="Arial"/>
          <w:szCs w:val="20"/>
        </w:rPr>
      </w:pPr>
      <w:r w:rsidRPr="00B148B1">
        <w:rPr>
          <w:rFonts w:cs="Arial"/>
          <w:szCs w:val="20"/>
        </w:rPr>
        <w:t>priključevanje novih uporabnikov javne službe.</w:t>
      </w:r>
    </w:p>
    <w:p w:rsidR="00D774EB" w:rsidRPr="00B148B1" w:rsidRDefault="00D774EB" w:rsidP="00385BB8">
      <w:pPr>
        <w:pStyle w:val="Naslov3"/>
      </w:pPr>
      <w:bookmarkStart w:id="13" w:name="_Toc50628043"/>
      <w:r w:rsidRPr="00B148B1">
        <w:t>Občutljiva območja</w:t>
      </w:r>
      <w:bookmarkEnd w:id="13"/>
    </w:p>
    <w:p w:rsidR="00D774EB" w:rsidRPr="00B148B1" w:rsidRDefault="00D774EB" w:rsidP="00D774EB">
      <w:pPr>
        <w:tabs>
          <w:tab w:val="left" w:pos="9600"/>
        </w:tabs>
        <w:spacing w:before="120" w:line="280" w:lineRule="atLeast"/>
        <w:rPr>
          <w:rFonts w:cs="Arial"/>
          <w:szCs w:val="20"/>
        </w:rPr>
      </w:pPr>
      <w:r w:rsidRPr="00B148B1">
        <w:rPr>
          <w:rFonts w:cs="Arial"/>
          <w:szCs w:val="20"/>
        </w:rPr>
        <w:t xml:space="preserve">S Pravilnikom o občutljivih območjih so vodna telesa površinskih voda iz predpisa, ki ureja določitev in razvrstitev vodnih teles površinskih voda, v skladu z merili iz 5. člena Uredbe o odvajanju in čiščenju komunalne odpadne vode uvrščena med občutljiva območja zaradi </w:t>
      </w:r>
      <w:proofErr w:type="spellStart"/>
      <w:r w:rsidRPr="00B148B1">
        <w:rPr>
          <w:rFonts w:cs="Arial"/>
          <w:szCs w:val="20"/>
        </w:rPr>
        <w:t>evtrofikacije</w:t>
      </w:r>
      <w:proofErr w:type="spellEnd"/>
      <w:r w:rsidRPr="00B148B1">
        <w:rPr>
          <w:rFonts w:cs="Arial"/>
          <w:szCs w:val="20"/>
        </w:rPr>
        <w:t xml:space="preserve"> ali </w:t>
      </w:r>
      <w:r w:rsidR="00587C66" w:rsidRPr="00B148B1">
        <w:rPr>
          <w:rFonts w:cs="Arial"/>
          <w:szCs w:val="20"/>
        </w:rPr>
        <w:t xml:space="preserve">občutljiva območja </w:t>
      </w:r>
      <w:r w:rsidRPr="00B148B1">
        <w:rPr>
          <w:rFonts w:cs="Arial"/>
          <w:szCs w:val="20"/>
        </w:rPr>
        <w:t xml:space="preserve">zaradi kopalnih voda. Med občutljiva območja zaradi </w:t>
      </w:r>
      <w:proofErr w:type="spellStart"/>
      <w:r w:rsidRPr="00B148B1">
        <w:rPr>
          <w:rFonts w:cs="Arial"/>
          <w:szCs w:val="20"/>
        </w:rPr>
        <w:t>evtrofikacije</w:t>
      </w:r>
      <w:proofErr w:type="spellEnd"/>
      <w:r w:rsidRPr="00B148B1">
        <w:rPr>
          <w:rFonts w:cs="Arial"/>
          <w:szCs w:val="20"/>
        </w:rPr>
        <w:t xml:space="preserve"> so uvrščena tista vodna telesa površinskih voda, pri katerih je mogoče ugotoviti ali pričakovati </w:t>
      </w:r>
      <w:proofErr w:type="spellStart"/>
      <w:r w:rsidRPr="00B148B1">
        <w:rPr>
          <w:rFonts w:cs="Arial"/>
          <w:szCs w:val="20"/>
        </w:rPr>
        <w:t>evtrofikacijo</w:t>
      </w:r>
      <w:proofErr w:type="spellEnd"/>
      <w:r w:rsidRPr="00B148B1">
        <w:rPr>
          <w:rFonts w:cs="Arial"/>
          <w:szCs w:val="20"/>
        </w:rPr>
        <w:t>. Med občutljiva območja zaradi kopalnih voda so uvrščena tista vodna telesa površinskih voda, na katerih so določene kopalne vode.</w:t>
      </w:r>
      <w:r w:rsidR="00587C66" w:rsidRPr="00B148B1">
        <w:rPr>
          <w:rFonts w:cs="Arial"/>
          <w:szCs w:val="20"/>
        </w:rPr>
        <w:t xml:space="preserve"> </w:t>
      </w:r>
      <w:r w:rsidRPr="00B148B1">
        <w:rPr>
          <w:rFonts w:cs="Arial"/>
          <w:szCs w:val="20"/>
        </w:rPr>
        <w:t xml:space="preserve">S Pravilnikom o občutljivih območjih so določena tudi prispevna območja občutljivih območij, ki so določena po hidrografskih razvodnicah. Občutljiva območja in njihova prispevna območja so prikazana na </w:t>
      </w:r>
      <w:proofErr w:type="spellStart"/>
      <w:r w:rsidRPr="00B148B1">
        <w:rPr>
          <w:rFonts w:cs="Arial"/>
          <w:szCs w:val="20"/>
        </w:rPr>
        <w:t>publikacijskih</w:t>
      </w:r>
      <w:proofErr w:type="spellEnd"/>
      <w:r w:rsidRPr="00B148B1">
        <w:rPr>
          <w:rFonts w:cs="Arial"/>
          <w:szCs w:val="20"/>
        </w:rPr>
        <w:t xml:space="preserve"> kartah v prilogah </w:t>
      </w:r>
      <w:r w:rsidR="0020727D" w:rsidRPr="00B148B1">
        <w:rPr>
          <w:rFonts w:cs="Arial"/>
          <w:szCs w:val="20"/>
        </w:rPr>
        <w:t>(</w:t>
      </w:r>
      <w:r w:rsidR="00906871" w:rsidRPr="00B148B1">
        <w:rPr>
          <w:rFonts w:cs="Arial"/>
          <w:szCs w:val="20"/>
        </w:rPr>
        <w:t xml:space="preserve">PRILOGA 1 </w:t>
      </w:r>
      <w:r w:rsidR="0020727D" w:rsidRPr="00B148B1">
        <w:rPr>
          <w:rFonts w:cs="Arial"/>
          <w:szCs w:val="20"/>
        </w:rPr>
        <w:t xml:space="preserve">in </w:t>
      </w:r>
      <w:r w:rsidR="00906871" w:rsidRPr="00B148B1">
        <w:rPr>
          <w:rFonts w:cs="Arial"/>
          <w:szCs w:val="20"/>
        </w:rPr>
        <w:t>PRILOGA 2</w:t>
      </w:r>
      <w:r w:rsidR="0020727D" w:rsidRPr="00B148B1">
        <w:rPr>
          <w:rFonts w:cs="Arial"/>
          <w:szCs w:val="20"/>
        </w:rPr>
        <w:t>)</w:t>
      </w:r>
      <w:r w:rsidRPr="00B148B1">
        <w:rPr>
          <w:rFonts w:cs="Arial"/>
          <w:szCs w:val="20"/>
        </w:rPr>
        <w:t>, ki sta sestavna dela tega operativnega programa.</w:t>
      </w:r>
    </w:p>
    <w:p w:rsidR="009B071E" w:rsidRPr="00B148B1" w:rsidRDefault="009B071E" w:rsidP="00385BB8">
      <w:pPr>
        <w:pStyle w:val="Naslov3"/>
      </w:pPr>
      <w:bookmarkStart w:id="14" w:name="_Ref45723423"/>
      <w:bookmarkStart w:id="15" w:name="_Toc50628044"/>
      <w:bookmarkStart w:id="16" w:name="_Ref446492789"/>
      <w:r w:rsidRPr="00B148B1">
        <w:lastRenderedPageBreak/>
        <w:t>Spremembe in dopolnitve predpisanih zahtev</w:t>
      </w:r>
      <w:bookmarkEnd w:id="14"/>
      <w:bookmarkEnd w:id="15"/>
    </w:p>
    <w:p w:rsidR="0024375A" w:rsidRPr="00B148B1" w:rsidRDefault="009B071E" w:rsidP="0024375A">
      <w:r w:rsidRPr="00B148B1">
        <w:t>S 1.</w:t>
      </w:r>
      <w:r w:rsidR="008A3EB8" w:rsidRPr="00B148B1">
        <w:t xml:space="preserve"> januarjem </w:t>
      </w:r>
      <w:r w:rsidRPr="00B148B1">
        <w:t>2020 je stopila v veljavo Uredba o spremembah in dopolnitvah Uredbe o odvajanju in čiščenju komunalne odpadne vode</w:t>
      </w:r>
      <w:r w:rsidR="008A3EB8" w:rsidRPr="00B148B1">
        <w:t xml:space="preserve"> (Ur</w:t>
      </w:r>
      <w:r w:rsidR="0088359E" w:rsidRPr="00B148B1">
        <w:t>adni</w:t>
      </w:r>
      <w:r w:rsidR="008A3EB8" w:rsidRPr="00B148B1">
        <w:t xml:space="preserve"> l</w:t>
      </w:r>
      <w:r w:rsidR="0088359E" w:rsidRPr="00B148B1">
        <w:t>ist</w:t>
      </w:r>
      <w:r w:rsidR="008A3EB8" w:rsidRPr="00B148B1">
        <w:t xml:space="preserve"> RS, št. 98/15, 76/17 in 91/19). </w:t>
      </w:r>
      <w:r w:rsidRPr="00B148B1">
        <w:t>Bistvene novosti Uredbe o odvajanju in čiščenju komunalne odpadne vode so povzete v nadaljevanju:</w:t>
      </w:r>
    </w:p>
    <w:p w:rsidR="009B071E" w:rsidRPr="00B148B1" w:rsidRDefault="00785F9D"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 xml:space="preserve">s </w:t>
      </w:r>
      <w:r w:rsidR="009B071E" w:rsidRPr="00B148B1">
        <w:rPr>
          <w:rFonts w:cs="Arial"/>
          <w:szCs w:val="20"/>
        </w:rPr>
        <w:t>spremembami in dopolnitvami Uredbe o odvajanju in čiščenju komunalne odpadne vode se spremenijo oziroma dopolnijo merila za določitev aglomeracij ter določijo same aglomeracije</w:t>
      </w:r>
      <w:r w:rsidR="005A39C7" w:rsidRPr="00B148B1">
        <w:rPr>
          <w:rFonts w:cs="Arial"/>
          <w:szCs w:val="20"/>
        </w:rPr>
        <w:t>;</w:t>
      </w:r>
      <w:r w:rsidR="009B071E" w:rsidRPr="00B148B1">
        <w:rPr>
          <w:rFonts w:cs="Arial"/>
          <w:szCs w:val="20"/>
        </w:rPr>
        <w:t xml:space="preserve"> </w:t>
      </w:r>
      <w:r w:rsidR="005A39C7" w:rsidRPr="00B148B1">
        <w:rPr>
          <w:rFonts w:cs="Arial"/>
          <w:szCs w:val="20"/>
        </w:rPr>
        <w:t>k</w:t>
      </w:r>
      <w:r w:rsidR="009B071E" w:rsidRPr="00B148B1">
        <w:rPr>
          <w:rFonts w:cs="Arial"/>
          <w:szCs w:val="20"/>
        </w:rPr>
        <w:t>ljučna sprememba pri merilih za določitev aglomeracij glede na predhodne aglomeracije je upoštevanje pozidanih stavbnih zemljišč</w:t>
      </w:r>
      <w:r w:rsidRPr="00B148B1">
        <w:rPr>
          <w:rFonts w:cs="Arial"/>
          <w:szCs w:val="20"/>
        </w:rPr>
        <w:t>;</w:t>
      </w:r>
    </w:p>
    <w:p w:rsidR="009B071E" w:rsidRPr="00B148B1" w:rsidRDefault="00785F9D"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j</w:t>
      </w:r>
      <w:r w:rsidR="003304B7" w:rsidRPr="00B148B1">
        <w:rPr>
          <w:rFonts w:cs="Arial"/>
          <w:szCs w:val="20"/>
        </w:rPr>
        <w:t>asneje so</w:t>
      </w:r>
      <w:r w:rsidR="009B071E" w:rsidRPr="00B148B1">
        <w:rPr>
          <w:rFonts w:cs="Arial"/>
          <w:szCs w:val="20"/>
        </w:rPr>
        <w:t xml:space="preserve"> določene posamezne zahteve, ki se nanašajo na izvajanje meritev pri mali</w:t>
      </w:r>
      <w:r w:rsidR="008A3EB8" w:rsidRPr="00B148B1">
        <w:rPr>
          <w:rFonts w:cs="Arial"/>
          <w:szCs w:val="20"/>
        </w:rPr>
        <w:t>h</w:t>
      </w:r>
      <w:r w:rsidR="009B071E" w:rsidRPr="00B148B1">
        <w:rPr>
          <w:rFonts w:cs="Arial"/>
          <w:szCs w:val="20"/>
        </w:rPr>
        <w:t xml:space="preserve"> komunalni</w:t>
      </w:r>
      <w:r w:rsidR="008A3EB8" w:rsidRPr="00B148B1">
        <w:rPr>
          <w:rFonts w:cs="Arial"/>
          <w:szCs w:val="20"/>
        </w:rPr>
        <w:t>h</w:t>
      </w:r>
      <w:r w:rsidR="009B071E" w:rsidRPr="00B148B1">
        <w:rPr>
          <w:rFonts w:cs="Arial"/>
          <w:szCs w:val="20"/>
        </w:rPr>
        <w:t xml:space="preserve"> čistilni</w:t>
      </w:r>
      <w:r w:rsidR="008A3EB8" w:rsidRPr="00B148B1">
        <w:rPr>
          <w:rFonts w:cs="Arial"/>
          <w:szCs w:val="20"/>
        </w:rPr>
        <w:t>h napravah</w:t>
      </w:r>
      <w:r w:rsidR="009B071E" w:rsidRPr="00B148B1">
        <w:rPr>
          <w:rFonts w:cs="Arial"/>
          <w:szCs w:val="20"/>
        </w:rPr>
        <w:t xml:space="preserve"> z zmogljivostjo, manjšo od 50 PE</w:t>
      </w:r>
      <w:r w:rsidRPr="00B148B1">
        <w:rPr>
          <w:rFonts w:cs="Arial"/>
          <w:szCs w:val="20"/>
        </w:rPr>
        <w:t>;</w:t>
      </w:r>
    </w:p>
    <w:p w:rsidR="009B071E" w:rsidRPr="00B148B1" w:rsidRDefault="00785F9D"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p</w:t>
      </w:r>
      <w:r w:rsidR="008A3EB8" w:rsidRPr="00B148B1">
        <w:rPr>
          <w:rFonts w:cs="Arial"/>
          <w:szCs w:val="20"/>
        </w:rPr>
        <w:t>odrobne</w:t>
      </w:r>
      <w:r w:rsidR="009B071E" w:rsidRPr="00B148B1">
        <w:rPr>
          <w:rFonts w:cs="Arial"/>
          <w:szCs w:val="20"/>
        </w:rPr>
        <w:t xml:space="preserve">je so opredeljene </w:t>
      </w:r>
      <w:r w:rsidR="008A3EB8" w:rsidRPr="00B148B1">
        <w:rPr>
          <w:rFonts w:cs="Arial"/>
          <w:szCs w:val="20"/>
        </w:rPr>
        <w:t>izjeme v zvezi z zahtevami za opremljanje</w:t>
      </w:r>
      <w:r w:rsidR="009B071E" w:rsidRPr="00B148B1">
        <w:rPr>
          <w:rFonts w:cs="Arial"/>
          <w:szCs w:val="20"/>
        </w:rPr>
        <w:t xml:space="preserve"> aglomeracij</w:t>
      </w:r>
      <w:r w:rsidRPr="00B148B1">
        <w:rPr>
          <w:rFonts w:cs="Arial"/>
          <w:szCs w:val="20"/>
        </w:rPr>
        <w:t>;</w:t>
      </w:r>
    </w:p>
    <w:p w:rsidR="009B071E" w:rsidRPr="00B148B1" w:rsidRDefault="00785F9D"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d</w:t>
      </w:r>
      <w:r w:rsidR="009B071E" w:rsidRPr="00B148B1">
        <w:rPr>
          <w:rFonts w:cs="Arial"/>
          <w:szCs w:val="20"/>
        </w:rPr>
        <w:t xml:space="preserve">odane se določbe v zvezi z opremljanjem stavbnih zemljišč, ki še niso pozidana, ter </w:t>
      </w:r>
      <w:r w:rsidR="003304B7" w:rsidRPr="00B148B1">
        <w:rPr>
          <w:rFonts w:cs="Arial"/>
          <w:szCs w:val="20"/>
        </w:rPr>
        <w:t>določbe za načrtovana nova stavbna zemljišča</w:t>
      </w:r>
      <w:r w:rsidRPr="00B148B1">
        <w:rPr>
          <w:rFonts w:cs="Arial"/>
          <w:szCs w:val="20"/>
        </w:rPr>
        <w:t>;</w:t>
      </w:r>
      <w:r w:rsidR="009B071E" w:rsidRPr="00B148B1">
        <w:rPr>
          <w:rFonts w:cs="Arial"/>
          <w:szCs w:val="20"/>
        </w:rPr>
        <w:t xml:space="preserve"> </w:t>
      </w:r>
    </w:p>
    <w:p w:rsidR="009B071E" w:rsidRPr="00B148B1" w:rsidRDefault="00785F9D"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d</w:t>
      </w:r>
      <w:r w:rsidR="009B071E" w:rsidRPr="00B148B1">
        <w:rPr>
          <w:rFonts w:cs="Arial"/>
          <w:szCs w:val="20"/>
        </w:rPr>
        <w:t>odana s</w:t>
      </w:r>
      <w:r w:rsidR="003304B7" w:rsidRPr="00B148B1">
        <w:rPr>
          <w:rFonts w:cs="Arial"/>
          <w:szCs w:val="20"/>
        </w:rPr>
        <w:t>o</w:t>
      </w:r>
      <w:r w:rsidR="009B071E" w:rsidRPr="00B148B1">
        <w:rPr>
          <w:rFonts w:cs="Arial"/>
          <w:szCs w:val="20"/>
        </w:rPr>
        <w:t xml:space="preserve"> merila za ugotavljanje stopnje opremljenosti aglomeracij in obveznost </w:t>
      </w:r>
      <w:r w:rsidR="009B7C1D" w:rsidRPr="00B148B1">
        <w:rPr>
          <w:rFonts w:cs="Arial"/>
          <w:szCs w:val="20"/>
        </w:rPr>
        <w:t>MOP</w:t>
      </w:r>
      <w:r w:rsidR="009B071E" w:rsidRPr="00B148B1">
        <w:rPr>
          <w:rFonts w:cs="Arial"/>
          <w:szCs w:val="20"/>
        </w:rPr>
        <w:t>, da vsako leto izdela ocene stopnje opremljenosti in stopnje priključenosti na predpisane vrste infrastrukture za odvajanje in čiščenje komunalne odpadne vode</w:t>
      </w:r>
      <w:r w:rsidRPr="00B148B1">
        <w:rPr>
          <w:rFonts w:cs="Arial"/>
          <w:szCs w:val="20"/>
        </w:rPr>
        <w:t>;</w:t>
      </w:r>
    </w:p>
    <w:p w:rsidR="009B071E" w:rsidRPr="00B148B1" w:rsidRDefault="00785F9D"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d</w:t>
      </w:r>
      <w:r w:rsidR="009B071E" w:rsidRPr="00B148B1">
        <w:rPr>
          <w:rFonts w:cs="Arial"/>
          <w:szCs w:val="20"/>
        </w:rPr>
        <w:t>odane so določbe v zvezi s sivo vodo in suhimi stranišči</w:t>
      </w:r>
      <w:r w:rsidRPr="00B148B1">
        <w:rPr>
          <w:rFonts w:cs="Arial"/>
          <w:szCs w:val="20"/>
        </w:rPr>
        <w:t>;</w:t>
      </w:r>
      <w:r w:rsidR="009B071E" w:rsidRPr="00B148B1">
        <w:rPr>
          <w:rFonts w:cs="Arial"/>
          <w:szCs w:val="20"/>
        </w:rPr>
        <w:t xml:space="preserve"> </w:t>
      </w:r>
    </w:p>
    <w:p w:rsidR="003304B7" w:rsidRPr="00AD07C2" w:rsidRDefault="00785F9D" w:rsidP="004C2581">
      <w:pPr>
        <w:numPr>
          <w:ilvl w:val="0"/>
          <w:numId w:val="6"/>
        </w:numPr>
        <w:tabs>
          <w:tab w:val="num" w:pos="360"/>
          <w:tab w:val="left" w:pos="9600"/>
        </w:tabs>
        <w:spacing w:before="120" w:line="280" w:lineRule="atLeast"/>
        <w:ind w:left="357" w:hanging="357"/>
        <w:rPr>
          <w:rFonts w:cs="Arial"/>
          <w:szCs w:val="20"/>
        </w:rPr>
      </w:pPr>
      <w:r w:rsidRPr="00AD07C2">
        <w:rPr>
          <w:rFonts w:cs="Arial"/>
          <w:szCs w:val="20"/>
        </w:rPr>
        <w:t>d</w:t>
      </w:r>
      <w:r w:rsidR="00726EA1" w:rsidRPr="00AD07C2">
        <w:rPr>
          <w:rFonts w:cs="Arial"/>
          <w:szCs w:val="20"/>
        </w:rPr>
        <w:t>oloči se</w:t>
      </w:r>
      <w:r w:rsidR="009B071E" w:rsidRPr="00AD07C2">
        <w:rPr>
          <w:rFonts w:cs="Arial"/>
          <w:szCs w:val="20"/>
        </w:rPr>
        <w:t>, da se skupina aglomeracij lahko šteje za sestavljeno aglomeracijo, če so izpolnjeni predpisani pogoji</w:t>
      </w:r>
      <w:r w:rsidR="00CD3E84" w:rsidRPr="00AD07C2">
        <w:rPr>
          <w:rFonts w:cs="Arial"/>
          <w:szCs w:val="20"/>
        </w:rPr>
        <w:t>.</w:t>
      </w:r>
      <w:r w:rsidR="009B071E" w:rsidRPr="00AD07C2">
        <w:rPr>
          <w:rFonts w:cs="Arial"/>
          <w:szCs w:val="20"/>
        </w:rPr>
        <w:t xml:space="preserve"> </w:t>
      </w:r>
    </w:p>
    <w:p w:rsidR="009B071E" w:rsidRPr="00B148B1" w:rsidRDefault="009B071E" w:rsidP="0024375A">
      <w:pPr>
        <w:rPr>
          <w:noProof/>
          <w:lang w:eastAsia="sl-SI"/>
        </w:rPr>
      </w:pPr>
    </w:p>
    <w:p w:rsidR="003304B7" w:rsidRPr="00B148B1" w:rsidRDefault="003304B7" w:rsidP="00F56DE2">
      <w:pPr>
        <w:pStyle w:val="Naslov4"/>
      </w:pPr>
      <w:bookmarkStart w:id="17" w:name="_Toc50628045"/>
      <w:r w:rsidRPr="00B148B1">
        <w:t>1.3.4.1</w:t>
      </w:r>
      <w:r w:rsidR="002C7587" w:rsidRPr="00B148B1">
        <w:t xml:space="preserve"> </w:t>
      </w:r>
      <w:r w:rsidR="00C360E4" w:rsidRPr="00B148B1">
        <w:rPr>
          <w:rStyle w:val="Naslov4Znak"/>
        </w:rPr>
        <w:t xml:space="preserve">Sprememba </w:t>
      </w:r>
      <w:r w:rsidR="009B071E" w:rsidRPr="00B148B1">
        <w:rPr>
          <w:rStyle w:val="Naslov4Znak"/>
        </w:rPr>
        <w:t>aglomeracij</w:t>
      </w:r>
      <w:bookmarkEnd w:id="17"/>
    </w:p>
    <w:p w:rsidR="00C32BEC" w:rsidRDefault="00C32BEC" w:rsidP="00C32BEC"/>
    <w:p w:rsidR="00E57AD3" w:rsidRPr="00B148B1" w:rsidRDefault="00E57AD3" w:rsidP="00C32BEC">
      <w:r w:rsidRPr="00B148B1">
        <w:t>Ključna sprememba pri merilih za določitev aglomeracij glede na predhodne aglomeracije je upoštevanje pozidanih stavbnih zemljišč.</w:t>
      </w:r>
      <w:r w:rsidR="008D3063" w:rsidRPr="00B148B1">
        <w:t xml:space="preserve"> </w:t>
      </w:r>
      <w:r w:rsidR="00FE6319" w:rsidRPr="00B148B1">
        <w:rPr>
          <w:noProof/>
          <w:lang w:eastAsia="sl-SI"/>
        </w:rPr>
        <w:t>Za pozidana stavbna zemljišča se štejejo stavbna zemljišča s takšno namensko rabo prostora in pozidana s takimi objekti, kjer se pričakuje nastajanje komunalne odpadne vode. Bistvena novost je tudi, da se omogoči dokončanje v preteklosti zasnovanih celovitih projektov, kjer je to upravičeno, da se skupina veljavnih aglomeracij za potrebe dokončanja lahko obravnava kot sestavljena</w:t>
      </w:r>
      <w:r w:rsidR="00E40890" w:rsidRPr="00B148B1">
        <w:rPr>
          <w:noProof/>
          <w:lang w:eastAsia="sl-SI"/>
        </w:rPr>
        <w:t xml:space="preserve"> aglomeracija, če so izpolnjeni </w:t>
      </w:r>
      <w:r w:rsidR="00FE6319" w:rsidRPr="00B148B1">
        <w:rPr>
          <w:noProof/>
          <w:lang w:eastAsia="sl-SI"/>
        </w:rPr>
        <w:t xml:space="preserve">predpisani </w:t>
      </w:r>
      <w:r w:rsidR="00E40890" w:rsidRPr="00B148B1">
        <w:rPr>
          <w:noProof/>
          <w:lang w:eastAsia="sl-SI"/>
        </w:rPr>
        <w:t>pogoji.</w:t>
      </w:r>
    </w:p>
    <w:p w:rsidR="000322DB" w:rsidRPr="00B148B1" w:rsidRDefault="000322DB" w:rsidP="009B071E">
      <w:pPr>
        <w:tabs>
          <w:tab w:val="left" w:pos="9600"/>
        </w:tabs>
        <w:spacing w:before="120" w:line="280" w:lineRule="atLeast"/>
        <w:rPr>
          <w:rFonts w:cs="Arial"/>
          <w:noProof/>
          <w:szCs w:val="20"/>
          <w:lang w:eastAsia="sl-SI"/>
        </w:rPr>
      </w:pPr>
    </w:p>
    <w:p w:rsidR="00F05155" w:rsidRPr="00B148B1" w:rsidRDefault="002C7587" w:rsidP="00F56DE2">
      <w:pPr>
        <w:pStyle w:val="Naslov4"/>
      </w:pPr>
      <w:bookmarkStart w:id="18" w:name="_Toc50628046"/>
      <w:r w:rsidRPr="00B148B1">
        <w:t>1.3.4.2</w:t>
      </w:r>
      <w:r w:rsidR="00043AC8" w:rsidRPr="00B148B1">
        <w:t xml:space="preserve"> </w:t>
      </w:r>
      <w:r w:rsidR="00F05155" w:rsidRPr="00B148B1">
        <w:t>Zahteve, ki se nanašajo na izvajanje meritev pri mali komunalni čistilni napravi z zmogljivostjo, manjšo od 50 PE</w:t>
      </w:r>
      <w:bookmarkEnd w:id="18"/>
    </w:p>
    <w:p w:rsidR="00861CBD" w:rsidRPr="00B148B1" w:rsidRDefault="00861CBD" w:rsidP="00861CBD">
      <w:pPr>
        <w:pStyle w:val="Alineazaodstavkom"/>
        <w:numPr>
          <w:ilvl w:val="0"/>
          <w:numId w:val="0"/>
        </w:numPr>
        <w:rPr>
          <w:rFonts w:cs="Times New Roman"/>
          <w:sz w:val="20"/>
          <w:szCs w:val="20"/>
        </w:rPr>
      </w:pPr>
    </w:p>
    <w:p w:rsidR="00861CBD" w:rsidRDefault="00B87983" w:rsidP="00BA135B">
      <w:pPr>
        <w:rPr>
          <w:rFonts w:cs="Arial"/>
          <w:szCs w:val="20"/>
        </w:rPr>
      </w:pPr>
      <w:r w:rsidRPr="00B148B1">
        <w:rPr>
          <w:rFonts w:cs="Arial"/>
          <w:szCs w:val="20"/>
        </w:rPr>
        <w:t xml:space="preserve">Zaradi odprave nejasnosti ali različnih razumevanj v praksi </w:t>
      </w:r>
      <w:r w:rsidR="0029538E" w:rsidRPr="00B148B1">
        <w:rPr>
          <w:rFonts w:cs="Arial"/>
          <w:szCs w:val="20"/>
        </w:rPr>
        <w:t>so</w:t>
      </w:r>
      <w:r w:rsidRPr="00B148B1">
        <w:rPr>
          <w:rFonts w:cs="Arial"/>
          <w:szCs w:val="20"/>
        </w:rPr>
        <w:t xml:space="preserve"> podrobneje oziroma jasneje določene posamezne zahteve, ki se nanašajo na izvajanje meritev pri mali komunalni čistilni napravi z zmogljivostjo, manj</w:t>
      </w:r>
      <w:r w:rsidR="00CB0EE3" w:rsidRPr="00B148B1">
        <w:rPr>
          <w:rFonts w:cs="Arial"/>
          <w:szCs w:val="20"/>
        </w:rPr>
        <w:t>šo od 50 PE, in sicer so določ</w:t>
      </w:r>
      <w:r w:rsidRPr="00B148B1">
        <w:rPr>
          <w:rFonts w:cs="Arial"/>
          <w:szCs w:val="20"/>
        </w:rPr>
        <w:t>eni konkretnih parametri, ki jih je treba meriti.</w:t>
      </w:r>
      <w:r w:rsidR="0029538E" w:rsidRPr="00B148B1">
        <w:rPr>
          <w:rFonts w:cs="Arial"/>
          <w:szCs w:val="20"/>
        </w:rPr>
        <w:t xml:space="preserve"> Tako je podrobneje določeno, katere parametre je potrebno meriti, če lastnik ali upravljavec te male komunalne čistilne naprave v roku za izvedbo pregleda predloži rezultate meritev emisije snovi na iztoku</w:t>
      </w:r>
      <w:r w:rsidR="00861CBD" w:rsidRPr="00B148B1">
        <w:rPr>
          <w:rFonts w:cs="Arial"/>
          <w:szCs w:val="20"/>
        </w:rPr>
        <w:t xml:space="preserve">. Podrobneje </w:t>
      </w:r>
      <w:r w:rsidR="00043AC8" w:rsidRPr="00B148B1">
        <w:rPr>
          <w:rFonts w:cs="Arial"/>
          <w:szCs w:val="20"/>
        </w:rPr>
        <w:t>je</w:t>
      </w:r>
      <w:r w:rsidR="00861CBD" w:rsidRPr="00B148B1">
        <w:rPr>
          <w:rFonts w:cs="Arial"/>
          <w:szCs w:val="20"/>
        </w:rPr>
        <w:t xml:space="preserve"> tudi določeno, da mora lastnik ali upravljavec male komunalne čistilne naprave v okviru prvih meritev v skladu s predpisom, ki ureja emisijo snovi in toplote pri odvajanju odpadnih voda v vode in javno kanalizacijo, ki jih izvede oseba, vpisana v evidenco izvajalcev obratovalnega</w:t>
      </w:r>
      <w:r w:rsidR="00E70617" w:rsidRPr="00B148B1">
        <w:rPr>
          <w:rFonts w:cs="Arial"/>
          <w:szCs w:val="20"/>
        </w:rPr>
        <w:t xml:space="preserve"> </w:t>
      </w:r>
      <w:proofErr w:type="spellStart"/>
      <w:r w:rsidR="00E70617" w:rsidRPr="00B148B1">
        <w:rPr>
          <w:rFonts w:cs="Arial"/>
          <w:szCs w:val="20"/>
        </w:rPr>
        <w:t>monitoringa</w:t>
      </w:r>
      <w:proofErr w:type="spellEnd"/>
      <w:r w:rsidR="00E70617" w:rsidRPr="00B148B1">
        <w:rPr>
          <w:rFonts w:cs="Arial"/>
          <w:szCs w:val="20"/>
        </w:rPr>
        <w:t>,</w:t>
      </w:r>
      <w:r w:rsidR="00861CBD" w:rsidRPr="00B148B1">
        <w:rPr>
          <w:rFonts w:cs="Arial"/>
          <w:szCs w:val="20"/>
        </w:rPr>
        <w:t xml:space="preserve"> na iztoku iz te male komunalne čistilne naprave</w:t>
      </w:r>
      <w:r w:rsidR="00043AC8" w:rsidRPr="00B148B1">
        <w:rPr>
          <w:rFonts w:cs="Arial"/>
          <w:szCs w:val="20"/>
        </w:rPr>
        <w:t>,</w:t>
      </w:r>
      <w:r w:rsidR="00861CBD" w:rsidRPr="00B148B1">
        <w:rPr>
          <w:rFonts w:cs="Arial"/>
          <w:szCs w:val="20"/>
        </w:rPr>
        <w:t xml:space="preserve"> zagotoviti meritve za tiste parametre onesnaženosti, za katere so za to malo komunalno čistilno napravo predpisane mejne vrednosti.</w:t>
      </w:r>
      <w:r w:rsidR="00C07498" w:rsidRPr="00B148B1">
        <w:rPr>
          <w:rFonts w:cs="Arial"/>
          <w:szCs w:val="20"/>
        </w:rPr>
        <w:t xml:space="preserve"> </w:t>
      </w:r>
      <w:r w:rsidR="00413760" w:rsidRPr="00B148B1">
        <w:rPr>
          <w:rFonts w:cs="Arial"/>
          <w:szCs w:val="20"/>
        </w:rPr>
        <w:t>Posebej se določijo tudi meritve za malo komunalno čistilno napravo z zmogljivostjo, manjšo od 50 PE, ki pripada napravi. V prehodnih določbah pa se določijo izjeme glede meritev za obstoječe male komunalne čistilne naprave z zmogljivostjo, manjšo od 50 PE.</w:t>
      </w:r>
    </w:p>
    <w:p w:rsidR="00C40B86" w:rsidRPr="00B148B1" w:rsidRDefault="00C40B86" w:rsidP="00BA135B">
      <w:pPr>
        <w:rPr>
          <w:rFonts w:cs="Arial"/>
          <w:szCs w:val="20"/>
        </w:rPr>
      </w:pPr>
    </w:p>
    <w:p w:rsidR="00B87983" w:rsidRPr="00B148B1" w:rsidRDefault="002C7587" w:rsidP="00F56DE2">
      <w:pPr>
        <w:pStyle w:val="Naslov4"/>
      </w:pPr>
      <w:bookmarkStart w:id="19" w:name="_Toc50628047"/>
      <w:r w:rsidRPr="00B148B1">
        <w:lastRenderedPageBreak/>
        <w:t>1.3.4.3</w:t>
      </w:r>
      <w:r w:rsidR="00043AC8" w:rsidRPr="00B148B1">
        <w:t xml:space="preserve"> </w:t>
      </w:r>
      <w:r w:rsidR="00413760" w:rsidRPr="00B148B1">
        <w:t>Zahteve za opremljanje aglomeracij</w:t>
      </w:r>
      <w:bookmarkEnd w:id="19"/>
    </w:p>
    <w:p w:rsidR="00043AC8" w:rsidRPr="00B148B1" w:rsidRDefault="00043AC8" w:rsidP="00BA135B"/>
    <w:p w:rsidR="00E70617" w:rsidRPr="00B148B1" w:rsidRDefault="00497D7B" w:rsidP="00C5768E">
      <w:pPr>
        <w:spacing w:line="280" w:lineRule="atLeast"/>
        <w:rPr>
          <w:rFonts w:cs="Arial"/>
          <w:szCs w:val="20"/>
        </w:rPr>
      </w:pPr>
      <w:r w:rsidRPr="00B148B1">
        <w:rPr>
          <w:rFonts w:cs="Arial"/>
          <w:szCs w:val="20"/>
        </w:rPr>
        <w:t xml:space="preserve">V Uredbi </w:t>
      </w:r>
      <w:r w:rsidR="0091285F" w:rsidRPr="00B148B1">
        <w:rPr>
          <w:rFonts w:cs="Arial"/>
          <w:szCs w:val="20"/>
        </w:rPr>
        <w:t xml:space="preserve">o odvajanju in čiščenju komunalne odpadne vode </w:t>
      </w:r>
      <w:r w:rsidR="00062E88" w:rsidRPr="00B148B1">
        <w:rPr>
          <w:rFonts w:cs="Arial"/>
          <w:szCs w:val="20"/>
        </w:rPr>
        <w:t xml:space="preserve">so podrobneje opredeljene zahteve v zvezi z </w:t>
      </w:r>
      <w:r w:rsidRPr="00B148B1">
        <w:rPr>
          <w:rFonts w:cs="Arial"/>
          <w:szCs w:val="20"/>
        </w:rPr>
        <w:t>opremljanjem aglomeracij, predvsem</w:t>
      </w:r>
      <w:r w:rsidR="00062E88" w:rsidRPr="00B148B1">
        <w:rPr>
          <w:rFonts w:cs="Arial"/>
          <w:szCs w:val="20"/>
        </w:rPr>
        <w:t xml:space="preserve"> </w:t>
      </w:r>
      <w:r w:rsidR="00C2104F" w:rsidRPr="00B148B1">
        <w:rPr>
          <w:rFonts w:cs="Arial"/>
          <w:szCs w:val="20"/>
        </w:rPr>
        <w:t>se navedeno nanaša na</w:t>
      </w:r>
      <w:r w:rsidR="00B626CD" w:rsidRPr="00B148B1">
        <w:rPr>
          <w:rFonts w:cs="Arial"/>
          <w:szCs w:val="20"/>
        </w:rPr>
        <w:t xml:space="preserve"> </w:t>
      </w:r>
      <w:r w:rsidR="00062E88" w:rsidRPr="00B148B1">
        <w:rPr>
          <w:rFonts w:cs="Arial"/>
          <w:szCs w:val="20"/>
        </w:rPr>
        <w:t>izjeme v zvezi z opremljanjem (opremljanje skupine objektov in posameznih objektov v aglomeraciji).</w:t>
      </w:r>
      <w:r w:rsidR="00E70617" w:rsidRPr="00B148B1">
        <w:rPr>
          <w:rFonts w:cs="Arial"/>
          <w:szCs w:val="20"/>
        </w:rPr>
        <w:t xml:space="preserve"> </w:t>
      </w:r>
      <w:r w:rsidR="00A762EC" w:rsidRPr="00B148B1">
        <w:rPr>
          <w:rFonts w:cs="Arial"/>
          <w:szCs w:val="20"/>
        </w:rPr>
        <w:t>Jasneje so določene</w:t>
      </w:r>
      <w:r w:rsidR="00377A0F" w:rsidRPr="00B148B1">
        <w:rPr>
          <w:rFonts w:cs="Arial"/>
          <w:szCs w:val="20"/>
        </w:rPr>
        <w:t xml:space="preserve"> </w:t>
      </w:r>
      <w:r w:rsidR="00E70617" w:rsidRPr="00B148B1">
        <w:rPr>
          <w:rFonts w:cs="Arial"/>
          <w:szCs w:val="20"/>
        </w:rPr>
        <w:t>zahteve v zvezi z opremljanjem skupin objektov v aglomeraciji, ko gre za javno infrastrukturo, ter zahteve v zvezi z upravičenostjo individualnega opremljanja posameznih objektov v aglomeraciji. Doda</w:t>
      </w:r>
      <w:r w:rsidR="00A762EC" w:rsidRPr="00B148B1">
        <w:rPr>
          <w:rFonts w:cs="Arial"/>
          <w:szCs w:val="20"/>
        </w:rPr>
        <w:t>no je</w:t>
      </w:r>
      <w:r w:rsidR="00E70617" w:rsidRPr="00B148B1">
        <w:rPr>
          <w:rFonts w:cs="Arial"/>
          <w:szCs w:val="20"/>
        </w:rPr>
        <w:t xml:space="preserve"> merilo, kdaj so stroški kanalizacijskega priključka nesorazme</w:t>
      </w:r>
      <w:r w:rsidRPr="00B148B1">
        <w:rPr>
          <w:rFonts w:cs="Arial"/>
          <w:szCs w:val="20"/>
        </w:rPr>
        <w:t xml:space="preserve">rni glede na koristi za okolje. Posebej </w:t>
      </w:r>
      <w:r w:rsidR="007069C0" w:rsidRPr="00B148B1">
        <w:rPr>
          <w:rFonts w:cs="Arial"/>
          <w:szCs w:val="20"/>
        </w:rPr>
        <w:t>so urejene zahteve oziroma</w:t>
      </w:r>
      <w:r w:rsidR="00A762EC" w:rsidRPr="00B148B1">
        <w:rPr>
          <w:rFonts w:cs="Arial"/>
          <w:szCs w:val="20"/>
        </w:rPr>
        <w:t xml:space="preserve"> izjeme za aglomeracije z obremenitvijo, manjšo od 500 PE.</w:t>
      </w:r>
    </w:p>
    <w:p w:rsidR="00E70617" w:rsidRPr="00B148B1" w:rsidRDefault="00E70617" w:rsidP="00C5768E">
      <w:pPr>
        <w:spacing w:line="280" w:lineRule="atLeast"/>
        <w:rPr>
          <w:rFonts w:cs="Arial"/>
          <w:szCs w:val="20"/>
        </w:rPr>
      </w:pPr>
    </w:p>
    <w:p w:rsidR="00413760" w:rsidRPr="00B148B1" w:rsidRDefault="00413760" w:rsidP="00C5768E">
      <w:pPr>
        <w:spacing w:line="280" w:lineRule="atLeast"/>
        <w:rPr>
          <w:rFonts w:cs="Arial"/>
          <w:szCs w:val="20"/>
        </w:rPr>
      </w:pPr>
      <w:r w:rsidRPr="00B148B1">
        <w:rPr>
          <w:rFonts w:cs="Arial"/>
          <w:szCs w:val="20"/>
        </w:rPr>
        <w:t xml:space="preserve">Zahteve za opremljanje aglomeracij so podrobneje opisane v </w:t>
      </w:r>
      <w:r w:rsidR="00D6798F" w:rsidRPr="00B148B1">
        <w:rPr>
          <w:rFonts w:cs="Arial"/>
          <w:szCs w:val="20"/>
        </w:rPr>
        <w:t>pod</w:t>
      </w:r>
      <w:r w:rsidRPr="00B148B1">
        <w:rPr>
          <w:rFonts w:cs="Arial"/>
          <w:szCs w:val="20"/>
        </w:rPr>
        <w:t>poglavj</w:t>
      </w:r>
      <w:r w:rsidR="003F5D4E" w:rsidRPr="00B148B1">
        <w:rPr>
          <w:rFonts w:cs="Arial"/>
          <w:szCs w:val="20"/>
        </w:rPr>
        <w:t xml:space="preserve">u </w:t>
      </w:r>
      <w:r w:rsidR="0032389C" w:rsidRPr="00B148B1">
        <w:rPr>
          <w:rFonts w:cs="Arial"/>
          <w:szCs w:val="20"/>
        </w:rPr>
        <w:fldChar w:fldCharType="begin"/>
      </w:r>
      <w:r w:rsidR="0032389C" w:rsidRPr="00B148B1">
        <w:rPr>
          <w:rFonts w:cs="Arial"/>
          <w:szCs w:val="20"/>
        </w:rPr>
        <w:instrText xml:space="preserve"> REF _Ref45781203 \n \h </w:instrText>
      </w:r>
      <w:r w:rsidR="00B148B1" w:rsidRPr="00B148B1">
        <w:rPr>
          <w:rFonts w:cs="Arial"/>
          <w:szCs w:val="20"/>
        </w:rPr>
        <w:instrText xml:space="preserve"> \* MERGEFORMAT </w:instrText>
      </w:r>
      <w:r w:rsidR="0032389C" w:rsidRPr="00B148B1">
        <w:rPr>
          <w:rFonts w:cs="Arial"/>
          <w:szCs w:val="20"/>
        </w:rPr>
      </w:r>
      <w:r w:rsidR="0032389C" w:rsidRPr="00B148B1">
        <w:rPr>
          <w:rFonts w:cs="Arial"/>
          <w:szCs w:val="20"/>
        </w:rPr>
        <w:fldChar w:fldCharType="separate"/>
      </w:r>
      <w:r w:rsidR="00E92793">
        <w:rPr>
          <w:rFonts w:cs="Arial"/>
          <w:szCs w:val="20"/>
        </w:rPr>
        <w:t>1.3.5</w:t>
      </w:r>
      <w:r w:rsidR="0032389C" w:rsidRPr="00B148B1">
        <w:rPr>
          <w:rFonts w:cs="Arial"/>
          <w:szCs w:val="20"/>
        </w:rPr>
        <w:fldChar w:fldCharType="end"/>
      </w:r>
      <w:r w:rsidR="0032389C" w:rsidRPr="00B148B1">
        <w:rPr>
          <w:rFonts w:cs="Arial"/>
          <w:szCs w:val="20"/>
        </w:rPr>
        <w:t>. in</w:t>
      </w:r>
      <w:r w:rsidRPr="00B148B1">
        <w:rPr>
          <w:rFonts w:cs="Arial"/>
          <w:szCs w:val="20"/>
        </w:rPr>
        <w:t xml:space="preserve"> vključujejo tako zahteve, ki so že bile v veljavi</w:t>
      </w:r>
      <w:r w:rsidR="00984F6E" w:rsidRPr="00B148B1">
        <w:rPr>
          <w:rFonts w:cs="Arial"/>
          <w:szCs w:val="20"/>
        </w:rPr>
        <w:t>,</w:t>
      </w:r>
      <w:r w:rsidRPr="00B148B1">
        <w:rPr>
          <w:rFonts w:cs="Arial"/>
          <w:szCs w:val="20"/>
        </w:rPr>
        <w:t xml:space="preserve"> ko</w:t>
      </w:r>
      <w:r w:rsidR="00062E88" w:rsidRPr="00B148B1">
        <w:rPr>
          <w:rFonts w:cs="Arial"/>
          <w:szCs w:val="20"/>
        </w:rPr>
        <w:t xml:space="preserve">t tudi zahteve, ki so bile uveljavljene z </w:t>
      </w:r>
      <w:proofErr w:type="spellStart"/>
      <w:r w:rsidR="00062E88" w:rsidRPr="00B148B1">
        <w:rPr>
          <w:rFonts w:cs="Arial"/>
          <w:szCs w:val="20"/>
        </w:rPr>
        <w:t>novelacijo</w:t>
      </w:r>
      <w:proofErr w:type="spellEnd"/>
      <w:r w:rsidR="00062E88" w:rsidRPr="00B148B1">
        <w:rPr>
          <w:rFonts w:cs="Arial"/>
          <w:szCs w:val="20"/>
        </w:rPr>
        <w:t xml:space="preserve"> Uredbe o odvajanju in čiščenju komunalne odpadne vode v letu 2020.</w:t>
      </w:r>
      <w:r w:rsidR="00B626CD" w:rsidRPr="00B148B1">
        <w:rPr>
          <w:rFonts w:cs="Arial"/>
          <w:szCs w:val="20"/>
        </w:rPr>
        <w:t xml:space="preserve"> </w:t>
      </w:r>
    </w:p>
    <w:p w:rsidR="0029538E" w:rsidRPr="00B148B1" w:rsidRDefault="0029538E" w:rsidP="00413760"/>
    <w:p w:rsidR="008B4E10" w:rsidRPr="00B148B1" w:rsidRDefault="00043AC8" w:rsidP="00F56DE2">
      <w:pPr>
        <w:pStyle w:val="Naslov4"/>
      </w:pPr>
      <w:bookmarkStart w:id="20" w:name="_Toc50628048"/>
      <w:r w:rsidRPr="00B148B1">
        <w:t>1.3.4.</w:t>
      </w:r>
      <w:r w:rsidR="008B4E10" w:rsidRPr="00B148B1">
        <w:t>4</w:t>
      </w:r>
      <w:r w:rsidRPr="00B148B1">
        <w:t xml:space="preserve"> </w:t>
      </w:r>
      <w:r w:rsidR="008B4E10" w:rsidRPr="00B148B1">
        <w:t>Določbe v zvezi z opremljanjem stavbnih zemljišč</w:t>
      </w:r>
      <w:bookmarkEnd w:id="20"/>
    </w:p>
    <w:p w:rsidR="00043AC8" w:rsidRPr="00B148B1" w:rsidRDefault="00043AC8" w:rsidP="00BA135B">
      <w:pPr>
        <w:rPr>
          <w:lang w:eastAsia="sl-SI"/>
        </w:rPr>
      </w:pPr>
    </w:p>
    <w:p w:rsidR="00043AC8" w:rsidRPr="00B148B1" w:rsidRDefault="008B4E10" w:rsidP="00BA135B">
      <w:r w:rsidRPr="00B148B1">
        <w:t xml:space="preserve">Uredba o odvajanju in čiščenju komunalne odpadne vode v okviru zahtev za opremljanje aglomeracij določa sledeče: </w:t>
      </w:r>
    </w:p>
    <w:p w:rsidR="00043AC8" w:rsidRPr="00B148B1" w:rsidRDefault="008B4E10"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če so s prostorskim aktom načrtovana stavbna zemljišča, ki še niso pozidana in so stična z aglomeracijo, za njihovo opremljanje veljajo zahteve, kot so določene za to aglomeracijo</w:t>
      </w:r>
      <w:r w:rsidR="00440170" w:rsidRPr="00B148B1">
        <w:rPr>
          <w:rFonts w:cs="Arial"/>
          <w:szCs w:val="20"/>
        </w:rPr>
        <w:t>,</w:t>
      </w:r>
    </w:p>
    <w:p w:rsidR="00043AC8" w:rsidRPr="00B148B1" w:rsidRDefault="00043AC8"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č</w:t>
      </w:r>
      <w:r w:rsidR="008B4E10" w:rsidRPr="00B148B1">
        <w:rPr>
          <w:rFonts w:cs="Arial"/>
          <w:szCs w:val="20"/>
        </w:rPr>
        <w:t>e se s prostorskim aktom načrtujejo nova stavbna zemljišča, ki so stična z aglomeracij</w:t>
      </w:r>
      <w:r w:rsidRPr="00B148B1">
        <w:rPr>
          <w:rFonts w:cs="Arial"/>
          <w:szCs w:val="20"/>
        </w:rPr>
        <w:t xml:space="preserve">o, </w:t>
      </w:r>
      <w:r w:rsidR="008B4E10" w:rsidRPr="00B148B1">
        <w:rPr>
          <w:rFonts w:cs="Arial"/>
          <w:szCs w:val="20"/>
        </w:rPr>
        <w:t>za celotno aglomeracijo skupaj z načrtovanimi novimi stavbnimi zemljišči veljajo zahteve za opremljanje, kot so določene za aglomeracijo s skupno obremenitvijo, ki ustreza končni načrtovani skupni obremenitvi obstoječih in načrtovanih novih stavbnih zemljišč</w:t>
      </w:r>
      <w:r w:rsidR="00440170" w:rsidRPr="00B148B1">
        <w:rPr>
          <w:rFonts w:cs="Arial"/>
          <w:szCs w:val="20"/>
        </w:rPr>
        <w:t>,</w:t>
      </w:r>
    </w:p>
    <w:p w:rsidR="008B4E10" w:rsidRPr="00B148B1" w:rsidRDefault="00043AC8"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č</w:t>
      </w:r>
      <w:r w:rsidR="008B4E10" w:rsidRPr="00B148B1">
        <w:rPr>
          <w:rFonts w:cs="Arial"/>
          <w:szCs w:val="20"/>
        </w:rPr>
        <w:t>e se s prostorskim aktom načrtujejo nova stavbna zemljišča, ki niso stična s katero od aglomeracij, vendar se glede na načrtovane prostorske ureditve pričakuje nastajanje komunalne odpadne vode, za njihovo opremljanje veljajo zahteve, kot so določene za aglomeracijo s skupno obremenitvijo, ki ustreza končni načrtovani skupni obremenitvi načrtovanih novih stavbnih zemljišč in obstoječih stavbnih zemljišč, če se z njimi stikajo.</w:t>
      </w:r>
    </w:p>
    <w:p w:rsidR="0018071D" w:rsidRPr="00B148B1" w:rsidRDefault="0018071D" w:rsidP="009B071E">
      <w:pPr>
        <w:rPr>
          <w:rFonts w:cs="Arial"/>
          <w:szCs w:val="20"/>
        </w:rPr>
      </w:pPr>
    </w:p>
    <w:p w:rsidR="0018071D" w:rsidRPr="00B148B1" w:rsidRDefault="002C7587" w:rsidP="00F56DE2">
      <w:pPr>
        <w:pStyle w:val="Naslov4"/>
      </w:pPr>
      <w:bookmarkStart w:id="21" w:name="_Toc50628049"/>
      <w:r w:rsidRPr="00B148B1">
        <w:t>1.3.4.5</w:t>
      </w:r>
      <w:r w:rsidR="00043AC8" w:rsidRPr="00B148B1">
        <w:t xml:space="preserve"> </w:t>
      </w:r>
      <w:r w:rsidR="0018071D" w:rsidRPr="00B148B1">
        <w:t xml:space="preserve">Ugotavljanje stopnje opremljenosti aglomeracij </w:t>
      </w:r>
      <w:r w:rsidR="008B4E10" w:rsidRPr="00B148B1">
        <w:t>in stopnje priključenosti</w:t>
      </w:r>
      <w:bookmarkEnd w:id="21"/>
    </w:p>
    <w:p w:rsidR="0018071D" w:rsidRPr="00B148B1" w:rsidRDefault="0018071D" w:rsidP="0018071D">
      <w:pPr>
        <w:rPr>
          <w:lang w:eastAsia="sl-SI"/>
        </w:rPr>
      </w:pPr>
    </w:p>
    <w:p w:rsidR="005E0427" w:rsidRPr="00B148B1" w:rsidRDefault="009274A2" w:rsidP="00BA135B">
      <w:r w:rsidRPr="00B148B1">
        <w:t xml:space="preserve">MOP </w:t>
      </w:r>
      <w:r w:rsidR="005E0427" w:rsidRPr="00B148B1">
        <w:t>vsako leto izdela oceno dosežene stopnje opremljenosti in oceno dosežene stopnje priključenosti, ločeno za posamezne predpisane vrste opremljanja. Navedeno pripravi na podlagi podatkov o:</w:t>
      </w:r>
    </w:p>
    <w:p w:rsidR="005E0427" w:rsidRPr="00B148B1" w:rsidRDefault="005E0427"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 xml:space="preserve">obremenitvi zaradi stalno prijavljenega prebivalstva in podatkov o dodatni obremenitvi po posameznih objektih v posamezni aglomeraciji, določenih v skladu z </w:t>
      </w:r>
      <w:proofErr w:type="spellStart"/>
      <w:r w:rsidRPr="00B148B1">
        <w:rPr>
          <w:rFonts w:cs="Arial"/>
          <w:szCs w:val="20"/>
        </w:rPr>
        <w:t>20.b</w:t>
      </w:r>
      <w:proofErr w:type="spellEnd"/>
      <w:r w:rsidRPr="00B148B1">
        <w:rPr>
          <w:rFonts w:cs="Arial"/>
          <w:szCs w:val="20"/>
        </w:rPr>
        <w:t xml:space="preserve"> členom </w:t>
      </w:r>
      <w:r w:rsidR="00404453" w:rsidRPr="00B148B1">
        <w:rPr>
          <w:rFonts w:cs="Arial"/>
          <w:szCs w:val="20"/>
        </w:rPr>
        <w:t>Uredbe o odvajanju in čiščenju komunalne odpadne vode</w:t>
      </w:r>
      <w:r w:rsidRPr="00B148B1">
        <w:rPr>
          <w:rFonts w:cs="Arial"/>
          <w:szCs w:val="20"/>
        </w:rPr>
        <w:t xml:space="preserve">, ki se nanaša na obremenitev aglomeracij, </w:t>
      </w:r>
    </w:p>
    <w:p w:rsidR="005E0427" w:rsidRPr="00B148B1" w:rsidRDefault="005E0427"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 xml:space="preserve">obremenitvi zaradi stalno prijavljenega prebivalstva in podatkov o dodatni obremenitvi po posameznih objektih na območju </w:t>
      </w:r>
      <w:r w:rsidR="008C6D60" w:rsidRPr="00B148B1">
        <w:rPr>
          <w:rFonts w:cs="Arial"/>
          <w:szCs w:val="20"/>
        </w:rPr>
        <w:t xml:space="preserve">zunaj </w:t>
      </w:r>
      <w:r w:rsidRPr="00B148B1">
        <w:rPr>
          <w:rFonts w:cs="Arial"/>
          <w:szCs w:val="20"/>
        </w:rPr>
        <w:t xml:space="preserve">meja aglomeracij, določeni v skladu z </w:t>
      </w:r>
      <w:proofErr w:type="spellStart"/>
      <w:r w:rsidRPr="00B148B1">
        <w:rPr>
          <w:rFonts w:cs="Arial"/>
          <w:szCs w:val="20"/>
        </w:rPr>
        <w:t>20.b</w:t>
      </w:r>
      <w:proofErr w:type="spellEnd"/>
      <w:r w:rsidRPr="00B148B1">
        <w:rPr>
          <w:rFonts w:cs="Arial"/>
          <w:szCs w:val="20"/>
        </w:rPr>
        <w:t xml:space="preserve"> členom </w:t>
      </w:r>
      <w:r w:rsidR="00404453" w:rsidRPr="00B148B1">
        <w:rPr>
          <w:rFonts w:cs="Arial"/>
          <w:szCs w:val="20"/>
        </w:rPr>
        <w:t>Uredbe o odvajanju in čiščenju komunalne odpadne vode</w:t>
      </w:r>
      <w:r w:rsidRPr="00B148B1">
        <w:rPr>
          <w:rFonts w:cs="Arial"/>
          <w:szCs w:val="20"/>
        </w:rPr>
        <w:t>, ter</w:t>
      </w:r>
    </w:p>
    <w:p w:rsidR="005E0427" w:rsidRPr="00B148B1" w:rsidRDefault="005E0427"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 xml:space="preserve">načinu opremljanja posameznega objekta iz poročila o izvajanju javne službe iz drugega odstavka 30. člena </w:t>
      </w:r>
      <w:r w:rsidR="00404453" w:rsidRPr="00B148B1">
        <w:rPr>
          <w:rFonts w:cs="Arial"/>
          <w:szCs w:val="20"/>
        </w:rPr>
        <w:t>U</w:t>
      </w:r>
      <w:r w:rsidRPr="00B148B1">
        <w:rPr>
          <w:rFonts w:cs="Arial"/>
          <w:szCs w:val="20"/>
        </w:rPr>
        <w:t>redbe</w:t>
      </w:r>
      <w:r w:rsidR="00404453" w:rsidRPr="00B148B1">
        <w:rPr>
          <w:rFonts w:cs="Arial"/>
          <w:szCs w:val="20"/>
        </w:rPr>
        <w:t xml:space="preserve"> o odvajanju in čiščenju komunalne odpadne vode</w:t>
      </w:r>
      <w:r w:rsidRPr="00B148B1">
        <w:rPr>
          <w:rFonts w:cs="Arial"/>
          <w:szCs w:val="20"/>
        </w:rPr>
        <w:t>.</w:t>
      </w:r>
    </w:p>
    <w:p w:rsidR="00511131" w:rsidRPr="00B148B1" w:rsidRDefault="00511131">
      <w:pPr>
        <w:pStyle w:val="Alineazaodstavkom"/>
        <w:numPr>
          <w:ilvl w:val="0"/>
          <w:numId w:val="0"/>
        </w:numPr>
        <w:rPr>
          <w:sz w:val="20"/>
          <w:szCs w:val="20"/>
        </w:rPr>
      </w:pPr>
    </w:p>
    <w:p w:rsidR="00404453" w:rsidRPr="00B148B1" w:rsidRDefault="009274A2" w:rsidP="00BA135B">
      <w:r w:rsidRPr="00B148B1">
        <w:t xml:space="preserve">MOP </w:t>
      </w:r>
      <w:r w:rsidR="005E0427" w:rsidRPr="00B148B1">
        <w:t>o oceni stopenj opremljenosti in priključenosti vsako drugo leto do 30. junija izdela poročilo, ki se nanaša na podatke na 31. december preteklega in predpreteklega koledarskega leta, ter ga</w:t>
      </w:r>
      <w:r w:rsidR="00404453" w:rsidRPr="00B148B1">
        <w:t xml:space="preserve"> objavi na svoji spletni strani</w:t>
      </w:r>
      <w:r w:rsidR="00515DD6" w:rsidRPr="00B148B1">
        <w:t>.</w:t>
      </w:r>
    </w:p>
    <w:p w:rsidR="00404453" w:rsidRPr="00B148B1" w:rsidRDefault="00404453" w:rsidP="00BA135B"/>
    <w:p w:rsidR="005E0427" w:rsidRPr="00B148B1" w:rsidRDefault="00404453" w:rsidP="00BA135B">
      <w:r w:rsidRPr="00B148B1">
        <w:t xml:space="preserve">Podatki o stopnji priključenosti na posamezno vrsto ureditve za odvajanje in čiščenje komunalne odpadne vode za posamezno aglomeracijo, za območje </w:t>
      </w:r>
      <w:r w:rsidR="008C6D60" w:rsidRPr="00B148B1">
        <w:t>zunaj</w:t>
      </w:r>
      <w:r w:rsidRPr="00B148B1">
        <w:t xml:space="preserve"> meja aglomeracij in podatkov o načinu ureditve odvajanja in čiščenja komunalne odpadne vode za posamezne objekte so prikazan</w:t>
      </w:r>
      <w:r w:rsidR="003C35ED" w:rsidRPr="00B148B1">
        <w:t>i</w:t>
      </w:r>
      <w:r w:rsidRPr="00B148B1">
        <w:t xml:space="preserve"> tudi v </w:t>
      </w:r>
      <w:r w:rsidR="00043AC8" w:rsidRPr="00B148B1">
        <w:t>spletnem GIS pregledovalniku</w:t>
      </w:r>
      <w:r w:rsidRPr="00B148B1">
        <w:t xml:space="preserve"> »Atlas UWWTD«.</w:t>
      </w:r>
    </w:p>
    <w:p w:rsidR="00043AC8" w:rsidRPr="00B148B1" w:rsidRDefault="00043AC8" w:rsidP="00BA135B"/>
    <w:p w:rsidR="00110092" w:rsidRPr="00B148B1" w:rsidRDefault="009274A2" w:rsidP="00BA135B">
      <w:r w:rsidRPr="00B148B1">
        <w:t xml:space="preserve">MOP </w:t>
      </w:r>
      <w:r w:rsidR="00110092" w:rsidRPr="00B148B1">
        <w:t xml:space="preserve">do 30. junija 2029 vsako leto izdela in v poročilo o doseganju stopnje opremljenosti in priključenosti vključi tudi oceno dosežene stopnje opremljenosti in oceno dosežene stopnje priključenosti, ločeno za posamezne predpisane vrste opremljanja </w:t>
      </w:r>
      <w:r w:rsidR="00056EE8" w:rsidRPr="00B148B1">
        <w:t xml:space="preserve">na podlagi </w:t>
      </w:r>
      <w:r w:rsidR="00110092" w:rsidRPr="00B148B1">
        <w:t xml:space="preserve">podatkov o mejah aglomeracij iz predhodnega </w:t>
      </w:r>
      <w:r w:rsidR="007D44BE" w:rsidRPr="00B148B1">
        <w:t>o</w:t>
      </w:r>
      <w:r w:rsidR="00110092" w:rsidRPr="00B148B1">
        <w:t>perativnega programa odvajanja in čiščenja komunalne odpadne vode. Navedena zahteva se nanaša na aglomeracije, za katere velja, da:</w:t>
      </w:r>
    </w:p>
    <w:p w:rsidR="00110092" w:rsidRPr="00B148B1" w:rsidRDefault="00110092"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so bile pred začetkom veljavnosti te uredbe sklenjene pogodbe o sofinanciranju projektov za gradnjo infrastrukture za odvajanje oziroma čiščenje komunalne odpadne vode s sredstvi evropske kohezijske politike v programskem obdobju 2014–2020,</w:t>
      </w:r>
    </w:p>
    <w:p w:rsidR="00110092" w:rsidRPr="00B148B1" w:rsidRDefault="00110092"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aglomeracija v prilog</w:t>
      </w:r>
      <w:r w:rsidR="00614B9B" w:rsidRPr="00B148B1">
        <w:rPr>
          <w:rFonts w:cs="Arial"/>
          <w:szCs w:val="20"/>
        </w:rPr>
        <w:t>ah U</w:t>
      </w:r>
      <w:r w:rsidRPr="00B148B1">
        <w:rPr>
          <w:rFonts w:cs="Arial"/>
          <w:szCs w:val="20"/>
        </w:rPr>
        <w:t xml:space="preserve">redbe </w:t>
      </w:r>
      <w:r w:rsidR="00614B9B" w:rsidRPr="00B148B1">
        <w:rPr>
          <w:rFonts w:cs="Arial"/>
          <w:szCs w:val="20"/>
        </w:rPr>
        <w:t xml:space="preserve">o odvajanju in čiščenju komunalne odpadne vode </w:t>
      </w:r>
      <w:r w:rsidRPr="00B148B1">
        <w:rPr>
          <w:rFonts w:cs="Arial"/>
          <w:szCs w:val="20"/>
        </w:rPr>
        <w:t>ni določena, predhodna aglomeracija pa je opremljena z javno kanalizacijo.</w:t>
      </w:r>
    </w:p>
    <w:p w:rsidR="00110092" w:rsidRPr="00B148B1" w:rsidRDefault="00110092" w:rsidP="00110092">
      <w:pPr>
        <w:pStyle w:val="Alineazaodstavkom"/>
        <w:numPr>
          <w:ilvl w:val="0"/>
          <w:numId w:val="0"/>
        </w:numPr>
      </w:pPr>
    </w:p>
    <w:p w:rsidR="00110092" w:rsidRPr="00B148B1" w:rsidRDefault="002C7587" w:rsidP="00F56DE2">
      <w:pPr>
        <w:pStyle w:val="Naslov4"/>
      </w:pPr>
      <w:bookmarkStart w:id="22" w:name="_Toc50628050"/>
      <w:r w:rsidRPr="00B148B1">
        <w:t>1.3.4.6</w:t>
      </w:r>
      <w:r w:rsidR="00043AC8" w:rsidRPr="00B148B1">
        <w:t xml:space="preserve"> </w:t>
      </w:r>
      <w:r w:rsidR="00110092" w:rsidRPr="00B148B1">
        <w:t>Siva voda in suha stranišča</w:t>
      </w:r>
      <w:bookmarkEnd w:id="22"/>
    </w:p>
    <w:p w:rsidR="00CB0EE3" w:rsidRPr="00B148B1" w:rsidRDefault="00CB0EE3"/>
    <w:p w:rsidR="00511131" w:rsidRPr="00B148B1" w:rsidRDefault="00511131">
      <w:r w:rsidRPr="00B148B1">
        <w:t>Siva voda</w:t>
      </w:r>
    </w:p>
    <w:p w:rsidR="00CB0EE3" w:rsidRPr="00B148B1" w:rsidRDefault="00CB0EE3"/>
    <w:p w:rsidR="00110092" w:rsidRPr="00B148B1" w:rsidRDefault="00110092">
      <w:r w:rsidRPr="00B148B1">
        <w:t xml:space="preserve">Za stavbe za kratkotrajno nastanitev brez restavracije ali druge gostinske stavbe za kratkotrajno nastanitev, kot </w:t>
      </w:r>
      <w:r w:rsidR="005A392A" w:rsidRPr="00B148B1">
        <w:t>npr.</w:t>
      </w:r>
      <w:r w:rsidRPr="00B148B1">
        <w:t xml:space="preserve"> planinska koča, gorsko zavetišče ali dom ali lovska koča, ki ležijo na nadmorski višini, enaki ali večji od 1.500 m, </w:t>
      </w:r>
      <w:r w:rsidR="008C6D60" w:rsidRPr="00B148B1">
        <w:t>zunaj</w:t>
      </w:r>
      <w:r w:rsidRPr="00B148B1">
        <w:t xml:space="preserve"> meja aglomeracij, zanje ni zagotovljena minimalna komunalna oskrba z uporabo javne infrastrukture (ni zagotovljena oskrba s pitno vodo iz javnega vodovoda, ni zagotovljeno odvajanje in čiščenje komunalne odpadne vode po javni kanalizaciji, ni dostopa do javne ceste in ni zagotovljena oskrba z električno energijo iz javnega omrežja), ter se v sanitarijah ne uporabljajo stranišča z izplakovanjem, se za komunalno odpadno vodo, ki nastane pri umivanju, pripravi hrane ali pri kuhinjskih opravilih, če se uporabljajo biološko razgradljiva čistilna sredstva (v nadaljnjem besedilu: siva voda), pred odvajanjem neposredno ali posredno v vode lahko uredi čiščenje v mali komunalni čistilni napravi. Taka mala komunalna čistilna naprava je sestavljena iz enote za mehansko čiščenje (pretočna greznica), iz katere se odpadna voda odvaja prek enote za nadaljnje čiščenje, filtracijo ali infiltracijo v skladu z drugim odstavkom 21. člena </w:t>
      </w:r>
      <w:r w:rsidR="0017322A" w:rsidRPr="00B148B1">
        <w:t>U</w:t>
      </w:r>
      <w:r w:rsidRPr="00B148B1">
        <w:t>redbe</w:t>
      </w:r>
      <w:r w:rsidR="0017322A" w:rsidRPr="00B148B1">
        <w:t xml:space="preserve"> o odvajanju in čiščenju komunalne odpadne vode</w:t>
      </w:r>
      <w:r w:rsidRPr="00B148B1">
        <w:t>, in ki odstopa od pogojev iz prve do tretje alineje tretjega odstavka 21. člena te uredbe, če se ne glede na predpis, ki ureja emisijo snovi in toplote pri odvajanju odpadnih voda v vode in javno kanalizacijo, vloži vloga za pridobitev okoljevarstvenega dovoljenja in se v postopku odločanja o izdaji okoljevarstvenega dovoljenja za tako malo komunalno čistilno napravo ugotovi, da so vplivi odvajanja odpadne vode iz take male komunalne čistilne naprave sprejemljivi. Vlogi za pridobitev okoljevarstvenega dovoljenja mora biti poleg predpisanih vsebin in prilog iz predpisa, ki ureja emisijo snovi in toplote pri odvajanju odpadnih voda v vode in javno kanalizacijo, priložena tudi dokumentacija, iz katere je razvidno izpolnjevanje pogojev glede sive v</w:t>
      </w:r>
      <w:r w:rsidR="00AF57CF" w:rsidRPr="00B148B1">
        <w:t>od</w:t>
      </w:r>
      <w:r w:rsidRPr="00B148B1">
        <w:t>e in drugih predpisanih pogojev, ki se nanašajo na odvajanje odpadnih voda.</w:t>
      </w:r>
    </w:p>
    <w:p w:rsidR="00635C7B" w:rsidRPr="00B148B1" w:rsidRDefault="00635C7B" w:rsidP="00515DD6"/>
    <w:p w:rsidR="00635C7B" w:rsidRPr="00B148B1" w:rsidRDefault="00635C7B" w:rsidP="00635C7B">
      <w:pPr>
        <w:rPr>
          <w:rFonts w:cs="Arial"/>
        </w:rPr>
      </w:pPr>
      <w:r w:rsidRPr="00B148B1">
        <w:rPr>
          <w:rFonts w:cs="Arial"/>
        </w:rPr>
        <w:t xml:space="preserve">Suha stranišča </w:t>
      </w:r>
    </w:p>
    <w:p w:rsidR="00043AC8" w:rsidRPr="00B148B1" w:rsidRDefault="00043AC8" w:rsidP="00635C7B">
      <w:pPr>
        <w:rPr>
          <w:rFonts w:cs="Arial"/>
        </w:rPr>
      </w:pPr>
    </w:p>
    <w:p w:rsidR="00635C7B" w:rsidRPr="00B148B1" w:rsidRDefault="00635C7B">
      <w:r w:rsidRPr="00B148B1">
        <w:t xml:space="preserve">Lastnik objekta na območju </w:t>
      </w:r>
      <w:r w:rsidR="008C6D60" w:rsidRPr="00B148B1">
        <w:t>zunaj</w:t>
      </w:r>
      <w:r w:rsidRPr="00B148B1">
        <w:t xml:space="preserve"> meja aglomeracij (tudi objekta v aglomeraciji, ki ni priključen na javno kanalizacijo in ima individualno ureditev) lahko uporablja suho stranišče, če za objekt ni zagotovljena javna oskrba s pitno vodo in opremljanje zemljišča z javnim vodovodom ni vključeno v programe opremljanja stavbnih zemljišč v skladu s predpisi o urejanju prostora ter:</w:t>
      </w:r>
    </w:p>
    <w:p w:rsidR="00635C7B" w:rsidRPr="00B148B1" w:rsidRDefault="00635C7B"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lastRenderedPageBreak/>
        <w:t xml:space="preserve">je na območju, ki je opremljeno z javno kanalizacijo, iz soglasja pristojnega </w:t>
      </w:r>
      <w:proofErr w:type="spellStart"/>
      <w:r w:rsidRPr="00B148B1">
        <w:rPr>
          <w:rFonts w:cs="Arial"/>
          <w:szCs w:val="20"/>
        </w:rPr>
        <w:t>soglasodajalca</w:t>
      </w:r>
      <w:proofErr w:type="spellEnd"/>
      <w:r w:rsidRPr="00B148B1">
        <w:rPr>
          <w:rFonts w:cs="Arial"/>
          <w:szCs w:val="20"/>
        </w:rPr>
        <w:t xml:space="preserve"> razvidno, da priključitev na javno kanalizacijo tehnično ni izvedljiva ali bi gradnja kanalizacijskega priključka in priključitev na javno kanalizacijo povzročila nesorazmerne stroške v skladu z določbami uredbe, ali</w:t>
      </w:r>
    </w:p>
    <w:p w:rsidR="00635C7B" w:rsidRPr="00B148B1" w:rsidRDefault="00635C7B"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na območju, ki ni opremljeno z javno kanalizacijo, opremljanje z javno kanalizacijo ni predpisano oziroma komunalno opremljanje zemljišča z javno kanalizacijo ni vključeno v programe opremljanja stavbnih zemljišč v skladu s predpisi o urejanju prostora.</w:t>
      </w:r>
    </w:p>
    <w:p w:rsidR="00635C7B" w:rsidRPr="00B148B1" w:rsidRDefault="00635C7B"/>
    <w:p w:rsidR="00635C7B" w:rsidRPr="00B148B1" w:rsidRDefault="00635C7B" w:rsidP="00A03D13">
      <w:r w:rsidRPr="00B148B1">
        <w:t>Lastnik objekta s suhim straniščem oziroma lastnik suhega stranišča mora za blato iz teh stranišč zagotoviti zbiranje v zbiraln</w:t>
      </w:r>
      <w:r w:rsidR="00A03D13" w:rsidRPr="00B148B1">
        <w:t xml:space="preserve">iku, ki ustreza zahtevam, da je </w:t>
      </w:r>
      <w:r w:rsidRPr="00B148B1">
        <w:rPr>
          <w:rFonts w:cs="Arial"/>
          <w:szCs w:val="20"/>
        </w:rPr>
        <w:t>njegova zmogljivost prilagojena številu uporabnikov suhega stranišča in zagotavlja zmogljivosti za shranjevanje blata iz suhih stranišč za najmanj tri leta,</w:t>
      </w:r>
      <w:r w:rsidR="00A03D13" w:rsidRPr="00B148B1">
        <w:t xml:space="preserve"> da je </w:t>
      </w:r>
      <w:r w:rsidRPr="00B148B1">
        <w:rPr>
          <w:rFonts w:cs="Arial"/>
          <w:szCs w:val="20"/>
        </w:rPr>
        <w:t>narejen iz vodotesnih materialov tako, da je preprečeno puščanje ali uhajanje njegove vsebine v okolje,</w:t>
      </w:r>
      <w:r w:rsidR="00A03D13" w:rsidRPr="00B148B1">
        <w:t xml:space="preserve"> da je </w:t>
      </w:r>
      <w:r w:rsidRPr="00B148B1">
        <w:rPr>
          <w:rFonts w:cs="Arial"/>
          <w:szCs w:val="20"/>
        </w:rPr>
        <w:t>izveden tako, da je zagotovljeno njegovo odzračevanje, in</w:t>
      </w:r>
      <w:r w:rsidR="00A03D13" w:rsidRPr="00B148B1">
        <w:t xml:space="preserve"> je </w:t>
      </w:r>
      <w:r w:rsidRPr="00B148B1">
        <w:rPr>
          <w:rFonts w:cs="Arial"/>
          <w:szCs w:val="20"/>
        </w:rPr>
        <w:t>za zbrano blato suhih stranišč zagotovljeno ravnanje, kakor je v skladu z zahtevami te uredbe predpisano za ravnanje z blatom iz malih komunalnih čistilnih naprav z zmogljivostjo, manjšo od 50 PE.</w:t>
      </w:r>
    </w:p>
    <w:p w:rsidR="00635C7B" w:rsidRPr="00B148B1" w:rsidRDefault="00635C7B"/>
    <w:p w:rsidR="00635C7B" w:rsidRPr="00B148B1" w:rsidRDefault="00635C7B">
      <w:r w:rsidRPr="00B148B1">
        <w:t xml:space="preserve">Za blato iz suhega stranišča, s katerim je opremljen objekt na kmetijskem gospodarstvu, se uporablja peti odstavek 17. člena </w:t>
      </w:r>
      <w:r w:rsidR="00C67583">
        <w:t>U</w:t>
      </w:r>
      <w:r w:rsidRPr="00B148B1">
        <w:t>redbe</w:t>
      </w:r>
      <w:r w:rsidR="00043AC8" w:rsidRPr="00B148B1">
        <w:t xml:space="preserve"> o odvajanj</w:t>
      </w:r>
      <w:r w:rsidR="00A03D13" w:rsidRPr="00B148B1">
        <w:t>u in čiščenju komunalne odpadne</w:t>
      </w:r>
      <w:r w:rsidR="00C67583">
        <w:t xml:space="preserve"> vode</w:t>
      </w:r>
      <w:r w:rsidRPr="00B148B1">
        <w:t xml:space="preserve">, če so izpolnjene zahteve </w:t>
      </w:r>
      <w:r w:rsidR="00A03D13" w:rsidRPr="00B148B1">
        <w:t>glede uporabe blata kot gnojila</w:t>
      </w:r>
      <w:r w:rsidRPr="00B148B1">
        <w:t xml:space="preserve"> v kmetijstvu v skladu s predpisom, ki ureja uporabo blata iz komunalnih čistilnih naprav v kmetijstvu.</w:t>
      </w:r>
    </w:p>
    <w:p w:rsidR="00635C7B" w:rsidRPr="00B148B1" w:rsidRDefault="00635C7B" w:rsidP="00635C7B"/>
    <w:p w:rsidR="009B071E" w:rsidRPr="00B148B1" w:rsidRDefault="002C7587" w:rsidP="00F56DE2">
      <w:pPr>
        <w:pStyle w:val="Naslov4"/>
      </w:pPr>
      <w:bookmarkStart w:id="23" w:name="_Toc50628051"/>
      <w:r w:rsidRPr="00B148B1">
        <w:t>1.3.4.7</w:t>
      </w:r>
      <w:r w:rsidR="00BF5CCA" w:rsidRPr="00B148B1">
        <w:t xml:space="preserve"> </w:t>
      </w:r>
      <w:r w:rsidR="009B071E" w:rsidRPr="00B148B1">
        <w:t>Sestavljena aglomeracija</w:t>
      </w:r>
      <w:bookmarkEnd w:id="23"/>
    </w:p>
    <w:p w:rsidR="00BF5CCA" w:rsidRPr="00B148B1" w:rsidRDefault="00BF5CCA" w:rsidP="00BA135B"/>
    <w:p w:rsidR="009B071E" w:rsidRPr="00B148B1" w:rsidRDefault="009B071E" w:rsidP="00BA135B">
      <w:r w:rsidRPr="00B148B1">
        <w:t>Če je iz investicijske dokumentacije v skladu s predpisom, ki ureja enotno metodologijo za pripravo in obravnavo investicijske dokumentacije na področju financ, za opremljanje s predpisano infrastrukturo za odvajanje oziroma čiščenje komunalne odpadne vode razvidno, da je na podlagi ekonomske analize variant najbolj ugodna varianta opremljanje z enim javnim kanalizacijskim sistemom za več aglomeracij oziroma za komunalno čistilno napravo z zmogljivostjo, ki ustrezna seštevku skupnih obremenitev teh aglomeracij in zaključuje to javno kanalizacijsko omrežje, se skupina teh aglomeracij lahko šteje za sestavljeno aglomeracijo. Pri tem morajo biti izpolnjeni naslednji pogoji, in sicer da:</w:t>
      </w:r>
    </w:p>
    <w:p w:rsidR="009B071E" w:rsidRPr="00B148B1" w:rsidRDefault="009B071E"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so bile te aglomeracije del iste predhodne aglomeracije,</w:t>
      </w:r>
    </w:p>
    <w:p w:rsidR="009B071E" w:rsidRPr="00B148B1" w:rsidRDefault="009B071E"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so na območju istega izvajalca javne službe,</w:t>
      </w:r>
    </w:p>
    <w:p w:rsidR="009B071E" w:rsidRPr="00B148B1" w:rsidRDefault="009B071E"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so izpolnjene zahteve glede odvajanja in čiščenja komunalne odpadne vode, kot so predpisane za aglomeracijo s skupno obremenitvijo, ki ustreza seštevku skupnih obremenitev aglomeracij sestavljene aglomeracije,</w:t>
      </w:r>
    </w:p>
    <w:p w:rsidR="009B071E" w:rsidRPr="00B148B1" w:rsidRDefault="009B071E"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gre za celovit in ekonomsko vzdržen javni kanalizacijski sistem,</w:t>
      </w:r>
    </w:p>
    <w:p w:rsidR="009B071E" w:rsidRPr="00B148B1" w:rsidRDefault="009B071E"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gre za projekt iz dogovora za razvoj regij za sofinanciranje s sredstvi evropske kohezijske politike v programskem obdobju 2014–2020, ki velja na dan začetka veljavnosti te uredbe, v skladu z zakonom, ki ureja spodbujanje skladnega regionalnega razvoja, in</w:t>
      </w:r>
    </w:p>
    <w:p w:rsidR="009B071E" w:rsidRPr="00B148B1" w:rsidRDefault="009B071E"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sta za gradnjo te infrastrukture izdani pravnomočno gradbeno dovoljenje in pravnomočno okoljevarstveno dovoljenje, če je predpisano.</w:t>
      </w:r>
    </w:p>
    <w:p w:rsidR="00D774EB" w:rsidRPr="00B148B1" w:rsidRDefault="00D774EB" w:rsidP="00385BB8">
      <w:pPr>
        <w:pStyle w:val="Naslov3"/>
      </w:pPr>
      <w:bookmarkStart w:id="24" w:name="_Ref45781203"/>
      <w:bookmarkStart w:id="25" w:name="_Ref45787885"/>
      <w:bookmarkStart w:id="26" w:name="_Ref45788013"/>
      <w:bookmarkStart w:id="27" w:name="_Ref45789053"/>
      <w:bookmarkStart w:id="28" w:name="_Ref45802686"/>
      <w:bookmarkStart w:id="29" w:name="_Toc50628052"/>
      <w:bookmarkStart w:id="30" w:name="_Ref41483121"/>
      <w:r w:rsidRPr="00B148B1">
        <w:t>Zahteve za aglomeracije</w:t>
      </w:r>
      <w:bookmarkEnd w:id="16"/>
      <w:bookmarkEnd w:id="24"/>
      <w:bookmarkEnd w:id="25"/>
      <w:bookmarkEnd w:id="26"/>
      <w:bookmarkEnd w:id="27"/>
      <w:bookmarkEnd w:id="28"/>
      <w:bookmarkEnd w:id="29"/>
      <w:r w:rsidRPr="00B148B1">
        <w:t xml:space="preserve"> </w:t>
      </w:r>
      <w:bookmarkEnd w:id="30"/>
    </w:p>
    <w:p w:rsidR="00D774EB" w:rsidRPr="00B148B1" w:rsidRDefault="00D774EB" w:rsidP="00D774EB">
      <w:pPr>
        <w:tabs>
          <w:tab w:val="left" w:pos="9600"/>
        </w:tabs>
        <w:spacing w:before="120" w:line="280" w:lineRule="atLeast"/>
        <w:rPr>
          <w:rFonts w:cs="Arial"/>
          <w:szCs w:val="20"/>
        </w:rPr>
      </w:pPr>
      <w:r w:rsidRPr="00B148B1">
        <w:rPr>
          <w:rFonts w:cs="Arial"/>
          <w:szCs w:val="20"/>
        </w:rPr>
        <w:t xml:space="preserve">Uredba o odvajanju in čiščenju komunalne odpadne vode določa obveznost opremljanja aglomeracij z javno infrastrukturo za odvajanje in čiščenje komunalne odpadne vode ter obveznost odvajanja in čiščenja komunalne odpadne vode kot obvezno storitev javne službe. </w:t>
      </w:r>
    </w:p>
    <w:p w:rsidR="001A0E6A" w:rsidRPr="00B148B1" w:rsidRDefault="001A0E6A" w:rsidP="00D774EB">
      <w:pPr>
        <w:tabs>
          <w:tab w:val="left" w:pos="9600"/>
        </w:tabs>
        <w:spacing w:before="120" w:line="280" w:lineRule="atLeast"/>
        <w:rPr>
          <w:rFonts w:cs="Arial"/>
          <w:szCs w:val="20"/>
        </w:rPr>
      </w:pPr>
      <w:r w:rsidRPr="00B148B1">
        <w:rPr>
          <w:rFonts w:cs="Arial"/>
          <w:szCs w:val="20"/>
        </w:rPr>
        <w:lastRenderedPageBreak/>
        <w:t>Roke za izpolnitev predpisanih zahtev za aglomeracije s skupno obremenitvijo, enako ali večjo od 2.000 PE</w:t>
      </w:r>
      <w:r w:rsidR="009776CF" w:rsidRPr="00B148B1">
        <w:rPr>
          <w:rFonts w:cs="Arial"/>
          <w:szCs w:val="20"/>
        </w:rPr>
        <w:t>,</w:t>
      </w:r>
      <w:r w:rsidRPr="00B148B1">
        <w:rPr>
          <w:rFonts w:cs="Arial"/>
          <w:szCs w:val="20"/>
        </w:rPr>
        <w:t xml:space="preserve"> določa pristopna pogodba RS k EU</w:t>
      </w:r>
      <w:r w:rsidR="009776CF" w:rsidRPr="00B148B1">
        <w:rPr>
          <w:rFonts w:cs="Arial"/>
          <w:szCs w:val="20"/>
        </w:rPr>
        <w:t>. Podrobneje so zahteve in roki pristopne pogodbe RS k EU opisane v podpoglavju 1.3.5.1.</w:t>
      </w:r>
    </w:p>
    <w:p w:rsidR="00511131" w:rsidRPr="00B148B1" w:rsidRDefault="00511131" w:rsidP="00BA135B"/>
    <w:p w:rsidR="00511131" w:rsidRDefault="00746435" w:rsidP="00F56DE2">
      <w:pPr>
        <w:pStyle w:val="Naslov4"/>
      </w:pPr>
      <w:bookmarkStart w:id="31" w:name="_Toc50628053"/>
      <w:r w:rsidRPr="00B148B1">
        <w:t>1.3.5.1 Zahteve p</w:t>
      </w:r>
      <w:r w:rsidR="00511131" w:rsidRPr="00B148B1">
        <w:t>ristopne pogodbe RS k EU</w:t>
      </w:r>
      <w:bookmarkEnd w:id="31"/>
    </w:p>
    <w:p w:rsidR="00C32BEC" w:rsidRPr="00C32BEC" w:rsidRDefault="00C32BEC" w:rsidP="00C32BEC"/>
    <w:p w:rsidR="00D774EB" w:rsidRPr="00B148B1" w:rsidRDefault="00D774EB" w:rsidP="00C32BEC">
      <w:r w:rsidRPr="00B148B1">
        <w:t xml:space="preserve">V </w:t>
      </w:r>
      <w:r w:rsidR="00010001" w:rsidRPr="00B148B1">
        <w:t>p</w:t>
      </w:r>
      <w:r w:rsidRPr="00B148B1">
        <w:t>ristopni pogodbi RS k EU so določeni naslednji roki za izpolnitev predpisanih zahtev:</w:t>
      </w:r>
    </w:p>
    <w:p w:rsidR="00D774EB" w:rsidRPr="00B148B1" w:rsidRDefault="00D774EB"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odvajanje komunalne odpadne vode po javni kanalizaciji bi moralo biti zagotovljeno najpozneje do 31. decembra 2010 za aglomeracije s skupno obremenitvijo, enako ali večjo od 15.000 PE, in najpozneje do 31. decembra 2015 za aglomeracije s skupno obremenitvijo, enako ali večjo od 2.000 PE in manjšo od 15.000 PE;</w:t>
      </w:r>
    </w:p>
    <w:p w:rsidR="00D774EB" w:rsidRPr="00B148B1" w:rsidRDefault="00D774EB"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odvajanje komunalne odpadne vode po javni kanalizaciji z iztokom v občutljivo območje ali v vodo na prispevnem območju občutljivega območja bi moralo biti zagotovljeno najpozneje do 31. decembra 2008 za aglomeracije s skupno obremenitvijo, enako ali večjo od 10.000 PE, in najpozneje do 31. decembra 2015 za aglomeracije s skupno obremenitvijo, enako ali večjo od 2.000 PE in manjšo od 10.000 PE;</w:t>
      </w:r>
    </w:p>
    <w:p w:rsidR="00D774EB" w:rsidRPr="00B148B1" w:rsidRDefault="00D774EB"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sekundarno čiščenje komunalne odpadne vode, ki se odvaja po javni kanalizaciji, bi moralo biti pred posrednim ali neposrednim odvajanjem v vode zagotovljeno najpozneje do 31. decembra 2010 za aglomeracije s skupno obremenitvijo, enako ali večjo od 15.000 PE, in najpozneje do 31. decembra 2015 za aglomeracije s skupno obremenitvijo, enako ali večjo od 2.000 PE in manjšo od 15.000 PE;</w:t>
      </w:r>
    </w:p>
    <w:p w:rsidR="00D774EB" w:rsidRPr="00B148B1" w:rsidRDefault="00D774EB"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terciarno čiščenje komunalne odpadne vode, ki se odvaja po javni kanalizaciji, bi moralo biti pred posrednim ali neposrednim odvajanjem v občutljivo območje ali v vodo na prispevnem območju občutljivega območja zagotovljeno najpozneje do 31. decembra 2008 za aglomeracije s skupno obremenitvijo, enako ali večjo od 10.000 PE, in</w:t>
      </w:r>
    </w:p>
    <w:p w:rsidR="00D774EB" w:rsidRPr="00B148B1" w:rsidRDefault="00D774EB"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primerno čiščenje komunalne odpadne vode, ki se odvaja po javni kanalizaciji, bi moralo biti pred posrednim ali neposrednim odvajanjem v vode zagotovljeno najpozneje do 31. decembra 2015 za aglomeracije s skupno obremenitvijo, enako ali večjo od 50 PE in manjšo od 2.000 PE.</w:t>
      </w:r>
    </w:p>
    <w:p w:rsidR="00511131" w:rsidRPr="00B148B1" w:rsidRDefault="00511131" w:rsidP="00BA135B">
      <w:pPr>
        <w:pStyle w:val="Odstavekseznama"/>
        <w:ind w:left="0"/>
      </w:pPr>
    </w:p>
    <w:p w:rsidR="00511131" w:rsidRPr="00B148B1" w:rsidRDefault="00511131" w:rsidP="00F56DE2">
      <w:pPr>
        <w:pStyle w:val="Naslov4"/>
      </w:pPr>
      <w:bookmarkStart w:id="32" w:name="_Toc50628054"/>
      <w:r w:rsidRPr="00B148B1">
        <w:t>1.3.5.</w:t>
      </w:r>
      <w:r w:rsidR="00295FDD" w:rsidRPr="00B148B1">
        <w:t>2</w:t>
      </w:r>
      <w:r w:rsidRPr="00B148B1">
        <w:t xml:space="preserve"> Zahteve Uredbe o odvajanju in čiščenju komunalne odpadne vode</w:t>
      </w:r>
      <w:bookmarkEnd w:id="32"/>
    </w:p>
    <w:p w:rsidR="003B0B5B" w:rsidRPr="00B148B1" w:rsidRDefault="003B0B5B" w:rsidP="0077370C"/>
    <w:p w:rsidR="0077370C" w:rsidRPr="00B148B1" w:rsidRDefault="0077370C" w:rsidP="0077370C">
      <w:r w:rsidRPr="00B148B1">
        <w:t xml:space="preserve">Uredba o odvajanju in čiščenju komunalne odpadne vode določa, da mora biti aglomeracija zaradi izvajanja storitev javne službe na njenem območju opremljena z javnim kanalizacijskim omrežjem ter komunalno čistilno napravo za čiščenje komunalne odpadne vode </w:t>
      </w:r>
      <w:r w:rsidR="007069C0" w:rsidRPr="00B148B1">
        <w:t>oziroma</w:t>
      </w:r>
      <w:r w:rsidRPr="00B148B1">
        <w:t xml:space="preserve"> njeno dodatno obdelavo v skladu z zahtevami predmetne uredbe.</w:t>
      </w:r>
    </w:p>
    <w:p w:rsidR="0077370C" w:rsidRPr="00B148B1" w:rsidRDefault="0077370C" w:rsidP="0077370C">
      <w:pPr>
        <w:autoSpaceDE w:val="0"/>
        <w:autoSpaceDN w:val="0"/>
        <w:adjustRightInd w:val="0"/>
        <w:spacing w:after="14" w:line="240" w:lineRule="auto"/>
        <w:rPr>
          <w:rFonts w:eastAsiaTheme="minorHAnsi"/>
          <w:szCs w:val="20"/>
        </w:rPr>
      </w:pPr>
    </w:p>
    <w:p w:rsidR="0077370C" w:rsidRPr="00B148B1" w:rsidRDefault="0077370C" w:rsidP="0077370C">
      <w:pPr>
        <w:rPr>
          <w:rFonts w:eastAsiaTheme="minorHAnsi"/>
        </w:rPr>
      </w:pPr>
      <w:r w:rsidRPr="00B148B1">
        <w:t>Uredba o odvajanju in čiščenju komunalne odpadne vode omogoča</w:t>
      </w:r>
      <w:r w:rsidR="00BB1317" w:rsidRPr="00B148B1">
        <w:t xml:space="preserve"> tudi</w:t>
      </w:r>
      <w:r w:rsidRPr="00B148B1">
        <w:t xml:space="preserve">, da </w:t>
      </w:r>
      <w:r w:rsidRPr="00B148B1">
        <w:rPr>
          <w:rFonts w:eastAsiaTheme="minorHAnsi"/>
        </w:rPr>
        <w:t xml:space="preserve">se lahko za skupino objektov v aglomeraciji zagotovi opremljanje z malo komunalno čistilno napravo z zmogljivostjo, enako ali večjo od 50 PE, če: </w:t>
      </w:r>
    </w:p>
    <w:p w:rsidR="0077370C" w:rsidRPr="00B148B1" w:rsidRDefault="0077370C"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bi priključitev teh objektov na javno kanalizacijsko omrežje aglomeracije povzročil</w:t>
      </w:r>
      <w:r w:rsidR="007069C0" w:rsidRPr="00B148B1">
        <w:rPr>
          <w:rFonts w:cs="Arial"/>
          <w:szCs w:val="20"/>
        </w:rPr>
        <w:t>a</w:t>
      </w:r>
      <w:r w:rsidRPr="00B148B1">
        <w:rPr>
          <w:rFonts w:cs="Arial"/>
          <w:szCs w:val="20"/>
        </w:rPr>
        <w:t xml:space="preserve"> več kot trikrat večje stroške glede na stroške opremljanja z malo komunalno čistilno napravo za to skupino objektov, </w:t>
      </w:r>
    </w:p>
    <w:p w:rsidR="0077370C" w:rsidRPr="00B148B1" w:rsidRDefault="0077370C"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je taka mala komunalna čistilna naprava del javne kanalizacije in jo upravlja izvajalec javne službe</w:t>
      </w:r>
      <w:r w:rsidR="00BB1317" w:rsidRPr="00B148B1">
        <w:rPr>
          <w:rFonts w:cs="Arial"/>
          <w:szCs w:val="20"/>
        </w:rPr>
        <w:t>,</w:t>
      </w:r>
      <w:r w:rsidRPr="00B148B1">
        <w:rPr>
          <w:rFonts w:cs="Arial"/>
          <w:szCs w:val="20"/>
        </w:rPr>
        <w:t xml:space="preserve"> in </w:t>
      </w:r>
    </w:p>
    <w:p w:rsidR="0077370C" w:rsidRPr="00B148B1" w:rsidRDefault="0077370C"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je v tej mali komunalni čistilni n</w:t>
      </w:r>
      <w:r w:rsidR="007069C0" w:rsidRPr="00B148B1">
        <w:rPr>
          <w:rFonts w:cs="Arial"/>
          <w:szCs w:val="20"/>
        </w:rPr>
        <w:t>apravi zagotovljeno čiščenje oziroma</w:t>
      </w:r>
      <w:r w:rsidRPr="00B148B1">
        <w:rPr>
          <w:rFonts w:cs="Arial"/>
          <w:szCs w:val="20"/>
        </w:rPr>
        <w:t xml:space="preserve"> dodatna obdelava v skladu z zahtevami uredbe.</w:t>
      </w:r>
    </w:p>
    <w:p w:rsidR="0077370C" w:rsidRPr="00B148B1" w:rsidRDefault="0077370C" w:rsidP="0077370C">
      <w:pPr>
        <w:tabs>
          <w:tab w:val="left" w:pos="9600"/>
        </w:tabs>
        <w:spacing w:before="120" w:line="280" w:lineRule="atLeast"/>
        <w:rPr>
          <w:rFonts w:cs="Arial"/>
          <w:szCs w:val="20"/>
        </w:rPr>
      </w:pPr>
      <w:r w:rsidRPr="00B148B1">
        <w:rPr>
          <w:rFonts w:eastAsiaTheme="minorHAnsi" w:cs="Arial"/>
          <w:color w:val="000000"/>
          <w:szCs w:val="20"/>
        </w:rPr>
        <w:lastRenderedPageBreak/>
        <w:t>Ne glede na obveznost opremljanja z javno kanalizacijo se lahko za posamezen objekt ali posamezno skupino objektov v aglomeraciji, če je obremenjevanje okolja zaradi nastajanja komunalne odpadne vode v objektu oziroma skupini objektov manjše od 50 PE in so izpolnjeni pogoji, da bi dolžina kanalizacijskega priključka presegala dolžino 100 m ali gradnja kanalizacijskega priključka tehnično ni izvedljiva ali bi gradnja kanalizacijskega priključka povzročala nesorazmerne stroške glede na koristi za okolje, zagotovi opremljanje z ureditvami za posamezne objekte ali skupine objektov. To je lahko prednostno komunalna čistilna naprava z zmo</w:t>
      </w:r>
      <w:r w:rsidR="007069C0" w:rsidRPr="00B148B1">
        <w:rPr>
          <w:rFonts w:eastAsiaTheme="minorHAnsi" w:cs="Arial"/>
          <w:color w:val="000000"/>
          <w:szCs w:val="20"/>
        </w:rPr>
        <w:t>gljivostjo, manjšo od 50 PE, oziroma</w:t>
      </w:r>
      <w:r w:rsidRPr="00B148B1">
        <w:rPr>
          <w:rFonts w:eastAsiaTheme="minorHAnsi" w:cs="Arial"/>
          <w:color w:val="000000"/>
          <w:szCs w:val="20"/>
        </w:rPr>
        <w:t xml:space="preserve"> mala komunalna čistilna naprava, v izjemnih primerih pa tudi nepretočna greznica, ki mora ustrezati predpisanim pogojem. Šteje se, da so </w:t>
      </w:r>
      <w:r w:rsidRPr="00B148B1">
        <w:rPr>
          <w:rFonts w:cs="Arial"/>
          <w:szCs w:val="20"/>
        </w:rPr>
        <w:t>stroški gradnje kanalizacijskega priključka nesorazmerni glede na koristi za okolje, če zaradi naravnih ovir (npr. vodotok, nasprotni nagib terena, geološke značilnosti terena) ali tehničnih vzrokov (npr. tlačni vod javnega kanalizacijskega omrežja) stroški gradnje ali priključitve več kot trikrat presegajo povprečne stroške gradnje primerljivega priključka na javno kanalizacijsko omrežje, kjer ni takih naravnih ovir ali tehničnih vzrokov (npr. več kot trikrat presegajo povprečne stroške gradnje kanalizacijskega priključka v isti aglomeraciji ali na primerljivem območju), ali več kot trikrat presegajo stroške opremljanja z malo komunalno čistilno napravo ali nepretočno greznico. Individualna ureditev za posamezn</w:t>
      </w:r>
      <w:r w:rsidR="00BB1317" w:rsidRPr="00B148B1">
        <w:rPr>
          <w:rFonts w:cs="Arial"/>
          <w:szCs w:val="20"/>
        </w:rPr>
        <w:t>i</w:t>
      </w:r>
      <w:r w:rsidRPr="00B148B1">
        <w:rPr>
          <w:rFonts w:cs="Arial"/>
          <w:szCs w:val="20"/>
        </w:rPr>
        <w:t xml:space="preserve"> objekt je dopustna tudi</w:t>
      </w:r>
      <w:r w:rsidR="00BB1317" w:rsidRPr="00B148B1">
        <w:rPr>
          <w:rFonts w:cs="Arial"/>
          <w:szCs w:val="20"/>
        </w:rPr>
        <w:t>, kadar</w:t>
      </w:r>
      <w:r w:rsidRPr="00B148B1">
        <w:rPr>
          <w:rFonts w:cs="Arial"/>
          <w:szCs w:val="20"/>
        </w:rPr>
        <w:t xml:space="preserve"> gre za začasno rešitev do izgradnje javne kanalizacije, opremljanje zemljišča z javno kanalizacijo pa ne poteka sočasno z gradnjo objekta.</w:t>
      </w:r>
    </w:p>
    <w:p w:rsidR="0077370C" w:rsidRPr="00B148B1" w:rsidRDefault="0077370C" w:rsidP="0077370C">
      <w:pPr>
        <w:tabs>
          <w:tab w:val="left" w:pos="9600"/>
        </w:tabs>
        <w:spacing w:before="120" w:line="280" w:lineRule="atLeast"/>
        <w:rPr>
          <w:rFonts w:eastAsiaTheme="minorHAnsi" w:cs="Arial"/>
          <w:color w:val="000000"/>
          <w:szCs w:val="20"/>
        </w:rPr>
      </w:pPr>
      <w:r w:rsidRPr="00B148B1">
        <w:rPr>
          <w:rFonts w:eastAsiaTheme="minorHAnsi" w:cs="Arial"/>
          <w:color w:val="000000"/>
          <w:szCs w:val="20"/>
        </w:rPr>
        <w:t>Uredba o odvajanju in čiščenju komunalne odpadne vode določa, da je lahko aglomeracija s skupno obremenitvijo, manjšo od 500 PE, zaradi izvajanja storitev javne službe na njenem območju opremljena z ureditvami za posamezne objekte ali za skupine objektov, če občina na podlagi ekonomske analize variant opremljanja ugotovi, da bi opremljanje z javno kanalizacijo i</w:t>
      </w:r>
      <w:r w:rsidR="007069C0" w:rsidRPr="00B148B1">
        <w:rPr>
          <w:rFonts w:eastAsiaTheme="minorHAnsi" w:cs="Arial"/>
          <w:color w:val="000000"/>
          <w:szCs w:val="20"/>
        </w:rPr>
        <w:t>n komunalno čistilno napravo oziroma</w:t>
      </w:r>
      <w:r w:rsidRPr="00B148B1">
        <w:rPr>
          <w:rFonts w:eastAsiaTheme="minorHAnsi" w:cs="Arial"/>
          <w:color w:val="000000"/>
          <w:szCs w:val="20"/>
        </w:rPr>
        <w:t xml:space="preserve"> opremljanjem z malo komunalno čistilno napravo z zmogljivostjo, enako ali večjo od 50 PE za skupino objektov, povzročilo več kot trikrat večje stroške glede na stroške opremljanja z individualnimi ureditvami. Pri ekonomski analizi je treba upoštevati najmanj varianto opremljanja z enim javnim kanalizacijskim sistemom za celotno aglomeracijo, varianto opremljanja z več javnimi kanalizacijskimi sistemi za skupine objektov v aglomeraciji, ki se opremljajo z malimi komunalnimi čistilnimi napravami z zmogljivostjo, enako ali večjo od 50 PE, in varianto opremljanja z ureditvami za posamezne objekte ali skupine objektov, kjer je obremenitev manjša od 50 PE. </w:t>
      </w:r>
      <w:r w:rsidR="004722F9" w:rsidRPr="00B148B1">
        <w:rPr>
          <w:rFonts w:eastAsiaTheme="minorHAnsi" w:cs="Arial"/>
          <w:color w:val="000000"/>
          <w:szCs w:val="20"/>
        </w:rPr>
        <w:t xml:space="preserve">Pri tem je treba upoštevati stroške in koristi vsake od obravnavnih variant v ekonomski dobi investicije ob smiselni </w:t>
      </w:r>
      <w:r w:rsidR="004722F9" w:rsidRPr="00B148B1">
        <w:t>uporabi določb predpisa, ki ureja enotno metodologijo za pripravo in obravnavo investicijske dokumentacije na področju financ.</w:t>
      </w:r>
    </w:p>
    <w:p w:rsidR="007D46DF" w:rsidRPr="00B148B1" w:rsidRDefault="00D774EB" w:rsidP="007D46DF">
      <w:pPr>
        <w:tabs>
          <w:tab w:val="left" w:pos="9600"/>
        </w:tabs>
        <w:spacing w:before="120" w:line="280" w:lineRule="atLeast"/>
        <w:rPr>
          <w:rFonts w:cs="Arial"/>
          <w:szCs w:val="20"/>
        </w:rPr>
      </w:pPr>
      <w:r w:rsidRPr="00B148B1">
        <w:rPr>
          <w:rFonts w:cs="Arial"/>
          <w:szCs w:val="20"/>
        </w:rPr>
        <w:t xml:space="preserve">Uredba o odvajanju in čiščenju komunalne odpadne vode določa nekatere strožje zahteve glede odvajanja in čiščenja komunalne odpadne vode, kot izhajajo iz Direktive 91/271/EGS in </w:t>
      </w:r>
      <w:r w:rsidR="00ED6798" w:rsidRPr="00B148B1">
        <w:rPr>
          <w:rFonts w:cs="Arial"/>
          <w:szCs w:val="20"/>
        </w:rPr>
        <w:t>p</w:t>
      </w:r>
      <w:r w:rsidRPr="00B148B1">
        <w:rPr>
          <w:rFonts w:cs="Arial"/>
          <w:szCs w:val="20"/>
        </w:rPr>
        <w:t xml:space="preserve">ristopne pogodbe RS k EU. </w:t>
      </w:r>
      <w:r w:rsidR="007D46DF" w:rsidRPr="00B148B1">
        <w:rPr>
          <w:rFonts w:cs="Arial"/>
          <w:szCs w:val="20"/>
        </w:rPr>
        <w:t>Tako je za aglomeracije s skupno obremenitvijo, enako ali večjo od 2.000 PE in manjšo od 10.000 PE, določena obveznost terciarnega čiščenja komunalne odpadne vode, ki se odvaja po javni kanalizaciji, če gre za posredno ali neposredno odvajanje v občutljivo območje ali v vodo na prispevnem območju občutljivega območja. Rok za izpolnitev teh zahtev prav tako izhaja iz pristopne pogodbe RS k EU, in sicer bi morale biti tudi te zahteve izpolnjene najpozneje do 31. decembra 2015.</w:t>
      </w:r>
    </w:p>
    <w:p w:rsidR="007D46DF" w:rsidRPr="00B148B1" w:rsidRDefault="006E2D81" w:rsidP="0044592A">
      <w:pPr>
        <w:tabs>
          <w:tab w:val="left" w:pos="9600"/>
        </w:tabs>
        <w:spacing w:before="120" w:line="280" w:lineRule="atLeast"/>
      </w:pPr>
      <w:r w:rsidRPr="00B148B1">
        <w:t>Uredba o odvajanju in čiščenju komunalne odpadne vode glede čiščenja komunalne odpadne vode predpisuje zahteve</w:t>
      </w:r>
      <w:r w:rsidR="00D17021" w:rsidRPr="00B148B1">
        <w:t>, kot je navedeno v nadaljevanju.</w:t>
      </w:r>
    </w:p>
    <w:p w:rsidR="006E2D81" w:rsidRPr="00B148B1" w:rsidRDefault="006A7EA3" w:rsidP="0044592A">
      <w:pPr>
        <w:tabs>
          <w:tab w:val="left" w:pos="9600"/>
        </w:tabs>
        <w:spacing w:before="120" w:line="280" w:lineRule="atLeast"/>
      </w:pPr>
      <w:r w:rsidRPr="00B148B1">
        <w:t>Z</w:t>
      </w:r>
      <w:r w:rsidR="006E2D81" w:rsidRPr="00B148B1">
        <w:t>a komunalno odpadno vodo, ki se odvaja po kanalizaciji iz aglomeracije s skupno obremenitvijo, enako ali</w:t>
      </w:r>
      <w:r w:rsidR="006E2D81" w:rsidRPr="00B148B1">
        <w:rPr>
          <w:rFonts w:cs="Arial"/>
          <w:szCs w:val="20"/>
        </w:rPr>
        <w:t xml:space="preserve"> večjo od 2.000 PE, ali iz komunalne čistilne naprave z zmogljivostjo, enako ali večjo od 2.000 PE, ali za komunalno odpadno vodo, ki se zbira v nepretočni greznici v aglomeraciji s skupno obremenitvijo, enako ali večjo od 2.000 PE, mora biti pred odvajanjem v vode zagotovljeno čiščenje tako, da parametri onesnaženosti ne presegajo mejnih vrednosti, ki veljajo za sekundarno čiščenje.</w:t>
      </w:r>
    </w:p>
    <w:p w:rsidR="00CB0EE3" w:rsidRPr="00B148B1" w:rsidRDefault="00CB0EE3" w:rsidP="00CB0EE3">
      <w:pPr>
        <w:rPr>
          <w:szCs w:val="20"/>
        </w:rPr>
      </w:pPr>
    </w:p>
    <w:p w:rsidR="006E2D81" w:rsidRPr="00B148B1" w:rsidRDefault="006A7EA3" w:rsidP="00CB0EE3">
      <w:r w:rsidRPr="00B148B1">
        <w:lastRenderedPageBreak/>
        <w:t>Z</w:t>
      </w:r>
      <w:r w:rsidR="006E2D81" w:rsidRPr="00B148B1">
        <w:t>a komunalno odpadno vodo, ki se odvaja po kanalizaciji iz aglomeracije s skupno obremenitvijo, enako ali večjo od 2.000 PE, ali iz komunalne čistilne naprave z zmogljivostjo, enako ali večjo od 2.000 PE, ali za komunalno odpadno vodo, ki se zbira v nepretočni greznici v aglomeraciji s skupno obremenitvijo, enako ali večjo od 2.000 PE,</w:t>
      </w:r>
      <w:r w:rsidR="007B4479" w:rsidRPr="00B148B1">
        <w:t xml:space="preserve"> mora biti</w:t>
      </w:r>
      <w:r w:rsidR="006E2D81" w:rsidRPr="00B148B1">
        <w:t xml:space="preserve"> pred odvajanjem v vode zagotovljeno čiščenje tako, da parametri onesnaženosti ne presegajo </w:t>
      </w:r>
      <w:r w:rsidR="007B4479" w:rsidRPr="00B148B1">
        <w:t xml:space="preserve">predpisanih </w:t>
      </w:r>
      <w:r w:rsidR="006E2D81" w:rsidRPr="00B148B1">
        <w:t xml:space="preserve">mejnih vrednosti </w:t>
      </w:r>
      <w:r w:rsidR="007B4479" w:rsidRPr="00B148B1">
        <w:t>za sekundarno in terciarno čiščenje</w:t>
      </w:r>
      <w:r w:rsidR="006E2D81" w:rsidRPr="00B148B1">
        <w:t>, če gre za iztok v:</w:t>
      </w:r>
    </w:p>
    <w:p w:rsidR="006E2D81" w:rsidRPr="00B148B1" w:rsidRDefault="006E2D81"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 xml:space="preserve">vodno telo površinske vode, ki se v skladu </w:t>
      </w:r>
      <w:r w:rsidR="007B4479" w:rsidRPr="00B148B1">
        <w:rPr>
          <w:rFonts w:cs="Arial"/>
          <w:szCs w:val="20"/>
        </w:rPr>
        <w:t>z zahtevami te uredbe</w:t>
      </w:r>
      <w:r w:rsidRPr="00B148B1">
        <w:rPr>
          <w:rFonts w:cs="Arial"/>
          <w:szCs w:val="20"/>
        </w:rPr>
        <w:t xml:space="preserve"> uvršča med občutljiva območja,</w:t>
      </w:r>
    </w:p>
    <w:p w:rsidR="006E2D81" w:rsidRPr="00B148B1" w:rsidRDefault="006E2D81"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vodo na prispevnem območju občutljivega območja iz prejšnje alineje ali</w:t>
      </w:r>
    </w:p>
    <w:p w:rsidR="007B4479" w:rsidRPr="00B148B1" w:rsidRDefault="006E2D81"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vodotok, ki ni občutljivo območje ali voda na prispevnem območju občutljivega območja in katerega srednji mali pretok na mestu iztoka iz komunalne čistilne naprave je manjši od desetkratnika največjega šesturnega povprečnega pretoka odpadne vode</w:t>
      </w:r>
      <w:r w:rsidR="007B4479" w:rsidRPr="00B148B1">
        <w:rPr>
          <w:rFonts w:cs="Arial"/>
          <w:szCs w:val="20"/>
        </w:rPr>
        <w:t xml:space="preserve"> iz komunalne čistilne naprave.</w:t>
      </w:r>
    </w:p>
    <w:p w:rsidR="003B0B5B" w:rsidRPr="00B148B1" w:rsidRDefault="006A7EA3" w:rsidP="00C5768E">
      <w:pPr>
        <w:tabs>
          <w:tab w:val="left" w:pos="9600"/>
        </w:tabs>
        <w:spacing w:before="120" w:line="280" w:lineRule="atLeast"/>
      </w:pPr>
      <w:r w:rsidRPr="00B148B1">
        <w:t>Z</w:t>
      </w:r>
      <w:r w:rsidR="007B4479" w:rsidRPr="00B148B1">
        <w:t>a</w:t>
      </w:r>
      <w:r w:rsidR="006E2D81" w:rsidRPr="00B148B1">
        <w:t xml:space="preserve"> komunalno odpadno vodo, ki se odvaja po javni kanalizaciji iz aglomeracije s skupno obremenitvijo, enako ali večjo od 10.000 PE, ali iz komunalne čistilne naprave z zmogljivostjo, enako ali večjo od 10.000 PE, ali za komunalno odpadno vodo, ki se zbira v nepretočni greznici v aglomeraciji s skupno obremenitvijo, enako ali večjo od 10.000 PE,</w:t>
      </w:r>
      <w:r w:rsidR="007B4479" w:rsidRPr="00B148B1">
        <w:t xml:space="preserve"> mora</w:t>
      </w:r>
      <w:r w:rsidR="006E2D81" w:rsidRPr="00B148B1">
        <w:t xml:space="preserve"> </w:t>
      </w:r>
      <w:r w:rsidR="002F7444" w:rsidRPr="00B148B1">
        <w:t xml:space="preserve">biti </w:t>
      </w:r>
      <w:r w:rsidR="006E2D81" w:rsidRPr="00B148B1">
        <w:t xml:space="preserve">pred odvajanjem v vode zagotovljeno čiščenje tako, da parametri onesnaženosti ne presegajo mejnih vrednosti </w:t>
      </w:r>
      <w:r w:rsidR="007B4479" w:rsidRPr="00B148B1">
        <w:t>za sekundarno in terciarno čiščenje</w:t>
      </w:r>
      <w:r w:rsidR="006E2D81" w:rsidRPr="00B148B1">
        <w:t>, tudi če gre za iztok v vodo na vodnem območju Donave, ki ni občutljivo območje ali voda na prispevnem območju občutljivega območja</w:t>
      </w:r>
      <w:r w:rsidR="005276C3" w:rsidRPr="00B148B1">
        <w:t>.</w:t>
      </w:r>
      <w:r w:rsidR="003668AF" w:rsidRPr="00B148B1">
        <w:t xml:space="preserve"> </w:t>
      </w:r>
    </w:p>
    <w:p w:rsidR="00C5768E" w:rsidRPr="00B148B1" w:rsidRDefault="005276C3" w:rsidP="00C5768E">
      <w:pPr>
        <w:tabs>
          <w:tab w:val="left" w:pos="9600"/>
        </w:tabs>
        <w:spacing w:before="120" w:line="280" w:lineRule="atLeast"/>
        <w:rPr>
          <w:rFonts w:cs="Arial"/>
          <w:szCs w:val="20"/>
        </w:rPr>
      </w:pPr>
      <w:r w:rsidRPr="00B148B1">
        <w:rPr>
          <w:rFonts w:cs="Arial"/>
          <w:szCs w:val="20"/>
        </w:rPr>
        <w:t>Z</w:t>
      </w:r>
      <w:r w:rsidR="006E2D81" w:rsidRPr="00B148B1">
        <w:rPr>
          <w:rFonts w:cs="Arial"/>
          <w:szCs w:val="20"/>
        </w:rPr>
        <w:t>a komunalno odpadno vodo, ki se odvaja po javni kanalizaciji iz aglomeracije s skupno obremenitvijo, manjšo od 2.000 PE, ali iz male komunalne čistilne naprave ali za komunalno odpadno vodo, ki se zbira v nepretočni greznici v aglomeraciji s skupno obremenitvijo, manjšo od 2.000 PE, mora biti pred odvajanjem v vode zagotovljeno čiščenje tako, da parametri onesnaženosti ne presega</w:t>
      </w:r>
      <w:r w:rsidR="007B4479" w:rsidRPr="00B148B1">
        <w:rPr>
          <w:rFonts w:cs="Arial"/>
          <w:szCs w:val="20"/>
        </w:rPr>
        <w:t>jo mejnih vrednosti, ki veljajo za primerno čiščenje.</w:t>
      </w:r>
    </w:p>
    <w:p w:rsidR="005F22F6" w:rsidRPr="00B148B1" w:rsidRDefault="005276C3" w:rsidP="00C5768E">
      <w:pPr>
        <w:tabs>
          <w:tab w:val="left" w:pos="9600"/>
        </w:tabs>
        <w:spacing w:before="120" w:line="280" w:lineRule="atLeast"/>
      </w:pPr>
      <w:r w:rsidRPr="00B148B1">
        <w:t>Z</w:t>
      </w:r>
      <w:r w:rsidR="006E2D81" w:rsidRPr="00B148B1">
        <w:t xml:space="preserve">a komunalno odpadno vodo, ki se odvaja iz male komunalne čistilne naprave, v kateri se čisti komunalna odpadna voda iz aglomeracije s skupno obremenitvijo, enako ali večjo od 2.000 PE, </w:t>
      </w:r>
      <w:r w:rsidR="007B4479" w:rsidRPr="00B148B1">
        <w:t xml:space="preserve">mora </w:t>
      </w:r>
      <w:r w:rsidR="004D7E32" w:rsidRPr="00B148B1">
        <w:t xml:space="preserve">biti </w:t>
      </w:r>
      <w:r w:rsidR="006E2D81" w:rsidRPr="00B148B1">
        <w:t>pred odvajanjem v vode zagotovljeno čiščenje tako, da parametri onesnaženosti ne presegajo mejnih vrednosti, ki s</w:t>
      </w:r>
      <w:r w:rsidR="007B4479" w:rsidRPr="00B148B1">
        <w:t>o predpisane za to aglomeracijo</w:t>
      </w:r>
      <w:r w:rsidR="004D7E32" w:rsidRPr="00B148B1">
        <w:t>.</w:t>
      </w:r>
      <w:r w:rsidR="004E2976" w:rsidRPr="00B148B1">
        <w:t xml:space="preserve"> </w:t>
      </w:r>
    </w:p>
    <w:p w:rsidR="00122736" w:rsidRPr="00B148B1" w:rsidRDefault="006A7EA3" w:rsidP="00C5768E">
      <w:pPr>
        <w:tabs>
          <w:tab w:val="left" w:pos="9600"/>
        </w:tabs>
        <w:spacing w:before="120" w:line="280" w:lineRule="atLeast"/>
      </w:pPr>
      <w:r w:rsidRPr="00B148B1">
        <w:t>U</w:t>
      </w:r>
      <w:r w:rsidR="00122736" w:rsidRPr="00B148B1">
        <w:t>redba o odvajanju in čiščenju komunalne odpadne vode določa tudi obveznost dodatne obdelave komunalne odpadne vode zaradi odstranjevanja mikrobiološkega onesnaženja</w:t>
      </w:r>
      <w:r w:rsidRPr="00B148B1">
        <w:t>. Z</w:t>
      </w:r>
      <w:r w:rsidR="00122736" w:rsidRPr="00B148B1">
        <w:t>a komunalno odpadno vodo iz aglomeracije s skupno obremenitvijo, enako ali večjo od 500 PE, mora biti pred posrednim ali neposrednim odvajanjem v vode v času kopalne sezone v rokih, določenih za opremljanje te aglomeracije, zagotovljena tudi dodatna obdelava, če se odpadna voda odvaja posredno ali neposredno v vode na vp</w:t>
      </w:r>
      <w:r w:rsidR="006E0DCD" w:rsidRPr="00B148B1">
        <w:t xml:space="preserve">livnem območju kopalnih voda. </w:t>
      </w:r>
      <w:r w:rsidRPr="00B148B1">
        <w:t>Z</w:t>
      </w:r>
      <w:r w:rsidR="00122736" w:rsidRPr="00B148B1">
        <w:t xml:space="preserve">a komunalno odpadno vodo iz aglomeracije s skupno obremenitvijo, enako ali večjo od 2.000 PE, mora biti pred posrednim odvajanjem na območju </w:t>
      </w:r>
      <w:proofErr w:type="spellStart"/>
      <w:r w:rsidR="00122736" w:rsidRPr="00B148B1">
        <w:t>razpoklinskih</w:t>
      </w:r>
      <w:proofErr w:type="spellEnd"/>
      <w:r w:rsidR="00122736" w:rsidRPr="00B148B1">
        <w:t xml:space="preserve"> vodonosnikov, vključno s kraškimi, v rokih, določenih za opremljanje te aglomeracije, zagotovljena tudi dodatna obdelava, če gre za iztok na zakraselem območju oziroma na mestu iztoka pri najvišji gladini podzemne vode ni mogoče zagotoviti odvajanja </w:t>
      </w:r>
      <w:r w:rsidR="00BB1317" w:rsidRPr="00B148B1">
        <w:t xml:space="preserve">čez </w:t>
      </w:r>
      <w:r w:rsidR="00122736" w:rsidRPr="00B148B1">
        <w:t>zadostn</w:t>
      </w:r>
      <w:r w:rsidR="00BB1317" w:rsidRPr="00B148B1">
        <w:t>o</w:t>
      </w:r>
      <w:r w:rsidR="00122736" w:rsidRPr="00B148B1">
        <w:t xml:space="preserve"> plast </w:t>
      </w:r>
      <w:proofErr w:type="spellStart"/>
      <w:r w:rsidR="00122736" w:rsidRPr="00B148B1">
        <w:t>nezasičene</w:t>
      </w:r>
      <w:proofErr w:type="spellEnd"/>
      <w:r w:rsidR="00122736" w:rsidRPr="00B148B1">
        <w:t xml:space="preserve"> cone vodonosnika, kjer zadrževalne sposobnosti </w:t>
      </w:r>
      <w:proofErr w:type="spellStart"/>
      <w:r w:rsidR="00122736" w:rsidRPr="00B148B1">
        <w:t>neomočenih</w:t>
      </w:r>
      <w:proofErr w:type="spellEnd"/>
      <w:r w:rsidR="00122736" w:rsidRPr="00B148B1">
        <w:t xml:space="preserve"> sedimentov ali zemljin preprečujejo vnos onesnaževal v podzemno vodo.</w:t>
      </w:r>
    </w:p>
    <w:p w:rsidR="00390489" w:rsidRPr="00B148B1" w:rsidRDefault="00390489" w:rsidP="00390489">
      <w:pPr>
        <w:tabs>
          <w:tab w:val="left" w:pos="9600"/>
        </w:tabs>
        <w:spacing w:before="120" w:line="280" w:lineRule="atLeast"/>
      </w:pPr>
      <w:r w:rsidRPr="00B148B1">
        <w:rPr>
          <w:rFonts w:cs="Arial"/>
          <w:szCs w:val="20"/>
        </w:rPr>
        <w:t xml:space="preserve">Za aglomeracije s skupno obremenitvijo, enako ali večjo od 50 PE in manjšo od 2.000 PE, kjer se komunalna odpadna voda še ne odvaja po javni kanalizaciji, so v Uredbi o odvajanju in čiščenju komunalne odpadne vode določene obveznosti oziroma roki za izpolnitev predpisanih zahtev. Za aglomeracije s skupno obremenitvijo, enako ali večjo od 500 PE in manjšo od 2.000 PE, če gre za iztok v občutljivo območje ali v vodo na prispevnem območju občutljivega območja ali v vodo na vodovarstvenem območju, mora biti odvajanje komunalne odpadne vode po javni kanalizaciji in </w:t>
      </w:r>
      <w:r w:rsidRPr="00B148B1">
        <w:rPr>
          <w:rFonts w:cs="Arial"/>
          <w:szCs w:val="20"/>
        </w:rPr>
        <w:lastRenderedPageBreak/>
        <w:t xml:space="preserve">primerno čiščenje te komunalne odpadne vode zagotovljeno najpozneje do 31. decembra 2021. Za aglomeracije s skupno obremenitvijo, enako ali večjo od 50 PE in manjšo od 500 PE, če gre za iztok v občutljivo območje ali v vodo na prispevnem območju občutljivega območja ali v vodo na vodovarstvenem območju, in za aglomeracije s skupno obremenitvijo, enako ali večjo od 50 PE in manjšo od 2.000 PE, če ne gre za iztok v občutljivo območje ali v vodo na prispevnem območju občutljivega območja ali v vodo na vodovarstvenem območju, mora biti odvajanje komunalne odpadne </w:t>
      </w:r>
      <w:r w:rsidRPr="00B148B1">
        <w:t>vode po javni kanalizaciji in primerno čiščenje te komunalne odpadne vode zagotovljeno najpozneje do 31. decembra 2023.</w:t>
      </w:r>
    </w:p>
    <w:p w:rsidR="00D774EB" w:rsidRPr="00B148B1" w:rsidRDefault="00D774EB" w:rsidP="00D774EB">
      <w:pPr>
        <w:tabs>
          <w:tab w:val="left" w:pos="9600"/>
        </w:tabs>
        <w:spacing w:before="120" w:line="280" w:lineRule="atLeast"/>
        <w:rPr>
          <w:rFonts w:cs="Arial"/>
          <w:szCs w:val="20"/>
        </w:rPr>
      </w:pPr>
      <w:r w:rsidRPr="00B148B1">
        <w:rPr>
          <w:rFonts w:cs="Arial"/>
          <w:szCs w:val="20"/>
        </w:rPr>
        <w:t xml:space="preserve">Za komunalne čistilne naprave, ki so ob </w:t>
      </w:r>
      <w:r w:rsidR="00BB1317" w:rsidRPr="00B148B1">
        <w:rPr>
          <w:rFonts w:cs="Arial"/>
          <w:szCs w:val="20"/>
        </w:rPr>
        <w:t xml:space="preserve">začetku veljavnosti </w:t>
      </w:r>
      <w:r w:rsidRPr="00B148B1">
        <w:rPr>
          <w:rFonts w:cs="Arial"/>
          <w:szCs w:val="20"/>
        </w:rPr>
        <w:t>Uredbe o odvajanju in čiščenju komunalne odpadne vode veljale za obstoječe, so določeni prehodni roki za prilagoditev obratovanja predpisanim zahtevam, in sicer:</w:t>
      </w:r>
    </w:p>
    <w:p w:rsidR="00D774EB" w:rsidRPr="00B148B1" w:rsidRDefault="00D774EB"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lastnik in upravljavec komunalne čistilne naprave, ki je bila zgrajena pred 22. avgustom 2009 in je obratovala na ta dan ali je bilo zanjo pred tem dnem izdano pravnomočno okoljevarstveno soglasje, okoljevarstveno dovoljenje ali gradbeno dovoljenje, morata zagotoviti, da se njeno obratovanje prilagodi zahtevam v zvezi terciarnim čiščenjem najpozneje do 22. avgusta 2016, če gre za komunalno čistilno napravo, na kateri se čisti komunalna odpadna voda iz aglomeracije s skupno obremenitvijo, enako ali večjo od 2.000 PE, in se komunalna odpadna voda odvaja v vodotok, ki ni uvrščen med občutljiva območja, ni vodotok na prispevnem območju občutljivega območja in je njegov srednji mali pretok na mestu iztoka iz komunalne čistilne naprave manjši od desetkratnika največjega šesturnega povprečnega pretoka odpadne vode iz komunalne čistilne naprave,</w:t>
      </w:r>
    </w:p>
    <w:p w:rsidR="00D774EB" w:rsidRPr="00B148B1" w:rsidRDefault="00D774EB" w:rsidP="004C2581">
      <w:pPr>
        <w:numPr>
          <w:ilvl w:val="0"/>
          <w:numId w:val="6"/>
        </w:numPr>
        <w:tabs>
          <w:tab w:val="num" w:pos="360"/>
          <w:tab w:val="left" w:pos="9600"/>
        </w:tabs>
        <w:spacing w:before="120" w:line="280" w:lineRule="atLeast"/>
        <w:ind w:left="357" w:hanging="357"/>
        <w:rPr>
          <w:rFonts w:cs="Arial"/>
          <w:szCs w:val="20"/>
        </w:rPr>
      </w:pPr>
      <w:r w:rsidRPr="00B148B1">
        <w:rPr>
          <w:rFonts w:cs="Arial"/>
        </w:rPr>
        <w:t>lastnik in upravljavec komunalne čistilne naprave, ki je bila zgrajena pred 22. avgustom 2009 in je obratovala na ta dan ali je bilo zanjo pred tem dnem izdano pravnomočno okoljevarstveno soglasje, okoljevarstveno dovoljenje ali gradbeno dovoljenje, morata zagotoviti, da se njeno obratovanje prilagodi zahtevam v zvezi terciarnim čiščenjem najpozneje do 22. avgusta 2016, če gre za komunalno čistilno napravo, na kateri se čisti komunalna odpadna voda iz aglomeracije s skupno obremenitvijo, enako ali večjo od 10.000 PE, in se komunalna odpadna voda odvaja v vodo na vodnem območju Donave, ki ni uvrščena med občutljiva območja in ni voda na prispevnem območju občutljivega območja</w:t>
      </w:r>
      <w:r w:rsidRPr="00B148B1">
        <w:rPr>
          <w:rFonts w:cs="Arial"/>
          <w:szCs w:val="20"/>
        </w:rPr>
        <w:t xml:space="preserve">, </w:t>
      </w:r>
    </w:p>
    <w:p w:rsidR="00D774EB" w:rsidRPr="00B148B1" w:rsidRDefault="00D774EB" w:rsidP="004C2581">
      <w:pPr>
        <w:numPr>
          <w:ilvl w:val="0"/>
          <w:numId w:val="6"/>
        </w:numPr>
        <w:tabs>
          <w:tab w:val="num" w:pos="360"/>
          <w:tab w:val="left" w:pos="9600"/>
        </w:tabs>
        <w:spacing w:before="120" w:line="280" w:lineRule="atLeast"/>
        <w:ind w:left="357" w:hanging="357"/>
        <w:rPr>
          <w:rFonts w:cs="Arial"/>
        </w:rPr>
      </w:pPr>
      <w:r w:rsidRPr="00B148B1">
        <w:rPr>
          <w:rFonts w:cs="Arial"/>
        </w:rPr>
        <w:t xml:space="preserve">lastnik in upravljavec komunalne čistilne naprave, ki je bila zgrajena pred </w:t>
      </w:r>
      <w:r w:rsidR="00643D91" w:rsidRPr="00B148B1">
        <w:rPr>
          <w:rFonts w:cs="Arial"/>
        </w:rPr>
        <w:t xml:space="preserve">začetkom veljavnosti </w:t>
      </w:r>
      <w:r w:rsidRPr="00B148B1">
        <w:rPr>
          <w:rFonts w:cs="Arial"/>
        </w:rPr>
        <w:t>te uredbe in je obratovala na ta dan ali je bilo zanjo pred tem dnem izdano pravnomočno okoljevarstveno soglasje, okoljevarstveno dovoljenje ali gradbeno dovoljenje, razen če gre za obstoječo malo komunalno čistilno napravo z zmogljivostjo, manjšo od 50 PE,</w:t>
      </w:r>
      <w:r w:rsidR="00D9318A" w:rsidRPr="00B148B1">
        <w:rPr>
          <w:rFonts w:cs="Arial"/>
        </w:rPr>
        <w:t xml:space="preserve"> morata</w:t>
      </w:r>
      <w:r w:rsidRPr="00B148B1">
        <w:rPr>
          <w:rFonts w:cs="Arial"/>
        </w:rPr>
        <w:t xml:space="preserve"> zagotoviti, da se njeno obratovanje prilagodi zahtevam v zvezi z mejnimi vrednostmi za aglomeracijo, enako ali večjo od 2.000 PE, najpozneje v petih letih od </w:t>
      </w:r>
      <w:r w:rsidR="0037309D" w:rsidRPr="00B148B1">
        <w:rPr>
          <w:rFonts w:cs="Arial"/>
        </w:rPr>
        <w:t xml:space="preserve">začetka veljavnosti </w:t>
      </w:r>
      <w:r w:rsidRPr="00B148B1">
        <w:rPr>
          <w:rFonts w:cs="Arial"/>
        </w:rPr>
        <w:t>te uredbe.</w:t>
      </w:r>
    </w:p>
    <w:p w:rsidR="00CB0EE3" w:rsidRPr="00B148B1" w:rsidRDefault="00CB0EE3" w:rsidP="00CB0EE3"/>
    <w:p w:rsidR="00D774EB" w:rsidRPr="00B148B1" w:rsidRDefault="0037309D" w:rsidP="00FC6B71">
      <w:pPr>
        <w:spacing w:line="280" w:lineRule="atLeast"/>
        <w:rPr>
          <w:rFonts w:eastAsiaTheme="minorHAnsi" w:cs="Arial"/>
          <w:color w:val="000000"/>
          <w:szCs w:val="20"/>
        </w:rPr>
      </w:pPr>
      <w:r w:rsidRPr="00B148B1">
        <w:rPr>
          <w:rFonts w:eastAsiaTheme="minorHAnsi" w:cs="Arial"/>
          <w:color w:val="000000"/>
          <w:szCs w:val="20"/>
        </w:rPr>
        <w:t xml:space="preserve">V </w:t>
      </w:r>
      <w:r w:rsidR="00D774EB" w:rsidRPr="00B148B1">
        <w:rPr>
          <w:rFonts w:eastAsiaTheme="minorHAnsi" w:cs="Arial"/>
          <w:color w:val="000000"/>
          <w:szCs w:val="20"/>
        </w:rPr>
        <w:t>Uredb</w:t>
      </w:r>
      <w:r w:rsidRPr="00B148B1">
        <w:rPr>
          <w:rFonts w:eastAsiaTheme="minorHAnsi" w:cs="Arial"/>
          <w:color w:val="000000"/>
          <w:szCs w:val="20"/>
        </w:rPr>
        <w:t>i</w:t>
      </w:r>
      <w:r w:rsidR="00D774EB" w:rsidRPr="00B148B1">
        <w:rPr>
          <w:rFonts w:eastAsiaTheme="minorHAnsi" w:cs="Arial"/>
          <w:color w:val="000000"/>
          <w:szCs w:val="20"/>
        </w:rPr>
        <w:t xml:space="preserve"> o odvajanju in čiščenju komunalne odpadne vode </w:t>
      </w:r>
      <w:r w:rsidRPr="00B148B1">
        <w:rPr>
          <w:rFonts w:eastAsiaTheme="minorHAnsi" w:cs="Arial"/>
          <w:color w:val="000000"/>
          <w:szCs w:val="20"/>
        </w:rPr>
        <w:t xml:space="preserve">so </w:t>
      </w:r>
      <w:r w:rsidR="00D774EB" w:rsidRPr="00B148B1">
        <w:rPr>
          <w:rFonts w:eastAsiaTheme="minorHAnsi" w:cs="Arial"/>
          <w:color w:val="000000"/>
          <w:szCs w:val="20"/>
        </w:rPr>
        <w:t>določen</w:t>
      </w:r>
      <w:r w:rsidRPr="00B148B1">
        <w:rPr>
          <w:rFonts w:eastAsiaTheme="minorHAnsi" w:cs="Arial"/>
          <w:color w:val="000000"/>
          <w:szCs w:val="20"/>
        </w:rPr>
        <w:t>i</w:t>
      </w:r>
      <w:r w:rsidR="00D774EB" w:rsidRPr="00B148B1">
        <w:rPr>
          <w:rFonts w:eastAsiaTheme="minorHAnsi" w:cs="Arial"/>
          <w:color w:val="000000"/>
          <w:szCs w:val="20"/>
        </w:rPr>
        <w:t xml:space="preserve"> tudi prehodni rok</w:t>
      </w:r>
      <w:r w:rsidRPr="00B148B1">
        <w:rPr>
          <w:rFonts w:eastAsiaTheme="minorHAnsi" w:cs="Arial"/>
          <w:color w:val="000000"/>
          <w:szCs w:val="20"/>
        </w:rPr>
        <w:t>i</w:t>
      </w:r>
      <w:r w:rsidR="00D774EB" w:rsidRPr="00B148B1">
        <w:rPr>
          <w:rFonts w:eastAsiaTheme="minorHAnsi" w:cs="Arial"/>
          <w:color w:val="000000"/>
          <w:szCs w:val="20"/>
        </w:rPr>
        <w:t xml:space="preserve"> za priključitev obstoječih objektov na javno kanalizacijo</w:t>
      </w:r>
      <w:r w:rsidR="004A4C8E" w:rsidRPr="00B148B1">
        <w:rPr>
          <w:rFonts w:eastAsiaTheme="minorHAnsi" w:cs="Arial"/>
          <w:color w:val="000000"/>
          <w:szCs w:val="20"/>
        </w:rPr>
        <w:t>.</w:t>
      </w:r>
      <w:r w:rsidR="00D774EB" w:rsidRPr="00B148B1">
        <w:rPr>
          <w:rFonts w:eastAsiaTheme="minorHAnsi" w:cs="Arial"/>
          <w:color w:val="000000"/>
          <w:szCs w:val="20"/>
        </w:rPr>
        <w:t xml:space="preserve"> </w:t>
      </w:r>
      <w:r w:rsidR="004A4C8E" w:rsidRPr="00B148B1">
        <w:rPr>
          <w:rFonts w:eastAsiaTheme="minorHAnsi" w:cs="Arial"/>
          <w:color w:val="000000"/>
          <w:szCs w:val="20"/>
        </w:rPr>
        <w:t>Lastnik</w:t>
      </w:r>
      <w:r w:rsidR="00D774EB" w:rsidRPr="00B148B1">
        <w:rPr>
          <w:rFonts w:eastAsiaTheme="minorHAnsi" w:cs="Arial"/>
          <w:color w:val="000000"/>
          <w:szCs w:val="20"/>
        </w:rPr>
        <w:t xml:space="preserve"> obstoječega objekta v aglomeraciji, kjer je opremljenost z javno kanalizacijo predpisana, ali v aglomeraciji, kjer opremljenost z javno kanalizacijo ni predpisana, aglomeracija pa je opremljena z javno kanalizacijo, </w:t>
      </w:r>
      <w:r w:rsidR="003D5A8B" w:rsidRPr="00B148B1">
        <w:rPr>
          <w:rFonts w:eastAsiaTheme="minorHAnsi" w:cs="Arial"/>
          <w:color w:val="000000"/>
          <w:szCs w:val="20"/>
        </w:rPr>
        <w:t xml:space="preserve">mora </w:t>
      </w:r>
      <w:r w:rsidR="00D774EB" w:rsidRPr="00B148B1">
        <w:rPr>
          <w:rFonts w:eastAsiaTheme="minorHAnsi" w:cs="Arial"/>
          <w:color w:val="000000"/>
          <w:szCs w:val="20"/>
        </w:rPr>
        <w:t xml:space="preserve">za komunalno odpadno vodo </w:t>
      </w:r>
      <w:r w:rsidR="003D5A8B" w:rsidRPr="00B148B1">
        <w:rPr>
          <w:rFonts w:eastAsiaTheme="minorHAnsi" w:cs="Arial"/>
          <w:color w:val="000000"/>
          <w:szCs w:val="20"/>
        </w:rPr>
        <w:t xml:space="preserve">iz </w:t>
      </w:r>
      <w:r w:rsidR="00D774EB" w:rsidRPr="00B148B1">
        <w:rPr>
          <w:rFonts w:eastAsiaTheme="minorHAnsi" w:cs="Arial"/>
          <w:color w:val="000000"/>
          <w:szCs w:val="20"/>
        </w:rPr>
        <w:t>objekt</w:t>
      </w:r>
      <w:r w:rsidR="003D5A8B" w:rsidRPr="00B148B1">
        <w:rPr>
          <w:rFonts w:eastAsiaTheme="minorHAnsi" w:cs="Arial"/>
          <w:color w:val="000000"/>
          <w:szCs w:val="20"/>
        </w:rPr>
        <w:t>a</w:t>
      </w:r>
      <w:r w:rsidR="00D774EB" w:rsidRPr="00B148B1">
        <w:rPr>
          <w:rFonts w:eastAsiaTheme="minorHAnsi" w:cs="Arial"/>
          <w:color w:val="000000"/>
          <w:szCs w:val="20"/>
        </w:rPr>
        <w:t xml:space="preserve">, zagotoviti priklop na javno kanalizacijsko omrežje najpozneje šest mesecev po začetku obratovanja komunalne čistilne naprave, ki zaključuje to javno kanalizacijsko omrežje, ali najpozneje šest mesecev po pridobiti uporabnega dovoljenja za javno kanalizacijsko omrežje, če je to javno kanalizacijsko omrežje priključeno na komunalno čistilno napravo. </w:t>
      </w:r>
    </w:p>
    <w:p w:rsidR="00AE1099" w:rsidRPr="00B148B1" w:rsidRDefault="00AE1099" w:rsidP="00FC6B71">
      <w:pPr>
        <w:spacing w:line="280" w:lineRule="atLeast"/>
        <w:rPr>
          <w:rFonts w:eastAsiaTheme="minorHAnsi" w:cs="Arial"/>
          <w:color w:val="000000"/>
          <w:szCs w:val="20"/>
        </w:rPr>
      </w:pPr>
    </w:p>
    <w:p w:rsidR="00D774EB" w:rsidRPr="00B148B1" w:rsidRDefault="00D774EB" w:rsidP="00FC6B71">
      <w:pPr>
        <w:spacing w:line="280" w:lineRule="atLeast"/>
      </w:pPr>
      <w:r w:rsidRPr="00B148B1">
        <w:t>Do navedenih prehodnih rokov lahko lastniki obstoječih objektov uporabljajo obstoječo ureditev.</w:t>
      </w:r>
    </w:p>
    <w:p w:rsidR="00D774EB" w:rsidRPr="00B148B1" w:rsidRDefault="00D774EB" w:rsidP="00385BB8">
      <w:pPr>
        <w:pStyle w:val="Naslov3"/>
      </w:pPr>
      <w:bookmarkStart w:id="33" w:name="_Ref444004263"/>
      <w:bookmarkStart w:id="34" w:name="_Toc50628055"/>
      <w:r w:rsidRPr="00B148B1">
        <w:lastRenderedPageBreak/>
        <w:t xml:space="preserve">Zahteve za objekte na območju </w:t>
      </w:r>
      <w:r w:rsidR="008C6D60" w:rsidRPr="00B148B1">
        <w:t xml:space="preserve">zunaj </w:t>
      </w:r>
      <w:r w:rsidRPr="00B148B1">
        <w:t>meja aglomeracij</w:t>
      </w:r>
      <w:bookmarkEnd w:id="33"/>
      <w:bookmarkEnd w:id="34"/>
    </w:p>
    <w:p w:rsidR="00596874" w:rsidRPr="00B148B1" w:rsidRDefault="00596874" w:rsidP="00372DF9">
      <w:pPr>
        <w:rPr>
          <w:rFonts w:eastAsiaTheme="minorHAnsi"/>
        </w:rPr>
      </w:pPr>
      <w:r w:rsidRPr="00B148B1">
        <w:rPr>
          <w:rFonts w:eastAsiaTheme="minorHAnsi"/>
        </w:rPr>
        <w:t xml:space="preserve">Za komunalno odpadno vodo, ki nastaja v objektu </w:t>
      </w:r>
      <w:r w:rsidR="008C6D60" w:rsidRPr="00B148B1">
        <w:rPr>
          <w:rFonts w:eastAsiaTheme="minorHAnsi"/>
        </w:rPr>
        <w:t xml:space="preserve">zunaj </w:t>
      </w:r>
      <w:r w:rsidRPr="00B148B1">
        <w:rPr>
          <w:rFonts w:eastAsiaTheme="minorHAnsi"/>
        </w:rPr>
        <w:t>meja aglomeracije, mora biti pred odvajanjem v vode zagotovljeno čiščenje tako, da parametri onesnaženosti ne presegajo mejnih vrednosti te uredbe, ki veljajo za primerno čiščenje.</w:t>
      </w:r>
    </w:p>
    <w:p w:rsidR="009A3E24" w:rsidRPr="00B148B1" w:rsidRDefault="00D774EB" w:rsidP="00D774EB">
      <w:pPr>
        <w:tabs>
          <w:tab w:val="left" w:pos="9600"/>
        </w:tabs>
        <w:spacing w:before="120" w:line="280" w:lineRule="atLeast"/>
        <w:rPr>
          <w:rFonts w:cs="Arial"/>
          <w:szCs w:val="20"/>
        </w:rPr>
      </w:pPr>
      <w:r w:rsidRPr="00B148B1">
        <w:rPr>
          <w:rFonts w:eastAsiaTheme="minorHAnsi" w:cs="Arial"/>
          <w:color w:val="000000"/>
          <w:szCs w:val="20"/>
        </w:rPr>
        <w:t>Uredba o odvajanju in čiščenju komunalne</w:t>
      </w:r>
      <w:r w:rsidRPr="00B148B1">
        <w:rPr>
          <w:rFonts w:cs="Arial"/>
          <w:szCs w:val="20"/>
        </w:rPr>
        <w:t xml:space="preserve"> odpadne vode določa obveznosti lastnikov objektov na območju </w:t>
      </w:r>
      <w:r w:rsidR="008C6D60" w:rsidRPr="00B148B1">
        <w:rPr>
          <w:rFonts w:cs="Arial"/>
          <w:szCs w:val="20"/>
        </w:rPr>
        <w:t xml:space="preserve">zunaj </w:t>
      </w:r>
      <w:r w:rsidRPr="00B148B1">
        <w:rPr>
          <w:rFonts w:cs="Arial"/>
          <w:szCs w:val="20"/>
        </w:rPr>
        <w:t>meja aglomeracij oziroma na območjih, ki niso opremljena z javno kanalizacijo in opremljanje z javno kanalizacijo tudi ni predpisano. Lastniki objektov morajo zagotoviti</w:t>
      </w:r>
      <w:r w:rsidR="009A3E24" w:rsidRPr="00B148B1">
        <w:rPr>
          <w:rFonts w:cs="Arial"/>
          <w:szCs w:val="20"/>
        </w:rPr>
        <w:t>:</w:t>
      </w:r>
    </w:p>
    <w:p w:rsidR="00F62D6E" w:rsidRPr="00B148B1" w:rsidRDefault="00F62D6E"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odvajanje v javno kanalizacijo</w:t>
      </w:r>
      <w:r w:rsidR="008A4B9E" w:rsidRPr="00B148B1">
        <w:rPr>
          <w:rFonts w:cs="Arial"/>
          <w:szCs w:val="20"/>
        </w:rPr>
        <w:t xml:space="preserve">, če je območje opremljeno z javno kanalizacijo ali odvajanje v javno kanalizacijo </w:t>
      </w:r>
      <w:r w:rsidRPr="00B148B1">
        <w:rPr>
          <w:rFonts w:cs="Arial"/>
          <w:szCs w:val="20"/>
        </w:rPr>
        <w:t>sosednje aglomeracije, če je dolžina kanalizacijskega priključka manjša od 100 m</w:t>
      </w:r>
      <w:r w:rsidR="008A4B9E" w:rsidRPr="00B148B1">
        <w:rPr>
          <w:rFonts w:cs="Arial"/>
          <w:szCs w:val="20"/>
        </w:rPr>
        <w:t xml:space="preserve">, </w:t>
      </w:r>
      <w:r w:rsidR="00F4701C" w:rsidRPr="00B148B1">
        <w:rPr>
          <w:rFonts w:cs="Arial"/>
          <w:szCs w:val="20"/>
        </w:rPr>
        <w:t xml:space="preserve">če </w:t>
      </w:r>
      <w:r w:rsidR="008A4B9E" w:rsidRPr="00B148B1">
        <w:rPr>
          <w:rFonts w:cs="Arial"/>
          <w:szCs w:val="20"/>
        </w:rPr>
        <w:t>je gradnja kanalizacijskega priključka tehnično izvedljiva</w:t>
      </w:r>
      <w:r w:rsidRPr="00B148B1">
        <w:rPr>
          <w:rFonts w:cs="Arial"/>
          <w:szCs w:val="20"/>
        </w:rPr>
        <w:t xml:space="preserve"> in pri tem ne nastanejo nesorazmerno visoki stroški glede na koristi za okolje,</w:t>
      </w:r>
    </w:p>
    <w:p w:rsidR="00F62D6E" w:rsidRPr="00B148B1" w:rsidRDefault="00F62D6E"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čiščenje komunalne odpadne vode v mali komunalni čistilni napravi z zmogljivostjo, manjšo od 50 PE, tako, da parametri onesnaženosti ne presegajo mejnih vrednosti iz Uredbe o odvajanju in čiščenju komunalne odpadne vode, predpisane pri primernem čiščenju, če gre za malo komunalno čistilno napravo, ki ni tipska mala komunalna čistilna naprava, ali</w:t>
      </w:r>
    </w:p>
    <w:p w:rsidR="009A3E24" w:rsidRPr="00B148B1" w:rsidRDefault="00F62D6E"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čiščenje komunalne odpadne vode v tipski mali komunalni čistilni napravi, za katero je iz izjave o lastnostih razvidno, da učinek čiščenja dosega 80 % glede na parameter KPK.</w:t>
      </w:r>
      <w:r w:rsidR="00AC0614" w:rsidRPr="00B148B1">
        <w:rPr>
          <w:rFonts w:cs="Arial"/>
          <w:szCs w:val="20"/>
        </w:rPr>
        <w:t xml:space="preserve"> </w:t>
      </w:r>
    </w:p>
    <w:p w:rsidR="00BB1810" w:rsidRPr="00B148B1" w:rsidRDefault="00BB1810" w:rsidP="00BB1810">
      <w:pPr>
        <w:tabs>
          <w:tab w:val="num" w:pos="360"/>
          <w:tab w:val="left" w:pos="9600"/>
        </w:tabs>
        <w:spacing w:before="120" w:line="280" w:lineRule="atLeast"/>
        <w:rPr>
          <w:rFonts w:cs="Arial"/>
          <w:szCs w:val="20"/>
        </w:rPr>
      </w:pPr>
      <w:r w:rsidRPr="00B148B1">
        <w:rPr>
          <w:rFonts w:cs="Arial"/>
          <w:szCs w:val="20"/>
        </w:rPr>
        <w:t xml:space="preserve">Ne glede na navedeno, lahko lastnik objekta na območju izven meja aglomeracije, če </w:t>
      </w:r>
      <w:r w:rsidR="001F7EE9" w:rsidRPr="00B148B1">
        <w:rPr>
          <w:rFonts w:cs="Arial"/>
          <w:szCs w:val="20"/>
        </w:rPr>
        <w:t>niso izpol</w:t>
      </w:r>
      <w:r w:rsidR="00970D30" w:rsidRPr="00B148B1">
        <w:rPr>
          <w:rFonts w:cs="Arial"/>
          <w:szCs w:val="20"/>
        </w:rPr>
        <w:t>njeni pogoji za odvajanje v javno kanalizacijo</w:t>
      </w:r>
      <w:r w:rsidRPr="00B148B1">
        <w:rPr>
          <w:rFonts w:cs="Arial"/>
          <w:szCs w:val="20"/>
        </w:rPr>
        <w:t>, za komunalno odpadno vodo iz objekta zagotovi čiščenje v mali komunalni čistilni napravi z zmogljivostjo, manjšo od 50 PE, ki je sestavljena iz enote za mehansko čiščenje, ki je gradbeni proizvod v skladu s standardom SIST EN 12566-1 (</w:t>
      </w:r>
      <w:proofErr w:type="spellStart"/>
      <w:r w:rsidRPr="00B148B1">
        <w:rPr>
          <w:rFonts w:cs="Arial"/>
          <w:szCs w:val="20"/>
        </w:rPr>
        <w:t>predizdelana</w:t>
      </w:r>
      <w:proofErr w:type="spellEnd"/>
      <w:r w:rsidRPr="00B148B1">
        <w:rPr>
          <w:rFonts w:cs="Arial"/>
          <w:szCs w:val="20"/>
        </w:rPr>
        <w:t xml:space="preserve"> pretočna greznica), SIST EN 12566-4 (na mestu vgradnje sestavljena pretočna greznica) ali drugim enakovrednim, mednarodno priznanim standardom, iz katere se odpadna voda odvaja prek enote za nadaljnje čiščenje, filtracijo ali infiltracijo, in sicer prek:</w:t>
      </w:r>
    </w:p>
    <w:p w:rsidR="00BB1810" w:rsidRPr="00B148B1" w:rsidRDefault="00BB1810" w:rsidP="004C2581">
      <w:pPr>
        <w:numPr>
          <w:ilvl w:val="0"/>
          <w:numId w:val="6"/>
        </w:numPr>
        <w:tabs>
          <w:tab w:val="num" w:pos="360"/>
          <w:tab w:val="left" w:pos="9600"/>
        </w:tabs>
        <w:spacing w:before="120" w:line="280" w:lineRule="atLeast"/>
        <w:ind w:left="357" w:hanging="357"/>
        <w:rPr>
          <w:rFonts w:cs="Arial"/>
          <w:szCs w:val="20"/>
        </w:rPr>
      </w:pPr>
      <w:proofErr w:type="spellStart"/>
      <w:r w:rsidRPr="00B148B1">
        <w:rPr>
          <w:rFonts w:cs="Arial"/>
          <w:szCs w:val="20"/>
        </w:rPr>
        <w:t>predizdelane</w:t>
      </w:r>
      <w:proofErr w:type="spellEnd"/>
      <w:r w:rsidRPr="00B148B1">
        <w:rPr>
          <w:rFonts w:cs="Arial"/>
          <w:szCs w:val="20"/>
        </w:rPr>
        <w:t xml:space="preserve"> enote za čiščenje komunalne odpadne vode v skladu s standardom SIST EN 12566-6 ali drugim enakovrednim in mednarodno priznanim standardom, če gre za neposredno odvajanje v vodotok ali za posredno odvajanje v podzemno vodo,</w:t>
      </w:r>
    </w:p>
    <w:p w:rsidR="00BB1810" w:rsidRPr="00B148B1" w:rsidRDefault="00BB1810"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 xml:space="preserve">filtrirne naprave za </w:t>
      </w:r>
      <w:proofErr w:type="spellStart"/>
      <w:r w:rsidRPr="00B148B1">
        <w:rPr>
          <w:rFonts w:cs="Arial"/>
          <w:szCs w:val="20"/>
        </w:rPr>
        <w:t>predčiščene</w:t>
      </w:r>
      <w:proofErr w:type="spellEnd"/>
      <w:r w:rsidRPr="00B148B1">
        <w:rPr>
          <w:rFonts w:cs="Arial"/>
          <w:szCs w:val="20"/>
        </w:rPr>
        <w:t xml:space="preserve"> hišne odpadne vode v skladu s standardom SIST-TP CEN/TR 12566-5 ali drugim enakovrednim in mednarodno priznanim standardom, če gre za neposredno odvajanje v vodotok, ali</w:t>
      </w:r>
    </w:p>
    <w:p w:rsidR="00BB1810" w:rsidRPr="00B148B1" w:rsidRDefault="00BB1810"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sistema za infiltracijo v tla v skladu s standardom SIST-TP CEN/TR 12566-2 ali drugim enakovrednim in mednarodno priznanim standardom, če gre za posredno odvajanje v podzemno vodo.</w:t>
      </w:r>
    </w:p>
    <w:p w:rsidR="00BB1810" w:rsidRPr="00B148B1" w:rsidRDefault="00BB1810" w:rsidP="009A3E24">
      <w:pPr>
        <w:tabs>
          <w:tab w:val="num" w:pos="360"/>
          <w:tab w:val="left" w:pos="9600"/>
        </w:tabs>
        <w:spacing w:before="120" w:line="280" w:lineRule="atLeast"/>
        <w:rPr>
          <w:rFonts w:cs="Arial"/>
          <w:szCs w:val="20"/>
        </w:rPr>
      </w:pPr>
      <w:r w:rsidRPr="00B148B1">
        <w:rPr>
          <w:rFonts w:cs="Arial"/>
          <w:szCs w:val="20"/>
        </w:rPr>
        <w:t>Uredba o odvajanju in čiščenju komunalne odpadne vode določa tudi nekatere druge izjemne primere, in sicer lahko:</w:t>
      </w:r>
    </w:p>
    <w:p w:rsidR="00BB1810" w:rsidRPr="00B148B1" w:rsidRDefault="00BB1810"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 xml:space="preserve">lastnik enostanovanjske ali dvostanovanjske stavbe ali stavbe za kratkotrajno nastanitev brez restavracije ali druge gostinske stavbe za kratkotrajno nastanitev (npr. planinska koča, gorsko zavetišče ali dom ali lovska koča), kjer oskrba s pitno vodo iz javnega vodovoda ni zagotovljena, na območju </w:t>
      </w:r>
      <w:r w:rsidR="008C6D60" w:rsidRPr="00B148B1">
        <w:rPr>
          <w:rFonts w:cs="Arial"/>
          <w:szCs w:val="20"/>
        </w:rPr>
        <w:t>zunaj</w:t>
      </w:r>
      <w:r w:rsidRPr="00B148B1">
        <w:rPr>
          <w:rFonts w:cs="Arial"/>
          <w:szCs w:val="20"/>
        </w:rPr>
        <w:t xml:space="preserve"> meja aglomeracije, če ne gre za objekt, za katerega je možna priključitev na javno kanalizacijo, za komunalno odpadno vodo iz te stavbe zagotovi čiščenje v mali komunalni čistilni napravi z zmogljivostjo, manjšo od 50 PE, ki je sestavljena iz enote za mehansko čiščenje (pretočna greznica), iz katere se odpadna voda odvaja prek enote za nadaljnje čiščenje, filtracijo ali infiltracijo v skladu s prejšnjim odstavkom in ki ustreza predpisanim pogojem iz uredbe, ali</w:t>
      </w:r>
    </w:p>
    <w:p w:rsidR="00BB1810" w:rsidRPr="00B148B1" w:rsidRDefault="00BB1810"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lastRenderedPageBreak/>
        <w:t xml:space="preserve">lastnik objekta na območju </w:t>
      </w:r>
      <w:r w:rsidR="008C6D60" w:rsidRPr="00B148B1">
        <w:rPr>
          <w:rFonts w:cs="Arial"/>
          <w:szCs w:val="20"/>
        </w:rPr>
        <w:t>zunaj</w:t>
      </w:r>
      <w:r w:rsidRPr="00B148B1">
        <w:rPr>
          <w:rFonts w:cs="Arial"/>
          <w:szCs w:val="20"/>
        </w:rPr>
        <w:t xml:space="preserve"> meja aglomeracije, ki ni objekt, za katerega je možna priključitev na javno kanalizacijo, in je obremenjevanje okolja zaradi nastajanja komunalne odpadne vode v objektu manjše od 50 PE, za komunalno odpadno vodo iz tega objekta zagotovi zbiranje v nepretočni greznici, če so izpolnjeni pogoji, predpisani v Uredbi o odvajanju in čiščenju komunalne odpadne vode.</w:t>
      </w:r>
    </w:p>
    <w:p w:rsidR="00D774EB" w:rsidRPr="00B148B1" w:rsidRDefault="00D774EB" w:rsidP="009A3E24">
      <w:pPr>
        <w:tabs>
          <w:tab w:val="num" w:pos="360"/>
          <w:tab w:val="left" w:pos="9600"/>
        </w:tabs>
        <w:spacing w:before="120" w:line="280" w:lineRule="atLeast"/>
        <w:rPr>
          <w:rFonts w:cs="Arial"/>
          <w:szCs w:val="20"/>
        </w:rPr>
      </w:pPr>
      <w:r w:rsidRPr="00B148B1">
        <w:rPr>
          <w:rFonts w:cs="Arial"/>
          <w:szCs w:val="20"/>
        </w:rPr>
        <w:t>V primeru novogradenj se zagotavljanje minimalne komunalne oskrbe objekta dokazuje v postopkih v skladu s predpisi, ki urejajo graditev.</w:t>
      </w:r>
    </w:p>
    <w:p w:rsidR="00D774EB" w:rsidRPr="00B148B1" w:rsidRDefault="00D774EB" w:rsidP="00D774EB">
      <w:pPr>
        <w:tabs>
          <w:tab w:val="left" w:pos="9600"/>
        </w:tabs>
        <w:spacing w:before="120" w:line="280" w:lineRule="atLeast"/>
        <w:rPr>
          <w:rFonts w:cs="Arial"/>
          <w:szCs w:val="20"/>
        </w:rPr>
      </w:pPr>
      <w:r w:rsidRPr="00B148B1">
        <w:rPr>
          <w:rFonts w:cs="Arial"/>
          <w:szCs w:val="20"/>
        </w:rPr>
        <w:t xml:space="preserve">Za lastnike obstoječih objektov, </w:t>
      </w:r>
      <w:r w:rsidRPr="00B148B1">
        <w:rPr>
          <w:rFonts w:cs="Arial"/>
        </w:rPr>
        <w:t>za katere je bilo izdano gradbeno dovoljenje v skladu s predpisi, ki urejajo graditev objektov, pred 14. decembrom 2002 ali, ki so bili v uporabi pred tem dnem,</w:t>
      </w:r>
      <w:r w:rsidRPr="00B148B1">
        <w:rPr>
          <w:rFonts w:cs="Arial"/>
          <w:szCs w:val="20"/>
        </w:rPr>
        <w:t xml:space="preserve"> na območju, ki ni opremljeno z javno kanalizacijo in </w:t>
      </w:r>
      <w:r w:rsidR="00790E8C" w:rsidRPr="00B148B1">
        <w:rPr>
          <w:rFonts w:cs="Arial"/>
          <w:szCs w:val="20"/>
        </w:rPr>
        <w:t xml:space="preserve">kjer </w:t>
      </w:r>
      <w:r w:rsidRPr="00B148B1">
        <w:rPr>
          <w:rFonts w:cs="Arial"/>
          <w:szCs w:val="20"/>
        </w:rPr>
        <w:t>opremljanje z javno kanalizacijo tudi ni predpisano, so z Uredbo o odvajanju in čiščenju</w:t>
      </w:r>
      <w:r w:rsidR="008048CB" w:rsidRPr="00B148B1">
        <w:rPr>
          <w:rFonts w:cs="Arial"/>
          <w:szCs w:val="20"/>
        </w:rPr>
        <w:t xml:space="preserve"> komunalne odpadne vode</w:t>
      </w:r>
      <w:r w:rsidRPr="00B148B1">
        <w:rPr>
          <w:rFonts w:cs="Arial"/>
          <w:szCs w:val="20"/>
        </w:rPr>
        <w:t xml:space="preserve"> določeni naslednji prehodni roki za prilagoditev odvajanja in čiščenja komunalne odpadne vode predpisanim zahtevam: </w:t>
      </w:r>
    </w:p>
    <w:p w:rsidR="00D774EB" w:rsidRPr="00B148B1" w:rsidRDefault="00D774EB"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 xml:space="preserve">najpozneje ob prvi rekonstrukciji objekta od </w:t>
      </w:r>
      <w:r w:rsidR="001F7EE9" w:rsidRPr="00B148B1">
        <w:rPr>
          <w:rFonts w:cs="Arial"/>
          <w:szCs w:val="20"/>
        </w:rPr>
        <w:t xml:space="preserve">začetka veljavnosti </w:t>
      </w:r>
      <w:r w:rsidRPr="00B148B1">
        <w:rPr>
          <w:rFonts w:cs="Arial"/>
          <w:szCs w:val="20"/>
        </w:rPr>
        <w:t xml:space="preserve">te uredbe, če je ureditev odvajanja in čiščenja komunalne odpadne vode </w:t>
      </w:r>
      <w:r w:rsidR="0061432C" w:rsidRPr="00B148B1">
        <w:rPr>
          <w:rFonts w:cs="Arial"/>
          <w:szCs w:val="20"/>
        </w:rPr>
        <w:t xml:space="preserve">v </w:t>
      </w:r>
      <w:r w:rsidRPr="00B148B1">
        <w:rPr>
          <w:rFonts w:cs="Arial"/>
          <w:szCs w:val="20"/>
        </w:rPr>
        <w:t>sklad</w:t>
      </w:r>
      <w:r w:rsidR="0061432C" w:rsidRPr="00B148B1">
        <w:rPr>
          <w:rFonts w:cs="Arial"/>
          <w:szCs w:val="20"/>
        </w:rPr>
        <w:t>u</w:t>
      </w:r>
      <w:r w:rsidRPr="00B148B1">
        <w:rPr>
          <w:rFonts w:cs="Arial"/>
          <w:szCs w:val="20"/>
        </w:rPr>
        <w:t xml:space="preserve"> s predpisi, ki so veljali v času gradnje;</w:t>
      </w:r>
    </w:p>
    <w:p w:rsidR="00D774EB" w:rsidRPr="00B148B1" w:rsidRDefault="00D774EB"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najpozneje do 31. decembra 2021, če se komunalna odpadna voda odvaja v okolje brez kakršnega koli čiščen</w:t>
      </w:r>
      <w:r w:rsidR="00112CAB" w:rsidRPr="00B148B1">
        <w:rPr>
          <w:rFonts w:cs="Arial"/>
          <w:szCs w:val="20"/>
        </w:rPr>
        <w:t>j</w:t>
      </w:r>
      <w:r w:rsidRPr="00B148B1">
        <w:rPr>
          <w:rFonts w:cs="Arial"/>
          <w:szCs w:val="20"/>
        </w:rPr>
        <w:t xml:space="preserve">a oziroma obstoječa ureditev odvajanja in čiščenja komunalne odpadne vode ni </w:t>
      </w:r>
      <w:r w:rsidR="007F11F8" w:rsidRPr="00B148B1">
        <w:rPr>
          <w:rFonts w:cs="Arial"/>
          <w:szCs w:val="20"/>
        </w:rPr>
        <w:t xml:space="preserve">v </w:t>
      </w:r>
      <w:r w:rsidRPr="00B148B1">
        <w:rPr>
          <w:rFonts w:cs="Arial"/>
          <w:szCs w:val="20"/>
        </w:rPr>
        <w:t>sklad</w:t>
      </w:r>
      <w:r w:rsidR="007F11F8" w:rsidRPr="00B148B1">
        <w:rPr>
          <w:rFonts w:cs="Arial"/>
          <w:szCs w:val="20"/>
        </w:rPr>
        <w:t>u</w:t>
      </w:r>
      <w:r w:rsidRPr="00B148B1">
        <w:rPr>
          <w:rFonts w:cs="Arial"/>
          <w:szCs w:val="20"/>
        </w:rPr>
        <w:t xml:space="preserve"> s predpisi, ki so veljali v času gradnje;</w:t>
      </w:r>
    </w:p>
    <w:p w:rsidR="00D774EB" w:rsidRPr="00B148B1" w:rsidRDefault="00D774EB"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najpozneje do roka, določenega v pravnomočnem okoljevarstvenem dovoljenju za obratovanje naprave, če gre za industrijsko stavbo na območju naprave</w:t>
      </w:r>
      <w:r w:rsidR="00B37650" w:rsidRPr="00B148B1">
        <w:rPr>
          <w:rFonts w:cs="Arial"/>
          <w:szCs w:val="20"/>
        </w:rPr>
        <w:t>,</w:t>
      </w:r>
      <w:r w:rsidRPr="00B148B1">
        <w:rPr>
          <w:rFonts w:cs="Arial"/>
          <w:szCs w:val="20"/>
        </w:rPr>
        <w:t xml:space="preserve"> in</w:t>
      </w:r>
    </w:p>
    <w:p w:rsidR="00D774EB" w:rsidRPr="00B148B1" w:rsidRDefault="00D774EB"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najpozneje do 31. decembra 2021, če gre za industrijsko stavbo na območju naprave, za katero okoljevarstveno dovoljenje še ni izdano, pridobitev okoljevarstvenega dovoljenja ni predpisana ali v pravnomočnem okoljevarstvenem dovoljenju za obratovanje naprave rok ni predpisan.</w:t>
      </w:r>
    </w:p>
    <w:p w:rsidR="00D774EB" w:rsidRPr="00B148B1" w:rsidRDefault="00D774EB" w:rsidP="00D774EB">
      <w:pPr>
        <w:tabs>
          <w:tab w:val="left" w:pos="9600"/>
        </w:tabs>
        <w:spacing w:before="120" w:line="280" w:lineRule="atLeast"/>
        <w:rPr>
          <w:rFonts w:cs="Arial"/>
          <w:szCs w:val="20"/>
        </w:rPr>
      </w:pPr>
      <w:r w:rsidRPr="00B148B1">
        <w:rPr>
          <w:rFonts w:cs="Arial"/>
          <w:szCs w:val="20"/>
        </w:rPr>
        <w:t xml:space="preserve">Za lastnike obstoječih objektov </w:t>
      </w:r>
      <w:r w:rsidR="008A75E5" w:rsidRPr="00B148B1">
        <w:rPr>
          <w:rFonts w:cs="Arial"/>
          <w:szCs w:val="20"/>
        </w:rPr>
        <w:t>zunaj meja</w:t>
      </w:r>
      <w:r w:rsidRPr="00B148B1">
        <w:rPr>
          <w:rFonts w:cs="Arial"/>
          <w:szCs w:val="20"/>
        </w:rPr>
        <w:t xml:space="preserve"> aglomeracij, </w:t>
      </w:r>
      <w:r w:rsidR="008A75E5" w:rsidRPr="00B148B1">
        <w:rPr>
          <w:rFonts w:cs="Arial"/>
          <w:szCs w:val="20"/>
        </w:rPr>
        <w:t>če so izpolnjeni pogoji za priklop na javno kanalizacijo,</w:t>
      </w:r>
      <w:r w:rsidRPr="00B148B1">
        <w:rPr>
          <w:rFonts w:cs="Arial"/>
          <w:szCs w:val="20"/>
        </w:rPr>
        <w:t xml:space="preserve"> so z Uredbo o odvajanju in čiščenju </w:t>
      </w:r>
      <w:r w:rsidR="004E7EAB">
        <w:rPr>
          <w:rFonts w:cs="Arial"/>
          <w:szCs w:val="20"/>
        </w:rPr>
        <w:t xml:space="preserve">komunalne odpadne vode </w:t>
      </w:r>
      <w:r w:rsidRPr="00B148B1">
        <w:rPr>
          <w:rFonts w:cs="Arial"/>
          <w:szCs w:val="20"/>
        </w:rPr>
        <w:t>določeni prehodni roki za priključitev na javno kanalizacijsko omrežje, in sicer najpozneje šest mesecev po začetku obratovanja komunalne čistilne naprave, ki zaključuje to javno kanalizacijsko omrežje, ali najpozneje šest mesecev po pridobit</w:t>
      </w:r>
      <w:r w:rsidR="008948D3" w:rsidRPr="00B148B1">
        <w:rPr>
          <w:rFonts w:cs="Arial"/>
          <w:szCs w:val="20"/>
        </w:rPr>
        <w:t>v</w:t>
      </w:r>
      <w:r w:rsidRPr="00B148B1">
        <w:rPr>
          <w:rFonts w:cs="Arial"/>
          <w:szCs w:val="20"/>
        </w:rPr>
        <w:t>i uporabnega dovoljenja za javno kanalizacijsko omrežje, če je to javno kanalizacijsko omrežje priključeno na komunalno čistilno napravo.</w:t>
      </w:r>
    </w:p>
    <w:p w:rsidR="00D774EB" w:rsidRPr="00B148B1" w:rsidRDefault="00D774EB" w:rsidP="00D774EB">
      <w:pPr>
        <w:tabs>
          <w:tab w:val="left" w:pos="9600"/>
        </w:tabs>
        <w:spacing w:before="120" w:line="280" w:lineRule="atLeast"/>
        <w:rPr>
          <w:rFonts w:cs="Arial"/>
          <w:szCs w:val="20"/>
        </w:rPr>
      </w:pPr>
      <w:r w:rsidRPr="00B148B1">
        <w:rPr>
          <w:rFonts w:cs="Arial"/>
          <w:szCs w:val="20"/>
        </w:rPr>
        <w:t>Do navedenih rokov lahko lastniki obstoječih objektov za čiščenje komunalne odpadne vode uporabljajo obstoječe pretočne greznice ali komunalno odpadno vodo zbirajo v obstoječi nepretočni greznici</w:t>
      </w:r>
      <w:r w:rsidR="00614C46" w:rsidRPr="00B148B1">
        <w:rPr>
          <w:rFonts w:cs="Arial"/>
          <w:szCs w:val="20"/>
        </w:rPr>
        <w:t xml:space="preserve">, pri čemer mora biti za blato ali komunalno odpadno vodo zagotovljeno ravnanje </w:t>
      </w:r>
      <w:r w:rsidR="00207628" w:rsidRPr="00B148B1">
        <w:rPr>
          <w:rFonts w:cs="Arial"/>
          <w:szCs w:val="20"/>
        </w:rPr>
        <w:t>v skladu z</w:t>
      </w:r>
      <w:r w:rsidR="00614C46" w:rsidRPr="00B148B1">
        <w:rPr>
          <w:rFonts w:cs="Arial"/>
          <w:szCs w:val="20"/>
        </w:rPr>
        <w:t xml:space="preserve"> zahtevami Uredbe o odvajanju in čiščenju komunalne odpadne vode</w:t>
      </w:r>
      <w:r w:rsidR="00BA135B" w:rsidRPr="00B148B1">
        <w:rPr>
          <w:rFonts w:cs="Arial"/>
          <w:szCs w:val="20"/>
        </w:rPr>
        <w:t>.</w:t>
      </w:r>
    </w:p>
    <w:p w:rsidR="003218C1" w:rsidRPr="00B148B1" w:rsidRDefault="003218C1" w:rsidP="00385BB8">
      <w:pPr>
        <w:pStyle w:val="Naslov2"/>
      </w:pPr>
      <w:bookmarkStart w:id="35" w:name="_Toc50628056"/>
      <w:r w:rsidRPr="00B148B1">
        <w:t>Evidence na področju odvajanja in čiščenja komunalne odpadne vode</w:t>
      </w:r>
      <w:bookmarkEnd w:id="35"/>
    </w:p>
    <w:p w:rsidR="003218C1" w:rsidRPr="00B148B1" w:rsidRDefault="003218C1" w:rsidP="003218C1">
      <w:pPr>
        <w:tabs>
          <w:tab w:val="left" w:pos="9600"/>
        </w:tabs>
        <w:spacing w:before="120" w:line="280" w:lineRule="atLeast"/>
        <w:rPr>
          <w:rFonts w:cs="Arial"/>
          <w:szCs w:val="20"/>
        </w:rPr>
      </w:pPr>
      <w:r w:rsidRPr="00B148B1">
        <w:rPr>
          <w:rFonts w:cs="Arial"/>
          <w:szCs w:val="20"/>
        </w:rPr>
        <w:t>Viri za pregled stanja na področju odvajanja in čiščenja komunalne odpadne vode so zbirke podatkov, ki jih v skladu s predpisi na tem področju vodijo MOP, Agencija RS za okolje (ARSO</w:t>
      </w:r>
      <w:r w:rsidR="00A15339" w:rsidRPr="00B148B1">
        <w:rPr>
          <w:rFonts w:cs="Arial"/>
          <w:szCs w:val="20"/>
        </w:rPr>
        <w:t>)</w:t>
      </w:r>
      <w:r w:rsidRPr="00B148B1">
        <w:rPr>
          <w:rFonts w:cs="Arial"/>
          <w:szCs w:val="20"/>
        </w:rPr>
        <w:t xml:space="preserve"> in Geodetska uprava RS (GURS).</w:t>
      </w:r>
    </w:p>
    <w:p w:rsidR="003218C1" w:rsidRPr="00B148B1" w:rsidRDefault="00A91CB7" w:rsidP="003218C1">
      <w:pPr>
        <w:tabs>
          <w:tab w:val="left" w:pos="9600"/>
        </w:tabs>
        <w:spacing w:before="120" w:line="280" w:lineRule="atLeast"/>
        <w:rPr>
          <w:rFonts w:cs="Arial"/>
          <w:szCs w:val="20"/>
        </w:rPr>
      </w:pPr>
      <w:r w:rsidRPr="00B148B1">
        <w:rPr>
          <w:rFonts w:cs="Arial"/>
          <w:szCs w:val="20"/>
        </w:rPr>
        <w:t xml:space="preserve">Za določitev aglomeracij </w:t>
      </w:r>
      <w:r w:rsidR="003218C1" w:rsidRPr="00B148B1">
        <w:rPr>
          <w:rFonts w:cs="Arial"/>
          <w:szCs w:val="20"/>
        </w:rPr>
        <w:t xml:space="preserve">je pomemben vir podatka tudi Centralni register prebivalstva (CRP), ki ga vodi MNZ. </w:t>
      </w:r>
    </w:p>
    <w:p w:rsidR="003218C1" w:rsidRPr="00B148B1" w:rsidRDefault="003218C1" w:rsidP="00385BB8">
      <w:pPr>
        <w:pStyle w:val="Naslov3"/>
      </w:pPr>
      <w:bookmarkStart w:id="36" w:name="_Toc50628057"/>
      <w:r w:rsidRPr="00B148B1">
        <w:t>Zbirke podatkov MOP</w:t>
      </w:r>
      <w:bookmarkEnd w:id="36"/>
    </w:p>
    <w:p w:rsidR="003218C1" w:rsidRPr="00B148B1" w:rsidRDefault="003218C1" w:rsidP="00B530F0">
      <w:pPr>
        <w:tabs>
          <w:tab w:val="left" w:pos="9600"/>
        </w:tabs>
        <w:spacing w:before="120" w:line="280" w:lineRule="atLeast"/>
        <w:rPr>
          <w:rFonts w:cs="Arial"/>
          <w:szCs w:val="20"/>
        </w:rPr>
      </w:pPr>
      <w:r w:rsidRPr="00B148B1">
        <w:rPr>
          <w:rFonts w:cs="Arial"/>
          <w:szCs w:val="20"/>
        </w:rPr>
        <w:t>MOP vodi Informacijski sistem javnih služb varstva okolja (IJSVO)</w:t>
      </w:r>
      <w:r w:rsidR="00654B69" w:rsidRPr="00B148B1">
        <w:rPr>
          <w:rFonts w:cs="Arial"/>
          <w:szCs w:val="20"/>
        </w:rPr>
        <w:t>,</w:t>
      </w:r>
      <w:r w:rsidRPr="00B148B1">
        <w:rPr>
          <w:rFonts w:cs="Arial"/>
          <w:szCs w:val="20"/>
        </w:rPr>
        <w:t xml:space="preserve"> v katere</w:t>
      </w:r>
      <w:r w:rsidR="00654B69" w:rsidRPr="00B148B1">
        <w:rPr>
          <w:rFonts w:cs="Arial"/>
          <w:szCs w:val="20"/>
        </w:rPr>
        <w:t>ga poročajo predpisane podatke občine in izvajalci javne službe. V IJSVO</w:t>
      </w:r>
      <w:r w:rsidRPr="00B148B1">
        <w:rPr>
          <w:rFonts w:cs="Arial"/>
          <w:szCs w:val="20"/>
        </w:rPr>
        <w:t xml:space="preserve"> se </w:t>
      </w:r>
      <w:r w:rsidR="00654B69" w:rsidRPr="00B148B1">
        <w:rPr>
          <w:rFonts w:cs="Arial"/>
          <w:szCs w:val="20"/>
        </w:rPr>
        <w:t xml:space="preserve">tudi </w:t>
      </w:r>
      <w:r w:rsidRPr="00B148B1">
        <w:rPr>
          <w:rFonts w:cs="Arial"/>
          <w:szCs w:val="20"/>
        </w:rPr>
        <w:t xml:space="preserve">vodi evidenca izvajalcev obveznih občinskih </w:t>
      </w:r>
      <w:r w:rsidRPr="00B148B1">
        <w:rPr>
          <w:rFonts w:cs="Arial"/>
          <w:szCs w:val="20"/>
        </w:rPr>
        <w:lastRenderedPageBreak/>
        <w:t xml:space="preserve">gospodarskih javnih služb varstva okolja, med njimi izvajalcev obvezne občinske gospodarske javne službe odvajanja in čiščenja komunalne in padavinske odpadne vode (v nadaljnjem besedilu: izvajalec javne službe). V tej evidenci se vodi podatke o izvajalcih javne službe po posameznih občinah (firma in sedež), obliki zagotavljanja javne službe v skladu z zakonom, ki ureja gospodarske javne službe, za posameznega izvajalca javne službe, </w:t>
      </w:r>
      <w:r w:rsidR="00B50263" w:rsidRPr="00B148B1">
        <w:rPr>
          <w:rFonts w:cs="Arial"/>
          <w:szCs w:val="20"/>
        </w:rPr>
        <w:t xml:space="preserve">po </w:t>
      </w:r>
      <w:r w:rsidRPr="00B148B1">
        <w:rPr>
          <w:rFonts w:cs="Arial"/>
          <w:szCs w:val="20"/>
        </w:rPr>
        <w:t>območjih, za kater</w:t>
      </w:r>
      <w:r w:rsidR="00B50263" w:rsidRPr="00B148B1">
        <w:rPr>
          <w:rFonts w:cs="Arial"/>
          <w:szCs w:val="20"/>
        </w:rPr>
        <w:t>a</w:t>
      </w:r>
      <w:r w:rsidRPr="00B148B1">
        <w:rPr>
          <w:rFonts w:cs="Arial"/>
          <w:szCs w:val="20"/>
        </w:rPr>
        <w:t xml:space="preserve"> posamezni izvajalec javne službe izvaja predpisane storitve, in </w:t>
      </w:r>
      <w:r w:rsidR="00B50263" w:rsidRPr="00B148B1">
        <w:rPr>
          <w:rFonts w:cs="Arial"/>
          <w:szCs w:val="20"/>
        </w:rPr>
        <w:t xml:space="preserve">po </w:t>
      </w:r>
      <w:r w:rsidRPr="00B148B1">
        <w:rPr>
          <w:rFonts w:cs="Arial"/>
          <w:szCs w:val="20"/>
        </w:rPr>
        <w:t xml:space="preserve">občinskih predpisih, ki urejajo izvajanje javne službe. Evidenca vsebuje tudi podatke o objektih in napravah, namenjenih </w:t>
      </w:r>
      <w:r w:rsidR="006C6951" w:rsidRPr="00B148B1">
        <w:rPr>
          <w:rFonts w:cs="Arial"/>
          <w:szCs w:val="20"/>
        </w:rPr>
        <w:t xml:space="preserve">za </w:t>
      </w:r>
      <w:r w:rsidRPr="00B148B1">
        <w:rPr>
          <w:rFonts w:cs="Arial"/>
          <w:szCs w:val="20"/>
        </w:rPr>
        <w:t>izvajanj</w:t>
      </w:r>
      <w:r w:rsidR="006C6951" w:rsidRPr="00B148B1">
        <w:rPr>
          <w:rFonts w:cs="Arial"/>
          <w:szCs w:val="20"/>
        </w:rPr>
        <w:t>e</w:t>
      </w:r>
      <w:r w:rsidRPr="00B148B1">
        <w:rPr>
          <w:rFonts w:cs="Arial"/>
          <w:szCs w:val="20"/>
        </w:rPr>
        <w:t xml:space="preserve"> javne službe.</w:t>
      </w:r>
    </w:p>
    <w:p w:rsidR="00510E0A" w:rsidRPr="00B148B1" w:rsidRDefault="00510E0A" w:rsidP="00510E0A">
      <w:pPr>
        <w:spacing w:line="280" w:lineRule="atLeast"/>
      </w:pPr>
    </w:p>
    <w:p w:rsidR="00ED301B" w:rsidRPr="00B148B1" w:rsidRDefault="003218C1" w:rsidP="00510E0A">
      <w:pPr>
        <w:spacing w:line="280" w:lineRule="atLeast"/>
      </w:pPr>
      <w:r w:rsidRPr="00B148B1">
        <w:t xml:space="preserve">Podatke, ki se zbirajo v IJSVO, sporočajo občine in izvajalci javne službe. Poročevalska obveznost je predpisana v Uredbi o odvajanju in čiščenju komunalne odpadne vode. Občine </w:t>
      </w:r>
      <w:r w:rsidR="00654B69" w:rsidRPr="00B148B1">
        <w:t xml:space="preserve">in izvajalci javne službe </w:t>
      </w:r>
      <w:r w:rsidRPr="00B148B1">
        <w:t xml:space="preserve">morajo podatke </w:t>
      </w:r>
      <w:r w:rsidR="00B50263" w:rsidRPr="00B148B1">
        <w:t xml:space="preserve">poslati </w:t>
      </w:r>
      <w:r w:rsidRPr="00B148B1">
        <w:t>na MOP p</w:t>
      </w:r>
      <w:r w:rsidR="00B50263" w:rsidRPr="00B148B1">
        <w:t>o</w:t>
      </w:r>
      <w:r w:rsidRPr="00B148B1">
        <w:t xml:space="preserve"> IJSVO letno do </w:t>
      </w:r>
      <w:r w:rsidR="00654B69" w:rsidRPr="00B148B1">
        <w:t>31</w:t>
      </w:r>
      <w:r w:rsidRPr="00B148B1">
        <w:t xml:space="preserve">. </w:t>
      </w:r>
      <w:r w:rsidR="00654B69" w:rsidRPr="00B148B1">
        <w:t xml:space="preserve">marca </w:t>
      </w:r>
      <w:r w:rsidRPr="00B148B1">
        <w:t>za preteklo koledarsko leto</w:t>
      </w:r>
      <w:r w:rsidR="009D1557" w:rsidRPr="00B148B1">
        <w:t>.</w:t>
      </w:r>
      <w:r w:rsidRPr="00B148B1">
        <w:t xml:space="preserve"> </w:t>
      </w:r>
      <w:r w:rsidR="00654B69" w:rsidRPr="00B148B1">
        <w:t xml:space="preserve">V IJSVO se zbirajo tudi podatki o cenah storitev javne službe, </w:t>
      </w:r>
      <w:r w:rsidR="00677A91" w:rsidRPr="00B148B1">
        <w:t>ter elaborati cen, kot to izhaja iz predpisa, ki ureja metodologijo cen storitev občinskih gospodarskih javnih služb varstva okolja.</w:t>
      </w:r>
      <w:r w:rsidR="00E80E3B" w:rsidRPr="00B148B1">
        <w:t xml:space="preserve"> </w:t>
      </w:r>
      <w:r w:rsidRPr="00B148B1">
        <w:t xml:space="preserve">Registracijo izvajalcev javnih služb </w:t>
      </w:r>
      <w:r w:rsidR="00B50263" w:rsidRPr="00B148B1">
        <w:t xml:space="preserve">ali osveževanje teh podatkov </w:t>
      </w:r>
      <w:r w:rsidRPr="00B148B1">
        <w:t>m</w:t>
      </w:r>
      <w:r w:rsidR="00920330" w:rsidRPr="00B148B1">
        <w:t>orajo občine zagotoviti v treh mesecih</w:t>
      </w:r>
      <w:r w:rsidRPr="00B148B1">
        <w:t xml:space="preserve"> </w:t>
      </w:r>
      <w:r w:rsidR="00920330" w:rsidRPr="00B148B1">
        <w:t>po določitvi</w:t>
      </w:r>
      <w:r w:rsidRPr="00B148B1">
        <w:t xml:space="preserve"> izvajalca javne službe </w:t>
      </w:r>
      <w:r w:rsidR="00920330" w:rsidRPr="00B148B1">
        <w:t>in tudi</w:t>
      </w:r>
      <w:r w:rsidRPr="00B148B1">
        <w:t xml:space="preserve"> morebitne spremembe v zvezi s tem.</w:t>
      </w:r>
    </w:p>
    <w:p w:rsidR="009D1557" w:rsidRPr="00B148B1" w:rsidRDefault="009D1557" w:rsidP="00ED301B"/>
    <w:p w:rsidR="00B530F0" w:rsidRPr="00B148B1" w:rsidRDefault="003218C1" w:rsidP="00510E0A">
      <w:pPr>
        <w:spacing w:line="280" w:lineRule="atLeast"/>
        <w:rPr>
          <w:rFonts w:cs="Arial"/>
          <w:szCs w:val="20"/>
        </w:rPr>
      </w:pPr>
      <w:r w:rsidRPr="00B148B1">
        <w:t xml:space="preserve">IJSVO je dostopen na spletni strani: </w:t>
      </w:r>
      <w:hyperlink r:id="rId15" w:history="1">
        <w:r w:rsidRPr="00B148B1">
          <w:t>http://www.ijsvo.si/</w:t>
        </w:r>
      </w:hyperlink>
      <w:r w:rsidR="009C3586" w:rsidRPr="00B148B1">
        <w:t>, vendar</w:t>
      </w:r>
      <w:r w:rsidRPr="00B148B1">
        <w:t xml:space="preserve"> sam IJSVO ali posamezni podatki iz IJSVO niso javno dostopni. Dostop do podatkov iz IJSVO je zagotovljen z dodelitvijo </w:t>
      </w:r>
      <w:r w:rsidR="00B530F0" w:rsidRPr="00B148B1">
        <w:t xml:space="preserve">uporabniškega imena in gesla </w:t>
      </w:r>
      <w:r w:rsidR="009C3586" w:rsidRPr="00B148B1">
        <w:t>ključnim deležnikom (</w:t>
      </w:r>
      <w:r w:rsidRPr="00B148B1">
        <w:t>npr. občinam, izvajalcem javne službe, notranjim organizacijskim enotam MOP, organom v sestavi MOP, ali drugi</w:t>
      </w:r>
      <w:r w:rsidR="009C3586" w:rsidRPr="00B148B1">
        <w:t>m ustanovam</w:t>
      </w:r>
      <w:r w:rsidRPr="00B148B1">
        <w:t>, katerih naloge oziroma pristojnosti se nanašajo</w:t>
      </w:r>
      <w:r w:rsidRPr="00B148B1">
        <w:rPr>
          <w:rFonts w:cs="Arial"/>
          <w:szCs w:val="20"/>
        </w:rPr>
        <w:t xml:space="preserve"> na področje odvajanja in čiščenja komunalne odpadne vode).</w:t>
      </w:r>
      <w:r w:rsidR="0086369B" w:rsidRPr="00B148B1">
        <w:rPr>
          <w:rFonts w:cs="Arial"/>
          <w:szCs w:val="20"/>
        </w:rPr>
        <w:t xml:space="preserve"> </w:t>
      </w:r>
      <w:r w:rsidR="00207628" w:rsidRPr="00B148B1">
        <w:rPr>
          <w:rFonts w:cs="Arial"/>
          <w:szCs w:val="20"/>
        </w:rPr>
        <w:t>V skladu z</w:t>
      </w:r>
      <w:r w:rsidR="0086369B" w:rsidRPr="00B148B1">
        <w:rPr>
          <w:rFonts w:cs="Arial"/>
          <w:szCs w:val="20"/>
        </w:rPr>
        <w:t xml:space="preserve"> zakonom</w:t>
      </w:r>
      <w:r w:rsidR="00854CE8" w:rsidRPr="00B148B1">
        <w:rPr>
          <w:rFonts w:cs="Arial"/>
          <w:szCs w:val="20"/>
        </w:rPr>
        <w:t>, ki ureja varstvo okolja,</w:t>
      </w:r>
      <w:r w:rsidR="0086369B" w:rsidRPr="00B148B1">
        <w:rPr>
          <w:rFonts w:cs="Arial"/>
          <w:szCs w:val="20"/>
        </w:rPr>
        <w:t xml:space="preserve"> je javno dostopna evidenca izvajalcev posamezne javne službe za določeno občino</w:t>
      </w:r>
      <w:r w:rsidR="006C1481" w:rsidRPr="00B148B1">
        <w:rPr>
          <w:rFonts w:cs="Arial"/>
          <w:szCs w:val="20"/>
        </w:rPr>
        <w:t>.</w:t>
      </w:r>
      <w:r w:rsidR="0086369B" w:rsidRPr="00B148B1">
        <w:rPr>
          <w:rFonts w:cs="Arial"/>
          <w:szCs w:val="20"/>
        </w:rPr>
        <w:t xml:space="preserve"> </w:t>
      </w:r>
    </w:p>
    <w:p w:rsidR="003218C1" w:rsidRPr="00B148B1" w:rsidRDefault="003218C1" w:rsidP="00385BB8">
      <w:pPr>
        <w:pStyle w:val="Naslov3"/>
      </w:pPr>
      <w:bookmarkStart w:id="37" w:name="_Toc50628058"/>
      <w:r w:rsidRPr="00B148B1">
        <w:t>Zbirke podatkov ARSO</w:t>
      </w:r>
      <w:bookmarkEnd w:id="37"/>
    </w:p>
    <w:p w:rsidR="003218C1" w:rsidRPr="00B148B1" w:rsidRDefault="003218C1" w:rsidP="003218C1">
      <w:pPr>
        <w:tabs>
          <w:tab w:val="left" w:pos="9600"/>
        </w:tabs>
        <w:spacing w:before="120" w:line="280" w:lineRule="atLeast"/>
        <w:rPr>
          <w:rFonts w:cs="Arial"/>
          <w:szCs w:val="20"/>
        </w:rPr>
      </w:pPr>
      <w:r w:rsidRPr="00B148B1">
        <w:rPr>
          <w:rFonts w:cs="Arial"/>
          <w:szCs w:val="20"/>
        </w:rPr>
        <w:t>ARSO vodi naslednje zbirke podatkov, ki se nanašajo na odvajanje in čiščenja komunalnih odpadnih voda:</w:t>
      </w:r>
    </w:p>
    <w:p w:rsidR="003218C1" w:rsidRPr="00B148B1" w:rsidRDefault="003218C1"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 xml:space="preserve">zbirka podatkov o komunalnih in skupnih čistilnih napravah, ki vključuje podatke o čistilnih napravah in podatke o emisijah snovi v vode pri odvajanju odpadnih voda iz komunalnih oziroma skupnih čistilnih naprav (rezultati obratovalnih </w:t>
      </w:r>
      <w:proofErr w:type="spellStart"/>
      <w:r w:rsidRPr="00B148B1">
        <w:rPr>
          <w:rFonts w:cs="Arial"/>
          <w:szCs w:val="20"/>
        </w:rPr>
        <w:t>monitoringov</w:t>
      </w:r>
      <w:proofErr w:type="spellEnd"/>
      <w:r w:rsidRPr="00B148B1">
        <w:rPr>
          <w:rFonts w:cs="Arial"/>
          <w:szCs w:val="20"/>
        </w:rPr>
        <w:t xml:space="preserve"> odpadnih voda, ki jih zagotavljajo upravljavci komunalnih in skupnih čistilnih naprav),</w:t>
      </w:r>
    </w:p>
    <w:p w:rsidR="003218C1" w:rsidRPr="00B148B1" w:rsidRDefault="003218C1"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zbirka podatkov o veljavnih predpisih, ki se nanašajo na področje odvajanja in čiščenja odpadnih voda in</w:t>
      </w:r>
    </w:p>
    <w:p w:rsidR="003218C1" w:rsidRPr="00B148B1" w:rsidRDefault="003218C1"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zbirka podatkov o izdanih okoljevarstvenih dovoljenjih za obratovanje naprav, ki odvajajo odpadne vode v vode ali javno kanalizacijo, in</w:t>
      </w:r>
    </w:p>
    <w:p w:rsidR="003218C1" w:rsidRPr="00B148B1" w:rsidRDefault="003218C1"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 xml:space="preserve">zbirka podatkov o pooblaščenih izvajalcih obratovalnega </w:t>
      </w:r>
      <w:proofErr w:type="spellStart"/>
      <w:r w:rsidRPr="00B148B1">
        <w:rPr>
          <w:rFonts w:cs="Arial"/>
          <w:szCs w:val="20"/>
        </w:rPr>
        <w:t>monitoringa</w:t>
      </w:r>
      <w:proofErr w:type="spellEnd"/>
      <w:r w:rsidRPr="00B148B1">
        <w:rPr>
          <w:rFonts w:cs="Arial"/>
          <w:szCs w:val="20"/>
        </w:rPr>
        <w:t xml:space="preserve"> odpadnih voda.</w:t>
      </w:r>
    </w:p>
    <w:p w:rsidR="009D3A88" w:rsidRDefault="009D3A88" w:rsidP="003218C1">
      <w:pPr>
        <w:tabs>
          <w:tab w:val="left" w:pos="9600"/>
        </w:tabs>
        <w:spacing w:before="120" w:line="280" w:lineRule="atLeast"/>
        <w:rPr>
          <w:rFonts w:cs="Arial"/>
          <w:szCs w:val="20"/>
        </w:rPr>
      </w:pPr>
    </w:p>
    <w:p w:rsidR="003218C1" w:rsidRPr="00B148B1" w:rsidRDefault="003218C1" w:rsidP="003218C1">
      <w:pPr>
        <w:tabs>
          <w:tab w:val="left" w:pos="9600"/>
        </w:tabs>
        <w:spacing w:before="120" w:line="280" w:lineRule="atLeast"/>
        <w:rPr>
          <w:rFonts w:cs="Arial"/>
          <w:szCs w:val="20"/>
        </w:rPr>
      </w:pPr>
      <w:r w:rsidRPr="00B148B1">
        <w:rPr>
          <w:rFonts w:cs="Arial"/>
          <w:szCs w:val="20"/>
        </w:rPr>
        <w:t xml:space="preserve">Vnos podatkov v zbirko podatkov o komunalnih in skupnih čistilnih napravah zagotavlja ARSO, podatki pa izhajajo iz letnih poročil zavezancev za izvajanje obratovalnega </w:t>
      </w:r>
      <w:proofErr w:type="spellStart"/>
      <w:r w:rsidRPr="00B148B1">
        <w:rPr>
          <w:rFonts w:cs="Arial"/>
          <w:szCs w:val="20"/>
        </w:rPr>
        <w:t>monitoringa</w:t>
      </w:r>
      <w:proofErr w:type="spellEnd"/>
      <w:r w:rsidRPr="00B148B1">
        <w:rPr>
          <w:rFonts w:cs="Arial"/>
          <w:szCs w:val="20"/>
        </w:rPr>
        <w:t xml:space="preserve"> odpadnih voda, torej upravljavcev komunalnih in skupnih čistilnih naprav, za katere je pri obratovanju naprave predpisana obveznost izvajanja obratovalnega </w:t>
      </w:r>
      <w:proofErr w:type="spellStart"/>
      <w:r w:rsidRPr="00B148B1">
        <w:rPr>
          <w:rFonts w:cs="Arial"/>
          <w:szCs w:val="20"/>
        </w:rPr>
        <w:t>monitoringa</w:t>
      </w:r>
      <w:proofErr w:type="spellEnd"/>
      <w:r w:rsidRPr="00B148B1">
        <w:rPr>
          <w:rFonts w:cs="Arial"/>
          <w:szCs w:val="20"/>
        </w:rPr>
        <w:t xml:space="preserve"> odpadnih voda. Zavezanci za izvajanje obratovalnega </w:t>
      </w:r>
      <w:proofErr w:type="spellStart"/>
      <w:r w:rsidRPr="00B148B1">
        <w:rPr>
          <w:rFonts w:cs="Arial"/>
          <w:szCs w:val="20"/>
        </w:rPr>
        <w:t>monitoringa</w:t>
      </w:r>
      <w:proofErr w:type="spellEnd"/>
      <w:r w:rsidRPr="00B148B1">
        <w:rPr>
          <w:rFonts w:cs="Arial"/>
          <w:szCs w:val="20"/>
        </w:rPr>
        <w:t xml:space="preserve"> vsako leto najpozneje do 31. marca poročajo o rezultatih obratovalnega </w:t>
      </w:r>
      <w:proofErr w:type="spellStart"/>
      <w:r w:rsidRPr="00B148B1">
        <w:rPr>
          <w:rFonts w:cs="Arial"/>
          <w:szCs w:val="20"/>
        </w:rPr>
        <w:t>monitoringa</w:t>
      </w:r>
      <w:proofErr w:type="spellEnd"/>
      <w:r w:rsidRPr="00B148B1">
        <w:rPr>
          <w:rFonts w:cs="Arial"/>
          <w:szCs w:val="20"/>
        </w:rPr>
        <w:t xml:space="preserve"> odpadnih voda v preteklem koledarskem letu. V okviru ARSO se izvede kontrola posredovanih poročil, preveri se tako skladnosti zapisov v poročilu, kot tudi pravilnost izračunov v samem poročilu. Po potrditvi poročila oziroma odpravi morebitnih nepravilnosti s strani zavezanca podatke iz poročil ARSO vnese v zbirko podatkov o komunalnih in skupnih čistilnih napravah.</w:t>
      </w:r>
    </w:p>
    <w:p w:rsidR="003218C1" w:rsidRPr="00B148B1" w:rsidRDefault="003218C1" w:rsidP="003218C1">
      <w:pPr>
        <w:tabs>
          <w:tab w:val="left" w:pos="9600"/>
        </w:tabs>
        <w:spacing w:before="120" w:line="280" w:lineRule="atLeast"/>
        <w:rPr>
          <w:rFonts w:cs="Arial"/>
          <w:szCs w:val="20"/>
        </w:rPr>
      </w:pPr>
      <w:r w:rsidRPr="00B148B1">
        <w:rPr>
          <w:rFonts w:cs="Arial"/>
          <w:szCs w:val="20"/>
        </w:rPr>
        <w:lastRenderedPageBreak/>
        <w:t>Poleg zbirk podatkov na področju emisij snovi v vode pri odvajanju odpadnih voda ARSO vodi tudi druge zbirke podatkov, ki se smiselno navezujejo na problematiko odvajanja in čiščenja komunalnih odpadnih voda ali pa predstavljajo ključne vire podatkov za ugotavljanje učinkovitosti ukrepov na področju odvajanja in čiščenja komunalne odpadne vode, kot izhajajo iz Direktive 91/271/EGS ali nacionalne zakonodaje. Med pomembnejše sodi zbirka podatkov o kakovosti voda v Republiki Sloveniji (</w:t>
      </w:r>
      <w:proofErr w:type="spellStart"/>
      <w:r w:rsidRPr="00B148B1">
        <w:rPr>
          <w:rFonts w:cs="Arial"/>
          <w:szCs w:val="20"/>
        </w:rPr>
        <w:t>EKOVode</w:t>
      </w:r>
      <w:proofErr w:type="spellEnd"/>
      <w:r w:rsidRPr="00B148B1">
        <w:rPr>
          <w:rFonts w:cs="Arial"/>
          <w:szCs w:val="20"/>
        </w:rPr>
        <w:t>).</w:t>
      </w:r>
    </w:p>
    <w:p w:rsidR="003218C1" w:rsidRPr="00B148B1" w:rsidRDefault="003218C1" w:rsidP="00385BB8">
      <w:pPr>
        <w:pStyle w:val="Naslov3"/>
      </w:pPr>
      <w:bookmarkStart w:id="38" w:name="_Toc50628059"/>
      <w:r w:rsidRPr="00B148B1">
        <w:t>Zbirke podatkov GURS</w:t>
      </w:r>
      <w:bookmarkEnd w:id="38"/>
    </w:p>
    <w:p w:rsidR="003218C1" w:rsidRPr="00B148B1" w:rsidRDefault="003218C1" w:rsidP="003218C1">
      <w:pPr>
        <w:tabs>
          <w:tab w:val="left" w:pos="9600"/>
        </w:tabs>
        <w:spacing w:before="120" w:line="280" w:lineRule="atLeast"/>
        <w:rPr>
          <w:rFonts w:cs="Arial"/>
          <w:szCs w:val="20"/>
        </w:rPr>
      </w:pPr>
      <w:r w:rsidRPr="00B148B1">
        <w:rPr>
          <w:rFonts w:cs="Arial"/>
          <w:szCs w:val="20"/>
        </w:rPr>
        <w:t xml:space="preserve">GURS vodi in zagotavlja pogoje za delovanje zbirnega katastra gospodarske javne infrastrukture (ZK GJI), katastra stavb (KS), registra prostorskih enot (RPE) ter registra nepremičnin (REN). </w:t>
      </w:r>
    </w:p>
    <w:p w:rsidR="003218C1" w:rsidRPr="00B148B1" w:rsidRDefault="003218C1" w:rsidP="003218C1">
      <w:pPr>
        <w:tabs>
          <w:tab w:val="left" w:pos="9600"/>
        </w:tabs>
        <w:spacing w:before="120" w:line="280" w:lineRule="atLeast"/>
        <w:rPr>
          <w:rFonts w:cs="Arial"/>
          <w:szCs w:val="20"/>
        </w:rPr>
      </w:pPr>
      <w:r w:rsidRPr="00B148B1">
        <w:rPr>
          <w:rFonts w:cs="Arial"/>
          <w:szCs w:val="20"/>
        </w:rPr>
        <w:t xml:space="preserve">ZK GJI predstavlja temeljno nepremičninsko evidenco v Sloveniji, v kateri se evidentirajo objekti gospodarske javne infrastrukture. Med objekti javne komunalne infrastrukture se evidentirajo podatki o kanalizaciji (javnih kanalizacijskih omrežjih in komunalnih ter skupnih čistilnih napravah, ki so javna infrastruktura lokalnega pomena). Vnos podatkov v ZK GJI zagotavlja GURS, podatki pa izhajajo iz poročil o izgradnji gospodarske javne infrastrukture, ki so jih dolžni posredovati lastniki objektov javne infrastrukture. Lastniki objektov podatke sporočajo v obliki elaborata, ki se na GURS preveri, podatki pa vnesejo v informacijski sistem. Potrjena verzija elaborata se po elektronski poti posreduje tudi lastniku objekta - poročevalcu. Lastniki objektov morajo skladno s predpisi zagotoviti podatke o vrsti in tipu objekta gospodarske javne infrastrukture ter njegovi lokaciji. </w:t>
      </w:r>
    </w:p>
    <w:p w:rsidR="003218C1" w:rsidRPr="00B148B1" w:rsidRDefault="003218C1" w:rsidP="003218C1">
      <w:pPr>
        <w:tabs>
          <w:tab w:val="left" w:pos="9600"/>
        </w:tabs>
        <w:spacing w:before="120" w:line="280" w:lineRule="atLeast"/>
        <w:rPr>
          <w:rFonts w:cs="Arial"/>
          <w:szCs w:val="20"/>
        </w:rPr>
      </w:pPr>
      <w:r w:rsidRPr="00B148B1">
        <w:rPr>
          <w:rFonts w:cs="Arial"/>
          <w:szCs w:val="20"/>
        </w:rPr>
        <w:t>KS predstavlja temeljno evidenco podatkov o stavbah v Sloveniji in se povezuje z zemljiškim katastrom in zemljiško knjigo. V katastru stavb se evidentirajo podrobni podatki o stavbah in delih stavb.</w:t>
      </w:r>
    </w:p>
    <w:p w:rsidR="003218C1" w:rsidRPr="00B148B1" w:rsidRDefault="003218C1" w:rsidP="003218C1">
      <w:pPr>
        <w:tabs>
          <w:tab w:val="left" w:pos="9600"/>
        </w:tabs>
        <w:spacing w:before="120" w:line="280" w:lineRule="atLeast"/>
        <w:rPr>
          <w:rFonts w:cs="Arial"/>
          <w:szCs w:val="20"/>
        </w:rPr>
      </w:pPr>
      <w:r w:rsidRPr="00B148B1">
        <w:rPr>
          <w:rFonts w:cs="Arial"/>
          <w:szCs w:val="20"/>
        </w:rPr>
        <w:t xml:space="preserve">RPE predstavlja integrirano zbirko podatkov z lokacijskimi in opisnimi podatki o prostorskih enotah. V registru prostorskih enot so evidentirane hišne številke, zagotovljena pa je tudi povezava s katastrom stavb. Za določitev aglomeracij so zlasti pomembne naslednje prostorske enote: hišna številka, naselje in občina. </w:t>
      </w:r>
    </w:p>
    <w:p w:rsidR="003218C1" w:rsidRPr="00B148B1" w:rsidRDefault="003218C1" w:rsidP="003218C1">
      <w:pPr>
        <w:tabs>
          <w:tab w:val="left" w:pos="9600"/>
        </w:tabs>
        <w:spacing w:before="120" w:line="280" w:lineRule="atLeast"/>
        <w:rPr>
          <w:rFonts w:cs="Arial"/>
          <w:szCs w:val="20"/>
        </w:rPr>
      </w:pPr>
      <w:r w:rsidRPr="00B148B1">
        <w:rPr>
          <w:rFonts w:cs="Arial"/>
          <w:szCs w:val="20"/>
        </w:rPr>
        <w:t>REN predstavlja javno zbirko podatkov o nepremičninah, ki na enem mestu evidentira dejanske podatke o vseh nepremičninah. Nepremičnina, ki se vodi v REN, je lahko samostojno zemljišče (parcela), zemljišče s pripadajočimi sestavinami (npr. parcela z enodružinsko hišo), stavba (npr. stavba s stavbno pravico) ali del stavbe (npr. stanovanje). Vsi deli ene nepremičnine (zemljišča in deli stavb) imajo enako lastništvo. Register vsebuje tudi podatek o tem</w:t>
      </w:r>
      <w:r w:rsidR="00DD64BD" w:rsidRPr="00B148B1">
        <w:rPr>
          <w:rFonts w:cs="Arial"/>
          <w:szCs w:val="20"/>
        </w:rPr>
        <w:t>,</w:t>
      </w:r>
      <w:r w:rsidRPr="00B148B1">
        <w:rPr>
          <w:rFonts w:cs="Arial"/>
          <w:szCs w:val="20"/>
        </w:rPr>
        <w:t xml:space="preserve"> ali ima stavba kanalizacijo.</w:t>
      </w:r>
    </w:p>
    <w:p w:rsidR="00D774EB" w:rsidRPr="00B148B1" w:rsidRDefault="00D774EB" w:rsidP="00385BB8">
      <w:pPr>
        <w:pStyle w:val="Naslov2"/>
      </w:pPr>
      <w:bookmarkStart w:id="39" w:name="_Toc50628060"/>
      <w:r w:rsidRPr="00B148B1">
        <w:t>Celovita presoja vplivov na okolje</w:t>
      </w:r>
      <w:bookmarkEnd w:id="39"/>
    </w:p>
    <w:p w:rsidR="00D774EB" w:rsidRPr="00B148B1" w:rsidRDefault="004A36A5" w:rsidP="00D774EB">
      <w:pPr>
        <w:tabs>
          <w:tab w:val="left" w:pos="9600"/>
        </w:tabs>
        <w:spacing w:before="120" w:line="280" w:lineRule="atLeast"/>
        <w:rPr>
          <w:rFonts w:cs="Arial"/>
          <w:szCs w:val="20"/>
        </w:rPr>
      </w:pPr>
      <w:r w:rsidRPr="00B148B1">
        <w:rPr>
          <w:rFonts w:cs="Arial"/>
          <w:szCs w:val="20"/>
        </w:rPr>
        <w:t>MOP</w:t>
      </w:r>
      <w:r w:rsidR="00D774EB" w:rsidRPr="00B148B1">
        <w:rPr>
          <w:rFonts w:cs="Arial"/>
          <w:szCs w:val="20"/>
        </w:rPr>
        <w:t xml:space="preserve"> je v zvezi s tem operativnim programom na podlagi </w:t>
      </w:r>
      <w:proofErr w:type="spellStart"/>
      <w:r w:rsidR="00D774EB" w:rsidRPr="00B148B1">
        <w:rPr>
          <w:rFonts w:cs="Arial"/>
          <w:szCs w:val="20"/>
        </w:rPr>
        <w:t>38.a</w:t>
      </w:r>
      <w:proofErr w:type="spellEnd"/>
      <w:r w:rsidR="00D774EB" w:rsidRPr="00B148B1">
        <w:rPr>
          <w:rFonts w:cs="Arial"/>
          <w:szCs w:val="20"/>
        </w:rPr>
        <w:t xml:space="preserve"> člena Zakona o državni upravi (Uradni list RS, št 113/05 – ZDU-1-UPB4, 126/07 – ZUP-E, 48/09, 8/10 – ZUP-G, 8/12 – ZVRS-F, 21/12, 47/13, 12/14</w:t>
      </w:r>
      <w:r w:rsidR="00D215B8" w:rsidRPr="00B148B1">
        <w:rPr>
          <w:rFonts w:cs="Arial"/>
          <w:szCs w:val="20"/>
        </w:rPr>
        <w:t>,</w:t>
      </w:r>
      <w:r w:rsidR="00D774EB" w:rsidRPr="00B148B1">
        <w:rPr>
          <w:rFonts w:cs="Arial"/>
          <w:szCs w:val="20"/>
        </w:rPr>
        <w:t xml:space="preserve"> 90/14</w:t>
      </w:r>
      <w:r w:rsidR="00D215B8" w:rsidRPr="00B148B1">
        <w:rPr>
          <w:rFonts w:cs="Arial"/>
          <w:szCs w:val="20"/>
        </w:rPr>
        <w:t xml:space="preserve"> in 51/16</w:t>
      </w:r>
      <w:r w:rsidR="00D774EB" w:rsidRPr="00B148B1">
        <w:rPr>
          <w:rFonts w:cs="Arial"/>
          <w:szCs w:val="20"/>
        </w:rPr>
        <w:t>), 40. člena Zakona o varstvu okolja (</w:t>
      </w:r>
      <w:r w:rsidR="00770689" w:rsidRPr="00B148B1">
        <w:rPr>
          <w:rFonts w:cs="Arial"/>
          <w:szCs w:val="20"/>
        </w:rPr>
        <w:t xml:space="preserve">Uradni list RS, št. 39/06 – uradno prečiščeno besedilo, 49/06 – ZMetD, 66/06 – </w:t>
      </w:r>
      <w:proofErr w:type="spellStart"/>
      <w:r w:rsidR="00770689" w:rsidRPr="00B148B1">
        <w:rPr>
          <w:rFonts w:cs="Arial"/>
          <w:szCs w:val="20"/>
        </w:rPr>
        <w:t>odl</w:t>
      </w:r>
      <w:proofErr w:type="spellEnd"/>
      <w:r w:rsidR="00770689" w:rsidRPr="00B148B1">
        <w:rPr>
          <w:rFonts w:cs="Arial"/>
          <w:szCs w:val="20"/>
        </w:rPr>
        <w:t xml:space="preserve">. US, 33/07 – ZPNačrt, 57/08 – ZFO-1A, 70/08, 108/09, 108/09 – ZPNačrt, 48/12, 57/12, 92/13, 56/159, 102/15, </w:t>
      </w:r>
      <w:hyperlink r:id="rId16" w:tgtFrame="_blank" w:tooltip="Zakon o spremembah in dopolnitvah Zakona o varstvu okolja" w:history="1">
        <w:r w:rsidR="00770689" w:rsidRPr="00B148B1">
          <w:rPr>
            <w:rFonts w:cs="Arial"/>
            <w:szCs w:val="20"/>
          </w:rPr>
          <w:t>30/16</w:t>
        </w:r>
      </w:hyperlink>
      <w:r w:rsidR="00770689" w:rsidRPr="00B148B1">
        <w:rPr>
          <w:rFonts w:cs="Arial"/>
          <w:szCs w:val="20"/>
        </w:rPr>
        <w:t xml:space="preserve">, </w:t>
      </w:r>
      <w:hyperlink r:id="rId17" w:tgtFrame="_blank" w:tooltip="Gradbeni zakon" w:history="1">
        <w:r w:rsidR="00770689" w:rsidRPr="00B148B1">
          <w:rPr>
            <w:rFonts w:cs="Arial"/>
            <w:szCs w:val="20"/>
          </w:rPr>
          <w:t>61/17</w:t>
        </w:r>
      </w:hyperlink>
      <w:r w:rsidR="00770689" w:rsidRPr="00B148B1">
        <w:rPr>
          <w:rFonts w:cs="Arial"/>
          <w:szCs w:val="20"/>
        </w:rPr>
        <w:t xml:space="preserve"> – GZ, </w:t>
      </w:r>
      <w:hyperlink r:id="rId18" w:tgtFrame="_blank" w:tooltip="Zakon o nevladnih organizacijah" w:history="1">
        <w:r w:rsidR="00770689" w:rsidRPr="00B148B1">
          <w:rPr>
            <w:rFonts w:cs="Arial"/>
            <w:szCs w:val="20"/>
          </w:rPr>
          <w:t>21/18</w:t>
        </w:r>
      </w:hyperlink>
      <w:r w:rsidR="00770689" w:rsidRPr="00B148B1">
        <w:rPr>
          <w:rFonts w:cs="Arial"/>
          <w:szCs w:val="20"/>
        </w:rPr>
        <w:t xml:space="preserve"> – </w:t>
      </w:r>
      <w:proofErr w:type="spellStart"/>
      <w:r w:rsidR="00770689" w:rsidRPr="00B148B1">
        <w:rPr>
          <w:rFonts w:cs="Arial"/>
          <w:szCs w:val="20"/>
        </w:rPr>
        <w:t>ZNOrg</w:t>
      </w:r>
      <w:proofErr w:type="spellEnd"/>
      <w:r w:rsidR="00770689" w:rsidRPr="00B148B1">
        <w:rPr>
          <w:rFonts w:cs="Arial"/>
          <w:szCs w:val="20"/>
        </w:rPr>
        <w:t xml:space="preserve"> in </w:t>
      </w:r>
      <w:hyperlink r:id="rId19" w:tgtFrame="_blank" w:tooltip="Zakon o interventnih ukrepih pri ravnanju s komunalno odpadno embalažo in z odpadnimi nagrobnimi svečami" w:history="1">
        <w:r w:rsidR="00770689" w:rsidRPr="00B148B1">
          <w:rPr>
            <w:rFonts w:cs="Arial"/>
            <w:szCs w:val="20"/>
          </w:rPr>
          <w:t>84/18</w:t>
        </w:r>
      </w:hyperlink>
      <w:r w:rsidR="00770689" w:rsidRPr="00B148B1">
        <w:rPr>
          <w:rFonts w:cs="Arial"/>
          <w:szCs w:val="20"/>
        </w:rPr>
        <w:t xml:space="preserve"> – ZIURKOE</w:t>
      </w:r>
      <w:r w:rsidR="00D774EB" w:rsidRPr="00B148B1">
        <w:rPr>
          <w:rFonts w:cs="Arial"/>
          <w:szCs w:val="20"/>
        </w:rPr>
        <w:t xml:space="preserve">), prvega odstavka </w:t>
      </w:r>
      <w:proofErr w:type="spellStart"/>
      <w:r w:rsidR="00D774EB" w:rsidRPr="00B148B1">
        <w:rPr>
          <w:rFonts w:cs="Arial"/>
          <w:szCs w:val="20"/>
        </w:rPr>
        <w:t>101.a</w:t>
      </w:r>
      <w:proofErr w:type="spellEnd"/>
      <w:r w:rsidR="00D774EB" w:rsidRPr="00B148B1">
        <w:rPr>
          <w:rFonts w:cs="Arial"/>
          <w:szCs w:val="20"/>
        </w:rPr>
        <w:t xml:space="preserve"> člena Zakona o ohranjanju narave </w:t>
      </w:r>
      <w:r w:rsidR="00C075CF" w:rsidRPr="00B148B1">
        <w:rPr>
          <w:rFonts w:cs="Arial"/>
          <w:b/>
          <w:bCs/>
          <w:color w:val="626060"/>
          <w:sz w:val="18"/>
          <w:szCs w:val="18"/>
          <w:shd w:val="clear" w:color="auto" w:fill="FFFFFF"/>
        </w:rPr>
        <w:t>(</w:t>
      </w:r>
      <w:r w:rsidR="00C075CF" w:rsidRPr="00B148B1">
        <w:rPr>
          <w:rFonts w:cs="Arial"/>
          <w:szCs w:val="20"/>
        </w:rPr>
        <w:t xml:space="preserve">Uradni list RS, št. </w:t>
      </w:r>
      <w:hyperlink r:id="rId20" w:tgtFrame="_blank" w:tooltip="Zakon o ohranjanju narave (uradno prečiščeno besedilo)" w:history="1">
        <w:r w:rsidR="00C075CF" w:rsidRPr="00B148B1">
          <w:rPr>
            <w:rFonts w:cs="Arial"/>
            <w:szCs w:val="20"/>
          </w:rPr>
          <w:t>96/04</w:t>
        </w:r>
      </w:hyperlink>
      <w:r w:rsidR="00C075CF" w:rsidRPr="00B148B1">
        <w:rPr>
          <w:rFonts w:cs="Arial"/>
          <w:szCs w:val="20"/>
        </w:rPr>
        <w:t xml:space="preserve"> – uradno prečiščeno besedilo, </w:t>
      </w:r>
      <w:hyperlink r:id="rId21" w:tgtFrame="_blank" w:tooltip="Zakon o društvih" w:history="1">
        <w:r w:rsidR="00C075CF" w:rsidRPr="00B148B1">
          <w:rPr>
            <w:rFonts w:cs="Arial"/>
            <w:szCs w:val="20"/>
          </w:rPr>
          <w:t>61/06</w:t>
        </w:r>
      </w:hyperlink>
      <w:r w:rsidR="00C075CF" w:rsidRPr="00B148B1">
        <w:rPr>
          <w:rFonts w:cs="Arial"/>
          <w:szCs w:val="20"/>
        </w:rPr>
        <w:t xml:space="preserve"> – ZDru-1, </w:t>
      </w:r>
      <w:hyperlink r:id="rId22" w:tgtFrame="_blank" w:tooltip="Zakon o spremembah in dopolnitvah Zakona o Skladu kmetijskih zemljišč in gozdov Republike Slovenije" w:history="1">
        <w:r w:rsidR="00C075CF" w:rsidRPr="00B148B1">
          <w:rPr>
            <w:rFonts w:cs="Arial"/>
            <w:szCs w:val="20"/>
          </w:rPr>
          <w:t>8/10</w:t>
        </w:r>
      </w:hyperlink>
      <w:r w:rsidR="00C075CF" w:rsidRPr="00B148B1">
        <w:rPr>
          <w:rFonts w:cs="Arial"/>
          <w:szCs w:val="20"/>
        </w:rPr>
        <w:t xml:space="preserve"> – ZSKZ-B, </w:t>
      </w:r>
      <w:hyperlink r:id="rId23" w:tgtFrame="_blank" w:tooltip="Zakon o spremembah in dopolnitvah Zakona o ohranjanju narave" w:history="1">
        <w:r w:rsidR="00C075CF" w:rsidRPr="00B148B1">
          <w:rPr>
            <w:rFonts w:cs="Arial"/>
            <w:szCs w:val="20"/>
          </w:rPr>
          <w:t>46/14</w:t>
        </w:r>
      </w:hyperlink>
      <w:r w:rsidR="00C075CF" w:rsidRPr="00B148B1">
        <w:rPr>
          <w:rFonts w:cs="Arial"/>
          <w:szCs w:val="20"/>
        </w:rPr>
        <w:t xml:space="preserve">, </w:t>
      </w:r>
      <w:hyperlink r:id="rId24" w:tgtFrame="_blank" w:tooltip="Zakon o nevladnih organizacijah" w:history="1">
        <w:r w:rsidR="00C075CF" w:rsidRPr="00B148B1">
          <w:rPr>
            <w:rFonts w:cs="Arial"/>
            <w:szCs w:val="20"/>
          </w:rPr>
          <w:t>21/18</w:t>
        </w:r>
      </w:hyperlink>
      <w:r w:rsidR="00C075CF" w:rsidRPr="00B148B1">
        <w:rPr>
          <w:rFonts w:cs="Arial"/>
          <w:szCs w:val="20"/>
        </w:rPr>
        <w:t xml:space="preserve"> – </w:t>
      </w:r>
      <w:proofErr w:type="spellStart"/>
      <w:r w:rsidR="00C075CF" w:rsidRPr="00B148B1">
        <w:rPr>
          <w:rFonts w:cs="Arial"/>
          <w:szCs w:val="20"/>
        </w:rPr>
        <w:t>ZNOrg</w:t>
      </w:r>
      <w:proofErr w:type="spellEnd"/>
      <w:r w:rsidR="00C075CF" w:rsidRPr="00B148B1">
        <w:rPr>
          <w:rFonts w:cs="Arial"/>
          <w:szCs w:val="20"/>
        </w:rPr>
        <w:t xml:space="preserve">, </w:t>
      </w:r>
      <w:hyperlink r:id="rId25" w:tgtFrame="_blank" w:tooltip="Zakon o dopolnitvah Zakona o ohranjanju narave" w:history="1">
        <w:r w:rsidR="00C075CF" w:rsidRPr="00B148B1">
          <w:rPr>
            <w:rFonts w:cs="Arial"/>
            <w:szCs w:val="20"/>
          </w:rPr>
          <w:t>31/18</w:t>
        </w:r>
      </w:hyperlink>
      <w:r w:rsidR="00C075CF" w:rsidRPr="00B148B1">
        <w:rPr>
          <w:rFonts w:cs="Arial"/>
          <w:szCs w:val="20"/>
        </w:rPr>
        <w:t xml:space="preserve"> in </w:t>
      </w:r>
      <w:hyperlink r:id="rId26" w:tgtFrame="_blank" w:tooltip="Zakon o spremembah Zakona o ohranjanju narave " w:history="1">
        <w:r w:rsidR="00C075CF" w:rsidRPr="00B148B1">
          <w:rPr>
            <w:rFonts w:cs="Arial"/>
            <w:szCs w:val="20"/>
          </w:rPr>
          <w:t>82/20</w:t>
        </w:r>
      </w:hyperlink>
      <w:r w:rsidR="00C075CF" w:rsidRPr="00B148B1">
        <w:rPr>
          <w:rFonts w:cs="Arial"/>
          <w:szCs w:val="20"/>
        </w:rPr>
        <w:t>)</w:t>
      </w:r>
      <w:r w:rsidR="00D774EB" w:rsidRPr="00B148B1">
        <w:rPr>
          <w:rFonts w:cs="Arial"/>
          <w:szCs w:val="20"/>
        </w:rPr>
        <w:t xml:space="preserve"> in 144. člena Zakona o splošnem upravnem postopku (Uradni list RS, št. 24/06 – ZUP-UPB2, 105/06 - ZUS-1, 126/07, 65/08, 8/10 in 82/13) v upravni zadevi določitve </w:t>
      </w:r>
      <w:r w:rsidR="008B3C91" w:rsidRPr="00B148B1">
        <w:rPr>
          <w:rFonts w:cs="Arial"/>
          <w:szCs w:val="20"/>
        </w:rPr>
        <w:t>načrtov</w:t>
      </w:r>
      <w:r w:rsidR="00D774EB" w:rsidRPr="00B148B1">
        <w:rPr>
          <w:rFonts w:cs="Arial"/>
          <w:szCs w:val="20"/>
        </w:rPr>
        <w:t xml:space="preserve">, za katere je treba izvesti postopek celovite presoje njihovih vplivov na okolje, ter na podlagi obvestila o nameri izdelave </w:t>
      </w:r>
      <w:proofErr w:type="spellStart"/>
      <w:r w:rsidR="00D774EB" w:rsidRPr="00B148B1">
        <w:rPr>
          <w:rFonts w:cs="Arial"/>
          <w:szCs w:val="20"/>
        </w:rPr>
        <w:t>novelacije</w:t>
      </w:r>
      <w:proofErr w:type="spellEnd"/>
      <w:r w:rsidR="00D774EB" w:rsidRPr="00B148B1">
        <w:rPr>
          <w:rFonts w:cs="Arial"/>
          <w:szCs w:val="20"/>
        </w:rPr>
        <w:t xml:space="preserve"> Operativnega programa odvajanja in čiščenja komunalne odpadne vode (številka vloge 35406 – 63/2015 z dne 21. 7. 2015, prejete 27. 7. 2015), pripravljavcu </w:t>
      </w:r>
      <w:r w:rsidR="008B3C91" w:rsidRPr="00B148B1">
        <w:rPr>
          <w:rFonts w:cs="Arial"/>
          <w:szCs w:val="20"/>
        </w:rPr>
        <w:t xml:space="preserve">načrta </w:t>
      </w:r>
      <w:r w:rsidRPr="00B148B1">
        <w:rPr>
          <w:rFonts w:cs="Arial"/>
          <w:szCs w:val="20"/>
        </w:rPr>
        <w:t>MOP</w:t>
      </w:r>
      <w:r w:rsidR="00D774EB" w:rsidRPr="00B148B1">
        <w:rPr>
          <w:rFonts w:cs="Arial"/>
          <w:szCs w:val="20"/>
        </w:rPr>
        <w:t xml:space="preserve">, Direktoratu za </w:t>
      </w:r>
      <w:r w:rsidR="00D774EB" w:rsidRPr="00B148B1">
        <w:rPr>
          <w:rFonts w:cs="Arial"/>
          <w:szCs w:val="20"/>
        </w:rPr>
        <w:lastRenderedPageBreak/>
        <w:t xml:space="preserve">vode investicije, Dunajska cesta 48, Ljubljana, izdal odločbo št. 35409 – 119/2015/14 z dne 21. 10. 2015 z odločitvijo, da v postopku priprave in sprejemanja </w:t>
      </w:r>
      <w:r w:rsidR="008B3C91" w:rsidRPr="00B148B1">
        <w:rPr>
          <w:rFonts w:cs="Arial"/>
          <w:szCs w:val="20"/>
        </w:rPr>
        <w:t>načrta</w:t>
      </w:r>
      <w:r w:rsidR="00D774EB" w:rsidRPr="00B148B1">
        <w:rPr>
          <w:rFonts w:cs="Arial"/>
          <w:szCs w:val="20"/>
        </w:rPr>
        <w:t>, to je Operativnega programa odvajanja in čiščenja komunalne odpadne vode, ni treba izvesti postopka celovite presoje vplivov na okolja.</w:t>
      </w:r>
    </w:p>
    <w:p w:rsidR="00D774EB" w:rsidRPr="00B148B1" w:rsidRDefault="00D774EB" w:rsidP="00D774EB">
      <w:pPr>
        <w:tabs>
          <w:tab w:val="left" w:pos="9600"/>
        </w:tabs>
        <w:spacing w:before="120" w:line="280" w:lineRule="atLeast"/>
        <w:rPr>
          <w:rFonts w:cs="Arial"/>
          <w:szCs w:val="20"/>
        </w:rPr>
      </w:pPr>
      <w:r w:rsidRPr="00B148B1">
        <w:rPr>
          <w:rFonts w:cs="Arial"/>
          <w:szCs w:val="20"/>
        </w:rPr>
        <w:t xml:space="preserve">Odločitev je utemeljena zlasti z dejstvom, da konkretni projekti za komunalne čistilne naprave, ki bi zapadli obveznosti presoje vplivov na okolje, niso del tega operativnega programa. </w:t>
      </w:r>
      <w:r w:rsidR="008B3C91" w:rsidRPr="00B148B1">
        <w:rPr>
          <w:rFonts w:cs="Arial"/>
          <w:szCs w:val="20"/>
        </w:rPr>
        <w:t xml:space="preserve">Poleg tega </w:t>
      </w:r>
      <w:r w:rsidRPr="00B148B1">
        <w:rPr>
          <w:rFonts w:cs="Arial"/>
          <w:szCs w:val="20"/>
        </w:rPr>
        <w:t xml:space="preserve">je odločitev utemeljena z dejstvom, da vsebina tega operativnega programa ne prinaša sprememb, katerih vplivi bi se bistveno razlikovali od vplivov predhodnega operativnega programa. Ugotovljeno pa je bilo, da bi se morebitni negativni vplivi na vodne in obvodne habitatne vrste ali habitatne tipe ali morebitni negativni vplivi na kulturno dediščino lahko </w:t>
      </w:r>
      <w:r w:rsidR="008B3C91" w:rsidRPr="00B148B1">
        <w:rPr>
          <w:rFonts w:cs="Arial"/>
          <w:szCs w:val="20"/>
        </w:rPr>
        <w:t>po</w:t>
      </w:r>
      <w:r w:rsidRPr="00B148B1">
        <w:rPr>
          <w:rFonts w:cs="Arial"/>
          <w:szCs w:val="20"/>
        </w:rPr>
        <w:t>kazali v primeru neustreznega načrtovanja p</w:t>
      </w:r>
      <w:r w:rsidR="00C06FFE" w:rsidRPr="00B148B1">
        <w:rPr>
          <w:rFonts w:cs="Arial"/>
          <w:szCs w:val="20"/>
        </w:rPr>
        <w:t>r</w:t>
      </w:r>
      <w:r w:rsidRPr="00B148B1">
        <w:rPr>
          <w:rFonts w:cs="Arial"/>
          <w:szCs w:val="20"/>
        </w:rPr>
        <w:t>ojektov ali umeščanja in izvedbe načrtovane infrastrukture. Glede na navedeno je v obrazložitvi odločbe podano opozorilo glede upoštevanja varstvenih režimov in ohranjanja arheoloških ostalin na podrobnejših ravneh načrtovanja v postopkih priprave prostorskih aktov.</w:t>
      </w:r>
    </w:p>
    <w:p w:rsidR="00D774EB" w:rsidRPr="00B148B1" w:rsidRDefault="00D774EB" w:rsidP="00D774EB">
      <w:pPr>
        <w:tabs>
          <w:tab w:val="left" w:pos="9600"/>
        </w:tabs>
        <w:spacing w:before="120" w:line="280" w:lineRule="atLeast"/>
        <w:rPr>
          <w:rFonts w:cs="Arial"/>
          <w:szCs w:val="20"/>
        </w:rPr>
      </w:pPr>
      <w:r w:rsidRPr="00B148B1">
        <w:rPr>
          <w:rFonts w:cs="Arial"/>
          <w:szCs w:val="20"/>
        </w:rPr>
        <w:t>Ne glede na navedeno je treba pri načrtovanju konkretnih projektov oziroma prostorskih aktov s področja odvajanja in čiščenja komunalne odpadne vode upoštevati zahteve Uredbe o posegih v okolje, za katere je treba izvesti presojo vplivov na okolje (</w:t>
      </w:r>
      <w:r w:rsidR="00C06FFE" w:rsidRPr="00B148B1">
        <w:rPr>
          <w:rFonts w:cs="Arial"/>
          <w:szCs w:val="20"/>
        </w:rPr>
        <w:t>Uradni list RS, št. 51/14, 57/15 in 26/17</w:t>
      </w:r>
      <w:r w:rsidRPr="00B148B1">
        <w:rPr>
          <w:rFonts w:cs="Arial"/>
          <w:szCs w:val="20"/>
        </w:rPr>
        <w:t xml:space="preserve">), ki določa vrste posegov v okolje, za katere je presoja vplivov na okolje obvezna, ter vrste posegov v okolje, za katere je presoja vplivov na okolje obvezna, če se zanje v predhodnem postopku ugotovi, da bi lahko imeli pomembne vplive na okolje. Obenem določa tudi podrobnejša merila, na podlagi katerih se v predhodnem postopku ugotavlja, ali je za nameravani poseg v okolje treba izvesti presojo vplivov na okolje. Navedeni posegi so določeni v prilogi </w:t>
      </w:r>
      <w:r w:rsidR="00D0357C" w:rsidRPr="00B148B1">
        <w:rPr>
          <w:rFonts w:cs="Arial"/>
          <w:szCs w:val="20"/>
        </w:rPr>
        <w:t xml:space="preserve">zadevne </w:t>
      </w:r>
      <w:r w:rsidRPr="00B148B1">
        <w:rPr>
          <w:rFonts w:cs="Arial"/>
          <w:szCs w:val="20"/>
        </w:rPr>
        <w:t>uredbe in vključujejo tudi okoljsko infrastrukturo na področju odvajanja in čiščenja komunalne odpadne vode, in sicer je:</w:t>
      </w:r>
    </w:p>
    <w:p w:rsidR="00D774EB" w:rsidRPr="00B148B1" w:rsidRDefault="00D774EB"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presoja vplivov na okolje obvezna, če gre za poseg v zvezi z izgradnjo čistilne naprave komunalne odpadne vode z zmogljivostjo, večjo od 150.000 PE, ali spremem</w:t>
      </w:r>
      <w:r w:rsidR="004F04C7" w:rsidRPr="00B148B1">
        <w:rPr>
          <w:rFonts w:cs="Arial"/>
          <w:szCs w:val="20"/>
        </w:rPr>
        <w:t>b</w:t>
      </w:r>
      <w:r w:rsidRPr="00B148B1">
        <w:rPr>
          <w:rFonts w:cs="Arial"/>
          <w:szCs w:val="20"/>
        </w:rPr>
        <w:t>o čistilne naprave, ki dosega ta prag, pri čemer se upošteva poseg sam po sebi ali v povezavi z drugimi funkcionalno in prostorsko povezanimi posegi</w:t>
      </w:r>
      <w:r w:rsidR="002F1622" w:rsidRPr="00B148B1">
        <w:rPr>
          <w:rFonts w:cs="Arial"/>
          <w:szCs w:val="20"/>
        </w:rPr>
        <w:t>,</w:t>
      </w:r>
      <w:r w:rsidRPr="00B148B1">
        <w:rPr>
          <w:rFonts w:cs="Arial"/>
          <w:szCs w:val="20"/>
        </w:rPr>
        <w:t xml:space="preserve"> ter </w:t>
      </w:r>
    </w:p>
    <w:p w:rsidR="00D774EB" w:rsidRPr="00B148B1" w:rsidRDefault="00D774EB"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presoja vplivov na okolje obvezna, če se v predhodnem postopku ugotovi, da bi poseg v okolje lahko imel pomembne vplive na okolje, če gre za čistilno napravo za komunalno odpadno vodo z zmogljivostjo, večjo od 2.000 PE in enako ali manjšo od 150.000 PE, ali za objekt za zbiranje in odvajanje komunalne odpadne vode, skupaj z industrijskimi odpadnimi vodami ali padavinskimi vodami (kanalizacija)</w:t>
      </w:r>
      <w:r w:rsidR="002F1622" w:rsidRPr="00B148B1">
        <w:rPr>
          <w:rFonts w:cs="Arial"/>
          <w:szCs w:val="20"/>
        </w:rPr>
        <w:t>,</w:t>
      </w:r>
      <w:r w:rsidRPr="00B148B1">
        <w:rPr>
          <w:rFonts w:cs="Arial"/>
          <w:szCs w:val="20"/>
        </w:rPr>
        <w:t xml:space="preserve"> dolžine vodov, večje od 5.000 m, razen priključkov. </w:t>
      </w:r>
    </w:p>
    <w:p w:rsidR="004F04C7" w:rsidRPr="00B148B1" w:rsidRDefault="004F04C7" w:rsidP="004F04C7">
      <w:pPr>
        <w:tabs>
          <w:tab w:val="left" w:pos="9600"/>
        </w:tabs>
        <w:spacing w:before="120" w:line="280" w:lineRule="atLeast"/>
        <w:rPr>
          <w:rFonts w:cs="Arial"/>
          <w:szCs w:val="20"/>
        </w:rPr>
      </w:pPr>
    </w:p>
    <w:p w:rsidR="00D774EB" w:rsidRPr="00B148B1" w:rsidRDefault="00D774EB" w:rsidP="00385BB8">
      <w:pPr>
        <w:pStyle w:val="Naslov1"/>
      </w:pPr>
      <w:r w:rsidRPr="00B148B1">
        <w:br w:type="page"/>
      </w:r>
      <w:bookmarkStart w:id="40" w:name="_Toc50628061"/>
      <w:r w:rsidRPr="00B148B1">
        <w:lastRenderedPageBreak/>
        <w:t>PREGLED STANJA NA PODROČJU ODVAJANJA IN ČIŠČENJA KOMUNALNE ODPADNE VODE TER RAVNANJA Z BLATOM</w:t>
      </w:r>
      <w:bookmarkEnd w:id="40"/>
      <w:r w:rsidRPr="00B148B1">
        <w:t xml:space="preserve"> </w:t>
      </w:r>
    </w:p>
    <w:p w:rsidR="00D774EB" w:rsidRPr="00B148B1" w:rsidRDefault="00D774EB" w:rsidP="00385BB8">
      <w:pPr>
        <w:pStyle w:val="Naslov2"/>
      </w:pPr>
      <w:bookmarkStart w:id="41" w:name="_Toc50628062"/>
      <w:r w:rsidRPr="00B148B1">
        <w:t>Predhodni operativni program</w:t>
      </w:r>
      <w:bookmarkEnd w:id="41"/>
    </w:p>
    <w:p w:rsidR="00D774EB" w:rsidRPr="00B148B1" w:rsidRDefault="00D774EB" w:rsidP="00D34718">
      <w:pPr>
        <w:tabs>
          <w:tab w:val="left" w:pos="9600"/>
        </w:tabs>
        <w:spacing w:before="120" w:line="280" w:lineRule="atLeast"/>
        <w:rPr>
          <w:rFonts w:cs="Arial"/>
          <w:szCs w:val="20"/>
        </w:rPr>
      </w:pPr>
      <w:r w:rsidRPr="00B148B1">
        <w:rPr>
          <w:rFonts w:cs="Arial"/>
          <w:szCs w:val="20"/>
        </w:rPr>
        <w:t xml:space="preserve">Poleg predpisov, ki določajo zahteve glede odvajanja in čiščenja komunalne odpadne vode, je </w:t>
      </w:r>
      <w:r w:rsidR="0055695F" w:rsidRPr="00B148B1">
        <w:rPr>
          <w:rFonts w:cs="Arial"/>
          <w:szCs w:val="20"/>
        </w:rPr>
        <w:t xml:space="preserve">bil v obdobju do konca leta 2017 </w:t>
      </w:r>
      <w:r w:rsidRPr="00B148B1">
        <w:rPr>
          <w:rFonts w:cs="Arial"/>
          <w:szCs w:val="20"/>
        </w:rPr>
        <w:t xml:space="preserve">ključni dokument na tem področju </w:t>
      </w:r>
      <w:r w:rsidR="0055695F" w:rsidRPr="00B148B1">
        <w:rPr>
          <w:rFonts w:cs="Arial"/>
          <w:szCs w:val="20"/>
        </w:rPr>
        <w:t>Operativni program odvajanja in čiščenja komunalne odpadne vode (</w:t>
      </w:r>
      <w:proofErr w:type="spellStart"/>
      <w:r w:rsidR="0055695F" w:rsidRPr="00B148B1">
        <w:rPr>
          <w:rFonts w:cs="Arial"/>
          <w:szCs w:val="20"/>
        </w:rPr>
        <w:t>novelacija</w:t>
      </w:r>
      <w:proofErr w:type="spellEnd"/>
      <w:r w:rsidR="0055695F" w:rsidRPr="00B148B1">
        <w:rPr>
          <w:rFonts w:cs="Arial"/>
          <w:szCs w:val="20"/>
        </w:rPr>
        <w:t xml:space="preserve"> za obdobje od leta 2005 do leta 201</w:t>
      </w:r>
      <w:r w:rsidR="00A010AC" w:rsidRPr="00B148B1">
        <w:rPr>
          <w:rFonts w:cs="Arial"/>
          <w:szCs w:val="20"/>
        </w:rPr>
        <w:t>7</w:t>
      </w:r>
      <w:r w:rsidR="0055695F" w:rsidRPr="00B148B1">
        <w:rPr>
          <w:rFonts w:cs="Arial"/>
          <w:szCs w:val="20"/>
        </w:rPr>
        <w:t xml:space="preserve">), </w:t>
      </w:r>
      <w:r w:rsidR="002F1622" w:rsidRPr="00B148B1">
        <w:rPr>
          <w:rFonts w:cs="Arial"/>
          <w:szCs w:val="20"/>
        </w:rPr>
        <w:t>s</w:t>
      </w:r>
      <w:r w:rsidR="0055695F" w:rsidRPr="00B148B1">
        <w:rPr>
          <w:rFonts w:cs="Arial"/>
          <w:szCs w:val="20"/>
        </w:rPr>
        <w:t xml:space="preserve">klep Vlade RS, št. 35401-2/2010/3 z dne 11. 11. 2010 in </w:t>
      </w:r>
      <w:r w:rsidR="002F1622" w:rsidRPr="00B148B1">
        <w:rPr>
          <w:rFonts w:cs="Arial"/>
          <w:szCs w:val="20"/>
        </w:rPr>
        <w:t>s</w:t>
      </w:r>
      <w:r w:rsidR="0055695F" w:rsidRPr="00B148B1">
        <w:rPr>
          <w:rFonts w:cs="Arial"/>
          <w:szCs w:val="20"/>
        </w:rPr>
        <w:t>klep Vlade RS, št. 35401-2/2010/8</w:t>
      </w:r>
      <w:r w:rsidR="00917842" w:rsidRPr="00B148B1">
        <w:rPr>
          <w:rFonts w:cs="Arial"/>
          <w:szCs w:val="20"/>
        </w:rPr>
        <w:t xml:space="preserve"> </w:t>
      </w:r>
      <w:r w:rsidR="0055695F" w:rsidRPr="00B148B1">
        <w:rPr>
          <w:rFonts w:cs="Arial"/>
          <w:szCs w:val="20"/>
        </w:rPr>
        <w:t>z dne 14. 7. 2011 (v nadaljnjem besedilu: predhodni operativni program)</w:t>
      </w:r>
      <w:r w:rsidRPr="00B148B1">
        <w:rPr>
          <w:rFonts w:cs="Arial"/>
          <w:szCs w:val="20"/>
        </w:rPr>
        <w:t>. V predhodnem operativnem programu so</w:t>
      </w:r>
      <w:r w:rsidR="0055695F" w:rsidRPr="00B148B1">
        <w:rPr>
          <w:rFonts w:cs="Arial"/>
          <w:szCs w:val="20"/>
        </w:rPr>
        <w:t xml:space="preserve"> bile</w:t>
      </w:r>
      <w:r w:rsidRPr="00B148B1">
        <w:rPr>
          <w:rFonts w:cs="Arial"/>
          <w:szCs w:val="20"/>
        </w:rPr>
        <w:t xml:space="preserve"> podrobno določene aglomeracije, za katere je treba v predpisanih rokih obvezno zagotoviti odvajanje komunalne odpadne vode v javno kanalizacijo in njeno čiščenje na komunalni oziroma skupni čistilni napravi s predpisano stopnjo čiščenja. Predhodni operativni program </w:t>
      </w:r>
      <w:r w:rsidR="0055695F" w:rsidRPr="00B148B1">
        <w:rPr>
          <w:rFonts w:cs="Arial"/>
          <w:szCs w:val="20"/>
        </w:rPr>
        <w:t xml:space="preserve">je </w:t>
      </w:r>
      <w:r w:rsidR="00917842" w:rsidRPr="00B148B1">
        <w:rPr>
          <w:rFonts w:cs="Arial"/>
          <w:szCs w:val="20"/>
        </w:rPr>
        <w:t>vključ</w:t>
      </w:r>
      <w:r w:rsidRPr="00B148B1">
        <w:rPr>
          <w:rFonts w:cs="Arial"/>
          <w:szCs w:val="20"/>
        </w:rPr>
        <w:t>e</w:t>
      </w:r>
      <w:r w:rsidR="0055695F" w:rsidRPr="00B148B1">
        <w:rPr>
          <w:rFonts w:cs="Arial"/>
          <w:szCs w:val="20"/>
        </w:rPr>
        <w:t>val</w:t>
      </w:r>
      <w:r w:rsidRPr="00B148B1">
        <w:rPr>
          <w:rFonts w:cs="Arial"/>
          <w:szCs w:val="20"/>
        </w:rPr>
        <w:t xml:space="preserve"> tako aglomeracije s skupno obremenitvijo, enako ali večjo od 2.000 PE, kot tudi aglomeracije s skupno obremenitvijo, manjšo od 2.000 PE, povzema</w:t>
      </w:r>
      <w:r w:rsidR="00917842" w:rsidRPr="00B148B1">
        <w:rPr>
          <w:rFonts w:cs="Arial"/>
          <w:szCs w:val="20"/>
        </w:rPr>
        <w:t>l</w:t>
      </w:r>
      <w:r w:rsidRPr="00B148B1">
        <w:rPr>
          <w:rFonts w:cs="Arial"/>
          <w:szCs w:val="20"/>
        </w:rPr>
        <w:t xml:space="preserve"> pa </w:t>
      </w:r>
      <w:r w:rsidR="00ED301B" w:rsidRPr="00B148B1">
        <w:rPr>
          <w:rFonts w:cs="Arial"/>
          <w:szCs w:val="20"/>
        </w:rPr>
        <w:t xml:space="preserve">je </w:t>
      </w:r>
      <w:r w:rsidRPr="00B148B1">
        <w:rPr>
          <w:rFonts w:cs="Arial"/>
          <w:szCs w:val="20"/>
        </w:rPr>
        <w:t xml:space="preserve">tudi zahteve predpisov na območju </w:t>
      </w:r>
      <w:r w:rsidR="008C6D60" w:rsidRPr="00B148B1">
        <w:rPr>
          <w:rFonts w:cs="Arial"/>
          <w:szCs w:val="20"/>
        </w:rPr>
        <w:t>zunaj</w:t>
      </w:r>
      <w:r w:rsidRPr="00B148B1">
        <w:rPr>
          <w:rFonts w:cs="Arial"/>
          <w:szCs w:val="20"/>
        </w:rPr>
        <w:t xml:space="preserve"> meja aglomeracij. </w:t>
      </w:r>
    </w:p>
    <w:p w:rsidR="00D774EB" w:rsidRPr="00B148B1" w:rsidRDefault="00D774EB" w:rsidP="00D34718">
      <w:pPr>
        <w:tabs>
          <w:tab w:val="left" w:pos="9600"/>
        </w:tabs>
        <w:spacing w:before="120" w:line="280" w:lineRule="atLeast"/>
        <w:rPr>
          <w:rFonts w:cs="Arial"/>
          <w:szCs w:val="20"/>
        </w:rPr>
      </w:pPr>
      <w:r w:rsidRPr="00B148B1">
        <w:rPr>
          <w:rFonts w:cs="Arial"/>
          <w:szCs w:val="20"/>
        </w:rPr>
        <w:t xml:space="preserve">Predhodni operativni program je dostopen na </w:t>
      </w:r>
      <w:r w:rsidR="00EB05BB" w:rsidRPr="00B148B1">
        <w:rPr>
          <w:rFonts w:cs="Arial"/>
          <w:szCs w:val="20"/>
        </w:rPr>
        <w:t xml:space="preserve">arhivski </w:t>
      </w:r>
      <w:r w:rsidRPr="00B148B1">
        <w:rPr>
          <w:rFonts w:cs="Arial"/>
          <w:szCs w:val="20"/>
        </w:rPr>
        <w:t>spletni strani MOP:</w:t>
      </w:r>
    </w:p>
    <w:p w:rsidR="00EB05BB" w:rsidRPr="00B148B1" w:rsidRDefault="003340A3" w:rsidP="00D34718">
      <w:pPr>
        <w:tabs>
          <w:tab w:val="left" w:pos="9600"/>
        </w:tabs>
        <w:spacing w:before="120" w:line="280" w:lineRule="atLeast"/>
        <w:rPr>
          <w:rFonts w:cs="Arial"/>
          <w:szCs w:val="20"/>
        </w:rPr>
      </w:pPr>
      <w:hyperlink r:id="rId27" w:history="1">
        <w:r w:rsidR="00EB05BB" w:rsidRPr="00B148B1">
          <w:rPr>
            <w:rStyle w:val="Hiperpovezava"/>
          </w:rPr>
          <w:t>http://www.arhiv.mop.gov.si/si/zakonodaja_in_dokumenti/veljavni_predpisi/zakon_o_varstvu_okolja/programi_in_nacrti_varstva_okolja/</w:t>
        </w:r>
      </w:hyperlink>
    </w:p>
    <w:p w:rsidR="00D774EB" w:rsidRPr="00B148B1" w:rsidRDefault="00D774EB" w:rsidP="00385BB8">
      <w:pPr>
        <w:pStyle w:val="Naslov3"/>
      </w:pPr>
      <w:bookmarkStart w:id="42" w:name="_Ref444005960"/>
      <w:bookmarkStart w:id="43" w:name="_Toc50628063"/>
      <w:r w:rsidRPr="00B148B1">
        <w:t>Aglomeracije iz predhodnega operativnega program</w:t>
      </w:r>
      <w:bookmarkEnd w:id="42"/>
      <w:r w:rsidRPr="00B148B1">
        <w:t>a</w:t>
      </w:r>
      <w:bookmarkEnd w:id="43"/>
    </w:p>
    <w:p w:rsidR="00D774EB" w:rsidRPr="00B148B1" w:rsidRDefault="00D774EB" w:rsidP="00917842">
      <w:pPr>
        <w:tabs>
          <w:tab w:val="left" w:pos="9600"/>
        </w:tabs>
        <w:spacing w:before="120" w:line="280" w:lineRule="atLeast"/>
        <w:rPr>
          <w:rFonts w:cs="Arial"/>
          <w:szCs w:val="20"/>
        </w:rPr>
      </w:pPr>
      <w:r w:rsidRPr="00B148B1">
        <w:rPr>
          <w:rFonts w:cs="Arial"/>
          <w:szCs w:val="20"/>
        </w:rPr>
        <w:t xml:space="preserve">V predhodnem operativnem programu so </w:t>
      </w:r>
      <w:r w:rsidR="00917842" w:rsidRPr="00B148B1">
        <w:rPr>
          <w:rFonts w:cs="Arial"/>
          <w:szCs w:val="20"/>
        </w:rPr>
        <w:t xml:space="preserve">bile </w:t>
      </w:r>
      <w:r w:rsidRPr="00B148B1">
        <w:rPr>
          <w:rFonts w:cs="Arial"/>
          <w:szCs w:val="20"/>
        </w:rPr>
        <w:t xml:space="preserve">aglomeracije določene kot skupine kvadratnih celic s površino 100 m krat 100 m (v nadaljnjem besedilu: celica), ki se med seboj stikajo najmanj v enem oglišču, če </w:t>
      </w:r>
      <w:r w:rsidR="00917842" w:rsidRPr="00B148B1">
        <w:rPr>
          <w:rFonts w:cs="Arial"/>
          <w:szCs w:val="20"/>
        </w:rPr>
        <w:t xml:space="preserve">je skupina celic dosegala predpisana merila glede gostote obremenjenosti zaradi nastajanja komunalne odpadne vode </w:t>
      </w:r>
      <w:r w:rsidR="002F1622" w:rsidRPr="00B148B1">
        <w:rPr>
          <w:rFonts w:cs="Arial"/>
          <w:szCs w:val="20"/>
        </w:rPr>
        <w:t xml:space="preserve">in </w:t>
      </w:r>
      <w:r w:rsidR="00917842" w:rsidRPr="00B148B1">
        <w:rPr>
          <w:rFonts w:cs="Arial"/>
          <w:szCs w:val="20"/>
        </w:rPr>
        <w:t>predpisana merila glede celotne obremenjenosti.</w:t>
      </w:r>
    </w:p>
    <w:p w:rsidR="00D774EB" w:rsidRPr="00B148B1" w:rsidRDefault="00D774EB" w:rsidP="00D774EB">
      <w:pPr>
        <w:tabs>
          <w:tab w:val="left" w:pos="9600"/>
        </w:tabs>
        <w:spacing w:before="120" w:line="280" w:lineRule="atLeast"/>
        <w:rPr>
          <w:rFonts w:cs="Arial"/>
          <w:szCs w:val="20"/>
        </w:rPr>
      </w:pPr>
      <w:r w:rsidRPr="00B148B1">
        <w:rPr>
          <w:rFonts w:cs="Arial"/>
          <w:szCs w:val="20"/>
        </w:rPr>
        <w:t xml:space="preserve">Gostota obremenjenosti posamezne aglomeracije zaradi nastajanja komunalne odpadne vode je </w:t>
      </w:r>
      <w:r w:rsidR="00917842" w:rsidRPr="00B148B1">
        <w:rPr>
          <w:rFonts w:cs="Arial"/>
          <w:szCs w:val="20"/>
        </w:rPr>
        <w:t xml:space="preserve">bila </w:t>
      </w:r>
      <w:r w:rsidRPr="00B148B1">
        <w:rPr>
          <w:rFonts w:cs="Arial"/>
          <w:szCs w:val="20"/>
        </w:rPr>
        <w:t xml:space="preserve">določena na podlagi celotne obremenjenosti in celotne površine aglomeracije, pri čemer je </w:t>
      </w:r>
      <w:r w:rsidR="00917842" w:rsidRPr="00B148B1">
        <w:rPr>
          <w:rFonts w:cs="Arial"/>
          <w:szCs w:val="20"/>
        </w:rPr>
        <w:t xml:space="preserve">bila </w:t>
      </w:r>
      <w:r w:rsidRPr="00B148B1">
        <w:rPr>
          <w:rFonts w:cs="Arial"/>
          <w:szCs w:val="20"/>
        </w:rPr>
        <w:t>celotna obremenjenost v aglomeraciji enaka številu prebivalcev s stalnim prebivališčem v tej aglomeraciji, povečanem</w:t>
      </w:r>
      <w:r w:rsidR="00512ACD" w:rsidRPr="00B148B1">
        <w:rPr>
          <w:rFonts w:cs="Arial"/>
          <w:szCs w:val="20"/>
        </w:rPr>
        <w:t>u</w:t>
      </w:r>
      <w:r w:rsidRPr="00B148B1">
        <w:rPr>
          <w:rFonts w:cs="Arial"/>
          <w:szCs w:val="20"/>
        </w:rPr>
        <w:t xml:space="preserve"> za 30 odstotkov zaradi upoštevanja obremenitve iz gospodarske in druge dejavnosti. Pri določitvi posameznih aglomeracij oziroma njihovih meja so </w:t>
      </w:r>
      <w:r w:rsidR="00917842" w:rsidRPr="00B148B1">
        <w:rPr>
          <w:rFonts w:cs="Arial"/>
          <w:szCs w:val="20"/>
        </w:rPr>
        <w:t xml:space="preserve">bili </w:t>
      </w:r>
      <w:r w:rsidRPr="00B148B1">
        <w:rPr>
          <w:rFonts w:cs="Arial"/>
          <w:szCs w:val="20"/>
        </w:rPr>
        <w:t xml:space="preserve">upoštevani tudi </w:t>
      </w:r>
      <w:r w:rsidR="00917842" w:rsidRPr="00B148B1">
        <w:rPr>
          <w:rFonts w:cs="Arial"/>
          <w:szCs w:val="20"/>
        </w:rPr>
        <w:t xml:space="preserve">nekateri </w:t>
      </w:r>
      <w:r w:rsidRPr="00B148B1">
        <w:rPr>
          <w:rFonts w:cs="Arial"/>
          <w:szCs w:val="20"/>
        </w:rPr>
        <w:t xml:space="preserve">prostorski podatki, zlasti o mejah naselij ali mejah občin, ter v času določitve </w:t>
      </w:r>
      <w:r w:rsidR="00512ACD" w:rsidRPr="00B148B1">
        <w:rPr>
          <w:rFonts w:cs="Arial"/>
          <w:szCs w:val="20"/>
        </w:rPr>
        <w:t xml:space="preserve">veljavni </w:t>
      </w:r>
      <w:r w:rsidRPr="00B148B1">
        <w:rPr>
          <w:rFonts w:cs="Arial"/>
          <w:szCs w:val="20"/>
        </w:rPr>
        <w:t>načrti ali ureditve odvajanja in čiščenja komunalne odpadne vode.</w:t>
      </w:r>
    </w:p>
    <w:p w:rsidR="00D774EB" w:rsidRPr="00B148B1" w:rsidRDefault="003D04C9" w:rsidP="00D774EB">
      <w:pPr>
        <w:tabs>
          <w:tab w:val="left" w:pos="9600"/>
        </w:tabs>
        <w:spacing w:before="120" w:line="280" w:lineRule="atLeast"/>
        <w:rPr>
          <w:rFonts w:cs="Arial"/>
          <w:szCs w:val="20"/>
        </w:rPr>
      </w:pPr>
      <w:bookmarkStart w:id="44" w:name="_Ref443555885"/>
      <w:r w:rsidRPr="00B148B1">
        <w:rPr>
          <w:rFonts w:cs="Arial"/>
          <w:szCs w:val="20"/>
        </w:rPr>
        <w:t>V predhodne</w:t>
      </w:r>
      <w:r w:rsidR="00D774EB" w:rsidRPr="00B148B1">
        <w:rPr>
          <w:rFonts w:cs="Arial"/>
          <w:szCs w:val="20"/>
        </w:rPr>
        <w:t xml:space="preserve">m operativnem programu je </w:t>
      </w:r>
      <w:r w:rsidR="00917842" w:rsidRPr="00B148B1">
        <w:rPr>
          <w:rFonts w:cs="Arial"/>
          <w:szCs w:val="20"/>
        </w:rPr>
        <w:t xml:space="preserve">bilo </w:t>
      </w:r>
      <w:r w:rsidR="00D774EB" w:rsidRPr="00B148B1">
        <w:rPr>
          <w:rFonts w:cs="Arial"/>
          <w:szCs w:val="20"/>
        </w:rPr>
        <w:t>določenih 2</w:t>
      </w:r>
      <w:r w:rsidR="001C392E" w:rsidRPr="00B148B1">
        <w:rPr>
          <w:rFonts w:cs="Arial"/>
          <w:szCs w:val="20"/>
        </w:rPr>
        <w:t>.</w:t>
      </w:r>
      <w:r w:rsidR="00D774EB" w:rsidRPr="00B148B1">
        <w:rPr>
          <w:rFonts w:cs="Arial"/>
          <w:szCs w:val="20"/>
        </w:rPr>
        <w:t>232 aglomeracij</w:t>
      </w:r>
      <w:r w:rsidR="00DD64BD" w:rsidRPr="00B148B1">
        <w:rPr>
          <w:rFonts w:cs="Arial"/>
          <w:szCs w:val="20"/>
        </w:rPr>
        <w:t>.</w:t>
      </w:r>
      <w:r w:rsidR="00D774EB" w:rsidRPr="00B148B1">
        <w:rPr>
          <w:rFonts w:cs="Arial"/>
          <w:szCs w:val="20"/>
        </w:rPr>
        <w:t xml:space="preserve"> </w:t>
      </w:r>
      <w:r w:rsidR="00DD64BD" w:rsidRPr="00B148B1">
        <w:rPr>
          <w:rFonts w:cs="Arial"/>
          <w:szCs w:val="20"/>
        </w:rPr>
        <w:t>O</w:t>
      </w:r>
      <w:r w:rsidR="00D774EB" w:rsidRPr="00B148B1">
        <w:rPr>
          <w:rFonts w:cs="Arial"/>
          <w:szCs w:val="20"/>
        </w:rPr>
        <w:t>d te</w:t>
      </w:r>
      <w:r w:rsidR="00917842" w:rsidRPr="00B148B1">
        <w:rPr>
          <w:rFonts w:cs="Arial"/>
          <w:szCs w:val="20"/>
        </w:rPr>
        <w:t>h</w:t>
      </w:r>
      <w:r w:rsidR="00DE2C9A" w:rsidRPr="00B148B1">
        <w:rPr>
          <w:rFonts w:cs="Arial"/>
          <w:szCs w:val="20"/>
        </w:rPr>
        <w:t xml:space="preserve"> je bilo </w:t>
      </w:r>
      <w:r w:rsidR="00DD64BD" w:rsidRPr="00B148B1">
        <w:rPr>
          <w:rFonts w:cs="Arial"/>
          <w:szCs w:val="20"/>
        </w:rPr>
        <w:t xml:space="preserve">določenih 158 aglomeracij </w:t>
      </w:r>
      <w:r w:rsidR="00DE2C9A" w:rsidRPr="00B148B1">
        <w:rPr>
          <w:rFonts w:cs="Arial"/>
          <w:szCs w:val="20"/>
        </w:rPr>
        <w:t>s skupno obremenitvijo</w:t>
      </w:r>
      <w:r w:rsidR="00D774EB" w:rsidRPr="00B148B1">
        <w:rPr>
          <w:rFonts w:cs="Arial"/>
          <w:szCs w:val="20"/>
        </w:rPr>
        <w:t xml:space="preserve">, enako ali večjo od 2.000 PE. V predhodnem operativnem programu je </w:t>
      </w:r>
      <w:r w:rsidR="00917842" w:rsidRPr="00B148B1">
        <w:rPr>
          <w:rFonts w:cs="Arial"/>
          <w:szCs w:val="20"/>
        </w:rPr>
        <w:t xml:space="preserve">bilo </w:t>
      </w:r>
      <w:r w:rsidR="00D774EB" w:rsidRPr="00B148B1">
        <w:rPr>
          <w:rFonts w:cs="Arial"/>
          <w:szCs w:val="20"/>
        </w:rPr>
        <w:t xml:space="preserve">določenih tudi </w:t>
      </w:r>
      <w:r w:rsidR="00512ACD" w:rsidRPr="00B148B1">
        <w:rPr>
          <w:rFonts w:cs="Arial"/>
          <w:szCs w:val="20"/>
        </w:rPr>
        <w:t xml:space="preserve">devet </w:t>
      </w:r>
      <w:r w:rsidR="00D774EB" w:rsidRPr="00B148B1">
        <w:rPr>
          <w:rFonts w:cs="Arial"/>
          <w:szCs w:val="20"/>
        </w:rPr>
        <w:t xml:space="preserve">aglomeracij s skupno obremenitvijo, manjšo od 50 PE. </w:t>
      </w:r>
    </w:p>
    <w:p w:rsidR="00D774EB" w:rsidRPr="00B148B1" w:rsidRDefault="00D774EB" w:rsidP="00D774EB">
      <w:pPr>
        <w:tabs>
          <w:tab w:val="left" w:pos="9600"/>
        </w:tabs>
        <w:spacing w:before="120" w:line="280" w:lineRule="atLeast"/>
        <w:rPr>
          <w:rFonts w:cs="Arial"/>
          <w:szCs w:val="20"/>
        </w:rPr>
      </w:pPr>
      <w:r w:rsidRPr="00B148B1">
        <w:rPr>
          <w:rFonts w:cs="Arial"/>
          <w:szCs w:val="20"/>
        </w:rPr>
        <w:t>V</w:t>
      </w:r>
      <w:r w:rsidR="00917842" w:rsidRPr="00B148B1">
        <w:rPr>
          <w:rFonts w:cs="Arial"/>
          <w:szCs w:val="20"/>
        </w:rPr>
        <w:t xml:space="preserve"> preglednici</w:t>
      </w:r>
      <w:r w:rsidRPr="00B148B1">
        <w:rPr>
          <w:rFonts w:cs="Arial"/>
          <w:szCs w:val="20"/>
        </w:rPr>
        <w:t xml:space="preserve"> </w:t>
      </w:r>
      <w:r w:rsidR="00CE0EFB" w:rsidRPr="00B148B1">
        <w:rPr>
          <w:rFonts w:cs="Arial"/>
          <w:szCs w:val="20"/>
        </w:rPr>
        <w:t>(</w:t>
      </w:r>
      <w:r w:rsidRPr="00B148B1">
        <w:rPr>
          <w:rFonts w:cs="Arial"/>
          <w:szCs w:val="20"/>
        </w:rPr>
        <w:fldChar w:fldCharType="begin"/>
      </w:r>
      <w:r w:rsidRPr="00B148B1">
        <w:rPr>
          <w:rFonts w:cs="Arial"/>
          <w:szCs w:val="20"/>
        </w:rPr>
        <w:instrText xml:space="preserve"> REF _Ref446337478 \h </w:instrText>
      </w:r>
      <w:r w:rsidR="00917842" w:rsidRPr="00B148B1">
        <w:rPr>
          <w:rFonts w:cs="Arial"/>
          <w:szCs w:val="20"/>
        </w:rPr>
        <w:instrText xml:space="preserve"> \* MERGEFORMAT </w:instrText>
      </w:r>
      <w:r w:rsidRPr="00B148B1">
        <w:rPr>
          <w:rFonts w:cs="Arial"/>
          <w:szCs w:val="20"/>
        </w:rPr>
      </w:r>
      <w:r w:rsidRPr="00B148B1">
        <w:rPr>
          <w:rFonts w:cs="Arial"/>
          <w:szCs w:val="20"/>
        </w:rPr>
        <w:fldChar w:fldCharType="separate"/>
      </w:r>
      <w:r w:rsidR="00E92793" w:rsidRPr="00B148B1">
        <w:rPr>
          <w:rFonts w:cs="Arial"/>
          <w:szCs w:val="20"/>
        </w:rPr>
        <w:t xml:space="preserve">Preglednica </w:t>
      </w:r>
      <w:r w:rsidR="00E92793">
        <w:rPr>
          <w:rFonts w:cs="Arial"/>
          <w:szCs w:val="20"/>
        </w:rPr>
        <w:t>1</w:t>
      </w:r>
      <w:r w:rsidRPr="00B148B1">
        <w:rPr>
          <w:rFonts w:cs="Arial"/>
          <w:szCs w:val="20"/>
        </w:rPr>
        <w:fldChar w:fldCharType="end"/>
      </w:r>
      <w:r w:rsidR="00CE0EFB" w:rsidRPr="00B148B1">
        <w:rPr>
          <w:rFonts w:cs="Arial"/>
          <w:szCs w:val="20"/>
        </w:rPr>
        <w:t>)</w:t>
      </w:r>
      <w:r w:rsidRPr="00B148B1">
        <w:rPr>
          <w:rFonts w:cs="Arial"/>
          <w:szCs w:val="20"/>
        </w:rPr>
        <w:t xml:space="preserve"> je prikazano število aglomeracij </w:t>
      </w:r>
      <w:r w:rsidR="00917842" w:rsidRPr="00B148B1">
        <w:rPr>
          <w:rFonts w:cs="Arial"/>
          <w:szCs w:val="20"/>
        </w:rPr>
        <w:t xml:space="preserve">iz predhodnega operativnega programa </w:t>
      </w:r>
      <w:r w:rsidRPr="00B148B1">
        <w:rPr>
          <w:rFonts w:cs="Arial"/>
          <w:szCs w:val="20"/>
        </w:rPr>
        <w:t xml:space="preserve">in skupna obremenitev teh aglomeracij, ločeno </w:t>
      </w:r>
      <w:r w:rsidR="00917842" w:rsidRPr="00B148B1">
        <w:rPr>
          <w:rFonts w:cs="Arial"/>
          <w:szCs w:val="20"/>
        </w:rPr>
        <w:t>po velikostnih razredih</w:t>
      </w:r>
      <w:r w:rsidRPr="00B148B1">
        <w:rPr>
          <w:rFonts w:cs="Arial"/>
          <w:szCs w:val="20"/>
        </w:rPr>
        <w:t xml:space="preserve"> aglomeracij in glede na njihovo lego (na prispevnih območjih občutljivih območij, na vplivnih območjih kopalnih voda, na vodovarstvenih območjih in na območjih </w:t>
      </w:r>
      <w:proofErr w:type="spellStart"/>
      <w:r w:rsidRPr="00B148B1">
        <w:rPr>
          <w:rFonts w:cs="Arial"/>
          <w:szCs w:val="20"/>
        </w:rPr>
        <w:t>razpoklinskih</w:t>
      </w:r>
      <w:proofErr w:type="spellEnd"/>
      <w:r w:rsidRPr="00B148B1">
        <w:rPr>
          <w:rFonts w:cs="Arial"/>
          <w:szCs w:val="20"/>
        </w:rPr>
        <w:t xml:space="preserve"> vodonosnikov, vključno s kraškimi</w:t>
      </w:r>
      <w:r w:rsidR="00917842" w:rsidRPr="00B148B1">
        <w:rPr>
          <w:rFonts w:cs="Arial"/>
          <w:szCs w:val="20"/>
        </w:rPr>
        <w:t>)</w:t>
      </w:r>
      <w:r w:rsidR="001E6C41" w:rsidRPr="00B148B1">
        <w:rPr>
          <w:rFonts w:cs="Arial"/>
          <w:szCs w:val="20"/>
        </w:rPr>
        <w:t xml:space="preserve"> ter glede na to, ali je aglomeracija uvrščena v osnovni ali dodatni program.</w:t>
      </w:r>
    </w:p>
    <w:p w:rsidR="00D774EB" w:rsidRPr="00B148B1" w:rsidRDefault="00D774EB" w:rsidP="00BE6054">
      <w:pPr>
        <w:tabs>
          <w:tab w:val="left" w:pos="9600"/>
        </w:tabs>
        <w:spacing w:before="120" w:line="280" w:lineRule="atLeast"/>
        <w:rPr>
          <w:rFonts w:cs="Arial"/>
          <w:szCs w:val="20"/>
        </w:rPr>
      </w:pPr>
      <w:bookmarkStart w:id="45" w:name="_Ref446337478"/>
      <w:bookmarkStart w:id="46" w:name="_Toc50626717"/>
      <w:r w:rsidRPr="00B148B1">
        <w:rPr>
          <w:rFonts w:cs="Arial"/>
          <w:szCs w:val="20"/>
        </w:rPr>
        <w:t xml:space="preserve">Preglednica </w:t>
      </w:r>
      <w:r w:rsidRPr="00B148B1">
        <w:rPr>
          <w:rFonts w:cs="Arial"/>
          <w:szCs w:val="20"/>
        </w:rPr>
        <w:fldChar w:fldCharType="begin"/>
      </w:r>
      <w:r w:rsidRPr="00B148B1">
        <w:rPr>
          <w:rFonts w:cs="Arial"/>
          <w:szCs w:val="20"/>
        </w:rPr>
        <w:instrText xml:space="preserve"> SEQ Preglednica \* ARABIC </w:instrText>
      </w:r>
      <w:r w:rsidRPr="00B148B1">
        <w:rPr>
          <w:rFonts w:cs="Arial"/>
          <w:szCs w:val="20"/>
        </w:rPr>
        <w:fldChar w:fldCharType="separate"/>
      </w:r>
      <w:r w:rsidR="00E92793">
        <w:rPr>
          <w:rFonts w:cs="Arial"/>
          <w:noProof/>
          <w:szCs w:val="20"/>
        </w:rPr>
        <w:t>1</w:t>
      </w:r>
      <w:r w:rsidRPr="00B148B1">
        <w:rPr>
          <w:rFonts w:cs="Arial"/>
          <w:szCs w:val="20"/>
        </w:rPr>
        <w:fldChar w:fldCharType="end"/>
      </w:r>
      <w:bookmarkEnd w:id="45"/>
      <w:r w:rsidRPr="00B148B1">
        <w:rPr>
          <w:rFonts w:cs="Arial"/>
          <w:szCs w:val="20"/>
        </w:rPr>
        <w:t xml:space="preserve">: Število in skupna obremenitev aglomeracij </w:t>
      </w:r>
      <w:r w:rsidR="00917842" w:rsidRPr="00B148B1">
        <w:rPr>
          <w:rFonts w:cs="Arial"/>
          <w:szCs w:val="20"/>
        </w:rPr>
        <w:t xml:space="preserve">iz predhodnega operativnega programa </w:t>
      </w:r>
      <w:r w:rsidRPr="00B148B1">
        <w:rPr>
          <w:rFonts w:cs="Arial"/>
          <w:szCs w:val="20"/>
        </w:rPr>
        <w:t>po velikostnih razredih in legi</w:t>
      </w:r>
      <w:bookmarkEnd w:id="46"/>
    </w:p>
    <w:tbl>
      <w:tblPr>
        <w:tblStyle w:val="Tabelamrea"/>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Caption w:val="Število in skupna obremenitev aglomeracij iz predhodnega operativnega programa po velikostnih razredih in legi"/>
        <w:tblDescription w:val="Število in skupna obremenitev aglomeracij iz predhodnega operativnega programa po velikostnih razredih in legi"/>
      </w:tblPr>
      <w:tblGrid>
        <w:gridCol w:w="3652"/>
        <w:gridCol w:w="2484"/>
        <w:gridCol w:w="3068"/>
      </w:tblGrid>
      <w:tr w:rsidR="00D774EB" w:rsidRPr="00B148B1" w:rsidTr="00385BB8">
        <w:trPr>
          <w:cantSplit/>
          <w:trHeight w:val="340"/>
          <w:tblHeader/>
        </w:trPr>
        <w:tc>
          <w:tcPr>
            <w:tcW w:w="3652" w:type="dxa"/>
            <w:vAlign w:val="center"/>
          </w:tcPr>
          <w:p w:rsidR="00D774EB" w:rsidRPr="00B148B1" w:rsidRDefault="00D774EB" w:rsidP="006A72BD">
            <w:pPr>
              <w:tabs>
                <w:tab w:val="left" w:pos="851"/>
                <w:tab w:val="left" w:pos="1418"/>
                <w:tab w:val="left" w:pos="9600"/>
              </w:tabs>
              <w:spacing w:line="240" w:lineRule="auto"/>
              <w:rPr>
                <w:rFonts w:cs="Arial"/>
                <w:b/>
                <w:szCs w:val="20"/>
              </w:rPr>
            </w:pPr>
            <w:r w:rsidRPr="00B148B1">
              <w:rPr>
                <w:rFonts w:cs="Arial"/>
                <w:b/>
                <w:szCs w:val="20"/>
              </w:rPr>
              <w:t>Aglomeracije</w:t>
            </w:r>
          </w:p>
        </w:tc>
        <w:tc>
          <w:tcPr>
            <w:tcW w:w="2484" w:type="dxa"/>
            <w:vAlign w:val="center"/>
          </w:tcPr>
          <w:p w:rsidR="00D774EB" w:rsidRPr="00B148B1" w:rsidRDefault="00D774EB" w:rsidP="006A72BD">
            <w:pPr>
              <w:tabs>
                <w:tab w:val="left" w:pos="851"/>
                <w:tab w:val="left" w:pos="1418"/>
                <w:tab w:val="left" w:pos="9600"/>
              </w:tabs>
              <w:spacing w:line="240" w:lineRule="auto"/>
              <w:jc w:val="center"/>
              <w:rPr>
                <w:rFonts w:cs="Arial"/>
                <w:b/>
                <w:szCs w:val="20"/>
              </w:rPr>
            </w:pPr>
            <w:r w:rsidRPr="00B148B1">
              <w:rPr>
                <w:rFonts w:cs="Arial"/>
                <w:b/>
                <w:szCs w:val="20"/>
              </w:rPr>
              <w:t>Število</w:t>
            </w:r>
          </w:p>
        </w:tc>
        <w:tc>
          <w:tcPr>
            <w:tcW w:w="3068" w:type="dxa"/>
            <w:vAlign w:val="center"/>
          </w:tcPr>
          <w:p w:rsidR="00D774EB" w:rsidRPr="00B148B1" w:rsidRDefault="00D774EB" w:rsidP="006A72BD">
            <w:pPr>
              <w:tabs>
                <w:tab w:val="left" w:pos="851"/>
                <w:tab w:val="left" w:pos="1418"/>
                <w:tab w:val="left" w:pos="9600"/>
              </w:tabs>
              <w:spacing w:line="240" w:lineRule="auto"/>
              <w:jc w:val="center"/>
              <w:rPr>
                <w:rFonts w:cs="Arial"/>
                <w:b/>
                <w:szCs w:val="20"/>
              </w:rPr>
            </w:pPr>
            <w:r w:rsidRPr="00B148B1">
              <w:rPr>
                <w:rFonts w:cs="Arial"/>
                <w:b/>
                <w:szCs w:val="20"/>
              </w:rPr>
              <w:t>Skupna obremenitev</w:t>
            </w:r>
            <w:r w:rsidRPr="00B148B1">
              <w:rPr>
                <w:rFonts w:cs="Arial"/>
                <w:b/>
                <w:szCs w:val="20"/>
                <w:vertAlign w:val="superscript"/>
              </w:rPr>
              <w:t>(1)</w:t>
            </w:r>
          </w:p>
        </w:tc>
      </w:tr>
      <w:tr w:rsidR="00D774EB" w:rsidRPr="00B148B1" w:rsidTr="00385BB8">
        <w:trPr>
          <w:cantSplit/>
          <w:trHeight w:val="340"/>
          <w:tblHeader/>
        </w:trPr>
        <w:tc>
          <w:tcPr>
            <w:tcW w:w="3652" w:type="dxa"/>
            <w:vAlign w:val="center"/>
          </w:tcPr>
          <w:p w:rsidR="00D774EB" w:rsidRPr="00B148B1" w:rsidRDefault="00D774EB" w:rsidP="006A72BD">
            <w:pPr>
              <w:tabs>
                <w:tab w:val="left" w:pos="851"/>
                <w:tab w:val="left" w:pos="1418"/>
                <w:tab w:val="left" w:pos="9600"/>
              </w:tabs>
              <w:spacing w:line="240" w:lineRule="auto"/>
              <w:jc w:val="center"/>
              <w:rPr>
                <w:rFonts w:cs="Arial"/>
                <w:b/>
                <w:szCs w:val="20"/>
              </w:rPr>
            </w:pPr>
          </w:p>
        </w:tc>
        <w:tc>
          <w:tcPr>
            <w:tcW w:w="2484" w:type="dxa"/>
            <w:vAlign w:val="center"/>
          </w:tcPr>
          <w:p w:rsidR="00D774EB" w:rsidRPr="00B148B1" w:rsidRDefault="00D774EB" w:rsidP="006A72BD">
            <w:pPr>
              <w:tabs>
                <w:tab w:val="left" w:pos="851"/>
                <w:tab w:val="left" w:pos="1418"/>
                <w:tab w:val="left" w:pos="9600"/>
              </w:tabs>
              <w:spacing w:line="240" w:lineRule="auto"/>
              <w:jc w:val="center"/>
              <w:rPr>
                <w:rFonts w:cs="Arial"/>
                <w:b/>
                <w:szCs w:val="20"/>
              </w:rPr>
            </w:pPr>
          </w:p>
        </w:tc>
        <w:tc>
          <w:tcPr>
            <w:tcW w:w="3068" w:type="dxa"/>
            <w:vAlign w:val="center"/>
          </w:tcPr>
          <w:p w:rsidR="00D774EB" w:rsidRPr="00B148B1" w:rsidRDefault="00D774EB" w:rsidP="006A72BD">
            <w:pPr>
              <w:tabs>
                <w:tab w:val="left" w:pos="851"/>
                <w:tab w:val="left" w:pos="1418"/>
                <w:tab w:val="left" w:pos="9600"/>
              </w:tabs>
              <w:spacing w:line="240" w:lineRule="auto"/>
              <w:jc w:val="center"/>
              <w:rPr>
                <w:rFonts w:cs="Arial"/>
                <w:b/>
                <w:szCs w:val="20"/>
              </w:rPr>
            </w:pPr>
            <w:r w:rsidRPr="00B148B1">
              <w:rPr>
                <w:rFonts w:cs="Arial"/>
                <w:b/>
                <w:szCs w:val="20"/>
              </w:rPr>
              <w:t>[PE]</w:t>
            </w:r>
          </w:p>
        </w:tc>
      </w:tr>
      <w:tr w:rsidR="00D774EB" w:rsidRPr="00B148B1" w:rsidTr="00385BB8">
        <w:trPr>
          <w:cantSplit/>
          <w:trHeight w:val="340"/>
        </w:trPr>
        <w:tc>
          <w:tcPr>
            <w:tcW w:w="9204" w:type="dxa"/>
            <w:gridSpan w:val="3"/>
            <w:vAlign w:val="center"/>
          </w:tcPr>
          <w:p w:rsidR="00D774EB" w:rsidRPr="00B148B1" w:rsidRDefault="00D774EB" w:rsidP="006A72BD">
            <w:pPr>
              <w:tabs>
                <w:tab w:val="left" w:pos="851"/>
                <w:tab w:val="left" w:pos="1418"/>
                <w:tab w:val="left" w:pos="9600"/>
              </w:tabs>
              <w:spacing w:line="240" w:lineRule="auto"/>
              <w:rPr>
                <w:rFonts w:cs="Arial"/>
                <w:b/>
                <w:szCs w:val="20"/>
              </w:rPr>
            </w:pPr>
            <w:r w:rsidRPr="00B148B1">
              <w:rPr>
                <w:rFonts w:cs="Arial"/>
                <w:b/>
                <w:i/>
                <w:color w:val="000000"/>
                <w:szCs w:val="20"/>
              </w:rPr>
              <w:lastRenderedPageBreak/>
              <w:t>Aglomeracije v Republiki Sloveniji</w:t>
            </w:r>
          </w:p>
        </w:tc>
      </w:tr>
      <w:tr w:rsidR="004B3FD9" w:rsidRPr="00B148B1" w:rsidTr="00385BB8">
        <w:trPr>
          <w:cantSplit/>
          <w:trHeight w:val="340"/>
        </w:trPr>
        <w:tc>
          <w:tcPr>
            <w:tcW w:w="3652" w:type="dxa"/>
            <w:vAlign w:val="center"/>
          </w:tcPr>
          <w:p w:rsidR="004B3FD9" w:rsidRPr="00B148B1" w:rsidRDefault="004B3FD9" w:rsidP="006A72BD">
            <w:pPr>
              <w:spacing w:line="240" w:lineRule="auto"/>
              <w:rPr>
                <w:rFonts w:cs="Arial"/>
                <w:i/>
                <w:color w:val="000000"/>
                <w:szCs w:val="20"/>
              </w:rPr>
            </w:pPr>
            <w:r w:rsidRPr="00B148B1">
              <w:rPr>
                <w:rFonts w:cs="Arial"/>
                <w:i/>
                <w:color w:val="000000"/>
                <w:szCs w:val="20"/>
              </w:rPr>
              <w:t>Osnovni program</w:t>
            </w:r>
          </w:p>
        </w:tc>
        <w:tc>
          <w:tcPr>
            <w:tcW w:w="2484" w:type="dxa"/>
            <w:vAlign w:val="center"/>
          </w:tcPr>
          <w:p w:rsidR="004B3FD9" w:rsidRPr="00B148B1" w:rsidRDefault="004B3FD9" w:rsidP="008F36B7">
            <w:pPr>
              <w:spacing w:line="240" w:lineRule="auto"/>
              <w:jc w:val="center"/>
              <w:rPr>
                <w:rFonts w:cs="Arial"/>
                <w:i/>
                <w:iCs/>
                <w:color w:val="000000"/>
                <w:szCs w:val="20"/>
              </w:rPr>
            </w:pPr>
            <w:r w:rsidRPr="00B148B1">
              <w:rPr>
                <w:rFonts w:cs="Arial"/>
                <w:i/>
                <w:iCs/>
                <w:color w:val="000000"/>
                <w:szCs w:val="20"/>
              </w:rPr>
              <w:t>1.391</w:t>
            </w:r>
          </w:p>
        </w:tc>
        <w:tc>
          <w:tcPr>
            <w:tcW w:w="3068" w:type="dxa"/>
            <w:vAlign w:val="center"/>
          </w:tcPr>
          <w:p w:rsidR="004B3FD9" w:rsidRPr="00B148B1" w:rsidRDefault="004B3FD9" w:rsidP="008F36B7">
            <w:pPr>
              <w:spacing w:line="240" w:lineRule="auto"/>
              <w:jc w:val="center"/>
              <w:rPr>
                <w:rFonts w:cs="Arial"/>
                <w:i/>
                <w:iCs/>
                <w:color w:val="000000"/>
                <w:szCs w:val="20"/>
              </w:rPr>
            </w:pPr>
            <w:r w:rsidRPr="00B148B1">
              <w:rPr>
                <w:rFonts w:cs="Arial"/>
                <w:i/>
                <w:iCs/>
                <w:color w:val="000000"/>
                <w:szCs w:val="20"/>
              </w:rPr>
              <w:t>1.888.957</w:t>
            </w:r>
          </w:p>
        </w:tc>
      </w:tr>
      <w:tr w:rsidR="004B3FD9" w:rsidRPr="00B148B1" w:rsidTr="00385BB8">
        <w:trPr>
          <w:cantSplit/>
          <w:trHeight w:val="340"/>
        </w:trPr>
        <w:tc>
          <w:tcPr>
            <w:tcW w:w="3652" w:type="dxa"/>
            <w:vAlign w:val="center"/>
          </w:tcPr>
          <w:p w:rsidR="004B3FD9" w:rsidRPr="00B148B1" w:rsidRDefault="004B3FD9" w:rsidP="006A72BD">
            <w:pPr>
              <w:spacing w:line="240" w:lineRule="auto"/>
              <w:jc w:val="right"/>
              <w:rPr>
                <w:rFonts w:cs="Arial"/>
                <w:color w:val="000000"/>
                <w:szCs w:val="20"/>
              </w:rPr>
            </w:pPr>
            <w:r w:rsidRPr="00B148B1">
              <w:rPr>
                <w:rFonts w:cs="Arial"/>
                <w:color w:val="000000"/>
                <w:szCs w:val="20"/>
              </w:rPr>
              <w:t>aglomeracije ≥ 10.000 PE</w:t>
            </w:r>
          </w:p>
        </w:tc>
        <w:tc>
          <w:tcPr>
            <w:tcW w:w="2484" w:type="dxa"/>
            <w:vAlign w:val="center"/>
          </w:tcPr>
          <w:p w:rsidR="004B3FD9" w:rsidRPr="00B148B1" w:rsidRDefault="004B3FD9" w:rsidP="008F36B7">
            <w:pPr>
              <w:spacing w:line="240" w:lineRule="auto"/>
              <w:jc w:val="center"/>
              <w:rPr>
                <w:rFonts w:cs="Arial"/>
                <w:color w:val="000000"/>
                <w:szCs w:val="20"/>
              </w:rPr>
            </w:pPr>
            <w:r w:rsidRPr="00B148B1">
              <w:rPr>
                <w:rFonts w:cs="Arial"/>
                <w:color w:val="000000"/>
                <w:szCs w:val="20"/>
              </w:rPr>
              <w:t>26</w:t>
            </w:r>
          </w:p>
        </w:tc>
        <w:tc>
          <w:tcPr>
            <w:tcW w:w="3068" w:type="dxa"/>
            <w:vAlign w:val="center"/>
          </w:tcPr>
          <w:p w:rsidR="004B3FD9" w:rsidRPr="00B148B1" w:rsidRDefault="004B3FD9" w:rsidP="008F36B7">
            <w:pPr>
              <w:spacing w:line="240" w:lineRule="auto"/>
              <w:jc w:val="center"/>
              <w:rPr>
                <w:rFonts w:cs="Arial"/>
                <w:color w:val="000000"/>
                <w:szCs w:val="20"/>
              </w:rPr>
            </w:pPr>
            <w:r w:rsidRPr="00B148B1">
              <w:rPr>
                <w:rFonts w:cs="Arial"/>
                <w:color w:val="000000"/>
                <w:szCs w:val="20"/>
              </w:rPr>
              <w:t>938.304</w:t>
            </w:r>
          </w:p>
        </w:tc>
      </w:tr>
      <w:tr w:rsidR="004B3FD9" w:rsidRPr="00B148B1" w:rsidTr="00385BB8">
        <w:trPr>
          <w:cantSplit/>
          <w:trHeight w:val="340"/>
        </w:trPr>
        <w:tc>
          <w:tcPr>
            <w:tcW w:w="3652" w:type="dxa"/>
            <w:vAlign w:val="center"/>
          </w:tcPr>
          <w:p w:rsidR="004B3FD9" w:rsidRPr="00B148B1" w:rsidRDefault="004B3FD9" w:rsidP="00512ACD">
            <w:pPr>
              <w:spacing w:line="240" w:lineRule="auto"/>
              <w:jc w:val="right"/>
              <w:rPr>
                <w:rFonts w:cs="Arial"/>
                <w:color w:val="000000"/>
                <w:szCs w:val="20"/>
              </w:rPr>
            </w:pPr>
            <w:r w:rsidRPr="00B148B1">
              <w:rPr>
                <w:rFonts w:cs="Arial"/>
                <w:color w:val="000000"/>
                <w:szCs w:val="20"/>
              </w:rPr>
              <w:t xml:space="preserve">aglomeracije </w:t>
            </w:r>
            <w:r w:rsidR="00512ACD" w:rsidRPr="00B148B1">
              <w:rPr>
                <w:rFonts w:cs="Arial"/>
                <w:color w:val="000000"/>
                <w:szCs w:val="20"/>
              </w:rPr>
              <w:t xml:space="preserve">od </w:t>
            </w:r>
            <w:r w:rsidRPr="00B148B1">
              <w:rPr>
                <w:rFonts w:cs="Arial"/>
                <w:color w:val="000000"/>
                <w:szCs w:val="20"/>
              </w:rPr>
              <w:t xml:space="preserve">2.000 </w:t>
            </w:r>
            <w:r w:rsidR="00512ACD" w:rsidRPr="00B148B1">
              <w:rPr>
                <w:rFonts w:cs="Arial"/>
                <w:color w:val="000000"/>
                <w:szCs w:val="20"/>
              </w:rPr>
              <w:t xml:space="preserve">do </w:t>
            </w:r>
            <w:r w:rsidRPr="00B148B1">
              <w:rPr>
                <w:rFonts w:cs="Arial"/>
                <w:color w:val="000000"/>
                <w:szCs w:val="20"/>
              </w:rPr>
              <w:t>10.000 PE</w:t>
            </w:r>
          </w:p>
        </w:tc>
        <w:tc>
          <w:tcPr>
            <w:tcW w:w="2484" w:type="dxa"/>
            <w:vAlign w:val="center"/>
          </w:tcPr>
          <w:p w:rsidR="004B3FD9" w:rsidRPr="00B148B1" w:rsidRDefault="004B3FD9" w:rsidP="008F36B7">
            <w:pPr>
              <w:spacing w:line="240" w:lineRule="auto"/>
              <w:jc w:val="center"/>
              <w:rPr>
                <w:rFonts w:cs="Arial"/>
                <w:color w:val="000000"/>
                <w:szCs w:val="20"/>
              </w:rPr>
            </w:pPr>
            <w:r w:rsidRPr="00B148B1">
              <w:rPr>
                <w:rFonts w:cs="Arial"/>
                <w:color w:val="000000"/>
                <w:szCs w:val="20"/>
              </w:rPr>
              <w:t>132</w:t>
            </w:r>
          </w:p>
        </w:tc>
        <w:tc>
          <w:tcPr>
            <w:tcW w:w="3068" w:type="dxa"/>
            <w:vAlign w:val="center"/>
          </w:tcPr>
          <w:p w:rsidR="004B3FD9" w:rsidRPr="00B148B1" w:rsidRDefault="004B3FD9" w:rsidP="008F36B7">
            <w:pPr>
              <w:spacing w:line="240" w:lineRule="auto"/>
              <w:jc w:val="center"/>
              <w:rPr>
                <w:rFonts w:cs="Arial"/>
                <w:color w:val="000000"/>
                <w:szCs w:val="20"/>
              </w:rPr>
            </w:pPr>
            <w:r w:rsidRPr="00B148B1">
              <w:rPr>
                <w:rFonts w:cs="Arial"/>
                <w:color w:val="000000"/>
                <w:szCs w:val="20"/>
              </w:rPr>
              <w:t>523.917</w:t>
            </w:r>
          </w:p>
        </w:tc>
      </w:tr>
      <w:tr w:rsidR="004B3FD9" w:rsidRPr="00B148B1" w:rsidTr="00385BB8">
        <w:trPr>
          <w:cantSplit/>
          <w:trHeight w:val="340"/>
        </w:trPr>
        <w:tc>
          <w:tcPr>
            <w:tcW w:w="3652" w:type="dxa"/>
            <w:vAlign w:val="center"/>
          </w:tcPr>
          <w:p w:rsidR="004B3FD9" w:rsidRPr="00B148B1" w:rsidRDefault="004B3FD9" w:rsidP="00512ACD">
            <w:pPr>
              <w:spacing w:line="240" w:lineRule="auto"/>
              <w:jc w:val="right"/>
              <w:rPr>
                <w:rFonts w:cs="Arial"/>
                <w:color w:val="000000"/>
                <w:szCs w:val="20"/>
              </w:rPr>
            </w:pPr>
            <w:r w:rsidRPr="00B148B1">
              <w:rPr>
                <w:rFonts w:cs="Arial"/>
                <w:color w:val="000000"/>
                <w:szCs w:val="20"/>
              </w:rPr>
              <w:t xml:space="preserve">aglomeracije </w:t>
            </w:r>
            <w:r w:rsidR="00512ACD" w:rsidRPr="00B148B1">
              <w:rPr>
                <w:rFonts w:cs="Arial"/>
                <w:color w:val="000000"/>
                <w:szCs w:val="20"/>
              </w:rPr>
              <w:t xml:space="preserve">od </w:t>
            </w:r>
            <w:r w:rsidRPr="00B148B1">
              <w:rPr>
                <w:rFonts w:cs="Arial"/>
                <w:color w:val="000000"/>
                <w:szCs w:val="20"/>
              </w:rPr>
              <w:t xml:space="preserve">500 </w:t>
            </w:r>
            <w:r w:rsidR="00512ACD" w:rsidRPr="00B148B1">
              <w:rPr>
                <w:rFonts w:cs="Arial"/>
                <w:color w:val="000000"/>
                <w:szCs w:val="20"/>
              </w:rPr>
              <w:t>do</w:t>
            </w:r>
            <w:r w:rsidRPr="00B148B1">
              <w:rPr>
                <w:rFonts w:cs="Arial"/>
                <w:color w:val="000000"/>
                <w:szCs w:val="20"/>
              </w:rPr>
              <w:t xml:space="preserve"> 2.000 PE</w:t>
            </w:r>
          </w:p>
        </w:tc>
        <w:tc>
          <w:tcPr>
            <w:tcW w:w="2484" w:type="dxa"/>
            <w:vAlign w:val="center"/>
          </w:tcPr>
          <w:p w:rsidR="004B3FD9" w:rsidRPr="00B148B1" w:rsidRDefault="004B3FD9" w:rsidP="008F36B7">
            <w:pPr>
              <w:spacing w:line="240" w:lineRule="auto"/>
              <w:jc w:val="center"/>
              <w:rPr>
                <w:rFonts w:cs="Arial"/>
                <w:color w:val="000000"/>
                <w:szCs w:val="20"/>
              </w:rPr>
            </w:pPr>
            <w:r w:rsidRPr="00B148B1">
              <w:rPr>
                <w:rFonts w:cs="Arial"/>
                <w:color w:val="000000"/>
                <w:szCs w:val="20"/>
              </w:rPr>
              <w:t>250</w:t>
            </w:r>
          </w:p>
        </w:tc>
        <w:tc>
          <w:tcPr>
            <w:tcW w:w="3068" w:type="dxa"/>
            <w:vAlign w:val="center"/>
          </w:tcPr>
          <w:p w:rsidR="004B3FD9" w:rsidRPr="00B148B1" w:rsidRDefault="004B3FD9" w:rsidP="008F36B7">
            <w:pPr>
              <w:spacing w:line="240" w:lineRule="auto"/>
              <w:jc w:val="center"/>
              <w:rPr>
                <w:rFonts w:cs="Arial"/>
                <w:color w:val="000000"/>
                <w:szCs w:val="20"/>
              </w:rPr>
            </w:pPr>
            <w:r w:rsidRPr="00B148B1">
              <w:rPr>
                <w:rFonts w:cs="Arial"/>
                <w:color w:val="000000"/>
                <w:szCs w:val="20"/>
              </w:rPr>
              <w:t>248.885</w:t>
            </w:r>
          </w:p>
        </w:tc>
      </w:tr>
      <w:tr w:rsidR="004B3FD9" w:rsidRPr="00B148B1" w:rsidTr="00385BB8">
        <w:trPr>
          <w:cantSplit/>
          <w:trHeight w:val="340"/>
        </w:trPr>
        <w:tc>
          <w:tcPr>
            <w:tcW w:w="3652" w:type="dxa"/>
            <w:vAlign w:val="center"/>
          </w:tcPr>
          <w:p w:rsidR="004B3FD9" w:rsidRPr="00B148B1" w:rsidRDefault="004B3FD9" w:rsidP="00512ACD">
            <w:pPr>
              <w:spacing w:line="240" w:lineRule="auto"/>
              <w:jc w:val="right"/>
              <w:rPr>
                <w:rFonts w:cs="Arial"/>
                <w:color w:val="000000"/>
                <w:szCs w:val="20"/>
              </w:rPr>
            </w:pPr>
            <w:r w:rsidRPr="00B148B1">
              <w:rPr>
                <w:rFonts w:cs="Arial"/>
                <w:color w:val="000000"/>
                <w:szCs w:val="20"/>
              </w:rPr>
              <w:t xml:space="preserve">aglomeracije </w:t>
            </w:r>
            <w:r w:rsidR="00512ACD" w:rsidRPr="00B148B1">
              <w:rPr>
                <w:rFonts w:cs="Arial"/>
                <w:color w:val="000000"/>
                <w:szCs w:val="20"/>
              </w:rPr>
              <w:t>od</w:t>
            </w:r>
            <w:r w:rsidRPr="00B148B1">
              <w:rPr>
                <w:rFonts w:cs="Arial"/>
                <w:color w:val="000000"/>
                <w:szCs w:val="20"/>
              </w:rPr>
              <w:t xml:space="preserve"> 50 </w:t>
            </w:r>
            <w:r w:rsidR="00512ACD" w:rsidRPr="00B148B1">
              <w:rPr>
                <w:rFonts w:cs="Arial"/>
                <w:color w:val="000000"/>
                <w:szCs w:val="20"/>
              </w:rPr>
              <w:t xml:space="preserve">do </w:t>
            </w:r>
            <w:r w:rsidRPr="00B148B1">
              <w:rPr>
                <w:rFonts w:cs="Arial"/>
                <w:color w:val="000000"/>
                <w:szCs w:val="20"/>
              </w:rPr>
              <w:t>500 PE</w:t>
            </w:r>
          </w:p>
        </w:tc>
        <w:tc>
          <w:tcPr>
            <w:tcW w:w="2484" w:type="dxa"/>
            <w:vAlign w:val="center"/>
          </w:tcPr>
          <w:p w:rsidR="004B3FD9" w:rsidRPr="00B148B1" w:rsidRDefault="004B3FD9" w:rsidP="008F36B7">
            <w:pPr>
              <w:spacing w:line="240" w:lineRule="auto"/>
              <w:jc w:val="center"/>
              <w:rPr>
                <w:rFonts w:cs="Arial"/>
                <w:color w:val="000000"/>
                <w:szCs w:val="20"/>
              </w:rPr>
            </w:pPr>
            <w:r w:rsidRPr="00B148B1">
              <w:rPr>
                <w:rFonts w:cs="Arial"/>
                <w:color w:val="000000"/>
                <w:szCs w:val="20"/>
              </w:rPr>
              <w:t>983</w:t>
            </w:r>
          </w:p>
        </w:tc>
        <w:tc>
          <w:tcPr>
            <w:tcW w:w="3068" w:type="dxa"/>
            <w:vAlign w:val="center"/>
          </w:tcPr>
          <w:p w:rsidR="004B3FD9" w:rsidRPr="00B148B1" w:rsidRDefault="004B3FD9" w:rsidP="008F36B7">
            <w:pPr>
              <w:spacing w:line="240" w:lineRule="auto"/>
              <w:jc w:val="center"/>
              <w:rPr>
                <w:rFonts w:cs="Arial"/>
                <w:color w:val="000000"/>
                <w:szCs w:val="20"/>
              </w:rPr>
            </w:pPr>
            <w:r w:rsidRPr="00B148B1">
              <w:rPr>
                <w:rFonts w:cs="Arial"/>
                <w:color w:val="000000"/>
                <w:szCs w:val="20"/>
              </w:rPr>
              <w:t>177.852</w:t>
            </w:r>
          </w:p>
        </w:tc>
      </w:tr>
      <w:tr w:rsidR="004B3FD9" w:rsidRPr="00B148B1" w:rsidTr="00385BB8">
        <w:trPr>
          <w:cantSplit/>
          <w:trHeight w:val="340"/>
        </w:trPr>
        <w:tc>
          <w:tcPr>
            <w:tcW w:w="3652" w:type="dxa"/>
            <w:vAlign w:val="center"/>
          </w:tcPr>
          <w:p w:rsidR="004B3FD9" w:rsidRPr="00B148B1" w:rsidRDefault="004B3FD9" w:rsidP="006A72BD">
            <w:pPr>
              <w:spacing w:line="240" w:lineRule="auto"/>
              <w:rPr>
                <w:rFonts w:cs="Arial"/>
                <w:i/>
                <w:color w:val="000000"/>
                <w:szCs w:val="20"/>
              </w:rPr>
            </w:pPr>
            <w:r w:rsidRPr="00B148B1">
              <w:rPr>
                <w:rFonts w:cs="Arial"/>
                <w:i/>
                <w:color w:val="000000"/>
                <w:szCs w:val="20"/>
              </w:rPr>
              <w:t>Dodatni program</w:t>
            </w:r>
          </w:p>
        </w:tc>
        <w:tc>
          <w:tcPr>
            <w:tcW w:w="2484" w:type="dxa"/>
            <w:vAlign w:val="center"/>
          </w:tcPr>
          <w:p w:rsidR="004B3FD9" w:rsidRPr="00B148B1" w:rsidRDefault="004B3FD9" w:rsidP="008F36B7">
            <w:pPr>
              <w:spacing w:line="240" w:lineRule="auto"/>
              <w:jc w:val="center"/>
              <w:rPr>
                <w:rFonts w:cs="Arial"/>
                <w:i/>
                <w:iCs/>
                <w:color w:val="000000"/>
                <w:szCs w:val="20"/>
              </w:rPr>
            </w:pPr>
            <w:r w:rsidRPr="00B148B1">
              <w:rPr>
                <w:rFonts w:cs="Arial"/>
                <w:i/>
                <w:iCs/>
                <w:color w:val="000000"/>
                <w:szCs w:val="20"/>
              </w:rPr>
              <w:t>841</w:t>
            </w:r>
          </w:p>
        </w:tc>
        <w:tc>
          <w:tcPr>
            <w:tcW w:w="3068" w:type="dxa"/>
            <w:vAlign w:val="center"/>
          </w:tcPr>
          <w:p w:rsidR="004B3FD9" w:rsidRPr="00B148B1" w:rsidRDefault="004B3FD9" w:rsidP="008F36B7">
            <w:pPr>
              <w:spacing w:line="240" w:lineRule="auto"/>
              <w:jc w:val="center"/>
              <w:rPr>
                <w:rFonts w:cs="Arial"/>
                <w:i/>
                <w:iCs/>
                <w:color w:val="000000"/>
                <w:szCs w:val="20"/>
              </w:rPr>
            </w:pPr>
            <w:r w:rsidRPr="00B148B1">
              <w:rPr>
                <w:rFonts w:cs="Arial"/>
                <w:i/>
                <w:iCs/>
                <w:color w:val="000000"/>
                <w:szCs w:val="20"/>
              </w:rPr>
              <w:t>218.123</w:t>
            </w:r>
          </w:p>
        </w:tc>
      </w:tr>
      <w:tr w:rsidR="004B3FD9" w:rsidRPr="00B148B1" w:rsidTr="00385BB8">
        <w:trPr>
          <w:cantSplit/>
          <w:trHeight w:val="340"/>
        </w:trPr>
        <w:tc>
          <w:tcPr>
            <w:tcW w:w="3652" w:type="dxa"/>
            <w:vAlign w:val="center"/>
          </w:tcPr>
          <w:p w:rsidR="004B3FD9" w:rsidRPr="00B148B1" w:rsidRDefault="004B3FD9" w:rsidP="00512ACD">
            <w:pPr>
              <w:spacing w:line="240" w:lineRule="auto"/>
              <w:jc w:val="right"/>
              <w:rPr>
                <w:rFonts w:cs="Arial"/>
                <w:color w:val="000000"/>
                <w:szCs w:val="20"/>
              </w:rPr>
            </w:pPr>
            <w:r w:rsidRPr="00B148B1">
              <w:rPr>
                <w:rFonts w:cs="Arial"/>
                <w:color w:val="000000"/>
                <w:szCs w:val="20"/>
              </w:rPr>
              <w:t xml:space="preserve">aglomeracije </w:t>
            </w:r>
            <w:r w:rsidR="00512ACD" w:rsidRPr="00B148B1">
              <w:rPr>
                <w:rFonts w:cs="Arial"/>
                <w:color w:val="000000"/>
                <w:szCs w:val="20"/>
              </w:rPr>
              <w:t xml:space="preserve">od </w:t>
            </w:r>
            <w:r w:rsidRPr="00B148B1">
              <w:rPr>
                <w:rFonts w:cs="Arial"/>
                <w:color w:val="000000"/>
                <w:szCs w:val="20"/>
              </w:rPr>
              <w:t>500</w:t>
            </w:r>
            <w:r w:rsidR="00512ACD" w:rsidRPr="00B148B1">
              <w:rPr>
                <w:rFonts w:cs="Arial"/>
                <w:color w:val="000000"/>
                <w:szCs w:val="20"/>
              </w:rPr>
              <w:t xml:space="preserve"> do</w:t>
            </w:r>
            <w:r w:rsidRPr="00B148B1">
              <w:rPr>
                <w:rFonts w:cs="Arial"/>
                <w:color w:val="000000"/>
                <w:szCs w:val="20"/>
              </w:rPr>
              <w:t xml:space="preserve"> 2.000 PE</w:t>
            </w:r>
          </w:p>
        </w:tc>
        <w:tc>
          <w:tcPr>
            <w:tcW w:w="2484" w:type="dxa"/>
            <w:vAlign w:val="center"/>
          </w:tcPr>
          <w:p w:rsidR="004B3FD9" w:rsidRPr="00B148B1" w:rsidRDefault="004B3FD9" w:rsidP="008F36B7">
            <w:pPr>
              <w:spacing w:line="240" w:lineRule="auto"/>
              <w:jc w:val="center"/>
              <w:rPr>
                <w:rFonts w:cs="Arial"/>
                <w:color w:val="000000"/>
                <w:szCs w:val="20"/>
              </w:rPr>
            </w:pPr>
            <w:r w:rsidRPr="00B148B1">
              <w:rPr>
                <w:rFonts w:cs="Arial"/>
                <w:color w:val="000000"/>
                <w:szCs w:val="20"/>
              </w:rPr>
              <w:t>105</w:t>
            </w:r>
          </w:p>
        </w:tc>
        <w:tc>
          <w:tcPr>
            <w:tcW w:w="3068" w:type="dxa"/>
            <w:vAlign w:val="center"/>
          </w:tcPr>
          <w:p w:rsidR="004B3FD9" w:rsidRPr="00B148B1" w:rsidRDefault="004B3FD9" w:rsidP="008F36B7">
            <w:pPr>
              <w:spacing w:line="240" w:lineRule="auto"/>
              <w:jc w:val="center"/>
              <w:rPr>
                <w:rFonts w:cs="Arial"/>
                <w:color w:val="000000"/>
                <w:szCs w:val="20"/>
              </w:rPr>
            </w:pPr>
            <w:r w:rsidRPr="00B148B1">
              <w:rPr>
                <w:rFonts w:cs="Arial"/>
                <w:color w:val="000000"/>
                <w:szCs w:val="20"/>
              </w:rPr>
              <w:t>93.216</w:t>
            </w:r>
          </w:p>
        </w:tc>
      </w:tr>
      <w:tr w:rsidR="004B3FD9" w:rsidRPr="00B148B1" w:rsidTr="00385BB8">
        <w:trPr>
          <w:cantSplit/>
          <w:trHeight w:val="340"/>
        </w:trPr>
        <w:tc>
          <w:tcPr>
            <w:tcW w:w="3652" w:type="dxa"/>
            <w:vAlign w:val="center"/>
          </w:tcPr>
          <w:p w:rsidR="004B3FD9" w:rsidRPr="00B148B1" w:rsidRDefault="004B3FD9" w:rsidP="00512ACD">
            <w:pPr>
              <w:spacing w:line="240" w:lineRule="auto"/>
              <w:jc w:val="right"/>
              <w:rPr>
                <w:rFonts w:cs="Arial"/>
                <w:color w:val="000000"/>
                <w:szCs w:val="20"/>
              </w:rPr>
            </w:pPr>
            <w:r w:rsidRPr="00B148B1">
              <w:rPr>
                <w:rFonts w:cs="Arial"/>
                <w:color w:val="000000"/>
                <w:szCs w:val="20"/>
              </w:rPr>
              <w:t xml:space="preserve">aglomeracije </w:t>
            </w:r>
            <w:r w:rsidR="00512ACD" w:rsidRPr="00B148B1">
              <w:rPr>
                <w:rFonts w:cs="Arial"/>
                <w:color w:val="000000"/>
                <w:szCs w:val="20"/>
              </w:rPr>
              <w:t xml:space="preserve">od </w:t>
            </w:r>
            <w:r w:rsidRPr="00B148B1">
              <w:rPr>
                <w:rFonts w:cs="Arial"/>
                <w:color w:val="000000"/>
                <w:szCs w:val="20"/>
              </w:rPr>
              <w:t xml:space="preserve">50 </w:t>
            </w:r>
            <w:r w:rsidR="00512ACD" w:rsidRPr="00B148B1">
              <w:rPr>
                <w:rFonts w:cs="Arial"/>
                <w:color w:val="000000"/>
                <w:szCs w:val="20"/>
              </w:rPr>
              <w:t>do</w:t>
            </w:r>
            <w:r w:rsidRPr="00B148B1">
              <w:rPr>
                <w:rFonts w:cs="Arial"/>
                <w:color w:val="000000"/>
                <w:szCs w:val="20"/>
              </w:rPr>
              <w:t xml:space="preserve"> 500 PE</w:t>
            </w:r>
          </w:p>
        </w:tc>
        <w:tc>
          <w:tcPr>
            <w:tcW w:w="2484" w:type="dxa"/>
            <w:vAlign w:val="center"/>
          </w:tcPr>
          <w:p w:rsidR="004B3FD9" w:rsidRPr="00B148B1" w:rsidRDefault="004B3FD9" w:rsidP="008F36B7">
            <w:pPr>
              <w:spacing w:line="240" w:lineRule="auto"/>
              <w:jc w:val="center"/>
              <w:rPr>
                <w:rFonts w:cs="Arial"/>
                <w:color w:val="000000"/>
                <w:szCs w:val="20"/>
              </w:rPr>
            </w:pPr>
            <w:r w:rsidRPr="00B148B1">
              <w:rPr>
                <w:rFonts w:cs="Arial"/>
                <w:color w:val="000000"/>
                <w:szCs w:val="20"/>
              </w:rPr>
              <w:t>727</w:t>
            </w:r>
          </w:p>
        </w:tc>
        <w:tc>
          <w:tcPr>
            <w:tcW w:w="3068" w:type="dxa"/>
            <w:vAlign w:val="center"/>
          </w:tcPr>
          <w:p w:rsidR="004B3FD9" w:rsidRPr="00B148B1" w:rsidRDefault="004B3FD9" w:rsidP="008F36B7">
            <w:pPr>
              <w:spacing w:line="240" w:lineRule="auto"/>
              <w:jc w:val="center"/>
              <w:rPr>
                <w:rFonts w:cs="Arial"/>
                <w:color w:val="000000"/>
                <w:szCs w:val="20"/>
              </w:rPr>
            </w:pPr>
            <w:r w:rsidRPr="00B148B1">
              <w:rPr>
                <w:rFonts w:cs="Arial"/>
                <w:color w:val="000000"/>
                <w:szCs w:val="20"/>
              </w:rPr>
              <w:t>124.587</w:t>
            </w:r>
          </w:p>
        </w:tc>
      </w:tr>
      <w:tr w:rsidR="004B3FD9" w:rsidRPr="00B148B1" w:rsidTr="00385BB8">
        <w:trPr>
          <w:cantSplit/>
          <w:trHeight w:val="340"/>
        </w:trPr>
        <w:tc>
          <w:tcPr>
            <w:tcW w:w="3652" w:type="dxa"/>
            <w:vAlign w:val="center"/>
          </w:tcPr>
          <w:p w:rsidR="004B3FD9" w:rsidRPr="00B148B1" w:rsidRDefault="004B3FD9" w:rsidP="006A72BD">
            <w:pPr>
              <w:spacing w:line="240" w:lineRule="auto"/>
              <w:jc w:val="right"/>
              <w:rPr>
                <w:rFonts w:cs="Arial"/>
                <w:color w:val="000000"/>
                <w:szCs w:val="20"/>
              </w:rPr>
            </w:pPr>
            <w:r w:rsidRPr="00B148B1">
              <w:rPr>
                <w:rFonts w:cs="Arial"/>
                <w:color w:val="000000"/>
                <w:szCs w:val="20"/>
              </w:rPr>
              <w:t>aglomeracije &lt; 50 PE</w:t>
            </w:r>
          </w:p>
        </w:tc>
        <w:tc>
          <w:tcPr>
            <w:tcW w:w="2484" w:type="dxa"/>
            <w:vAlign w:val="center"/>
          </w:tcPr>
          <w:p w:rsidR="004B3FD9" w:rsidRPr="00B148B1" w:rsidRDefault="004B3FD9" w:rsidP="008F36B7">
            <w:pPr>
              <w:spacing w:line="240" w:lineRule="auto"/>
              <w:jc w:val="center"/>
              <w:rPr>
                <w:rFonts w:cs="Arial"/>
                <w:color w:val="000000"/>
                <w:szCs w:val="20"/>
              </w:rPr>
            </w:pPr>
            <w:r w:rsidRPr="00B148B1">
              <w:rPr>
                <w:rFonts w:cs="Arial"/>
                <w:color w:val="000000"/>
                <w:szCs w:val="20"/>
              </w:rPr>
              <w:t>9</w:t>
            </w:r>
          </w:p>
        </w:tc>
        <w:tc>
          <w:tcPr>
            <w:tcW w:w="3068" w:type="dxa"/>
            <w:vAlign w:val="center"/>
          </w:tcPr>
          <w:p w:rsidR="004B3FD9" w:rsidRPr="00B148B1" w:rsidRDefault="004B3FD9" w:rsidP="008F36B7">
            <w:pPr>
              <w:spacing w:line="240" w:lineRule="auto"/>
              <w:jc w:val="center"/>
              <w:rPr>
                <w:rFonts w:cs="Arial"/>
                <w:color w:val="000000"/>
                <w:szCs w:val="20"/>
              </w:rPr>
            </w:pPr>
            <w:r w:rsidRPr="00B148B1">
              <w:rPr>
                <w:rFonts w:cs="Arial"/>
                <w:color w:val="000000"/>
                <w:szCs w:val="20"/>
              </w:rPr>
              <w:t>320</w:t>
            </w:r>
          </w:p>
        </w:tc>
      </w:tr>
      <w:tr w:rsidR="004B3FD9" w:rsidRPr="00B148B1" w:rsidTr="00385BB8">
        <w:trPr>
          <w:cantSplit/>
          <w:trHeight w:val="340"/>
        </w:trPr>
        <w:tc>
          <w:tcPr>
            <w:tcW w:w="3652" w:type="dxa"/>
            <w:vAlign w:val="center"/>
          </w:tcPr>
          <w:p w:rsidR="004B3FD9" w:rsidRPr="00B148B1" w:rsidRDefault="004B3FD9" w:rsidP="006A72BD">
            <w:pPr>
              <w:spacing w:line="240" w:lineRule="auto"/>
              <w:rPr>
                <w:rFonts w:cs="Arial"/>
                <w:b/>
                <w:i/>
                <w:szCs w:val="20"/>
              </w:rPr>
            </w:pPr>
            <w:r w:rsidRPr="00B148B1">
              <w:rPr>
                <w:rFonts w:cs="Arial"/>
                <w:b/>
                <w:i/>
                <w:szCs w:val="20"/>
              </w:rPr>
              <w:t>Skupaj</w:t>
            </w:r>
          </w:p>
        </w:tc>
        <w:tc>
          <w:tcPr>
            <w:tcW w:w="2484" w:type="dxa"/>
            <w:vAlign w:val="center"/>
          </w:tcPr>
          <w:p w:rsidR="004B3FD9" w:rsidRPr="00B148B1" w:rsidRDefault="004B3FD9" w:rsidP="008F36B7">
            <w:pPr>
              <w:spacing w:line="240" w:lineRule="auto"/>
              <w:jc w:val="center"/>
              <w:rPr>
                <w:rFonts w:cs="Arial"/>
                <w:b/>
                <w:bCs/>
                <w:i/>
                <w:iCs/>
                <w:szCs w:val="20"/>
              </w:rPr>
            </w:pPr>
            <w:r w:rsidRPr="00B148B1">
              <w:rPr>
                <w:rFonts w:cs="Arial"/>
                <w:b/>
                <w:bCs/>
                <w:i/>
                <w:iCs/>
                <w:szCs w:val="20"/>
              </w:rPr>
              <w:t>2.232</w:t>
            </w:r>
          </w:p>
        </w:tc>
        <w:tc>
          <w:tcPr>
            <w:tcW w:w="3068" w:type="dxa"/>
            <w:vAlign w:val="center"/>
          </w:tcPr>
          <w:p w:rsidR="004B3FD9" w:rsidRPr="00B148B1" w:rsidRDefault="004B3FD9" w:rsidP="008F36B7">
            <w:pPr>
              <w:spacing w:line="240" w:lineRule="auto"/>
              <w:jc w:val="center"/>
              <w:rPr>
                <w:rFonts w:cs="Arial"/>
                <w:b/>
                <w:bCs/>
                <w:i/>
                <w:iCs/>
                <w:szCs w:val="20"/>
              </w:rPr>
            </w:pPr>
            <w:r w:rsidRPr="00B148B1">
              <w:rPr>
                <w:rFonts w:cs="Arial"/>
                <w:b/>
                <w:bCs/>
                <w:i/>
                <w:iCs/>
                <w:szCs w:val="20"/>
              </w:rPr>
              <w:t>2.107.080</w:t>
            </w:r>
          </w:p>
        </w:tc>
      </w:tr>
      <w:tr w:rsidR="00D774EB" w:rsidRPr="00B148B1" w:rsidTr="00385BB8">
        <w:trPr>
          <w:cantSplit/>
          <w:trHeight w:val="340"/>
        </w:trPr>
        <w:tc>
          <w:tcPr>
            <w:tcW w:w="9204" w:type="dxa"/>
            <w:gridSpan w:val="3"/>
            <w:vAlign w:val="center"/>
          </w:tcPr>
          <w:p w:rsidR="00D774EB" w:rsidRPr="00B148B1" w:rsidRDefault="00D774EB" w:rsidP="006A72BD">
            <w:pPr>
              <w:tabs>
                <w:tab w:val="left" w:pos="851"/>
                <w:tab w:val="left" w:pos="1418"/>
                <w:tab w:val="left" w:pos="9600"/>
              </w:tabs>
              <w:spacing w:line="240" w:lineRule="auto"/>
              <w:rPr>
                <w:rFonts w:cs="Arial"/>
                <w:b/>
                <w:szCs w:val="20"/>
              </w:rPr>
            </w:pPr>
            <w:r w:rsidRPr="00B148B1">
              <w:rPr>
                <w:rFonts w:cs="Arial"/>
                <w:b/>
                <w:i/>
                <w:color w:val="000000"/>
                <w:szCs w:val="20"/>
              </w:rPr>
              <w:t>Aglomeracije na prispevnih območjih občutljivih območij</w:t>
            </w:r>
          </w:p>
        </w:tc>
      </w:tr>
      <w:tr w:rsidR="004B3FD9" w:rsidRPr="00B148B1" w:rsidTr="00385BB8">
        <w:trPr>
          <w:cantSplit/>
          <w:trHeight w:val="340"/>
        </w:trPr>
        <w:tc>
          <w:tcPr>
            <w:tcW w:w="3652" w:type="dxa"/>
            <w:vAlign w:val="center"/>
          </w:tcPr>
          <w:p w:rsidR="004B3FD9" w:rsidRPr="00B148B1" w:rsidRDefault="004B3FD9" w:rsidP="006A72BD">
            <w:pPr>
              <w:spacing w:line="240" w:lineRule="auto"/>
              <w:rPr>
                <w:rFonts w:cs="Arial"/>
                <w:i/>
                <w:color w:val="000000"/>
                <w:szCs w:val="20"/>
              </w:rPr>
            </w:pPr>
            <w:r w:rsidRPr="00B148B1">
              <w:rPr>
                <w:rFonts w:cs="Arial"/>
                <w:i/>
                <w:color w:val="000000"/>
                <w:szCs w:val="20"/>
              </w:rPr>
              <w:t>Osnovni program</w:t>
            </w:r>
          </w:p>
        </w:tc>
        <w:tc>
          <w:tcPr>
            <w:tcW w:w="2484" w:type="dxa"/>
            <w:vAlign w:val="center"/>
          </w:tcPr>
          <w:p w:rsidR="004B3FD9" w:rsidRPr="00B148B1" w:rsidRDefault="004B3FD9" w:rsidP="008F36B7">
            <w:pPr>
              <w:spacing w:line="240" w:lineRule="auto"/>
              <w:jc w:val="center"/>
              <w:rPr>
                <w:rFonts w:cs="Arial"/>
                <w:i/>
                <w:iCs/>
                <w:color w:val="000000"/>
                <w:szCs w:val="20"/>
              </w:rPr>
            </w:pPr>
            <w:r w:rsidRPr="00B148B1">
              <w:rPr>
                <w:rFonts w:cs="Arial"/>
                <w:i/>
                <w:iCs/>
                <w:color w:val="000000"/>
                <w:szCs w:val="20"/>
              </w:rPr>
              <w:t>841</w:t>
            </w:r>
          </w:p>
        </w:tc>
        <w:tc>
          <w:tcPr>
            <w:tcW w:w="3068" w:type="dxa"/>
            <w:vAlign w:val="center"/>
          </w:tcPr>
          <w:p w:rsidR="004B3FD9" w:rsidRPr="00B148B1" w:rsidRDefault="004B3FD9" w:rsidP="008F36B7">
            <w:pPr>
              <w:spacing w:line="240" w:lineRule="auto"/>
              <w:jc w:val="center"/>
              <w:rPr>
                <w:rFonts w:cs="Arial"/>
                <w:i/>
                <w:iCs/>
                <w:color w:val="000000"/>
                <w:szCs w:val="20"/>
              </w:rPr>
            </w:pPr>
            <w:r w:rsidRPr="00B148B1">
              <w:rPr>
                <w:rFonts w:cs="Arial"/>
                <w:i/>
                <w:iCs/>
                <w:color w:val="000000"/>
                <w:szCs w:val="20"/>
              </w:rPr>
              <w:t>509.557</w:t>
            </w:r>
          </w:p>
        </w:tc>
      </w:tr>
      <w:tr w:rsidR="004B3FD9" w:rsidRPr="00B148B1" w:rsidTr="00385BB8">
        <w:trPr>
          <w:cantSplit/>
          <w:trHeight w:val="340"/>
        </w:trPr>
        <w:tc>
          <w:tcPr>
            <w:tcW w:w="3652" w:type="dxa"/>
            <w:vAlign w:val="center"/>
          </w:tcPr>
          <w:p w:rsidR="004B3FD9" w:rsidRPr="00B148B1" w:rsidRDefault="004B3FD9" w:rsidP="006A72BD">
            <w:pPr>
              <w:spacing w:line="240" w:lineRule="auto"/>
              <w:jc w:val="right"/>
              <w:rPr>
                <w:rFonts w:cs="Arial"/>
                <w:color w:val="000000"/>
                <w:szCs w:val="20"/>
              </w:rPr>
            </w:pPr>
            <w:r w:rsidRPr="00B148B1">
              <w:rPr>
                <w:rFonts w:cs="Arial"/>
                <w:color w:val="000000"/>
                <w:szCs w:val="20"/>
              </w:rPr>
              <w:t>aglomeracije ≥ 10.000 PE</w:t>
            </w:r>
          </w:p>
        </w:tc>
        <w:tc>
          <w:tcPr>
            <w:tcW w:w="2484" w:type="dxa"/>
            <w:vAlign w:val="center"/>
          </w:tcPr>
          <w:p w:rsidR="004B3FD9" w:rsidRPr="00B148B1" w:rsidRDefault="004B3FD9" w:rsidP="008F36B7">
            <w:pPr>
              <w:spacing w:line="240" w:lineRule="auto"/>
              <w:jc w:val="center"/>
              <w:rPr>
                <w:rFonts w:cs="Arial"/>
                <w:color w:val="000000"/>
                <w:szCs w:val="20"/>
              </w:rPr>
            </w:pPr>
            <w:r w:rsidRPr="00B148B1">
              <w:rPr>
                <w:rFonts w:cs="Arial"/>
                <w:color w:val="000000"/>
                <w:szCs w:val="20"/>
              </w:rPr>
              <w:t>11</w:t>
            </w:r>
          </w:p>
        </w:tc>
        <w:tc>
          <w:tcPr>
            <w:tcW w:w="3068" w:type="dxa"/>
            <w:vAlign w:val="center"/>
          </w:tcPr>
          <w:p w:rsidR="004B3FD9" w:rsidRPr="00B148B1" w:rsidRDefault="004B3FD9" w:rsidP="008F36B7">
            <w:pPr>
              <w:spacing w:line="240" w:lineRule="auto"/>
              <w:jc w:val="center"/>
              <w:rPr>
                <w:rFonts w:cs="Arial"/>
                <w:color w:val="000000"/>
                <w:szCs w:val="20"/>
              </w:rPr>
            </w:pPr>
            <w:r w:rsidRPr="00B148B1">
              <w:rPr>
                <w:rFonts w:cs="Arial"/>
                <w:color w:val="000000"/>
                <w:szCs w:val="20"/>
              </w:rPr>
              <w:t>191.523</w:t>
            </w:r>
          </w:p>
        </w:tc>
      </w:tr>
      <w:tr w:rsidR="004B3FD9" w:rsidRPr="00B148B1" w:rsidTr="00385BB8">
        <w:trPr>
          <w:cantSplit/>
          <w:trHeight w:val="340"/>
        </w:trPr>
        <w:tc>
          <w:tcPr>
            <w:tcW w:w="3652" w:type="dxa"/>
            <w:vAlign w:val="center"/>
          </w:tcPr>
          <w:p w:rsidR="004B3FD9" w:rsidRPr="00B148B1" w:rsidRDefault="004B3FD9" w:rsidP="00512ACD">
            <w:pPr>
              <w:spacing w:line="240" w:lineRule="auto"/>
              <w:jc w:val="right"/>
              <w:rPr>
                <w:rFonts w:cs="Arial"/>
                <w:color w:val="000000"/>
                <w:szCs w:val="20"/>
              </w:rPr>
            </w:pPr>
            <w:r w:rsidRPr="00B148B1">
              <w:rPr>
                <w:rFonts w:cs="Arial"/>
                <w:color w:val="000000"/>
                <w:szCs w:val="20"/>
              </w:rPr>
              <w:t xml:space="preserve">aglomeracije </w:t>
            </w:r>
            <w:r w:rsidR="00512ACD" w:rsidRPr="00B148B1">
              <w:rPr>
                <w:rFonts w:cs="Arial"/>
                <w:color w:val="000000"/>
                <w:szCs w:val="20"/>
              </w:rPr>
              <w:t xml:space="preserve">od </w:t>
            </w:r>
            <w:r w:rsidRPr="00B148B1">
              <w:rPr>
                <w:rFonts w:cs="Arial"/>
                <w:color w:val="000000"/>
                <w:szCs w:val="20"/>
              </w:rPr>
              <w:t xml:space="preserve">2.000 </w:t>
            </w:r>
            <w:r w:rsidR="00512ACD" w:rsidRPr="00B148B1">
              <w:rPr>
                <w:rFonts w:cs="Arial"/>
                <w:color w:val="000000"/>
                <w:szCs w:val="20"/>
              </w:rPr>
              <w:t>do</w:t>
            </w:r>
            <w:r w:rsidRPr="00B148B1">
              <w:rPr>
                <w:rFonts w:cs="Arial"/>
                <w:color w:val="000000"/>
                <w:szCs w:val="20"/>
              </w:rPr>
              <w:t xml:space="preserve"> 10.000 PE</w:t>
            </w:r>
          </w:p>
        </w:tc>
        <w:tc>
          <w:tcPr>
            <w:tcW w:w="2484" w:type="dxa"/>
            <w:vAlign w:val="center"/>
          </w:tcPr>
          <w:p w:rsidR="004B3FD9" w:rsidRPr="00B148B1" w:rsidRDefault="004B3FD9" w:rsidP="008F36B7">
            <w:pPr>
              <w:spacing w:line="240" w:lineRule="auto"/>
              <w:jc w:val="center"/>
              <w:rPr>
                <w:rFonts w:cs="Arial"/>
                <w:color w:val="000000"/>
                <w:szCs w:val="20"/>
              </w:rPr>
            </w:pPr>
            <w:r w:rsidRPr="00B148B1">
              <w:rPr>
                <w:rFonts w:cs="Arial"/>
                <w:color w:val="000000"/>
                <w:szCs w:val="20"/>
              </w:rPr>
              <w:t>26</w:t>
            </w:r>
          </w:p>
        </w:tc>
        <w:tc>
          <w:tcPr>
            <w:tcW w:w="3068" w:type="dxa"/>
            <w:vAlign w:val="center"/>
          </w:tcPr>
          <w:p w:rsidR="004B3FD9" w:rsidRPr="00B148B1" w:rsidRDefault="004B3FD9" w:rsidP="008F36B7">
            <w:pPr>
              <w:spacing w:line="240" w:lineRule="auto"/>
              <w:jc w:val="center"/>
              <w:rPr>
                <w:rFonts w:cs="Arial"/>
                <w:color w:val="000000"/>
                <w:szCs w:val="20"/>
              </w:rPr>
            </w:pPr>
            <w:r w:rsidRPr="00B148B1">
              <w:rPr>
                <w:rFonts w:cs="Arial"/>
                <w:color w:val="000000"/>
                <w:szCs w:val="20"/>
              </w:rPr>
              <w:t>101.394</w:t>
            </w:r>
          </w:p>
        </w:tc>
      </w:tr>
      <w:tr w:rsidR="004B3FD9" w:rsidRPr="00B148B1" w:rsidTr="00385BB8">
        <w:trPr>
          <w:cantSplit/>
          <w:trHeight w:val="340"/>
        </w:trPr>
        <w:tc>
          <w:tcPr>
            <w:tcW w:w="3652" w:type="dxa"/>
            <w:vAlign w:val="center"/>
          </w:tcPr>
          <w:p w:rsidR="004B3FD9" w:rsidRPr="00B148B1" w:rsidRDefault="004B3FD9" w:rsidP="00512ACD">
            <w:pPr>
              <w:spacing w:line="240" w:lineRule="auto"/>
              <w:jc w:val="right"/>
              <w:rPr>
                <w:rFonts w:cs="Arial"/>
                <w:color w:val="000000"/>
                <w:szCs w:val="20"/>
              </w:rPr>
            </w:pPr>
            <w:r w:rsidRPr="00B148B1">
              <w:rPr>
                <w:rFonts w:cs="Arial"/>
                <w:color w:val="000000"/>
                <w:szCs w:val="20"/>
              </w:rPr>
              <w:t xml:space="preserve">aglomeracije </w:t>
            </w:r>
            <w:r w:rsidR="00512ACD" w:rsidRPr="00B148B1">
              <w:rPr>
                <w:rFonts w:cs="Arial"/>
                <w:color w:val="000000"/>
                <w:szCs w:val="20"/>
              </w:rPr>
              <w:t xml:space="preserve">od </w:t>
            </w:r>
            <w:r w:rsidRPr="00B148B1">
              <w:rPr>
                <w:rFonts w:cs="Arial"/>
                <w:color w:val="000000"/>
                <w:szCs w:val="20"/>
              </w:rPr>
              <w:t xml:space="preserve">500 </w:t>
            </w:r>
            <w:r w:rsidR="00512ACD" w:rsidRPr="00B148B1">
              <w:rPr>
                <w:rFonts w:cs="Arial"/>
                <w:color w:val="000000"/>
                <w:szCs w:val="20"/>
              </w:rPr>
              <w:t>do</w:t>
            </w:r>
            <w:r w:rsidRPr="00B148B1">
              <w:rPr>
                <w:rFonts w:cs="Arial"/>
                <w:color w:val="000000"/>
                <w:szCs w:val="20"/>
              </w:rPr>
              <w:t xml:space="preserve"> 2.000 PE</w:t>
            </w:r>
          </w:p>
        </w:tc>
        <w:tc>
          <w:tcPr>
            <w:tcW w:w="2484" w:type="dxa"/>
            <w:vAlign w:val="center"/>
          </w:tcPr>
          <w:p w:rsidR="004B3FD9" w:rsidRPr="00B148B1" w:rsidRDefault="004B3FD9" w:rsidP="008F36B7">
            <w:pPr>
              <w:spacing w:line="240" w:lineRule="auto"/>
              <w:jc w:val="center"/>
              <w:rPr>
                <w:rFonts w:cs="Arial"/>
                <w:color w:val="000000"/>
                <w:szCs w:val="20"/>
              </w:rPr>
            </w:pPr>
            <w:r w:rsidRPr="00B148B1">
              <w:rPr>
                <w:rFonts w:cs="Arial"/>
                <w:color w:val="000000"/>
                <w:szCs w:val="20"/>
              </w:rPr>
              <w:t>100</w:t>
            </w:r>
          </w:p>
        </w:tc>
        <w:tc>
          <w:tcPr>
            <w:tcW w:w="3068" w:type="dxa"/>
            <w:vAlign w:val="center"/>
          </w:tcPr>
          <w:p w:rsidR="004B3FD9" w:rsidRPr="00B148B1" w:rsidRDefault="004B3FD9" w:rsidP="008F36B7">
            <w:pPr>
              <w:spacing w:line="240" w:lineRule="auto"/>
              <w:jc w:val="center"/>
              <w:rPr>
                <w:rFonts w:cs="Arial"/>
                <w:color w:val="000000"/>
                <w:szCs w:val="20"/>
              </w:rPr>
            </w:pPr>
            <w:r w:rsidRPr="00B148B1">
              <w:rPr>
                <w:rFonts w:cs="Arial"/>
                <w:color w:val="000000"/>
                <w:szCs w:val="20"/>
              </w:rPr>
              <w:t>96.343</w:t>
            </w:r>
          </w:p>
        </w:tc>
      </w:tr>
      <w:tr w:rsidR="004B3FD9" w:rsidRPr="00B148B1" w:rsidTr="00385BB8">
        <w:trPr>
          <w:cantSplit/>
          <w:trHeight w:val="340"/>
        </w:trPr>
        <w:tc>
          <w:tcPr>
            <w:tcW w:w="3652" w:type="dxa"/>
            <w:vAlign w:val="center"/>
          </w:tcPr>
          <w:p w:rsidR="004B3FD9" w:rsidRPr="00B148B1" w:rsidRDefault="004B3FD9" w:rsidP="00512ACD">
            <w:pPr>
              <w:spacing w:line="240" w:lineRule="auto"/>
              <w:jc w:val="right"/>
              <w:rPr>
                <w:rFonts w:cs="Arial"/>
                <w:color w:val="000000"/>
                <w:szCs w:val="20"/>
              </w:rPr>
            </w:pPr>
            <w:r w:rsidRPr="00B148B1">
              <w:rPr>
                <w:rFonts w:cs="Arial"/>
                <w:color w:val="000000"/>
                <w:szCs w:val="20"/>
              </w:rPr>
              <w:t xml:space="preserve">aglomeracije </w:t>
            </w:r>
            <w:r w:rsidR="00512ACD" w:rsidRPr="00B148B1">
              <w:rPr>
                <w:rFonts w:cs="Arial"/>
                <w:color w:val="000000"/>
                <w:szCs w:val="20"/>
              </w:rPr>
              <w:t xml:space="preserve">od </w:t>
            </w:r>
            <w:r w:rsidRPr="00B148B1">
              <w:rPr>
                <w:rFonts w:cs="Arial"/>
                <w:color w:val="000000"/>
                <w:szCs w:val="20"/>
              </w:rPr>
              <w:t xml:space="preserve">50 </w:t>
            </w:r>
            <w:r w:rsidR="00512ACD" w:rsidRPr="00B148B1">
              <w:rPr>
                <w:rFonts w:cs="Arial"/>
                <w:color w:val="000000"/>
                <w:szCs w:val="20"/>
              </w:rPr>
              <w:t>do</w:t>
            </w:r>
            <w:r w:rsidRPr="00B148B1">
              <w:rPr>
                <w:rFonts w:cs="Arial"/>
                <w:color w:val="000000"/>
                <w:szCs w:val="20"/>
              </w:rPr>
              <w:t xml:space="preserve"> 500 PE</w:t>
            </w:r>
          </w:p>
        </w:tc>
        <w:tc>
          <w:tcPr>
            <w:tcW w:w="2484" w:type="dxa"/>
            <w:vAlign w:val="center"/>
          </w:tcPr>
          <w:p w:rsidR="004B3FD9" w:rsidRPr="00B148B1" w:rsidRDefault="004B3FD9" w:rsidP="008F36B7">
            <w:pPr>
              <w:spacing w:line="240" w:lineRule="auto"/>
              <w:jc w:val="center"/>
              <w:rPr>
                <w:rFonts w:cs="Arial"/>
                <w:color w:val="000000"/>
                <w:szCs w:val="20"/>
              </w:rPr>
            </w:pPr>
            <w:r w:rsidRPr="00B148B1">
              <w:rPr>
                <w:rFonts w:cs="Arial"/>
                <w:color w:val="000000"/>
                <w:szCs w:val="20"/>
              </w:rPr>
              <w:t>704</w:t>
            </w:r>
          </w:p>
        </w:tc>
        <w:tc>
          <w:tcPr>
            <w:tcW w:w="3068" w:type="dxa"/>
            <w:vAlign w:val="center"/>
          </w:tcPr>
          <w:p w:rsidR="004B3FD9" w:rsidRPr="00B148B1" w:rsidRDefault="004B3FD9" w:rsidP="008F36B7">
            <w:pPr>
              <w:spacing w:line="240" w:lineRule="auto"/>
              <w:jc w:val="center"/>
              <w:rPr>
                <w:rFonts w:cs="Arial"/>
                <w:color w:val="000000"/>
                <w:szCs w:val="20"/>
              </w:rPr>
            </w:pPr>
            <w:r w:rsidRPr="00B148B1">
              <w:rPr>
                <w:rFonts w:cs="Arial"/>
                <w:color w:val="000000"/>
                <w:szCs w:val="20"/>
              </w:rPr>
              <w:t>120.298</w:t>
            </w:r>
          </w:p>
        </w:tc>
      </w:tr>
      <w:tr w:rsidR="004B3FD9" w:rsidRPr="00B148B1" w:rsidTr="00385BB8">
        <w:trPr>
          <w:cantSplit/>
          <w:trHeight w:val="340"/>
        </w:trPr>
        <w:tc>
          <w:tcPr>
            <w:tcW w:w="3652" w:type="dxa"/>
            <w:vAlign w:val="center"/>
          </w:tcPr>
          <w:p w:rsidR="004B3FD9" w:rsidRPr="00B148B1" w:rsidRDefault="004B3FD9" w:rsidP="006A72BD">
            <w:pPr>
              <w:spacing w:line="240" w:lineRule="auto"/>
              <w:rPr>
                <w:rFonts w:cs="Arial"/>
                <w:i/>
                <w:color w:val="000000"/>
                <w:szCs w:val="20"/>
              </w:rPr>
            </w:pPr>
            <w:r w:rsidRPr="00B148B1">
              <w:rPr>
                <w:rFonts w:cs="Arial"/>
                <w:i/>
                <w:color w:val="000000"/>
                <w:szCs w:val="20"/>
              </w:rPr>
              <w:t>Dodatni program</w:t>
            </w:r>
          </w:p>
        </w:tc>
        <w:tc>
          <w:tcPr>
            <w:tcW w:w="2484" w:type="dxa"/>
            <w:vAlign w:val="center"/>
          </w:tcPr>
          <w:p w:rsidR="004B3FD9" w:rsidRPr="00B148B1" w:rsidRDefault="004B3FD9" w:rsidP="008F36B7">
            <w:pPr>
              <w:spacing w:line="240" w:lineRule="auto"/>
              <w:jc w:val="center"/>
              <w:rPr>
                <w:rFonts w:cs="Arial"/>
                <w:i/>
                <w:iCs/>
                <w:color w:val="000000"/>
                <w:szCs w:val="20"/>
              </w:rPr>
            </w:pPr>
            <w:r w:rsidRPr="00B148B1">
              <w:rPr>
                <w:rFonts w:cs="Arial"/>
                <w:i/>
                <w:iCs/>
                <w:color w:val="000000"/>
                <w:szCs w:val="20"/>
              </w:rPr>
              <w:t>21</w:t>
            </w:r>
          </w:p>
        </w:tc>
        <w:tc>
          <w:tcPr>
            <w:tcW w:w="3068" w:type="dxa"/>
            <w:vAlign w:val="center"/>
          </w:tcPr>
          <w:p w:rsidR="004B3FD9" w:rsidRPr="00B148B1" w:rsidRDefault="004B3FD9" w:rsidP="008F36B7">
            <w:pPr>
              <w:spacing w:line="240" w:lineRule="auto"/>
              <w:jc w:val="center"/>
              <w:rPr>
                <w:rFonts w:cs="Arial"/>
                <w:i/>
                <w:iCs/>
                <w:color w:val="000000"/>
                <w:szCs w:val="20"/>
              </w:rPr>
            </w:pPr>
            <w:r w:rsidRPr="00B148B1">
              <w:rPr>
                <w:rFonts w:cs="Arial"/>
                <w:i/>
                <w:iCs/>
                <w:color w:val="000000"/>
                <w:szCs w:val="20"/>
              </w:rPr>
              <w:t>3.008</w:t>
            </w:r>
          </w:p>
        </w:tc>
      </w:tr>
      <w:tr w:rsidR="004B3FD9" w:rsidRPr="00B148B1" w:rsidTr="00385BB8">
        <w:trPr>
          <w:cantSplit/>
          <w:trHeight w:val="340"/>
        </w:trPr>
        <w:tc>
          <w:tcPr>
            <w:tcW w:w="3652" w:type="dxa"/>
            <w:vAlign w:val="center"/>
          </w:tcPr>
          <w:p w:rsidR="004B3FD9" w:rsidRPr="00B148B1" w:rsidRDefault="004B3FD9" w:rsidP="00512ACD">
            <w:pPr>
              <w:spacing w:line="240" w:lineRule="auto"/>
              <w:jc w:val="right"/>
              <w:rPr>
                <w:rFonts w:cs="Arial"/>
                <w:color w:val="000000"/>
                <w:szCs w:val="20"/>
              </w:rPr>
            </w:pPr>
            <w:r w:rsidRPr="00B148B1">
              <w:rPr>
                <w:rFonts w:cs="Arial"/>
                <w:color w:val="000000"/>
                <w:szCs w:val="20"/>
              </w:rPr>
              <w:t xml:space="preserve">aglomeracije </w:t>
            </w:r>
            <w:r w:rsidR="00512ACD" w:rsidRPr="00B148B1">
              <w:rPr>
                <w:rFonts w:cs="Arial"/>
                <w:color w:val="000000"/>
                <w:szCs w:val="20"/>
              </w:rPr>
              <w:t xml:space="preserve">od </w:t>
            </w:r>
            <w:r w:rsidRPr="00B148B1">
              <w:rPr>
                <w:rFonts w:cs="Arial"/>
                <w:color w:val="000000"/>
                <w:szCs w:val="20"/>
              </w:rPr>
              <w:t xml:space="preserve">500 </w:t>
            </w:r>
            <w:r w:rsidR="00512ACD" w:rsidRPr="00B148B1">
              <w:rPr>
                <w:rFonts w:cs="Arial"/>
                <w:color w:val="000000"/>
                <w:szCs w:val="20"/>
              </w:rPr>
              <w:t>do</w:t>
            </w:r>
            <w:r w:rsidRPr="00B148B1">
              <w:rPr>
                <w:rFonts w:cs="Arial"/>
                <w:color w:val="000000"/>
                <w:szCs w:val="20"/>
              </w:rPr>
              <w:t xml:space="preserve"> 2.000 PE</w:t>
            </w:r>
          </w:p>
        </w:tc>
        <w:tc>
          <w:tcPr>
            <w:tcW w:w="2484" w:type="dxa"/>
            <w:vAlign w:val="center"/>
          </w:tcPr>
          <w:p w:rsidR="004B3FD9" w:rsidRPr="00B148B1" w:rsidRDefault="004B3FD9" w:rsidP="008F36B7">
            <w:pPr>
              <w:spacing w:line="240" w:lineRule="auto"/>
              <w:jc w:val="center"/>
              <w:rPr>
                <w:rFonts w:cs="Arial"/>
                <w:color w:val="000000"/>
                <w:szCs w:val="20"/>
              </w:rPr>
            </w:pPr>
            <w:r w:rsidRPr="00B148B1">
              <w:rPr>
                <w:rFonts w:cs="Arial"/>
                <w:color w:val="000000"/>
                <w:szCs w:val="20"/>
              </w:rPr>
              <w:t>1</w:t>
            </w:r>
          </w:p>
        </w:tc>
        <w:tc>
          <w:tcPr>
            <w:tcW w:w="3068" w:type="dxa"/>
            <w:vAlign w:val="center"/>
          </w:tcPr>
          <w:p w:rsidR="004B3FD9" w:rsidRPr="00B148B1" w:rsidRDefault="004B3FD9" w:rsidP="008F36B7">
            <w:pPr>
              <w:spacing w:line="240" w:lineRule="auto"/>
              <w:jc w:val="center"/>
              <w:rPr>
                <w:rFonts w:cs="Arial"/>
                <w:color w:val="000000"/>
                <w:szCs w:val="20"/>
              </w:rPr>
            </w:pPr>
            <w:r w:rsidRPr="00B148B1">
              <w:rPr>
                <w:rFonts w:cs="Arial"/>
                <w:color w:val="000000"/>
                <w:szCs w:val="20"/>
              </w:rPr>
              <w:t>1.174</w:t>
            </w:r>
          </w:p>
        </w:tc>
      </w:tr>
      <w:tr w:rsidR="004B3FD9" w:rsidRPr="00B148B1" w:rsidTr="005D2A08">
        <w:trPr>
          <w:cantSplit/>
          <w:trHeight w:val="340"/>
        </w:trPr>
        <w:tc>
          <w:tcPr>
            <w:tcW w:w="3652" w:type="dxa"/>
            <w:shd w:val="clear" w:color="auto" w:fill="auto"/>
            <w:vAlign w:val="center"/>
          </w:tcPr>
          <w:p w:rsidR="004B3FD9" w:rsidRPr="005D2A08" w:rsidRDefault="004B3FD9" w:rsidP="00512ACD">
            <w:pPr>
              <w:spacing w:line="240" w:lineRule="auto"/>
              <w:jc w:val="right"/>
              <w:rPr>
                <w:rFonts w:cs="Arial"/>
                <w:color w:val="000000"/>
                <w:szCs w:val="20"/>
              </w:rPr>
            </w:pPr>
            <w:r w:rsidRPr="005D2A08">
              <w:rPr>
                <w:rFonts w:cs="Arial"/>
                <w:color w:val="000000"/>
                <w:szCs w:val="20"/>
              </w:rPr>
              <w:t xml:space="preserve">aglomeracije </w:t>
            </w:r>
            <w:r w:rsidR="00512ACD" w:rsidRPr="005D2A08">
              <w:rPr>
                <w:rFonts w:cs="Arial"/>
                <w:color w:val="000000"/>
                <w:szCs w:val="20"/>
              </w:rPr>
              <w:t xml:space="preserve">od </w:t>
            </w:r>
            <w:r w:rsidRPr="005D2A08">
              <w:rPr>
                <w:rFonts w:cs="Arial"/>
                <w:color w:val="000000"/>
                <w:szCs w:val="20"/>
              </w:rPr>
              <w:t xml:space="preserve">50 </w:t>
            </w:r>
            <w:r w:rsidR="00512ACD" w:rsidRPr="005D2A08">
              <w:rPr>
                <w:rFonts w:cs="Arial"/>
                <w:color w:val="000000"/>
                <w:szCs w:val="20"/>
              </w:rPr>
              <w:t>do</w:t>
            </w:r>
            <w:r w:rsidR="005D2A08" w:rsidRPr="005D2A08">
              <w:rPr>
                <w:rFonts w:cs="Arial"/>
                <w:color w:val="000000"/>
                <w:szCs w:val="20"/>
              </w:rPr>
              <w:t xml:space="preserve"> </w:t>
            </w:r>
            <w:r w:rsidRPr="005D2A08">
              <w:rPr>
                <w:rFonts w:cs="Arial"/>
                <w:color w:val="000000"/>
                <w:szCs w:val="20"/>
              </w:rPr>
              <w:t>500 PE</w:t>
            </w:r>
          </w:p>
        </w:tc>
        <w:tc>
          <w:tcPr>
            <w:tcW w:w="2484" w:type="dxa"/>
            <w:shd w:val="clear" w:color="auto" w:fill="auto"/>
            <w:vAlign w:val="center"/>
          </w:tcPr>
          <w:p w:rsidR="004B3FD9" w:rsidRPr="005D2A08" w:rsidRDefault="004B3FD9" w:rsidP="008F36B7">
            <w:pPr>
              <w:spacing w:line="240" w:lineRule="auto"/>
              <w:jc w:val="center"/>
              <w:rPr>
                <w:rFonts w:cs="Arial"/>
                <w:color w:val="000000"/>
                <w:szCs w:val="20"/>
              </w:rPr>
            </w:pPr>
            <w:r w:rsidRPr="005D2A08">
              <w:rPr>
                <w:rFonts w:cs="Arial"/>
                <w:color w:val="000000"/>
                <w:szCs w:val="20"/>
              </w:rPr>
              <w:t>17</w:t>
            </w:r>
          </w:p>
        </w:tc>
        <w:tc>
          <w:tcPr>
            <w:tcW w:w="3068" w:type="dxa"/>
            <w:vAlign w:val="center"/>
          </w:tcPr>
          <w:p w:rsidR="004B3FD9" w:rsidRPr="00B148B1" w:rsidRDefault="004B3FD9" w:rsidP="008F36B7">
            <w:pPr>
              <w:spacing w:line="240" w:lineRule="auto"/>
              <w:jc w:val="center"/>
              <w:rPr>
                <w:rFonts w:cs="Arial"/>
                <w:color w:val="000000"/>
                <w:szCs w:val="20"/>
              </w:rPr>
            </w:pPr>
            <w:r w:rsidRPr="00B148B1">
              <w:rPr>
                <w:rFonts w:cs="Arial"/>
                <w:color w:val="000000"/>
                <w:szCs w:val="20"/>
              </w:rPr>
              <w:t>1.720</w:t>
            </w:r>
          </w:p>
        </w:tc>
      </w:tr>
      <w:tr w:rsidR="004B3FD9" w:rsidRPr="00B148B1" w:rsidTr="00385BB8">
        <w:trPr>
          <w:cantSplit/>
          <w:trHeight w:val="340"/>
        </w:trPr>
        <w:tc>
          <w:tcPr>
            <w:tcW w:w="3652" w:type="dxa"/>
            <w:vAlign w:val="center"/>
          </w:tcPr>
          <w:p w:rsidR="004B3FD9" w:rsidRPr="00B148B1" w:rsidRDefault="004B3FD9" w:rsidP="006A72BD">
            <w:pPr>
              <w:spacing w:line="240" w:lineRule="auto"/>
              <w:jc w:val="right"/>
              <w:rPr>
                <w:rFonts w:cs="Arial"/>
                <w:color w:val="000000"/>
                <w:szCs w:val="20"/>
              </w:rPr>
            </w:pPr>
            <w:r w:rsidRPr="00B148B1">
              <w:rPr>
                <w:rFonts w:cs="Arial"/>
                <w:color w:val="000000"/>
                <w:szCs w:val="20"/>
              </w:rPr>
              <w:t>aglomeracije &lt; 50 PE</w:t>
            </w:r>
          </w:p>
        </w:tc>
        <w:tc>
          <w:tcPr>
            <w:tcW w:w="2484" w:type="dxa"/>
            <w:vAlign w:val="center"/>
          </w:tcPr>
          <w:p w:rsidR="004B3FD9" w:rsidRPr="00B148B1" w:rsidRDefault="004B3FD9" w:rsidP="008F36B7">
            <w:pPr>
              <w:spacing w:line="240" w:lineRule="auto"/>
              <w:jc w:val="center"/>
              <w:rPr>
                <w:rFonts w:cs="Arial"/>
                <w:color w:val="000000"/>
                <w:szCs w:val="20"/>
              </w:rPr>
            </w:pPr>
            <w:r w:rsidRPr="00B148B1">
              <w:rPr>
                <w:rFonts w:cs="Arial"/>
                <w:color w:val="000000"/>
                <w:szCs w:val="20"/>
              </w:rPr>
              <w:t>3</w:t>
            </w:r>
          </w:p>
        </w:tc>
        <w:tc>
          <w:tcPr>
            <w:tcW w:w="3068" w:type="dxa"/>
            <w:vAlign w:val="center"/>
          </w:tcPr>
          <w:p w:rsidR="004B3FD9" w:rsidRPr="00B148B1" w:rsidRDefault="004B3FD9" w:rsidP="008F36B7">
            <w:pPr>
              <w:spacing w:line="240" w:lineRule="auto"/>
              <w:jc w:val="center"/>
              <w:rPr>
                <w:rFonts w:cs="Arial"/>
                <w:color w:val="000000"/>
                <w:szCs w:val="20"/>
              </w:rPr>
            </w:pPr>
            <w:r w:rsidRPr="00B148B1">
              <w:rPr>
                <w:rFonts w:cs="Arial"/>
                <w:color w:val="000000"/>
                <w:szCs w:val="20"/>
              </w:rPr>
              <w:t>114</w:t>
            </w:r>
          </w:p>
        </w:tc>
      </w:tr>
      <w:tr w:rsidR="004B3FD9" w:rsidRPr="00B148B1" w:rsidTr="00385BB8">
        <w:trPr>
          <w:cantSplit/>
          <w:trHeight w:val="340"/>
        </w:trPr>
        <w:tc>
          <w:tcPr>
            <w:tcW w:w="3652" w:type="dxa"/>
            <w:vAlign w:val="center"/>
          </w:tcPr>
          <w:p w:rsidR="004B3FD9" w:rsidRPr="00B148B1" w:rsidRDefault="004B3FD9" w:rsidP="006A72BD">
            <w:pPr>
              <w:spacing w:line="240" w:lineRule="auto"/>
              <w:rPr>
                <w:rFonts w:cs="Arial"/>
                <w:b/>
                <w:i/>
                <w:szCs w:val="20"/>
              </w:rPr>
            </w:pPr>
            <w:r w:rsidRPr="00B148B1">
              <w:rPr>
                <w:rFonts w:cs="Arial"/>
                <w:b/>
                <w:i/>
                <w:szCs w:val="20"/>
              </w:rPr>
              <w:t>Skupaj</w:t>
            </w:r>
          </w:p>
        </w:tc>
        <w:tc>
          <w:tcPr>
            <w:tcW w:w="2484" w:type="dxa"/>
            <w:vAlign w:val="center"/>
          </w:tcPr>
          <w:p w:rsidR="004B3FD9" w:rsidRPr="00B148B1" w:rsidRDefault="004B3FD9" w:rsidP="008F36B7">
            <w:pPr>
              <w:spacing w:line="240" w:lineRule="auto"/>
              <w:jc w:val="center"/>
              <w:rPr>
                <w:rFonts w:cs="Arial"/>
                <w:b/>
                <w:i/>
                <w:iCs/>
                <w:color w:val="000000"/>
                <w:szCs w:val="20"/>
              </w:rPr>
            </w:pPr>
            <w:r w:rsidRPr="00B148B1">
              <w:rPr>
                <w:rFonts w:cs="Arial"/>
                <w:b/>
                <w:i/>
                <w:iCs/>
                <w:color w:val="000000"/>
                <w:szCs w:val="20"/>
              </w:rPr>
              <w:t>862</w:t>
            </w:r>
          </w:p>
        </w:tc>
        <w:tc>
          <w:tcPr>
            <w:tcW w:w="3068" w:type="dxa"/>
            <w:vAlign w:val="center"/>
          </w:tcPr>
          <w:p w:rsidR="004B3FD9" w:rsidRPr="00B148B1" w:rsidRDefault="004B3FD9" w:rsidP="008F36B7">
            <w:pPr>
              <w:spacing w:line="240" w:lineRule="auto"/>
              <w:jc w:val="center"/>
              <w:rPr>
                <w:rFonts w:cs="Arial"/>
                <w:b/>
                <w:i/>
                <w:iCs/>
                <w:color w:val="000000"/>
                <w:szCs w:val="20"/>
              </w:rPr>
            </w:pPr>
            <w:r w:rsidRPr="00B148B1">
              <w:rPr>
                <w:rFonts w:cs="Arial"/>
                <w:b/>
                <w:i/>
                <w:iCs/>
                <w:color w:val="000000"/>
                <w:szCs w:val="20"/>
              </w:rPr>
              <w:t>512.565</w:t>
            </w:r>
          </w:p>
        </w:tc>
      </w:tr>
      <w:tr w:rsidR="00D774EB" w:rsidRPr="00B148B1" w:rsidTr="00385BB8">
        <w:trPr>
          <w:cantSplit/>
          <w:trHeight w:val="340"/>
        </w:trPr>
        <w:tc>
          <w:tcPr>
            <w:tcW w:w="9204" w:type="dxa"/>
            <w:gridSpan w:val="3"/>
            <w:vAlign w:val="center"/>
          </w:tcPr>
          <w:p w:rsidR="00D774EB" w:rsidRPr="00B148B1" w:rsidRDefault="00D774EB" w:rsidP="006A72BD">
            <w:pPr>
              <w:tabs>
                <w:tab w:val="left" w:pos="851"/>
                <w:tab w:val="left" w:pos="1418"/>
                <w:tab w:val="left" w:pos="9600"/>
              </w:tabs>
              <w:spacing w:line="240" w:lineRule="auto"/>
              <w:rPr>
                <w:rFonts w:cs="Arial"/>
                <w:b/>
                <w:i/>
                <w:color w:val="000000"/>
                <w:szCs w:val="20"/>
              </w:rPr>
            </w:pPr>
            <w:r w:rsidRPr="00B148B1">
              <w:rPr>
                <w:rFonts w:cs="Arial"/>
                <w:b/>
                <w:i/>
                <w:color w:val="000000"/>
                <w:szCs w:val="20"/>
              </w:rPr>
              <w:t>Aglomeracije na vplivnih območjih kopalnih voda</w:t>
            </w:r>
          </w:p>
        </w:tc>
      </w:tr>
      <w:tr w:rsidR="004B3FD9" w:rsidRPr="00B148B1" w:rsidTr="00385BB8">
        <w:trPr>
          <w:cantSplit/>
          <w:trHeight w:val="340"/>
        </w:trPr>
        <w:tc>
          <w:tcPr>
            <w:tcW w:w="3652" w:type="dxa"/>
            <w:vAlign w:val="center"/>
          </w:tcPr>
          <w:p w:rsidR="004B3FD9" w:rsidRPr="00B148B1" w:rsidRDefault="004B3FD9" w:rsidP="006A72BD">
            <w:pPr>
              <w:spacing w:line="240" w:lineRule="auto"/>
              <w:rPr>
                <w:rFonts w:cs="Arial"/>
                <w:i/>
                <w:color w:val="000000"/>
                <w:szCs w:val="20"/>
              </w:rPr>
            </w:pPr>
            <w:r w:rsidRPr="00B148B1">
              <w:rPr>
                <w:rFonts w:cs="Arial"/>
                <w:i/>
                <w:color w:val="000000"/>
                <w:szCs w:val="20"/>
              </w:rPr>
              <w:t>Osnovni program</w:t>
            </w:r>
          </w:p>
        </w:tc>
        <w:tc>
          <w:tcPr>
            <w:tcW w:w="2484" w:type="dxa"/>
            <w:vAlign w:val="center"/>
          </w:tcPr>
          <w:p w:rsidR="004B3FD9" w:rsidRPr="00B148B1" w:rsidRDefault="004B3FD9" w:rsidP="008F36B7">
            <w:pPr>
              <w:spacing w:line="240" w:lineRule="auto"/>
              <w:jc w:val="center"/>
              <w:rPr>
                <w:rFonts w:cs="Arial"/>
                <w:i/>
                <w:iCs/>
                <w:color w:val="000000"/>
                <w:szCs w:val="20"/>
              </w:rPr>
            </w:pPr>
            <w:r w:rsidRPr="00B148B1">
              <w:rPr>
                <w:rFonts w:cs="Arial"/>
                <w:i/>
                <w:iCs/>
                <w:color w:val="000000"/>
                <w:szCs w:val="20"/>
              </w:rPr>
              <w:t>54</w:t>
            </w:r>
          </w:p>
        </w:tc>
        <w:tc>
          <w:tcPr>
            <w:tcW w:w="3068" w:type="dxa"/>
            <w:vAlign w:val="center"/>
          </w:tcPr>
          <w:p w:rsidR="004B3FD9" w:rsidRPr="00B148B1" w:rsidRDefault="004B3FD9" w:rsidP="008F36B7">
            <w:pPr>
              <w:spacing w:line="240" w:lineRule="auto"/>
              <w:jc w:val="center"/>
              <w:rPr>
                <w:rFonts w:cs="Arial"/>
                <w:i/>
                <w:iCs/>
                <w:color w:val="000000"/>
                <w:szCs w:val="20"/>
              </w:rPr>
            </w:pPr>
            <w:r w:rsidRPr="00B148B1">
              <w:rPr>
                <w:rFonts w:cs="Arial"/>
                <w:i/>
                <w:iCs/>
                <w:color w:val="000000"/>
                <w:szCs w:val="20"/>
              </w:rPr>
              <w:t>133.504</w:t>
            </w:r>
          </w:p>
        </w:tc>
      </w:tr>
      <w:tr w:rsidR="004B3FD9" w:rsidRPr="00B148B1" w:rsidTr="00385BB8">
        <w:trPr>
          <w:cantSplit/>
          <w:trHeight w:val="340"/>
        </w:trPr>
        <w:tc>
          <w:tcPr>
            <w:tcW w:w="3652" w:type="dxa"/>
            <w:vAlign w:val="center"/>
          </w:tcPr>
          <w:p w:rsidR="004B3FD9" w:rsidRPr="00B148B1" w:rsidRDefault="004B3FD9" w:rsidP="006A72BD">
            <w:pPr>
              <w:spacing w:line="240" w:lineRule="auto"/>
              <w:jc w:val="right"/>
              <w:rPr>
                <w:rFonts w:cs="Arial"/>
                <w:color w:val="000000"/>
                <w:szCs w:val="20"/>
              </w:rPr>
            </w:pPr>
            <w:r w:rsidRPr="00B148B1">
              <w:rPr>
                <w:rFonts w:cs="Arial"/>
                <w:color w:val="000000"/>
                <w:szCs w:val="20"/>
              </w:rPr>
              <w:t>aglomeracije ≥ 10.000 PE</w:t>
            </w:r>
          </w:p>
        </w:tc>
        <w:tc>
          <w:tcPr>
            <w:tcW w:w="2484" w:type="dxa"/>
            <w:vAlign w:val="center"/>
          </w:tcPr>
          <w:p w:rsidR="004B3FD9" w:rsidRPr="00B148B1" w:rsidRDefault="004B3FD9" w:rsidP="008F36B7">
            <w:pPr>
              <w:spacing w:line="240" w:lineRule="auto"/>
              <w:jc w:val="center"/>
              <w:rPr>
                <w:rFonts w:cs="Arial"/>
                <w:color w:val="000000"/>
                <w:szCs w:val="20"/>
              </w:rPr>
            </w:pPr>
            <w:r w:rsidRPr="00B148B1">
              <w:rPr>
                <w:rFonts w:cs="Arial"/>
                <w:color w:val="000000"/>
                <w:szCs w:val="20"/>
              </w:rPr>
              <w:t>5</w:t>
            </w:r>
          </w:p>
        </w:tc>
        <w:tc>
          <w:tcPr>
            <w:tcW w:w="3068" w:type="dxa"/>
            <w:vAlign w:val="center"/>
          </w:tcPr>
          <w:p w:rsidR="004B3FD9" w:rsidRPr="00B148B1" w:rsidRDefault="004B3FD9" w:rsidP="008F36B7">
            <w:pPr>
              <w:spacing w:line="240" w:lineRule="auto"/>
              <w:jc w:val="center"/>
              <w:rPr>
                <w:rFonts w:cs="Arial"/>
                <w:color w:val="000000"/>
                <w:szCs w:val="20"/>
              </w:rPr>
            </w:pPr>
            <w:r w:rsidRPr="00B148B1">
              <w:rPr>
                <w:rFonts w:cs="Arial"/>
                <w:color w:val="000000"/>
                <w:szCs w:val="20"/>
              </w:rPr>
              <w:t>97.978</w:t>
            </w:r>
          </w:p>
        </w:tc>
      </w:tr>
      <w:tr w:rsidR="004B3FD9" w:rsidRPr="00B148B1" w:rsidTr="00385BB8">
        <w:trPr>
          <w:cantSplit/>
          <w:trHeight w:val="340"/>
        </w:trPr>
        <w:tc>
          <w:tcPr>
            <w:tcW w:w="3652" w:type="dxa"/>
            <w:vAlign w:val="center"/>
          </w:tcPr>
          <w:p w:rsidR="004B3FD9" w:rsidRPr="00B148B1" w:rsidRDefault="004B3FD9" w:rsidP="00512ACD">
            <w:pPr>
              <w:spacing w:line="240" w:lineRule="auto"/>
              <w:jc w:val="right"/>
              <w:rPr>
                <w:rFonts w:cs="Arial"/>
                <w:color w:val="000000"/>
                <w:szCs w:val="20"/>
              </w:rPr>
            </w:pPr>
            <w:r w:rsidRPr="00B148B1">
              <w:rPr>
                <w:rFonts w:cs="Arial"/>
                <w:color w:val="000000"/>
                <w:szCs w:val="20"/>
              </w:rPr>
              <w:t xml:space="preserve">aglomeracije </w:t>
            </w:r>
            <w:r w:rsidR="00512ACD" w:rsidRPr="00B148B1">
              <w:rPr>
                <w:rFonts w:cs="Arial"/>
                <w:color w:val="000000"/>
                <w:szCs w:val="20"/>
              </w:rPr>
              <w:t xml:space="preserve">od </w:t>
            </w:r>
            <w:r w:rsidRPr="00B148B1">
              <w:rPr>
                <w:rFonts w:cs="Arial"/>
                <w:color w:val="000000"/>
                <w:szCs w:val="20"/>
              </w:rPr>
              <w:t xml:space="preserve">2.000 </w:t>
            </w:r>
            <w:r w:rsidR="00512ACD" w:rsidRPr="00B148B1">
              <w:rPr>
                <w:rFonts w:cs="Arial"/>
                <w:color w:val="000000"/>
                <w:szCs w:val="20"/>
              </w:rPr>
              <w:t>do</w:t>
            </w:r>
            <w:r w:rsidRPr="00B148B1">
              <w:rPr>
                <w:rFonts w:cs="Arial"/>
                <w:color w:val="000000"/>
                <w:szCs w:val="20"/>
              </w:rPr>
              <w:t xml:space="preserve"> 10.000 PE</w:t>
            </w:r>
          </w:p>
        </w:tc>
        <w:tc>
          <w:tcPr>
            <w:tcW w:w="2484" w:type="dxa"/>
            <w:vAlign w:val="center"/>
          </w:tcPr>
          <w:p w:rsidR="004B3FD9" w:rsidRPr="00B148B1" w:rsidRDefault="004B3FD9" w:rsidP="008F36B7">
            <w:pPr>
              <w:spacing w:line="240" w:lineRule="auto"/>
              <w:jc w:val="center"/>
              <w:rPr>
                <w:rFonts w:cs="Arial"/>
                <w:color w:val="000000"/>
                <w:szCs w:val="20"/>
              </w:rPr>
            </w:pPr>
            <w:r w:rsidRPr="00B148B1">
              <w:rPr>
                <w:rFonts w:cs="Arial"/>
                <w:color w:val="000000"/>
                <w:szCs w:val="20"/>
              </w:rPr>
              <w:t>5</w:t>
            </w:r>
          </w:p>
        </w:tc>
        <w:tc>
          <w:tcPr>
            <w:tcW w:w="3068" w:type="dxa"/>
            <w:vAlign w:val="center"/>
          </w:tcPr>
          <w:p w:rsidR="004B3FD9" w:rsidRPr="00B148B1" w:rsidRDefault="004B3FD9" w:rsidP="008F36B7">
            <w:pPr>
              <w:spacing w:line="240" w:lineRule="auto"/>
              <w:jc w:val="center"/>
              <w:rPr>
                <w:rFonts w:cs="Arial"/>
                <w:color w:val="000000"/>
                <w:szCs w:val="20"/>
              </w:rPr>
            </w:pPr>
            <w:r w:rsidRPr="00B148B1">
              <w:rPr>
                <w:rFonts w:cs="Arial"/>
                <w:color w:val="000000"/>
                <w:szCs w:val="20"/>
              </w:rPr>
              <w:t>18.532</w:t>
            </w:r>
          </w:p>
        </w:tc>
      </w:tr>
      <w:tr w:rsidR="004B3FD9" w:rsidRPr="00B148B1" w:rsidTr="00385BB8">
        <w:trPr>
          <w:cantSplit/>
          <w:trHeight w:val="340"/>
        </w:trPr>
        <w:tc>
          <w:tcPr>
            <w:tcW w:w="3652" w:type="dxa"/>
            <w:vAlign w:val="center"/>
          </w:tcPr>
          <w:p w:rsidR="004B3FD9" w:rsidRPr="00B148B1" w:rsidRDefault="004B3FD9" w:rsidP="00512ACD">
            <w:pPr>
              <w:spacing w:line="240" w:lineRule="auto"/>
              <w:jc w:val="right"/>
              <w:rPr>
                <w:rFonts w:cs="Arial"/>
                <w:color w:val="000000"/>
                <w:szCs w:val="20"/>
              </w:rPr>
            </w:pPr>
            <w:r w:rsidRPr="00B148B1">
              <w:rPr>
                <w:rFonts w:cs="Arial"/>
                <w:color w:val="000000"/>
                <w:szCs w:val="20"/>
              </w:rPr>
              <w:t xml:space="preserve">aglomeracije </w:t>
            </w:r>
            <w:r w:rsidR="00512ACD" w:rsidRPr="00B148B1">
              <w:rPr>
                <w:rFonts w:cs="Arial"/>
                <w:color w:val="000000"/>
                <w:szCs w:val="20"/>
              </w:rPr>
              <w:t xml:space="preserve">od </w:t>
            </w:r>
            <w:r w:rsidRPr="00B148B1">
              <w:rPr>
                <w:rFonts w:cs="Arial"/>
                <w:color w:val="000000"/>
                <w:szCs w:val="20"/>
              </w:rPr>
              <w:t xml:space="preserve">500 </w:t>
            </w:r>
            <w:r w:rsidR="00512ACD" w:rsidRPr="00B148B1">
              <w:rPr>
                <w:rFonts w:cs="Arial"/>
                <w:color w:val="000000"/>
                <w:szCs w:val="20"/>
              </w:rPr>
              <w:t>do</w:t>
            </w:r>
            <w:r w:rsidRPr="00B148B1">
              <w:rPr>
                <w:rFonts w:cs="Arial"/>
                <w:color w:val="000000"/>
                <w:szCs w:val="20"/>
              </w:rPr>
              <w:t xml:space="preserve"> 2.000 PE</w:t>
            </w:r>
          </w:p>
        </w:tc>
        <w:tc>
          <w:tcPr>
            <w:tcW w:w="2484" w:type="dxa"/>
            <w:vAlign w:val="center"/>
          </w:tcPr>
          <w:p w:rsidR="004B3FD9" w:rsidRPr="00B148B1" w:rsidRDefault="004B3FD9" w:rsidP="008F36B7">
            <w:pPr>
              <w:spacing w:line="240" w:lineRule="auto"/>
              <w:jc w:val="center"/>
              <w:rPr>
                <w:rFonts w:cs="Arial"/>
                <w:color w:val="000000"/>
                <w:szCs w:val="20"/>
              </w:rPr>
            </w:pPr>
            <w:r w:rsidRPr="00B148B1">
              <w:rPr>
                <w:rFonts w:cs="Arial"/>
                <w:color w:val="000000"/>
                <w:szCs w:val="20"/>
              </w:rPr>
              <w:t>7</w:t>
            </w:r>
          </w:p>
        </w:tc>
        <w:tc>
          <w:tcPr>
            <w:tcW w:w="3068" w:type="dxa"/>
            <w:vAlign w:val="center"/>
          </w:tcPr>
          <w:p w:rsidR="004B3FD9" w:rsidRPr="00B148B1" w:rsidRDefault="004B3FD9" w:rsidP="008F36B7">
            <w:pPr>
              <w:spacing w:line="240" w:lineRule="auto"/>
              <w:jc w:val="center"/>
              <w:rPr>
                <w:rFonts w:cs="Arial"/>
                <w:color w:val="000000"/>
                <w:szCs w:val="20"/>
              </w:rPr>
            </w:pPr>
            <w:r w:rsidRPr="00B148B1">
              <w:rPr>
                <w:rFonts w:cs="Arial"/>
                <w:color w:val="000000"/>
                <w:szCs w:val="20"/>
              </w:rPr>
              <w:t>8.083</w:t>
            </w:r>
          </w:p>
        </w:tc>
      </w:tr>
      <w:tr w:rsidR="004B3FD9" w:rsidRPr="00B148B1" w:rsidTr="00385BB8">
        <w:trPr>
          <w:cantSplit/>
          <w:trHeight w:val="340"/>
        </w:trPr>
        <w:tc>
          <w:tcPr>
            <w:tcW w:w="3652" w:type="dxa"/>
            <w:vAlign w:val="center"/>
          </w:tcPr>
          <w:p w:rsidR="004B3FD9" w:rsidRPr="00B148B1" w:rsidRDefault="004B3FD9" w:rsidP="00512ACD">
            <w:pPr>
              <w:spacing w:line="240" w:lineRule="auto"/>
              <w:jc w:val="right"/>
              <w:rPr>
                <w:rFonts w:cs="Arial"/>
                <w:color w:val="000000"/>
                <w:szCs w:val="20"/>
              </w:rPr>
            </w:pPr>
            <w:r w:rsidRPr="00B148B1">
              <w:rPr>
                <w:rFonts w:cs="Arial"/>
                <w:color w:val="000000"/>
                <w:szCs w:val="20"/>
              </w:rPr>
              <w:t xml:space="preserve">aglomeracije </w:t>
            </w:r>
            <w:r w:rsidR="00512ACD" w:rsidRPr="00B148B1">
              <w:rPr>
                <w:rFonts w:cs="Arial"/>
                <w:color w:val="000000"/>
                <w:szCs w:val="20"/>
              </w:rPr>
              <w:t xml:space="preserve">od </w:t>
            </w:r>
            <w:r w:rsidRPr="00B148B1">
              <w:rPr>
                <w:rFonts w:cs="Arial"/>
                <w:color w:val="000000"/>
                <w:szCs w:val="20"/>
              </w:rPr>
              <w:t xml:space="preserve">50 </w:t>
            </w:r>
            <w:r w:rsidR="00512ACD" w:rsidRPr="00B148B1">
              <w:rPr>
                <w:rFonts w:cs="Arial"/>
                <w:color w:val="000000"/>
                <w:szCs w:val="20"/>
              </w:rPr>
              <w:t>do</w:t>
            </w:r>
            <w:r w:rsidRPr="00B148B1">
              <w:rPr>
                <w:rFonts w:cs="Arial"/>
                <w:color w:val="000000"/>
                <w:szCs w:val="20"/>
              </w:rPr>
              <w:t xml:space="preserve"> 500 PE</w:t>
            </w:r>
          </w:p>
        </w:tc>
        <w:tc>
          <w:tcPr>
            <w:tcW w:w="2484" w:type="dxa"/>
            <w:vAlign w:val="center"/>
          </w:tcPr>
          <w:p w:rsidR="004B3FD9" w:rsidRPr="00B148B1" w:rsidRDefault="004B3FD9" w:rsidP="008F36B7">
            <w:pPr>
              <w:spacing w:line="240" w:lineRule="auto"/>
              <w:jc w:val="center"/>
              <w:rPr>
                <w:rFonts w:cs="Arial"/>
                <w:color w:val="000000"/>
                <w:szCs w:val="20"/>
              </w:rPr>
            </w:pPr>
            <w:r w:rsidRPr="00B148B1">
              <w:rPr>
                <w:rFonts w:cs="Arial"/>
                <w:color w:val="000000"/>
                <w:szCs w:val="20"/>
              </w:rPr>
              <w:t>37</w:t>
            </w:r>
          </w:p>
        </w:tc>
        <w:tc>
          <w:tcPr>
            <w:tcW w:w="3068" w:type="dxa"/>
            <w:vAlign w:val="center"/>
          </w:tcPr>
          <w:p w:rsidR="004B3FD9" w:rsidRPr="00B148B1" w:rsidRDefault="004B3FD9" w:rsidP="008F36B7">
            <w:pPr>
              <w:spacing w:line="240" w:lineRule="auto"/>
              <w:jc w:val="center"/>
              <w:rPr>
                <w:rFonts w:cs="Arial"/>
                <w:color w:val="000000"/>
                <w:szCs w:val="20"/>
              </w:rPr>
            </w:pPr>
            <w:r w:rsidRPr="00B148B1">
              <w:rPr>
                <w:rFonts w:cs="Arial"/>
                <w:color w:val="000000"/>
                <w:szCs w:val="20"/>
              </w:rPr>
              <w:t>8.910</w:t>
            </w:r>
          </w:p>
        </w:tc>
      </w:tr>
      <w:tr w:rsidR="004B3FD9" w:rsidRPr="00B148B1" w:rsidTr="00385BB8">
        <w:trPr>
          <w:cantSplit/>
          <w:trHeight w:val="340"/>
        </w:trPr>
        <w:tc>
          <w:tcPr>
            <w:tcW w:w="3652" w:type="dxa"/>
            <w:vAlign w:val="center"/>
          </w:tcPr>
          <w:p w:rsidR="004B3FD9" w:rsidRPr="00B148B1" w:rsidRDefault="004B3FD9" w:rsidP="006A72BD">
            <w:pPr>
              <w:spacing w:line="240" w:lineRule="auto"/>
              <w:rPr>
                <w:rFonts w:cs="Arial"/>
                <w:i/>
                <w:color w:val="000000"/>
                <w:szCs w:val="20"/>
              </w:rPr>
            </w:pPr>
            <w:r w:rsidRPr="00B148B1">
              <w:rPr>
                <w:rFonts w:cs="Arial"/>
                <w:i/>
                <w:color w:val="000000"/>
                <w:szCs w:val="20"/>
              </w:rPr>
              <w:t>Dodatni program</w:t>
            </w:r>
          </w:p>
        </w:tc>
        <w:tc>
          <w:tcPr>
            <w:tcW w:w="2484" w:type="dxa"/>
            <w:vAlign w:val="center"/>
          </w:tcPr>
          <w:p w:rsidR="004B3FD9" w:rsidRPr="00B148B1" w:rsidRDefault="004B3FD9" w:rsidP="008F36B7">
            <w:pPr>
              <w:spacing w:line="240" w:lineRule="auto"/>
              <w:jc w:val="center"/>
              <w:rPr>
                <w:rFonts w:cs="Arial"/>
                <w:i/>
                <w:iCs/>
                <w:color w:val="000000"/>
                <w:szCs w:val="20"/>
              </w:rPr>
            </w:pPr>
            <w:r w:rsidRPr="00B148B1">
              <w:rPr>
                <w:rFonts w:cs="Arial"/>
                <w:i/>
                <w:iCs/>
                <w:color w:val="000000"/>
                <w:szCs w:val="20"/>
              </w:rPr>
              <w:t>3</w:t>
            </w:r>
          </w:p>
        </w:tc>
        <w:tc>
          <w:tcPr>
            <w:tcW w:w="3068" w:type="dxa"/>
            <w:vAlign w:val="center"/>
          </w:tcPr>
          <w:p w:rsidR="004B3FD9" w:rsidRPr="00B148B1" w:rsidRDefault="004B3FD9" w:rsidP="008F36B7">
            <w:pPr>
              <w:spacing w:line="240" w:lineRule="auto"/>
              <w:jc w:val="center"/>
              <w:rPr>
                <w:rFonts w:cs="Arial"/>
                <w:i/>
                <w:iCs/>
                <w:color w:val="000000"/>
                <w:szCs w:val="20"/>
              </w:rPr>
            </w:pPr>
            <w:r w:rsidRPr="00B148B1">
              <w:rPr>
                <w:rFonts w:cs="Arial"/>
                <w:i/>
                <w:iCs/>
                <w:color w:val="000000"/>
                <w:szCs w:val="20"/>
              </w:rPr>
              <w:t>270</w:t>
            </w:r>
          </w:p>
        </w:tc>
      </w:tr>
      <w:tr w:rsidR="004B3FD9" w:rsidRPr="00B148B1" w:rsidTr="00385BB8">
        <w:trPr>
          <w:cantSplit/>
          <w:trHeight w:val="340"/>
        </w:trPr>
        <w:tc>
          <w:tcPr>
            <w:tcW w:w="3652" w:type="dxa"/>
            <w:vAlign w:val="center"/>
          </w:tcPr>
          <w:p w:rsidR="004B3FD9" w:rsidRPr="00B148B1" w:rsidRDefault="004B3FD9" w:rsidP="00512ACD">
            <w:pPr>
              <w:spacing w:line="240" w:lineRule="auto"/>
              <w:jc w:val="right"/>
              <w:rPr>
                <w:rFonts w:cs="Arial"/>
                <w:color w:val="000000"/>
                <w:szCs w:val="20"/>
              </w:rPr>
            </w:pPr>
            <w:r w:rsidRPr="00B148B1">
              <w:rPr>
                <w:rFonts w:cs="Arial"/>
                <w:color w:val="000000"/>
                <w:szCs w:val="20"/>
              </w:rPr>
              <w:t xml:space="preserve">aglomeracije </w:t>
            </w:r>
            <w:r w:rsidR="00512ACD" w:rsidRPr="00B148B1">
              <w:rPr>
                <w:rFonts w:cs="Arial"/>
                <w:color w:val="000000"/>
                <w:szCs w:val="20"/>
              </w:rPr>
              <w:t xml:space="preserve">od </w:t>
            </w:r>
            <w:r w:rsidRPr="00B148B1">
              <w:rPr>
                <w:rFonts w:cs="Arial"/>
                <w:color w:val="000000"/>
                <w:szCs w:val="20"/>
              </w:rPr>
              <w:t xml:space="preserve">500 </w:t>
            </w:r>
            <w:r w:rsidR="00512ACD" w:rsidRPr="00B148B1">
              <w:rPr>
                <w:rFonts w:cs="Arial"/>
                <w:color w:val="000000"/>
                <w:szCs w:val="20"/>
              </w:rPr>
              <w:t>do</w:t>
            </w:r>
            <w:r w:rsidRPr="00B148B1">
              <w:rPr>
                <w:rFonts w:cs="Arial"/>
                <w:color w:val="000000"/>
                <w:szCs w:val="20"/>
              </w:rPr>
              <w:t xml:space="preserve"> 2.000 PE</w:t>
            </w:r>
          </w:p>
        </w:tc>
        <w:tc>
          <w:tcPr>
            <w:tcW w:w="2484" w:type="dxa"/>
            <w:vAlign w:val="center"/>
          </w:tcPr>
          <w:p w:rsidR="004B3FD9" w:rsidRPr="00B148B1" w:rsidRDefault="004B3FD9" w:rsidP="008F36B7">
            <w:pPr>
              <w:spacing w:line="240" w:lineRule="auto"/>
              <w:jc w:val="center"/>
              <w:rPr>
                <w:rFonts w:cs="Arial"/>
                <w:color w:val="000000"/>
                <w:szCs w:val="20"/>
              </w:rPr>
            </w:pPr>
            <w:r w:rsidRPr="00B148B1">
              <w:rPr>
                <w:rFonts w:cs="Arial"/>
                <w:color w:val="000000"/>
                <w:szCs w:val="20"/>
              </w:rPr>
              <w:t>0</w:t>
            </w:r>
          </w:p>
        </w:tc>
        <w:tc>
          <w:tcPr>
            <w:tcW w:w="3068" w:type="dxa"/>
            <w:vAlign w:val="center"/>
          </w:tcPr>
          <w:p w:rsidR="004B3FD9" w:rsidRPr="00B148B1" w:rsidRDefault="004B3FD9" w:rsidP="008F36B7">
            <w:pPr>
              <w:spacing w:line="240" w:lineRule="auto"/>
              <w:jc w:val="center"/>
              <w:rPr>
                <w:rFonts w:cs="Arial"/>
                <w:color w:val="000000"/>
                <w:szCs w:val="20"/>
              </w:rPr>
            </w:pPr>
            <w:r w:rsidRPr="00B148B1">
              <w:rPr>
                <w:rFonts w:cs="Arial"/>
                <w:color w:val="000000"/>
                <w:szCs w:val="20"/>
              </w:rPr>
              <w:t>0</w:t>
            </w:r>
          </w:p>
        </w:tc>
      </w:tr>
      <w:tr w:rsidR="004B3FD9" w:rsidRPr="00B148B1" w:rsidTr="00385BB8">
        <w:trPr>
          <w:cantSplit/>
          <w:trHeight w:val="340"/>
        </w:trPr>
        <w:tc>
          <w:tcPr>
            <w:tcW w:w="3652" w:type="dxa"/>
            <w:vAlign w:val="center"/>
          </w:tcPr>
          <w:p w:rsidR="004B3FD9" w:rsidRPr="00B148B1" w:rsidRDefault="004B3FD9" w:rsidP="00512ACD">
            <w:pPr>
              <w:spacing w:line="240" w:lineRule="auto"/>
              <w:jc w:val="right"/>
              <w:rPr>
                <w:rFonts w:cs="Arial"/>
                <w:color w:val="000000"/>
                <w:szCs w:val="20"/>
              </w:rPr>
            </w:pPr>
            <w:r w:rsidRPr="00B148B1">
              <w:rPr>
                <w:rFonts w:cs="Arial"/>
                <w:color w:val="000000"/>
                <w:szCs w:val="20"/>
              </w:rPr>
              <w:t xml:space="preserve">aglomeracije </w:t>
            </w:r>
            <w:r w:rsidR="00512ACD" w:rsidRPr="00B148B1">
              <w:rPr>
                <w:rFonts w:cs="Arial"/>
                <w:color w:val="000000"/>
                <w:szCs w:val="20"/>
              </w:rPr>
              <w:t xml:space="preserve">od </w:t>
            </w:r>
            <w:r w:rsidRPr="00B148B1">
              <w:rPr>
                <w:rFonts w:cs="Arial"/>
                <w:color w:val="000000"/>
                <w:szCs w:val="20"/>
              </w:rPr>
              <w:t xml:space="preserve">50 </w:t>
            </w:r>
            <w:r w:rsidR="00512ACD" w:rsidRPr="00B148B1">
              <w:rPr>
                <w:rFonts w:cs="Arial"/>
                <w:color w:val="000000"/>
                <w:szCs w:val="20"/>
              </w:rPr>
              <w:t>do</w:t>
            </w:r>
            <w:r w:rsidRPr="00B148B1">
              <w:rPr>
                <w:rFonts w:cs="Arial"/>
                <w:color w:val="000000"/>
                <w:szCs w:val="20"/>
              </w:rPr>
              <w:t xml:space="preserve"> 500 PE</w:t>
            </w:r>
          </w:p>
        </w:tc>
        <w:tc>
          <w:tcPr>
            <w:tcW w:w="2484" w:type="dxa"/>
            <w:vAlign w:val="center"/>
          </w:tcPr>
          <w:p w:rsidR="004B3FD9" w:rsidRPr="00B148B1" w:rsidRDefault="004B3FD9" w:rsidP="008F36B7">
            <w:pPr>
              <w:spacing w:line="240" w:lineRule="auto"/>
              <w:jc w:val="center"/>
              <w:rPr>
                <w:rFonts w:cs="Arial"/>
                <w:color w:val="000000"/>
                <w:szCs w:val="20"/>
              </w:rPr>
            </w:pPr>
            <w:r w:rsidRPr="00B148B1">
              <w:rPr>
                <w:rFonts w:cs="Arial"/>
                <w:color w:val="000000"/>
                <w:szCs w:val="20"/>
              </w:rPr>
              <w:t>2</w:t>
            </w:r>
          </w:p>
        </w:tc>
        <w:tc>
          <w:tcPr>
            <w:tcW w:w="3068" w:type="dxa"/>
            <w:vAlign w:val="center"/>
          </w:tcPr>
          <w:p w:rsidR="004B3FD9" w:rsidRPr="00B148B1" w:rsidRDefault="004B3FD9" w:rsidP="008F36B7">
            <w:pPr>
              <w:spacing w:line="240" w:lineRule="auto"/>
              <w:jc w:val="center"/>
              <w:rPr>
                <w:rFonts w:cs="Arial"/>
                <w:color w:val="000000"/>
                <w:szCs w:val="20"/>
              </w:rPr>
            </w:pPr>
            <w:r w:rsidRPr="00B148B1">
              <w:rPr>
                <w:rFonts w:cs="Arial"/>
                <w:color w:val="000000"/>
                <w:szCs w:val="20"/>
              </w:rPr>
              <w:t>230</w:t>
            </w:r>
          </w:p>
        </w:tc>
      </w:tr>
      <w:tr w:rsidR="004B3FD9" w:rsidRPr="00B148B1" w:rsidTr="00385BB8">
        <w:trPr>
          <w:cantSplit/>
          <w:trHeight w:val="340"/>
        </w:trPr>
        <w:tc>
          <w:tcPr>
            <w:tcW w:w="3652" w:type="dxa"/>
            <w:vAlign w:val="center"/>
          </w:tcPr>
          <w:p w:rsidR="004B3FD9" w:rsidRPr="00B148B1" w:rsidRDefault="004B3FD9" w:rsidP="006A72BD">
            <w:pPr>
              <w:spacing w:line="240" w:lineRule="auto"/>
              <w:jc w:val="right"/>
              <w:rPr>
                <w:rFonts w:cs="Arial"/>
                <w:color w:val="000000"/>
                <w:szCs w:val="20"/>
              </w:rPr>
            </w:pPr>
            <w:r w:rsidRPr="00B148B1">
              <w:rPr>
                <w:rFonts w:cs="Arial"/>
                <w:color w:val="000000"/>
                <w:szCs w:val="20"/>
              </w:rPr>
              <w:t>aglomeracije &lt; 50 PE</w:t>
            </w:r>
          </w:p>
        </w:tc>
        <w:tc>
          <w:tcPr>
            <w:tcW w:w="2484" w:type="dxa"/>
            <w:vAlign w:val="center"/>
          </w:tcPr>
          <w:p w:rsidR="004B3FD9" w:rsidRPr="00B148B1" w:rsidRDefault="004B3FD9" w:rsidP="008F36B7">
            <w:pPr>
              <w:spacing w:line="240" w:lineRule="auto"/>
              <w:jc w:val="center"/>
              <w:rPr>
                <w:rFonts w:cs="Arial"/>
                <w:color w:val="000000"/>
                <w:szCs w:val="20"/>
              </w:rPr>
            </w:pPr>
            <w:r w:rsidRPr="00B148B1">
              <w:rPr>
                <w:rFonts w:cs="Arial"/>
                <w:color w:val="000000"/>
                <w:szCs w:val="20"/>
              </w:rPr>
              <w:t>1</w:t>
            </w:r>
          </w:p>
        </w:tc>
        <w:tc>
          <w:tcPr>
            <w:tcW w:w="3068" w:type="dxa"/>
            <w:vAlign w:val="center"/>
          </w:tcPr>
          <w:p w:rsidR="004B3FD9" w:rsidRPr="00B148B1" w:rsidRDefault="004B3FD9" w:rsidP="008F36B7">
            <w:pPr>
              <w:spacing w:line="240" w:lineRule="auto"/>
              <w:jc w:val="center"/>
              <w:rPr>
                <w:rFonts w:cs="Arial"/>
                <w:color w:val="000000"/>
                <w:szCs w:val="20"/>
              </w:rPr>
            </w:pPr>
            <w:r w:rsidRPr="00B148B1">
              <w:rPr>
                <w:rFonts w:cs="Arial"/>
                <w:color w:val="000000"/>
                <w:szCs w:val="20"/>
              </w:rPr>
              <w:t>40</w:t>
            </w:r>
          </w:p>
        </w:tc>
      </w:tr>
      <w:tr w:rsidR="004B3FD9" w:rsidRPr="00B148B1" w:rsidTr="00385BB8">
        <w:trPr>
          <w:cantSplit/>
          <w:trHeight w:val="340"/>
        </w:trPr>
        <w:tc>
          <w:tcPr>
            <w:tcW w:w="3652" w:type="dxa"/>
            <w:vAlign w:val="center"/>
          </w:tcPr>
          <w:p w:rsidR="004B3FD9" w:rsidRPr="00B148B1" w:rsidRDefault="004B3FD9" w:rsidP="006A72BD">
            <w:pPr>
              <w:spacing w:line="240" w:lineRule="auto"/>
              <w:rPr>
                <w:rFonts w:cs="Arial"/>
                <w:b/>
                <w:i/>
                <w:szCs w:val="20"/>
              </w:rPr>
            </w:pPr>
            <w:r w:rsidRPr="00B148B1">
              <w:rPr>
                <w:rFonts w:cs="Arial"/>
                <w:b/>
                <w:i/>
                <w:szCs w:val="20"/>
              </w:rPr>
              <w:t>Skupaj</w:t>
            </w:r>
          </w:p>
        </w:tc>
        <w:tc>
          <w:tcPr>
            <w:tcW w:w="2484" w:type="dxa"/>
            <w:vAlign w:val="center"/>
          </w:tcPr>
          <w:p w:rsidR="004B3FD9" w:rsidRPr="00B148B1" w:rsidRDefault="004B3FD9" w:rsidP="008F36B7">
            <w:pPr>
              <w:spacing w:line="240" w:lineRule="auto"/>
              <w:jc w:val="center"/>
              <w:rPr>
                <w:rFonts w:cs="Arial"/>
                <w:b/>
                <w:i/>
                <w:iCs/>
                <w:color w:val="000000"/>
                <w:szCs w:val="20"/>
              </w:rPr>
            </w:pPr>
            <w:r w:rsidRPr="00B148B1">
              <w:rPr>
                <w:rFonts w:cs="Arial"/>
                <w:b/>
                <w:i/>
                <w:iCs/>
                <w:color w:val="000000"/>
                <w:szCs w:val="20"/>
              </w:rPr>
              <w:t>57</w:t>
            </w:r>
          </w:p>
        </w:tc>
        <w:tc>
          <w:tcPr>
            <w:tcW w:w="3068" w:type="dxa"/>
            <w:vAlign w:val="center"/>
          </w:tcPr>
          <w:p w:rsidR="004B3FD9" w:rsidRPr="00B148B1" w:rsidRDefault="004B3FD9" w:rsidP="008F36B7">
            <w:pPr>
              <w:spacing w:line="240" w:lineRule="auto"/>
              <w:jc w:val="center"/>
              <w:rPr>
                <w:rFonts w:cs="Arial"/>
                <w:b/>
                <w:i/>
                <w:iCs/>
                <w:color w:val="000000"/>
                <w:szCs w:val="20"/>
              </w:rPr>
            </w:pPr>
            <w:r w:rsidRPr="00B148B1">
              <w:rPr>
                <w:rFonts w:cs="Arial"/>
                <w:b/>
                <w:i/>
                <w:iCs/>
                <w:color w:val="000000"/>
                <w:szCs w:val="20"/>
              </w:rPr>
              <w:t>133.774</w:t>
            </w:r>
          </w:p>
        </w:tc>
      </w:tr>
      <w:tr w:rsidR="00D774EB" w:rsidRPr="00B148B1" w:rsidTr="00385BB8">
        <w:trPr>
          <w:cantSplit/>
          <w:trHeight w:val="340"/>
        </w:trPr>
        <w:tc>
          <w:tcPr>
            <w:tcW w:w="9204" w:type="dxa"/>
            <w:gridSpan w:val="3"/>
            <w:vAlign w:val="center"/>
          </w:tcPr>
          <w:p w:rsidR="00D774EB" w:rsidRPr="00B148B1" w:rsidRDefault="00D774EB" w:rsidP="006A72BD">
            <w:pPr>
              <w:tabs>
                <w:tab w:val="left" w:pos="851"/>
                <w:tab w:val="left" w:pos="1418"/>
                <w:tab w:val="left" w:pos="9600"/>
              </w:tabs>
              <w:spacing w:line="240" w:lineRule="auto"/>
              <w:rPr>
                <w:rFonts w:cs="Arial"/>
                <w:b/>
                <w:i/>
                <w:color w:val="000000"/>
                <w:szCs w:val="20"/>
              </w:rPr>
            </w:pPr>
            <w:r w:rsidRPr="00B148B1">
              <w:rPr>
                <w:rFonts w:cs="Arial"/>
                <w:b/>
                <w:i/>
                <w:color w:val="000000"/>
                <w:szCs w:val="20"/>
              </w:rPr>
              <w:t>Vodovarstvena območja</w:t>
            </w:r>
          </w:p>
        </w:tc>
      </w:tr>
      <w:tr w:rsidR="004B3FD9" w:rsidRPr="00B148B1" w:rsidTr="00385BB8">
        <w:trPr>
          <w:cantSplit/>
          <w:trHeight w:val="340"/>
        </w:trPr>
        <w:tc>
          <w:tcPr>
            <w:tcW w:w="3652" w:type="dxa"/>
            <w:vAlign w:val="center"/>
          </w:tcPr>
          <w:p w:rsidR="004B3FD9" w:rsidRPr="00B148B1" w:rsidRDefault="004B3FD9" w:rsidP="006A72BD">
            <w:pPr>
              <w:spacing w:line="240" w:lineRule="auto"/>
              <w:rPr>
                <w:rFonts w:cs="Arial"/>
                <w:i/>
                <w:color w:val="000000"/>
                <w:szCs w:val="20"/>
              </w:rPr>
            </w:pPr>
            <w:r w:rsidRPr="00B148B1">
              <w:rPr>
                <w:rFonts w:cs="Arial"/>
                <w:i/>
                <w:color w:val="000000"/>
                <w:szCs w:val="20"/>
              </w:rPr>
              <w:t>Osnovni program</w:t>
            </w:r>
          </w:p>
        </w:tc>
        <w:tc>
          <w:tcPr>
            <w:tcW w:w="2484" w:type="dxa"/>
            <w:vAlign w:val="center"/>
          </w:tcPr>
          <w:p w:rsidR="004B3FD9" w:rsidRPr="00B148B1" w:rsidRDefault="004B3FD9" w:rsidP="008F36B7">
            <w:pPr>
              <w:spacing w:line="240" w:lineRule="auto"/>
              <w:jc w:val="center"/>
              <w:rPr>
                <w:rFonts w:cs="Arial"/>
                <w:i/>
                <w:iCs/>
                <w:color w:val="000000"/>
                <w:szCs w:val="20"/>
              </w:rPr>
            </w:pPr>
            <w:r w:rsidRPr="00B148B1">
              <w:rPr>
                <w:rFonts w:cs="Arial"/>
                <w:i/>
                <w:iCs/>
                <w:color w:val="000000"/>
                <w:szCs w:val="20"/>
              </w:rPr>
              <w:t>539</w:t>
            </w:r>
          </w:p>
        </w:tc>
        <w:tc>
          <w:tcPr>
            <w:tcW w:w="3068" w:type="dxa"/>
            <w:vAlign w:val="center"/>
          </w:tcPr>
          <w:p w:rsidR="004B3FD9" w:rsidRPr="00B148B1" w:rsidRDefault="004B3FD9" w:rsidP="008F36B7">
            <w:pPr>
              <w:spacing w:line="240" w:lineRule="auto"/>
              <w:jc w:val="center"/>
              <w:rPr>
                <w:rFonts w:cs="Arial"/>
                <w:i/>
                <w:iCs/>
                <w:color w:val="000000"/>
                <w:szCs w:val="20"/>
              </w:rPr>
            </w:pPr>
            <w:r w:rsidRPr="00B148B1">
              <w:rPr>
                <w:rFonts w:cs="Arial"/>
                <w:i/>
                <w:iCs/>
                <w:color w:val="000000"/>
                <w:szCs w:val="20"/>
              </w:rPr>
              <w:t>1.118.004</w:t>
            </w:r>
          </w:p>
        </w:tc>
      </w:tr>
      <w:tr w:rsidR="004B3FD9" w:rsidRPr="00B148B1" w:rsidTr="00385BB8">
        <w:trPr>
          <w:cantSplit/>
          <w:trHeight w:val="340"/>
        </w:trPr>
        <w:tc>
          <w:tcPr>
            <w:tcW w:w="3652" w:type="dxa"/>
            <w:vAlign w:val="center"/>
          </w:tcPr>
          <w:p w:rsidR="004B3FD9" w:rsidRPr="00B148B1" w:rsidRDefault="004B3FD9" w:rsidP="006A72BD">
            <w:pPr>
              <w:spacing w:line="240" w:lineRule="auto"/>
              <w:jc w:val="right"/>
              <w:rPr>
                <w:rFonts w:cs="Arial"/>
                <w:color w:val="000000"/>
                <w:szCs w:val="20"/>
              </w:rPr>
            </w:pPr>
            <w:r w:rsidRPr="00B148B1">
              <w:rPr>
                <w:rFonts w:cs="Arial"/>
                <w:color w:val="000000"/>
                <w:szCs w:val="20"/>
              </w:rPr>
              <w:t>aglomeracije ≥ 10.000 PE</w:t>
            </w:r>
          </w:p>
        </w:tc>
        <w:tc>
          <w:tcPr>
            <w:tcW w:w="2484" w:type="dxa"/>
            <w:vAlign w:val="center"/>
          </w:tcPr>
          <w:p w:rsidR="004B3FD9" w:rsidRPr="00B148B1" w:rsidRDefault="004B3FD9" w:rsidP="008F36B7">
            <w:pPr>
              <w:spacing w:line="240" w:lineRule="auto"/>
              <w:jc w:val="center"/>
              <w:rPr>
                <w:rFonts w:cs="Arial"/>
                <w:color w:val="000000"/>
                <w:szCs w:val="20"/>
              </w:rPr>
            </w:pPr>
            <w:r w:rsidRPr="00B148B1">
              <w:rPr>
                <w:rFonts w:cs="Arial"/>
                <w:color w:val="000000"/>
                <w:szCs w:val="20"/>
              </w:rPr>
              <w:t>15</w:t>
            </w:r>
          </w:p>
        </w:tc>
        <w:tc>
          <w:tcPr>
            <w:tcW w:w="3068" w:type="dxa"/>
            <w:vAlign w:val="center"/>
          </w:tcPr>
          <w:p w:rsidR="004B3FD9" w:rsidRPr="00B148B1" w:rsidRDefault="004B3FD9" w:rsidP="008F36B7">
            <w:pPr>
              <w:spacing w:line="240" w:lineRule="auto"/>
              <w:jc w:val="center"/>
              <w:rPr>
                <w:rFonts w:cs="Arial"/>
                <w:color w:val="000000"/>
                <w:szCs w:val="20"/>
              </w:rPr>
            </w:pPr>
            <w:r w:rsidRPr="00B148B1">
              <w:rPr>
                <w:rFonts w:cs="Arial"/>
                <w:color w:val="000000"/>
                <w:szCs w:val="20"/>
              </w:rPr>
              <w:t>695.419</w:t>
            </w:r>
          </w:p>
        </w:tc>
      </w:tr>
      <w:tr w:rsidR="004B3FD9" w:rsidRPr="00B148B1" w:rsidTr="00385BB8">
        <w:trPr>
          <w:cantSplit/>
          <w:trHeight w:val="340"/>
        </w:trPr>
        <w:tc>
          <w:tcPr>
            <w:tcW w:w="3652" w:type="dxa"/>
            <w:vAlign w:val="center"/>
          </w:tcPr>
          <w:p w:rsidR="004B3FD9" w:rsidRPr="00B148B1" w:rsidRDefault="004B3FD9" w:rsidP="00512ACD">
            <w:pPr>
              <w:spacing w:line="240" w:lineRule="auto"/>
              <w:jc w:val="right"/>
              <w:rPr>
                <w:rFonts w:cs="Arial"/>
                <w:color w:val="000000"/>
                <w:szCs w:val="20"/>
              </w:rPr>
            </w:pPr>
            <w:r w:rsidRPr="00B148B1">
              <w:rPr>
                <w:rFonts w:cs="Arial"/>
                <w:color w:val="000000"/>
                <w:szCs w:val="20"/>
              </w:rPr>
              <w:t xml:space="preserve">aglomeracije </w:t>
            </w:r>
            <w:r w:rsidR="00512ACD" w:rsidRPr="00B148B1">
              <w:rPr>
                <w:rFonts w:cs="Arial"/>
                <w:color w:val="000000"/>
                <w:szCs w:val="20"/>
              </w:rPr>
              <w:t xml:space="preserve">od </w:t>
            </w:r>
            <w:r w:rsidRPr="00B148B1">
              <w:rPr>
                <w:rFonts w:cs="Arial"/>
                <w:color w:val="000000"/>
                <w:szCs w:val="20"/>
              </w:rPr>
              <w:t xml:space="preserve">2.000 </w:t>
            </w:r>
            <w:r w:rsidR="00512ACD" w:rsidRPr="00B148B1">
              <w:rPr>
                <w:rFonts w:cs="Arial"/>
                <w:color w:val="000000"/>
                <w:szCs w:val="20"/>
              </w:rPr>
              <w:t>do</w:t>
            </w:r>
            <w:r w:rsidR="00C5768E" w:rsidRPr="00B148B1">
              <w:rPr>
                <w:rFonts w:cs="Arial"/>
                <w:color w:val="000000"/>
                <w:szCs w:val="20"/>
              </w:rPr>
              <w:t xml:space="preserve"> </w:t>
            </w:r>
            <w:r w:rsidRPr="00B148B1">
              <w:rPr>
                <w:rFonts w:cs="Arial"/>
                <w:color w:val="000000"/>
                <w:szCs w:val="20"/>
              </w:rPr>
              <w:t>10.000 PE</w:t>
            </w:r>
          </w:p>
        </w:tc>
        <w:tc>
          <w:tcPr>
            <w:tcW w:w="2484" w:type="dxa"/>
            <w:vAlign w:val="center"/>
          </w:tcPr>
          <w:p w:rsidR="004B3FD9" w:rsidRPr="00B148B1" w:rsidRDefault="004B3FD9" w:rsidP="008F36B7">
            <w:pPr>
              <w:spacing w:line="240" w:lineRule="auto"/>
              <w:jc w:val="center"/>
              <w:rPr>
                <w:rFonts w:cs="Arial"/>
                <w:color w:val="000000"/>
                <w:szCs w:val="20"/>
              </w:rPr>
            </w:pPr>
            <w:r w:rsidRPr="00B148B1">
              <w:rPr>
                <w:rFonts w:cs="Arial"/>
                <w:color w:val="000000"/>
                <w:szCs w:val="20"/>
              </w:rPr>
              <w:t>56</w:t>
            </w:r>
          </w:p>
        </w:tc>
        <w:tc>
          <w:tcPr>
            <w:tcW w:w="3068" w:type="dxa"/>
            <w:vAlign w:val="center"/>
          </w:tcPr>
          <w:p w:rsidR="004B3FD9" w:rsidRPr="00B148B1" w:rsidRDefault="004B3FD9" w:rsidP="008F36B7">
            <w:pPr>
              <w:spacing w:line="240" w:lineRule="auto"/>
              <w:jc w:val="center"/>
              <w:rPr>
                <w:rFonts w:cs="Arial"/>
                <w:color w:val="000000"/>
                <w:szCs w:val="20"/>
              </w:rPr>
            </w:pPr>
            <w:r w:rsidRPr="00B148B1">
              <w:rPr>
                <w:rFonts w:cs="Arial"/>
                <w:color w:val="000000"/>
                <w:szCs w:val="20"/>
              </w:rPr>
              <w:t>239.824</w:t>
            </w:r>
          </w:p>
        </w:tc>
      </w:tr>
      <w:tr w:rsidR="004B3FD9" w:rsidRPr="00B148B1" w:rsidTr="00385BB8">
        <w:trPr>
          <w:cantSplit/>
          <w:trHeight w:val="340"/>
        </w:trPr>
        <w:tc>
          <w:tcPr>
            <w:tcW w:w="3652" w:type="dxa"/>
            <w:vAlign w:val="center"/>
          </w:tcPr>
          <w:p w:rsidR="004B3FD9" w:rsidRPr="00B148B1" w:rsidRDefault="004B3FD9" w:rsidP="00512ACD">
            <w:pPr>
              <w:spacing w:line="240" w:lineRule="auto"/>
              <w:jc w:val="right"/>
              <w:rPr>
                <w:rFonts w:cs="Arial"/>
                <w:color w:val="000000"/>
                <w:szCs w:val="20"/>
              </w:rPr>
            </w:pPr>
            <w:r w:rsidRPr="00B148B1">
              <w:rPr>
                <w:rFonts w:cs="Arial"/>
                <w:color w:val="000000"/>
                <w:szCs w:val="20"/>
              </w:rPr>
              <w:lastRenderedPageBreak/>
              <w:t xml:space="preserve">aglomeracije </w:t>
            </w:r>
            <w:r w:rsidR="00512ACD" w:rsidRPr="00B148B1">
              <w:rPr>
                <w:rFonts w:cs="Arial"/>
                <w:color w:val="000000"/>
                <w:szCs w:val="20"/>
              </w:rPr>
              <w:t xml:space="preserve">od </w:t>
            </w:r>
            <w:r w:rsidRPr="00B148B1">
              <w:rPr>
                <w:rFonts w:cs="Arial"/>
                <w:color w:val="000000"/>
                <w:szCs w:val="20"/>
              </w:rPr>
              <w:t xml:space="preserve">500 </w:t>
            </w:r>
            <w:r w:rsidR="00512ACD" w:rsidRPr="00B148B1">
              <w:rPr>
                <w:rFonts w:cs="Arial"/>
                <w:color w:val="000000"/>
                <w:szCs w:val="20"/>
              </w:rPr>
              <w:t>do</w:t>
            </w:r>
            <w:r w:rsidRPr="00B148B1">
              <w:rPr>
                <w:rFonts w:cs="Arial"/>
                <w:color w:val="000000"/>
                <w:szCs w:val="20"/>
              </w:rPr>
              <w:t xml:space="preserve"> 2.000 PE</w:t>
            </w:r>
          </w:p>
        </w:tc>
        <w:tc>
          <w:tcPr>
            <w:tcW w:w="2484" w:type="dxa"/>
            <w:vAlign w:val="center"/>
          </w:tcPr>
          <w:p w:rsidR="004B3FD9" w:rsidRPr="00B148B1" w:rsidRDefault="004B3FD9" w:rsidP="008F36B7">
            <w:pPr>
              <w:spacing w:line="240" w:lineRule="auto"/>
              <w:jc w:val="center"/>
              <w:rPr>
                <w:rFonts w:cs="Arial"/>
                <w:color w:val="000000"/>
                <w:szCs w:val="20"/>
              </w:rPr>
            </w:pPr>
            <w:r w:rsidRPr="00B148B1">
              <w:rPr>
                <w:rFonts w:cs="Arial"/>
                <w:color w:val="000000"/>
                <w:szCs w:val="20"/>
              </w:rPr>
              <w:t>116</w:t>
            </w:r>
          </w:p>
        </w:tc>
        <w:tc>
          <w:tcPr>
            <w:tcW w:w="3068" w:type="dxa"/>
            <w:vAlign w:val="center"/>
          </w:tcPr>
          <w:p w:rsidR="004B3FD9" w:rsidRPr="00B148B1" w:rsidRDefault="004B3FD9" w:rsidP="008F36B7">
            <w:pPr>
              <w:spacing w:line="240" w:lineRule="auto"/>
              <w:jc w:val="center"/>
              <w:rPr>
                <w:rFonts w:cs="Arial"/>
                <w:color w:val="000000"/>
                <w:szCs w:val="20"/>
              </w:rPr>
            </w:pPr>
            <w:r w:rsidRPr="00B148B1">
              <w:rPr>
                <w:rFonts w:cs="Arial"/>
                <w:color w:val="000000"/>
                <w:szCs w:val="20"/>
              </w:rPr>
              <w:t>114.702</w:t>
            </w:r>
          </w:p>
        </w:tc>
      </w:tr>
      <w:tr w:rsidR="004B3FD9" w:rsidRPr="00B148B1" w:rsidTr="00385BB8">
        <w:trPr>
          <w:cantSplit/>
          <w:trHeight w:val="340"/>
        </w:trPr>
        <w:tc>
          <w:tcPr>
            <w:tcW w:w="3652" w:type="dxa"/>
            <w:vAlign w:val="center"/>
          </w:tcPr>
          <w:p w:rsidR="004B3FD9" w:rsidRPr="005D2A08" w:rsidRDefault="004B3FD9" w:rsidP="00512ACD">
            <w:pPr>
              <w:spacing w:line="240" w:lineRule="auto"/>
              <w:jc w:val="right"/>
              <w:rPr>
                <w:rFonts w:cs="Arial"/>
                <w:color w:val="000000"/>
                <w:szCs w:val="20"/>
              </w:rPr>
            </w:pPr>
            <w:r w:rsidRPr="005D2A08">
              <w:rPr>
                <w:rFonts w:cs="Arial"/>
                <w:color w:val="000000"/>
                <w:szCs w:val="20"/>
              </w:rPr>
              <w:t xml:space="preserve">aglomeracije </w:t>
            </w:r>
            <w:r w:rsidR="00512ACD" w:rsidRPr="005D2A08">
              <w:rPr>
                <w:rFonts w:cs="Arial"/>
                <w:color w:val="000000"/>
                <w:szCs w:val="20"/>
              </w:rPr>
              <w:t xml:space="preserve">od </w:t>
            </w:r>
            <w:r w:rsidRPr="005D2A08">
              <w:rPr>
                <w:rFonts w:cs="Arial"/>
                <w:color w:val="000000"/>
                <w:szCs w:val="20"/>
              </w:rPr>
              <w:t xml:space="preserve">50 </w:t>
            </w:r>
            <w:r w:rsidR="00512ACD" w:rsidRPr="005D2A08">
              <w:rPr>
                <w:rFonts w:cs="Arial"/>
                <w:color w:val="000000"/>
                <w:szCs w:val="20"/>
              </w:rPr>
              <w:t>do</w:t>
            </w:r>
            <w:r w:rsidR="005D2A08" w:rsidRPr="005D2A08">
              <w:rPr>
                <w:rFonts w:cs="Arial"/>
                <w:color w:val="000000"/>
                <w:szCs w:val="20"/>
              </w:rPr>
              <w:t xml:space="preserve"> </w:t>
            </w:r>
            <w:r w:rsidRPr="005D2A08">
              <w:rPr>
                <w:rFonts w:cs="Arial"/>
                <w:color w:val="000000"/>
                <w:szCs w:val="20"/>
              </w:rPr>
              <w:t>500 PE</w:t>
            </w:r>
          </w:p>
        </w:tc>
        <w:tc>
          <w:tcPr>
            <w:tcW w:w="2484" w:type="dxa"/>
            <w:vAlign w:val="center"/>
          </w:tcPr>
          <w:p w:rsidR="004B3FD9" w:rsidRPr="005D2A08" w:rsidRDefault="004B3FD9" w:rsidP="008F36B7">
            <w:pPr>
              <w:spacing w:line="240" w:lineRule="auto"/>
              <w:jc w:val="center"/>
              <w:rPr>
                <w:rFonts w:cs="Arial"/>
                <w:color w:val="000000"/>
                <w:szCs w:val="20"/>
              </w:rPr>
            </w:pPr>
            <w:r w:rsidRPr="005D2A08">
              <w:rPr>
                <w:rFonts w:cs="Arial"/>
                <w:color w:val="000000"/>
                <w:szCs w:val="20"/>
              </w:rPr>
              <w:t>352</w:t>
            </w:r>
          </w:p>
        </w:tc>
        <w:tc>
          <w:tcPr>
            <w:tcW w:w="3068" w:type="dxa"/>
            <w:vAlign w:val="center"/>
          </w:tcPr>
          <w:p w:rsidR="004B3FD9" w:rsidRPr="00B148B1" w:rsidRDefault="004B3FD9" w:rsidP="008F36B7">
            <w:pPr>
              <w:spacing w:line="240" w:lineRule="auto"/>
              <w:jc w:val="center"/>
              <w:rPr>
                <w:rFonts w:cs="Arial"/>
                <w:color w:val="000000"/>
                <w:szCs w:val="20"/>
              </w:rPr>
            </w:pPr>
            <w:r w:rsidRPr="00B148B1">
              <w:rPr>
                <w:rFonts w:cs="Arial"/>
                <w:color w:val="000000"/>
                <w:szCs w:val="20"/>
              </w:rPr>
              <w:t>68.059</w:t>
            </w:r>
          </w:p>
        </w:tc>
      </w:tr>
      <w:tr w:rsidR="004B3FD9" w:rsidRPr="00B148B1" w:rsidTr="00385BB8">
        <w:trPr>
          <w:cantSplit/>
          <w:trHeight w:val="340"/>
        </w:trPr>
        <w:tc>
          <w:tcPr>
            <w:tcW w:w="3652" w:type="dxa"/>
            <w:vAlign w:val="center"/>
          </w:tcPr>
          <w:p w:rsidR="004B3FD9" w:rsidRPr="00B148B1" w:rsidRDefault="004B3FD9" w:rsidP="006A72BD">
            <w:pPr>
              <w:spacing w:line="240" w:lineRule="auto"/>
              <w:rPr>
                <w:rFonts w:cs="Arial"/>
                <w:i/>
                <w:color w:val="000000"/>
                <w:szCs w:val="20"/>
              </w:rPr>
            </w:pPr>
            <w:r w:rsidRPr="00B148B1">
              <w:rPr>
                <w:rFonts w:cs="Arial"/>
                <w:i/>
                <w:color w:val="000000"/>
                <w:szCs w:val="20"/>
              </w:rPr>
              <w:t>Dodatni program</w:t>
            </w:r>
          </w:p>
        </w:tc>
        <w:tc>
          <w:tcPr>
            <w:tcW w:w="2484" w:type="dxa"/>
            <w:vAlign w:val="center"/>
          </w:tcPr>
          <w:p w:rsidR="004B3FD9" w:rsidRPr="00B148B1" w:rsidRDefault="004B3FD9" w:rsidP="008F36B7">
            <w:pPr>
              <w:spacing w:line="240" w:lineRule="auto"/>
              <w:jc w:val="center"/>
              <w:rPr>
                <w:rFonts w:cs="Arial"/>
                <w:i/>
                <w:iCs/>
                <w:color w:val="000000"/>
                <w:szCs w:val="20"/>
              </w:rPr>
            </w:pPr>
            <w:r w:rsidRPr="00B148B1">
              <w:rPr>
                <w:rFonts w:cs="Arial"/>
                <w:i/>
                <w:iCs/>
                <w:color w:val="000000"/>
                <w:szCs w:val="20"/>
              </w:rPr>
              <w:t>11</w:t>
            </w:r>
          </w:p>
        </w:tc>
        <w:tc>
          <w:tcPr>
            <w:tcW w:w="3068" w:type="dxa"/>
            <w:vAlign w:val="center"/>
          </w:tcPr>
          <w:p w:rsidR="004B3FD9" w:rsidRPr="00B148B1" w:rsidRDefault="004B3FD9" w:rsidP="008F36B7">
            <w:pPr>
              <w:spacing w:line="240" w:lineRule="auto"/>
              <w:jc w:val="center"/>
              <w:rPr>
                <w:rFonts w:cs="Arial"/>
                <w:i/>
                <w:iCs/>
                <w:color w:val="000000"/>
                <w:szCs w:val="20"/>
              </w:rPr>
            </w:pPr>
            <w:r w:rsidRPr="00B148B1">
              <w:rPr>
                <w:rFonts w:cs="Arial"/>
                <w:i/>
                <w:iCs/>
                <w:color w:val="000000"/>
                <w:szCs w:val="20"/>
              </w:rPr>
              <w:t>3.110</w:t>
            </w:r>
          </w:p>
        </w:tc>
      </w:tr>
      <w:tr w:rsidR="004B3FD9" w:rsidRPr="00B148B1" w:rsidTr="00385BB8">
        <w:trPr>
          <w:cantSplit/>
          <w:trHeight w:val="340"/>
        </w:trPr>
        <w:tc>
          <w:tcPr>
            <w:tcW w:w="3652" w:type="dxa"/>
            <w:vAlign w:val="center"/>
          </w:tcPr>
          <w:p w:rsidR="004B3FD9" w:rsidRPr="00B148B1" w:rsidRDefault="004B3FD9" w:rsidP="006A72BD">
            <w:pPr>
              <w:spacing w:line="240" w:lineRule="auto"/>
              <w:jc w:val="right"/>
              <w:rPr>
                <w:rFonts w:cs="Arial"/>
                <w:color w:val="000000"/>
                <w:szCs w:val="20"/>
              </w:rPr>
            </w:pPr>
            <w:r w:rsidRPr="00B148B1">
              <w:rPr>
                <w:rFonts w:cs="Arial"/>
                <w:color w:val="000000"/>
                <w:szCs w:val="20"/>
              </w:rPr>
              <w:t xml:space="preserve">aglomeracije </w:t>
            </w:r>
            <w:r w:rsidR="00512ACD" w:rsidRPr="00B148B1">
              <w:rPr>
                <w:rFonts w:cs="Arial"/>
                <w:color w:val="000000"/>
                <w:szCs w:val="20"/>
              </w:rPr>
              <w:t>od</w:t>
            </w:r>
            <w:r w:rsidRPr="00B148B1">
              <w:rPr>
                <w:rFonts w:cs="Arial"/>
                <w:color w:val="000000"/>
                <w:szCs w:val="20"/>
              </w:rPr>
              <w:t xml:space="preserve"> 500 </w:t>
            </w:r>
            <w:r w:rsidR="00512ACD" w:rsidRPr="00B148B1">
              <w:rPr>
                <w:rFonts w:cs="Arial"/>
                <w:color w:val="000000"/>
                <w:szCs w:val="20"/>
              </w:rPr>
              <w:t xml:space="preserve">do </w:t>
            </w:r>
            <w:r w:rsidRPr="00B148B1">
              <w:rPr>
                <w:rFonts w:cs="Arial"/>
                <w:color w:val="000000"/>
                <w:szCs w:val="20"/>
              </w:rPr>
              <w:t>2.000 PE</w:t>
            </w:r>
          </w:p>
        </w:tc>
        <w:tc>
          <w:tcPr>
            <w:tcW w:w="2484" w:type="dxa"/>
            <w:vAlign w:val="center"/>
          </w:tcPr>
          <w:p w:rsidR="004B3FD9" w:rsidRPr="00B148B1" w:rsidRDefault="004B3FD9" w:rsidP="008F36B7">
            <w:pPr>
              <w:spacing w:line="240" w:lineRule="auto"/>
              <w:jc w:val="center"/>
              <w:rPr>
                <w:rFonts w:cs="Arial"/>
                <w:color w:val="000000"/>
                <w:szCs w:val="20"/>
              </w:rPr>
            </w:pPr>
            <w:r w:rsidRPr="00B148B1">
              <w:rPr>
                <w:rFonts w:cs="Arial"/>
                <w:color w:val="000000"/>
                <w:szCs w:val="20"/>
              </w:rPr>
              <w:t>2</w:t>
            </w:r>
          </w:p>
        </w:tc>
        <w:tc>
          <w:tcPr>
            <w:tcW w:w="3068" w:type="dxa"/>
            <w:vAlign w:val="center"/>
          </w:tcPr>
          <w:p w:rsidR="004B3FD9" w:rsidRPr="00B148B1" w:rsidRDefault="004B3FD9" w:rsidP="008F36B7">
            <w:pPr>
              <w:spacing w:line="240" w:lineRule="auto"/>
              <w:jc w:val="center"/>
              <w:rPr>
                <w:rFonts w:cs="Arial"/>
                <w:color w:val="000000"/>
                <w:szCs w:val="20"/>
              </w:rPr>
            </w:pPr>
            <w:r w:rsidRPr="00B148B1">
              <w:rPr>
                <w:rFonts w:cs="Arial"/>
                <w:color w:val="000000"/>
                <w:szCs w:val="20"/>
              </w:rPr>
              <w:t>2.206</w:t>
            </w:r>
          </w:p>
        </w:tc>
      </w:tr>
      <w:tr w:rsidR="004B3FD9" w:rsidRPr="00B148B1" w:rsidTr="00385BB8">
        <w:trPr>
          <w:cantSplit/>
          <w:trHeight w:val="340"/>
        </w:trPr>
        <w:tc>
          <w:tcPr>
            <w:tcW w:w="3652" w:type="dxa"/>
            <w:vAlign w:val="center"/>
          </w:tcPr>
          <w:p w:rsidR="004B3FD9" w:rsidRPr="00B148B1" w:rsidRDefault="004B3FD9" w:rsidP="00512ACD">
            <w:pPr>
              <w:spacing w:line="240" w:lineRule="auto"/>
              <w:jc w:val="right"/>
              <w:rPr>
                <w:rFonts w:cs="Arial"/>
                <w:color w:val="000000"/>
                <w:szCs w:val="20"/>
              </w:rPr>
            </w:pPr>
            <w:r w:rsidRPr="00B148B1">
              <w:rPr>
                <w:rFonts w:cs="Arial"/>
                <w:color w:val="000000"/>
                <w:szCs w:val="20"/>
              </w:rPr>
              <w:t xml:space="preserve">aglomeracije </w:t>
            </w:r>
            <w:r w:rsidR="00512ACD" w:rsidRPr="00B148B1">
              <w:rPr>
                <w:rFonts w:cs="Arial"/>
                <w:color w:val="000000"/>
                <w:szCs w:val="20"/>
              </w:rPr>
              <w:t xml:space="preserve">od </w:t>
            </w:r>
            <w:r w:rsidRPr="00B148B1">
              <w:rPr>
                <w:rFonts w:cs="Arial"/>
                <w:color w:val="000000"/>
                <w:szCs w:val="20"/>
              </w:rPr>
              <w:t>50</w:t>
            </w:r>
            <w:r w:rsidR="00512ACD" w:rsidRPr="00B148B1">
              <w:rPr>
                <w:rFonts w:cs="Arial"/>
                <w:color w:val="000000"/>
                <w:szCs w:val="20"/>
              </w:rPr>
              <w:t xml:space="preserve"> do</w:t>
            </w:r>
            <w:r w:rsidRPr="00B148B1">
              <w:rPr>
                <w:rFonts w:cs="Arial"/>
                <w:color w:val="000000"/>
                <w:szCs w:val="20"/>
              </w:rPr>
              <w:t xml:space="preserve"> 500 PE</w:t>
            </w:r>
          </w:p>
        </w:tc>
        <w:tc>
          <w:tcPr>
            <w:tcW w:w="2484" w:type="dxa"/>
            <w:vAlign w:val="center"/>
          </w:tcPr>
          <w:p w:rsidR="004B3FD9" w:rsidRPr="00B148B1" w:rsidRDefault="004B3FD9" w:rsidP="008F36B7">
            <w:pPr>
              <w:spacing w:line="240" w:lineRule="auto"/>
              <w:jc w:val="center"/>
              <w:rPr>
                <w:rFonts w:cs="Arial"/>
                <w:color w:val="000000"/>
                <w:szCs w:val="20"/>
              </w:rPr>
            </w:pPr>
            <w:r w:rsidRPr="00B148B1">
              <w:rPr>
                <w:rFonts w:cs="Arial"/>
                <w:color w:val="000000"/>
                <w:szCs w:val="20"/>
              </w:rPr>
              <w:t>7</w:t>
            </w:r>
          </w:p>
        </w:tc>
        <w:tc>
          <w:tcPr>
            <w:tcW w:w="3068" w:type="dxa"/>
            <w:vAlign w:val="center"/>
          </w:tcPr>
          <w:p w:rsidR="004B3FD9" w:rsidRPr="00B148B1" w:rsidRDefault="004B3FD9" w:rsidP="008F36B7">
            <w:pPr>
              <w:spacing w:line="240" w:lineRule="auto"/>
              <w:jc w:val="center"/>
              <w:rPr>
                <w:rFonts w:cs="Arial"/>
                <w:color w:val="000000"/>
                <w:szCs w:val="20"/>
              </w:rPr>
            </w:pPr>
            <w:r w:rsidRPr="00B148B1">
              <w:rPr>
                <w:rFonts w:cs="Arial"/>
                <w:color w:val="000000"/>
                <w:szCs w:val="20"/>
              </w:rPr>
              <w:t>827</w:t>
            </w:r>
          </w:p>
        </w:tc>
      </w:tr>
      <w:tr w:rsidR="004B3FD9" w:rsidRPr="00B148B1" w:rsidTr="00385BB8">
        <w:trPr>
          <w:cantSplit/>
          <w:trHeight w:val="340"/>
        </w:trPr>
        <w:tc>
          <w:tcPr>
            <w:tcW w:w="3652" w:type="dxa"/>
            <w:vAlign w:val="center"/>
          </w:tcPr>
          <w:p w:rsidR="004B3FD9" w:rsidRPr="00B148B1" w:rsidRDefault="004B3FD9" w:rsidP="006A72BD">
            <w:pPr>
              <w:spacing w:line="240" w:lineRule="auto"/>
              <w:jc w:val="right"/>
              <w:rPr>
                <w:rFonts w:cs="Arial"/>
                <w:color w:val="000000"/>
                <w:szCs w:val="20"/>
              </w:rPr>
            </w:pPr>
            <w:r w:rsidRPr="00B148B1">
              <w:rPr>
                <w:rFonts w:cs="Arial"/>
                <w:color w:val="000000"/>
                <w:szCs w:val="20"/>
              </w:rPr>
              <w:t>aglomeracije &lt; 50 PE</w:t>
            </w:r>
          </w:p>
        </w:tc>
        <w:tc>
          <w:tcPr>
            <w:tcW w:w="2484" w:type="dxa"/>
            <w:vAlign w:val="center"/>
          </w:tcPr>
          <w:p w:rsidR="004B3FD9" w:rsidRPr="00B148B1" w:rsidRDefault="004B3FD9" w:rsidP="008F36B7">
            <w:pPr>
              <w:spacing w:line="240" w:lineRule="auto"/>
              <w:jc w:val="center"/>
              <w:rPr>
                <w:rFonts w:cs="Arial"/>
                <w:color w:val="000000"/>
                <w:szCs w:val="20"/>
              </w:rPr>
            </w:pPr>
            <w:r w:rsidRPr="00B148B1">
              <w:rPr>
                <w:rFonts w:cs="Arial"/>
                <w:color w:val="000000"/>
                <w:szCs w:val="20"/>
              </w:rPr>
              <w:t>2</w:t>
            </w:r>
          </w:p>
        </w:tc>
        <w:tc>
          <w:tcPr>
            <w:tcW w:w="3068" w:type="dxa"/>
            <w:vAlign w:val="center"/>
          </w:tcPr>
          <w:p w:rsidR="004B3FD9" w:rsidRPr="00B148B1" w:rsidRDefault="004B3FD9" w:rsidP="008F36B7">
            <w:pPr>
              <w:spacing w:line="240" w:lineRule="auto"/>
              <w:jc w:val="center"/>
              <w:rPr>
                <w:rFonts w:cs="Arial"/>
                <w:color w:val="000000"/>
                <w:szCs w:val="20"/>
              </w:rPr>
            </w:pPr>
            <w:r w:rsidRPr="00B148B1">
              <w:rPr>
                <w:rFonts w:cs="Arial"/>
                <w:color w:val="000000"/>
                <w:szCs w:val="20"/>
              </w:rPr>
              <w:t>77</w:t>
            </w:r>
          </w:p>
        </w:tc>
      </w:tr>
      <w:tr w:rsidR="004B3FD9" w:rsidRPr="00B148B1" w:rsidTr="00385BB8">
        <w:trPr>
          <w:cantSplit/>
          <w:trHeight w:val="340"/>
        </w:trPr>
        <w:tc>
          <w:tcPr>
            <w:tcW w:w="3652" w:type="dxa"/>
            <w:vAlign w:val="center"/>
          </w:tcPr>
          <w:p w:rsidR="004B3FD9" w:rsidRPr="00B148B1" w:rsidRDefault="004B3FD9" w:rsidP="006A72BD">
            <w:pPr>
              <w:spacing w:line="240" w:lineRule="auto"/>
              <w:rPr>
                <w:rFonts w:cs="Arial"/>
                <w:b/>
                <w:i/>
                <w:szCs w:val="20"/>
              </w:rPr>
            </w:pPr>
            <w:r w:rsidRPr="00B148B1">
              <w:rPr>
                <w:rFonts w:cs="Arial"/>
                <w:b/>
                <w:i/>
                <w:szCs w:val="20"/>
              </w:rPr>
              <w:t>Skupaj</w:t>
            </w:r>
          </w:p>
        </w:tc>
        <w:tc>
          <w:tcPr>
            <w:tcW w:w="2484" w:type="dxa"/>
            <w:vAlign w:val="center"/>
          </w:tcPr>
          <w:p w:rsidR="004B3FD9" w:rsidRPr="00B148B1" w:rsidRDefault="004B3FD9" w:rsidP="008F36B7">
            <w:pPr>
              <w:spacing w:line="240" w:lineRule="auto"/>
              <w:jc w:val="center"/>
              <w:rPr>
                <w:rFonts w:cs="Arial"/>
                <w:b/>
                <w:i/>
                <w:iCs/>
                <w:color w:val="000000"/>
                <w:szCs w:val="20"/>
              </w:rPr>
            </w:pPr>
            <w:r w:rsidRPr="00B148B1">
              <w:rPr>
                <w:rFonts w:cs="Arial"/>
                <w:b/>
                <w:i/>
                <w:iCs/>
                <w:color w:val="000000"/>
                <w:szCs w:val="20"/>
              </w:rPr>
              <w:t>550</w:t>
            </w:r>
          </w:p>
        </w:tc>
        <w:tc>
          <w:tcPr>
            <w:tcW w:w="3068" w:type="dxa"/>
            <w:vAlign w:val="center"/>
          </w:tcPr>
          <w:p w:rsidR="004B3FD9" w:rsidRPr="00B148B1" w:rsidRDefault="004B3FD9" w:rsidP="008F36B7">
            <w:pPr>
              <w:spacing w:line="240" w:lineRule="auto"/>
              <w:jc w:val="center"/>
              <w:rPr>
                <w:rFonts w:cs="Arial"/>
                <w:b/>
                <w:i/>
                <w:iCs/>
                <w:color w:val="000000"/>
                <w:szCs w:val="20"/>
              </w:rPr>
            </w:pPr>
            <w:r w:rsidRPr="00B148B1">
              <w:rPr>
                <w:rFonts w:cs="Arial"/>
                <w:b/>
                <w:i/>
                <w:iCs/>
                <w:color w:val="000000"/>
                <w:szCs w:val="20"/>
              </w:rPr>
              <w:t>1.121.114</w:t>
            </w:r>
          </w:p>
        </w:tc>
      </w:tr>
      <w:tr w:rsidR="00D774EB" w:rsidRPr="00B148B1" w:rsidTr="00385BB8">
        <w:trPr>
          <w:cantSplit/>
          <w:trHeight w:val="340"/>
        </w:trPr>
        <w:tc>
          <w:tcPr>
            <w:tcW w:w="9204" w:type="dxa"/>
            <w:gridSpan w:val="3"/>
            <w:vAlign w:val="center"/>
          </w:tcPr>
          <w:p w:rsidR="00D774EB" w:rsidRPr="00B148B1" w:rsidRDefault="00D774EB" w:rsidP="006A72BD">
            <w:pPr>
              <w:tabs>
                <w:tab w:val="left" w:pos="851"/>
                <w:tab w:val="left" w:pos="1418"/>
                <w:tab w:val="left" w:pos="9600"/>
              </w:tabs>
              <w:spacing w:line="240" w:lineRule="auto"/>
              <w:rPr>
                <w:rFonts w:cs="Arial"/>
                <w:b/>
                <w:i/>
                <w:color w:val="000000"/>
                <w:szCs w:val="20"/>
              </w:rPr>
            </w:pPr>
            <w:r w:rsidRPr="00B148B1">
              <w:rPr>
                <w:rFonts w:cs="Arial"/>
                <w:b/>
                <w:i/>
                <w:color w:val="000000"/>
                <w:szCs w:val="20"/>
              </w:rPr>
              <w:t xml:space="preserve">Aglomeracije na </w:t>
            </w:r>
            <w:proofErr w:type="spellStart"/>
            <w:r w:rsidRPr="00B148B1">
              <w:rPr>
                <w:rFonts w:cs="Arial"/>
                <w:b/>
                <w:i/>
                <w:color w:val="000000"/>
                <w:szCs w:val="20"/>
              </w:rPr>
              <w:t>razpoklinskih</w:t>
            </w:r>
            <w:proofErr w:type="spellEnd"/>
            <w:r w:rsidRPr="00B148B1">
              <w:rPr>
                <w:rFonts w:cs="Arial"/>
                <w:b/>
                <w:i/>
                <w:color w:val="000000"/>
                <w:szCs w:val="20"/>
              </w:rPr>
              <w:t xml:space="preserve"> vodonosnikih, vključno s kraškimi</w:t>
            </w:r>
          </w:p>
        </w:tc>
      </w:tr>
      <w:tr w:rsidR="004B3FD9" w:rsidRPr="00B148B1" w:rsidTr="00385BB8">
        <w:trPr>
          <w:cantSplit/>
          <w:trHeight w:val="340"/>
        </w:trPr>
        <w:tc>
          <w:tcPr>
            <w:tcW w:w="3652" w:type="dxa"/>
            <w:vAlign w:val="center"/>
          </w:tcPr>
          <w:p w:rsidR="004B3FD9" w:rsidRPr="00B148B1" w:rsidRDefault="004B3FD9" w:rsidP="006A72BD">
            <w:pPr>
              <w:spacing w:line="240" w:lineRule="auto"/>
              <w:rPr>
                <w:rFonts w:cs="Arial"/>
                <w:i/>
                <w:color w:val="000000"/>
                <w:szCs w:val="20"/>
              </w:rPr>
            </w:pPr>
            <w:r w:rsidRPr="00B148B1">
              <w:rPr>
                <w:rFonts w:cs="Arial"/>
                <w:i/>
                <w:color w:val="000000"/>
                <w:szCs w:val="20"/>
              </w:rPr>
              <w:t>Osnovni program</w:t>
            </w:r>
          </w:p>
        </w:tc>
        <w:tc>
          <w:tcPr>
            <w:tcW w:w="2484" w:type="dxa"/>
            <w:vAlign w:val="center"/>
          </w:tcPr>
          <w:p w:rsidR="004B3FD9" w:rsidRPr="00B148B1" w:rsidRDefault="004B3FD9" w:rsidP="008F36B7">
            <w:pPr>
              <w:spacing w:line="240" w:lineRule="auto"/>
              <w:jc w:val="center"/>
              <w:rPr>
                <w:rFonts w:cs="Arial"/>
                <w:i/>
                <w:iCs/>
                <w:color w:val="000000"/>
                <w:szCs w:val="20"/>
              </w:rPr>
            </w:pPr>
            <w:r w:rsidRPr="00B148B1">
              <w:rPr>
                <w:rFonts w:cs="Arial"/>
                <w:i/>
                <w:iCs/>
                <w:color w:val="000000"/>
                <w:szCs w:val="20"/>
              </w:rPr>
              <w:t>713</w:t>
            </w:r>
          </w:p>
        </w:tc>
        <w:tc>
          <w:tcPr>
            <w:tcW w:w="3068" w:type="dxa"/>
            <w:vAlign w:val="center"/>
          </w:tcPr>
          <w:p w:rsidR="004B3FD9" w:rsidRPr="00B148B1" w:rsidRDefault="004B3FD9" w:rsidP="008F36B7">
            <w:pPr>
              <w:spacing w:line="240" w:lineRule="auto"/>
              <w:jc w:val="center"/>
              <w:rPr>
                <w:rFonts w:cs="Arial"/>
                <w:i/>
                <w:iCs/>
                <w:color w:val="000000"/>
                <w:szCs w:val="20"/>
              </w:rPr>
            </w:pPr>
            <w:r w:rsidRPr="00B148B1">
              <w:rPr>
                <w:rFonts w:cs="Arial"/>
                <w:i/>
                <w:iCs/>
                <w:color w:val="000000"/>
                <w:szCs w:val="20"/>
              </w:rPr>
              <w:t>1.164.307</w:t>
            </w:r>
          </w:p>
        </w:tc>
      </w:tr>
      <w:tr w:rsidR="004B3FD9" w:rsidRPr="00B148B1" w:rsidTr="00385BB8">
        <w:trPr>
          <w:cantSplit/>
          <w:trHeight w:val="340"/>
        </w:trPr>
        <w:tc>
          <w:tcPr>
            <w:tcW w:w="3652" w:type="dxa"/>
            <w:vAlign w:val="center"/>
          </w:tcPr>
          <w:p w:rsidR="004B3FD9" w:rsidRPr="00B148B1" w:rsidRDefault="004B3FD9" w:rsidP="006A72BD">
            <w:pPr>
              <w:spacing w:line="240" w:lineRule="auto"/>
              <w:jc w:val="right"/>
              <w:rPr>
                <w:rFonts w:cs="Arial"/>
                <w:color w:val="000000"/>
                <w:szCs w:val="20"/>
              </w:rPr>
            </w:pPr>
            <w:r w:rsidRPr="00B148B1">
              <w:rPr>
                <w:rFonts w:cs="Arial"/>
                <w:color w:val="000000"/>
                <w:szCs w:val="20"/>
              </w:rPr>
              <w:t>aglomeracije ≥ 10.000 PE</w:t>
            </w:r>
          </w:p>
        </w:tc>
        <w:tc>
          <w:tcPr>
            <w:tcW w:w="2484" w:type="dxa"/>
            <w:vAlign w:val="center"/>
          </w:tcPr>
          <w:p w:rsidR="004B3FD9" w:rsidRPr="00B148B1" w:rsidRDefault="004B3FD9" w:rsidP="008F36B7">
            <w:pPr>
              <w:spacing w:line="240" w:lineRule="auto"/>
              <w:jc w:val="center"/>
              <w:rPr>
                <w:rFonts w:cs="Arial"/>
                <w:color w:val="000000"/>
                <w:szCs w:val="20"/>
              </w:rPr>
            </w:pPr>
            <w:r w:rsidRPr="00B148B1">
              <w:rPr>
                <w:rFonts w:cs="Arial"/>
                <w:color w:val="000000"/>
                <w:szCs w:val="20"/>
              </w:rPr>
              <w:t>18</w:t>
            </w:r>
          </w:p>
        </w:tc>
        <w:tc>
          <w:tcPr>
            <w:tcW w:w="3068" w:type="dxa"/>
            <w:vAlign w:val="center"/>
          </w:tcPr>
          <w:p w:rsidR="004B3FD9" w:rsidRPr="00B148B1" w:rsidRDefault="004B3FD9" w:rsidP="008F36B7">
            <w:pPr>
              <w:spacing w:line="240" w:lineRule="auto"/>
              <w:jc w:val="center"/>
              <w:rPr>
                <w:rFonts w:cs="Arial"/>
                <w:color w:val="000000"/>
                <w:szCs w:val="20"/>
              </w:rPr>
            </w:pPr>
            <w:r w:rsidRPr="00B148B1">
              <w:rPr>
                <w:rFonts w:cs="Arial"/>
                <w:color w:val="000000"/>
                <w:szCs w:val="20"/>
              </w:rPr>
              <w:t>686.582</w:t>
            </w:r>
          </w:p>
        </w:tc>
      </w:tr>
      <w:tr w:rsidR="004B3FD9" w:rsidRPr="00B148B1" w:rsidTr="00385BB8">
        <w:trPr>
          <w:cantSplit/>
          <w:trHeight w:val="340"/>
        </w:trPr>
        <w:tc>
          <w:tcPr>
            <w:tcW w:w="3652" w:type="dxa"/>
            <w:vAlign w:val="center"/>
          </w:tcPr>
          <w:p w:rsidR="004B3FD9" w:rsidRPr="00B148B1" w:rsidRDefault="004B3FD9" w:rsidP="00512ACD">
            <w:pPr>
              <w:spacing w:line="240" w:lineRule="auto"/>
              <w:jc w:val="right"/>
              <w:rPr>
                <w:rFonts w:cs="Arial"/>
                <w:color w:val="000000"/>
                <w:szCs w:val="20"/>
              </w:rPr>
            </w:pPr>
            <w:r w:rsidRPr="00B148B1">
              <w:rPr>
                <w:rFonts w:cs="Arial"/>
                <w:color w:val="000000"/>
                <w:szCs w:val="20"/>
              </w:rPr>
              <w:t xml:space="preserve">aglomeracije </w:t>
            </w:r>
            <w:r w:rsidR="00512ACD" w:rsidRPr="00B148B1">
              <w:rPr>
                <w:rFonts w:cs="Arial"/>
                <w:color w:val="000000"/>
                <w:szCs w:val="20"/>
              </w:rPr>
              <w:t xml:space="preserve">od </w:t>
            </w:r>
            <w:r w:rsidRPr="00B148B1">
              <w:rPr>
                <w:rFonts w:cs="Arial"/>
                <w:color w:val="000000"/>
                <w:szCs w:val="20"/>
              </w:rPr>
              <w:t>2.000</w:t>
            </w:r>
            <w:r w:rsidR="00512ACD" w:rsidRPr="00B148B1">
              <w:rPr>
                <w:rFonts w:cs="Arial"/>
                <w:color w:val="000000"/>
                <w:szCs w:val="20"/>
              </w:rPr>
              <w:t xml:space="preserve"> do</w:t>
            </w:r>
            <w:r w:rsidRPr="00B148B1">
              <w:rPr>
                <w:rFonts w:cs="Arial"/>
                <w:color w:val="000000"/>
                <w:szCs w:val="20"/>
              </w:rPr>
              <w:t xml:space="preserve"> 10.000 PE</w:t>
            </w:r>
          </w:p>
        </w:tc>
        <w:tc>
          <w:tcPr>
            <w:tcW w:w="2484" w:type="dxa"/>
            <w:vAlign w:val="center"/>
          </w:tcPr>
          <w:p w:rsidR="004B3FD9" w:rsidRPr="00B148B1" w:rsidRDefault="004B3FD9" w:rsidP="008F36B7">
            <w:pPr>
              <w:spacing w:line="240" w:lineRule="auto"/>
              <w:jc w:val="center"/>
              <w:rPr>
                <w:rFonts w:cs="Arial"/>
                <w:color w:val="000000"/>
                <w:szCs w:val="20"/>
              </w:rPr>
            </w:pPr>
            <w:r w:rsidRPr="00B148B1">
              <w:rPr>
                <w:rFonts w:cs="Arial"/>
                <w:color w:val="000000"/>
                <w:szCs w:val="20"/>
              </w:rPr>
              <w:t>65</w:t>
            </w:r>
          </w:p>
        </w:tc>
        <w:tc>
          <w:tcPr>
            <w:tcW w:w="3068" w:type="dxa"/>
            <w:vAlign w:val="center"/>
          </w:tcPr>
          <w:p w:rsidR="004B3FD9" w:rsidRPr="00B148B1" w:rsidRDefault="004B3FD9" w:rsidP="008F36B7">
            <w:pPr>
              <w:spacing w:line="240" w:lineRule="auto"/>
              <w:jc w:val="center"/>
              <w:rPr>
                <w:rFonts w:cs="Arial"/>
                <w:color w:val="000000"/>
                <w:szCs w:val="20"/>
              </w:rPr>
            </w:pPr>
            <w:r w:rsidRPr="00B148B1">
              <w:rPr>
                <w:rFonts w:cs="Arial"/>
                <w:color w:val="000000"/>
                <w:szCs w:val="20"/>
              </w:rPr>
              <w:t>280.972</w:t>
            </w:r>
          </w:p>
        </w:tc>
      </w:tr>
      <w:tr w:rsidR="004B3FD9" w:rsidRPr="00B148B1" w:rsidTr="00385BB8">
        <w:trPr>
          <w:cantSplit/>
          <w:trHeight w:val="340"/>
        </w:trPr>
        <w:tc>
          <w:tcPr>
            <w:tcW w:w="3652" w:type="dxa"/>
            <w:vAlign w:val="center"/>
          </w:tcPr>
          <w:p w:rsidR="004B3FD9" w:rsidRPr="00B148B1" w:rsidRDefault="004B3FD9" w:rsidP="006A72BD">
            <w:pPr>
              <w:spacing w:line="240" w:lineRule="auto"/>
              <w:jc w:val="right"/>
              <w:rPr>
                <w:rFonts w:cs="Arial"/>
                <w:color w:val="000000"/>
                <w:szCs w:val="20"/>
              </w:rPr>
            </w:pPr>
            <w:r w:rsidRPr="00B148B1">
              <w:rPr>
                <w:rFonts w:cs="Arial"/>
                <w:color w:val="000000"/>
                <w:szCs w:val="20"/>
              </w:rPr>
              <w:t xml:space="preserve">aglomeracije </w:t>
            </w:r>
            <w:r w:rsidR="00512ACD" w:rsidRPr="00B148B1">
              <w:rPr>
                <w:rFonts w:cs="Arial"/>
                <w:color w:val="000000"/>
                <w:szCs w:val="20"/>
              </w:rPr>
              <w:t>od</w:t>
            </w:r>
            <w:r w:rsidRPr="00B148B1">
              <w:rPr>
                <w:rFonts w:cs="Arial"/>
                <w:color w:val="000000"/>
                <w:szCs w:val="20"/>
              </w:rPr>
              <w:t xml:space="preserve"> 500</w:t>
            </w:r>
            <w:r w:rsidR="00512ACD" w:rsidRPr="00B148B1">
              <w:rPr>
                <w:rFonts w:cs="Arial"/>
                <w:color w:val="000000"/>
                <w:szCs w:val="20"/>
              </w:rPr>
              <w:t xml:space="preserve"> do</w:t>
            </w:r>
            <w:r w:rsidRPr="00B148B1">
              <w:rPr>
                <w:rFonts w:cs="Arial"/>
                <w:color w:val="000000"/>
                <w:szCs w:val="20"/>
              </w:rPr>
              <w:t xml:space="preserve"> 2.000 PE</w:t>
            </w:r>
          </w:p>
        </w:tc>
        <w:tc>
          <w:tcPr>
            <w:tcW w:w="2484" w:type="dxa"/>
            <w:vAlign w:val="center"/>
          </w:tcPr>
          <w:p w:rsidR="004B3FD9" w:rsidRPr="00B148B1" w:rsidRDefault="004B3FD9" w:rsidP="008F36B7">
            <w:pPr>
              <w:spacing w:line="240" w:lineRule="auto"/>
              <w:jc w:val="center"/>
              <w:rPr>
                <w:rFonts w:cs="Arial"/>
                <w:color w:val="000000"/>
                <w:szCs w:val="20"/>
              </w:rPr>
            </w:pPr>
            <w:r w:rsidRPr="00B148B1">
              <w:rPr>
                <w:rFonts w:cs="Arial"/>
                <w:color w:val="000000"/>
                <w:szCs w:val="20"/>
              </w:rPr>
              <w:t>105</w:t>
            </w:r>
          </w:p>
        </w:tc>
        <w:tc>
          <w:tcPr>
            <w:tcW w:w="3068" w:type="dxa"/>
            <w:vAlign w:val="center"/>
          </w:tcPr>
          <w:p w:rsidR="004B3FD9" w:rsidRPr="00B148B1" w:rsidRDefault="004B3FD9" w:rsidP="008F36B7">
            <w:pPr>
              <w:spacing w:line="240" w:lineRule="auto"/>
              <w:jc w:val="center"/>
              <w:rPr>
                <w:rFonts w:cs="Arial"/>
                <w:color w:val="000000"/>
                <w:szCs w:val="20"/>
              </w:rPr>
            </w:pPr>
            <w:r w:rsidRPr="00B148B1">
              <w:rPr>
                <w:rFonts w:cs="Arial"/>
                <w:color w:val="000000"/>
                <w:szCs w:val="20"/>
              </w:rPr>
              <w:t>102.612</w:t>
            </w:r>
          </w:p>
        </w:tc>
      </w:tr>
      <w:tr w:rsidR="004B3FD9" w:rsidRPr="00B148B1" w:rsidTr="00385BB8">
        <w:trPr>
          <w:cantSplit/>
          <w:trHeight w:val="340"/>
        </w:trPr>
        <w:tc>
          <w:tcPr>
            <w:tcW w:w="3652" w:type="dxa"/>
            <w:vAlign w:val="center"/>
          </w:tcPr>
          <w:p w:rsidR="004B3FD9" w:rsidRPr="00B148B1" w:rsidRDefault="004B3FD9" w:rsidP="006A72BD">
            <w:pPr>
              <w:spacing w:line="240" w:lineRule="auto"/>
              <w:jc w:val="right"/>
              <w:rPr>
                <w:rFonts w:cs="Arial"/>
                <w:color w:val="000000"/>
                <w:szCs w:val="20"/>
              </w:rPr>
            </w:pPr>
            <w:r w:rsidRPr="00B148B1">
              <w:rPr>
                <w:rFonts w:cs="Arial"/>
                <w:color w:val="000000"/>
                <w:szCs w:val="20"/>
              </w:rPr>
              <w:t xml:space="preserve">aglomeracije </w:t>
            </w:r>
            <w:r w:rsidR="00512ACD" w:rsidRPr="00B148B1">
              <w:rPr>
                <w:rFonts w:cs="Arial"/>
                <w:color w:val="000000"/>
                <w:szCs w:val="20"/>
              </w:rPr>
              <w:t>od</w:t>
            </w:r>
            <w:r w:rsidRPr="00B148B1">
              <w:rPr>
                <w:rFonts w:cs="Arial"/>
                <w:color w:val="000000"/>
                <w:szCs w:val="20"/>
              </w:rPr>
              <w:t xml:space="preserve"> 50 </w:t>
            </w:r>
            <w:r w:rsidR="00512ACD" w:rsidRPr="00B148B1">
              <w:rPr>
                <w:rFonts w:cs="Arial"/>
                <w:color w:val="000000"/>
                <w:szCs w:val="20"/>
              </w:rPr>
              <w:t>do</w:t>
            </w:r>
            <w:r w:rsidRPr="00B148B1">
              <w:rPr>
                <w:rFonts w:cs="Arial"/>
                <w:color w:val="000000"/>
                <w:szCs w:val="20"/>
              </w:rPr>
              <w:t xml:space="preserve"> 500 PE</w:t>
            </w:r>
          </w:p>
        </w:tc>
        <w:tc>
          <w:tcPr>
            <w:tcW w:w="2484" w:type="dxa"/>
            <w:vAlign w:val="center"/>
          </w:tcPr>
          <w:p w:rsidR="004B3FD9" w:rsidRPr="00B148B1" w:rsidRDefault="004B3FD9" w:rsidP="008F36B7">
            <w:pPr>
              <w:spacing w:line="240" w:lineRule="auto"/>
              <w:jc w:val="center"/>
              <w:rPr>
                <w:rFonts w:cs="Arial"/>
                <w:color w:val="000000"/>
                <w:szCs w:val="20"/>
              </w:rPr>
            </w:pPr>
            <w:r w:rsidRPr="00B148B1">
              <w:rPr>
                <w:rFonts w:cs="Arial"/>
                <w:color w:val="000000"/>
                <w:szCs w:val="20"/>
              </w:rPr>
              <w:t>525</w:t>
            </w:r>
          </w:p>
        </w:tc>
        <w:tc>
          <w:tcPr>
            <w:tcW w:w="3068" w:type="dxa"/>
            <w:vAlign w:val="center"/>
          </w:tcPr>
          <w:p w:rsidR="004B3FD9" w:rsidRPr="00B148B1" w:rsidRDefault="004B3FD9" w:rsidP="008F36B7">
            <w:pPr>
              <w:spacing w:line="240" w:lineRule="auto"/>
              <w:jc w:val="center"/>
              <w:rPr>
                <w:rFonts w:cs="Arial"/>
                <w:color w:val="000000"/>
                <w:szCs w:val="20"/>
              </w:rPr>
            </w:pPr>
            <w:r w:rsidRPr="00B148B1">
              <w:rPr>
                <w:rFonts w:cs="Arial"/>
                <w:color w:val="000000"/>
                <w:szCs w:val="20"/>
              </w:rPr>
              <w:t>94.141</w:t>
            </w:r>
          </w:p>
        </w:tc>
      </w:tr>
      <w:tr w:rsidR="004B3FD9" w:rsidRPr="00B148B1" w:rsidTr="00385BB8">
        <w:trPr>
          <w:cantSplit/>
          <w:trHeight w:val="340"/>
        </w:trPr>
        <w:tc>
          <w:tcPr>
            <w:tcW w:w="3652" w:type="dxa"/>
            <w:vAlign w:val="center"/>
          </w:tcPr>
          <w:p w:rsidR="004B3FD9" w:rsidRPr="00B148B1" w:rsidRDefault="004B3FD9" w:rsidP="006A72BD">
            <w:pPr>
              <w:spacing w:line="240" w:lineRule="auto"/>
              <w:rPr>
                <w:rFonts w:cs="Arial"/>
                <w:i/>
                <w:color w:val="000000"/>
                <w:szCs w:val="20"/>
              </w:rPr>
            </w:pPr>
            <w:r w:rsidRPr="00B148B1">
              <w:rPr>
                <w:rFonts w:cs="Arial"/>
                <w:i/>
                <w:color w:val="000000"/>
                <w:szCs w:val="20"/>
              </w:rPr>
              <w:t>Dodatni program</w:t>
            </w:r>
          </w:p>
        </w:tc>
        <w:tc>
          <w:tcPr>
            <w:tcW w:w="2484" w:type="dxa"/>
            <w:vAlign w:val="center"/>
          </w:tcPr>
          <w:p w:rsidR="004B3FD9" w:rsidRPr="00B148B1" w:rsidRDefault="004B3FD9" w:rsidP="008F36B7">
            <w:pPr>
              <w:spacing w:line="240" w:lineRule="auto"/>
              <w:jc w:val="center"/>
              <w:rPr>
                <w:rFonts w:cs="Arial"/>
                <w:i/>
                <w:iCs/>
                <w:color w:val="000000"/>
                <w:szCs w:val="20"/>
              </w:rPr>
            </w:pPr>
            <w:r w:rsidRPr="00B148B1">
              <w:rPr>
                <w:rFonts w:cs="Arial"/>
                <w:i/>
                <w:iCs/>
                <w:color w:val="000000"/>
                <w:szCs w:val="20"/>
              </w:rPr>
              <w:t>263</w:t>
            </w:r>
          </w:p>
        </w:tc>
        <w:tc>
          <w:tcPr>
            <w:tcW w:w="3068" w:type="dxa"/>
            <w:vAlign w:val="center"/>
          </w:tcPr>
          <w:p w:rsidR="004B3FD9" w:rsidRPr="00B148B1" w:rsidRDefault="004B3FD9" w:rsidP="008F36B7">
            <w:pPr>
              <w:spacing w:line="240" w:lineRule="auto"/>
              <w:jc w:val="center"/>
              <w:rPr>
                <w:rFonts w:cs="Arial"/>
                <w:i/>
                <w:iCs/>
                <w:color w:val="000000"/>
                <w:szCs w:val="20"/>
              </w:rPr>
            </w:pPr>
            <w:r w:rsidRPr="00B148B1">
              <w:rPr>
                <w:rFonts w:cs="Arial"/>
                <w:i/>
                <w:iCs/>
                <w:color w:val="000000"/>
                <w:szCs w:val="20"/>
              </w:rPr>
              <w:t>62.610</w:t>
            </w:r>
          </w:p>
        </w:tc>
      </w:tr>
      <w:tr w:rsidR="004B3FD9" w:rsidRPr="00B148B1" w:rsidTr="00385BB8">
        <w:trPr>
          <w:cantSplit/>
          <w:trHeight w:val="340"/>
        </w:trPr>
        <w:tc>
          <w:tcPr>
            <w:tcW w:w="3652" w:type="dxa"/>
            <w:vAlign w:val="center"/>
          </w:tcPr>
          <w:p w:rsidR="004B3FD9" w:rsidRPr="00B148B1" w:rsidRDefault="004B3FD9" w:rsidP="006A72BD">
            <w:pPr>
              <w:spacing w:line="240" w:lineRule="auto"/>
              <w:jc w:val="right"/>
              <w:rPr>
                <w:rFonts w:cs="Arial"/>
                <w:color w:val="000000"/>
                <w:szCs w:val="20"/>
              </w:rPr>
            </w:pPr>
            <w:r w:rsidRPr="00B148B1">
              <w:rPr>
                <w:rFonts w:cs="Arial"/>
                <w:color w:val="000000"/>
                <w:szCs w:val="20"/>
              </w:rPr>
              <w:t xml:space="preserve">aglomeracije </w:t>
            </w:r>
            <w:r w:rsidR="00512ACD" w:rsidRPr="00B148B1">
              <w:rPr>
                <w:rFonts w:cs="Arial"/>
                <w:color w:val="000000"/>
                <w:szCs w:val="20"/>
              </w:rPr>
              <w:t xml:space="preserve">od </w:t>
            </w:r>
            <w:r w:rsidRPr="00B148B1">
              <w:rPr>
                <w:rFonts w:cs="Arial"/>
                <w:color w:val="000000"/>
                <w:szCs w:val="20"/>
              </w:rPr>
              <w:t>500</w:t>
            </w:r>
            <w:r w:rsidR="00512ACD" w:rsidRPr="00B148B1">
              <w:rPr>
                <w:rFonts w:cs="Arial"/>
                <w:color w:val="000000"/>
                <w:szCs w:val="20"/>
              </w:rPr>
              <w:t xml:space="preserve"> do</w:t>
            </w:r>
            <w:r w:rsidRPr="00B148B1">
              <w:rPr>
                <w:rFonts w:cs="Arial"/>
                <w:color w:val="000000"/>
                <w:szCs w:val="20"/>
              </w:rPr>
              <w:t xml:space="preserve"> 2.000 PE</w:t>
            </w:r>
          </w:p>
        </w:tc>
        <w:tc>
          <w:tcPr>
            <w:tcW w:w="2484" w:type="dxa"/>
            <w:vAlign w:val="center"/>
          </w:tcPr>
          <w:p w:rsidR="004B3FD9" w:rsidRPr="00B148B1" w:rsidRDefault="004B3FD9" w:rsidP="008F36B7">
            <w:pPr>
              <w:spacing w:line="240" w:lineRule="auto"/>
              <w:jc w:val="center"/>
              <w:rPr>
                <w:rFonts w:cs="Arial"/>
                <w:color w:val="000000"/>
                <w:szCs w:val="20"/>
              </w:rPr>
            </w:pPr>
            <w:r w:rsidRPr="00B148B1">
              <w:rPr>
                <w:rFonts w:cs="Arial"/>
                <w:color w:val="000000"/>
                <w:szCs w:val="20"/>
              </w:rPr>
              <w:t>26</w:t>
            </w:r>
          </w:p>
        </w:tc>
        <w:tc>
          <w:tcPr>
            <w:tcW w:w="3068" w:type="dxa"/>
            <w:vAlign w:val="center"/>
          </w:tcPr>
          <w:p w:rsidR="004B3FD9" w:rsidRPr="00B148B1" w:rsidRDefault="004B3FD9" w:rsidP="008F36B7">
            <w:pPr>
              <w:spacing w:line="240" w:lineRule="auto"/>
              <w:jc w:val="center"/>
              <w:rPr>
                <w:rFonts w:cs="Arial"/>
                <w:color w:val="000000"/>
                <w:szCs w:val="20"/>
              </w:rPr>
            </w:pPr>
            <w:r w:rsidRPr="00B148B1">
              <w:rPr>
                <w:rFonts w:cs="Arial"/>
                <w:color w:val="000000"/>
                <w:szCs w:val="20"/>
              </w:rPr>
              <w:t>25.388</w:t>
            </w:r>
          </w:p>
        </w:tc>
      </w:tr>
      <w:tr w:rsidR="004B3FD9" w:rsidRPr="00B148B1" w:rsidTr="00385BB8">
        <w:trPr>
          <w:cantSplit/>
          <w:trHeight w:val="340"/>
        </w:trPr>
        <w:tc>
          <w:tcPr>
            <w:tcW w:w="3652" w:type="dxa"/>
            <w:vAlign w:val="center"/>
          </w:tcPr>
          <w:p w:rsidR="004B3FD9" w:rsidRPr="00B148B1" w:rsidRDefault="004B3FD9" w:rsidP="006A72BD">
            <w:pPr>
              <w:spacing w:line="240" w:lineRule="auto"/>
              <w:jc w:val="right"/>
              <w:rPr>
                <w:rFonts w:cs="Arial"/>
                <w:color w:val="000000"/>
                <w:szCs w:val="20"/>
              </w:rPr>
            </w:pPr>
            <w:r w:rsidRPr="00B148B1">
              <w:rPr>
                <w:rFonts w:cs="Arial"/>
                <w:color w:val="000000"/>
                <w:szCs w:val="20"/>
              </w:rPr>
              <w:t xml:space="preserve">aglomeracije </w:t>
            </w:r>
            <w:r w:rsidR="00512ACD" w:rsidRPr="00B148B1">
              <w:rPr>
                <w:rFonts w:cs="Arial"/>
                <w:color w:val="000000"/>
                <w:szCs w:val="20"/>
              </w:rPr>
              <w:t>od</w:t>
            </w:r>
            <w:r w:rsidRPr="00B148B1">
              <w:rPr>
                <w:rFonts w:cs="Arial"/>
                <w:color w:val="000000"/>
                <w:szCs w:val="20"/>
              </w:rPr>
              <w:t xml:space="preserve"> 50</w:t>
            </w:r>
            <w:r w:rsidR="00512ACD" w:rsidRPr="00B148B1">
              <w:rPr>
                <w:rFonts w:cs="Arial"/>
                <w:color w:val="000000"/>
                <w:szCs w:val="20"/>
              </w:rPr>
              <w:t xml:space="preserve"> do</w:t>
            </w:r>
            <w:r w:rsidRPr="00B148B1">
              <w:rPr>
                <w:rFonts w:cs="Arial"/>
                <w:color w:val="000000"/>
                <w:szCs w:val="20"/>
              </w:rPr>
              <w:t xml:space="preserve"> 500 PE</w:t>
            </w:r>
          </w:p>
        </w:tc>
        <w:tc>
          <w:tcPr>
            <w:tcW w:w="2484" w:type="dxa"/>
            <w:vAlign w:val="center"/>
          </w:tcPr>
          <w:p w:rsidR="004B3FD9" w:rsidRPr="00B148B1" w:rsidRDefault="004B3FD9" w:rsidP="008F36B7">
            <w:pPr>
              <w:spacing w:line="240" w:lineRule="auto"/>
              <w:jc w:val="center"/>
              <w:rPr>
                <w:rFonts w:cs="Arial"/>
                <w:color w:val="000000"/>
                <w:szCs w:val="20"/>
              </w:rPr>
            </w:pPr>
            <w:r w:rsidRPr="00B148B1">
              <w:rPr>
                <w:rFonts w:cs="Arial"/>
                <w:color w:val="000000"/>
                <w:szCs w:val="20"/>
              </w:rPr>
              <w:t>231</w:t>
            </w:r>
          </w:p>
        </w:tc>
        <w:tc>
          <w:tcPr>
            <w:tcW w:w="3068" w:type="dxa"/>
            <w:vAlign w:val="center"/>
          </w:tcPr>
          <w:p w:rsidR="004B3FD9" w:rsidRPr="00B148B1" w:rsidRDefault="004B3FD9" w:rsidP="008F36B7">
            <w:pPr>
              <w:spacing w:line="240" w:lineRule="auto"/>
              <w:jc w:val="center"/>
              <w:rPr>
                <w:rFonts w:cs="Arial"/>
                <w:color w:val="000000"/>
                <w:szCs w:val="20"/>
              </w:rPr>
            </w:pPr>
            <w:r w:rsidRPr="00B148B1">
              <w:rPr>
                <w:rFonts w:cs="Arial"/>
                <w:color w:val="000000"/>
                <w:szCs w:val="20"/>
              </w:rPr>
              <w:t>37.036</w:t>
            </w:r>
          </w:p>
        </w:tc>
      </w:tr>
      <w:tr w:rsidR="004B3FD9" w:rsidRPr="00B148B1" w:rsidTr="00385BB8">
        <w:trPr>
          <w:cantSplit/>
          <w:trHeight w:hRule="exact" w:val="340"/>
        </w:trPr>
        <w:tc>
          <w:tcPr>
            <w:tcW w:w="3652" w:type="dxa"/>
            <w:vAlign w:val="center"/>
          </w:tcPr>
          <w:p w:rsidR="004B3FD9" w:rsidRPr="00B148B1" w:rsidRDefault="004B3FD9" w:rsidP="006A72BD">
            <w:pPr>
              <w:spacing w:line="240" w:lineRule="auto"/>
              <w:jc w:val="right"/>
              <w:rPr>
                <w:rFonts w:cs="Arial"/>
                <w:color w:val="000000"/>
                <w:szCs w:val="20"/>
              </w:rPr>
            </w:pPr>
            <w:r w:rsidRPr="00B148B1">
              <w:rPr>
                <w:rFonts w:cs="Arial"/>
                <w:color w:val="000000"/>
                <w:szCs w:val="20"/>
              </w:rPr>
              <w:t>aglomeracije &lt; 50 PE</w:t>
            </w:r>
          </w:p>
        </w:tc>
        <w:tc>
          <w:tcPr>
            <w:tcW w:w="2484" w:type="dxa"/>
            <w:vAlign w:val="center"/>
          </w:tcPr>
          <w:p w:rsidR="004B3FD9" w:rsidRPr="00B148B1" w:rsidRDefault="004B3FD9" w:rsidP="008F36B7">
            <w:pPr>
              <w:spacing w:line="240" w:lineRule="auto"/>
              <w:jc w:val="center"/>
              <w:rPr>
                <w:rFonts w:cs="Arial"/>
                <w:color w:val="000000"/>
                <w:szCs w:val="20"/>
              </w:rPr>
            </w:pPr>
            <w:r w:rsidRPr="00B148B1">
              <w:rPr>
                <w:rFonts w:cs="Arial"/>
                <w:color w:val="000000"/>
                <w:szCs w:val="20"/>
              </w:rPr>
              <w:t>6</w:t>
            </w:r>
          </w:p>
        </w:tc>
        <w:tc>
          <w:tcPr>
            <w:tcW w:w="3068" w:type="dxa"/>
            <w:vAlign w:val="center"/>
          </w:tcPr>
          <w:p w:rsidR="004B3FD9" w:rsidRPr="00B148B1" w:rsidRDefault="004B3FD9" w:rsidP="008F36B7">
            <w:pPr>
              <w:spacing w:line="240" w:lineRule="auto"/>
              <w:jc w:val="center"/>
              <w:rPr>
                <w:rFonts w:cs="Arial"/>
                <w:color w:val="000000"/>
                <w:szCs w:val="20"/>
              </w:rPr>
            </w:pPr>
            <w:r w:rsidRPr="00B148B1">
              <w:rPr>
                <w:rFonts w:cs="Arial"/>
                <w:color w:val="000000"/>
                <w:szCs w:val="20"/>
              </w:rPr>
              <w:t>186</w:t>
            </w:r>
          </w:p>
        </w:tc>
      </w:tr>
      <w:tr w:rsidR="004B3FD9" w:rsidRPr="00B148B1" w:rsidTr="00385BB8">
        <w:trPr>
          <w:cantSplit/>
          <w:trHeight w:val="340"/>
        </w:trPr>
        <w:tc>
          <w:tcPr>
            <w:tcW w:w="3652" w:type="dxa"/>
            <w:vAlign w:val="center"/>
          </w:tcPr>
          <w:p w:rsidR="004B3FD9" w:rsidRPr="00B148B1" w:rsidRDefault="004B3FD9" w:rsidP="006A72BD">
            <w:pPr>
              <w:spacing w:line="240" w:lineRule="auto"/>
              <w:rPr>
                <w:rFonts w:cs="Arial"/>
                <w:b/>
                <w:i/>
                <w:szCs w:val="20"/>
              </w:rPr>
            </w:pPr>
            <w:r w:rsidRPr="00B148B1">
              <w:rPr>
                <w:rFonts w:cs="Arial"/>
                <w:b/>
                <w:i/>
                <w:szCs w:val="20"/>
              </w:rPr>
              <w:t>Skupaj</w:t>
            </w:r>
          </w:p>
        </w:tc>
        <w:tc>
          <w:tcPr>
            <w:tcW w:w="2484" w:type="dxa"/>
            <w:vAlign w:val="center"/>
          </w:tcPr>
          <w:p w:rsidR="004B3FD9" w:rsidRPr="00B148B1" w:rsidRDefault="004B3FD9" w:rsidP="008F36B7">
            <w:pPr>
              <w:spacing w:line="240" w:lineRule="auto"/>
              <w:jc w:val="center"/>
              <w:rPr>
                <w:rFonts w:cs="Arial"/>
                <w:b/>
                <w:i/>
                <w:iCs/>
                <w:color w:val="000000"/>
                <w:szCs w:val="20"/>
              </w:rPr>
            </w:pPr>
            <w:r w:rsidRPr="00B148B1">
              <w:rPr>
                <w:rFonts w:cs="Arial"/>
                <w:b/>
                <w:i/>
                <w:iCs/>
                <w:color w:val="000000"/>
                <w:szCs w:val="20"/>
              </w:rPr>
              <w:t>976</w:t>
            </w:r>
          </w:p>
        </w:tc>
        <w:tc>
          <w:tcPr>
            <w:tcW w:w="3068" w:type="dxa"/>
            <w:vAlign w:val="center"/>
          </w:tcPr>
          <w:p w:rsidR="004B3FD9" w:rsidRPr="00B148B1" w:rsidRDefault="004B3FD9" w:rsidP="008F36B7">
            <w:pPr>
              <w:spacing w:line="240" w:lineRule="auto"/>
              <w:jc w:val="center"/>
              <w:rPr>
                <w:rFonts w:cs="Arial"/>
                <w:b/>
                <w:i/>
                <w:iCs/>
                <w:color w:val="000000"/>
                <w:szCs w:val="20"/>
              </w:rPr>
            </w:pPr>
            <w:r w:rsidRPr="00B148B1">
              <w:rPr>
                <w:rFonts w:cs="Arial"/>
                <w:b/>
                <w:i/>
                <w:iCs/>
                <w:color w:val="000000"/>
                <w:szCs w:val="20"/>
              </w:rPr>
              <w:t>1.226.917</w:t>
            </w:r>
          </w:p>
        </w:tc>
      </w:tr>
    </w:tbl>
    <w:p w:rsidR="00D774EB" w:rsidRPr="00B148B1" w:rsidRDefault="00D774EB" w:rsidP="000E0113">
      <w:pPr>
        <w:tabs>
          <w:tab w:val="left" w:leader="dot" w:pos="284"/>
          <w:tab w:val="left" w:pos="9600"/>
        </w:tabs>
        <w:spacing w:before="120" w:line="280" w:lineRule="atLeast"/>
        <w:ind w:left="284" w:hanging="284"/>
        <w:rPr>
          <w:rFonts w:cs="Arial"/>
          <w:sz w:val="18"/>
          <w:szCs w:val="18"/>
        </w:rPr>
      </w:pPr>
      <w:r w:rsidRPr="00B148B1">
        <w:rPr>
          <w:rFonts w:cs="Arial"/>
          <w:sz w:val="18"/>
          <w:szCs w:val="18"/>
          <w:vertAlign w:val="superscript"/>
        </w:rPr>
        <w:t>(1)</w:t>
      </w:r>
      <w:r w:rsidR="00426F76" w:rsidRPr="00B148B1">
        <w:rPr>
          <w:rFonts w:cs="Arial"/>
          <w:sz w:val="18"/>
          <w:szCs w:val="18"/>
          <w:vertAlign w:val="superscript"/>
        </w:rPr>
        <w:t xml:space="preserve"> </w:t>
      </w:r>
      <w:r w:rsidR="00D6798F" w:rsidRPr="00B148B1">
        <w:rPr>
          <w:rFonts w:cs="Arial"/>
          <w:sz w:val="18"/>
          <w:szCs w:val="18"/>
        </w:rPr>
        <w:t>S</w:t>
      </w:r>
      <w:r w:rsidRPr="00B148B1">
        <w:rPr>
          <w:rFonts w:cs="Arial"/>
          <w:sz w:val="18"/>
          <w:szCs w:val="18"/>
        </w:rPr>
        <w:t>kupna obremenitev je določena na podlagi števila prebivalcev s stalnim prebivališčem v aglomeraciji, povečanega za 30 odstotkov zaradi upoštevanja obremenitve iz gospodarske in druge dejavnosti</w:t>
      </w:r>
      <w:r w:rsidR="005C0275" w:rsidRPr="00B148B1">
        <w:rPr>
          <w:rFonts w:cs="Arial"/>
          <w:sz w:val="18"/>
          <w:szCs w:val="18"/>
        </w:rPr>
        <w:t>.</w:t>
      </w:r>
    </w:p>
    <w:p w:rsidR="007138B5" w:rsidRPr="00B148B1" w:rsidRDefault="00D774EB" w:rsidP="00385BB8">
      <w:pPr>
        <w:tabs>
          <w:tab w:val="left" w:pos="9600"/>
        </w:tabs>
        <w:spacing w:before="120" w:line="280" w:lineRule="atLeast"/>
        <w:rPr>
          <w:rFonts w:cs="Arial"/>
          <w:szCs w:val="20"/>
        </w:rPr>
      </w:pPr>
      <w:r w:rsidRPr="00B148B1">
        <w:rPr>
          <w:rFonts w:cs="Arial"/>
          <w:szCs w:val="20"/>
        </w:rPr>
        <w:t xml:space="preserve">Na podlagi podatkov o stalno prijavljenih prebivalcih v aglomeracijah iz predhodnega operativnega programa in ob upoštevanju podatkov iz CRP o stalno prijavljenih prebivalcih v Republiki Sloveniji je mogoče ugotoviti, da je na območju </w:t>
      </w:r>
      <w:r w:rsidR="008C6D60" w:rsidRPr="00B148B1">
        <w:rPr>
          <w:rFonts w:cs="Arial"/>
          <w:szCs w:val="20"/>
        </w:rPr>
        <w:t xml:space="preserve">zunaj </w:t>
      </w:r>
      <w:r w:rsidRPr="00B148B1">
        <w:rPr>
          <w:rFonts w:cs="Arial"/>
          <w:szCs w:val="20"/>
        </w:rPr>
        <w:t xml:space="preserve">meja aglomeracij </w:t>
      </w:r>
      <w:r w:rsidR="00EC5E05" w:rsidRPr="00B148B1">
        <w:rPr>
          <w:rFonts w:cs="Arial"/>
          <w:szCs w:val="20"/>
        </w:rPr>
        <w:t xml:space="preserve">iz </w:t>
      </w:r>
      <w:r w:rsidR="00917842" w:rsidRPr="00B148B1">
        <w:rPr>
          <w:rFonts w:cs="Arial"/>
          <w:szCs w:val="20"/>
        </w:rPr>
        <w:t>predhodnega</w:t>
      </w:r>
      <w:r w:rsidRPr="00B148B1">
        <w:rPr>
          <w:rFonts w:cs="Arial"/>
          <w:szCs w:val="20"/>
        </w:rPr>
        <w:t xml:space="preserve"> operativnega programa 411.531 stalno prijavljenih prebivalcev, kar ustreza obremenitvi 411.531 PE</w:t>
      </w:r>
      <w:r w:rsidR="00EC5E05" w:rsidRPr="00B148B1">
        <w:rPr>
          <w:rFonts w:cs="Arial"/>
          <w:szCs w:val="20"/>
        </w:rPr>
        <w:t xml:space="preserve"> (stanje glede na CRP na presečni datum 1. januar 2009)</w:t>
      </w:r>
      <w:r w:rsidRPr="00B148B1">
        <w:rPr>
          <w:rFonts w:cs="Arial"/>
          <w:szCs w:val="20"/>
        </w:rPr>
        <w:t>.</w:t>
      </w:r>
      <w:r w:rsidR="004A003B" w:rsidRPr="00B148B1">
        <w:rPr>
          <w:rFonts w:cs="Arial"/>
          <w:szCs w:val="20"/>
        </w:rPr>
        <w:t xml:space="preserve"> </w:t>
      </w:r>
    </w:p>
    <w:p w:rsidR="00D774EB" w:rsidRPr="00B148B1" w:rsidRDefault="007138B5" w:rsidP="00385BB8">
      <w:pPr>
        <w:tabs>
          <w:tab w:val="left" w:pos="9600"/>
        </w:tabs>
        <w:spacing w:before="120" w:line="280" w:lineRule="atLeast"/>
        <w:rPr>
          <w:rFonts w:cs="Arial"/>
          <w:szCs w:val="20"/>
        </w:rPr>
      </w:pPr>
      <w:r w:rsidRPr="00B148B1">
        <w:rPr>
          <w:rFonts w:cs="Arial"/>
          <w:szCs w:val="20"/>
        </w:rPr>
        <w:t>V</w:t>
      </w:r>
      <w:r w:rsidR="004A003B" w:rsidRPr="00B148B1">
        <w:rPr>
          <w:rFonts w:cs="Arial"/>
          <w:szCs w:val="20"/>
        </w:rPr>
        <w:t xml:space="preserve"> primerjavi s podatkom iz CRP o stalno prijavljenih prebivalcih v Republiki Sloveniji na dan 31.</w:t>
      </w:r>
      <w:r w:rsidR="00512ACD" w:rsidRPr="00B148B1">
        <w:rPr>
          <w:rFonts w:cs="Arial"/>
          <w:szCs w:val="20"/>
        </w:rPr>
        <w:t xml:space="preserve"> decembra </w:t>
      </w:r>
      <w:r w:rsidR="004A003B" w:rsidRPr="00B148B1">
        <w:rPr>
          <w:rFonts w:cs="Arial"/>
          <w:szCs w:val="20"/>
        </w:rPr>
        <w:t>2018</w:t>
      </w:r>
      <w:r w:rsidR="00073369" w:rsidRPr="00B148B1">
        <w:rPr>
          <w:rFonts w:cs="Arial"/>
          <w:szCs w:val="20"/>
        </w:rPr>
        <w:t>,</w:t>
      </w:r>
      <w:r w:rsidR="004A003B" w:rsidRPr="00B148B1">
        <w:rPr>
          <w:rFonts w:cs="Arial"/>
          <w:szCs w:val="20"/>
        </w:rPr>
        <w:t xml:space="preserve"> se je število stalno prijavljenih prebiva</w:t>
      </w:r>
      <w:r w:rsidR="00073369" w:rsidRPr="00B148B1">
        <w:rPr>
          <w:rFonts w:cs="Arial"/>
          <w:szCs w:val="20"/>
        </w:rPr>
        <w:t xml:space="preserve">lcev </w:t>
      </w:r>
      <w:r w:rsidR="008C6D60" w:rsidRPr="00B148B1">
        <w:rPr>
          <w:rFonts w:cs="Arial"/>
          <w:szCs w:val="20"/>
        </w:rPr>
        <w:t xml:space="preserve">zunaj </w:t>
      </w:r>
      <w:r w:rsidR="00073369" w:rsidRPr="00B148B1">
        <w:rPr>
          <w:rFonts w:cs="Arial"/>
          <w:szCs w:val="20"/>
        </w:rPr>
        <w:t xml:space="preserve">meja aglomeracij </w:t>
      </w:r>
      <w:r w:rsidR="006E7BEE" w:rsidRPr="00B148B1">
        <w:rPr>
          <w:rFonts w:cs="Arial"/>
          <w:szCs w:val="20"/>
        </w:rPr>
        <w:t xml:space="preserve">iz predhodnega operativnega programa </w:t>
      </w:r>
      <w:r w:rsidR="00073369" w:rsidRPr="00B148B1">
        <w:rPr>
          <w:rFonts w:cs="Arial"/>
          <w:szCs w:val="20"/>
        </w:rPr>
        <w:t xml:space="preserve">povečalo za 35.599, kar </w:t>
      </w:r>
      <w:r w:rsidR="00720529" w:rsidRPr="00B148B1">
        <w:rPr>
          <w:rFonts w:cs="Arial"/>
          <w:szCs w:val="20"/>
        </w:rPr>
        <w:t>ustreza obremenitvi</w:t>
      </w:r>
      <w:r w:rsidR="00073369" w:rsidRPr="00B148B1">
        <w:rPr>
          <w:rFonts w:cs="Arial"/>
          <w:szCs w:val="20"/>
        </w:rPr>
        <w:t xml:space="preserve"> 447.130</w:t>
      </w:r>
      <w:r w:rsidR="00720529" w:rsidRPr="00B148B1">
        <w:rPr>
          <w:rFonts w:cs="Arial"/>
          <w:szCs w:val="20"/>
        </w:rPr>
        <w:t xml:space="preserve"> PE</w:t>
      </w:r>
      <w:r w:rsidR="00073369" w:rsidRPr="00B148B1">
        <w:rPr>
          <w:rFonts w:cs="Arial"/>
          <w:szCs w:val="20"/>
        </w:rPr>
        <w:t>.</w:t>
      </w:r>
    </w:p>
    <w:p w:rsidR="00D774EB" w:rsidRPr="00B148B1" w:rsidRDefault="00D774EB" w:rsidP="00385BB8">
      <w:pPr>
        <w:pStyle w:val="Naslov3"/>
      </w:pPr>
      <w:bookmarkStart w:id="47" w:name="_Toc50628064"/>
      <w:bookmarkEnd w:id="44"/>
      <w:r w:rsidRPr="00B148B1">
        <w:t>Povzetek ukrepov iz predhodnega operativnega programa</w:t>
      </w:r>
      <w:bookmarkEnd w:id="47"/>
    </w:p>
    <w:p w:rsidR="00D774EB" w:rsidRPr="00B148B1" w:rsidRDefault="00D774EB" w:rsidP="00385BB8">
      <w:pPr>
        <w:tabs>
          <w:tab w:val="left" w:pos="9600"/>
        </w:tabs>
        <w:spacing w:before="120" w:line="280" w:lineRule="atLeast"/>
        <w:rPr>
          <w:rFonts w:cs="Arial"/>
          <w:szCs w:val="20"/>
        </w:rPr>
      </w:pPr>
      <w:r w:rsidRPr="00B148B1">
        <w:rPr>
          <w:rFonts w:cs="Arial"/>
          <w:szCs w:val="20"/>
        </w:rPr>
        <w:t>Predhodni operativni program</w:t>
      </w:r>
      <w:r w:rsidR="007138B5" w:rsidRPr="00B148B1">
        <w:rPr>
          <w:rFonts w:cs="Arial"/>
          <w:szCs w:val="20"/>
        </w:rPr>
        <w:t>,</w:t>
      </w:r>
      <w:r w:rsidRPr="00B148B1">
        <w:rPr>
          <w:rFonts w:cs="Arial"/>
          <w:szCs w:val="20"/>
        </w:rPr>
        <w:t xml:space="preserve"> </w:t>
      </w:r>
      <w:r w:rsidR="007138B5" w:rsidRPr="00B148B1">
        <w:rPr>
          <w:rFonts w:cs="Arial"/>
          <w:szCs w:val="20"/>
        </w:rPr>
        <w:t>kot je razvidno iz preglednice (</w:t>
      </w:r>
      <w:r w:rsidR="007138B5" w:rsidRPr="00B148B1">
        <w:rPr>
          <w:rFonts w:cs="Arial"/>
          <w:szCs w:val="20"/>
        </w:rPr>
        <w:fldChar w:fldCharType="begin"/>
      </w:r>
      <w:r w:rsidR="007138B5" w:rsidRPr="00B148B1">
        <w:rPr>
          <w:rFonts w:cs="Arial"/>
          <w:szCs w:val="20"/>
        </w:rPr>
        <w:instrText xml:space="preserve"> REF _Ref446337478 \h  \* MERGEFORMAT </w:instrText>
      </w:r>
      <w:r w:rsidR="007138B5" w:rsidRPr="00B148B1">
        <w:rPr>
          <w:rFonts w:cs="Arial"/>
          <w:szCs w:val="20"/>
        </w:rPr>
      </w:r>
      <w:r w:rsidR="007138B5" w:rsidRPr="00B148B1">
        <w:rPr>
          <w:rFonts w:cs="Arial"/>
          <w:szCs w:val="20"/>
        </w:rPr>
        <w:fldChar w:fldCharType="separate"/>
      </w:r>
      <w:r w:rsidR="00E92793" w:rsidRPr="00B148B1">
        <w:rPr>
          <w:rFonts w:cs="Arial"/>
          <w:szCs w:val="20"/>
        </w:rPr>
        <w:t xml:space="preserve">Preglednica </w:t>
      </w:r>
      <w:r w:rsidR="00E92793">
        <w:rPr>
          <w:rFonts w:cs="Arial"/>
          <w:szCs w:val="20"/>
        </w:rPr>
        <w:t>1</w:t>
      </w:r>
      <w:r w:rsidR="007138B5" w:rsidRPr="00B148B1">
        <w:rPr>
          <w:rFonts w:cs="Arial"/>
          <w:szCs w:val="20"/>
        </w:rPr>
        <w:fldChar w:fldCharType="end"/>
      </w:r>
      <w:r w:rsidR="007138B5" w:rsidRPr="00B148B1">
        <w:rPr>
          <w:rFonts w:cs="Arial"/>
          <w:szCs w:val="20"/>
        </w:rPr>
        <w:t xml:space="preserve">), </w:t>
      </w:r>
      <w:r w:rsidR="001372B1" w:rsidRPr="00B148B1">
        <w:rPr>
          <w:rFonts w:cs="Arial"/>
          <w:szCs w:val="20"/>
        </w:rPr>
        <w:t>je vključeval</w:t>
      </w:r>
      <w:r w:rsidRPr="00B148B1">
        <w:rPr>
          <w:rFonts w:cs="Arial"/>
          <w:szCs w:val="20"/>
        </w:rPr>
        <w:t xml:space="preserve"> osnovni in dodatni program: </w:t>
      </w:r>
    </w:p>
    <w:p w:rsidR="00D774EB" w:rsidRPr="00B148B1" w:rsidRDefault="00D774EB"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 xml:space="preserve">osnovni program za posamezne aglomeracije </w:t>
      </w:r>
      <w:r w:rsidR="001372B1" w:rsidRPr="00B148B1">
        <w:rPr>
          <w:rFonts w:cs="Arial"/>
          <w:szCs w:val="20"/>
        </w:rPr>
        <w:t xml:space="preserve">je </w:t>
      </w:r>
      <w:r w:rsidRPr="00B148B1">
        <w:rPr>
          <w:rFonts w:cs="Arial"/>
          <w:szCs w:val="20"/>
        </w:rPr>
        <w:t>določa</w:t>
      </w:r>
      <w:r w:rsidR="001372B1" w:rsidRPr="00B148B1">
        <w:rPr>
          <w:rFonts w:cs="Arial"/>
          <w:szCs w:val="20"/>
        </w:rPr>
        <w:t>l</w:t>
      </w:r>
      <w:r w:rsidRPr="00B148B1">
        <w:rPr>
          <w:rFonts w:cs="Arial"/>
          <w:szCs w:val="20"/>
        </w:rPr>
        <w:t xml:space="preserve"> ukrepe v skladu s predpisi, ki so veljali v času spreje</w:t>
      </w:r>
      <w:r w:rsidR="00512ACD" w:rsidRPr="00B148B1">
        <w:rPr>
          <w:rFonts w:cs="Arial"/>
          <w:szCs w:val="20"/>
        </w:rPr>
        <w:t>tj</w:t>
      </w:r>
      <w:r w:rsidRPr="00B148B1">
        <w:rPr>
          <w:rFonts w:cs="Arial"/>
          <w:szCs w:val="20"/>
        </w:rPr>
        <w:t xml:space="preserve">a predhodnega operativnega programa, in sicer obvezno opremljanje z javnim kanalizacijskim omrežjem in komunalno čistilno napravo s predpisano stopnjo čiščenja komunalne odpadne vode. Ciljna stopnja opremljenosti je </w:t>
      </w:r>
      <w:r w:rsidR="006F211A" w:rsidRPr="00B148B1">
        <w:rPr>
          <w:rFonts w:cs="Arial"/>
          <w:szCs w:val="20"/>
        </w:rPr>
        <w:t xml:space="preserve">bila </w:t>
      </w:r>
      <w:r w:rsidRPr="00B148B1">
        <w:rPr>
          <w:rFonts w:cs="Arial"/>
          <w:szCs w:val="20"/>
        </w:rPr>
        <w:t>najmanj 95 odstotna opremljenost glede na skupno obremenitev posamezne aglomeracije, izražene v PE;</w:t>
      </w:r>
    </w:p>
    <w:p w:rsidR="00D774EB" w:rsidRPr="00B148B1" w:rsidRDefault="00D774EB"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lastRenderedPageBreak/>
        <w:t xml:space="preserve">dodatni program </w:t>
      </w:r>
      <w:r w:rsidR="006F211A" w:rsidRPr="00B148B1">
        <w:rPr>
          <w:rFonts w:cs="Arial"/>
          <w:szCs w:val="20"/>
        </w:rPr>
        <w:t xml:space="preserve">je </w:t>
      </w:r>
      <w:r w:rsidRPr="00B148B1">
        <w:rPr>
          <w:rFonts w:cs="Arial"/>
          <w:szCs w:val="20"/>
        </w:rPr>
        <w:t>določa</w:t>
      </w:r>
      <w:r w:rsidR="006F211A" w:rsidRPr="00B148B1">
        <w:rPr>
          <w:rFonts w:cs="Arial"/>
          <w:szCs w:val="20"/>
        </w:rPr>
        <w:t>l</w:t>
      </w:r>
      <w:r w:rsidRPr="00B148B1">
        <w:rPr>
          <w:rFonts w:cs="Arial"/>
          <w:szCs w:val="20"/>
        </w:rPr>
        <w:t xml:space="preserve"> ukrepe za aglomeracije, za katere v skladu s predpisi, ki so veljali v času spreje</w:t>
      </w:r>
      <w:r w:rsidR="00512ACD" w:rsidRPr="00B148B1">
        <w:rPr>
          <w:rFonts w:cs="Arial"/>
          <w:szCs w:val="20"/>
        </w:rPr>
        <w:t>tj</w:t>
      </w:r>
      <w:r w:rsidRPr="00B148B1">
        <w:rPr>
          <w:rFonts w:cs="Arial"/>
          <w:szCs w:val="20"/>
        </w:rPr>
        <w:t xml:space="preserve">a predhodnega operativnega programa, opremljanje z javno kanalizacijo ni bilo predpisano. Investicije v izgradnjo javne kanalizacije z zagotovljenim ustreznim čiščenjem komunalne odpadne vode so se štele za skladne </w:t>
      </w:r>
      <w:r w:rsidR="00512ACD" w:rsidRPr="00B148B1">
        <w:rPr>
          <w:rFonts w:cs="Arial"/>
          <w:szCs w:val="20"/>
        </w:rPr>
        <w:t xml:space="preserve">s </w:t>
      </w:r>
      <w:r w:rsidRPr="00B148B1">
        <w:rPr>
          <w:rFonts w:cs="Arial"/>
          <w:szCs w:val="20"/>
        </w:rPr>
        <w:t xml:space="preserve">predhodnim operativnim programom, če so bile tehnično-tehnološko in </w:t>
      </w:r>
      <w:r w:rsidR="00512ACD" w:rsidRPr="00B148B1">
        <w:rPr>
          <w:rFonts w:cs="Arial"/>
          <w:szCs w:val="20"/>
        </w:rPr>
        <w:t>gospodar</w:t>
      </w:r>
      <w:r w:rsidRPr="00B148B1">
        <w:rPr>
          <w:rFonts w:cs="Arial"/>
          <w:szCs w:val="20"/>
        </w:rPr>
        <w:t>sko upravičene.</w:t>
      </w:r>
      <w:r w:rsidR="00FB48F3" w:rsidRPr="00B148B1">
        <w:rPr>
          <w:rFonts w:cs="Arial"/>
          <w:szCs w:val="20"/>
        </w:rPr>
        <w:t xml:space="preserve"> </w:t>
      </w:r>
      <w:r w:rsidRPr="00B148B1">
        <w:rPr>
          <w:rFonts w:cs="Arial"/>
          <w:szCs w:val="20"/>
        </w:rPr>
        <w:t xml:space="preserve">Ciljna stopnja opremljenosti ni </w:t>
      </w:r>
      <w:r w:rsidR="006F211A" w:rsidRPr="00B148B1">
        <w:rPr>
          <w:rFonts w:cs="Arial"/>
          <w:szCs w:val="20"/>
        </w:rPr>
        <w:t xml:space="preserve">bila </w:t>
      </w:r>
      <w:r w:rsidRPr="00B148B1">
        <w:rPr>
          <w:rFonts w:cs="Arial"/>
          <w:szCs w:val="20"/>
        </w:rPr>
        <w:t xml:space="preserve">predpisana, saj je odvisna od rezultatov analiz o tehnično-tehnološki in </w:t>
      </w:r>
      <w:r w:rsidR="00512ACD" w:rsidRPr="00B148B1">
        <w:rPr>
          <w:rFonts w:cs="Arial"/>
          <w:szCs w:val="20"/>
        </w:rPr>
        <w:t>gospodar</w:t>
      </w:r>
      <w:r w:rsidRPr="00B148B1">
        <w:rPr>
          <w:rFonts w:cs="Arial"/>
          <w:szCs w:val="20"/>
        </w:rPr>
        <w:t>ski upravičenosti.</w:t>
      </w:r>
    </w:p>
    <w:p w:rsidR="00D774EB" w:rsidRPr="00B148B1" w:rsidRDefault="00D774EB" w:rsidP="00385BB8">
      <w:pPr>
        <w:tabs>
          <w:tab w:val="left" w:pos="9600"/>
        </w:tabs>
        <w:spacing w:before="120" w:line="280" w:lineRule="atLeast"/>
        <w:rPr>
          <w:rFonts w:cs="Arial"/>
          <w:szCs w:val="20"/>
        </w:rPr>
      </w:pPr>
      <w:r w:rsidRPr="00B148B1">
        <w:rPr>
          <w:rFonts w:cs="Arial"/>
          <w:szCs w:val="20"/>
        </w:rPr>
        <w:t xml:space="preserve">Osnovni program </w:t>
      </w:r>
      <w:r w:rsidR="00CD4D31" w:rsidRPr="00B148B1">
        <w:rPr>
          <w:rFonts w:cs="Arial"/>
          <w:szCs w:val="20"/>
        </w:rPr>
        <w:t xml:space="preserve">se je delil v osem podpoglavij in </w:t>
      </w:r>
      <w:r w:rsidR="006F211A" w:rsidRPr="00B148B1">
        <w:rPr>
          <w:rFonts w:cs="Arial"/>
          <w:szCs w:val="20"/>
        </w:rPr>
        <w:t xml:space="preserve">je vključeval </w:t>
      </w:r>
      <w:r w:rsidR="00512ACD" w:rsidRPr="00B148B1">
        <w:rPr>
          <w:rFonts w:cs="Arial"/>
          <w:szCs w:val="20"/>
        </w:rPr>
        <w:t xml:space="preserve">skupno </w:t>
      </w:r>
      <w:r w:rsidRPr="00B148B1">
        <w:rPr>
          <w:rFonts w:cs="Arial"/>
          <w:szCs w:val="20"/>
        </w:rPr>
        <w:t>1.391 aglomeracij, kar p</w:t>
      </w:r>
      <w:r w:rsidR="00512ACD" w:rsidRPr="00B148B1">
        <w:rPr>
          <w:rFonts w:cs="Arial"/>
          <w:szCs w:val="20"/>
        </w:rPr>
        <w:t>omeni</w:t>
      </w:r>
      <w:r w:rsidRPr="00B148B1">
        <w:rPr>
          <w:rFonts w:cs="Arial"/>
          <w:szCs w:val="20"/>
        </w:rPr>
        <w:t xml:space="preserve"> </w:t>
      </w:r>
      <w:r w:rsidR="00CD4D31" w:rsidRPr="00B148B1">
        <w:rPr>
          <w:rFonts w:cs="Arial"/>
          <w:szCs w:val="20"/>
        </w:rPr>
        <w:t xml:space="preserve">skupno </w:t>
      </w:r>
      <w:r w:rsidRPr="00B148B1">
        <w:rPr>
          <w:rFonts w:cs="Arial"/>
          <w:szCs w:val="20"/>
        </w:rPr>
        <w:t xml:space="preserve">obremenitev 1.888.957 PE. Od tega je </w:t>
      </w:r>
      <w:r w:rsidR="006F211A" w:rsidRPr="00B148B1">
        <w:rPr>
          <w:rFonts w:cs="Arial"/>
          <w:szCs w:val="20"/>
        </w:rPr>
        <w:t xml:space="preserve">vključeval 158 </w:t>
      </w:r>
      <w:r w:rsidRPr="00B148B1">
        <w:rPr>
          <w:rFonts w:cs="Arial"/>
          <w:szCs w:val="20"/>
        </w:rPr>
        <w:t>aglomeracij s skupno obremenitvijo, enako ali večjo od 2.000 PE, kar p</w:t>
      </w:r>
      <w:r w:rsidR="00512ACD" w:rsidRPr="00B148B1">
        <w:rPr>
          <w:rFonts w:cs="Arial"/>
          <w:szCs w:val="20"/>
        </w:rPr>
        <w:t>omeni</w:t>
      </w:r>
      <w:r w:rsidRPr="00B148B1">
        <w:rPr>
          <w:rFonts w:cs="Arial"/>
          <w:szCs w:val="20"/>
        </w:rPr>
        <w:t xml:space="preserve"> obremenitev 1.462.221 PE. </w:t>
      </w:r>
      <w:r w:rsidR="006F211A" w:rsidRPr="00B148B1">
        <w:rPr>
          <w:rFonts w:cs="Arial"/>
          <w:szCs w:val="20"/>
        </w:rPr>
        <w:t>Osnovni program je vključeval tudi 1.233 a</w:t>
      </w:r>
      <w:r w:rsidRPr="00B148B1">
        <w:rPr>
          <w:rFonts w:cs="Arial"/>
          <w:szCs w:val="20"/>
        </w:rPr>
        <w:t>glomeracij s skupno obremenitvijo, manjšo od 2.000 PE,</w:t>
      </w:r>
      <w:r w:rsidR="006F211A" w:rsidRPr="00B148B1">
        <w:rPr>
          <w:rFonts w:cs="Arial"/>
          <w:szCs w:val="20"/>
        </w:rPr>
        <w:t xml:space="preserve"> kar</w:t>
      </w:r>
      <w:r w:rsidRPr="00B148B1">
        <w:rPr>
          <w:rFonts w:cs="Arial"/>
          <w:szCs w:val="20"/>
        </w:rPr>
        <w:t xml:space="preserve"> p</w:t>
      </w:r>
      <w:r w:rsidR="00512ACD" w:rsidRPr="00B148B1">
        <w:rPr>
          <w:rFonts w:cs="Arial"/>
          <w:szCs w:val="20"/>
        </w:rPr>
        <w:t>omeni</w:t>
      </w:r>
      <w:r w:rsidRPr="00B148B1">
        <w:rPr>
          <w:rFonts w:cs="Arial"/>
          <w:szCs w:val="20"/>
        </w:rPr>
        <w:t xml:space="preserve"> obremenitev 426.737 PE.</w:t>
      </w:r>
    </w:p>
    <w:p w:rsidR="00D774EB" w:rsidRPr="00B148B1" w:rsidRDefault="00D774EB" w:rsidP="00385BB8">
      <w:pPr>
        <w:tabs>
          <w:tab w:val="left" w:pos="9600"/>
        </w:tabs>
        <w:spacing w:before="120" w:line="280" w:lineRule="atLeast"/>
        <w:rPr>
          <w:rFonts w:cs="Arial"/>
          <w:szCs w:val="20"/>
        </w:rPr>
      </w:pPr>
      <w:r w:rsidRPr="00B148B1">
        <w:rPr>
          <w:rFonts w:cs="Arial"/>
          <w:szCs w:val="20"/>
        </w:rPr>
        <w:t xml:space="preserve">Dodatni program predhodnega operativnega programa se </w:t>
      </w:r>
      <w:r w:rsidR="006F211A" w:rsidRPr="00B148B1">
        <w:rPr>
          <w:rFonts w:cs="Arial"/>
          <w:szCs w:val="20"/>
        </w:rPr>
        <w:t xml:space="preserve">je </w:t>
      </w:r>
      <w:r w:rsidRPr="00B148B1">
        <w:rPr>
          <w:rFonts w:cs="Arial"/>
          <w:szCs w:val="20"/>
        </w:rPr>
        <w:t>deli</w:t>
      </w:r>
      <w:r w:rsidR="006F211A" w:rsidRPr="00B148B1">
        <w:rPr>
          <w:rFonts w:cs="Arial"/>
          <w:szCs w:val="20"/>
        </w:rPr>
        <w:t>l</w:t>
      </w:r>
      <w:r w:rsidRPr="00B148B1">
        <w:rPr>
          <w:rFonts w:cs="Arial"/>
          <w:szCs w:val="20"/>
        </w:rPr>
        <w:t xml:space="preserve"> v pet podpoglavij</w:t>
      </w:r>
      <w:r w:rsidR="00CD4D31" w:rsidRPr="00B148B1">
        <w:rPr>
          <w:rFonts w:cs="Arial"/>
          <w:szCs w:val="20"/>
        </w:rPr>
        <w:t xml:space="preserve"> in </w:t>
      </w:r>
      <w:r w:rsidR="006F211A" w:rsidRPr="00B148B1">
        <w:rPr>
          <w:rFonts w:cs="Arial"/>
          <w:szCs w:val="20"/>
        </w:rPr>
        <w:t>je vključeval</w:t>
      </w:r>
      <w:r w:rsidRPr="00B148B1">
        <w:rPr>
          <w:rFonts w:cs="Arial"/>
          <w:szCs w:val="20"/>
        </w:rPr>
        <w:t xml:space="preserve"> 841 aglomeracij s skupno obremenitvijo, manjšo od 2.000 PE, kar p</w:t>
      </w:r>
      <w:r w:rsidR="00512ACD" w:rsidRPr="00B148B1">
        <w:rPr>
          <w:rFonts w:cs="Arial"/>
          <w:szCs w:val="20"/>
        </w:rPr>
        <w:t>omeni</w:t>
      </w:r>
      <w:r w:rsidRPr="00B148B1">
        <w:rPr>
          <w:rFonts w:cs="Arial"/>
          <w:szCs w:val="20"/>
        </w:rPr>
        <w:t xml:space="preserve"> skupno obremenitev 218.123 PE. Podatki iz predhodnega operativnega programa kažejo, da jih </w:t>
      </w:r>
      <w:r w:rsidR="00512ACD" w:rsidRPr="00B148B1">
        <w:rPr>
          <w:rFonts w:cs="Arial"/>
          <w:szCs w:val="20"/>
        </w:rPr>
        <w:t xml:space="preserve">devet </w:t>
      </w:r>
      <w:r w:rsidR="006F211A" w:rsidRPr="00B148B1">
        <w:rPr>
          <w:rFonts w:cs="Arial"/>
          <w:szCs w:val="20"/>
        </w:rPr>
        <w:t xml:space="preserve">ni doseglo </w:t>
      </w:r>
      <w:r w:rsidRPr="00B148B1">
        <w:rPr>
          <w:rFonts w:cs="Arial"/>
          <w:szCs w:val="20"/>
        </w:rPr>
        <w:t xml:space="preserve">merila celotne obremenjenosti s komunalno odpadno vodo 50 PE in da jih 58 glede gostote obremenjenosti </w:t>
      </w:r>
      <w:r w:rsidR="006F211A" w:rsidRPr="00B148B1">
        <w:rPr>
          <w:rFonts w:cs="Arial"/>
          <w:szCs w:val="20"/>
        </w:rPr>
        <w:t xml:space="preserve">ni doseglo </w:t>
      </w:r>
      <w:r w:rsidRPr="00B148B1">
        <w:rPr>
          <w:rFonts w:cs="Arial"/>
          <w:szCs w:val="20"/>
        </w:rPr>
        <w:t>niti najnižjega merila gostote obremenjenosti, predpisanega za območj</w:t>
      </w:r>
      <w:r w:rsidR="002805A3" w:rsidRPr="00B148B1">
        <w:rPr>
          <w:rFonts w:cs="Arial"/>
          <w:szCs w:val="20"/>
        </w:rPr>
        <w:t>a</w:t>
      </w:r>
      <w:r w:rsidRPr="00B148B1">
        <w:rPr>
          <w:rFonts w:cs="Arial"/>
          <w:szCs w:val="20"/>
        </w:rPr>
        <w:t xml:space="preserve"> s posebnimi zahtevami, t.</w:t>
      </w:r>
      <w:r w:rsidR="002805A3" w:rsidRPr="00B148B1">
        <w:rPr>
          <w:rFonts w:cs="Arial"/>
          <w:szCs w:val="20"/>
        </w:rPr>
        <w:t xml:space="preserve"> </w:t>
      </w:r>
      <w:r w:rsidRPr="00B148B1">
        <w:rPr>
          <w:rFonts w:cs="Arial"/>
          <w:szCs w:val="20"/>
        </w:rPr>
        <w:t xml:space="preserve">j. 10 PE/ha. </w:t>
      </w:r>
    </w:p>
    <w:p w:rsidR="00D774EB" w:rsidRPr="00B148B1" w:rsidRDefault="00D774EB" w:rsidP="00385BB8">
      <w:pPr>
        <w:pStyle w:val="Naslov3"/>
      </w:pPr>
      <w:bookmarkStart w:id="48" w:name="_Ref446410249"/>
      <w:bookmarkStart w:id="49" w:name="_Toc50628065"/>
      <w:r w:rsidRPr="00B148B1">
        <w:t>Povzetek finančne ocene predhodnega operativnega programa</w:t>
      </w:r>
      <w:bookmarkEnd w:id="48"/>
      <w:bookmarkEnd w:id="49"/>
    </w:p>
    <w:p w:rsidR="00D774EB" w:rsidRPr="00B148B1" w:rsidRDefault="00D774EB" w:rsidP="00385BB8">
      <w:pPr>
        <w:tabs>
          <w:tab w:val="left" w:pos="9600"/>
        </w:tabs>
        <w:spacing w:before="120" w:line="280" w:lineRule="atLeast"/>
        <w:rPr>
          <w:rFonts w:cs="Arial"/>
          <w:szCs w:val="20"/>
        </w:rPr>
      </w:pPr>
      <w:r w:rsidRPr="00B148B1">
        <w:rPr>
          <w:rFonts w:cs="Arial"/>
          <w:szCs w:val="20"/>
        </w:rPr>
        <w:t>V predhodnem operativnem programu je ocena finančnih sredstev, potrebnih za izvedbo predpisanih ukrepov, znašala 2.155 milijon</w:t>
      </w:r>
      <w:r w:rsidR="00A86BAE">
        <w:rPr>
          <w:rFonts w:cs="Arial"/>
          <w:szCs w:val="20"/>
        </w:rPr>
        <w:t>ov</w:t>
      </w:r>
      <w:r w:rsidRPr="00B148B1">
        <w:rPr>
          <w:rFonts w:cs="Arial"/>
          <w:szCs w:val="20"/>
        </w:rPr>
        <w:t xml:space="preserve"> </w:t>
      </w:r>
      <w:r w:rsidR="00BA3D7F" w:rsidRPr="00B148B1">
        <w:rPr>
          <w:rFonts w:cs="Arial"/>
          <w:szCs w:val="20"/>
        </w:rPr>
        <w:t>e</w:t>
      </w:r>
      <w:r w:rsidR="002D1126" w:rsidRPr="00B148B1">
        <w:rPr>
          <w:rFonts w:cs="Arial"/>
          <w:szCs w:val="20"/>
        </w:rPr>
        <w:t>v</w:t>
      </w:r>
      <w:r w:rsidR="00BA3D7F" w:rsidRPr="00B148B1">
        <w:rPr>
          <w:rFonts w:cs="Arial"/>
          <w:szCs w:val="20"/>
        </w:rPr>
        <w:t>rov</w:t>
      </w:r>
      <w:r w:rsidRPr="00B148B1">
        <w:rPr>
          <w:rFonts w:cs="Arial"/>
          <w:szCs w:val="20"/>
        </w:rPr>
        <w:t xml:space="preserve">, od tega 1.564 milijonov </w:t>
      </w:r>
      <w:r w:rsidR="00BA3D7F" w:rsidRPr="00B148B1">
        <w:rPr>
          <w:rFonts w:cs="Arial"/>
          <w:szCs w:val="20"/>
        </w:rPr>
        <w:t>e</w:t>
      </w:r>
      <w:r w:rsidR="002D1126" w:rsidRPr="00B148B1">
        <w:rPr>
          <w:rFonts w:cs="Arial"/>
          <w:szCs w:val="20"/>
        </w:rPr>
        <w:t>v</w:t>
      </w:r>
      <w:r w:rsidR="00BA3D7F" w:rsidRPr="00B148B1">
        <w:rPr>
          <w:rFonts w:cs="Arial"/>
          <w:szCs w:val="20"/>
        </w:rPr>
        <w:t>rov</w:t>
      </w:r>
      <w:r w:rsidRPr="00B148B1">
        <w:rPr>
          <w:rFonts w:cs="Arial"/>
          <w:szCs w:val="20"/>
        </w:rPr>
        <w:t xml:space="preserve"> za javno kanalizacijsko omrežje in 591 milijonov </w:t>
      </w:r>
      <w:r w:rsidR="00BA3D7F" w:rsidRPr="00B148B1">
        <w:rPr>
          <w:rFonts w:cs="Arial"/>
          <w:szCs w:val="20"/>
        </w:rPr>
        <w:t>e</w:t>
      </w:r>
      <w:r w:rsidR="002D1126" w:rsidRPr="00B148B1">
        <w:rPr>
          <w:rFonts w:cs="Arial"/>
          <w:szCs w:val="20"/>
        </w:rPr>
        <w:t>v</w:t>
      </w:r>
      <w:r w:rsidR="00BA3D7F" w:rsidRPr="00B148B1">
        <w:rPr>
          <w:rFonts w:cs="Arial"/>
          <w:szCs w:val="20"/>
        </w:rPr>
        <w:t>rov</w:t>
      </w:r>
      <w:r w:rsidRPr="00B148B1">
        <w:rPr>
          <w:rFonts w:cs="Arial"/>
          <w:szCs w:val="20"/>
        </w:rPr>
        <w:t xml:space="preserve"> za čistilne naprave. </w:t>
      </w:r>
    </w:p>
    <w:p w:rsidR="00D774EB" w:rsidRPr="00B148B1" w:rsidRDefault="00D774EB" w:rsidP="00385BB8">
      <w:pPr>
        <w:tabs>
          <w:tab w:val="left" w:pos="9600"/>
        </w:tabs>
        <w:spacing w:before="120" w:line="280" w:lineRule="atLeast"/>
        <w:rPr>
          <w:rFonts w:cs="Arial"/>
          <w:szCs w:val="20"/>
        </w:rPr>
      </w:pPr>
      <w:r w:rsidRPr="00B148B1">
        <w:rPr>
          <w:rFonts w:cs="Arial"/>
          <w:szCs w:val="20"/>
        </w:rPr>
        <w:t xml:space="preserve">Ocena sredstev, potrebnih za izvedbo predpisanih ukrepov iz predhodnega operativnega programa, po velikostnih razredih aglomeracij in ločeno za javno kanalizacijsko omrežje oziroma komunalno ali skupno čistilno napravo, namenjeno </w:t>
      </w:r>
      <w:r w:rsidR="002D1126" w:rsidRPr="00B148B1">
        <w:rPr>
          <w:rFonts w:cs="Arial"/>
          <w:szCs w:val="20"/>
        </w:rPr>
        <w:t xml:space="preserve">za </w:t>
      </w:r>
      <w:r w:rsidRPr="00B148B1">
        <w:rPr>
          <w:rFonts w:cs="Arial"/>
          <w:szCs w:val="20"/>
        </w:rPr>
        <w:t>izvajanj</w:t>
      </w:r>
      <w:r w:rsidR="002D1126" w:rsidRPr="00B148B1">
        <w:rPr>
          <w:rFonts w:cs="Arial"/>
          <w:szCs w:val="20"/>
        </w:rPr>
        <w:t>e</w:t>
      </w:r>
      <w:r w:rsidRPr="00B148B1">
        <w:rPr>
          <w:rFonts w:cs="Arial"/>
          <w:szCs w:val="20"/>
        </w:rPr>
        <w:t xml:space="preserve"> javne službe, je prikazana v preglednici (</w:t>
      </w:r>
      <w:r w:rsidRPr="00B148B1">
        <w:rPr>
          <w:rFonts w:cs="Arial"/>
          <w:szCs w:val="20"/>
        </w:rPr>
        <w:fldChar w:fldCharType="begin"/>
      </w:r>
      <w:r w:rsidRPr="00B148B1">
        <w:rPr>
          <w:rFonts w:cs="Arial"/>
          <w:szCs w:val="20"/>
        </w:rPr>
        <w:instrText xml:space="preserve"> REF _Ref446339785 \h  \* MERGEFORMAT </w:instrText>
      </w:r>
      <w:r w:rsidRPr="00B148B1">
        <w:rPr>
          <w:rFonts w:cs="Arial"/>
          <w:szCs w:val="20"/>
        </w:rPr>
      </w:r>
      <w:r w:rsidRPr="00B148B1">
        <w:rPr>
          <w:rFonts w:cs="Arial"/>
          <w:szCs w:val="20"/>
        </w:rPr>
        <w:fldChar w:fldCharType="separate"/>
      </w:r>
      <w:r w:rsidR="00E92793" w:rsidRPr="00B148B1">
        <w:rPr>
          <w:rFonts w:cs="Arial"/>
          <w:szCs w:val="20"/>
        </w:rPr>
        <w:t xml:space="preserve">Preglednica </w:t>
      </w:r>
      <w:r w:rsidR="00E92793">
        <w:rPr>
          <w:rFonts w:cs="Arial"/>
          <w:szCs w:val="20"/>
        </w:rPr>
        <w:t>2</w:t>
      </w:r>
      <w:r w:rsidRPr="00B148B1">
        <w:rPr>
          <w:rFonts w:cs="Arial"/>
          <w:szCs w:val="20"/>
        </w:rPr>
        <w:fldChar w:fldCharType="end"/>
      </w:r>
      <w:r w:rsidRPr="00B148B1">
        <w:rPr>
          <w:rFonts w:cs="Arial"/>
          <w:szCs w:val="20"/>
        </w:rPr>
        <w:t>). Ocena sredstev se nanaša na obdobje od leta 2009 do konca leta 2017. Iz podatkov je razvidno, da delež ocenjenih sredstev za ukrepe iz osnovnega programa, ki se nanašajo na aglomeracije s skupno obremenitvijo, enako ali večjo od 2.000 PE, dosega skoraj 35 odstotkov.</w:t>
      </w:r>
      <w:r w:rsidR="00531F16" w:rsidRPr="00B148B1">
        <w:rPr>
          <w:rFonts w:cs="Arial"/>
          <w:szCs w:val="20"/>
        </w:rPr>
        <w:t xml:space="preserve"> </w:t>
      </w:r>
    </w:p>
    <w:p w:rsidR="00D774EB" w:rsidRPr="00B148B1" w:rsidRDefault="00D774EB" w:rsidP="00385BB8">
      <w:pPr>
        <w:tabs>
          <w:tab w:val="left" w:pos="9600"/>
        </w:tabs>
        <w:spacing w:before="120" w:line="280" w:lineRule="atLeast"/>
        <w:rPr>
          <w:rFonts w:cs="Arial"/>
          <w:szCs w:val="20"/>
        </w:rPr>
      </w:pPr>
      <w:bookmarkStart w:id="50" w:name="_Ref446339785"/>
      <w:bookmarkStart w:id="51" w:name="_Ref446339765"/>
      <w:bookmarkStart w:id="52" w:name="_Toc50626718"/>
      <w:r w:rsidRPr="00B148B1">
        <w:rPr>
          <w:rFonts w:cs="Arial"/>
          <w:szCs w:val="20"/>
        </w:rPr>
        <w:t xml:space="preserve">Preglednica </w:t>
      </w:r>
      <w:r w:rsidRPr="00B148B1">
        <w:rPr>
          <w:rFonts w:cs="Arial"/>
          <w:szCs w:val="20"/>
        </w:rPr>
        <w:fldChar w:fldCharType="begin"/>
      </w:r>
      <w:r w:rsidRPr="00B148B1">
        <w:rPr>
          <w:rFonts w:cs="Arial"/>
          <w:szCs w:val="20"/>
        </w:rPr>
        <w:instrText xml:space="preserve"> SEQ Preglednica \* ARABIC </w:instrText>
      </w:r>
      <w:r w:rsidRPr="00B148B1">
        <w:rPr>
          <w:rFonts w:cs="Arial"/>
          <w:szCs w:val="20"/>
        </w:rPr>
        <w:fldChar w:fldCharType="separate"/>
      </w:r>
      <w:r w:rsidR="00E92793">
        <w:rPr>
          <w:rFonts w:cs="Arial"/>
          <w:noProof/>
          <w:szCs w:val="20"/>
        </w:rPr>
        <w:t>2</w:t>
      </w:r>
      <w:r w:rsidRPr="00B148B1">
        <w:rPr>
          <w:rFonts w:cs="Arial"/>
          <w:szCs w:val="20"/>
        </w:rPr>
        <w:fldChar w:fldCharType="end"/>
      </w:r>
      <w:bookmarkEnd w:id="50"/>
      <w:r w:rsidRPr="00B148B1">
        <w:rPr>
          <w:rFonts w:cs="Arial"/>
          <w:szCs w:val="20"/>
        </w:rPr>
        <w:t xml:space="preserve">: </w:t>
      </w:r>
      <w:bookmarkEnd w:id="51"/>
      <w:r w:rsidRPr="00B148B1">
        <w:rPr>
          <w:rFonts w:cs="Arial"/>
          <w:szCs w:val="20"/>
        </w:rPr>
        <w:t>Ocena finančnih sredstev predhodnega operativnega programa</w:t>
      </w:r>
      <w:bookmarkEnd w:id="52"/>
    </w:p>
    <w:tbl>
      <w:tblPr>
        <w:tblStyle w:val="Tabelamrea"/>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Caption w:val="Ocena finančnih sredstev predhodnega operativnega programa"/>
        <w:tblDescription w:val="Ocena finančnih sredstev predhodnega operativnega programa"/>
      </w:tblPr>
      <w:tblGrid>
        <w:gridCol w:w="3510"/>
        <w:gridCol w:w="1898"/>
        <w:gridCol w:w="1898"/>
        <w:gridCol w:w="1898"/>
      </w:tblGrid>
      <w:tr w:rsidR="00D774EB" w:rsidRPr="00B148B1" w:rsidTr="00385BB8">
        <w:trPr>
          <w:cantSplit/>
          <w:trHeight w:val="340"/>
          <w:tblHeader/>
        </w:trPr>
        <w:tc>
          <w:tcPr>
            <w:tcW w:w="3510" w:type="dxa"/>
            <w:vAlign w:val="center"/>
          </w:tcPr>
          <w:p w:rsidR="00D774EB" w:rsidRPr="00B148B1" w:rsidRDefault="00D774EB" w:rsidP="006A72BD">
            <w:pPr>
              <w:tabs>
                <w:tab w:val="left" w:pos="9600"/>
              </w:tabs>
              <w:spacing w:line="240" w:lineRule="auto"/>
              <w:rPr>
                <w:rFonts w:cs="Arial"/>
                <w:b/>
                <w:szCs w:val="20"/>
              </w:rPr>
            </w:pPr>
            <w:r w:rsidRPr="00B148B1">
              <w:rPr>
                <w:rFonts w:cs="Arial"/>
                <w:b/>
                <w:szCs w:val="20"/>
              </w:rPr>
              <w:t>Aglomeracije</w:t>
            </w:r>
          </w:p>
        </w:tc>
        <w:tc>
          <w:tcPr>
            <w:tcW w:w="1898" w:type="dxa"/>
            <w:vAlign w:val="center"/>
          </w:tcPr>
          <w:p w:rsidR="00D774EB" w:rsidRPr="00B148B1" w:rsidRDefault="00D774EB" w:rsidP="006A72BD">
            <w:pPr>
              <w:tabs>
                <w:tab w:val="left" w:pos="9600"/>
              </w:tabs>
              <w:spacing w:line="240" w:lineRule="auto"/>
              <w:jc w:val="center"/>
              <w:rPr>
                <w:rFonts w:cs="Arial"/>
                <w:b/>
                <w:szCs w:val="20"/>
              </w:rPr>
            </w:pPr>
            <w:r w:rsidRPr="00B148B1">
              <w:rPr>
                <w:rFonts w:cs="Arial"/>
                <w:b/>
                <w:szCs w:val="20"/>
              </w:rPr>
              <w:t>JKO</w:t>
            </w:r>
          </w:p>
        </w:tc>
        <w:tc>
          <w:tcPr>
            <w:tcW w:w="1898" w:type="dxa"/>
            <w:vAlign w:val="center"/>
          </w:tcPr>
          <w:p w:rsidR="00D774EB" w:rsidRPr="00B148B1" w:rsidRDefault="00D774EB" w:rsidP="006A72BD">
            <w:pPr>
              <w:tabs>
                <w:tab w:val="left" w:pos="9600"/>
              </w:tabs>
              <w:spacing w:line="240" w:lineRule="auto"/>
              <w:jc w:val="center"/>
              <w:rPr>
                <w:rFonts w:cs="Arial"/>
                <w:b/>
                <w:szCs w:val="20"/>
              </w:rPr>
            </w:pPr>
            <w:r w:rsidRPr="00B148B1">
              <w:rPr>
                <w:rFonts w:cs="Arial"/>
                <w:b/>
                <w:szCs w:val="20"/>
              </w:rPr>
              <w:t>ČN</w:t>
            </w:r>
          </w:p>
        </w:tc>
        <w:tc>
          <w:tcPr>
            <w:tcW w:w="1898" w:type="dxa"/>
            <w:vAlign w:val="center"/>
          </w:tcPr>
          <w:p w:rsidR="00D774EB" w:rsidRPr="00B148B1" w:rsidRDefault="00D774EB" w:rsidP="006A72BD">
            <w:pPr>
              <w:tabs>
                <w:tab w:val="left" w:pos="9600"/>
              </w:tabs>
              <w:spacing w:line="240" w:lineRule="auto"/>
              <w:jc w:val="center"/>
              <w:rPr>
                <w:rFonts w:cs="Arial"/>
                <w:b/>
                <w:szCs w:val="20"/>
              </w:rPr>
            </w:pPr>
            <w:r w:rsidRPr="00B148B1">
              <w:rPr>
                <w:rFonts w:cs="Arial"/>
                <w:b/>
                <w:szCs w:val="20"/>
              </w:rPr>
              <w:t>SKUPAJ</w:t>
            </w:r>
          </w:p>
        </w:tc>
      </w:tr>
      <w:tr w:rsidR="00D774EB" w:rsidRPr="00B148B1" w:rsidTr="00385BB8">
        <w:trPr>
          <w:cantSplit/>
          <w:trHeight w:val="340"/>
          <w:tblHeader/>
        </w:trPr>
        <w:tc>
          <w:tcPr>
            <w:tcW w:w="3510" w:type="dxa"/>
            <w:vAlign w:val="center"/>
          </w:tcPr>
          <w:p w:rsidR="00D774EB" w:rsidRPr="00B148B1" w:rsidRDefault="00D774EB" w:rsidP="006A72BD">
            <w:pPr>
              <w:tabs>
                <w:tab w:val="left" w:pos="9600"/>
              </w:tabs>
              <w:spacing w:line="240" w:lineRule="auto"/>
              <w:rPr>
                <w:rFonts w:cs="Arial"/>
                <w:b/>
                <w:szCs w:val="20"/>
              </w:rPr>
            </w:pPr>
          </w:p>
        </w:tc>
        <w:tc>
          <w:tcPr>
            <w:tcW w:w="1898" w:type="dxa"/>
            <w:vAlign w:val="center"/>
          </w:tcPr>
          <w:p w:rsidR="00D774EB" w:rsidRPr="00B148B1" w:rsidRDefault="00D774EB" w:rsidP="006A72BD">
            <w:pPr>
              <w:tabs>
                <w:tab w:val="left" w:pos="9600"/>
              </w:tabs>
              <w:spacing w:line="240" w:lineRule="auto"/>
              <w:jc w:val="center"/>
              <w:rPr>
                <w:rFonts w:cs="Arial"/>
                <w:b/>
                <w:szCs w:val="20"/>
              </w:rPr>
            </w:pPr>
            <w:r w:rsidRPr="00B148B1">
              <w:rPr>
                <w:rFonts w:cs="Arial"/>
                <w:b/>
                <w:szCs w:val="20"/>
              </w:rPr>
              <w:t>[mio EUR]</w:t>
            </w:r>
          </w:p>
        </w:tc>
        <w:tc>
          <w:tcPr>
            <w:tcW w:w="1898" w:type="dxa"/>
            <w:vAlign w:val="center"/>
          </w:tcPr>
          <w:p w:rsidR="00D774EB" w:rsidRPr="00B148B1" w:rsidRDefault="00D774EB" w:rsidP="006A72BD">
            <w:pPr>
              <w:tabs>
                <w:tab w:val="left" w:pos="9600"/>
              </w:tabs>
              <w:spacing w:line="240" w:lineRule="auto"/>
              <w:jc w:val="center"/>
              <w:rPr>
                <w:rFonts w:cs="Arial"/>
                <w:b/>
                <w:szCs w:val="20"/>
              </w:rPr>
            </w:pPr>
            <w:r w:rsidRPr="00B148B1">
              <w:rPr>
                <w:rFonts w:cs="Arial"/>
                <w:b/>
                <w:szCs w:val="20"/>
              </w:rPr>
              <w:t>[mio EUR]</w:t>
            </w:r>
          </w:p>
        </w:tc>
        <w:tc>
          <w:tcPr>
            <w:tcW w:w="1898" w:type="dxa"/>
            <w:vAlign w:val="center"/>
          </w:tcPr>
          <w:p w:rsidR="00D774EB" w:rsidRPr="00B148B1" w:rsidRDefault="00D774EB" w:rsidP="006A72BD">
            <w:pPr>
              <w:tabs>
                <w:tab w:val="left" w:pos="9600"/>
              </w:tabs>
              <w:spacing w:line="240" w:lineRule="auto"/>
              <w:jc w:val="center"/>
              <w:rPr>
                <w:rFonts w:cs="Arial"/>
                <w:b/>
                <w:szCs w:val="20"/>
              </w:rPr>
            </w:pPr>
            <w:r w:rsidRPr="00B148B1">
              <w:rPr>
                <w:rFonts w:cs="Arial"/>
                <w:b/>
                <w:szCs w:val="20"/>
              </w:rPr>
              <w:t>[mio EUR]</w:t>
            </w:r>
          </w:p>
        </w:tc>
      </w:tr>
      <w:tr w:rsidR="00D774EB" w:rsidRPr="00B148B1" w:rsidTr="00385BB8">
        <w:trPr>
          <w:cantSplit/>
          <w:trHeight w:val="340"/>
        </w:trPr>
        <w:tc>
          <w:tcPr>
            <w:tcW w:w="3510" w:type="dxa"/>
            <w:vAlign w:val="center"/>
          </w:tcPr>
          <w:p w:rsidR="00D774EB" w:rsidRPr="00B148B1" w:rsidRDefault="00D774EB" w:rsidP="006A72BD">
            <w:pPr>
              <w:tabs>
                <w:tab w:val="left" w:pos="9600"/>
              </w:tabs>
              <w:spacing w:line="240" w:lineRule="auto"/>
              <w:rPr>
                <w:rFonts w:cs="Arial"/>
                <w:i/>
                <w:szCs w:val="20"/>
              </w:rPr>
            </w:pPr>
            <w:r w:rsidRPr="00B148B1">
              <w:rPr>
                <w:rFonts w:cs="Arial"/>
                <w:i/>
                <w:szCs w:val="20"/>
              </w:rPr>
              <w:t>Osnovni program</w:t>
            </w:r>
          </w:p>
        </w:tc>
        <w:tc>
          <w:tcPr>
            <w:tcW w:w="1898" w:type="dxa"/>
            <w:vAlign w:val="center"/>
          </w:tcPr>
          <w:p w:rsidR="00D774EB" w:rsidRPr="00B148B1" w:rsidRDefault="00D774EB" w:rsidP="006A72BD">
            <w:pPr>
              <w:tabs>
                <w:tab w:val="left" w:pos="9600"/>
              </w:tabs>
              <w:spacing w:line="240" w:lineRule="auto"/>
              <w:jc w:val="center"/>
              <w:rPr>
                <w:rFonts w:cs="Arial"/>
                <w:i/>
                <w:szCs w:val="20"/>
              </w:rPr>
            </w:pPr>
            <w:r w:rsidRPr="00B148B1">
              <w:rPr>
                <w:rFonts w:cs="Arial"/>
                <w:i/>
                <w:szCs w:val="20"/>
              </w:rPr>
              <w:t>1.157,53</w:t>
            </w:r>
          </w:p>
        </w:tc>
        <w:tc>
          <w:tcPr>
            <w:tcW w:w="1898" w:type="dxa"/>
            <w:vAlign w:val="center"/>
          </w:tcPr>
          <w:p w:rsidR="00D774EB" w:rsidRPr="00B148B1" w:rsidRDefault="00D774EB" w:rsidP="006A72BD">
            <w:pPr>
              <w:tabs>
                <w:tab w:val="left" w:pos="9600"/>
              </w:tabs>
              <w:spacing w:line="240" w:lineRule="auto"/>
              <w:jc w:val="center"/>
              <w:rPr>
                <w:rFonts w:cs="Arial"/>
                <w:i/>
                <w:szCs w:val="20"/>
              </w:rPr>
            </w:pPr>
            <w:r w:rsidRPr="00B148B1">
              <w:rPr>
                <w:rFonts w:cs="Arial"/>
                <w:i/>
                <w:szCs w:val="20"/>
              </w:rPr>
              <w:t>444,55</w:t>
            </w:r>
          </w:p>
        </w:tc>
        <w:tc>
          <w:tcPr>
            <w:tcW w:w="1898" w:type="dxa"/>
            <w:vAlign w:val="center"/>
          </w:tcPr>
          <w:p w:rsidR="00D774EB" w:rsidRPr="00B148B1" w:rsidRDefault="00D774EB" w:rsidP="006A72BD">
            <w:pPr>
              <w:tabs>
                <w:tab w:val="left" w:pos="9600"/>
              </w:tabs>
              <w:spacing w:line="240" w:lineRule="auto"/>
              <w:jc w:val="center"/>
              <w:rPr>
                <w:rFonts w:cs="Arial"/>
                <w:i/>
                <w:szCs w:val="20"/>
              </w:rPr>
            </w:pPr>
            <w:r w:rsidRPr="00B148B1">
              <w:rPr>
                <w:rFonts w:cs="Arial"/>
                <w:i/>
                <w:szCs w:val="20"/>
              </w:rPr>
              <w:t>1.602,08</w:t>
            </w:r>
          </w:p>
        </w:tc>
      </w:tr>
      <w:tr w:rsidR="00D774EB" w:rsidRPr="00B148B1" w:rsidTr="00385BB8">
        <w:trPr>
          <w:cantSplit/>
          <w:trHeight w:val="340"/>
        </w:trPr>
        <w:tc>
          <w:tcPr>
            <w:tcW w:w="3510" w:type="dxa"/>
            <w:vAlign w:val="center"/>
          </w:tcPr>
          <w:p w:rsidR="00D774EB" w:rsidRPr="00B148B1" w:rsidRDefault="00D774EB" w:rsidP="006A72BD">
            <w:pPr>
              <w:spacing w:line="240" w:lineRule="auto"/>
              <w:jc w:val="right"/>
              <w:rPr>
                <w:rFonts w:cs="Arial"/>
                <w:color w:val="000000"/>
                <w:szCs w:val="20"/>
              </w:rPr>
            </w:pPr>
            <w:r w:rsidRPr="00B148B1">
              <w:rPr>
                <w:rFonts w:cs="Arial"/>
                <w:color w:val="000000"/>
                <w:szCs w:val="20"/>
              </w:rPr>
              <w:t>aglomeracije ≥ 2.000 PE</w:t>
            </w:r>
          </w:p>
        </w:tc>
        <w:tc>
          <w:tcPr>
            <w:tcW w:w="1898" w:type="dxa"/>
            <w:vAlign w:val="center"/>
          </w:tcPr>
          <w:p w:rsidR="00D774EB" w:rsidRPr="00B148B1" w:rsidRDefault="00D774EB" w:rsidP="006A72BD">
            <w:pPr>
              <w:tabs>
                <w:tab w:val="left" w:pos="9600"/>
              </w:tabs>
              <w:spacing w:line="240" w:lineRule="auto"/>
              <w:jc w:val="center"/>
              <w:rPr>
                <w:rFonts w:cs="Arial"/>
                <w:szCs w:val="20"/>
              </w:rPr>
            </w:pPr>
            <w:r w:rsidRPr="00B148B1">
              <w:rPr>
                <w:rFonts w:cs="Arial"/>
                <w:szCs w:val="20"/>
              </w:rPr>
              <w:t>539,92</w:t>
            </w:r>
          </w:p>
        </w:tc>
        <w:tc>
          <w:tcPr>
            <w:tcW w:w="1898" w:type="dxa"/>
            <w:vAlign w:val="center"/>
          </w:tcPr>
          <w:p w:rsidR="00D774EB" w:rsidRPr="00B148B1" w:rsidRDefault="00D774EB" w:rsidP="006A72BD">
            <w:pPr>
              <w:tabs>
                <w:tab w:val="left" w:pos="9600"/>
              </w:tabs>
              <w:spacing w:line="240" w:lineRule="auto"/>
              <w:jc w:val="center"/>
              <w:rPr>
                <w:rFonts w:cs="Arial"/>
                <w:szCs w:val="20"/>
              </w:rPr>
            </w:pPr>
            <w:r w:rsidRPr="00B148B1">
              <w:rPr>
                <w:rFonts w:cs="Arial"/>
                <w:szCs w:val="20"/>
              </w:rPr>
              <w:t>208,54</w:t>
            </w:r>
          </w:p>
        </w:tc>
        <w:tc>
          <w:tcPr>
            <w:tcW w:w="1898" w:type="dxa"/>
            <w:vAlign w:val="center"/>
          </w:tcPr>
          <w:p w:rsidR="00D774EB" w:rsidRPr="00B148B1" w:rsidRDefault="00D774EB" w:rsidP="006A72BD">
            <w:pPr>
              <w:tabs>
                <w:tab w:val="left" w:pos="9600"/>
              </w:tabs>
              <w:spacing w:line="240" w:lineRule="auto"/>
              <w:jc w:val="center"/>
              <w:rPr>
                <w:rFonts w:cs="Arial"/>
                <w:szCs w:val="20"/>
              </w:rPr>
            </w:pPr>
            <w:r w:rsidRPr="00B148B1">
              <w:rPr>
                <w:rFonts w:cs="Arial"/>
                <w:szCs w:val="20"/>
              </w:rPr>
              <w:t>748,46</w:t>
            </w:r>
          </w:p>
        </w:tc>
      </w:tr>
      <w:tr w:rsidR="00D774EB" w:rsidRPr="00B148B1" w:rsidTr="00385BB8">
        <w:trPr>
          <w:cantSplit/>
          <w:trHeight w:val="340"/>
        </w:trPr>
        <w:tc>
          <w:tcPr>
            <w:tcW w:w="3510" w:type="dxa"/>
            <w:vAlign w:val="center"/>
          </w:tcPr>
          <w:p w:rsidR="00D774EB" w:rsidRPr="00B148B1" w:rsidRDefault="00D774EB" w:rsidP="003D375A">
            <w:pPr>
              <w:spacing w:line="240" w:lineRule="auto"/>
              <w:jc w:val="right"/>
              <w:rPr>
                <w:rFonts w:cs="Arial"/>
                <w:color w:val="000000"/>
                <w:szCs w:val="20"/>
              </w:rPr>
            </w:pPr>
            <w:r w:rsidRPr="00B148B1">
              <w:rPr>
                <w:rFonts w:cs="Arial"/>
                <w:color w:val="000000"/>
                <w:szCs w:val="20"/>
              </w:rPr>
              <w:t xml:space="preserve">aglomeracije </w:t>
            </w:r>
            <w:r w:rsidR="003D375A" w:rsidRPr="00B148B1">
              <w:rPr>
                <w:rFonts w:cs="Arial"/>
                <w:color w:val="000000"/>
                <w:szCs w:val="20"/>
              </w:rPr>
              <w:t xml:space="preserve">od </w:t>
            </w:r>
            <w:r w:rsidRPr="00B148B1">
              <w:rPr>
                <w:rFonts w:cs="Arial"/>
                <w:color w:val="000000"/>
                <w:szCs w:val="20"/>
              </w:rPr>
              <w:t xml:space="preserve">50 </w:t>
            </w:r>
            <w:r w:rsidR="003D375A" w:rsidRPr="00B148B1">
              <w:rPr>
                <w:rFonts w:cs="Arial"/>
                <w:color w:val="000000"/>
                <w:szCs w:val="20"/>
              </w:rPr>
              <w:t>do</w:t>
            </w:r>
            <w:r w:rsidRPr="00B148B1">
              <w:rPr>
                <w:rFonts w:cs="Arial"/>
                <w:color w:val="000000"/>
                <w:szCs w:val="20"/>
              </w:rPr>
              <w:t xml:space="preserve"> 2.000 PE</w:t>
            </w:r>
          </w:p>
        </w:tc>
        <w:tc>
          <w:tcPr>
            <w:tcW w:w="1898" w:type="dxa"/>
            <w:vAlign w:val="center"/>
          </w:tcPr>
          <w:p w:rsidR="00D774EB" w:rsidRPr="00B148B1" w:rsidRDefault="00D774EB" w:rsidP="006A72BD">
            <w:pPr>
              <w:tabs>
                <w:tab w:val="left" w:pos="9600"/>
              </w:tabs>
              <w:spacing w:line="240" w:lineRule="auto"/>
              <w:jc w:val="center"/>
              <w:rPr>
                <w:rFonts w:cs="Arial"/>
                <w:szCs w:val="20"/>
              </w:rPr>
            </w:pPr>
            <w:r w:rsidRPr="00B148B1">
              <w:rPr>
                <w:rFonts w:cs="Arial"/>
                <w:szCs w:val="20"/>
              </w:rPr>
              <w:t>617,61</w:t>
            </w:r>
          </w:p>
        </w:tc>
        <w:tc>
          <w:tcPr>
            <w:tcW w:w="1898" w:type="dxa"/>
            <w:vAlign w:val="center"/>
          </w:tcPr>
          <w:p w:rsidR="00D774EB" w:rsidRPr="00B148B1" w:rsidRDefault="00D774EB" w:rsidP="006A72BD">
            <w:pPr>
              <w:tabs>
                <w:tab w:val="left" w:pos="9600"/>
              </w:tabs>
              <w:spacing w:line="240" w:lineRule="auto"/>
              <w:jc w:val="center"/>
              <w:rPr>
                <w:rFonts w:cs="Arial"/>
                <w:szCs w:val="20"/>
              </w:rPr>
            </w:pPr>
            <w:r w:rsidRPr="00B148B1">
              <w:rPr>
                <w:rFonts w:cs="Arial"/>
                <w:szCs w:val="20"/>
              </w:rPr>
              <w:t>236,01</w:t>
            </w:r>
          </w:p>
        </w:tc>
        <w:tc>
          <w:tcPr>
            <w:tcW w:w="1898" w:type="dxa"/>
            <w:vAlign w:val="center"/>
          </w:tcPr>
          <w:p w:rsidR="00D774EB" w:rsidRPr="00B148B1" w:rsidRDefault="00D774EB" w:rsidP="006A72BD">
            <w:pPr>
              <w:tabs>
                <w:tab w:val="left" w:pos="9600"/>
              </w:tabs>
              <w:spacing w:line="240" w:lineRule="auto"/>
              <w:jc w:val="center"/>
              <w:rPr>
                <w:rFonts w:cs="Arial"/>
                <w:szCs w:val="20"/>
              </w:rPr>
            </w:pPr>
            <w:r w:rsidRPr="00B148B1">
              <w:rPr>
                <w:rFonts w:cs="Arial"/>
                <w:szCs w:val="20"/>
              </w:rPr>
              <w:t>853,62</w:t>
            </w:r>
          </w:p>
        </w:tc>
      </w:tr>
      <w:tr w:rsidR="00D774EB" w:rsidRPr="00B148B1" w:rsidTr="00385BB8">
        <w:trPr>
          <w:cantSplit/>
          <w:trHeight w:val="340"/>
        </w:trPr>
        <w:tc>
          <w:tcPr>
            <w:tcW w:w="3510" w:type="dxa"/>
            <w:vAlign w:val="center"/>
          </w:tcPr>
          <w:p w:rsidR="00D774EB" w:rsidRPr="00B148B1" w:rsidRDefault="00D774EB" w:rsidP="006A72BD">
            <w:pPr>
              <w:tabs>
                <w:tab w:val="left" w:pos="9600"/>
              </w:tabs>
              <w:spacing w:line="240" w:lineRule="auto"/>
              <w:rPr>
                <w:rFonts w:cs="Arial"/>
                <w:i/>
                <w:szCs w:val="20"/>
              </w:rPr>
            </w:pPr>
            <w:r w:rsidRPr="00B148B1">
              <w:rPr>
                <w:rFonts w:cs="Arial"/>
                <w:i/>
                <w:szCs w:val="20"/>
              </w:rPr>
              <w:t>Dodatni program</w:t>
            </w:r>
          </w:p>
        </w:tc>
        <w:tc>
          <w:tcPr>
            <w:tcW w:w="1898" w:type="dxa"/>
            <w:vAlign w:val="center"/>
          </w:tcPr>
          <w:p w:rsidR="00D774EB" w:rsidRPr="00B148B1" w:rsidRDefault="00D774EB" w:rsidP="006A72BD">
            <w:pPr>
              <w:tabs>
                <w:tab w:val="left" w:pos="9600"/>
              </w:tabs>
              <w:spacing w:line="240" w:lineRule="auto"/>
              <w:jc w:val="center"/>
              <w:rPr>
                <w:rFonts w:cs="Arial"/>
                <w:i/>
                <w:szCs w:val="20"/>
              </w:rPr>
            </w:pPr>
            <w:r w:rsidRPr="00B148B1">
              <w:rPr>
                <w:rFonts w:cs="Arial"/>
                <w:i/>
                <w:szCs w:val="20"/>
              </w:rPr>
              <w:t>406,10</w:t>
            </w:r>
          </w:p>
        </w:tc>
        <w:tc>
          <w:tcPr>
            <w:tcW w:w="1898" w:type="dxa"/>
            <w:vAlign w:val="center"/>
          </w:tcPr>
          <w:p w:rsidR="00D774EB" w:rsidRPr="00B148B1" w:rsidRDefault="00D774EB" w:rsidP="006A72BD">
            <w:pPr>
              <w:tabs>
                <w:tab w:val="left" w:pos="9600"/>
              </w:tabs>
              <w:spacing w:line="240" w:lineRule="auto"/>
              <w:jc w:val="center"/>
              <w:rPr>
                <w:rFonts w:cs="Arial"/>
                <w:i/>
                <w:szCs w:val="20"/>
              </w:rPr>
            </w:pPr>
            <w:r w:rsidRPr="00B148B1">
              <w:rPr>
                <w:rFonts w:cs="Arial"/>
                <w:i/>
                <w:szCs w:val="20"/>
              </w:rPr>
              <w:t>146,94</w:t>
            </w:r>
          </w:p>
        </w:tc>
        <w:tc>
          <w:tcPr>
            <w:tcW w:w="1898" w:type="dxa"/>
            <w:vAlign w:val="center"/>
          </w:tcPr>
          <w:p w:rsidR="00D774EB" w:rsidRPr="00B148B1" w:rsidRDefault="00D774EB" w:rsidP="006A72BD">
            <w:pPr>
              <w:tabs>
                <w:tab w:val="left" w:pos="9600"/>
              </w:tabs>
              <w:spacing w:line="240" w:lineRule="auto"/>
              <w:jc w:val="center"/>
              <w:rPr>
                <w:rFonts w:cs="Arial"/>
                <w:i/>
                <w:szCs w:val="20"/>
              </w:rPr>
            </w:pPr>
            <w:r w:rsidRPr="00B148B1">
              <w:rPr>
                <w:rFonts w:cs="Arial"/>
                <w:i/>
                <w:szCs w:val="20"/>
              </w:rPr>
              <w:t>553,04</w:t>
            </w:r>
          </w:p>
        </w:tc>
      </w:tr>
      <w:tr w:rsidR="00D774EB" w:rsidRPr="00B148B1" w:rsidTr="00385BB8">
        <w:trPr>
          <w:cantSplit/>
          <w:trHeight w:val="340"/>
        </w:trPr>
        <w:tc>
          <w:tcPr>
            <w:tcW w:w="3510" w:type="dxa"/>
            <w:vAlign w:val="center"/>
          </w:tcPr>
          <w:p w:rsidR="00D774EB" w:rsidRPr="00B148B1" w:rsidRDefault="00D774EB" w:rsidP="006A72BD">
            <w:pPr>
              <w:tabs>
                <w:tab w:val="left" w:pos="9600"/>
              </w:tabs>
              <w:spacing w:line="240" w:lineRule="auto"/>
              <w:rPr>
                <w:rFonts w:cs="Arial"/>
                <w:b/>
                <w:szCs w:val="20"/>
              </w:rPr>
            </w:pPr>
            <w:r w:rsidRPr="00B148B1">
              <w:rPr>
                <w:rFonts w:cs="Arial"/>
                <w:b/>
                <w:szCs w:val="20"/>
              </w:rPr>
              <w:t>Skupaj</w:t>
            </w:r>
          </w:p>
        </w:tc>
        <w:tc>
          <w:tcPr>
            <w:tcW w:w="1898" w:type="dxa"/>
            <w:vAlign w:val="center"/>
          </w:tcPr>
          <w:p w:rsidR="00D774EB" w:rsidRPr="00B148B1" w:rsidRDefault="00D774EB" w:rsidP="006A72BD">
            <w:pPr>
              <w:tabs>
                <w:tab w:val="left" w:pos="9600"/>
              </w:tabs>
              <w:spacing w:line="240" w:lineRule="auto"/>
              <w:jc w:val="center"/>
              <w:rPr>
                <w:rFonts w:cs="Arial"/>
                <w:b/>
                <w:szCs w:val="20"/>
              </w:rPr>
            </w:pPr>
            <w:r w:rsidRPr="00B148B1">
              <w:rPr>
                <w:rFonts w:cs="Arial"/>
                <w:b/>
                <w:szCs w:val="20"/>
              </w:rPr>
              <w:t>1.563,63</w:t>
            </w:r>
          </w:p>
        </w:tc>
        <w:tc>
          <w:tcPr>
            <w:tcW w:w="1898" w:type="dxa"/>
            <w:vAlign w:val="center"/>
          </w:tcPr>
          <w:p w:rsidR="00D774EB" w:rsidRPr="00B148B1" w:rsidRDefault="00D774EB" w:rsidP="006A72BD">
            <w:pPr>
              <w:tabs>
                <w:tab w:val="left" w:pos="9600"/>
              </w:tabs>
              <w:spacing w:line="240" w:lineRule="auto"/>
              <w:jc w:val="center"/>
              <w:rPr>
                <w:rFonts w:cs="Arial"/>
                <w:b/>
                <w:szCs w:val="20"/>
              </w:rPr>
            </w:pPr>
            <w:r w:rsidRPr="00B148B1">
              <w:rPr>
                <w:rFonts w:cs="Arial"/>
                <w:b/>
                <w:szCs w:val="20"/>
              </w:rPr>
              <w:t>591,49</w:t>
            </w:r>
          </w:p>
        </w:tc>
        <w:tc>
          <w:tcPr>
            <w:tcW w:w="1898" w:type="dxa"/>
            <w:vAlign w:val="center"/>
          </w:tcPr>
          <w:p w:rsidR="00D774EB" w:rsidRPr="00B148B1" w:rsidRDefault="00D774EB" w:rsidP="006A72BD">
            <w:pPr>
              <w:tabs>
                <w:tab w:val="left" w:pos="9600"/>
              </w:tabs>
              <w:spacing w:line="240" w:lineRule="auto"/>
              <w:jc w:val="center"/>
              <w:rPr>
                <w:rFonts w:cs="Arial"/>
                <w:b/>
                <w:szCs w:val="20"/>
              </w:rPr>
            </w:pPr>
            <w:r w:rsidRPr="00B148B1">
              <w:rPr>
                <w:rFonts w:cs="Arial"/>
                <w:b/>
                <w:szCs w:val="20"/>
              </w:rPr>
              <w:t>2.155,12</w:t>
            </w:r>
          </w:p>
        </w:tc>
      </w:tr>
    </w:tbl>
    <w:p w:rsidR="00D774EB" w:rsidRPr="00B148B1" w:rsidRDefault="00D774EB" w:rsidP="00385BB8">
      <w:pPr>
        <w:tabs>
          <w:tab w:val="left" w:leader="dot" w:pos="993"/>
          <w:tab w:val="left" w:pos="9600"/>
        </w:tabs>
        <w:spacing w:before="120" w:line="280" w:lineRule="atLeast"/>
        <w:ind w:left="993" w:hanging="993"/>
        <w:rPr>
          <w:rFonts w:cs="Arial"/>
          <w:sz w:val="18"/>
          <w:szCs w:val="18"/>
        </w:rPr>
      </w:pPr>
      <w:r w:rsidRPr="00B148B1">
        <w:rPr>
          <w:rFonts w:cs="Arial"/>
          <w:sz w:val="18"/>
          <w:szCs w:val="18"/>
        </w:rPr>
        <w:t>JKO</w:t>
      </w:r>
      <w:r w:rsidR="003D375A" w:rsidRPr="00B148B1">
        <w:rPr>
          <w:rFonts w:cs="Arial"/>
          <w:sz w:val="18"/>
          <w:szCs w:val="18"/>
        </w:rPr>
        <w:t xml:space="preserve"> </w:t>
      </w:r>
      <w:r w:rsidR="003D375A" w:rsidRPr="00B148B1">
        <w:rPr>
          <w:rFonts w:cs="Arial"/>
          <w:color w:val="202122"/>
          <w:sz w:val="18"/>
          <w:szCs w:val="18"/>
          <w:shd w:val="clear" w:color="auto" w:fill="FFFFFF"/>
        </w:rPr>
        <w:t>–</w:t>
      </w:r>
      <w:r w:rsidR="00C5768E" w:rsidRPr="00B148B1">
        <w:rPr>
          <w:rFonts w:cs="Arial"/>
          <w:color w:val="202122"/>
          <w:sz w:val="18"/>
          <w:szCs w:val="18"/>
          <w:shd w:val="clear" w:color="auto" w:fill="FFFFFF"/>
        </w:rPr>
        <w:t xml:space="preserve"> </w:t>
      </w:r>
      <w:r w:rsidRPr="00B148B1">
        <w:rPr>
          <w:rFonts w:cs="Arial"/>
          <w:sz w:val="18"/>
          <w:szCs w:val="18"/>
        </w:rPr>
        <w:t>javno kanalizacijsko omrežje;</w:t>
      </w:r>
    </w:p>
    <w:p w:rsidR="00D774EB" w:rsidRPr="00B148B1" w:rsidRDefault="00D774EB" w:rsidP="00385BB8">
      <w:pPr>
        <w:tabs>
          <w:tab w:val="left" w:leader="dot" w:pos="993"/>
          <w:tab w:val="left" w:pos="9600"/>
        </w:tabs>
        <w:spacing w:before="120" w:line="280" w:lineRule="atLeast"/>
        <w:ind w:left="993" w:hanging="993"/>
        <w:rPr>
          <w:rFonts w:cs="Arial"/>
          <w:szCs w:val="20"/>
        </w:rPr>
      </w:pPr>
      <w:r w:rsidRPr="00B148B1">
        <w:rPr>
          <w:rFonts w:cs="Arial"/>
          <w:sz w:val="18"/>
          <w:szCs w:val="18"/>
        </w:rPr>
        <w:t>ČN</w:t>
      </w:r>
      <w:r w:rsidR="003D375A" w:rsidRPr="00B148B1">
        <w:rPr>
          <w:rFonts w:cs="Arial"/>
          <w:sz w:val="18"/>
          <w:szCs w:val="18"/>
        </w:rPr>
        <w:t xml:space="preserve"> </w:t>
      </w:r>
      <w:r w:rsidR="003D375A" w:rsidRPr="00B148B1">
        <w:rPr>
          <w:rFonts w:cs="Arial"/>
          <w:color w:val="202122"/>
          <w:sz w:val="18"/>
          <w:szCs w:val="18"/>
          <w:shd w:val="clear" w:color="auto" w:fill="FFFFFF"/>
        </w:rPr>
        <w:t xml:space="preserve">– </w:t>
      </w:r>
      <w:r w:rsidRPr="00B148B1">
        <w:rPr>
          <w:rFonts w:cs="Arial"/>
          <w:sz w:val="18"/>
          <w:szCs w:val="18"/>
        </w:rPr>
        <w:t xml:space="preserve">čistilna naprava, namenjena </w:t>
      </w:r>
      <w:r w:rsidR="005F0303" w:rsidRPr="00B148B1">
        <w:rPr>
          <w:rFonts w:cs="Arial"/>
          <w:sz w:val="18"/>
          <w:szCs w:val="18"/>
        </w:rPr>
        <w:t xml:space="preserve">za </w:t>
      </w:r>
      <w:r w:rsidRPr="00B148B1">
        <w:rPr>
          <w:rFonts w:cs="Arial"/>
          <w:sz w:val="18"/>
          <w:szCs w:val="18"/>
        </w:rPr>
        <w:t>izvajanj</w:t>
      </w:r>
      <w:r w:rsidR="005F0303" w:rsidRPr="00B148B1">
        <w:rPr>
          <w:rFonts w:cs="Arial"/>
          <w:sz w:val="18"/>
          <w:szCs w:val="18"/>
        </w:rPr>
        <w:t>e</w:t>
      </w:r>
      <w:r w:rsidRPr="00B148B1">
        <w:rPr>
          <w:rFonts w:cs="Arial"/>
          <w:sz w:val="18"/>
          <w:szCs w:val="18"/>
        </w:rPr>
        <w:t xml:space="preserve"> javne službe</w:t>
      </w:r>
      <w:r w:rsidRPr="00B148B1">
        <w:rPr>
          <w:rFonts w:cs="Arial"/>
          <w:szCs w:val="20"/>
        </w:rPr>
        <w:t>.</w:t>
      </w:r>
    </w:p>
    <w:p w:rsidR="00D774EB" w:rsidRPr="00B148B1" w:rsidRDefault="00D774EB" w:rsidP="00385BB8">
      <w:pPr>
        <w:pStyle w:val="Naslov3"/>
      </w:pPr>
      <w:bookmarkStart w:id="53" w:name="_Toc50628066"/>
      <w:r w:rsidRPr="00B148B1">
        <w:lastRenderedPageBreak/>
        <w:t>Ocena izvajanja predhodnega operativnega programa</w:t>
      </w:r>
      <w:bookmarkEnd w:id="53"/>
    </w:p>
    <w:p w:rsidR="00D774EB" w:rsidRPr="00B148B1" w:rsidRDefault="00D774EB" w:rsidP="00385BB8">
      <w:pPr>
        <w:tabs>
          <w:tab w:val="left" w:pos="9600"/>
        </w:tabs>
        <w:spacing w:before="120" w:line="280" w:lineRule="atLeast"/>
        <w:rPr>
          <w:rFonts w:cs="Arial"/>
          <w:szCs w:val="20"/>
        </w:rPr>
      </w:pPr>
      <w:r w:rsidRPr="00B148B1">
        <w:rPr>
          <w:rFonts w:cs="Arial"/>
          <w:szCs w:val="20"/>
        </w:rPr>
        <w:t>Ocena izvajanja predhodnega operativnega programa po</w:t>
      </w:r>
      <w:r w:rsidR="00E7746F" w:rsidRPr="00B148B1">
        <w:rPr>
          <w:rFonts w:cs="Arial"/>
          <w:szCs w:val="20"/>
        </w:rPr>
        <w:t xml:space="preserve"> posameznih </w:t>
      </w:r>
      <w:r w:rsidRPr="00B148B1">
        <w:rPr>
          <w:rFonts w:cs="Arial"/>
          <w:szCs w:val="20"/>
        </w:rPr>
        <w:t>aglomeracijah v obdobju od njegovega spreje</w:t>
      </w:r>
      <w:r w:rsidR="003D375A" w:rsidRPr="00B148B1">
        <w:rPr>
          <w:rFonts w:cs="Arial"/>
          <w:szCs w:val="20"/>
        </w:rPr>
        <w:t>tj</w:t>
      </w:r>
      <w:r w:rsidRPr="00B148B1">
        <w:rPr>
          <w:rFonts w:cs="Arial"/>
          <w:szCs w:val="20"/>
        </w:rPr>
        <w:t>a, izhaja iz podatkov iz letnih poročil o izvajanju javne službe, ki so jih izvajalci ja</w:t>
      </w:r>
      <w:r w:rsidR="00E7746F" w:rsidRPr="00B148B1">
        <w:rPr>
          <w:rFonts w:cs="Arial"/>
          <w:szCs w:val="20"/>
        </w:rPr>
        <w:t>vnih služb v obravna</w:t>
      </w:r>
      <w:r w:rsidR="00446B6F" w:rsidRPr="00B148B1">
        <w:rPr>
          <w:rFonts w:cs="Arial"/>
          <w:szCs w:val="20"/>
        </w:rPr>
        <w:t>vnem obdobju posredovali</w:t>
      </w:r>
      <w:r w:rsidRPr="00B148B1">
        <w:rPr>
          <w:rFonts w:cs="Arial"/>
          <w:szCs w:val="20"/>
        </w:rPr>
        <w:t xml:space="preserve"> po IJSVO. </w:t>
      </w:r>
    </w:p>
    <w:p w:rsidR="0067569A" w:rsidRPr="00B148B1" w:rsidRDefault="001D5F60" w:rsidP="001D5F60">
      <w:pPr>
        <w:tabs>
          <w:tab w:val="left" w:pos="9600"/>
        </w:tabs>
        <w:spacing w:before="120" w:line="280" w:lineRule="atLeast"/>
        <w:rPr>
          <w:rFonts w:cs="Arial"/>
          <w:szCs w:val="20"/>
        </w:rPr>
      </w:pPr>
      <w:r w:rsidRPr="00B148B1">
        <w:rPr>
          <w:rFonts w:cs="Arial"/>
          <w:szCs w:val="20"/>
        </w:rPr>
        <w:t xml:space="preserve">Podatki o načinu opremljenosti objektov na območju </w:t>
      </w:r>
      <w:r w:rsidR="002434DF" w:rsidRPr="00B148B1">
        <w:rPr>
          <w:rFonts w:cs="Arial"/>
          <w:szCs w:val="20"/>
        </w:rPr>
        <w:t xml:space="preserve">v aglomeracijah </w:t>
      </w:r>
      <w:r w:rsidRPr="00B148B1">
        <w:rPr>
          <w:rFonts w:cs="Arial"/>
          <w:szCs w:val="20"/>
        </w:rPr>
        <w:t xml:space="preserve">in zunaj meja aglomeracij so sestavni del IJSVO, in sicer morajo izvajalci javne službe za vsak posamezen objekt na svojem območju, torej na območju, na katerem izvajajo javno službo (območju izvajalca javne službe), poročati o </w:t>
      </w:r>
      <w:r w:rsidR="002434DF" w:rsidRPr="00B148B1">
        <w:rPr>
          <w:rFonts w:cs="Arial"/>
          <w:szCs w:val="20"/>
        </w:rPr>
        <w:t xml:space="preserve">načinu ureditve </w:t>
      </w:r>
      <w:r w:rsidRPr="00B148B1">
        <w:rPr>
          <w:rFonts w:cs="Arial"/>
          <w:szCs w:val="20"/>
        </w:rPr>
        <w:t>odvajanja in čiščenja komunalne odpadne vode. Poročati morajo na objekt natančno (MID EHIŠ), in sicer zlasti naslednje podatke:</w:t>
      </w:r>
    </w:p>
    <w:p w:rsidR="001D5F60" w:rsidRPr="00B148B1" w:rsidRDefault="001D5F60" w:rsidP="004C2581">
      <w:pPr>
        <w:numPr>
          <w:ilvl w:val="0"/>
          <w:numId w:val="8"/>
        </w:numPr>
        <w:tabs>
          <w:tab w:val="left" w:pos="9600"/>
        </w:tabs>
        <w:spacing w:before="120" w:line="240" w:lineRule="auto"/>
        <w:rPr>
          <w:rFonts w:cs="Arial"/>
          <w:szCs w:val="20"/>
        </w:rPr>
      </w:pPr>
      <w:r w:rsidRPr="00B148B1">
        <w:rPr>
          <w:rFonts w:cs="Arial"/>
          <w:szCs w:val="20"/>
        </w:rPr>
        <w:t xml:space="preserve">lokacijo objekta, opredeljeno s koordinatami X in Y v državnem koordinatnem sistemu; </w:t>
      </w:r>
    </w:p>
    <w:p w:rsidR="001D5F60" w:rsidRPr="00B148B1" w:rsidRDefault="001D5F60" w:rsidP="004C2581">
      <w:pPr>
        <w:numPr>
          <w:ilvl w:val="0"/>
          <w:numId w:val="8"/>
        </w:numPr>
        <w:tabs>
          <w:tab w:val="left" w:pos="9600"/>
        </w:tabs>
        <w:spacing w:before="120" w:line="240" w:lineRule="auto"/>
        <w:rPr>
          <w:rFonts w:cs="Arial"/>
          <w:szCs w:val="20"/>
        </w:rPr>
      </w:pPr>
      <w:r w:rsidRPr="00B148B1">
        <w:rPr>
          <w:rFonts w:cs="Arial"/>
          <w:szCs w:val="20"/>
        </w:rPr>
        <w:t>način izvajanja javne službe, ki je lahko:</w:t>
      </w:r>
    </w:p>
    <w:p w:rsidR="001D5F60" w:rsidRPr="00B148B1" w:rsidRDefault="001D5F60" w:rsidP="004C2581">
      <w:pPr>
        <w:numPr>
          <w:ilvl w:val="0"/>
          <w:numId w:val="6"/>
        </w:numPr>
        <w:tabs>
          <w:tab w:val="left" w:pos="9600"/>
        </w:tabs>
        <w:spacing w:before="120" w:line="280" w:lineRule="atLeast"/>
        <w:rPr>
          <w:rFonts w:cs="Arial"/>
          <w:szCs w:val="20"/>
        </w:rPr>
      </w:pPr>
      <w:r w:rsidRPr="00B148B1">
        <w:rPr>
          <w:rFonts w:cs="Arial"/>
          <w:szCs w:val="20"/>
        </w:rPr>
        <w:t>KANAL, kar pomeni, da je objekt priključen na javno kanalizacijsko omrežje (JKO),</w:t>
      </w:r>
    </w:p>
    <w:p w:rsidR="001D5F60" w:rsidRPr="00B148B1" w:rsidRDefault="001D5F60" w:rsidP="004C2581">
      <w:pPr>
        <w:numPr>
          <w:ilvl w:val="0"/>
          <w:numId w:val="6"/>
        </w:numPr>
        <w:tabs>
          <w:tab w:val="left" w:pos="9600"/>
        </w:tabs>
        <w:spacing w:before="120" w:line="280" w:lineRule="atLeast"/>
        <w:rPr>
          <w:rFonts w:cs="Arial"/>
          <w:szCs w:val="20"/>
        </w:rPr>
      </w:pPr>
      <w:r w:rsidRPr="00B148B1">
        <w:rPr>
          <w:rFonts w:cs="Arial"/>
          <w:szCs w:val="20"/>
        </w:rPr>
        <w:t>GREZ_N, kar pomeni, da je objekt opremljen z nepretočno greznico,</w:t>
      </w:r>
    </w:p>
    <w:p w:rsidR="001D5F60" w:rsidRPr="00B148B1" w:rsidRDefault="001D5F60" w:rsidP="004C2581">
      <w:pPr>
        <w:numPr>
          <w:ilvl w:val="0"/>
          <w:numId w:val="6"/>
        </w:numPr>
        <w:tabs>
          <w:tab w:val="left" w:pos="9600"/>
        </w:tabs>
        <w:spacing w:before="120" w:line="280" w:lineRule="atLeast"/>
        <w:rPr>
          <w:rFonts w:cs="Arial"/>
          <w:szCs w:val="20"/>
        </w:rPr>
      </w:pPr>
      <w:r w:rsidRPr="00B148B1">
        <w:rPr>
          <w:rFonts w:cs="Arial"/>
          <w:szCs w:val="20"/>
        </w:rPr>
        <w:t>GREZ_P, kar pomeni, da je objekt opremljen z obstoječo pretočno greznico,</w:t>
      </w:r>
    </w:p>
    <w:p w:rsidR="001D5F60" w:rsidRPr="00B148B1" w:rsidRDefault="001D5F60" w:rsidP="004C2581">
      <w:pPr>
        <w:numPr>
          <w:ilvl w:val="0"/>
          <w:numId w:val="6"/>
        </w:numPr>
        <w:tabs>
          <w:tab w:val="left" w:pos="9600"/>
        </w:tabs>
        <w:spacing w:before="120" w:line="280" w:lineRule="atLeast"/>
        <w:rPr>
          <w:rFonts w:cs="Arial"/>
          <w:szCs w:val="20"/>
        </w:rPr>
      </w:pPr>
      <w:r w:rsidRPr="00B148B1">
        <w:rPr>
          <w:rFonts w:cs="Arial"/>
          <w:szCs w:val="20"/>
        </w:rPr>
        <w:t>IZPUST, kar pomeni, da gre za neposredni izpust komunalne odpadne vode v vode,</w:t>
      </w:r>
    </w:p>
    <w:p w:rsidR="001D5F60" w:rsidRPr="00B148B1" w:rsidRDefault="001D5F60" w:rsidP="004C2581">
      <w:pPr>
        <w:numPr>
          <w:ilvl w:val="0"/>
          <w:numId w:val="6"/>
        </w:numPr>
        <w:tabs>
          <w:tab w:val="left" w:pos="9600"/>
        </w:tabs>
        <w:spacing w:before="120" w:line="280" w:lineRule="atLeast"/>
        <w:rPr>
          <w:rFonts w:cs="Arial"/>
          <w:szCs w:val="20"/>
        </w:rPr>
      </w:pPr>
      <w:r w:rsidRPr="00B148B1">
        <w:rPr>
          <w:rFonts w:cs="Arial"/>
          <w:szCs w:val="20"/>
        </w:rPr>
        <w:t>MKČN, kar pomeni, da je objekt opremljen z malo komunalno čistilno napravo, ki ni del javne kanalizacije,</w:t>
      </w:r>
    </w:p>
    <w:p w:rsidR="001D5F60" w:rsidRPr="00B148B1" w:rsidRDefault="001D5F60" w:rsidP="004C2581">
      <w:pPr>
        <w:numPr>
          <w:ilvl w:val="0"/>
          <w:numId w:val="6"/>
        </w:numPr>
        <w:tabs>
          <w:tab w:val="left" w:pos="9600"/>
        </w:tabs>
        <w:spacing w:before="120" w:line="280" w:lineRule="atLeast"/>
        <w:rPr>
          <w:rFonts w:cs="Arial"/>
          <w:szCs w:val="20"/>
        </w:rPr>
      </w:pPr>
      <w:r w:rsidRPr="00B148B1">
        <w:rPr>
          <w:rFonts w:cs="Arial"/>
          <w:szCs w:val="20"/>
        </w:rPr>
        <w:t>NEZNAN, kar pomeni, da način ravnanja s komunalno odpadno vodo iz stavbe ni znan;</w:t>
      </w:r>
    </w:p>
    <w:p w:rsidR="001D5F60" w:rsidRPr="00B148B1" w:rsidRDefault="001D5F60" w:rsidP="004C2581">
      <w:pPr>
        <w:numPr>
          <w:ilvl w:val="0"/>
          <w:numId w:val="8"/>
        </w:numPr>
        <w:tabs>
          <w:tab w:val="left" w:pos="9600"/>
        </w:tabs>
        <w:spacing w:before="120" w:line="240" w:lineRule="auto"/>
        <w:rPr>
          <w:rFonts w:cs="Arial"/>
          <w:szCs w:val="20"/>
        </w:rPr>
      </w:pPr>
      <w:r w:rsidRPr="00B148B1">
        <w:rPr>
          <w:rFonts w:cs="Arial"/>
          <w:szCs w:val="20"/>
        </w:rPr>
        <w:t>predviden način izvajanja javne službe, pri čemer so možne oblike KANAL, GREZ_N, MKČN,</w:t>
      </w:r>
    </w:p>
    <w:p w:rsidR="001D5F60" w:rsidRPr="00B148B1" w:rsidRDefault="001D5F60" w:rsidP="004C2581">
      <w:pPr>
        <w:numPr>
          <w:ilvl w:val="0"/>
          <w:numId w:val="8"/>
        </w:numPr>
        <w:tabs>
          <w:tab w:val="left" w:pos="9600"/>
        </w:tabs>
        <w:spacing w:before="120" w:line="240" w:lineRule="auto"/>
        <w:rPr>
          <w:rFonts w:cs="Arial"/>
          <w:szCs w:val="20"/>
        </w:rPr>
      </w:pPr>
      <w:r w:rsidRPr="00B148B1">
        <w:rPr>
          <w:rFonts w:cs="Arial"/>
          <w:szCs w:val="20"/>
        </w:rPr>
        <w:t>predviden datum dejanske opremljenosti objekta,</w:t>
      </w:r>
    </w:p>
    <w:p w:rsidR="001D5F60" w:rsidRPr="00B148B1" w:rsidRDefault="001D5F60" w:rsidP="004C2581">
      <w:pPr>
        <w:numPr>
          <w:ilvl w:val="0"/>
          <w:numId w:val="8"/>
        </w:numPr>
        <w:tabs>
          <w:tab w:val="left" w:pos="9600"/>
        </w:tabs>
        <w:spacing w:before="120" w:line="240" w:lineRule="auto"/>
        <w:rPr>
          <w:rFonts w:cs="Arial"/>
          <w:szCs w:val="20"/>
        </w:rPr>
      </w:pPr>
      <w:r w:rsidRPr="00B148B1">
        <w:rPr>
          <w:rFonts w:cs="Arial"/>
          <w:szCs w:val="20"/>
        </w:rPr>
        <w:t>identifikacijska številka aglomeracije, v kateri se nahaja objekt, pri čemer se, če se objekt ne nahaja v aglomeraciji, vnese oznaka »-99«.</w:t>
      </w:r>
    </w:p>
    <w:p w:rsidR="001D5F60" w:rsidRPr="00B148B1" w:rsidRDefault="00210BD5" w:rsidP="00385BB8">
      <w:pPr>
        <w:tabs>
          <w:tab w:val="left" w:pos="9600"/>
        </w:tabs>
        <w:spacing w:before="120" w:line="280" w:lineRule="atLeast"/>
        <w:rPr>
          <w:rFonts w:cs="Arial"/>
          <w:szCs w:val="20"/>
        </w:rPr>
      </w:pPr>
      <w:r w:rsidRPr="00B148B1">
        <w:rPr>
          <w:rFonts w:cs="Arial"/>
          <w:szCs w:val="20"/>
        </w:rPr>
        <w:t>Pri izračunu stopnje priključenosti na javno kanalizacijsko omrežje in na komunalno ali skupno čistilno napravo so bili uporabljeni podatki iz IJSVO na referenčni datum 31. december 2018.</w:t>
      </w:r>
    </w:p>
    <w:p w:rsidR="00D774EB" w:rsidRDefault="00D774EB" w:rsidP="00385BB8">
      <w:pPr>
        <w:tabs>
          <w:tab w:val="left" w:pos="9600"/>
        </w:tabs>
        <w:spacing w:before="120" w:line="280" w:lineRule="atLeast"/>
        <w:rPr>
          <w:rFonts w:cs="Arial"/>
          <w:szCs w:val="20"/>
        </w:rPr>
      </w:pPr>
      <w:r w:rsidRPr="00B148B1">
        <w:rPr>
          <w:rFonts w:cs="Arial"/>
          <w:szCs w:val="20"/>
        </w:rPr>
        <w:t xml:space="preserve">Napredek v stopnji priključenosti na javno kanalizacijo po velikostnih razredih aglomeracij, ločeno za stopnjo priključenosti na javno kanalizacijsko omrežje </w:t>
      </w:r>
      <w:r w:rsidR="00DA3E33" w:rsidRPr="00B148B1">
        <w:rPr>
          <w:rFonts w:cs="Arial"/>
          <w:szCs w:val="20"/>
        </w:rPr>
        <w:t xml:space="preserve">in </w:t>
      </w:r>
      <w:proofErr w:type="spellStart"/>
      <w:r w:rsidR="00DA3E33" w:rsidRPr="00B148B1">
        <w:rPr>
          <w:rFonts w:cs="Arial"/>
          <w:szCs w:val="20"/>
        </w:rPr>
        <w:t>priključenost</w:t>
      </w:r>
      <w:proofErr w:type="spellEnd"/>
      <w:r w:rsidR="00DA3E33" w:rsidRPr="00B148B1">
        <w:rPr>
          <w:rFonts w:cs="Arial"/>
          <w:szCs w:val="20"/>
        </w:rPr>
        <w:t xml:space="preserve"> na</w:t>
      </w:r>
      <w:r w:rsidRPr="00B148B1">
        <w:rPr>
          <w:rFonts w:cs="Arial"/>
          <w:szCs w:val="20"/>
        </w:rPr>
        <w:t xml:space="preserve"> komunalno ali skupno čistilno napravo, namenjeno </w:t>
      </w:r>
      <w:r w:rsidR="003D375A" w:rsidRPr="00B148B1">
        <w:rPr>
          <w:rFonts w:cs="Arial"/>
          <w:szCs w:val="20"/>
        </w:rPr>
        <w:t xml:space="preserve">za </w:t>
      </w:r>
      <w:r w:rsidRPr="00B148B1">
        <w:rPr>
          <w:rFonts w:cs="Arial"/>
          <w:szCs w:val="20"/>
        </w:rPr>
        <w:t>izvajanj</w:t>
      </w:r>
      <w:r w:rsidR="003D375A" w:rsidRPr="00B148B1">
        <w:rPr>
          <w:rFonts w:cs="Arial"/>
          <w:szCs w:val="20"/>
        </w:rPr>
        <w:t>e</w:t>
      </w:r>
      <w:r w:rsidRPr="00B148B1">
        <w:rPr>
          <w:rFonts w:cs="Arial"/>
          <w:szCs w:val="20"/>
        </w:rPr>
        <w:t xml:space="preserve"> javne službe, je prikazan v preglednici (</w:t>
      </w:r>
      <w:r w:rsidRPr="00B148B1">
        <w:rPr>
          <w:rFonts w:cs="Arial"/>
          <w:szCs w:val="20"/>
        </w:rPr>
        <w:fldChar w:fldCharType="begin"/>
      </w:r>
      <w:r w:rsidRPr="00B148B1">
        <w:rPr>
          <w:rFonts w:cs="Arial"/>
          <w:szCs w:val="20"/>
        </w:rPr>
        <w:instrText xml:space="preserve"> REF _Ref446337507 \h </w:instrText>
      </w:r>
      <w:r w:rsidR="00E7746F" w:rsidRPr="00B148B1">
        <w:rPr>
          <w:rFonts w:cs="Arial"/>
          <w:szCs w:val="20"/>
        </w:rPr>
        <w:instrText xml:space="preserve"> \* MERGEFORMAT </w:instrText>
      </w:r>
      <w:r w:rsidRPr="00B148B1">
        <w:rPr>
          <w:rFonts w:cs="Arial"/>
          <w:szCs w:val="20"/>
        </w:rPr>
      </w:r>
      <w:r w:rsidRPr="00B148B1">
        <w:rPr>
          <w:rFonts w:cs="Arial"/>
          <w:szCs w:val="20"/>
        </w:rPr>
        <w:fldChar w:fldCharType="separate"/>
      </w:r>
      <w:r w:rsidR="00E92793" w:rsidRPr="00B148B1">
        <w:rPr>
          <w:rFonts w:cs="Arial"/>
          <w:szCs w:val="20"/>
        </w:rPr>
        <w:t xml:space="preserve">Preglednica </w:t>
      </w:r>
      <w:r w:rsidR="00E92793">
        <w:rPr>
          <w:rFonts w:cs="Arial"/>
          <w:szCs w:val="20"/>
        </w:rPr>
        <w:t>3</w:t>
      </w:r>
      <w:r w:rsidRPr="00B148B1">
        <w:rPr>
          <w:rFonts w:cs="Arial"/>
          <w:szCs w:val="20"/>
        </w:rPr>
        <w:fldChar w:fldCharType="end"/>
      </w:r>
      <w:r w:rsidRPr="00B148B1">
        <w:rPr>
          <w:rFonts w:cs="Arial"/>
          <w:szCs w:val="20"/>
        </w:rPr>
        <w:t>).</w:t>
      </w:r>
    </w:p>
    <w:p w:rsidR="00D774EB" w:rsidRPr="00B148B1" w:rsidRDefault="00D774EB" w:rsidP="00385BB8">
      <w:pPr>
        <w:tabs>
          <w:tab w:val="left" w:pos="851"/>
          <w:tab w:val="left" w:pos="1418"/>
          <w:tab w:val="left" w:pos="9600"/>
        </w:tabs>
        <w:spacing w:before="120" w:line="280" w:lineRule="atLeast"/>
        <w:rPr>
          <w:rFonts w:cs="Arial"/>
          <w:szCs w:val="20"/>
        </w:rPr>
      </w:pPr>
      <w:bookmarkStart w:id="54" w:name="_Ref446337507"/>
      <w:bookmarkStart w:id="55" w:name="_Toc50626719"/>
      <w:r w:rsidRPr="00B148B1">
        <w:rPr>
          <w:rFonts w:cs="Arial"/>
          <w:szCs w:val="20"/>
        </w:rPr>
        <w:t xml:space="preserve">Preglednica </w:t>
      </w:r>
      <w:r w:rsidRPr="00B148B1">
        <w:rPr>
          <w:rFonts w:cs="Arial"/>
          <w:szCs w:val="20"/>
        </w:rPr>
        <w:fldChar w:fldCharType="begin"/>
      </w:r>
      <w:r w:rsidRPr="00B148B1">
        <w:rPr>
          <w:rFonts w:cs="Arial"/>
          <w:szCs w:val="20"/>
        </w:rPr>
        <w:instrText xml:space="preserve"> SEQ Preglednica \* ARABIC </w:instrText>
      </w:r>
      <w:r w:rsidRPr="00B148B1">
        <w:rPr>
          <w:rFonts w:cs="Arial"/>
          <w:szCs w:val="20"/>
        </w:rPr>
        <w:fldChar w:fldCharType="separate"/>
      </w:r>
      <w:r w:rsidR="00E92793">
        <w:rPr>
          <w:rFonts w:cs="Arial"/>
          <w:noProof/>
          <w:szCs w:val="20"/>
        </w:rPr>
        <w:t>3</w:t>
      </w:r>
      <w:r w:rsidRPr="00B148B1">
        <w:rPr>
          <w:rFonts w:cs="Arial"/>
          <w:szCs w:val="20"/>
        </w:rPr>
        <w:fldChar w:fldCharType="end"/>
      </w:r>
      <w:bookmarkEnd w:id="54"/>
      <w:r w:rsidRPr="00B148B1">
        <w:rPr>
          <w:rFonts w:cs="Arial"/>
          <w:szCs w:val="20"/>
        </w:rPr>
        <w:t>: Napredek v stopnji priključenosti na javno kanalizacijo</w:t>
      </w:r>
      <w:bookmarkEnd w:id="55"/>
    </w:p>
    <w:tbl>
      <w:tblPr>
        <w:tblStyle w:val="Tabelamrea"/>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Caption w:val="Napredek v stopnji priključenosti na javno kanalizacijo"/>
        <w:tblDescription w:val="Napredek v stopnji priključenosti na javno kanalizacijo"/>
      </w:tblPr>
      <w:tblGrid>
        <w:gridCol w:w="3510"/>
        <w:gridCol w:w="1276"/>
        <w:gridCol w:w="2209"/>
        <w:gridCol w:w="2209"/>
      </w:tblGrid>
      <w:tr w:rsidR="00D774EB" w:rsidRPr="00B148B1" w:rsidTr="00385BB8">
        <w:trPr>
          <w:cantSplit/>
          <w:trHeight w:val="340"/>
          <w:tblHeader/>
        </w:trPr>
        <w:tc>
          <w:tcPr>
            <w:tcW w:w="3510" w:type="dxa"/>
            <w:vAlign w:val="center"/>
            <w:hideMark/>
          </w:tcPr>
          <w:p w:rsidR="00D774EB" w:rsidRPr="00B148B1" w:rsidRDefault="00D774EB" w:rsidP="006A72BD">
            <w:pPr>
              <w:tabs>
                <w:tab w:val="left" w:pos="851"/>
                <w:tab w:val="left" w:pos="1418"/>
                <w:tab w:val="left" w:pos="9600"/>
              </w:tabs>
              <w:spacing w:line="240" w:lineRule="auto"/>
              <w:rPr>
                <w:rFonts w:cs="Arial"/>
                <w:b/>
                <w:szCs w:val="20"/>
              </w:rPr>
            </w:pPr>
            <w:r w:rsidRPr="00B148B1">
              <w:rPr>
                <w:rFonts w:cs="Arial"/>
                <w:b/>
                <w:szCs w:val="20"/>
              </w:rPr>
              <w:t>Aglomeracije</w:t>
            </w:r>
          </w:p>
        </w:tc>
        <w:tc>
          <w:tcPr>
            <w:tcW w:w="1276" w:type="dxa"/>
            <w:vAlign w:val="center"/>
          </w:tcPr>
          <w:p w:rsidR="00D774EB" w:rsidRPr="00B148B1" w:rsidRDefault="00D774EB" w:rsidP="006A72BD">
            <w:pPr>
              <w:tabs>
                <w:tab w:val="left" w:pos="9600"/>
              </w:tabs>
              <w:spacing w:line="240" w:lineRule="auto"/>
              <w:jc w:val="center"/>
              <w:rPr>
                <w:rFonts w:cs="Arial"/>
                <w:b/>
                <w:szCs w:val="20"/>
              </w:rPr>
            </w:pPr>
          </w:p>
        </w:tc>
        <w:tc>
          <w:tcPr>
            <w:tcW w:w="4418" w:type="dxa"/>
            <w:gridSpan w:val="2"/>
            <w:vAlign w:val="center"/>
            <w:hideMark/>
          </w:tcPr>
          <w:p w:rsidR="00D774EB" w:rsidRPr="00B148B1" w:rsidRDefault="00D774EB" w:rsidP="006A72BD">
            <w:pPr>
              <w:tabs>
                <w:tab w:val="left" w:pos="9600"/>
              </w:tabs>
              <w:spacing w:line="240" w:lineRule="auto"/>
              <w:jc w:val="center"/>
              <w:rPr>
                <w:rFonts w:cs="Arial"/>
                <w:b/>
                <w:szCs w:val="20"/>
              </w:rPr>
            </w:pPr>
            <w:r w:rsidRPr="00B148B1">
              <w:rPr>
                <w:rFonts w:cs="Arial"/>
                <w:b/>
                <w:szCs w:val="20"/>
              </w:rPr>
              <w:t>Stopnja priključenosti</w:t>
            </w:r>
          </w:p>
        </w:tc>
      </w:tr>
      <w:tr w:rsidR="00D774EB" w:rsidRPr="00B148B1" w:rsidTr="00385BB8">
        <w:trPr>
          <w:cantSplit/>
          <w:trHeight w:val="340"/>
          <w:tblHeader/>
        </w:trPr>
        <w:tc>
          <w:tcPr>
            <w:tcW w:w="3510" w:type="dxa"/>
            <w:vAlign w:val="center"/>
          </w:tcPr>
          <w:p w:rsidR="00D774EB" w:rsidRPr="00B148B1" w:rsidRDefault="00D774EB" w:rsidP="006A72BD">
            <w:pPr>
              <w:tabs>
                <w:tab w:val="left" w:pos="9600"/>
              </w:tabs>
              <w:spacing w:line="240" w:lineRule="auto"/>
              <w:jc w:val="center"/>
              <w:rPr>
                <w:rFonts w:cs="Arial"/>
                <w:b/>
                <w:szCs w:val="20"/>
              </w:rPr>
            </w:pPr>
          </w:p>
        </w:tc>
        <w:tc>
          <w:tcPr>
            <w:tcW w:w="1276" w:type="dxa"/>
            <w:vAlign w:val="center"/>
          </w:tcPr>
          <w:p w:rsidR="00D774EB" w:rsidRPr="00B148B1" w:rsidRDefault="00D774EB" w:rsidP="006A72BD">
            <w:pPr>
              <w:tabs>
                <w:tab w:val="left" w:pos="9600"/>
              </w:tabs>
              <w:spacing w:line="240" w:lineRule="auto"/>
              <w:jc w:val="center"/>
              <w:rPr>
                <w:rFonts w:cs="Arial"/>
                <w:b/>
                <w:szCs w:val="20"/>
              </w:rPr>
            </w:pPr>
          </w:p>
        </w:tc>
        <w:tc>
          <w:tcPr>
            <w:tcW w:w="2209" w:type="dxa"/>
            <w:vAlign w:val="center"/>
            <w:hideMark/>
          </w:tcPr>
          <w:p w:rsidR="00D774EB" w:rsidRPr="00B148B1" w:rsidRDefault="00D774EB" w:rsidP="006A72BD">
            <w:pPr>
              <w:tabs>
                <w:tab w:val="left" w:pos="9600"/>
              </w:tabs>
              <w:spacing w:line="240" w:lineRule="auto"/>
              <w:jc w:val="center"/>
              <w:rPr>
                <w:rFonts w:cs="Arial"/>
                <w:b/>
                <w:szCs w:val="20"/>
              </w:rPr>
            </w:pPr>
            <w:r w:rsidRPr="00B148B1">
              <w:rPr>
                <w:rFonts w:cs="Arial"/>
                <w:b/>
                <w:sz w:val="18"/>
                <w:szCs w:val="18"/>
              </w:rPr>
              <w:t>31.</w:t>
            </w:r>
            <w:r w:rsidR="006F4A95">
              <w:rPr>
                <w:rFonts w:cs="Arial"/>
                <w:b/>
                <w:sz w:val="18"/>
                <w:szCs w:val="18"/>
              </w:rPr>
              <w:t xml:space="preserve"> </w:t>
            </w:r>
            <w:r w:rsidRPr="00B148B1">
              <w:rPr>
                <w:rFonts w:cs="Arial"/>
                <w:b/>
                <w:sz w:val="18"/>
                <w:szCs w:val="18"/>
              </w:rPr>
              <w:t>12.</w:t>
            </w:r>
            <w:r w:rsidR="006F4A95">
              <w:rPr>
                <w:rFonts w:cs="Arial"/>
                <w:b/>
                <w:sz w:val="18"/>
                <w:szCs w:val="18"/>
              </w:rPr>
              <w:t xml:space="preserve"> </w:t>
            </w:r>
            <w:r w:rsidRPr="00B148B1">
              <w:rPr>
                <w:rFonts w:cs="Arial"/>
                <w:b/>
                <w:sz w:val="18"/>
                <w:szCs w:val="18"/>
              </w:rPr>
              <w:t>2008</w:t>
            </w:r>
          </w:p>
        </w:tc>
        <w:tc>
          <w:tcPr>
            <w:tcW w:w="2209" w:type="dxa"/>
            <w:vAlign w:val="center"/>
            <w:hideMark/>
          </w:tcPr>
          <w:p w:rsidR="00D774EB" w:rsidRPr="00B148B1" w:rsidRDefault="00C55688" w:rsidP="006A72BD">
            <w:pPr>
              <w:tabs>
                <w:tab w:val="left" w:pos="9600"/>
              </w:tabs>
              <w:spacing w:line="240" w:lineRule="auto"/>
              <w:jc w:val="center"/>
              <w:rPr>
                <w:rFonts w:cs="Arial"/>
                <w:b/>
                <w:szCs w:val="20"/>
              </w:rPr>
            </w:pPr>
            <w:r w:rsidRPr="00B148B1">
              <w:rPr>
                <w:rFonts w:cs="Arial"/>
                <w:b/>
                <w:sz w:val="18"/>
                <w:szCs w:val="18"/>
              </w:rPr>
              <w:t>31.</w:t>
            </w:r>
            <w:r w:rsidR="006F4A95">
              <w:rPr>
                <w:rFonts w:cs="Arial"/>
                <w:b/>
                <w:sz w:val="18"/>
                <w:szCs w:val="18"/>
              </w:rPr>
              <w:t xml:space="preserve"> </w:t>
            </w:r>
            <w:r w:rsidRPr="00B148B1">
              <w:rPr>
                <w:rFonts w:cs="Arial"/>
                <w:b/>
                <w:sz w:val="18"/>
                <w:szCs w:val="18"/>
              </w:rPr>
              <w:t>12.</w:t>
            </w:r>
            <w:r w:rsidR="006F4A95">
              <w:rPr>
                <w:rFonts w:cs="Arial"/>
                <w:b/>
                <w:sz w:val="18"/>
                <w:szCs w:val="18"/>
              </w:rPr>
              <w:t xml:space="preserve"> </w:t>
            </w:r>
            <w:r w:rsidRPr="00B148B1">
              <w:rPr>
                <w:rFonts w:cs="Arial"/>
                <w:b/>
                <w:sz w:val="18"/>
                <w:szCs w:val="18"/>
              </w:rPr>
              <w:t>2018</w:t>
            </w:r>
          </w:p>
        </w:tc>
      </w:tr>
      <w:tr w:rsidR="00D774EB" w:rsidRPr="00B148B1" w:rsidTr="00385BB8">
        <w:trPr>
          <w:cantSplit/>
          <w:trHeight w:val="340"/>
        </w:trPr>
        <w:tc>
          <w:tcPr>
            <w:tcW w:w="9204" w:type="dxa"/>
            <w:gridSpan w:val="4"/>
            <w:vAlign w:val="center"/>
            <w:hideMark/>
          </w:tcPr>
          <w:p w:rsidR="00D774EB" w:rsidRPr="00B148B1" w:rsidRDefault="00E7746F" w:rsidP="006A72BD">
            <w:pPr>
              <w:tabs>
                <w:tab w:val="left" w:pos="851"/>
                <w:tab w:val="left" w:pos="1418"/>
                <w:tab w:val="left" w:pos="9600"/>
              </w:tabs>
              <w:spacing w:line="240" w:lineRule="auto"/>
              <w:rPr>
                <w:rFonts w:cs="Arial"/>
                <w:szCs w:val="20"/>
              </w:rPr>
            </w:pPr>
            <w:r w:rsidRPr="00B148B1">
              <w:rPr>
                <w:rFonts w:cs="Arial"/>
                <w:b/>
                <w:i/>
                <w:szCs w:val="20"/>
              </w:rPr>
              <w:t>Stopnja priključenosti</w:t>
            </w:r>
            <w:r w:rsidR="00D774EB" w:rsidRPr="00B148B1">
              <w:rPr>
                <w:rFonts w:cs="Arial"/>
                <w:b/>
                <w:i/>
                <w:szCs w:val="20"/>
              </w:rPr>
              <w:t xml:space="preserve"> </w:t>
            </w:r>
            <w:r w:rsidRPr="00B148B1">
              <w:rPr>
                <w:rFonts w:cs="Arial"/>
                <w:b/>
                <w:i/>
                <w:szCs w:val="20"/>
              </w:rPr>
              <w:t xml:space="preserve">na </w:t>
            </w:r>
            <w:r w:rsidR="00D774EB" w:rsidRPr="00B148B1">
              <w:rPr>
                <w:rFonts w:cs="Arial"/>
                <w:b/>
                <w:i/>
                <w:szCs w:val="20"/>
              </w:rPr>
              <w:t>JKO</w:t>
            </w:r>
          </w:p>
        </w:tc>
      </w:tr>
      <w:tr w:rsidR="00724667" w:rsidRPr="00B148B1" w:rsidTr="00385BB8">
        <w:trPr>
          <w:cantSplit/>
          <w:trHeight w:val="340"/>
        </w:trPr>
        <w:tc>
          <w:tcPr>
            <w:tcW w:w="3510" w:type="dxa"/>
            <w:vAlign w:val="center"/>
            <w:hideMark/>
          </w:tcPr>
          <w:p w:rsidR="00724667" w:rsidRPr="00B148B1" w:rsidRDefault="00724667" w:rsidP="006A72BD">
            <w:pPr>
              <w:tabs>
                <w:tab w:val="left" w:pos="9600"/>
              </w:tabs>
              <w:spacing w:line="240" w:lineRule="auto"/>
              <w:rPr>
                <w:rFonts w:cs="Arial"/>
                <w:i/>
                <w:szCs w:val="20"/>
              </w:rPr>
            </w:pPr>
            <w:r w:rsidRPr="00B148B1">
              <w:rPr>
                <w:rFonts w:cs="Arial"/>
                <w:i/>
                <w:szCs w:val="20"/>
              </w:rPr>
              <w:t>Osnovni program</w:t>
            </w:r>
          </w:p>
        </w:tc>
        <w:tc>
          <w:tcPr>
            <w:tcW w:w="1276" w:type="dxa"/>
            <w:vAlign w:val="center"/>
            <w:hideMark/>
          </w:tcPr>
          <w:p w:rsidR="00724667" w:rsidRPr="00B148B1" w:rsidRDefault="00724667" w:rsidP="006A72BD">
            <w:pPr>
              <w:tabs>
                <w:tab w:val="left" w:pos="9600"/>
              </w:tabs>
              <w:spacing w:line="240" w:lineRule="auto"/>
              <w:jc w:val="center"/>
              <w:rPr>
                <w:rFonts w:cs="Arial"/>
                <w:i/>
                <w:szCs w:val="20"/>
              </w:rPr>
            </w:pPr>
            <w:r w:rsidRPr="00B148B1">
              <w:rPr>
                <w:rFonts w:cs="Arial"/>
                <w:i/>
                <w:szCs w:val="20"/>
              </w:rPr>
              <w:t>[%]</w:t>
            </w:r>
          </w:p>
        </w:tc>
        <w:tc>
          <w:tcPr>
            <w:tcW w:w="2209" w:type="dxa"/>
            <w:vAlign w:val="center"/>
            <w:hideMark/>
          </w:tcPr>
          <w:p w:rsidR="00724667" w:rsidRPr="00B148B1" w:rsidRDefault="00724667">
            <w:pPr>
              <w:jc w:val="center"/>
              <w:rPr>
                <w:rFonts w:cs="Arial"/>
                <w:b/>
                <w:bCs/>
                <w:i/>
                <w:iCs/>
                <w:color w:val="000000"/>
                <w:szCs w:val="20"/>
              </w:rPr>
            </w:pPr>
            <w:r w:rsidRPr="00B148B1">
              <w:rPr>
                <w:rFonts w:cs="Arial"/>
                <w:b/>
                <w:bCs/>
                <w:i/>
                <w:iCs/>
                <w:color w:val="000000"/>
                <w:szCs w:val="20"/>
              </w:rPr>
              <w:t>61,3</w:t>
            </w:r>
          </w:p>
        </w:tc>
        <w:tc>
          <w:tcPr>
            <w:tcW w:w="2209" w:type="dxa"/>
            <w:vAlign w:val="center"/>
            <w:hideMark/>
          </w:tcPr>
          <w:p w:rsidR="00724667" w:rsidRPr="00B148B1" w:rsidRDefault="00343A3D">
            <w:pPr>
              <w:jc w:val="center"/>
              <w:rPr>
                <w:rFonts w:cs="Arial"/>
                <w:b/>
                <w:bCs/>
                <w:i/>
                <w:iCs/>
                <w:color w:val="000000"/>
                <w:szCs w:val="20"/>
              </w:rPr>
            </w:pPr>
            <w:r w:rsidRPr="00B148B1">
              <w:rPr>
                <w:rFonts w:cs="Arial"/>
                <w:b/>
                <w:bCs/>
                <w:i/>
                <w:iCs/>
                <w:color w:val="000000"/>
                <w:szCs w:val="20"/>
              </w:rPr>
              <w:t>82,9</w:t>
            </w:r>
          </w:p>
        </w:tc>
      </w:tr>
      <w:tr w:rsidR="00724667" w:rsidRPr="00B148B1" w:rsidTr="00385BB8">
        <w:trPr>
          <w:cantSplit/>
          <w:trHeight w:val="340"/>
        </w:trPr>
        <w:tc>
          <w:tcPr>
            <w:tcW w:w="3510" w:type="dxa"/>
            <w:vAlign w:val="center"/>
            <w:hideMark/>
          </w:tcPr>
          <w:p w:rsidR="00724667" w:rsidRPr="00B148B1" w:rsidRDefault="00724667" w:rsidP="006A72BD">
            <w:pPr>
              <w:spacing w:line="240" w:lineRule="auto"/>
              <w:jc w:val="right"/>
              <w:rPr>
                <w:rFonts w:cs="Arial"/>
                <w:color w:val="000000"/>
                <w:szCs w:val="20"/>
              </w:rPr>
            </w:pPr>
            <w:r w:rsidRPr="00B148B1">
              <w:rPr>
                <w:rFonts w:cs="Arial"/>
                <w:color w:val="000000"/>
                <w:szCs w:val="20"/>
              </w:rPr>
              <w:t>aglomeracije ≥ 10.000 PE</w:t>
            </w:r>
          </w:p>
        </w:tc>
        <w:tc>
          <w:tcPr>
            <w:tcW w:w="1276" w:type="dxa"/>
            <w:vAlign w:val="center"/>
            <w:hideMark/>
          </w:tcPr>
          <w:p w:rsidR="00724667" w:rsidRPr="00B148B1" w:rsidRDefault="00724667" w:rsidP="006A72BD">
            <w:pPr>
              <w:tabs>
                <w:tab w:val="left" w:pos="9600"/>
              </w:tabs>
              <w:spacing w:line="240" w:lineRule="auto"/>
              <w:jc w:val="center"/>
              <w:rPr>
                <w:rFonts w:cs="Arial"/>
                <w:szCs w:val="20"/>
              </w:rPr>
            </w:pPr>
            <w:r w:rsidRPr="00B148B1">
              <w:rPr>
                <w:rFonts w:cs="Arial"/>
                <w:szCs w:val="20"/>
              </w:rPr>
              <w:t>[%]</w:t>
            </w:r>
          </w:p>
        </w:tc>
        <w:tc>
          <w:tcPr>
            <w:tcW w:w="2209" w:type="dxa"/>
            <w:vAlign w:val="center"/>
            <w:hideMark/>
          </w:tcPr>
          <w:p w:rsidR="00724667" w:rsidRPr="00B148B1" w:rsidRDefault="00724667">
            <w:pPr>
              <w:jc w:val="center"/>
              <w:rPr>
                <w:rFonts w:cs="Arial"/>
                <w:i/>
                <w:iCs/>
                <w:color w:val="000000"/>
                <w:szCs w:val="20"/>
              </w:rPr>
            </w:pPr>
            <w:r w:rsidRPr="00B148B1">
              <w:rPr>
                <w:rFonts w:cs="Arial"/>
                <w:i/>
                <w:iCs/>
                <w:color w:val="000000"/>
                <w:szCs w:val="20"/>
              </w:rPr>
              <w:t>84,7</w:t>
            </w:r>
          </w:p>
        </w:tc>
        <w:tc>
          <w:tcPr>
            <w:tcW w:w="2209" w:type="dxa"/>
            <w:vAlign w:val="center"/>
            <w:hideMark/>
          </w:tcPr>
          <w:p w:rsidR="00724667" w:rsidRPr="00B148B1" w:rsidRDefault="00343A3D" w:rsidP="00343A3D">
            <w:pPr>
              <w:jc w:val="center"/>
              <w:rPr>
                <w:rFonts w:cs="Arial"/>
                <w:color w:val="000000"/>
                <w:szCs w:val="20"/>
              </w:rPr>
            </w:pPr>
            <w:r w:rsidRPr="00B148B1">
              <w:rPr>
                <w:rFonts w:cs="Arial"/>
                <w:color w:val="000000"/>
                <w:szCs w:val="20"/>
              </w:rPr>
              <w:t>95,4</w:t>
            </w:r>
          </w:p>
        </w:tc>
      </w:tr>
      <w:tr w:rsidR="00724667" w:rsidRPr="00B148B1" w:rsidTr="00385BB8">
        <w:trPr>
          <w:cantSplit/>
          <w:trHeight w:val="340"/>
        </w:trPr>
        <w:tc>
          <w:tcPr>
            <w:tcW w:w="3510" w:type="dxa"/>
            <w:vAlign w:val="center"/>
            <w:hideMark/>
          </w:tcPr>
          <w:p w:rsidR="00724667" w:rsidRPr="00B148B1" w:rsidRDefault="00724667" w:rsidP="007374E4">
            <w:pPr>
              <w:spacing w:line="240" w:lineRule="auto"/>
              <w:jc w:val="right"/>
              <w:rPr>
                <w:rFonts w:cs="Arial"/>
                <w:color w:val="000000"/>
                <w:szCs w:val="20"/>
              </w:rPr>
            </w:pPr>
            <w:r w:rsidRPr="00B148B1">
              <w:rPr>
                <w:rFonts w:cs="Arial"/>
                <w:color w:val="000000"/>
                <w:szCs w:val="20"/>
              </w:rPr>
              <w:t xml:space="preserve">aglomeracije </w:t>
            </w:r>
            <w:r w:rsidR="007374E4" w:rsidRPr="00B148B1">
              <w:rPr>
                <w:rFonts w:cs="Arial"/>
                <w:color w:val="000000"/>
                <w:szCs w:val="20"/>
              </w:rPr>
              <w:t xml:space="preserve">od </w:t>
            </w:r>
            <w:r w:rsidRPr="00B148B1">
              <w:rPr>
                <w:rFonts w:cs="Arial"/>
                <w:color w:val="000000"/>
                <w:szCs w:val="20"/>
              </w:rPr>
              <w:t xml:space="preserve">2.000 </w:t>
            </w:r>
            <w:r w:rsidR="007374E4" w:rsidRPr="00B148B1">
              <w:rPr>
                <w:rFonts w:cs="Arial"/>
                <w:color w:val="000000"/>
                <w:szCs w:val="20"/>
              </w:rPr>
              <w:t>do</w:t>
            </w:r>
            <w:r w:rsidRPr="00B148B1">
              <w:rPr>
                <w:rFonts w:cs="Arial"/>
                <w:color w:val="000000"/>
                <w:szCs w:val="20"/>
              </w:rPr>
              <w:t xml:space="preserve"> 10.000 PE</w:t>
            </w:r>
          </w:p>
        </w:tc>
        <w:tc>
          <w:tcPr>
            <w:tcW w:w="1276" w:type="dxa"/>
            <w:vAlign w:val="center"/>
            <w:hideMark/>
          </w:tcPr>
          <w:p w:rsidR="00724667" w:rsidRPr="00B148B1" w:rsidRDefault="00724667" w:rsidP="006A72BD">
            <w:pPr>
              <w:tabs>
                <w:tab w:val="left" w:pos="9600"/>
              </w:tabs>
              <w:spacing w:line="240" w:lineRule="auto"/>
              <w:jc w:val="center"/>
              <w:rPr>
                <w:rFonts w:cs="Arial"/>
                <w:szCs w:val="20"/>
              </w:rPr>
            </w:pPr>
            <w:r w:rsidRPr="00B148B1">
              <w:rPr>
                <w:rFonts w:cs="Arial"/>
                <w:szCs w:val="20"/>
              </w:rPr>
              <w:t>[%]</w:t>
            </w:r>
          </w:p>
        </w:tc>
        <w:tc>
          <w:tcPr>
            <w:tcW w:w="2209" w:type="dxa"/>
            <w:vAlign w:val="center"/>
            <w:hideMark/>
          </w:tcPr>
          <w:p w:rsidR="00724667" w:rsidRPr="00B148B1" w:rsidRDefault="00724667">
            <w:pPr>
              <w:jc w:val="center"/>
              <w:rPr>
                <w:rFonts w:cs="Arial"/>
                <w:i/>
                <w:iCs/>
                <w:color w:val="000000"/>
                <w:szCs w:val="20"/>
              </w:rPr>
            </w:pPr>
            <w:r w:rsidRPr="00B148B1">
              <w:rPr>
                <w:rFonts w:cs="Arial"/>
                <w:i/>
                <w:iCs/>
                <w:color w:val="000000"/>
                <w:szCs w:val="20"/>
              </w:rPr>
              <w:t>50,8</w:t>
            </w:r>
          </w:p>
        </w:tc>
        <w:tc>
          <w:tcPr>
            <w:tcW w:w="2209" w:type="dxa"/>
            <w:vAlign w:val="center"/>
            <w:hideMark/>
          </w:tcPr>
          <w:p w:rsidR="00724667" w:rsidRPr="00B148B1" w:rsidRDefault="00343A3D">
            <w:pPr>
              <w:jc w:val="center"/>
              <w:rPr>
                <w:rFonts w:cs="Arial"/>
                <w:color w:val="000000"/>
                <w:szCs w:val="20"/>
              </w:rPr>
            </w:pPr>
            <w:r w:rsidRPr="00B148B1">
              <w:rPr>
                <w:rFonts w:cs="Arial"/>
                <w:color w:val="000000"/>
                <w:szCs w:val="20"/>
              </w:rPr>
              <w:t>85,0</w:t>
            </w:r>
          </w:p>
        </w:tc>
      </w:tr>
      <w:tr w:rsidR="00724667" w:rsidRPr="00B148B1" w:rsidTr="00385BB8">
        <w:trPr>
          <w:cantSplit/>
          <w:trHeight w:val="340"/>
        </w:trPr>
        <w:tc>
          <w:tcPr>
            <w:tcW w:w="3510" w:type="dxa"/>
            <w:vAlign w:val="center"/>
            <w:hideMark/>
          </w:tcPr>
          <w:p w:rsidR="00724667" w:rsidRPr="00B148B1" w:rsidRDefault="00724667" w:rsidP="006A72BD">
            <w:pPr>
              <w:spacing w:line="240" w:lineRule="auto"/>
              <w:jc w:val="right"/>
              <w:rPr>
                <w:rFonts w:cs="Arial"/>
                <w:color w:val="000000"/>
                <w:szCs w:val="20"/>
              </w:rPr>
            </w:pPr>
            <w:r w:rsidRPr="00B148B1">
              <w:rPr>
                <w:rFonts w:cs="Arial"/>
                <w:color w:val="000000"/>
                <w:szCs w:val="20"/>
              </w:rPr>
              <w:t xml:space="preserve">aglomeracije </w:t>
            </w:r>
            <w:r w:rsidR="007374E4" w:rsidRPr="00B148B1">
              <w:rPr>
                <w:rFonts w:cs="Arial"/>
                <w:color w:val="000000"/>
                <w:szCs w:val="20"/>
              </w:rPr>
              <w:t>od</w:t>
            </w:r>
            <w:r w:rsidRPr="00B148B1">
              <w:rPr>
                <w:rFonts w:cs="Arial"/>
                <w:color w:val="000000"/>
                <w:szCs w:val="20"/>
              </w:rPr>
              <w:t xml:space="preserve"> 500 </w:t>
            </w:r>
            <w:r w:rsidR="007374E4" w:rsidRPr="00B148B1">
              <w:rPr>
                <w:rFonts w:cs="Arial"/>
                <w:color w:val="000000"/>
                <w:szCs w:val="20"/>
              </w:rPr>
              <w:t>do</w:t>
            </w:r>
            <w:r w:rsidRPr="00B148B1">
              <w:rPr>
                <w:rFonts w:cs="Arial"/>
                <w:color w:val="000000"/>
                <w:szCs w:val="20"/>
              </w:rPr>
              <w:t xml:space="preserve"> 2.000 PE</w:t>
            </w:r>
          </w:p>
        </w:tc>
        <w:tc>
          <w:tcPr>
            <w:tcW w:w="1276" w:type="dxa"/>
            <w:vAlign w:val="center"/>
            <w:hideMark/>
          </w:tcPr>
          <w:p w:rsidR="00724667" w:rsidRPr="00B148B1" w:rsidRDefault="00724667" w:rsidP="006A72BD">
            <w:pPr>
              <w:tabs>
                <w:tab w:val="left" w:pos="9600"/>
              </w:tabs>
              <w:spacing w:line="240" w:lineRule="auto"/>
              <w:jc w:val="center"/>
              <w:rPr>
                <w:rFonts w:cs="Arial"/>
                <w:szCs w:val="20"/>
              </w:rPr>
            </w:pPr>
            <w:r w:rsidRPr="00B148B1">
              <w:rPr>
                <w:rFonts w:cs="Arial"/>
                <w:szCs w:val="20"/>
              </w:rPr>
              <w:t>[%]</w:t>
            </w:r>
          </w:p>
        </w:tc>
        <w:tc>
          <w:tcPr>
            <w:tcW w:w="2209" w:type="dxa"/>
            <w:vAlign w:val="center"/>
            <w:hideMark/>
          </w:tcPr>
          <w:p w:rsidR="00724667" w:rsidRPr="00B148B1" w:rsidRDefault="00724667">
            <w:pPr>
              <w:jc w:val="center"/>
              <w:rPr>
                <w:rFonts w:cs="Arial"/>
                <w:i/>
                <w:iCs/>
                <w:color w:val="000000"/>
                <w:szCs w:val="20"/>
              </w:rPr>
            </w:pPr>
            <w:r w:rsidRPr="00B148B1">
              <w:rPr>
                <w:rFonts w:cs="Arial"/>
                <w:i/>
                <w:iCs/>
                <w:color w:val="000000"/>
                <w:szCs w:val="20"/>
              </w:rPr>
              <w:t>29,9</w:t>
            </w:r>
          </w:p>
        </w:tc>
        <w:tc>
          <w:tcPr>
            <w:tcW w:w="2209" w:type="dxa"/>
            <w:vAlign w:val="center"/>
            <w:hideMark/>
          </w:tcPr>
          <w:p w:rsidR="00724667" w:rsidRPr="00B148B1" w:rsidRDefault="003862B4">
            <w:pPr>
              <w:jc w:val="center"/>
              <w:rPr>
                <w:rFonts w:cs="Arial"/>
                <w:color w:val="000000"/>
                <w:szCs w:val="20"/>
              </w:rPr>
            </w:pPr>
            <w:r w:rsidRPr="00B148B1">
              <w:rPr>
                <w:rFonts w:cs="Arial"/>
                <w:color w:val="000000"/>
                <w:szCs w:val="20"/>
              </w:rPr>
              <w:t>66,0</w:t>
            </w:r>
          </w:p>
        </w:tc>
      </w:tr>
      <w:tr w:rsidR="00724667" w:rsidRPr="00B148B1" w:rsidTr="00385BB8">
        <w:trPr>
          <w:cantSplit/>
          <w:trHeight w:val="340"/>
        </w:trPr>
        <w:tc>
          <w:tcPr>
            <w:tcW w:w="3510" w:type="dxa"/>
            <w:vAlign w:val="center"/>
            <w:hideMark/>
          </w:tcPr>
          <w:p w:rsidR="00724667" w:rsidRPr="00B148B1" w:rsidRDefault="00724667" w:rsidP="007374E4">
            <w:pPr>
              <w:spacing w:line="240" w:lineRule="auto"/>
              <w:jc w:val="right"/>
              <w:rPr>
                <w:rFonts w:cs="Arial"/>
                <w:color w:val="000000"/>
                <w:szCs w:val="20"/>
              </w:rPr>
            </w:pPr>
            <w:r w:rsidRPr="00B148B1">
              <w:rPr>
                <w:rFonts w:cs="Arial"/>
                <w:color w:val="000000"/>
                <w:szCs w:val="20"/>
              </w:rPr>
              <w:t xml:space="preserve">aglomeracije </w:t>
            </w:r>
            <w:r w:rsidR="007374E4" w:rsidRPr="00B148B1">
              <w:rPr>
                <w:rFonts w:cs="Arial"/>
                <w:color w:val="000000"/>
                <w:szCs w:val="20"/>
              </w:rPr>
              <w:t>od</w:t>
            </w:r>
            <w:r w:rsidRPr="00B148B1">
              <w:rPr>
                <w:rFonts w:cs="Arial"/>
                <w:color w:val="000000"/>
                <w:szCs w:val="20"/>
              </w:rPr>
              <w:t xml:space="preserve"> 50 </w:t>
            </w:r>
            <w:r w:rsidR="007374E4" w:rsidRPr="00B148B1">
              <w:rPr>
                <w:rFonts w:cs="Arial"/>
                <w:color w:val="000000"/>
                <w:szCs w:val="20"/>
              </w:rPr>
              <w:t>do</w:t>
            </w:r>
            <w:r w:rsidRPr="00B148B1">
              <w:rPr>
                <w:rFonts w:cs="Arial"/>
                <w:color w:val="000000"/>
                <w:szCs w:val="20"/>
              </w:rPr>
              <w:t xml:space="preserve"> 500 PE</w:t>
            </w:r>
          </w:p>
        </w:tc>
        <w:tc>
          <w:tcPr>
            <w:tcW w:w="1276" w:type="dxa"/>
            <w:vAlign w:val="center"/>
            <w:hideMark/>
          </w:tcPr>
          <w:p w:rsidR="00724667" w:rsidRPr="00B148B1" w:rsidRDefault="00724667" w:rsidP="006A72BD">
            <w:pPr>
              <w:tabs>
                <w:tab w:val="left" w:pos="9600"/>
              </w:tabs>
              <w:spacing w:line="240" w:lineRule="auto"/>
              <w:jc w:val="center"/>
              <w:rPr>
                <w:rFonts w:cs="Arial"/>
                <w:szCs w:val="20"/>
              </w:rPr>
            </w:pPr>
            <w:r w:rsidRPr="00B148B1">
              <w:rPr>
                <w:rFonts w:cs="Arial"/>
                <w:szCs w:val="20"/>
              </w:rPr>
              <w:t>[%]</w:t>
            </w:r>
          </w:p>
        </w:tc>
        <w:tc>
          <w:tcPr>
            <w:tcW w:w="2209" w:type="dxa"/>
            <w:vAlign w:val="center"/>
            <w:hideMark/>
          </w:tcPr>
          <w:p w:rsidR="00724667" w:rsidRPr="00B148B1" w:rsidRDefault="00724667">
            <w:pPr>
              <w:jc w:val="center"/>
              <w:rPr>
                <w:rFonts w:cs="Arial"/>
                <w:i/>
                <w:iCs/>
                <w:color w:val="000000"/>
                <w:szCs w:val="20"/>
              </w:rPr>
            </w:pPr>
            <w:r w:rsidRPr="00B148B1">
              <w:rPr>
                <w:rFonts w:cs="Arial"/>
                <w:i/>
                <w:iCs/>
                <w:color w:val="000000"/>
                <w:szCs w:val="20"/>
              </w:rPr>
              <w:t>12,5</w:t>
            </w:r>
          </w:p>
        </w:tc>
        <w:tc>
          <w:tcPr>
            <w:tcW w:w="2209" w:type="dxa"/>
            <w:vAlign w:val="center"/>
            <w:hideMark/>
          </w:tcPr>
          <w:p w:rsidR="00724667" w:rsidRPr="00B148B1" w:rsidRDefault="003862B4">
            <w:pPr>
              <w:jc w:val="center"/>
              <w:rPr>
                <w:rFonts w:cs="Arial"/>
                <w:color w:val="000000"/>
                <w:szCs w:val="20"/>
              </w:rPr>
            </w:pPr>
            <w:r w:rsidRPr="00B148B1">
              <w:rPr>
                <w:rFonts w:cs="Arial"/>
                <w:color w:val="000000"/>
                <w:szCs w:val="20"/>
              </w:rPr>
              <w:t>34,0</w:t>
            </w:r>
          </w:p>
        </w:tc>
      </w:tr>
      <w:tr w:rsidR="00724667" w:rsidRPr="00B148B1" w:rsidTr="00385BB8">
        <w:trPr>
          <w:cantSplit/>
          <w:trHeight w:val="340"/>
        </w:trPr>
        <w:tc>
          <w:tcPr>
            <w:tcW w:w="3510" w:type="dxa"/>
            <w:vAlign w:val="center"/>
            <w:hideMark/>
          </w:tcPr>
          <w:p w:rsidR="00724667" w:rsidRPr="00B148B1" w:rsidRDefault="00724667" w:rsidP="006A72BD">
            <w:pPr>
              <w:tabs>
                <w:tab w:val="left" w:pos="9600"/>
              </w:tabs>
              <w:spacing w:line="240" w:lineRule="auto"/>
              <w:rPr>
                <w:rFonts w:cs="Arial"/>
                <w:i/>
                <w:szCs w:val="20"/>
              </w:rPr>
            </w:pPr>
            <w:r w:rsidRPr="00B148B1">
              <w:rPr>
                <w:rFonts w:cs="Arial"/>
                <w:i/>
                <w:szCs w:val="20"/>
              </w:rPr>
              <w:t>Dodatni program</w:t>
            </w:r>
          </w:p>
        </w:tc>
        <w:tc>
          <w:tcPr>
            <w:tcW w:w="1276" w:type="dxa"/>
            <w:vAlign w:val="center"/>
            <w:hideMark/>
          </w:tcPr>
          <w:p w:rsidR="00724667" w:rsidRPr="00B148B1" w:rsidRDefault="00724667" w:rsidP="006A72BD">
            <w:pPr>
              <w:tabs>
                <w:tab w:val="left" w:pos="9600"/>
              </w:tabs>
              <w:spacing w:line="240" w:lineRule="auto"/>
              <w:jc w:val="center"/>
              <w:rPr>
                <w:rFonts w:cs="Arial"/>
                <w:i/>
                <w:szCs w:val="20"/>
              </w:rPr>
            </w:pPr>
            <w:r w:rsidRPr="00B148B1">
              <w:rPr>
                <w:rFonts w:cs="Arial"/>
                <w:i/>
                <w:szCs w:val="20"/>
              </w:rPr>
              <w:t>[%]</w:t>
            </w:r>
          </w:p>
        </w:tc>
        <w:tc>
          <w:tcPr>
            <w:tcW w:w="2209" w:type="dxa"/>
            <w:vAlign w:val="center"/>
            <w:hideMark/>
          </w:tcPr>
          <w:p w:rsidR="00724667" w:rsidRPr="00B148B1" w:rsidRDefault="00724667">
            <w:pPr>
              <w:jc w:val="center"/>
              <w:rPr>
                <w:rFonts w:cs="Arial"/>
                <w:b/>
                <w:bCs/>
                <w:i/>
                <w:iCs/>
                <w:color w:val="000000"/>
                <w:szCs w:val="20"/>
              </w:rPr>
            </w:pPr>
            <w:r w:rsidRPr="00B148B1">
              <w:rPr>
                <w:rFonts w:cs="Arial"/>
                <w:b/>
                <w:bCs/>
                <w:i/>
                <w:iCs/>
                <w:color w:val="000000"/>
                <w:szCs w:val="20"/>
              </w:rPr>
              <w:t>13,8</w:t>
            </w:r>
          </w:p>
        </w:tc>
        <w:tc>
          <w:tcPr>
            <w:tcW w:w="2209" w:type="dxa"/>
            <w:vAlign w:val="center"/>
            <w:hideMark/>
          </w:tcPr>
          <w:p w:rsidR="00724667" w:rsidRPr="00B148B1" w:rsidRDefault="00724667" w:rsidP="003862B4">
            <w:pPr>
              <w:jc w:val="center"/>
              <w:rPr>
                <w:rFonts w:cs="Arial"/>
                <w:b/>
                <w:bCs/>
                <w:i/>
                <w:iCs/>
                <w:color w:val="000000"/>
                <w:szCs w:val="20"/>
              </w:rPr>
            </w:pPr>
            <w:r w:rsidRPr="00B148B1">
              <w:rPr>
                <w:rFonts w:cs="Arial"/>
                <w:b/>
                <w:bCs/>
                <w:i/>
                <w:iCs/>
                <w:color w:val="000000"/>
                <w:szCs w:val="20"/>
              </w:rPr>
              <w:t>43,</w:t>
            </w:r>
            <w:r w:rsidR="003862B4" w:rsidRPr="00B148B1">
              <w:rPr>
                <w:rFonts w:cs="Arial"/>
                <w:b/>
                <w:bCs/>
                <w:i/>
                <w:iCs/>
                <w:color w:val="000000"/>
                <w:szCs w:val="20"/>
              </w:rPr>
              <w:t>3</w:t>
            </w:r>
          </w:p>
        </w:tc>
      </w:tr>
      <w:tr w:rsidR="00724667" w:rsidRPr="00B148B1" w:rsidTr="00385BB8">
        <w:trPr>
          <w:cantSplit/>
          <w:trHeight w:val="340"/>
        </w:trPr>
        <w:tc>
          <w:tcPr>
            <w:tcW w:w="3510" w:type="dxa"/>
            <w:vAlign w:val="center"/>
            <w:hideMark/>
          </w:tcPr>
          <w:p w:rsidR="00724667" w:rsidRPr="00B148B1" w:rsidRDefault="00724667" w:rsidP="007374E4">
            <w:pPr>
              <w:spacing w:line="240" w:lineRule="auto"/>
              <w:jc w:val="right"/>
              <w:rPr>
                <w:rFonts w:cs="Arial"/>
                <w:color w:val="000000"/>
                <w:szCs w:val="20"/>
              </w:rPr>
            </w:pPr>
            <w:r w:rsidRPr="00B148B1">
              <w:rPr>
                <w:rFonts w:cs="Arial"/>
                <w:color w:val="000000"/>
                <w:szCs w:val="20"/>
              </w:rPr>
              <w:t xml:space="preserve">aglomeracije </w:t>
            </w:r>
            <w:r w:rsidR="007374E4" w:rsidRPr="00B148B1">
              <w:rPr>
                <w:rFonts w:cs="Arial"/>
                <w:color w:val="000000"/>
                <w:szCs w:val="20"/>
              </w:rPr>
              <w:t xml:space="preserve">od </w:t>
            </w:r>
            <w:r w:rsidRPr="00B148B1">
              <w:rPr>
                <w:rFonts w:cs="Arial"/>
                <w:color w:val="000000"/>
                <w:szCs w:val="20"/>
              </w:rPr>
              <w:t xml:space="preserve">500 </w:t>
            </w:r>
            <w:r w:rsidR="007374E4" w:rsidRPr="00B148B1">
              <w:rPr>
                <w:rFonts w:cs="Arial"/>
                <w:color w:val="000000"/>
                <w:szCs w:val="20"/>
              </w:rPr>
              <w:t>do</w:t>
            </w:r>
            <w:r w:rsidRPr="00B148B1">
              <w:rPr>
                <w:rFonts w:cs="Arial"/>
                <w:color w:val="000000"/>
                <w:szCs w:val="20"/>
              </w:rPr>
              <w:t xml:space="preserve"> 2.000 PE</w:t>
            </w:r>
          </w:p>
        </w:tc>
        <w:tc>
          <w:tcPr>
            <w:tcW w:w="1276" w:type="dxa"/>
            <w:vAlign w:val="center"/>
            <w:hideMark/>
          </w:tcPr>
          <w:p w:rsidR="00724667" w:rsidRPr="00B148B1" w:rsidRDefault="00724667" w:rsidP="006A72BD">
            <w:pPr>
              <w:tabs>
                <w:tab w:val="left" w:pos="9600"/>
              </w:tabs>
              <w:spacing w:line="240" w:lineRule="auto"/>
              <w:jc w:val="center"/>
              <w:rPr>
                <w:rFonts w:cs="Arial"/>
                <w:szCs w:val="20"/>
              </w:rPr>
            </w:pPr>
            <w:r w:rsidRPr="00B148B1">
              <w:rPr>
                <w:rFonts w:cs="Arial"/>
                <w:szCs w:val="20"/>
              </w:rPr>
              <w:t>[%]</w:t>
            </w:r>
          </w:p>
        </w:tc>
        <w:tc>
          <w:tcPr>
            <w:tcW w:w="2209" w:type="dxa"/>
            <w:vAlign w:val="center"/>
            <w:hideMark/>
          </w:tcPr>
          <w:p w:rsidR="00724667" w:rsidRPr="00B148B1" w:rsidRDefault="00724667">
            <w:pPr>
              <w:jc w:val="center"/>
              <w:rPr>
                <w:rFonts w:cs="Arial"/>
                <w:i/>
                <w:iCs/>
                <w:color w:val="000000"/>
                <w:szCs w:val="20"/>
              </w:rPr>
            </w:pPr>
            <w:r w:rsidRPr="00B148B1">
              <w:rPr>
                <w:rFonts w:cs="Arial"/>
                <w:i/>
                <w:iCs/>
                <w:color w:val="000000"/>
                <w:szCs w:val="20"/>
              </w:rPr>
              <w:t>19,5</w:t>
            </w:r>
          </w:p>
        </w:tc>
        <w:tc>
          <w:tcPr>
            <w:tcW w:w="2209" w:type="dxa"/>
            <w:vAlign w:val="center"/>
            <w:hideMark/>
          </w:tcPr>
          <w:p w:rsidR="00724667" w:rsidRPr="00B148B1" w:rsidRDefault="00724667">
            <w:pPr>
              <w:jc w:val="center"/>
              <w:rPr>
                <w:rFonts w:cs="Arial"/>
                <w:color w:val="000000"/>
                <w:szCs w:val="20"/>
              </w:rPr>
            </w:pPr>
            <w:r w:rsidRPr="00B148B1">
              <w:rPr>
                <w:rFonts w:cs="Arial"/>
                <w:color w:val="000000"/>
                <w:szCs w:val="20"/>
              </w:rPr>
              <w:t>53,7</w:t>
            </w:r>
          </w:p>
        </w:tc>
      </w:tr>
      <w:tr w:rsidR="00724667" w:rsidRPr="00B148B1" w:rsidTr="00385BB8">
        <w:trPr>
          <w:cantSplit/>
          <w:trHeight w:val="340"/>
        </w:trPr>
        <w:tc>
          <w:tcPr>
            <w:tcW w:w="3510" w:type="dxa"/>
            <w:vAlign w:val="center"/>
            <w:hideMark/>
          </w:tcPr>
          <w:p w:rsidR="00724667" w:rsidRPr="00B148B1" w:rsidRDefault="00724667" w:rsidP="006A72BD">
            <w:pPr>
              <w:spacing w:line="240" w:lineRule="auto"/>
              <w:jc w:val="right"/>
              <w:rPr>
                <w:rFonts w:cs="Arial"/>
                <w:color w:val="000000"/>
                <w:szCs w:val="20"/>
              </w:rPr>
            </w:pPr>
            <w:r w:rsidRPr="00B148B1">
              <w:rPr>
                <w:rFonts w:cs="Arial"/>
                <w:color w:val="000000"/>
                <w:szCs w:val="20"/>
              </w:rPr>
              <w:t xml:space="preserve">aglomeracije </w:t>
            </w:r>
            <w:r w:rsidR="007374E4" w:rsidRPr="00B148B1">
              <w:rPr>
                <w:rFonts w:cs="Arial"/>
                <w:color w:val="000000"/>
                <w:szCs w:val="20"/>
              </w:rPr>
              <w:t>od</w:t>
            </w:r>
            <w:r w:rsidRPr="00B148B1">
              <w:rPr>
                <w:rFonts w:cs="Arial"/>
                <w:color w:val="000000"/>
                <w:szCs w:val="20"/>
              </w:rPr>
              <w:t xml:space="preserve"> 50 </w:t>
            </w:r>
            <w:r w:rsidR="007374E4" w:rsidRPr="00B148B1">
              <w:rPr>
                <w:rFonts w:cs="Arial"/>
                <w:color w:val="000000"/>
                <w:szCs w:val="20"/>
              </w:rPr>
              <w:t>do</w:t>
            </w:r>
            <w:r w:rsidRPr="00B148B1">
              <w:rPr>
                <w:rFonts w:cs="Arial"/>
                <w:color w:val="000000"/>
                <w:szCs w:val="20"/>
              </w:rPr>
              <w:t xml:space="preserve"> 500 PE</w:t>
            </w:r>
          </w:p>
        </w:tc>
        <w:tc>
          <w:tcPr>
            <w:tcW w:w="1276" w:type="dxa"/>
            <w:vAlign w:val="center"/>
            <w:hideMark/>
          </w:tcPr>
          <w:p w:rsidR="00724667" w:rsidRPr="00B148B1" w:rsidRDefault="00724667" w:rsidP="006A72BD">
            <w:pPr>
              <w:tabs>
                <w:tab w:val="left" w:pos="9600"/>
              </w:tabs>
              <w:spacing w:line="240" w:lineRule="auto"/>
              <w:jc w:val="center"/>
              <w:rPr>
                <w:rFonts w:cs="Arial"/>
                <w:szCs w:val="20"/>
              </w:rPr>
            </w:pPr>
            <w:r w:rsidRPr="00B148B1">
              <w:rPr>
                <w:rFonts w:cs="Arial"/>
                <w:szCs w:val="20"/>
              </w:rPr>
              <w:t>[%]</w:t>
            </w:r>
          </w:p>
        </w:tc>
        <w:tc>
          <w:tcPr>
            <w:tcW w:w="2209" w:type="dxa"/>
            <w:vAlign w:val="center"/>
            <w:hideMark/>
          </w:tcPr>
          <w:p w:rsidR="00724667" w:rsidRPr="00B148B1" w:rsidRDefault="00724667">
            <w:pPr>
              <w:jc w:val="center"/>
              <w:rPr>
                <w:rFonts w:cs="Arial"/>
                <w:i/>
                <w:iCs/>
                <w:color w:val="000000"/>
                <w:szCs w:val="20"/>
              </w:rPr>
            </w:pPr>
            <w:r w:rsidRPr="00B148B1">
              <w:rPr>
                <w:rFonts w:cs="Arial"/>
                <w:i/>
                <w:iCs/>
                <w:color w:val="000000"/>
                <w:szCs w:val="20"/>
              </w:rPr>
              <w:t>9,6</w:t>
            </w:r>
          </w:p>
        </w:tc>
        <w:tc>
          <w:tcPr>
            <w:tcW w:w="2209" w:type="dxa"/>
            <w:vAlign w:val="center"/>
            <w:hideMark/>
          </w:tcPr>
          <w:p w:rsidR="00724667" w:rsidRPr="00B148B1" w:rsidRDefault="00724667" w:rsidP="003862B4">
            <w:pPr>
              <w:jc w:val="center"/>
              <w:rPr>
                <w:rFonts w:cs="Arial"/>
                <w:color w:val="000000"/>
                <w:szCs w:val="20"/>
              </w:rPr>
            </w:pPr>
            <w:r w:rsidRPr="00B148B1">
              <w:rPr>
                <w:rFonts w:cs="Arial"/>
                <w:color w:val="000000"/>
                <w:szCs w:val="20"/>
              </w:rPr>
              <w:t>35,</w:t>
            </w:r>
            <w:r w:rsidR="003862B4" w:rsidRPr="00B148B1">
              <w:rPr>
                <w:rFonts w:cs="Arial"/>
                <w:color w:val="000000"/>
                <w:szCs w:val="20"/>
              </w:rPr>
              <w:t>7</w:t>
            </w:r>
          </w:p>
        </w:tc>
      </w:tr>
      <w:tr w:rsidR="00724667" w:rsidRPr="00B148B1" w:rsidTr="00385BB8">
        <w:trPr>
          <w:cantSplit/>
          <w:trHeight w:val="340"/>
        </w:trPr>
        <w:tc>
          <w:tcPr>
            <w:tcW w:w="3510" w:type="dxa"/>
            <w:vAlign w:val="center"/>
            <w:hideMark/>
          </w:tcPr>
          <w:p w:rsidR="00724667" w:rsidRPr="00B148B1" w:rsidRDefault="00724667" w:rsidP="006A72BD">
            <w:pPr>
              <w:spacing w:line="240" w:lineRule="auto"/>
              <w:jc w:val="right"/>
              <w:rPr>
                <w:rFonts w:cs="Arial"/>
                <w:color w:val="000000"/>
                <w:szCs w:val="20"/>
              </w:rPr>
            </w:pPr>
            <w:r w:rsidRPr="00B148B1">
              <w:rPr>
                <w:rFonts w:cs="Arial"/>
                <w:color w:val="000000"/>
                <w:szCs w:val="20"/>
              </w:rPr>
              <w:t>aglomeracije &lt; 50 PE</w:t>
            </w:r>
          </w:p>
        </w:tc>
        <w:tc>
          <w:tcPr>
            <w:tcW w:w="1276" w:type="dxa"/>
            <w:vAlign w:val="center"/>
            <w:hideMark/>
          </w:tcPr>
          <w:p w:rsidR="00724667" w:rsidRPr="00B148B1" w:rsidRDefault="00724667" w:rsidP="006A72BD">
            <w:pPr>
              <w:tabs>
                <w:tab w:val="left" w:pos="9600"/>
              </w:tabs>
              <w:spacing w:line="240" w:lineRule="auto"/>
              <w:jc w:val="center"/>
              <w:rPr>
                <w:rFonts w:cs="Arial"/>
                <w:szCs w:val="20"/>
              </w:rPr>
            </w:pPr>
            <w:r w:rsidRPr="00B148B1">
              <w:rPr>
                <w:rFonts w:cs="Arial"/>
                <w:szCs w:val="20"/>
              </w:rPr>
              <w:t>[%]</w:t>
            </w:r>
          </w:p>
        </w:tc>
        <w:tc>
          <w:tcPr>
            <w:tcW w:w="2209" w:type="dxa"/>
            <w:vAlign w:val="center"/>
            <w:hideMark/>
          </w:tcPr>
          <w:p w:rsidR="00724667" w:rsidRPr="00B148B1" w:rsidRDefault="00724667" w:rsidP="00C62938">
            <w:pPr>
              <w:jc w:val="center"/>
              <w:rPr>
                <w:rFonts w:cs="Arial"/>
                <w:i/>
                <w:iCs/>
                <w:color w:val="000000"/>
                <w:szCs w:val="20"/>
              </w:rPr>
            </w:pPr>
            <w:r w:rsidRPr="00B148B1">
              <w:rPr>
                <w:rFonts w:cs="Arial"/>
                <w:i/>
                <w:iCs/>
                <w:color w:val="000000"/>
                <w:szCs w:val="20"/>
              </w:rPr>
              <w:t>9,</w:t>
            </w:r>
            <w:r w:rsidR="00B30D42" w:rsidRPr="00B148B1">
              <w:rPr>
                <w:rFonts w:cs="Arial"/>
                <w:i/>
                <w:iCs/>
                <w:color w:val="000000"/>
                <w:szCs w:val="20"/>
              </w:rPr>
              <w:t>1</w:t>
            </w:r>
          </w:p>
        </w:tc>
        <w:tc>
          <w:tcPr>
            <w:tcW w:w="2209" w:type="dxa"/>
            <w:vAlign w:val="center"/>
            <w:hideMark/>
          </w:tcPr>
          <w:p w:rsidR="00724667" w:rsidRPr="00B148B1" w:rsidRDefault="00724667" w:rsidP="003C5FE2">
            <w:pPr>
              <w:jc w:val="center"/>
              <w:rPr>
                <w:rFonts w:cs="Arial"/>
                <w:color w:val="000000"/>
                <w:szCs w:val="20"/>
              </w:rPr>
            </w:pPr>
            <w:r w:rsidRPr="00B148B1">
              <w:rPr>
                <w:rFonts w:cs="Arial"/>
                <w:color w:val="000000"/>
                <w:szCs w:val="20"/>
              </w:rPr>
              <w:t>9,</w:t>
            </w:r>
            <w:r w:rsidR="00B30D42" w:rsidRPr="00B148B1">
              <w:rPr>
                <w:rFonts w:cs="Arial"/>
                <w:color w:val="000000"/>
                <w:szCs w:val="20"/>
              </w:rPr>
              <w:t>1</w:t>
            </w:r>
          </w:p>
        </w:tc>
      </w:tr>
      <w:tr w:rsidR="00724667" w:rsidRPr="00B148B1" w:rsidTr="00385BB8">
        <w:trPr>
          <w:cantSplit/>
          <w:trHeight w:val="340"/>
        </w:trPr>
        <w:tc>
          <w:tcPr>
            <w:tcW w:w="3510" w:type="dxa"/>
            <w:vAlign w:val="center"/>
            <w:hideMark/>
          </w:tcPr>
          <w:p w:rsidR="00724667" w:rsidRPr="00B148B1" w:rsidRDefault="00724667" w:rsidP="006A72BD">
            <w:pPr>
              <w:tabs>
                <w:tab w:val="left" w:pos="9600"/>
              </w:tabs>
              <w:spacing w:line="240" w:lineRule="auto"/>
              <w:rPr>
                <w:rFonts w:cs="Arial"/>
                <w:b/>
                <w:szCs w:val="20"/>
              </w:rPr>
            </w:pPr>
            <w:r w:rsidRPr="00B148B1">
              <w:rPr>
                <w:rFonts w:cs="Arial"/>
                <w:b/>
                <w:szCs w:val="20"/>
              </w:rPr>
              <w:lastRenderedPageBreak/>
              <w:t>Skupaj</w:t>
            </w:r>
          </w:p>
        </w:tc>
        <w:tc>
          <w:tcPr>
            <w:tcW w:w="1276" w:type="dxa"/>
            <w:vAlign w:val="center"/>
            <w:hideMark/>
          </w:tcPr>
          <w:p w:rsidR="00724667" w:rsidRPr="00B148B1" w:rsidRDefault="00724667" w:rsidP="006A72BD">
            <w:pPr>
              <w:tabs>
                <w:tab w:val="left" w:pos="9600"/>
              </w:tabs>
              <w:spacing w:line="240" w:lineRule="auto"/>
              <w:jc w:val="center"/>
              <w:rPr>
                <w:rFonts w:cs="Arial"/>
                <w:b/>
                <w:szCs w:val="20"/>
              </w:rPr>
            </w:pPr>
            <w:r w:rsidRPr="00B148B1">
              <w:rPr>
                <w:rFonts w:cs="Arial"/>
                <w:b/>
                <w:szCs w:val="20"/>
              </w:rPr>
              <w:t>[%]</w:t>
            </w:r>
          </w:p>
        </w:tc>
        <w:tc>
          <w:tcPr>
            <w:tcW w:w="2209" w:type="dxa"/>
            <w:vAlign w:val="center"/>
            <w:hideMark/>
          </w:tcPr>
          <w:p w:rsidR="00724667" w:rsidRPr="00B148B1" w:rsidRDefault="00724667">
            <w:pPr>
              <w:jc w:val="center"/>
              <w:rPr>
                <w:rFonts w:cs="Arial"/>
                <w:b/>
                <w:bCs/>
                <w:color w:val="000000"/>
                <w:szCs w:val="20"/>
              </w:rPr>
            </w:pPr>
            <w:r w:rsidRPr="00B148B1">
              <w:rPr>
                <w:rFonts w:cs="Arial"/>
                <w:b/>
                <w:bCs/>
                <w:color w:val="000000"/>
                <w:szCs w:val="20"/>
              </w:rPr>
              <w:t>56,4</w:t>
            </w:r>
          </w:p>
        </w:tc>
        <w:tc>
          <w:tcPr>
            <w:tcW w:w="2209" w:type="dxa"/>
            <w:vAlign w:val="center"/>
            <w:hideMark/>
          </w:tcPr>
          <w:p w:rsidR="00724667" w:rsidRPr="00B148B1" w:rsidRDefault="003862B4">
            <w:pPr>
              <w:jc w:val="center"/>
              <w:rPr>
                <w:rFonts w:cs="Arial"/>
                <w:b/>
                <w:bCs/>
                <w:color w:val="000000"/>
                <w:szCs w:val="20"/>
              </w:rPr>
            </w:pPr>
            <w:r w:rsidRPr="00B148B1">
              <w:rPr>
                <w:rFonts w:cs="Arial"/>
                <w:b/>
                <w:bCs/>
                <w:color w:val="000000"/>
                <w:szCs w:val="20"/>
              </w:rPr>
              <w:t>78,8</w:t>
            </w:r>
          </w:p>
        </w:tc>
      </w:tr>
      <w:tr w:rsidR="00D774EB" w:rsidRPr="00B148B1" w:rsidTr="00385BB8">
        <w:trPr>
          <w:cantSplit/>
          <w:trHeight w:val="340"/>
        </w:trPr>
        <w:tc>
          <w:tcPr>
            <w:tcW w:w="9204" w:type="dxa"/>
            <w:gridSpan w:val="4"/>
            <w:vAlign w:val="center"/>
            <w:hideMark/>
          </w:tcPr>
          <w:p w:rsidR="00D774EB" w:rsidRPr="00B148B1" w:rsidRDefault="00E7746F" w:rsidP="00DA3E33">
            <w:pPr>
              <w:tabs>
                <w:tab w:val="left" w:pos="9600"/>
              </w:tabs>
              <w:spacing w:line="240" w:lineRule="auto"/>
              <w:rPr>
                <w:rFonts w:cs="Arial"/>
                <w:i/>
                <w:szCs w:val="20"/>
              </w:rPr>
            </w:pPr>
            <w:r w:rsidRPr="00B148B1">
              <w:rPr>
                <w:rFonts w:cs="Arial"/>
                <w:b/>
                <w:i/>
                <w:szCs w:val="20"/>
              </w:rPr>
              <w:t>Stopnja priključenosti na</w:t>
            </w:r>
            <w:r w:rsidR="00D774EB" w:rsidRPr="00B148B1">
              <w:rPr>
                <w:rFonts w:cs="Arial"/>
                <w:b/>
                <w:i/>
                <w:szCs w:val="20"/>
              </w:rPr>
              <w:t xml:space="preserve"> ČN</w:t>
            </w:r>
            <w:r w:rsidR="00914C0B" w:rsidRPr="00B148B1">
              <w:rPr>
                <w:rFonts w:cs="Arial"/>
                <w:b/>
                <w:i/>
                <w:szCs w:val="20"/>
              </w:rPr>
              <w:t xml:space="preserve"> </w:t>
            </w:r>
          </w:p>
        </w:tc>
      </w:tr>
      <w:tr w:rsidR="00724667" w:rsidRPr="00B148B1" w:rsidTr="00385BB8">
        <w:trPr>
          <w:cantSplit/>
          <w:trHeight w:val="340"/>
        </w:trPr>
        <w:tc>
          <w:tcPr>
            <w:tcW w:w="3510" w:type="dxa"/>
            <w:vAlign w:val="center"/>
            <w:hideMark/>
          </w:tcPr>
          <w:p w:rsidR="00724667" w:rsidRPr="00B148B1" w:rsidRDefault="00724667" w:rsidP="006A72BD">
            <w:pPr>
              <w:tabs>
                <w:tab w:val="left" w:pos="9600"/>
              </w:tabs>
              <w:spacing w:line="240" w:lineRule="auto"/>
              <w:rPr>
                <w:rFonts w:cs="Arial"/>
                <w:i/>
                <w:szCs w:val="20"/>
              </w:rPr>
            </w:pPr>
            <w:r w:rsidRPr="00B148B1">
              <w:rPr>
                <w:rFonts w:cs="Arial"/>
                <w:i/>
                <w:szCs w:val="20"/>
              </w:rPr>
              <w:t>Skupna nazivna zmogljivost ČN</w:t>
            </w:r>
          </w:p>
        </w:tc>
        <w:tc>
          <w:tcPr>
            <w:tcW w:w="1276" w:type="dxa"/>
            <w:vAlign w:val="center"/>
            <w:hideMark/>
          </w:tcPr>
          <w:p w:rsidR="00724667" w:rsidRPr="00B148B1" w:rsidRDefault="00724667" w:rsidP="006A72BD">
            <w:pPr>
              <w:tabs>
                <w:tab w:val="left" w:pos="9600"/>
              </w:tabs>
              <w:spacing w:line="240" w:lineRule="auto"/>
              <w:jc w:val="center"/>
              <w:rPr>
                <w:rFonts w:cs="Arial"/>
                <w:i/>
                <w:szCs w:val="20"/>
              </w:rPr>
            </w:pPr>
            <w:r w:rsidRPr="00B148B1">
              <w:rPr>
                <w:rFonts w:cs="Arial"/>
                <w:i/>
                <w:szCs w:val="20"/>
              </w:rPr>
              <w:t>[mio PE]</w:t>
            </w:r>
          </w:p>
        </w:tc>
        <w:tc>
          <w:tcPr>
            <w:tcW w:w="2209" w:type="dxa"/>
            <w:vAlign w:val="center"/>
            <w:hideMark/>
          </w:tcPr>
          <w:p w:rsidR="00724667" w:rsidRPr="00B148B1" w:rsidRDefault="00724667">
            <w:pPr>
              <w:jc w:val="center"/>
              <w:rPr>
                <w:rFonts w:cs="Arial"/>
                <w:i/>
                <w:iCs/>
                <w:color w:val="000000"/>
                <w:szCs w:val="20"/>
              </w:rPr>
            </w:pPr>
            <w:r w:rsidRPr="00B148B1">
              <w:rPr>
                <w:rFonts w:cs="Arial"/>
                <w:i/>
                <w:iCs/>
                <w:color w:val="000000"/>
                <w:szCs w:val="20"/>
              </w:rPr>
              <w:t>2,04</w:t>
            </w:r>
          </w:p>
        </w:tc>
        <w:tc>
          <w:tcPr>
            <w:tcW w:w="2209" w:type="dxa"/>
            <w:vAlign w:val="center"/>
            <w:hideMark/>
          </w:tcPr>
          <w:p w:rsidR="00724667" w:rsidRPr="00B148B1" w:rsidRDefault="00724667">
            <w:pPr>
              <w:jc w:val="center"/>
              <w:rPr>
                <w:rFonts w:cs="Arial"/>
                <w:i/>
                <w:iCs/>
                <w:color w:val="000000"/>
                <w:szCs w:val="20"/>
              </w:rPr>
            </w:pPr>
            <w:r w:rsidRPr="00B148B1">
              <w:rPr>
                <w:rFonts w:cs="Arial"/>
                <w:i/>
                <w:iCs/>
                <w:color w:val="000000"/>
                <w:szCs w:val="20"/>
              </w:rPr>
              <w:t>2,70</w:t>
            </w:r>
          </w:p>
        </w:tc>
      </w:tr>
      <w:tr w:rsidR="00724667" w:rsidRPr="00B148B1" w:rsidTr="00385BB8">
        <w:trPr>
          <w:cantSplit/>
          <w:trHeight w:val="340"/>
        </w:trPr>
        <w:tc>
          <w:tcPr>
            <w:tcW w:w="3510" w:type="dxa"/>
            <w:vAlign w:val="center"/>
            <w:hideMark/>
          </w:tcPr>
          <w:p w:rsidR="00724667" w:rsidRPr="00B148B1" w:rsidRDefault="00724667" w:rsidP="006A72BD">
            <w:pPr>
              <w:tabs>
                <w:tab w:val="left" w:pos="9600"/>
              </w:tabs>
              <w:spacing w:line="240" w:lineRule="auto"/>
              <w:rPr>
                <w:rFonts w:cs="Arial"/>
                <w:i/>
                <w:szCs w:val="20"/>
              </w:rPr>
            </w:pPr>
            <w:r w:rsidRPr="00B148B1">
              <w:rPr>
                <w:rFonts w:cs="Arial"/>
                <w:i/>
                <w:szCs w:val="20"/>
              </w:rPr>
              <w:t>Osnovni program</w:t>
            </w:r>
          </w:p>
        </w:tc>
        <w:tc>
          <w:tcPr>
            <w:tcW w:w="1276" w:type="dxa"/>
            <w:vAlign w:val="center"/>
            <w:hideMark/>
          </w:tcPr>
          <w:p w:rsidR="00724667" w:rsidRPr="00B148B1" w:rsidRDefault="00724667" w:rsidP="006A72BD">
            <w:pPr>
              <w:tabs>
                <w:tab w:val="left" w:pos="9600"/>
              </w:tabs>
              <w:spacing w:line="240" w:lineRule="auto"/>
              <w:jc w:val="center"/>
              <w:rPr>
                <w:rFonts w:cs="Arial"/>
                <w:szCs w:val="20"/>
              </w:rPr>
            </w:pPr>
            <w:r w:rsidRPr="00B148B1">
              <w:rPr>
                <w:rFonts w:cs="Arial"/>
                <w:szCs w:val="20"/>
              </w:rPr>
              <w:t>[%]</w:t>
            </w:r>
          </w:p>
        </w:tc>
        <w:tc>
          <w:tcPr>
            <w:tcW w:w="2209" w:type="dxa"/>
            <w:vAlign w:val="center"/>
            <w:hideMark/>
          </w:tcPr>
          <w:p w:rsidR="00724667" w:rsidRPr="00B148B1" w:rsidRDefault="00724667">
            <w:pPr>
              <w:jc w:val="center"/>
              <w:rPr>
                <w:rFonts w:cs="Arial"/>
                <w:b/>
                <w:bCs/>
                <w:i/>
                <w:iCs/>
                <w:color w:val="000000"/>
                <w:szCs w:val="20"/>
              </w:rPr>
            </w:pPr>
            <w:r w:rsidRPr="00B148B1">
              <w:rPr>
                <w:rFonts w:cs="Arial"/>
                <w:b/>
                <w:bCs/>
                <w:i/>
                <w:iCs/>
                <w:color w:val="000000"/>
                <w:szCs w:val="20"/>
              </w:rPr>
              <w:t>48,9</w:t>
            </w:r>
          </w:p>
        </w:tc>
        <w:tc>
          <w:tcPr>
            <w:tcW w:w="2209" w:type="dxa"/>
            <w:vAlign w:val="center"/>
            <w:hideMark/>
          </w:tcPr>
          <w:p w:rsidR="00724667" w:rsidRPr="00B148B1" w:rsidRDefault="00343A3D">
            <w:pPr>
              <w:jc w:val="center"/>
              <w:rPr>
                <w:rFonts w:cs="Arial"/>
                <w:b/>
                <w:bCs/>
                <w:i/>
                <w:iCs/>
                <w:color w:val="000000"/>
                <w:szCs w:val="20"/>
              </w:rPr>
            </w:pPr>
            <w:r w:rsidRPr="00B148B1">
              <w:rPr>
                <w:rFonts w:cs="Arial"/>
                <w:b/>
                <w:bCs/>
                <w:i/>
                <w:iCs/>
                <w:color w:val="000000"/>
                <w:szCs w:val="20"/>
              </w:rPr>
              <w:t>81,0</w:t>
            </w:r>
          </w:p>
        </w:tc>
      </w:tr>
      <w:tr w:rsidR="00724667" w:rsidRPr="00B148B1" w:rsidTr="00385BB8">
        <w:trPr>
          <w:cantSplit/>
          <w:trHeight w:val="340"/>
        </w:trPr>
        <w:tc>
          <w:tcPr>
            <w:tcW w:w="3510" w:type="dxa"/>
            <w:vAlign w:val="center"/>
            <w:hideMark/>
          </w:tcPr>
          <w:p w:rsidR="00724667" w:rsidRPr="00B148B1" w:rsidRDefault="00724667" w:rsidP="006A72BD">
            <w:pPr>
              <w:spacing w:line="240" w:lineRule="auto"/>
              <w:jc w:val="right"/>
              <w:rPr>
                <w:rFonts w:cs="Arial"/>
                <w:color w:val="000000"/>
                <w:szCs w:val="20"/>
              </w:rPr>
            </w:pPr>
            <w:r w:rsidRPr="00B148B1">
              <w:rPr>
                <w:rFonts w:cs="Arial"/>
                <w:color w:val="000000"/>
                <w:szCs w:val="20"/>
              </w:rPr>
              <w:t>aglomeracije ≥ 10.000 PE</w:t>
            </w:r>
          </w:p>
        </w:tc>
        <w:tc>
          <w:tcPr>
            <w:tcW w:w="1276" w:type="dxa"/>
            <w:vAlign w:val="center"/>
            <w:hideMark/>
          </w:tcPr>
          <w:p w:rsidR="00724667" w:rsidRPr="00B148B1" w:rsidRDefault="00724667" w:rsidP="006A72BD">
            <w:pPr>
              <w:tabs>
                <w:tab w:val="left" w:pos="9600"/>
              </w:tabs>
              <w:spacing w:line="240" w:lineRule="auto"/>
              <w:jc w:val="center"/>
              <w:rPr>
                <w:rFonts w:cs="Arial"/>
                <w:szCs w:val="20"/>
              </w:rPr>
            </w:pPr>
            <w:r w:rsidRPr="00B148B1">
              <w:rPr>
                <w:rFonts w:cs="Arial"/>
                <w:szCs w:val="20"/>
              </w:rPr>
              <w:t>[%]</w:t>
            </w:r>
          </w:p>
        </w:tc>
        <w:tc>
          <w:tcPr>
            <w:tcW w:w="2209" w:type="dxa"/>
            <w:vAlign w:val="center"/>
            <w:hideMark/>
          </w:tcPr>
          <w:p w:rsidR="00724667" w:rsidRPr="00B148B1" w:rsidRDefault="00724667">
            <w:pPr>
              <w:jc w:val="center"/>
              <w:rPr>
                <w:rFonts w:cs="Arial"/>
                <w:i/>
                <w:iCs/>
                <w:color w:val="000000"/>
                <w:szCs w:val="20"/>
              </w:rPr>
            </w:pPr>
            <w:r w:rsidRPr="00B148B1">
              <w:rPr>
                <w:rFonts w:cs="Arial"/>
                <w:i/>
                <w:iCs/>
                <w:color w:val="000000"/>
                <w:szCs w:val="20"/>
              </w:rPr>
              <w:t>69,3</w:t>
            </w:r>
          </w:p>
        </w:tc>
        <w:tc>
          <w:tcPr>
            <w:tcW w:w="2209" w:type="dxa"/>
            <w:vAlign w:val="center"/>
            <w:hideMark/>
          </w:tcPr>
          <w:p w:rsidR="00724667" w:rsidRPr="00B148B1" w:rsidRDefault="00343A3D">
            <w:pPr>
              <w:jc w:val="center"/>
              <w:rPr>
                <w:rFonts w:cs="Arial"/>
                <w:color w:val="000000"/>
                <w:szCs w:val="20"/>
              </w:rPr>
            </w:pPr>
            <w:r w:rsidRPr="00B148B1">
              <w:rPr>
                <w:rFonts w:cs="Arial"/>
                <w:color w:val="000000"/>
                <w:szCs w:val="20"/>
              </w:rPr>
              <w:t>95,2</w:t>
            </w:r>
          </w:p>
        </w:tc>
      </w:tr>
      <w:tr w:rsidR="00724667" w:rsidRPr="00B148B1" w:rsidTr="00385BB8">
        <w:trPr>
          <w:cantSplit/>
          <w:trHeight w:val="340"/>
        </w:trPr>
        <w:tc>
          <w:tcPr>
            <w:tcW w:w="3510" w:type="dxa"/>
            <w:vAlign w:val="center"/>
            <w:hideMark/>
          </w:tcPr>
          <w:p w:rsidR="00724667" w:rsidRPr="00B148B1" w:rsidRDefault="00724667" w:rsidP="007374E4">
            <w:pPr>
              <w:spacing w:line="240" w:lineRule="auto"/>
              <w:jc w:val="right"/>
              <w:rPr>
                <w:rFonts w:cs="Arial"/>
                <w:color w:val="000000"/>
                <w:szCs w:val="20"/>
              </w:rPr>
            </w:pPr>
            <w:r w:rsidRPr="00B148B1">
              <w:rPr>
                <w:rFonts w:cs="Arial"/>
                <w:color w:val="000000"/>
                <w:szCs w:val="20"/>
              </w:rPr>
              <w:t xml:space="preserve">aglomeracije </w:t>
            </w:r>
            <w:r w:rsidR="007374E4" w:rsidRPr="00B148B1">
              <w:rPr>
                <w:rFonts w:cs="Arial"/>
                <w:color w:val="000000"/>
                <w:szCs w:val="20"/>
              </w:rPr>
              <w:t xml:space="preserve">od </w:t>
            </w:r>
            <w:r w:rsidRPr="00B148B1">
              <w:rPr>
                <w:rFonts w:cs="Arial"/>
                <w:color w:val="000000"/>
                <w:szCs w:val="20"/>
              </w:rPr>
              <w:t xml:space="preserve">2.000 </w:t>
            </w:r>
            <w:r w:rsidR="007374E4" w:rsidRPr="00B148B1">
              <w:rPr>
                <w:rFonts w:cs="Arial"/>
                <w:color w:val="000000"/>
                <w:szCs w:val="20"/>
              </w:rPr>
              <w:t>do</w:t>
            </w:r>
            <w:r w:rsidRPr="00B148B1">
              <w:rPr>
                <w:rFonts w:cs="Arial"/>
                <w:color w:val="000000"/>
                <w:szCs w:val="20"/>
              </w:rPr>
              <w:t xml:space="preserve"> 10.000 PE</w:t>
            </w:r>
          </w:p>
        </w:tc>
        <w:tc>
          <w:tcPr>
            <w:tcW w:w="1276" w:type="dxa"/>
            <w:vAlign w:val="center"/>
            <w:hideMark/>
          </w:tcPr>
          <w:p w:rsidR="00724667" w:rsidRPr="00B148B1" w:rsidRDefault="00724667" w:rsidP="006A72BD">
            <w:pPr>
              <w:tabs>
                <w:tab w:val="left" w:pos="9600"/>
              </w:tabs>
              <w:spacing w:line="240" w:lineRule="auto"/>
              <w:jc w:val="center"/>
              <w:rPr>
                <w:rFonts w:cs="Arial"/>
                <w:szCs w:val="20"/>
              </w:rPr>
            </w:pPr>
            <w:r w:rsidRPr="00B148B1">
              <w:rPr>
                <w:rFonts w:cs="Arial"/>
                <w:szCs w:val="20"/>
              </w:rPr>
              <w:t>[%]</w:t>
            </w:r>
          </w:p>
        </w:tc>
        <w:tc>
          <w:tcPr>
            <w:tcW w:w="2209" w:type="dxa"/>
            <w:vAlign w:val="center"/>
            <w:hideMark/>
          </w:tcPr>
          <w:p w:rsidR="00724667" w:rsidRPr="00B148B1" w:rsidRDefault="00724667">
            <w:pPr>
              <w:jc w:val="center"/>
              <w:rPr>
                <w:rFonts w:cs="Arial"/>
                <w:i/>
                <w:iCs/>
                <w:color w:val="000000"/>
                <w:szCs w:val="20"/>
              </w:rPr>
            </w:pPr>
            <w:r w:rsidRPr="00B148B1">
              <w:rPr>
                <w:rFonts w:cs="Arial"/>
                <w:i/>
                <w:iCs/>
                <w:color w:val="000000"/>
                <w:szCs w:val="20"/>
              </w:rPr>
              <w:t>36,4</w:t>
            </w:r>
          </w:p>
        </w:tc>
        <w:tc>
          <w:tcPr>
            <w:tcW w:w="2209" w:type="dxa"/>
            <w:vAlign w:val="center"/>
            <w:hideMark/>
          </w:tcPr>
          <w:p w:rsidR="00724667" w:rsidRPr="00B148B1" w:rsidRDefault="00343A3D">
            <w:pPr>
              <w:jc w:val="center"/>
              <w:rPr>
                <w:rFonts w:cs="Arial"/>
                <w:color w:val="000000"/>
                <w:szCs w:val="20"/>
              </w:rPr>
            </w:pPr>
            <w:r w:rsidRPr="00B148B1">
              <w:rPr>
                <w:rFonts w:cs="Arial"/>
                <w:color w:val="000000"/>
                <w:szCs w:val="20"/>
              </w:rPr>
              <w:t>80,9</w:t>
            </w:r>
          </w:p>
        </w:tc>
      </w:tr>
      <w:tr w:rsidR="00724667" w:rsidRPr="00B148B1" w:rsidTr="00385BB8">
        <w:trPr>
          <w:cantSplit/>
          <w:trHeight w:val="340"/>
        </w:trPr>
        <w:tc>
          <w:tcPr>
            <w:tcW w:w="3510" w:type="dxa"/>
            <w:vAlign w:val="center"/>
            <w:hideMark/>
          </w:tcPr>
          <w:p w:rsidR="00724667" w:rsidRPr="00B148B1" w:rsidRDefault="00724667" w:rsidP="006A72BD">
            <w:pPr>
              <w:spacing w:line="240" w:lineRule="auto"/>
              <w:jc w:val="right"/>
              <w:rPr>
                <w:rFonts w:cs="Arial"/>
                <w:color w:val="000000"/>
                <w:szCs w:val="20"/>
              </w:rPr>
            </w:pPr>
            <w:r w:rsidRPr="00B148B1">
              <w:rPr>
                <w:rFonts w:cs="Arial"/>
                <w:color w:val="000000"/>
                <w:szCs w:val="20"/>
              </w:rPr>
              <w:t xml:space="preserve">aglomeracije </w:t>
            </w:r>
            <w:r w:rsidR="007374E4" w:rsidRPr="00B148B1">
              <w:rPr>
                <w:rFonts w:cs="Arial"/>
                <w:color w:val="000000"/>
                <w:szCs w:val="20"/>
              </w:rPr>
              <w:t>od</w:t>
            </w:r>
            <w:r w:rsidRPr="00B148B1">
              <w:rPr>
                <w:rFonts w:cs="Arial"/>
                <w:color w:val="000000"/>
                <w:szCs w:val="20"/>
              </w:rPr>
              <w:t xml:space="preserve"> 500 </w:t>
            </w:r>
            <w:r w:rsidR="007374E4" w:rsidRPr="00B148B1">
              <w:rPr>
                <w:rFonts w:cs="Arial"/>
                <w:color w:val="000000"/>
                <w:szCs w:val="20"/>
              </w:rPr>
              <w:t>do</w:t>
            </w:r>
            <w:r w:rsidRPr="00B148B1">
              <w:rPr>
                <w:rFonts w:cs="Arial"/>
                <w:color w:val="000000"/>
                <w:szCs w:val="20"/>
              </w:rPr>
              <w:t xml:space="preserve"> 2.000 PE</w:t>
            </w:r>
          </w:p>
        </w:tc>
        <w:tc>
          <w:tcPr>
            <w:tcW w:w="1276" w:type="dxa"/>
            <w:vAlign w:val="center"/>
            <w:hideMark/>
          </w:tcPr>
          <w:p w:rsidR="00724667" w:rsidRPr="00B148B1" w:rsidRDefault="00724667" w:rsidP="006A72BD">
            <w:pPr>
              <w:tabs>
                <w:tab w:val="left" w:pos="9600"/>
              </w:tabs>
              <w:spacing w:line="240" w:lineRule="auto"/>
              <w:jc w:val="center"/>
              <w:rPr>
                <w:rFonts w:cs="Arial"/>
                <w:szCs w:val="20"/>
              </w:rPr>
            </w:pPr>
            <w:r w:rsidRPr="00B148B1">
              <w:rPr>
                <w:rFonts w:cs="Arial"/>
                <w:szCs w:val="20"/>
              </w:rPr>
              <w:t>[%]</w:t>
            </w:r>
          </w:p>
        </w:tc>
        <w:tc>
          <w:tcPr>
            <w:tcW w:w="2209" w:type="dxa"/>
            <w:vAlign w:val="center"/>
            <w:hideMark/>
          </w:tcPr>
          <w:p w:rsidR="00724667" w:rsidRPr="00B148B1" w:rsidRDefault="00724667">
            <w:pPr>
              <w:jc w:val="center"/>
              <w:rPr>
                <w:rFonts w:cs="Arial"/>
                <w:i/>
                <w:iCs/>
                <w:color w:val="000000"/>
                <w:szCs w:val="20"/>
              </w:rPr>
            </w:pPr>
            <w:r w:rsidRPr="00B148B1">
              <w:rPr>
                <w:rFonts w:cs="Arial"/>
                <w:i/>
                <w:iCs/>
                <w:color w:val="000000"/>
                <w:szCs w:val="20"/>
              </w:rPr>
              <w:t>25,8</w:t>
            </w:r>
          </w:p>
        </w:tc>
        <w:tc>
          <w:tcPr>
            <w:tcW w:w="2209" w:type="dxa"/>
            <w:vAlign w:val="center"/>
            <w:hideMark/>
          </w:tcPr>
          <w:p w:rsidR="00724667" w:rsidRPr="00B148B1" w:rsidRDefault="003862B4">
            <w:pPr>
              <w:jc w:val="center"/>
              <w:rPr>
                <w:rFonts w:cs="Arial"/>
                <w:color w:val="000000"/>
                <w:szCs w:val="20"/>
              </w:rPr>
            </w:pPr>
            <w:r w:rsidRPr="00B148B1">
              <w:rPr>
                <w:rFonts w:cs="Arial"/>
                <w:color w:val="000000"/>
                <w:szCs w:val="20"/>
              </w:rPr>
              <w:t>63,6</w:t>
            </w:r>
          </w:p>
        </w:tc>
      </w:tr>
      <w:tr w:rsidR="00724667" w:rsidRPr="00B148B1" w:rsidTr="00385BB8">
        <w:trPr>
          <w:cantSplit/>
          <w:trHeight w:val="340"/>
        </w:trPr>
        <w:tc>
          <w:tcPr>
            <w:tcW w:w="3510" w:type="dxa"/>
            <w:vAlign w:val="center"/>
            <w:hideMark/>
          </w:tcPr>
          <w:p w:rsidR="00724667" w:rsidRPr="00B148B1" w:rsidRDefault="00724667" w:rsidP="006A72BD">
            <w:pPr>
              <w:spacing w:line="240" w:lineRule="auto"/>
              <w:jc w:val="right"/>
              <w:rPr>
                <w:rFonts w:cs="Arial"/>
                <w:color w:val="000000"/>
                <w:szCs w:val="20"/>
              </w:rPr>
            </w:pPr>
            <w:r w:rsidRPr="00B148B1">
              <w:rPr>
                <w:rFonts w:cs="Arial"/>
                <w:color w:val="000000"/>
                <w:szCs w:val="20"/>
              </w:rPr>
              <w:t xml:space="preserve">aglomeracije </w:t>
            </w:r>
            <w:r w:rsidR="007374E4" w:rsidRPr="00B148B1">
              <w:rPr>
                <w:rFonts w:cs="Arial"/>
                <w:color w:val="000000"/>
                <w:szCs w:val="20"/>
              </w:rPr>
              <w:t>od</w:t>
            </w:r>
            <w:r w:rsidRPr="00B148B1">
              <w:rPr>
                <w:rFonts w:cs="Arial"/>
                <w:color w:val="000000"/>
                <w:szCs w:val="20"/>
              </w:rPr>
              <w:t xml:space="preserve"> 50 </w:t>
            </w:r>
            <w:r w:rsidR="007374E4" w:rsidRPr="00B148B1">
              <w:rPr>
                <w:rFonts w:cs="Arial"/>
                <w:color w:val="000000"/>
                <w:szCs w:val="20"/>
              </w:rPr>
              <w:t>do</w:t>
            </w:r>
            <w:r w:rsidRPr="00B148B1">
              <w:rPr>
                <w:rFonts w:cs="Arial"/>
                <w:color w:val="000000"/>
                <w:szCs w:val="20"/>
              </w:rPr>
              <w:t xml:space="preserve"> 500 PE</w:t>
            </w:r>
          </w:p>
        </w:tc>
        <w:tc>
          <w:tcPr>
            <w:tcW w:w="1276" w:type="dxa"/>
            <w:vAlign w:val="center"/>
            <w:hideMark/>
          </w:tcPr>
          <w:p w:rsidR="00724667" w:rsidRPr="00B148B1" w:rsidRDefault="00724667" w:rsidP="006A72BD">
            <w:pPr>
              <w:tabs>
                <w:tab w:val="left" w:pos="9600"/>
              </w:tabs>
              <w:spacing w:line="240" w:lineRule="auto"/>
              <w:jc w:val="center"/>
              <w:rPr>
                <w:rFonts w:cs="Arial"/>
                <w:szCs w:val="20"/>
              </w:rPr>
            </w:pPr>
            <w:r w:rsidRPr="00B148B1">
              <w:rPr>
                <w:rFonts w:cs="Arial"/>
                <w:szCs w:val="20"/>
              </w:rPr>
              <w:t>[%]</w:t>
            </w:r>
          </w:p>
        </w:tc>
        <w:tc>
          <w:tcPr>
            <w:tcW w:w="2209" w:type="dxa"/>
            <w:vAlign w:val="center"/>
            <w:hideMark/>
          </w:tcPr>
          <w:p w:rsidR="00724667" w:rsidRPr="00B148B1" w:rsidRDefault="00724667">
            <w:pPr>
              <w:jc w:val="center"/>
              <w:rPr>
                <w:rFonts w:cs="Arial"/>
                <w:i/>
                <w:iCs/>
                <w:color w:val="000000"/>
                <w:szCs w:val="20"/>
              </w:rPr>
            </w:pPr>
            <w:r w:rsidRPr="00B148B1">
              <w:rPr>
                <w:rFonts w:cs="Arial"/>
                <w:i/>
                <w:iCs/>
                <w:color w:val="000000"/>
                <w:szCs w:val="20"/>
              </w:rPr>
              <w:t>10,4</w:t>
            </w:r>
          </w:p>
        </w:tc>
        <w:tc>
          <w:tcPr>
            <w:tcW w:w="2209" w:type="dxa"/>
            <w:vAlign w:val="center"/>
            <w:hideMark/>
          </w:tcPr>
          <w:p w:rsidR="00724667" w:rsidRPr="00B148B1" w:rsidRDefault="003862B4">
            <w:pPr>
              <w:jc w:val="center"/>
              <w:rPr>
                <w:rFonts w:cs="Arial"/>
                <w:color w:val="000000"/>
                <w:szCs w:val="20"/>
              </w:rPr>
            </w:pPr>
            <w:r w:rsidRPr="00B148B1">
              <w:rPr>
                <w:rFonts w:cs="Arial"/>
                <w:color w:val="000000"/>
                <w:szCs w:val="20"/>
              </w:rPr>
              <w:t>30,7</w:t>
            </w:r>
          </w:p>
        </w:tc>
      </w:tr>
      <w:tr w:rsidR="00724667" w:rsidRPr="00B148B1" w:rsidTr="00385BB8">
        <w:trPr>
          <w:cantSplit/>
          <w:trHeight w:val="340"/>
        </w:trPr>
        <w:tc>
          <w:tcPr>
            <w:tcW w:w="3510" w:type="dxa"/>
            <w:vAlign w:val="center"/>
            <w:hideMark/>
          </w:tcPr>
          <w:p w:rsidR="00724667" w:rsidRPr="00B148B1" w:rsidRDefault="00724667" w:rsidP="006A72BD">
            <w:pPr>
              <w:tabs>
                <w:tab w:val="left" w:pos="9600"/>
              </w:tabs>
              <w:spacing w:line="240" w:lineRule="auto"/>
              <w:rPr>
                <w:rFonts w:cs="Arial"/>
                <w:i/>
                <w:szCs w:val="20"/>
              </w:rPr>
            </w:pPr>
            <w:r w:rsidRPr="00B148B1">
              <w:rPr>
                <w:rFonts w:cs="Arial"/>
                <w:i/>
                <w:szCs w:val="20"/>
              </w:rPr>
              <w:t>Dodatni program</w:t>
            </w:r>
          </w:p>
        </w:tc>
        <w:tc>
          <w:tcPr>
            <w:tcW w:w="1276" w:type="dxa"/>
            <w:vAlign w:val="center"/>
            <w:hideMark/>
          </w:tcPr>
          <w:p w:rsidR="00724667" w:rsidRPr="00B148B1" w:rsidRDefault="00724667" w:rsidP="006A72BD">
            <w:pPr>
              <w:tabs>
                <w:tab w:val="left" w:pos="9600"/>
              </w:tabs>
              <w:spacing w:line="240" w:lineRule="auto"/>
              <w:jc w:val="center"/>
              <w:rPr>
                <w:rFonts w:cs="Arial"/>
                <w:szCs w:val="20"/>
              </w:rPr>
            </w:pPr>
            <w:r w:rsidRPr="00B148B1">
              <w:rPr>
                <w:rFonts w:cs="Arial"/>
                <w:szCs w:val="20"/>
              </w:rPr>
              <w:t>[%]</w:t>
            </w:r>
          </w:p>
        </w:tc>
        <w:tc>
          <w:tcPr>
            <w:tcW w:w="2209" w:type="dxa"/>
            <w:vAlign w:val="center"/>
            <w:hideMark/>
          </w:tcPr>
          <w:p w:rsidR="00724667" w:rsidRPr="00B148B1" w:rsidRDefault="00724667">
            <w:pPr>
              <w:jc w:val="center"/>
              <w:rPr>
                <w:rFonts w:cs="Arial"/>
                <w:b/>
                <w:bCs/>
                <w:i/>
                <w:iCs/>
                <w:color w:val="000000"/>
                <w:szCs w:val="20"/>
              </w:rPr>
            </w:pPr>
            <w:r w:rsidRPr="00B148B1">
              <w:rPr>
                <w:rFonts w:cs="Arial"/>
                <w:b/>
                <w:bCs/>
                <w:i/>
                <w:iCs/>
                <w:color w:val="000000"/>
                <w:szCs w:val="20"/>
              </w:rPr>
              <w:t>13,6</w:t>
            </w:r>
          </w:p>
        </w:tc>
        <w:tc>
          <w:tcPr>
            <w:tcW w:w="2209" w:type="dxa"/>
            <w:vAlign w:val="center"/>
            <w:hideMark/>
          </w:tcPr>
          <w:p w:rsidR="00724667" w:rsidRPr="00B148B1" w:rsidRDefault="003862B4">
            <w:pPr>
              <w:jc w:val="center"/>
              <w:rPr>
                <w:rFonts w:cs="Arial"/>
                <w:b/>
                <w:bCs/>
                <w:i/>
                <w:iCs/>
                <w:color w:val="000000"/>
                <w:szCs w:val="20"/>
              </w:rPr>
            </w:pPr>
            <w:r w:rsidRPr="00B148B1">
              <w:rPr>
                <w:rFonts w:cs="Arial"/>
                <w:b/>
                <w:bCs/>
                <w:i/>
                <w:iCs/>
                <w:color w:val="000000"/>
                <w:szCs w:val="20"/>
              </w:rPr>
              <w:t>42,1</w:t>
            </w:r>
          </w:p>
        </w:tc>
      </w:tr>
      <w:tr w:rsidR="00724667" w:rsidRPr="00B148B1" w:rsidTr="00385BB8">
        <w:trPr>
          <w:cantSplit/>
          <w:trHeight w:val="340"/>
        </w:trPr>
        <w:tc>
          <w:tcPr>
            <w:tcW w:w="3510" w:type="dxa"/>
            <w:vAlign w:val="center"/>
            <w:hideMark/>
          </w:tcPr>
          <w:p w:rsidR="00724667" w:rsidRPr="00B148B1" w:rsidRDefault="00724667" w:rsidP="006A72BD">
            <w:pPr>
              <w:spacing w:line="240" w:lineRule="auto"/>
              <w:jc w:val="right"/>
              <w:rPr>
                <w:rFonts w:cs="Arial"/>
                <w:color w:val="000000"/>
                <w:szCs w:val="20"/>
              </w:rPr>
            </w:pPr>
            <w:r w:rsidRPr="00B148B1">
              <w:rPr>
                <w:rFonts w:cs="Arial"/>
                <w:color w:val="000000"/>
                <w:szCs w:val="20"/>
              </w:rPr>
              <w:t xml:space="preserve">aglomeracije </w:t>
            </w:r>
            <w:r w:rsidR="007374E4" w:rsidRPr="00B148B1">
              <w:rPr>
                <w:rFonts w:cs="Arial"/>
                <w:color w:val="000000"/>
                <w:szCs w:val="20"/>
              </w:rPr>
              <w:t>od</w:t>
            </w:r>
            <w:r w:rsidRPr="00B148B1">
              <w:rPr>
                <w:rFonts w:cs="Arial"/>
                <w:color w:val="000000"/>
                <w:szCs w:val="20"/>
              </w:rPr>
              <w:t xml:space="preserve"> 500 </w:t>
            </w:r>
            <w:r w:rsidR="007374E4" w:rsidRPr="00B148B1">
              <w:rPr>
                <w:rFonts w:cs="Arial"/>
                <w:color w:val="000000"/>
                <w:szCs w:val="20"/>
              </w:rPr>
              <w:t>do</w:t>
            </w:r>
            <w:r w:rsidRPr="00B148B1">
              <w:rPr>
                <w:rFonts w:cs="Arial"/>
                <w:color w:val="000000"/>
                <w:szCs w:val="20"/>
              </w:rPr>
              <w:t xml:space="preserve"> 2.000 PE</w:t>
            </w:r>
          </w:p>
        </w:tc>
        <w:tc>
          <w:tcPr>
            <w:tcW w:w="1276" w:type="dxa"/>
            <w:vAlign w:val="center"/>
            <w:hideMark/>
          </w:tcPr>
          <w:p w:rsidR="00724667" w:rsidRPr="00B148B1" w:rsidRDefault="00724667" w:rsidP="006A72BD">
            <w:pPr>
              <w:tabs>
                <w:tab w:val="left" w:pos="9600"/>
              </w:tabs>
              <w:spacing w:line="240" w:lineRule="auto"/>
              <w:jc w:val="center"/>
              <w:rPr>
                <w:rFonts w:cs="Arial"/>
                <w:szCs w:val="20"/>
              </w:rPr>
            </w:pPr>
            <w:r w:rsidRPr="00B148B1">
              <w:rPr>
                <w:rFonts w:cs="Arial"/>
                <w:szCs w:val="20"/>
              </w:rPr>
              <w:t>[%]</w:t>
            </w:r>
          </w:p>
        </w:tc>
        <w:tc>
          <w:tcPr>
            <w:tcW w:w="2209" w:type="dxa"/>
            <w:vAlign w:val="center"/>
            <w:hideMark/>
          </w:tcPr>
          <w:p w:rsidR="00724667" w:rsidRPr="00B148B1" w:rsidRDefault="00724667">
            <w:pPr>
              <w:jc w:val="center"/>
              <w:rPr>
                <w:rFonts w:cs="Arial"/>
                <w:i/>
                <w:iCs/>
                <w:color w:val="000000"/>
                <w:szCs w:val="20"/>
              </w:rPr>
            </w:pPr>
            <w:r w:rsidRPr="00B148B1">
              <w:rPr>
                <w:rFonts w:cs="Arial"/>
                <w:i/>
                <w:iCs/>
                <w:color w:val="000000"/>
                <w:szCs w:val="20"/>
              </w:rPr>
              <w:t>19,6</w:t>
            </w:r>
          </w:p>
        </w:tc>
        <w:tc>
          <w:tcPr>
            <w:tcW w:w="2209" w:type="dxa"/>
            <w:vAlign w:val="center"/>
            <w:hideMark/>
          </w:tcPr>
          <w:p w:rsidR="00724667" w:rsidRPr="00B148B1" w:rsidRDefault="003862B4">
            <w:pPr>
              <w:jc w:val="center"/>
              <w:rPr>
                <w:rFonts w:cs="Arial"/>
                <w:color w:val="000000"/>
                <w:szCs w:val="20"/>
              </w:rPr>
            </w:pPr>
            <w:r w:rsidRPr="00B148B1">
              <w:rPr>
                <w:rFonts w:cs="Arial"/>
                <w:color w:val="000000"/>
                <w:szCs w:val="20"/>
              </w:rPr>
              <w:t>53,0</w:t>
            </w:r>
          </w:p>
        </w:tc>
      </w:tr>
      <w:tr w:rsidR="00724667" w:rsidRPr="00B148B1" w:rsidTr="00385BB8">
        <w:trPr>
          <w:cantSplit/>
          <w:trHeight w:val="340"/>
        </w:trPr>
        <w:tc>
          <w:tcPr>
            <w:tcW w:w="3510" w:type="dxa"/>
            <w:vAlign w:val="center"/>
            <w:hideMark/>
          </w:tcPr>
          <w:p w:rsidR="00724667" w:rsidRPr="00B148B1" w:rsidRDefault="00724667" w:rsidP="006A72BD">
            <w:pPr>
              <w:spacing w:line="240" w:lineRule="auto"/>
              <w:jc w:val="right"/>
              <w:rPr>
                <w:rFonts w:cs="Arial"/>
                <w:color w:val="000000"/>
                <w:szCs w:val="20"/>
              </w:rPr>
            </w:pPr>
            <w:r w:rsidRPr="00B148B1">
              <w:rPr>
                <w:rFonts w:cs="Arial"/>
                <w:color w:val="000000"/>
                <w:szCs w:val="20"/>
              </w:rPr>
              <w:t xml:space="preserve">aglomeracije </w:t>
            </w:r>
            <w:r w:rsidR="007374E4" w:rsidRPr="00B148B1">
              <w:rPr>
                <w:rFonts w:cs="Arial"/>
                <w:color w:val="000000"/>
                <w:szCs w:val="20"/>
              </w:rPr>
              <w:t>od</w:t>
            </w:r>
            <w:r w:rsidRPr="00B148B1">
              <w:rPr>
                <w:rFonts w:cs="Arial"/>
                <w:color w:val="000000"/>
                <w:szCs w:val="20"/>
              </w:rPr>
              <w:t xml:space="preserve"> 50 </w:t>
            </w:r>
            <w:r w:rsidR="007374E4" w:rsidRPr="00B148B1">
              <w:rPr>
                <w:rFonts w:cs="Arial"/>
                <w:color w:val="000000"/>
                <w:szCs w:val="20"/>
              </w:rPr>
              <w:t>do</w:t>
            </w:r>
            <w:r w:rsidRPr="00B148B1">
              <w:rPr>
                <w:rFonts w:cs="Arial"/>
                <w:color w:val="000000"/>
                <w:szCs w:val="20"/>
              </w:rPr>
              <w:t xml:space="preserve"> 500 PE</w:t>
            </w:r>
          </w:p>
        </w:tc>
        <w:tc>
          <w:tcPr>
            <w:tcW w:w="1276" w:type="dxa"/>
            <w:vAlign w:val="center"/>
            <w:hideMark/>
          </w:tcPr>
          <w:p w:rsidR="00724667" w:rsidRPr="00B148B1" w:rsidRDefault="00724667" w:rsidP="006A72BD">
            <w:pPr>
              <w:tabs>
                <w:tab w:val="left" w:pos="9600"/>
              </w:tabs>
              <w:spacing w:line="240" w:lineRule="auto"/>
              <w:jc w:val="center"/>
              <w:rPr>
                <w:rFonts w:cs="Arial"/>
                <w:szCs w:val="20"/>
              </w:rPr>
            </w:pPr>
            <w:r w:rsidRPr="00B148B1">
              <w:rPr>
                <w:rFonts w:cs="Arial"/>
                <w:szCs w:val="20"/>
              </w:rPr>
              <w:t>[%]</w:t>
            </w:r>
          </w:p>
        </w:tc>
        <w:tc>
          <w:tcPr>
            <w:tcW w:w="2209" w:type="dxa"/>
            <w:vAlign w:val="center"/>
            <w:hideMark/>
          </w:tcPr>
          <w:p w:rsidR="00724667" w:rsidRPr="00B148B1" w:rsidRDefault="00724667">
            <w:pPr>
              <w:jc w:val="center"/>
              <w:rPr>
                <w:rFonts w:cs="Arial"/>
                <w:i/>
                <w:iCs/>
                <w:color w:val="000000"/>
                <w:szCs w:val="20"/>
              </w:rPr>
            </w:pPr>
            <w:r w:rsidRPr="00B148B1">
              <w:rPr>
                <w:rFonts w:cs="Arial"/>
                <w:i/>
                <w:iCs/>
                <w:color w:val="000000"/>
                <w:szCs w:val="20"/>
              </w:rPr>
              <w:t>9,1</w:t>
            </w:r>
          </w:p>
        </w:tc>
        <w:tc>
          <w:tcPr>
            <w:tcW w:w="2209" w:type="dxa"/>
            <w:vAlign w:val="center"/>
            <w:hideMark/>
          </w:tcPr>
          <w:p w:rsidR="00724667" w:rsidRPr="00B148B1" w:rsidRDefault="003862B4">
            <w:pPr>
              <w:jc w:val="center"/>
              <w:rPr>
                <w:rFonts w:cs="Arial"/>
                <w:color w:val="000000"/>
                <w:szCs w:val="20"/>
              </w:rPr>
            </w:pPr>
            <w:r w:rsidRPr="00B148B1">
              <w:rPr>
                <w:rFonts w:cs="Arial"/>
                <w:color w:val="000000"/>
                <w:szCs w:val="20"/>
              </w:rPr>
              <w:t>34,1</w:t>
            </w:r>
          </w:p>
        </w:tc>
      </w:tr>
      <w:tr w:rsidR="00724667" w:rsidRPr="00B148B1" w:rsidTr="00385BB8">
        <w:trPr>
          <w:cantSplit/>
          <w:trHeight w:val="340"/>
        </w:trPr>
        <w:tc>
          <w:tcPr>
            <w:tcW w:w="3510" w:type="dxa"/>
            <w:vAlign w:val="center"/>
            <w:hideMark/>
          </w:tcPr>
          <w:p w:rsidR="00724667" w:rsidRPr="00B148B1" w:rsidRDefault="00724667" w:rsidP="006A72BD">
            <w:pPr>
              <w:spacing w:line="240" w:lineRule="auto"/>
              <w:jc w:val="right"/>
              <w:rPr>
                <w:rFonts w:cs="Arial"/>
                <w:color w:val="000000"/>
                <w:szCs w:val="20"/>
              </w:rPr>
            </w:pPr>
            <w:r w:rsidRPr="00B148B1">
              <w:rPr>
                <w:rFonts w:cs="Arial"/>
                <w:color w:val="000000"/>
                <w:szCs w:val="20"/>
              </w:rPr>
              <w:t>aglomeracije &lt; 50 PE</w:t>
            </w:r>
          </w:p>
        </w:tc>
        <w:tc>
          <w:tcPr>
            <w:tcW w:w="1276" w:type="dxa"/>
            <w:vAlign w:val="center"/>
            <w:hideMark/>
          </w:tcPr>
          <w:p w:rsidR="00724667" w:rsidRPr="00B148B1" w:rsidRDefault="00724667" w:rsidP="006A72BD">
            <w:pPr>
              <w:tabs>
                <w:tab w:val="left" w:pos="9600"/>
              </w:tabs>
              <w:spacing w:line="240" w:lineRule="auto"/>
              <w:jc w:val="center"/>
              <w:rPr>
                <w:rFonts w:cs="Arial"/>
                <w:szCs w:val="20"/>
              </w:rPr>
            </w:pPr>
            <w:r w:rsidRPr="00B148B1">
              <w:rPr>
                <w:rFonts w:cs="Arial"/>
                <w:szCs w:val="20"/>
              </w:rPr>
              <w:t>[%]</w:t>
            </w:r>
          </w:p>
        </w:tc>
        <w:tc>
          <w:tcPr>
            <w:tcW w:w="2209" w:type="dxa"/>
            <w:vAlign w:val="center"/>
            <w:hideMark/>
          </w:tcPr>
          <w:p w:rsidR="00724667" w:rsidRPr="00B148B1" w:rsidRDefault="00724667" w:rsidP="00C702A4">
            <w:pPr>
              <w:jc w:val="center"/>
              <w:rPr>
                <w:rFonts w:cs="Arial"/>
                <w:i/>
                <w:iCs/>
                <w:color w:val="000000"/>
                <w:szCs w:val="20"/>
              </w:rPr>
            </w:pPr>
            <w:r w:rsidRPr="00B148B1">
              <w:rPr>
                <w:rFonts w:cs="Arial"/>
                <w:i/>
                <w:iCs/>
                <w:color w:val="000000"/>
                <w:szCs w:val="20"/>
              </w:rPr>
              <w:t>9,</w:t>
            </w:r>
            <w:r w:rsidR="00C702A4" w:rsidRPr="00B148B1">
              <w:rPr>
                <w:rFonts w:cs="Arial"/>
                <w:i/>
                <w:iCs/>
                <w:color w:val="000000"/>
                <w:szCs w:val="20"/>
              </w:rPr>
              <w:t>1</w:t>
            </w:r>
          </w:p>
        </w:tc>
        <w:tc>
          <w:tcPr>
            <w:tcW w:w="2209" w:type="dxa"/>
            <w:vAlign w:val="center"/>
            <w:hideMark/>
          </w:tcPr>
          <w:p w:rsidR="00724667" w:rsidRPr="00B148B1" w:rsidRDefault="00724667" w:rsidP="00212D5E">
            <w:pPr>
              <w:jc w:val="center"/>
              <w:rPr>
                <w:rFonts w:cs="Arial"/>
                <w:color w:val="000000"/>
                <w:szCs w:val="20"/>
              </w:rPr>
            </w:pPr>
            <w:r w:rsidRPr="00B148B1">
              <w:rPr>
                <w:rFonts w:cs="Arial"/>
                <w:color w:val="000000"/>
                <w:szCs w:val="20"/>
              </w:rPr>
              <w:t>9,</w:t>
            </w:r>
            <w:r w:rsidR="00212D5E" w:rsidRPr="00B148B1">
              <w:rPr>
                <w:rFonts w:cs="Arial"/>
                <w:color w:val="000000"/>
                <w:szCs w:val="20"/>
              </w:rPr>
              <w:t>1</w:t>
            </w:r>
          </w:p>
        </w:tc>
      </w:tr>
      <w:tr w:rsidR="00724667" w:rsidRPr="00B148B1" w:rsidTr="00385BB8">
        <w:trPr>
          <w:cantSplit/>
          <w:trHeight w:val="340"/>
        </w:trPr>
        <w:tc>
          <w:tcPr>
            <w:tcW w:w="3510" w:type="dxa"/>
            <w:vAlign w:val="center"/>
            <w:hideMark/>
          </w:tcPr>
          <w:p w:rsidR="00724667" w:rsidRPr="00B148B1" w:rsidRDefault="00724667" w:rsidP="006A72BD">
            <w:pPr>
              <w:tabs>
                <w:tab w:val="left" w:pos="9600"/>
              </w:tabs>
              <w:spacing w:line="240" w:lineRule="auto"/>
              <w:rPr>
                <w:rFonts w:cs="Arial"/>
                <w:b/>
                <w:szCs w:val="20"/>
              </w:rPr>
            </w:pPr>
            <w:r w:rsidRPr="00B148B1">
              <w:rPr>
                <w:rFonts w:cs="Arial"/>
                <w:b/>
                <w:szCs w:val="20"/>
              </w:rPr>
              <w:t>Skupaj</w:t>
            </w:r>
          </w:p>
        </w:tc>
        <w:tc>
          <w:tcPr>
            <w:tcW w:w="1276" w:type="dxa"/>
            <w:vAlign w:val="center"/>
            <w:hideMark/>
          </w:tcPr>
          <w:p w:rsidR="00724667" w:rsidRPr="00B148B1" w:rsidRDefault="00724667" w:rsidP="006A72BD">
            <w:pPr>
              <w:tabs>
                <w:tab w:val="left" w:pos="9600"/>
              </w:tabs>
              <w:spacing w:line="240" w:lineRule="auto"/>
              <w:jc w:val="center"/>
              <w:rPr>
                <w:rFonts w:cs="Arial"/>
                <w:b/>
                <w:szCs w:val="20"/>
              </w:rPr>
            </w:pPr>
            <w:r w:rsidRPr="00B148B1">
              <w:rPr>
                <w:rFonts w:cs="Arial"/>
                <w:b/>
                <w:szCs w:val="20"/>
              </w:rPr>
              <w:t>[%]</w:t>
            </w:r>
          </w:p>
        </w:tc>
        <w:tc>
          <w:tcPr>
            <w:tcW w:w="2209" w:type="dxa"/>
            <w:vAlign w:val="center"/>
            <w:hideMark/>
          </w:tcPr>
          <w:p w:rsidR="00724667" w:rsidRPr="00B148B1" w:rsidRDefault="00724667">
            <w:pPr>
              <w:jc w:val="center"/>
              <w:rPr>
                <w:rFonts w:cs="Arial"/>
                <w:b/>
                <w:bCs/>
                <w:color w:val="000000"/>
                <w:szCs w:val="20"/>
              </w:rPr>
            </w:pPr>
            <w:r w:rsidRPr="00B148B1">
              <w:rPr>
                <w:rFonts w:cs="Arial"/>
                <w:b/>
                <w:bCs/>
                <w:color w:val="000000"/>
                <w:szCs w:val="20"/>
              </w:rPr>
              <w:t>45,2</w:t>
            </w:r>
          </w:p>
        </w:tc>
        <w:tc>
          <w:tcPr>
            <w:tcW w:w="2209" w:type="dxa"/>
            <w:vAlign w:val="center"/>
            <w:hideMark/>
          </w:tcPr>
          <w:p w:rsidR="00724667" w:rsidRPr="00B148B1" w:rsidRDefault="003862B4">
            <w:pPr>
              <w:jc w:val="center"/>
              <w:rPr>
                <w:rFonts w:cs="Arial"/>
                <w:b/>
                <w:bCs/>
                <w:color w:val="000000"/>
                <w:szCs w:val="20"/>
              </w:rPr>
            </w:pPr>
            <w:r w:rsidRPr="00B148B1">
              <w:rPr>
                <w:rFonts w:cs="Arial"/>
                <w:b/>
                <w:bCs/>
                <w:color w:val="000000"/>
                <w:szCs w:val="20"/>
              </w:rPr>
              <w:t>77,0</w:t>
            </w:r>
          </w:p>
        </w:tc>
      </w:tr>
    </w:tbl>
    <w:p w:rsidR="00D774EB" w:rsidRPr="00B148B1" w:rsidRDefault="00D774EB" w:rsidP="00385BB8">
      <w:pPr>
        <w:tabs>
          <w:tab w:val="left" w:leader="dot" w:pos="993"/>
          <w:tab w:val="left" w:pos="9600"/>
        </w:tabs>
        <w:spacing w:before="120" w:line="280" w:lineRule="atLeast"/>
        <w:ind w:left="993" w:hanging="993"/>
        <w:rPr>
          <w:rFonts w:cs="Arial"/>
          <w:sz w:val="18"/>
          <w:szCs w:val="18"/>
        </w:rPr>
      </w:pPr>
      <w:r w:rsidRPr="00B148B1">
        <w:rPr>
          <w:rFonts w:cs="Arial"/>
          <w:sz w:val="18"/>
          <w:szCs w:val="18"/>
        </w:rPr>
        <w:t>JKO</w:t>
      </w:r>
      <w:r w:rsidR="007374E4" w:rsidRPr="00B148B1">
        <w:rPr>
          <w:rFonts w:cs="Arial"/>
          <w:sz w:val="18"/>
          <w:szCs w:val="18"/>
        </w:rPr>
        <w:t xml:space="preserve"> </w:t>
      </w:r>
      <w:r w:rsidR="007374E4" w:rsidRPr="00B148B1">
        <w:rPr>
          <w:rFonts w:cs="Arial"/>
          <w:color w:val="202122"/>
          <w:sz w:val="18"/>
          <w:szCs w:val="18"/>
          <w:shd w:val="clear" w:color="auto" w:fill="FFFFFF"/>
        </w:rPr>
        <w:t xml:space="preserve">– </w:t>
      </w:r>
      <w:r w:rsidRPr="00B148B1">
        <w:rPr>
          <w:rFonts w:cs="Arial"/>
          <w:sz w:val="18"/>
          <w:szCs w:val="18"/>
        </w:rPr>
        <w:t>javno kanalizacijsko omrežje;</w:t>
      </w:r>
    </w:p>
    <w:p w:rsidR="00D774EB" w:rsidRPr="00B148B1" w:rsidRDefault="00D774EB" w:rsidP="00385BB8">
      <w:pPr>
        <w:tabs>
          <w:tab w:val="left" w:leader="dot" w:pos="993"/>
          <w:tab w:val="left" w:pos="9600"/>
        </w:tabs>
        <w:spacing w:before="120" w:line="280" w:lineRule="atLeast"/>
        <w:ind w:left="993" w:hanging="993"/>
        <w:rPr>
          <w:rFonts w:cs="Arial"/>
          <w:sz w:val="18"/>
          <w:szCs w:val="18"/>
        </w:rPr>
      </w:pPr>
      <w:r w:rsidRPr="00B148B1">
        <w:rPr>
          <w:rFonts w:cs="Arial"/>
          <w:sz w:val="18"/>
          <w:szCs w:val="18"/>
        </w:rPr>
        <w:t>ČN</w:t>
      </w:r>
      <w:r w:rsidR="00C5768E" w:rsidRPr="00B148B1">
        <w:rPr>
          <w:rFonts w:cs="Arial"/>
          <w:sz w:val="18"/>
          <w:szCs w:val="18"/>
        </w:rPr>
        <w:t xml:space="preserve"> </w:t>
      </w:r>
      <w:r w:rsidR="007374E4" w:rsidRPr="00B148B1">
        <w:rPr>
          <w:rFonts w:cs="Arial"/>
          <w:color w:val="202122"/>
          <w:sz w:val="18"/>
          <w:szCs w:val="18"/>
          <w:shd w:val="clear" w:color="auto" w:fill="FFFFFF"/>
        </w:rPr>
        <w:t>–</w:t>
      </w:r>
      <w:r w:rsidR="007374E4" w:rsidRPr="00B148B1">
        <w:rPr>
          <w:rFonts w:cs="Arial"/>
          <w:sz w:val="18"/>
          <w:szCs w:val="18"/>
        </w:rPr>
        <w:t xml:space="preserve"> </w:t>
      </w:r>
      <w:r w:rsidRPr="00B148B1">
        <w:rPr>
          <w:rFonts w:cs="Arial"/>
          <w:sz w:val="18"/>
          <w:szCs w:val="18"/>
        </w:rPr>
        <w:t>čistilna naprava, n</w:t>
      </w:r>
      <w:r w:rsidR="009A7BA1" w:rsidRPr="00B148B1">
        <w:rPr>
          <w:rFonts w:cs="Arial"/>
          <w:sz w:val="18"/>
          <w:szCs w:val="18"/>
        </w:rPr>
        <w:t xml:space="preserve">amenjena </w:t>
      </w:r>
      <w:r w:rsidR="005F0303" w:rsidRPr="00B148B1">
        <w:rPr>
          <w:rFonts w:cs="Arial"/>
          <w:sz w:val="18"/>
          <w:szCs w:val="18"/>
        </w:rPr>
        <w:t xml:space="preserve">za </w:t>
      </w:r>
      <w:r w:rsidR="009A7BA1" w:rsidRPr="00B148B1">
        <w:rPr>
          <w:rFonts w:cs="Arial"/>
          <w:sz w:val="18"/>
          <w:szCs w:val="18"/>
        </w:rPr>
        <w:t>izvajanj</w:t>
      </w:r>
      <w:r w:rsidR="005F0303" w:rsidRPr="00B148B1">
        <w:rPr>
          <w:rFonts w:cs="Arial"/>
          <w:sz w:val="18"/>
          <w:szCs w:val="18"/>
        </w:rPr>
        <w:t>e</w:t>
      </w:r>
      <w:r w:rsidR="009A7BA1" w:rsidRPr="00B148B1">
        <w:rPr>
          <w:rFonts w:cs="Arial"/>
          <w:sz w:val="18"/>
          <w:szCs w:val="18"/>
        </w:rPr>
        <w:t xml:space="preserve"> javne službe.</w:t>
      </w:r>
    </w:p>
    <w:p w:rsidR="00D774EB" w:rsidRPr="00B148B1" w:rsidRDefault="00D774EB" w:rsidP="00385BB8">
      <w:pPr>
        <w:tabs>
          <w:tab w:val="left" w:pos="9600"/>
        </w:tabs>
        <w:spacing w:before="120" w:line="280" w:lineRule="atLeast"/>
        <w:rPr>
          <w:rFonts w:cs="Arial"/>
          <w:szCs w:val="20"/>
        </w:rPr>
      </w:pPr>
      <w:r w:rsidRPr="00B148B1">
        <w:rPr>
          <w:rFonts w:cs="Arial"/>
          <w:szCs w:val="20"/>
        </w:rPr>
        <w:t xml:space="preserve">Primerjava podatkov o stopnji priključenosti na javno kanalizacijsko omrežje in na komunalno ali skupno čistilno napravo, namenjeno </w:t>
      </w:r>
      <w:r w:rsidR="006C6951" w:rsidRPr="00B148B1">
        <w:rPr>
          <w:rFonts w:cs="Arial"/>
          <w:szCs w:val="20"/>
        </w:rPr>
        <w:t xml:space="preserve">za </w:t>
      </w:r>
      <w:r w:rsidRPr="00B148B1">
        <w:rPr>
          <w:rFonts w:cs="Arial"/>
          <w:szCs w:val="20"/>
        </w:rPr>
        <w:t>izvajanj</w:t>
      </w:r>
      <w:r w:rsidR="006C6951" w:rsidRPr="00B148B1">
        <w:rPr>
          <w:rFonts w:cs="Arial"/>
          <w:szCs w:val="20"/>
        </w:rPr>
        <w:t>e</w:t>
      </w:r>
      <w:r w:rsidRPr="00B148B1">
        <w:rPr>
          <w:rFonts w:cs="Arial"/>
          <w:szCs w:val="20"/>
        </w:rPr>
        <w:t xml:space="preserve"> javne službe, na presečni datum 31. december 201</w:t>
      </w:r>
      <w:r w:rsidR="00B35B48" w:rsidRPr="00B148B1">
        <w:rPr>
          <w:rFonts w:cs="Arial"/>
          <w:szCs w:val="20"/>
        </w:rPr>
        <w:t>8</w:t>
      </w:r>
      <w:r w:rsidRPr="00B148B1">
        <w:rPr>
          <w:rFonts w:cs="Arial"/>
          <w:szCs w:val="20"/>
        </w:rPr>
        <w:t xml:space="preserve"> kaže napredek glede na presečni datum predhodnega operativnega programa, 31. december 2008. </w:t>
      </w:r>
    </w:p>
    <w:p w:rsidR="00D774EB" w:rsidRPr="00B148B1" w:rsidRDefault="00D774EB" w:rsidP="00385BB8">
      <w:pPr>
        <w:tabs>
          <w:tab w:val="left" w:pos="9600"/>
        </w:tabs>
        <w:spacing w:before="120" w:line="280" w:lineRule="atLeast"/>
        <w:rPr>
          <w:rFonts w:cs="Arial"/>
          <w:szCs w:val="20"/>
        </w:rPr>
      </w:pPr>
      <w:r w:rsidRPr="00B148B1">
        <w:rPr>
          <w:rFonts w:cs="Arial"/>
          <w:szCs w:val="20"/>
        </w:rPr>
        <w:t xml:space="preserve">Povprečni delež priključenosti na javno </w:t>
      </w:r>
      <w:r w:rsidR="000F572A" w:rsidRPr="00B148B1">
        <w:rPr>
          <w:rFonts w:cs="Arial"/>
          <w:szCs w:val="20"/>
        </w:rPr>
        <w:t>k</w:t>
      </w:r>
      <w:r w:rsidRPr="00B148B1">
        <w:rPr>
          <w:rFonts w:cs="Arial"/>
          <w:szCs w:val="20"/>
        </w:rPr>
        <w:t>analizacijsko omrežje se je za celotno Slovenijo glede na presečni datum predhodnega operativnega programa, 3</w:t>
      </w:r>
      <w:r w:rsidR="00C5768E" w:rsidRPr="00B148B1">
        <w:rPr>
          <w:rFonts w:cs="Arial"/>
          <w:szCs w:val="20"/>
        </w:rPr>
        <w:t>1. december 2008, povečal</w:t>
      </w:r>
      <w:r w:rsidRPr="00B148B1">
        <w:rPr>
          <w:rFonts w:cs="Arial"/>
          <w:szCs w:val="20"/>
        </w:rPr>
        <w:t xml:space="preserve"> </w:t>
      </w:r>
      <w:r w:rsidR="00AF6025" w:rsidRPr="00B148B1">
        <w:rPr>
          <w:rFonts w:cs="Arial"/>
          <w:szCs w:val="20"/>
        </w:rPr>
        <w:t xml:space="preserve">s </w:t>
      </w:r>
      <w:r w:rsidRPr="00B148B1">
        <w:rPr>
          <w:rFonts w:cs="Arial"/>
          <w:szCs w:val="20"/>
        </w:rPr>
        <w:t>56,4 odstotk</w:t>
      </w:r>
      <w:r w:rsidR="003D58F4">
        <w:rPr>
          <w:rFonts w:cs="Arial"/>
          <w:szCs w:val="20"/>
        </w:rPr>
        <w:t>a</w:t>
      </w:r>
      <w:r w:rsidRPr="00B148B1">
        <w:rPr>
          <w:rFonts w:cs="Arial"/>
          <w:szCs w:val="20"/>
        </w:rPr>
        <w:t xml:space="preserve"> na </w:t>
      </w:r>
      <w:r w:rsidR="00AF6025" w:rsidRPr="00B148B1">
        <w:rPr>
          <w:rFonts w:cs="Arial"/>
          <w:szCs w:val="20"/>
        </w:rPr>
        <w:t xml:space="preserve">77,7 </w:t>
      </w:r>
      <w:r w:rsidRPr="00B148B1">
        <w:rPr>
          <w:rFonts w:cs="Arial"/>
          <w:szCs w:val="20"/>
        </w:rPr>
        <w:t>odstotk</w:t>
      </w:r>
      <w:r w:rsidR="00AF6025" w:rsidRPr="00B148B1">
        <w:rPr>
          <w:rFonts w:cs="Arial"/>
          <w:szCs w:val="20"/>
        </w:rPr>
        <w:t>a</w:t>
      </w:r>
      <w:r w:rsidRPr="00B148B1">
        <w:rPr>
          <w:rFonts w:cs="Arial"/>
          <w:szCs w:val="20"/>
        </w:rPr>
        <w:t xml:space="preserve">. Povprečni delež priključenosti na komunalno ali skupno čistilno napravo, namenjeno </w:t>
      </w:r>
      <w:r w:rsidR="00D43A05" w:rsidRPr="00B148B1">
        <w:rPr>
          <w:rFonts w:cs="Arial"/>
          <w:szCs w:val="20"/>
        </w:rPr>
        <w:t xml:space="preserve">za </w:t>
      </w:r>
      <w:r w:rsidRPr="00B148B1">
        <w:rPr>
          <w:rFonts w:cs="Arial"/>
          <w:szCs w:val="20"/>
        </w:rPr>
        <w:t>izvajanj</w:t>
      </w:r>
      <w:r w:rsidR="00D43A05" w:rsidRPr="00B148B1">
        <w:rPr>
          <w:rFonts w:cs="Arial"/>
          <w:szCs w:val="20"/>
        </w:rPr>
        <w:t>e</w:t>
      </w:r>
      <w:r w:rsidRPr="00B148B1">
        <w:rPr>
          <w:rFonts w:cs="Arial"/>
          <w:szCs w:val="20"/>
        </w:rPr>
        <w:t xml:space="preserve"> javne službe, se je za celotno Slovenijo glede na presečni datum predhodnega operativnega programa, 31. december 2008, povečal </w:t>
      </w:r>
      <w:r w:rsidR="00AF6025" w:rsidRPr="00B148B1">
        <w:rPr>
          <w:rFonts w:cs="Arial"/>
          <w:szCs w:val="20"/>
        </w:rPr>
        <w:t xml:space="preserve">s </w:t>
      </w:r>
      <w:r w:rsidRPr="00B148B1">
        <w:rPr>
          <w:rFonts w:cs="Arial"/>
          <w:szCs w:val="20"/>
        </w:rPr>
        <w:t xml:space="preserve">45,2 </w:t>
      </w:r>
      <w:r w:rsidR="002434DF" w:rsidRPr="00B148B1">
        <w:rPr>
          <w:rFonts w:cs="Arial"/>
          <w:szCs w:val="20"/>
        </w:rPr>
        <w:t xml:space="preserve">odstotka </w:t>
      </w:r>
      <w:r w:rsidRPr="00B148B1">
        <w:rPr>
          <w:rFonts w:cs="Arial"/>
          <w:szCs w:val="20"/>
        </w:rPr>
        <w:t xml:space="preserve">na </w:t>
      </w:r>
      <w:r w:rsidR="00C5768E" w:rsidRPr="00B148B1">
        <w:rPr>
          <w:rFonts w:cs="Arial"/>
          <w:szCs w:val="20"/>
        </w:rPr>
        <w:t>75,4</w:t>
      </w:r>
      <w:r w:rsidRPr="00B148B1">
        <w:rPr>
          <w:rFonts w:cs="Arial"/>
          <w:szCs w:val="20"/>
        </w:rPr>
        <w:t xml:space="preserve"> odstotk</w:t>
      </w:r>
      <w:r w:rsidR="00AF6025" w:rsidRPr="00B148B1">
        <w:rPr>
          <w:rFonts w:cs="Arial"/>
          <w:szCs w:val="20"/>
        </w:rPr>
        <w:t>a</w:t>
      </w:r>
      <w:r w:rsidR="00C5768E" w:rsidRPr="00B148B1">
        <w:rPr>
          <w:rFonts w:cs="Arial"/>
          <w:szCs w:val="20"/>
        </w:rPr>
        <w:t>.</w:t>
      </w:r>
      <w:r w:rsidR="00AF6025" w:rsidRPr="00B148B1">
        <w:rPr>
          <w:rFonts w:cs="Arial"/>
          <w:szCs w:val="20"/>
        </w:rPr>
        <w:t xml:space="preserve">                                                                                      </w:t>
      </w:r>
      <w:r w:rsidR="00C5768E" w:rsidRPr="00B148B1">
        <w:rPr>
          <w:rFonts w:cs="Arial"/>
          <w:szCs w:val="20"/>
        </w:rPr>
        <w:t xml:space="preserve">                               </w:t>
      </w:r>
      <w:r w:rsidRPr="00B148B1">
        <w:rPr>
          <w:rFonts w:cs="Arial"/>
          <w:szCs w:val="20"/>
        </w:rPr>
        <w:t xml:space="preserve"> </w:t>
      </w:r>
    </w:p>
    <w:p w:rsidR="00FB0002" w:rsidRPr="00B148B1" w:rsidRDefault="00FB0002" w:rsidP="00385BB8">
      <w:pPr>
        <w:tabs>
          <w:tab w:val="left" w:pos="9600"/>
        </w:tabs>
        <w:spacing w:before="120" w:line="280" w:lineRule="atLeast"/>
        <w:rPr>
          <w:rFonts w:cs="Arial"/>
          <w:szCs w:val="20"/>
        </w:rPr>
      </w:pPr>
    </w:p>
    <w:p w:rsidR="004B3FD9" w:rsidRPr="00866B34" w:rsidRDefault="00DE2C9A" w:rsidP="00866B34">
      <w:pPr>
        <w:pStyle w:val="Naslov4"/>
      </w:pPr>
      <w:bookmarkStart w:id="56" w:name="_Ref446415626"/>
      <w:bookmarkStart w:id="57" w:name="_Toc50628067"/>
      <w:r w:rsidRPr="00866B34">
        <w:t xml:space="preserve">2.1.4.1 </w:t>
      </w:r>
      <w:r w:rsidR="004B3FD9" w:rsidRPr="00866B34">
        <w:t>Ocena stopnje priključenosti na javno kanalizacijo</w:t>
      </w:r>
      <w:bookmarkEnd w:id="56"/>
      <w:r w:rsidR="009A7BA1" w:rsidRPr="00866B34">
        <w:t xml:space="preserve"> – v aglomeracijah iz predhodnega operativnega programa</w:t>
      </w:r>
      <w:bookmarkEnd w:id="57"/>
    </w:p>
    <w:p w:rsidR="00DE2C9A" w:rsidRPr="00B148B1" w:rsidRDefault="00DE2C9A" w:rsidP="00385BB8"/>
    <w:p w:rsidR="004B3FD9" w:rsidRPr="00B148B1" w:rsidRDefault="004B3FD9" w:rsidP="00866B34">
      <w:r w:rsidRPr="00B148B1">
        <w:t xml:space="preserve">Stopnja priključenosti posameznih aglomeracij je prikazana v odstotkih glede na skupno obremenitev aglomeracije. </w:t>
      </w:r>
    </w:p>
    <w:p w:rsidR="004B3FD9" w:rsidRPr="00B148B1" w:rsidRDefault="004B3FD9" w:rsidP="00385BB8">
      <w:pPr>
        <w:tabs>
          <w:tab w:val="left" w:pos="9600"/>
        </w:tabs>
        <w:spacing w:before="120" w:line="280" w:lineRule="atLeast"/>
        <w:rPr>
          <w:rFonts w:cs="Arial"/>
          <w:szCs w:val="20"/>
        </w:rPr>
      </w:pPr>
      <w:r w:rsidRPr="00B148B1">
        <w:rPr>
          <w:rFonts w:cs="Arial"/>
          <w:szCs w:val="20"/>
        </w:rPr>
        <w:t>Podatki o priključenosti na javno kanalizacijsko omrežje po velikostnih razredih aglomeracij so prikazani v preglednici (</w:t>
      </w:r>
      <w:r w:rsidRPr="00B148B1">
        <w:rPr>
          <w:rFonts w:cs="Arial"/>
          <w:szCs w:val="20"/>
        </w:rPr>
        <w:fldChar w:fldCharType="begin"/>
      </w:r>
      <w:r w:rsidRPr="00B148B1">
        <w:rPr>
          <w:rFonts w:cs="Arial"/>
          <w:szCs w:val="20"/>
        </w:rPr>
        <w:instrText xml:space="preserve"> REF _Ref446337491 \h  \* MERGEFORMAT </w:instrText>
      </w:r>
      <w:r w:rsidRPr="00B148B1">
        <w:rPr>
          <w:rFonts w:cs="Arial"/>
          <w:szCs w:val="20"/>
        </w:rPr>
      </w:r>
      <w:r w:rsidRPr="00B148B1">
        <w:rPr>
          <w:rFonts w:cs="Arial"/>
          <w:szCs w:val="20"/>
        </w:rPr>
        <w:fldChar w:fldCharType="separate"/>
      </w:r>
      <w:r w:rsidR="00E92793" w:rsidRPr="00B148B1">
        <w:rPr>
          <w:rFonts w:cs="Arial"/>
          <w:szCs w:val="20"/>
        </w:rPr>
        <w:t xml:space="preserve">Preglednica </w:t>
      </w:r>
      <w:r w:rsidR="00E92793">
        <w:rPr>
          <w:rFonts w:cs="Arial"/>
          <w:szCs w:val="20"/>
        </w:rPr>
        <w:t>4</w:t>
      </w:r>
      <w:r w:rsidRPr="00B148B1">
        <w:rPr>
          <w:rFonts w:cs="Arial"/>
          <w:szCs w:val="20"/>
        </w:rPr>
        <w:fldChar w:fldCharType="end"/>
      </w:r>
      <w:r w:rsidRPr="00B148B1">
        <w:rPr>
          <w:rFonts w:cs="Arial"/>
          <w:szCs w:val="20"/>
        </w:rPr>
        <w:t>). Skupni delež priključenosti na javno kanalizacijsko omrežje na presečni datum 31. december 201</w:t>
      </w:r>
      <w:r w:rsidR="00890C64" w:rsidRPr="00B148B1">
        <w:rPr>
          <w:rFonts w:cs="Arial"/>
          <w:szCs w:val="20"/>
        </w:rPr>
        <w:t>8</w:t>
      </w:r>
      <w:r w:rsidRPr="00B148B1">
        <w:rPr>
          <w:rFonts w:cs="Arial"/>
          <w:szCs w:val="20"/>
        </w:rPr>
        <w:t xml:space="preserve"> je </w:t>
      </w:r>
      <w:r w:rsidR="00C62938" w:rsidRPr="00B148B1">
        <w:rPr>
          <w:rFonts w:cs="Arial"/>
          <w:szCs w:val="20"/>
        </w:rPr>
        <w:t>78</w:t>
      </w:r>
      <w:r w:rsidRPr="00B148B1">
        <w:rPr>
          <w:rFonts w:cs="Arial"/>
          <w:szCs w:val="20"/>
        </w:rPr>
        <w:t>,</w:t>
      </w:r>
      <w:r w:rsidR="007259D7" w:rsidRPr="00B148B1">
        <w:rPr>
          <w:rFonts w:cs="Arial"/>
          <w:szCs w:val="20"/>
        </w:rPr>
        <w:t>8</w:t>
      </w:r>
      <w:r w:rsidRPr="00B148B1">
        <w:rPr>
          <w:rFonts w:cs="Arial"/>
          <w:szCs w:val="20"/>
        </w:rPr>
        <w:t xml:space="preserve"> odstot</w:t>
      </w:r>
      <w:r w:rsidR="00CB3B52" w:rsidRPr="00B148B1">
        <w:rPr>
          <w:rFonts w:cs="Arial"/>
          <w:szCs w:val="20"/>
        </w:rPr>
        <w:t>k</w:t>
      </w:r>
      <w:r w:rsidR="00AF6025" w:rsidRPr="00B148B1">
        <w:rPr>
          <w:rFonts w:cs="Arial"/>
          <w:szCs w:val="20"/>
        </w:rPr>
        <w:t>a</w:t>
      </w:r>
      <w:r w:rsidRPr="00B148B1">
        <w:rPr>
          <w:rFonts w:cs="Arial"/>
          <w:szCs w:val="20"/>
        </w:rPr>
        <w:t xml:space="preserve">, skupni delež priključenosti na komunalno ali skupno čistilno napravo, pa je </w:t>
      </w:r>
      <w:r w:rsidR="00C62938" w:rsidRPr="00B148B1">
        <w:rPr>
          <w:rFonts w:cs="Arial"/>
          <w:szCs w:val="20"/>
        </w:rPr>
        <w:t>77,0</w:t>
      </w:r>
      <w:r w:rsidRPr="00B148B1">
        <w:rPr>
          <w:rFonts w:cs="Arial"/>
          <w:szCs w:val="20"/>
        </w:rPr>
        <w:t xml:space="preserve"> odstot</w:t>
      </w:r>
      <w:r w:rsidR="00AF6025" w:rsidRPr="00B148B1">
        <w:rPr>
          <w:rFonts w:cs="Arial"/>
          <w:szCs w:val="20"/>
        </w:rPr>
        <w:t>ka</w:t>
      </w:r>
      <w:r w:rsidRPr="00B148B1">
        <w:rPr>
          <w:rFonts w:cs="Arial"/>
          <w:szCs w:val="20"/>
        </w:rPr>
        <w:t xml:space="preserve">. Deleži priključenosti so </w:t>
      </w:r>
      <w:r w:rsidR="00AF6025" w:rsidRPr="00B148B1">
        <w:rPr>
          <w:rFonts w:cs="Arial"/>
          <w:szCs w:val="20"/>
        </w:rPr>
        <w:t>p</w:t>
      </w:r>
      <w:r w:rsidRPr="00B148B1">
        <w:rPr>
          <w:rFonts w:cs="Arial"/>
          <w:szCs w:val="20"/>
        </w:rPr>
        <w:t>rikazani glede na skupno obremenitev, izraženo v PE.</w:t>
      </w:r>
    </w:p>
    <w:p w:rsidR="004B3FD9" w:rsidRPr="00B148B1" w:rsidRDefault="004B3FD9" w:rsidP="00385BB8">
      <w:pPr>
        <w:tabs>
          <w:tab w:val="left" w:pos="851"/>
          <w:tab w:val="left" w:pos="1418"/>
          <w:tab w:val="left" w:pos="9600"/>
        </w:tabs>
        <w:spacing w:before="120" w:line="280" w:lineRule="atLeast"/>
        <w:rPr>
          <w:rFonts w:cs="Arial"/>
          <w:szCs w:val="20"/>
        </w:rPr>
      </w:pPr>
      <w:bookmarkStart w:id="58" w:name="_Ref446337491"/>
      <w:bookmarkStart w:id="59" w:name="_Toc50626720"/>
      <w:r w:rsidRPr="00B148B1">
        <w:rPr>
          <w:rFonts w:cs="Arial"/>
          <w:szCs w:val="20"/>
        </w:rPr>
        <w:t xml:space="preserve">Preglednica </w:t>
      </w:r>
      <w:r w:rsidRPr="00B148B1">
        <w:rPr>
          <w:rFonts w:cs="Arial"/>
          <w:szCs w:val="20"/>
        </w:rPr>
        <w:fldChar w:fldCharType="begin"/>
      </w:r>
      <w:r w:rsidRPr="00B148B1">
        <w:rPr>
          <w:rFonts w:cs="Arial"/>
          <w:szCs w:val="20"/>
        </w:rPr>
        <w:instrText xml:space="preserve"> SEQ Preglednica \* ARABIC </w:instrText>
      </w:r>
      <w:r w:rsidRPr="00B148B1">
        <w:rPr>
          <w:rFonts w:cs="Arial"/>
          <w:szCs w:val="20"/>
        </w:rPr>
        <w:fldChar w:fldCharType="separate"/>
      </w:r>
      <w:r w:rsidR="00E92793">
        <w:rPr>
          <w:rFonts w:cs="Arial"/>
          <w:noProof/>
          <w:szCs w:val="20"/>
        </w:rPr>
        <w:t>4</w:t>
      </w:r>
      <w:r w:rsidRPr="00B148B1">
        <w:rPr>
          <w:rFonts w:cs="Arial"/>
          <w:szCs w:val="20"/>
        </w:rPr>
        <w:fldChar w:fldCharType="end"/>
      </w:r>
      <w:bookmarkEnd w:id="58"/>
      <w:r w:rsidRPr="00B148B1">
        <w:rPr>
          <w:rFonts w:cs="Arial"/>
          <w:szCs w:val="20"/>
        </w:rPr>
        <w:t xml:space="preserve">: </w:t>
      </w:r>
      <w:proofErr w:type="spellStart"/>
      <w:r w:rsidRPr="00B148B1">
        <w:rPr>
          <w:rFonts w:cs="Arial"/>
          <w:szCs w:val="20"/>
        </w:rPr>
        <w:t>Priključenost</w:t>
      </w:r>
      <w:proofErr w:type="spellEnd"/>
      <w:r w:rsidRPr="00B148B1">
        <w:rPr>
          <w:rFonts w:cs="Arial"/>
          <w:szCs w:val="20"/>
        </w:rPr>
        <w:t xml:space="preserve"> na javno kanalizacijo po velikostnih razredih aglomeracij</w:t>
      </w:r>
      <w:r w:rsidR="00D0357C" w:rsidRPr="00B148B1">
        <w:rPr>
          <w:rFonts w:cs="Arial"/>
          <w:szCs w:val="20"/>
        </w:rPr>
        <w:t xml:space="preserve"> iz predhodnega operativnega programa</w:t>
      </w:r>
      <w:bookmarkEnd w:id="59"/>
    </w:p>
    <w:tbl>
      <w:tblPr>
        <w:tblStyle w:val="Tabelamrea"/>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Caption w:val="Priključenost na javno kanalizacijo po velikostnih razredih aglomeracij iz predhodnega operativnega programa"/>
        <w:tblDescription w:val="Priključenost na javno kanalizacijo po velikostnih razredih aglomeracij iz predhodnega operativnega programa"/>
      </w:tblPr>
      <w:tblGrid>
        <w:gridCol w:w="3510"/>
        <w:gridCol w:w="1418"/>
        <w:gridCol w:w="1276"/>
        <w:gridCol w:w="992"/>
        <w:gridCol w:w="1134"/>
        <w:gridCol w:w="902"/>
      </w:tblGrid>
      <w:tr w:rsidR="004B3FD9" w:rsidRPr="00B148B1" w:rsidTr="00385BB8">
        <w:trPr>
          <w:cantSplit/>
          <w:trHeight w:val="680"/>
          <w:tblHeader/>
        </w:trPr>
        <w:tc>
          <w:tcPr>
            <w:tcW w:w="3510" w:type="dxa"/>
            <w:vAlign w:val="center"/>
          </w:tcPr>
          <w:p w:rsidR="004B3FD9" w:rsidRPr="00B148B1" w:rsidRDefault="004B3FD9" w:rsidP="008F36B7">
            <w:pPr>
              <w:tabs>
                <w:tab w:val="left" w:pos="851"/>
                <w:tab w:val="left" w:pos="1418"/>
                <w:tab w:val="left" w:pos="9600"/>
              </w:tabs>
              <w:spacing w:line="240" w:lineRule="auto"/>
              <w:rPr>
                <w:rFonts w:cs="Arial"/>
                <w:b/>
                <w:szCs w:val="20"/>
              </w:rPr>
            </w:pPr>
            <w:r w:rsidRPr="00B148B1">
              <w:rPr>
                <w:rFonts w:cs="Arial"/>
                <w:b/>
                <w:szCs w:val="20"/>
              </w:rPr>
              <w:t>Aglomeracije</w:t>
            </w:r>
          </w:p>
        </w:tc>
        <w:tc>
          <w:tcPr>
            <w:tcW w:w="1418" w:type="dxa"/>
            <w:vAlign w:val="center"/>
          </w:tcPr>
          <w:p w:rsidR="004B3FD9" w:rsidRPr="00B148B1" w:rsidRDefault="004B3FD9" w:rsidP="008F36B7">
            <w:pPr>
              <w:tabs>
                <w:tab w:val="left" w:pos="851"/>
                <w:tab w:val="left" w:pos="1202"/>
                <w:tab w:val="left" w:pos="9600"/>
              </w:tabs>
              <w:spacing w:line="240" w:lineRule="auto"/>
              <w:ind w:left="-108"/>
              <w:jc w:val="center"/>
              <w:rPr>
                <w:rFonts w:cs="Arial"/>
                <w:b/>
                <w:szCs w:val="20"/>
              </w:rPr>
            </w:pPr>
            <w:r w:rsidRPr="00B148B1">
              <w:rPr>
                <w:rFonts w:cs="Arial"/>
                <w:b/>
                <w:szCs w:val="20"/>
              </w:rPr>
              <w:t>Skupna obremenitev</w:t>
            </w:r>
          </w:p>
        </w:tc>
        <w:tc>
          <w:tcPr>
            <w:tcW w:w="4304" w:type="dxa"/>
            <w:gridSpan w:val="4"/>
            <w:vAlign w:val="center"/>
          </w:tcPr>
          <w:p w:rsidR="004B3FD9" w:rsidRPr="00B148B1" w:rsidRDefault="004B3FD9" w:rsidP="008F36B7">
            <w:pPr>
              <w:tabs>
                <w:tab w:val="left" w:pos="851"/>
                <w:tab w:val="left" w:pos="1418"/>
                <w:tab w:val="left" w:pos="9600"/>
              </w:tabs>
              <w:spacing w:line="240" w:lineRule="auto"/>
              <w:ind w:left="-63" w:right="-56"/>
              <w:jc w:val="center"/>
              <w:rPr>
                <w:rFonts w:cs="Arial"/>
                <w:b/>
                <w:szCs w:val="20"/>
              </w:rPr>
            </w:pPr>
            <w:proofErr w:type="spellStart"/>
            <w:r w:rsidRPr="00B148B1">
              <w:rPr>
                <w:rFonts w:cs="Arial"/>
                <w:b/>
                <w:szCs w:val="20"/>
              </w:rPr>
              <w:t>Priključenost</w:t>
            </w:r>
            <w:proofErr w:type="spellEnd"/>
          </w:p>
        </w:tc>
      </w:tr>
      <w:tr w:rsidR="004B3FD9" w:rsidRPr="00B148B1" w:rsidTr="00385BB8">
        <w:trPr>
          <w:cantSplit/>
          <w:trHeight w:val="340"/>
          <w:tblHeader/>
        </w:trPr>
        <w:tc>
          <w:tcPr>
            <w:tcW w:w="3510" w:type="dxa"/>
            <w:vAlign w:val="center"/>
          </w:tcPr>
          <w:p w:rsidR="004B3FD9" w:rsidRPr="00B148B1" w:rsidRDefault="004B3FD9" w:rsidP="008F36B7">
            <w:pPr>
              <w:tabs>
                <w:tab w:val="left" w:pos="851"/>
                <w:tab w:val="left" w:pos="1418"/>
                <w:tab w:val="left" w:pos="9600"/>
              </w:tabs>
              <w:spacing w:line="240" w:lineRule="auto"/>
              <w:jc w:val="center"/>
              <w:rPr>
                <w:rFonts w:cs="Arial"/>
                <w:b/>
                <w:szCs w:val="20"/>
              </w:rPr>
            </w:pPr>
          </w:p>
        </w:tc>
        <w:tc>
          <w:tcPr>
            <w:tcW w:w="1418" w:type="dxa"/>
            <w:vAlign w:val="center"/>
          </w:tcPr>
          <w:p w:rsidR="004B3FD9" w:rsidRPr="00B148B1" w:rsidRDefault="004B3FD9" w:rsidP="008F36B7">
            <w:pPr>
              <w:tabs>
                <w:tab w:val="left" w:pos="851"/>
                <w:tab w:val="left" w:pos="1418"/>
                <w:tab w:val="left" w:pos="9600"/>
              </w:tabs>
              <w:spacing w:line="240" w:lineRule="auto"/>
              <w:ind w:left="-108" w:right="-155"/>
              <w:jc w:val="center"/>
              <w:rPr>
                <w:rFonts w:cs="Arial"/>
                <w:b/>
                <w:szCs w:val="20"/>
              </w:rPr>
            </w:pPr>
          </w:p>
        </w:tc>
        <w:tc>
          <w:tcPr>
            <w:tcW w:w="1276" w:type="dxa"/>
            <w:vAlign w:val="center"/>
          </w:tcPr>
          <w:p w:rsidR="004B3FD9" w:rsidRPr="00B148B1" w:rsidRDefault="004B3FD9" w:rsidP="008F36B7">
            <w:pPr>
              <w:tabs>
                <w:tab w:val="left" w:pos="851"/>
                <w:tab w:val="left" w:pos="1418"/>
                <w:tab w:val="left" w:pos="9600"/>
              </w:tabs>
              <w:spacing w:line="240" w:lineRule="auto"/>
              <w:ind w:left="-61" w:right="-60"/>
              <w:jc w:val="center"/>
              <w:rPr>
                <w:rFonts w:cs="Arial"/>
                <w:b/>
                <w:szCs w:val="20"/>
              </w:rPr>
            </w:pPr>
            <w:r w:rsidRPr="00B148B1">
              <w:rPr>
                <w:rFonts w:cs="Arial"/>
                <w:b/>
                <w:szCs w:val="20"/>
              </w:rPr>
              <w:t>JKO</w:t>
            </w:r>
          </w:p>
        </w:tc>
        <w:tc>
          <w:tcPr>
            <w:tcW w:w="992" w:type="dxa"/>
            <w:vAlign w:val="center"/>
          </w:tcPr>
          <w:p w:rsidR="004B3FD9" w:rsidRPr="00B148B1" w:rsidRDefault="004B3FD9" w:rsidP="008F36B7">
            <w:pPr>
              <w:tabs>
                <w:tab w:val="left" w:pos="851"/>
                <w:tab w:val="left" w:pos="1418"/>
                <w:tab w:val="left" w:pos="9600"/>
              </w:tabs>
              <w:spacing w:line="240" w:lineRule="auto"/>
              <w:ind w:left="-156" w:right="-106"/>
              <w:jc w:val="center"/>
              <w:rPr>
                <w:rFonts w:cs="Arial"/>
                <w:b/>
                <w:szCs w:val="20"/>
              </w:rPr>
            </w:pPr>
            <w:r w:rsidRPr="00B148B1">
              <w:rPr>
                <w:rFonts w:cs="Arial"/>
                <w:b/>
                <w:szCs w:val="20"/>
              </w:rPr>
              <w:t>JKO</w:t>
            </w:r>
          </w:p>
        </w:tc>
        <w:tc>
          <w:tcPr>
            <w:tcW w:w="1134" w:type="dxa"/>
            <w:vAlign w:val="center"/>
          </w:tcPr>
          <w:p w:rsidR="004B3FD9" w:rsidRPr="00B148B1" w:rsidRDefault="004B3FD9" w:rsidP="008F36B7">
            <w:pPr>
              <w:tabs>
                <w:tab w:val="left" w:pos="851"/>
                <w:tab w:val="left" w:pos="1418"/>
                <w:tab w:val="left" w:pos="9600"/>
              </w:tabs>
              <w:spacing w:line="240" w:lineRule="auto"/>
              <w:ind w:left="-110" w:right="-153"/>
              <w:jc w:val="center"/>
              <w:rPr>
                <w:rFonts w:cs="Arial"/>
                <w:b/>
                <w:szCs w:val="20"/>
              </w:rPr>
            </w:pPr>
            <w:r w:rsidRPr="00B148B1">
              <w:rPr>
                <w:rFonts w:cs="Arial"/>
                <w:b/>
                <w:szCs w:val="20"/>
              </w:rPr>
              <w:t>ČN</w:t>
            </w:r>
          </w:p>
        </w:tc>
        <w:tc>
          <w:tcPr>
            <w:tcW w:w="902" w:type="dxa"/>
            <w:vAlign w:val="center"/>
          </w:tcPr>
          <w:p w:rsidR="004B3FD9" w:rsidRPr="00B148B1" w:rsidRDefault="004B3FD9" w:rsidP="008F36B7">
            <w:pPr>
              <w:tabs>
                <w:tab w:val="left" w:pos="851"/>
                <w:tab w:val="left" w:pos="1418"/>
                <w:tab w:val="left" w:pos="9600"/>
              </w:tabs>
              <w:spacing w:line="240" w:lineRule="auto"/>
              <w:ind w:left="-63" w:right="-56"/>
              <w:jc w:val="center"/>
              <w:rPr>
                <w:rFonts w:cs="Arial"/>
                <w:b/>
                <w:szCs w:val="20"/>
              </w:rPr>
            </w:pPr>
            <w:r w:rsidRPr="00B148B1">
              <w:rPr>
                <w:rFonts w:cs="Arial"/>
                <w:b/>
                <w:szCs w:val="20"/>
              </w:rPr>
              <w:t>ČN</w:t>
            </w:r>
          </w:p>
        </w:tc>
      </w:tr>
      <w:tr w:rsidR="004B3FD9" w:rsidRPr="00B148B1" w:rsidTr="00385BB8">
        <w:trPr>
          <w:cantSplit/>
          <w:trHeight w:val="340"/>
          <w:tblHeader/>
        </w:trPr>
        <w:tc>
          <w:tcPr>
            <w:tcW w:w="3510" w:type="dxa"/>
            <w:vAlign w:val="center"/>
          </w:tcPr>
          <w:p w:rsidR="004B3FD9" w:rsidRPr="00B148B1" w:rsidRDefault="004B3FD9" w:rsidP="008F36B7">
            <w:pPr>
              <w:tabs>
                <w:tab w:val="left" w:pos="851"/>
                <w:tab w:val="left" w:pos="1418"/>
                <w:tab w:val="left" w:pos="9600"/>
              </w:tabs>
              <w:spacing w:line="240" w:lineRule="auto"/>
              <w:jc w:val="center"/>
              <w:rPr>
                <w:rFonts w:cs="Arial"/>
                <w:b/>
                <w:szCs w:val="20"/>
              </w:rPr>
            </w:pPr>
          </w:p>
        </w:tc>
        <w:tc>
          <w:tcPr>
            <w:tcW w:w="1418" w:type="dxa"/>
            <w:vAlign w:val="center"/>
          </w:tcPr>
          <w:p w:rsidR="004B3FD9" w:rsidRPr="00B148B1" w:rsidRDefault="004B3FD9" w:rsidP="008F36B7">
            <w:pPr>
              <w:tabs>
                <w:tab w:val="left" w:pos="851"/>
                <w:tab w:val="left" w:pos="1418"/>
                <w:tab w:val="left" w:pos="9600"/>
              </w:tabs>
              <w:spacing w:line="240" w:lineRule="auto"/>
              <w:jc w:val="center"/>
              <w:rPr>
                <w:rFonts w:cs="Arial"/>
                <w:b/>
                <w:szCs w:val="20"/>
              </w:rPr>
            </w:pPr>
            <w:r w:rsidRPr="00B148B1">
              <w:rPr>
                <w:rFonts w:cs="Arial"/>
                <w:b/>
                <w:szCs w:val="20"/>
              </w:rPr>
              <w:t>[PE]</w:t>
            </w:r>
          </w:p>
        </w:tc>
        <w:tc>
          <w:tcPr>
            <w:tcW w:w="1276" w:type="dxa"/>
            <w:vAlign w:val="center"/>
          </w:tcPr>
          <w:p w:rsidR="004B3FD9" w:rsidRPr="00B148B1" w:rsidRDefault="004B3FD9" w:rsidP="008F36B7">
            <w:pPr>
              <w:tabs>
                <w:tab w:val="left" w:pos="851"/>
                <w:tab w:val="left" w:pos="1418"/>
                <w:tab w:val="left" w:pos="9600"/>
              </w:tabs>
              <w:spacing w:line="240" w:lineRule="auto"/>
              <w:jc w:val="center"/>
              <w:rPr>
                <w:rFonts w:cs="Arial"/>
                <w:b/>
                <w:szCs w:val="20"/>
              </w:rPr>
            </w:pPr>
            <w:r w:rsidRPr="00B148B1">
              <w:rPr>
                <w:rFonts w:cs="Arial"/>
                <w:b/>
                <w:szCs w:val="20"/>
              </w:rPr>
              <w:t>[PE]</w:t>
            </w:r>
          </w:p>
        </w:tc>
        <w:tc>
          <w:tcPr>
            <w:tcW w:w="992" w:type="dxa"/>
            <w:vAlign w:val="center"/>
          </w:tcPr>
          <w:p w:rsidR="004B3FD9" w:rsidRPr="00B148B1" w:rsidRDefault="004B3FD9" w:rsidP="008F36B7">
            <w:pPr>
              <w:tabs>
                <w:tab w:val="left" w:pos="851"/>
                <w:tab w:val="left" w:pos="1418"/>
                <w:tab w:val="left" w:pos="9600"/>
              </w:tabs>
              <w:spacing w:line="240" w:lineRule="auto"/>
              <w:jc w:val="center"/>
              <w:rPr>
                <w:rFonts w:cs="Arial"/>
                <w:b/>
                <w:szCs w:val="20"/>
              </w:rPr>
            </w:pPr>
            <w:r w:rsidRPr="00B148B1">
              <w:rPr>
                <w:rFonts w:cs="Arial"/>
                <w:b/>
                <w:szCs w:val="20"/>
              </w:rPr>
              <w:t>[%]</w:t>
            </w:r>
          </w:p>
        </w:tc>
        <w:tc>
          <w:tcPr>
            <w:tcW w:w="1134" w:type="dxa"/>
            <w:vAlign w:val="center"/>
          </w:tcPr>
          <w:p w:rsidR="004B3FD9" w:rsidRPr="00B148B1" w:rsidRDefault="004B3FD9" w:rsidP="008F36B7">
            <w:pPr>
              <w:tabs>
                <w:tab w:val="left" w:pos="851"/>
                <w:tab w:val="left" w:pos="1418"/>
                <w:tab w:val="left" w:pos="9600"/>
              </w:tabs>
              <w:spacing w:line="240" w:lineRule="auto"/>
              <w:jc w:val="center"/>
              <w:rPr>
                <w:rFonts w:cs="Arial"/>
                <w:b/>
                <w:szCs w:val="20"/>
              </w:rPr>
            </w:pPr>
            <w:r w:rsidRPr="00B148B1">
              <w:rPr>
                <w:rFonts w:cs="Arial"/>
                <w:b/>
                <w:szCs w:val="20"/>
              </w:rPr>
              <w:t>[PE]</w:t>
            </w:r>
          </w:p>
        </w:tc>
        <w:tc>
          <w:tcPr>
            <w:tcW w:w="902" w:type="dxa"/>
            <w:vAlign w:val="center"/>
          </w:tcPr>
          <w:p w:rsidR="004B3FD9" w:rsidRPr="00B148B1" w:rsidRDefault="004B3FD9" w:rsidP="008F36B7">
            <w:pPr>
              <w:tabs>
                <w:tab w:val="left" w:pos="851"/>
                <w:tab w:val="left" w:pos="1418"/>
                <w:tab w:val="left" w:pos="9600"/>
              </w:tabs>
              <w:spacing w:line="240" w:lineRule="auto"/>
              <w:jc w:val="center"/>
              <w:rPr>
                <w:rFonts w:cs="Arial"/>
                <w:b/>
                <w:szCs w:val="20"/>
              </w:rPr>
            </w:pPr>
            <w:r w:rsidRPr="00B148B1">
              <w:rPr>
                <w:rFonts w:cs="Arial"/>
                <w:b/>
                <w:szCs w:val="20"/>
              </w:rPr>
              <w:t>[%]</w:t>
            </w:r>
          </w:p>
        </w:tc>
      </w:tr>
      <w:tr w:rsidR="00306492" w:rsidRPr="00B148B1" w:rsidTr="00385BB8">
        <w:trPr>
          <w:cantSplit/>
          <w:trHeight w:val="340"/>
        </w:trPr>
        <w:tc>
          <w:tcPr>
            <w:tcW w:w="3510" w:type="dxa"/>
            <w:vAlign w:val="center"/>
          </w:tcPr>
          <w:p w:rsidR="00306492" w:rsidRPr="00B148B1" w:rsidRDefault="00306492" w:rsidP="008F36B7">
            <w:pPr>
              <w:tabs>
                <w:tab w:val="left" w:pos="851"/>
                <w:tab w:val="left" w:pos="1418"/>
                <w:tab w:val="left" w:pos="9600"/>
              </w:tabs>
              <w:spacing w:line="240" w:lineRule="auto"/>
              <w:rPr>
                <w:rFonts w:cs="Arial"/>
                <w:i/>
                <w:szCs w:val="20"/>
              </w:rPr>
            </w:pPr>
            <w:r w:rsidRPr="00B148B1">
              <w:rPr>
                <w:rFonts w:cs="Arial"/>
                <w:i/>
                <w:szCs w:val="20"/>
              </w:rPr>
              <w:t>Osnovni program</w:t>
            </w:r>
          </w:p>
        </w:tc>
        <w:tc>
          <w:tcPr>
            <w:tcW w:w="1418" w:type="dxa"/>
            <w:vAlign w:val="center"/>
          </w:tcPr>
          <w:p w:rsidR="00306492" w:rsidRPr="00B148B1" w:rsidRDefault="00306492">
            <w:pPr>
              <w:jc w:val="center"/>
              <w:rPr>
                <w:rFonts w:cs="Arial"/>
                <w:b/>
                <w:bCs/>
                <w:i/>
                <w:iCs/>
                <w:szCs w:val="20"/>
              </w:rPr>
            </w:pPr>
            <w:r w:rsidRPr="00B148B1">
              <w:rPr>
                <w:rFonts w:cs="Arial"/>
                <w:b/>
                <w:bCs/>
                <w:i/>
                <w:iCs/>
                <w:szCs w:val="20"/>
              </w:rPr>
              <w:t>1.888.957</w:t>
            </w:r>
          </w:p>
        </w:tc>
        <w:tc>
          <w:tcPr>
            <w:tcW w:w="1276" w:type="dxa"/>
            <w:vAlign w:val="center"/>
          </w:tcPr>
          <w:p w:rsidR="00306492" w:rsidRPr="00B148B1" w:rsidRDefault="00306492" w:rsidP="003C5FE2">
            <w:pPr>
              <w:jc w:val="center"/>
              <w:rPr>
                <w:rFonts w:cs="Arial"/>
                <w:b/>
                <w:bCs/>
                <w:i/>
                <w:iCs/>
                <w:szCs w:val="20"/>
              </w:rPr>
            </w:pPr>
            <w:r w:rsidRPr="00B148B1">
              <w:rPr>
                <w:rFonts w:cs="Arial"/>
                <w:b/>
                <w:bCs/>
                <w:i/>
                <w:iCs/>
                <w:szCs w:val="20"/>
              </w:rPr>
              <w:t>1.</w:t>
            </w:r>
            <w:r w:rsidR="00C62938" w:rsidRPr="00B148B1">
              <w:rPr>
                <w:rFonts w:cs="Arial"/>
                <w:b/>
                <w:bCs/>
                <w:i/>
                <w:iCs/>
                <w:szCs w:val="20"/>
              </w:rPr>
              <w:t>565.286</w:t>
            </w:r>
          </w:p>
        </w:tc>
        <w:tc>
          <w:tcPr>
            <w:tcW w:w="992" w:type="dxa"/>
            <w:vAlign w:val="center"/>
          </w:tcPr>
          <w:p w:rsidR="00306492" w:rsidRPr="00B148B1" w:rsidRDefault="00C62938">
            <w:pPr>
              <w:jc w:val="center"/>
              <w:rPr>
                <w:rFonts w:cs="Arial"/>
                <w:b/>
                <w:bCs/>
                <w:i/>
                <w:iCs/>
                <w:szCs w:val="20"/>
              </w:rPr>
            </w:pPr>
            <w:r w:rsidRPr="00B148B1">
              <w:rPr>
                <w:rFonts w:cs="Arial"/>
                <w:b/>
                <w:bCs/>
                <w:i/>
                <w:iCs/>
                <w:szCs w:val="20"/>
              </w:rPr>
              <w:t>82,9</w:t>
            </w:r>
          </w:p>
        </w:tc>
        <w:tc>
          <w:tcPr>
            <w:tcW w:w="1134" w:type="dxa"/>
            <w:vAlign w:val="center"/>
          </w:tcPr>
          <w:p w:rsidR="00306492" w:rsidRPr="00B148B1" w:rsidRDefault="00C62938">
            <w:pPr>
              <w:jc w:val="center"/>
              <w:rPr>
                <w:rFonts w:cs="Arial"/>
                <w:b/>
                <w:bCs/>
                <w:i/>
                <w:iCs/>
                <w:szCs w:val="20"/>
              </w:rPr>
            </w:pPr>
            <w:r w:rsidRPr="00B148B1">
              <w:rPr>
                <w:rFonts w:cs="Arial"/>
                <w:b/>
                <w:bCs/>
                <w:i/>
                <w:iCs/>
                <w:szCs w:val="20"/>
              </w:rPr>
              <w:t>1.530.192</w:t>
            </w:r>
          </w:p>
        </w:tc>
        <w:tc>
          <w:tcPr>
            <w:tcW w:w="902" w:type="dxa"/>
            <w:vAlign w:val="center"/>
          </w:tcPr>
          <w:p w:rsidR="00306492" w:rsidRPr="00B148B1" w:rsidRDefault="00C62938">
            <w:pPr>
              <w:jc w:val="center"/>
              <w:rPr>
                <w:rFonts w:cs="Arial"/>
                <w:b/>
                <w:bCs/>
                <w:i/>
                <w:iCs/>
                <w:szCs w:val="20"/>
              </w:rPr>
            </w:pPr>
            <w:r w:rsidRPr="00B148B1">
              <w:rPr>
                <w:rFonts w:cs="Arial"/>
                <w:b/>
                <w:bCs/>
                <w:i/>
                <w:iCs/>
                <w:szCs w:val="20"/>
              </w:rPr>
              <w:t>81,0</w:t>
            </w:r>
          </w:p>
        </w:tc>
      </w:tr>
      <w:tr w:rsidR="00306492" w:rsidRPr="00B148B1" w:rsidTr="00385BB8">
        <w:trPr>
          <w:cantSplit/>
          <w:trHeight w:val="340"/>
        </w:trPr>
        <w:tc>
          <w:tcPr>
            <w:tcW w:w="3510" w:type="dxa"/>
            <w:vAlign w:val="center"/>
          </w:tcPr>
          <w:p w:rsidR="00306492" w:rsidRPr="00B148B1" w:rsidRDefault="00306492" w:rsidP="008F36B7">
            <w:pPr>
              <w:spacing w:line="240" w:lineRule="auto"/>
              <w:jc w:val="right"/>
              <w:rPr>
                <w:rFonts w:cs="Arial"/>
                <w:color w:val="000000"/>
                <w:szCs w:val="20"/>
              </w:rPr>
            </w:pPr>
            <w:r w:rsidRPr="00B148B1">
              <w:rPr>
                <w:rFonts w:cs="Arial"/>
                <w:color w:val="000000"/>
                <w:szCs w:val="20"/>
              </w:rPr>
              <w:t>aglomeracije ≥ 10.000 PE</w:t>
            </w:r>
          </w:p>
        </w:tc>
        <w:tc>
          <w:tcPr>
            <w:tcW w:w="1418" w:type="dxa"/>
            <w:vAlign w:val="center"/>
          </w:tcPr>
          <w:p w:rsidR="00306492" w:rsidRPr="00B148B1" w:rsidRDefault="00306492">
            <w:pPr>
              <w:jc w:val="center"/>
              <w:rPr>
                <w:rFonts w:cs="Arial"/>
                <w:i/>
                <w:iCs/>
                <w:szCs w:val="20"/>
              </w:rPr>
            </w:pPr>
            <w:r w:rsidRPr="00B148B1">
              <w:rPr>
                <w:rFonts w:cs="Arial"/>
                <w:i/>
                <w:iCs/>
                <w:szCs w:val="20"/>
              </w:rPr>
              <w:t>938.304</w:t>
            </w:r>
          </w:p>
        </w:tc>
        <w:tc>
          <w:tcPr>
            <w:tcW w:w="1276" w:type="dxa"/>
            <w:vAlign w:val="center"/>
          </w:tcPr>
          <w:p w:rsidR="00306492" w:rsidRPr="00B148B1" w:rsidRDefault="00C62938">
            <w:pPr>
              <w:jc w:val="center"/>
              <w:rPr>
                <w:rFonts w:cs="Arial"/>
                <w:i/>
                <w:iCs/>
                <w:szCs w:val="20"/>
              </w:rPr>
            </w:pPr>
            <w:r w:rsidRPr="00B148B1">
              <w:rPr>
                <w:rFonts w:cs="Arial"/>
                <w:i/>
                <w:iCs/>
                <w:szCs w:val="20"/>
              </w:rPr>
              <w:t>895.362</w:t>
            </w:r>
          </w:p>
        </w:tc>
        <w:tc>
          <w:tcPr>
            <w:tcW w:w="992" w:type="dxa"/>
            <w:vAlign w:val="center"/>
          </w:tcPr>
          <w:p w:rsidR="00306492" w:rsidRPr="00B148B1" w:rsidRDefault="00C62938">
            <w:pPr>
              <w:jc w:val="center"/>
              <w:rPr>
                <w:rFonts w:cs="Arial"/>
                <w:i/>
                <w:iCs/>
                <w:szCs w:val="20"/>
              </w:rPr>
            </w:pPr>
            <w:r w:rsidRPr="00B148B1">
              <w:rPr>
                <w:rFonts w:cs="Arial"/>
                <w:i/>
                <w:iCs/>
                <w:szCs w:val="20"/>
              </w:rPr>
              <w:t>95,4</w:t>
            </w:r>
          </w:p>
        </w:tc>
        <w:tc>
          <w:tcPr>
            <w:tcW w:w="1134" w:type="dxa"/>
            <w:vAlign w:val="center"/>
          </w:tcPr>
          <w:p w:rsidR="00306492" w:rsidRPr="00B148B1" w:rsidRDefault="00C62938">
            <w:pPr>
              <w:jc w:val="center"/>
              <w:rPr>
                <w:rFonts w:cs="Arial"/>
                <w:i/>
                <w:iCs/>
                <w:szCs w:val="20"/>
              </w:rPr>
            </w:pPr>
            <w:r w:rsidRPr="00B148B1">
              <w:rPr>
                <w:rFonts w:cs="Arial"/>
                <w:i/>
                <w:iCs/>
                <w:szCs w:val="20"/>
              </w:rPr>
              <w:t>893.301</w:t>
            </w:r>
          </w:p>
        </w:tc>
        <w:tc>
          <w:tcPr>
            <w:tcW w:w="902" w:type="dxa"/>
            <w:vAlign w:val="center"/>
          </w:tcPr>
          <w:p w:rsidR="00306492" w:rsidRPr="00B148B1" w:rsidRDefault="00C62938">
            <w:pPr>
              <w:jc w:val="center"/>
              <w:rPr>
                <w:rFonts w:cs="Arial"/>
                <w:i/>
                <w:iCs/>
                <w:szCs w:val="20"/>
              </w:rPr>
            </w:pPr>
            <w:r w:rsidRPr="00B148B1">
              <w:rPr>
                <w:rFonts w:cs="Arial"/>
                <w:i/>
                <w:iCs/>
                <w:szCs w:val="20"/>
              </w:rPr>
              <w:t>95,2</w:t>
            </w:r>
          </w:p>
        </w:tc>
      </w:tr>
      <w:tr w:rsidR="00306492" w:rsidRPr="00B148B1" w:rsidTr="00385BB8">
        <w:trPr>
          <w:cantSplit/>
          <w:trHeight w:val="340"/>
        </w:trPr>
        <w:tc>
          <w:tcPr>
            <w:tcW w:w="3510" w:type="dxa"/>
            <w:vAlign w:val="center"/>
          </w:tcPr>
          <w:p w:rsidR="00306492" w:rsidRPr="00B148B1" w:rsidRDefault="00306492" w:rsidP="00604414">
            <w:pPr>
              <w:spacing w:line="240" w:lineRule="auto"/>
              <w:jc w:val="right"/>
              <w:rPr>
                <w:rFonts w:cs="Arial"/>
                <w:color w:val="000000"/>
                <w:szCs w:val="20"/>
              </w:rPr>
            </w:pPr>
            <w:r w:rsidRPr="00B148B1">
              <w:rPr>
                <w:rFonts w:cs="Arial"/>
                <w:color w:val="000000"/>
                <w:szCs w:val="20"/>
              </w:rPr>
              <w:t xml:space="preserve">aglomeracije </w:t>
            </w:r>
            <w:r w:rsidR="00604414" w:rsidRPr="00B148B1">
              <w:rPr>
                <w:rFonts w:cs="Arial"/>
                <w:color w:val="000000"/>
                <w:szCs w:val="20"/>
              </w:rPr>
              <w:t xml:space="preserve">od </w:t>
            </w:r>
            <w:r w:rsidRPr="00B148B1">
              <w:rPr>
                <w:rFonts w:cs="Arial"/>
                <w:color w:val="000000"/>
                <w:szCs w:val="20"/>
              </w:rPr>
              <w:t xml:space="preserve">2.000 </w:t>
            </w:r>
            <w:r w:rsidR="00604414" w:rsidRPr="00B148B1">
              <w:rPr>
                <w:rFonts w:cs="Arial"/>
                <w:color w:val="000000"/>
                <w:szCs w:val="20"/>
              </w:rPr>
              <w:t>do</w:t>
            </w:r>
            <w:r w:rsidRPr="00B148B1">
              <w:rPr>
                <w:rFonts w:cs="Arial"/>
                <w:color w:val="000000"/>
                <w:szCs w:val="20"/>
              </w:rPr>
              <w:t xml:space="preserve"> 10.000 PE</w:t>
            </w:r>
          </w:p>
        </w:tc>
        <w:tc>
          <w:tcPr>
            <w:tcW w:w="1418" w:type="dxa"/>
            <w:vAlign w:val="center"/>
          </w:tcPr>
          <w:p w:rsidR="00306492" w:rsidRPr="00B148B1" w:rsidRDefault="00306492">
            <w:pPr>
              <w:jc w:val="center"/>
              <w:rPr>
                <w:rFonts w:cs="Arial"/>
                <w:i/>
                <w:iCs/>
                <w:szCs w:val="20"/>
              </w:rPr>
            </w:pPr>
            <w:r w:rsidRPr="00B148B1">
              <w:rPr>
                <w:rFonts w:cs="Arial"/>
                <w:i/>
                <w:iCs/>
                <w:szCs w:val="20"/>
              </w:rPr>
              <w:t>523.917</w:t>
            </w:r>
          </w:p>
        </w:tc>
        <w:tc>
          <w:tcPr>
            <w:tcW w:w="1276" w:type="dxa"/>
            <w:vAlign w:val="center"/>
          </w:tcPr>
          <w:p w:rsidR="00306492" w:rsidRPr="00B148B1" w:rsidRDefault="00C62938">
            <w:pPr>
              <w:jc w:val="center"/>
              <w:rPr>
                <w:rFonts w:cs="Arial"/>
                <w:i/>
                <w:iCs/>
                <w:szCs w:val="20"/>
              </w:rPr>
            </w:pPr>
            <w:r w:rsidRPr="00B148B1">
              <w:rPr>
                <w:rFonts w:cs="Arial"/>
                <w:i/>
                <w:iCs/>
                <w:szCs w:val="20"/>
              </w:rPr>
              <w:t>445.117</w:t>
            </w:r>
          </w:p>
        </w:tc>
        <w:tc>
          <w:tcPr>
            <w:tcW w:w="992" w:type="dxa"/>
            <w:vAlign w:val="center"/>
          </w:tcPr>
          <w:p w:rsidR="00306492" w:rsidRPr="00B148B1" w:rsidRDefault="00C62938">
            <w:pPr>
              <w:jc w:val="center"/>
              <w:rPr>
                <w:rFonts w:cs="Arial"/>
                <w:i/>
                <w:iCs/>
                <w:szCs w:val="20"/>
              </w:rPr>
            </w:pPr>
            <w:r w:rsidRPr="00B148B1">
              <w:rPr>
                <w:rFonts w:cs="Arial"/>
                <w:i/>
                <w:iCs/>
                <w:szCs w:val="20"/>
              </w:rPr>
              <w:t>85,0</w:t>
            </w:r>
          </w:p>
        </w:tc>
        <w:tc>
          <w:tcPr>
            <w:tcW w:w="1134" w:type="dxa"/>
            <w:vAlign w:val="center"/>
          </w:tcPr>
          <w:p w:rsidR="00306492" w:rsidRPr="00B148B1" w:rsidRDefault="00C62938">
            <w:pPr>
              <w:jc w:val="center"/>
              <w:rPr>
                <w:rFonts w:cs="Arial"/>
                <w:i/>
                <w:iCs/>
                <w:szCs w:val="20"/>
              </w:rPr>
            </w:pPr>
            <w:r w:rsidRPr="00B148B1">
              <w:rPr>
                <w:rFonts w:cs="Arial"/>
                <w:i/>
                <w:iCs/>
                <w:szCs w:val="20"/>
              </w:rPr>
              <w:t>423.946</w:t>
            </w:r>
          </w:p>
        </w:tc>
        <w:tc>
          <w:tcPr>
            <w:tcW w:w="902" w:type="dxa"/>
            <w:vAlign w:val="center"/>
          </w:tcPr>
          <w:p w:rsidR="00306492" w:rsidRPr="00B148B1" w:rsidRDefault="00C62938">
            <w:pPr>
              <w:jc w:val="center"/>
              <w:rPr>
                <w:rFonts w:cs="Arial"/>
                <w:i/>
                <w:iCs/>
                <w:szCs w:val="20"/>
              </w:rPr>
            </w:pPr>
            <w:r w:rsidRPr="00B148B1">
              <w:rPr>
                <w:rFonts w:cs="Arial"/>
                <w:i/>
                <w:iCs/>
                <w:szCs w:val="20"/>
              </w:rPr>
              <w:t>80,9</w:t>
            </w:r>
          </w:p>
        </w:tc>
      </w:tr>
      <w:tr w:rsidR="00306492" w:rsidRPr="00B148B1" w:rsidTr="00385BB8">
        <w:trPr>
          <w:cantSplit/>
          <w:trHeight w:val="340"/>
        </w:trPr>
        <w:tc>
          <w:tcPr>
            <w:tcW w:w="3510" w:type="dxa"/>
            <w:vAlign w:val="center"/>
          </w:tcPr>
          <w:p w:rsidR="00306492" w:rsidRPr="00B148B1" w:rsidRDefault="00306492" w:rsidP="00604414">
            <w:pPr>
              <w:spacing w:line="240" w:lineRule="auto"/>
              <w:jc w:val="right"/>
              <w:rPr>
                <w:rFonts w:cs="Arial"/>
                <w:color w:val="000000"/>
                <w:szCs w:val="20"/>
              </w:rPr>
            </w:pPr>
            <w:r w:rsidRPr="00B148B1">
              <w:rPr>
                <w:rFonts w:cs="Arial"/>
                <w:color w:val="000000"/>
                <w:szCs w:val="20"/>
              </w:rPr>
              <w:t xml:space="preserve">aglomeracije </w:t>
            </w:r>
            <w:r w:rsidR="00604414" w:rsidRPr="00B148B1">
              <w:rPr>
                <w:rFonts w:cs="Arial"/>
                <w:color w:val="000000"/>
                <w:szCs w:val="20"/>
              </w:rPr>
              <w:t xml:space="preserve">od </w:t>
            </w:r>
            <w:r w:rsidRPr="00B148B1">
              <w:rPr>
                <w:rFonts w:cs="Arial"/>
                <w:color w:val="000000"/>
                <w:szCs w:val="20"/>
              </w:rPr>
              <w:t xml:space="preserve">500 </w:t>
            </w:r>
            <w:r w:rsidR="00604414" w:rsidRPr="00B148B1">
              <w:rPr>
                <w:rFonts w:cs="Arial"/>
                <w:color w:val="000000"/>
                <w:szCs w:val="20"/>
              </w:rPr>
              <w:t>do</w:t>
            </w:r>
            <w:r w:rsidRPr="00B148B1">
              <w:rPr>
                <w:rFonts w:cs="Arial"/>
                <w:color w:val="000000"/>
                <w:szCs w:val="20"/>
              </w:rPr>
              <w:t xml:space="preserve"> 2.000 PE</w:t>
            </w:r>
          </w:p>
        </w:tc>
        <w:tc>
          <w:tcPr>
            <w:tcW w:w="1418" w:type="dxa"/>
            <w:vAlign w:val="center"/>
          </w:tcPr>
          <w:p w:rsidR="00306492" w:rsidRPr="00B148B1" w:rsidRDefault="00306492">
            <w:pPr>
              <w:jc w:val="center"/>
              <w:rPr>
                <w:rFonts w:cs="Arial"/>
                <w:i/>
                <w:iCs/>
                <w:szCs w:val="20"/>
              </w:rPr>
            </w:pPr>
            <w:r w:rsidRPr="00B148B1">
              <w:rPr>
                <w:rFonts w:cs="Arial"/>
                <w:i/>
                <w:iCs/>
                <w:szCs w:val="20"/>
              </w:rPr>
              <w:t>248.885</w:t>
            </w:r>
          </w:p>
        </w:tc>
        <w:tc>
          <w:tcPr>
            <w:tcW w:w="1276" w:type="dxa"/>
            <w:vAlign w:val="center"/>
          </w:tcPr>
          <w:p w:rsidR="00306492" w:rsidRPr="00B148B1" w:rsidRDefault="005121F3">
            <w:pPr>
              <w:jc w:val="center"/>
              <w:rPr>
                <w:rFonts w:cs="Arial"/>
                <w:i/>
                <w:iCs/>
                <w:szCs w:val="20"/>
              </w:rPr>
            </w:pPr>
            <w:r w:rsidRPr="00B148B1">
              <w:rPr>
                <w:rFonts w:cs="Arial"/>
                <w:i/>
                <w:iCs/>
                <w:szCs w:val="20"/>
              </w:rPr>
              <w:t>164.274</w:t>
            </w:r>
          </w:p>
        </w:tc>
        <w:tc>
          <w:tcPr>
            <w:tcW w:w="992" w:type="dxa"/>
            <w:vAlign w:val="center"/>
          </w:tcPr>
          <w:p w:rsidR="00306492" w:rsidRPr="00B148B1" w:rsidRDefault="005121F3">
            <w:pPr>
              <w:jc w:val="center"/>
              <w:rPr>
                <w:rFonts w:cs="Arial"/>
                <w:i/>
                <w:iCs/>
                <w:szCs w:val="20"/>
              </w:rPr>
            </w:pPr>
            <w:r w:rsidRPr="00B148B1">
              <w:rPr>
                <w:rFonts w:cs="Arial"/>
                <w:i/>
                <w:iCs/>
                <w:szCs w:val="20"/>
              </w:rPr>
              <w:t>66,0</w:t>
            </w:r>
          </w:p>
        </w:tc>
        <w:tc>
          <w:tcPr>
            <w:tcW w:w="1134" w:type="dxa"/>
            <w:vAlign w:val="center"/>
          </w:tcPr>
          <w:p w:rsidR="00306492" w:rsidRPr="00B148B1" w:rsidRDefault="005121F3">
            <w:pPr>
              <w:jc w:val="center"/>
              <w:rPr>
                <w:rFonts w:cs="Arial"/>
                <w:i/>
                <w:iCs/>
                <w:szCs w:val="20"/>
              </w:rPr>
            </w:pPr>
            <w:r w:rsidRPr="00B148B1">
              <w:rPr>
                <w:rFonts w:cs="Arial"/>
                <w:i/>
                <w:iCs/>
                <w:szCs w:val="20"/>
              </w:rPr>
              <w:t>158.392</w:t>
            </w:r>
          </w:p>
        </w:tc>
        <w:tc>
          <w:tcPr>
            <w:tcW w:w="902" w:type="dxa"/>
            <w:vAlign w:val="center"/>
          </w:tcPr>
          <w:p w:rsidR="00306492" w:rsidRPr="00B148B1" w:rsidRDefault="005121F3">
            <w:pPr>
              <w:jc w:val="center"/>
              <w:rPr>
                <w:rFonts w:cs="Arial"/>
                <w:i/>
                <w:iCs/>
                <w:szCs w:val="20"/>
              </w:rPr>
            </w:pPr>
            <w:r w:rsidRPr="00B148B1">
              <w:rPr>
                <w:rFonts w:cs="Arial"/>
                <w:i/>
                <w:iCs/>
                <w:szCs w:val="20"/>
              </w:rPr>
              <w:t>63,6</w:t>
            </w:r>
          </w:p>
        </w:tc>
      </w:tr>
      <w:tr w:rsidR="00306492" w:rsidRPr="00B148B1" w:rsidTr="00385BB8">
        <w:trPr>
          <w:cantSplit/>
          <w:trHeight w:val="340"/>
        </w:trPr>
        <w:tc>
          <w:tcPr>
            <w:tcW w:w="3510" w:type="dxa"/>
            <w:vAlign w:val="center"/>
          </w:tcPr>
          <w:p w:rsidR="00306492" w:rsidRPr="00B148B1" w:rsidRDefault="00306492" w:rsidP="008F36B7">
            <w:pPr>
              <w:spacing w:line="240" w:lineRule="auto"/>
              <w:jc w:val="right"/>
              <w:rPr>
                <w:rFonts w:cs="Arial"/>
                <w:color w:val="000000"/>
                <w:szCs w:val="20"/>
              </w:rPr>
            </w:pPr>
            <w:r w:rsidRPr="00B148B1">
              <w:rPr>
                <w:rFonts w:cs="Arial"/>
                <w:color w:val="000000"/>
                <w:szCs w:val="20"/>
              </w:rPr>
              <w:t xml:space="preserve">aglomeracije </w:t>
            </w:r>
            <w:r w:rsidR="00604414" w:rsidRPr="00B148B1">
              <w:rPr>
                <w:rFonts w:cs="Arial"/>
                <w:color w:val="000000"/>
                <w:szCs w:val="20"/>
              </w:rPr>
              <w:t>od</w:t>
            </w:r>
            <w:r w:rsidRPr="00B148B1">
              <w:rPr>
                <w:rFonts w:cs="Arial"/>
                <w:color w:val="000000"/>
                <w:szCs w:val="20"/>
              </w:rPr>
              <w:t xml:space="preserve"> 50</w:t>
            </w:r>
            <w:r w:rsidR="00604414" w:rsidRPr="00B148B1">
              <w:rPr>
                <w:rFonts w:cs="Arial"/>
                <w:color w:val="000000"/>
                <w:szCs w:val="20"/>
              </w:rPr>
              <w:t xml:space="preserve"> do</w:t>
            </w:r>
            <w:r w:rsidRPr="00B148B1">
              <w:rPr>
                <w:rFonts w:cs="Arial"/>
                <w:color w:val="000000"/>
                <w:szCs w:val="20"/>
              </w:rPr>
              <w:t xml:space="preserve"> 500 PE</w:t>
            </w:r>
          </w:p>
        </w:tc>
        <w:tc>
          <w:tcPr>
            <w:tcW w:w="1418" w:type="dxa"/>
            <w:vAlign w:val="center"/>
          </w:tcPr>
          <w:p w:rsidR="00306492" w:rsidRPr="00B148B1" w:rsidRDefault="00306492">
            <w:pPr>
              <w:jc w:val="center"/>
              <w:rPr>
                <w:rFonts w:cs="Arial"/>
                <w:i/>
                <w:iCs/>
                <w:szCs w:val="20"/>
              </w:rPr>
            </w:pPr>
            <w:r w:rsidRPr="00B148B1">
              <w:rPr>
                <w:rFonts w:cs="Arial"/>
                <w:i/>
                <w:iCs/>
                <w:szCs w:val="20"/>
              </w:rPr>
              <w:t>177.852</w:t>
            </w:r>
          </w:p>
        </w:tc>
        <w:tc>
          <w:tcPr>
            <w:tcW w:w="1276" w:type="dxa"/>
            <w:vAlign w:val="center"/>
          </w:tcPr>
          <w:p w:rsidR="00306492" w:rsidRPr="00B148B1" w:rsidRDefault="005121F3">
            <w:pPr>
              <w:jc w:val="center"/>
              <w:rPr>
                <w:rFonts w:cs="Arial"/>
                <w:i/>
                <w:iCs/>
                <w:szCs w:val="20"/>
              </w:rPr>
            </w:pPr>
            <w:r w:rsidRPr="00B148B1">
              <w:rPr>
                <w:rFonts w:cs="Arial"/>
                <w:i/>
                <w:iCs/>
                <w:szCs w:val="20"/>
              </w:rPr>
              <w:t>60.532</w:t>
            </w:r>
          </w:p>
        </w:tc>
        <w:tc>
          <w:tcPr>
            <w:tcW w:w="992" w:type="dxa"/>
            <w:vAlign w:val="center"/>
          </w:tcPr>
          <w:p w:rsidR="00306492" w:rsidRPr="00B148B1" w:rsidRDefault="005121F3">
            <w:pPr>
              <w:jc w:val="center"/>
              <w:rPr>
                <w:rFonts w:cs="Arial"/>
                <w:i/>
                <w:iCs/>
                <w:szCs w:val="20"/>
              </w:rPr>
            </w:pPr>
            <w:r w:rsidRPr="00B148B1">
              <w:rPr>
                <w:rFonts w:cs="Arial"/>
                <w:i/>
                <w:iCs/>
                <w:szCs w:val="20"/>
              </w:rPr>
              <w:t>34,0</w:t>
            </w:r>
          </w:p>
        </w:tc>
        <w:tc>
          <w:tcPr>
            <w:tcW w:w="1134" w:type="dxa"/>
            <w:vAlign w:val="center"/>
          </w:tcPr>
          <w:p w:rsidR="00306492" w:rsidRPr="00B148B1" w:rsidRDefault="005121F3">
            <w:pPr>
              <w:jc w:val="center"/>
              <w:rPr>
                <w:rFonts w:cs="Arial"/>
                <w:i/>
                <w:iCs/>
                <w:szCs w:val="20"/>
              </w:rPr>
            </w:pPr>
            <w:r w:rsidRPr="00B148B1">
              <w:rPr>
                <w:rFonts w:cs="Arial"/>
                <w:i/>
                <w:iCs/>
                <w:szCs w:val="20"/>
              </w:rPr>
              <w:t>54.553</w:t>
            </w:r>
          </w:p>
        </w:tc>
        <w:tc>
          <w:tcPr>
            <w:tcW w:w="902" w:type="dxa"/>
            <w:vAlign w:val="center"/>
          </w:tcPr>
          <w:p w:rsidR="00306492" w:rsidRPr="00B148B1" w:rsidRDefault="005121F3">
            <w:pPr>
              <w:jc w:val="center"/>
              <w:rPr>
                <w:rFonts w:cs="Arial"/>
                <w:i/>
                <w:iCs/>
                <w:szCs w:val="20"/>
              </w:rPr>
            </w:pPr>
            <w:r w:rsidRPr="00B148B1">
              <w:rPr>
                <w:rFonts w:cs="Arial"/>
                <w:i/>
                <w:iCs/>
                <w:szCs w:val="20"/>
              </w:rPr>
              <w:t>30,7</w:t>
            </w:r>
          </w:p>
        </w:tc>
      </w:tr>
      <w:tr w:rsidR="00306492" w:rsidRPr="00B148B1" w:rsidTr="00385BB8">
        <w:trPr>
          <w:cantSplit/>
          <w:trHeight w:val="340"/>
        </w:trPr>
        <w:tc>
          <w:tcPr>
            <w:tcW w:w="3510" w:type="dxa"/>
            <w:vAlign w:val="center"/>
          </w:tcPr>
          <w:p w:rsidR="00306492" w:rsidRPr="00B148B1" w:rsidRDefault="00306492" w:rsidP="008F36B7">
            <w:pPr>
              <w:tabs>
                <w:tab w:val="left" w:pos="851"/>
                <w:tab w:val="left" w:pos="1418"/>
                <w:tab w:val="left" w:pos="9600"/>
              </w:tabs>
              <w:spacing w:line="240" w:lineRule="auto"/>
              <w:rPr>
                <w:rFonts w:cs="Arial"/>
                <w:i/>
                <w:szCs w:val="20"/>
              </w:rPr>
            </w:pPr>
            <w:r w:rsidRPr="00B148B1">
              <w:rPr>
                <w:rFonts w:cs="Arial"/>
                <w:i/>
                <w:szCs w:val="20"/>
              </w:rPr>
              <w:t>Dodatni program</w:t>
            </w:r>
          </w:p>
        </w:tc>
        <w:tc>
          <w:tcPr>
            <w:tcW w:w="1418" w:type="dxa"/>
            <w:vAlign w:val="center"/>
          </w:tcPr>
          <w:p w:rsidR="00306492" w:rsidRPr="00B148B1" w:rsidRDefault="00306492">
            <w:pPr>
              <w:jc w:val="center"/>
              <w:rPr>
                <w:rFonts w:cs="Arial"/>
                <w:b/>
                <w:bCs/>
                <w:i/>
                <w:iCs/>
                <w:szCs w:val="20"/>
              </w:rPr>
            </w:pPr>
            <w:r w:rsidRPr="00B148B1">
              <w:rPr>
                <w:rFonts w:cs="Arial"/>
                <w:b/>
                <w:bCs/>
                <w:i/>
                <w:iCs/>
                <w:szCs w:val="20"/>
              </w:rPr>
              <w:t>218.123</w:t>
            </w:r>
          </w:p>
        </w:tc>
        <w:tc>
          <w:tcPr>
            <w:tcW w:w="1276" w:type="dxa"/>
            <w:vAlign w:val="center"/>
          </w:tcPr>
          <w:p w:rsidR="00306492" w:rsidRPr="00B148B1" w:rsidRDefault="00306492" w:rsidP="003C5FE2">
            <w:pPr>
              <w:jc w:val="center"/>
              <w:rPr>
                <w:rFonts w:cs="Arial"/>
                <w:b/>
                <w:bCs/>
                <w:i/>
                <w:iCs/>
                <w:szCs w:val="20"/>
              </w:rPr>
            </w:pPr>
            <w:r w:rsidRPr="00B148B1">
              <w:rPr>
                <w:rFonts w:cs="Arial"/>
                <w:b/>
                <w:bCs/>
                <w:i/>
                <w:iCs/>
                <w:szCs w:val="20"/>
              </w:rPr>
              <w:t>94.</w:t>
            </w:r>
            <w:r w:rsidR="002627DB" w:rsidRPr="00B148B1">
              <w:rPr>
                <w:rFonts w:cs="Arial"/>
                <w:b/>
                <w:bCs/>
                <w:i/>
                <w:iCs/>
                <w:szCs w:val="20"/>
              </w:rPr>
              <w:t>548</w:t>
            </w:r>
          </w:p>
        </w:tc>
        <w:tc>
          <w:tcPr>
            <w:tcW w:w="992" w:type="dxa"/>
            <w:vAlign w:val="center"/>
          </w:tcPr>
          <w:p w:rsidR="00306492" w:rsidRPr="00B148B1" w:rsidRDefault="00306492">
            <w:pPr>
              <w:jc w:val="center"/>
              <w:rPr>
                <w:rFonts w:cs="Arial"/>
                <w:b/>
                <w:bCs/>
                <w:i/>
                <w:iCs/>
                <w:szCs w:val="20"/>
              </w:rPr>
            </w:pPr>
            <w:r w:rsidRPr="00B148B1">
              <w:rPr>
                <w:rFonts w:cs="Arial"/>
                <w:b/>
                <w:bCs/>
                <w:i/>
                <w:iCs/>
                <w:szCs w:val="20"/>
              </w:rPr>
              <w:t>43,</w:t>
            </w:r>
            <w:r w:rsidR="002627DB" w:rsidRPr="00B148B1">
              <w:rPr>
                <w:rFonts w:cs="Arial"/>
                <w:b/>
                <w:bCs/>
                <w:i/>
                <w:iCs/>
                <w:szCs w:val="20"/>
              </w:rPr>
              <w:t>3</w:t>
            </w:r>
          </w:p>
        </w:tc>
        <w:tc>
          <w:tcPr>
            <w:tcW w:w="1134" w:type="dxa"/>
            <w:vAlign w:val="center"/>
          </w:tcPr>
          <w:p w:rsidR="00306492" w:rsidRPr="00B148B1" w:rsidRDefault="002627DB">
            <w:pPr>
              <w:jc w:val="center"/>
              <w:rPr>
                <w:rFonts w:cs="Arial"/>
                <w:b/>
                <w:bCs/>
                <w:i/>
                <w:iCs/>
                <w:szCs w:val="20"/>
              </w:rPr>
            </w:pPr>
            <w:r w:rsidRPr="00B148B1">
              <w:rPr>
                <w:rFonts w:cs="Arial"/>
                <w:b/>
                <w:bCs/>
                <w:i/>
                <w:iCs/>
                <w:szCs w:val="20"/>
              </w:rPr>
              <w:t>91.905</w:t>
            </w:r>
          </w:p>
        </w:tc>
        <w:tc>
          <w:tcPr>
            <w:tcW w:w="902" w:type="dxa"/>
            <w:vAlign w:val="center"/>
          </w:tcPr>
          <w:p w:rsidR="00306492" w:rsidRPr="00B148B1" w:rsidRDefault="002627DB">
            <w:pPr>
              <w:jc w:val="center"/>
              <w:rPr>
                <w:rFonts w:cs="Arial"/>
                <w:b/>
                <w:bCs/>
                <w:i/>
                <w:iCs/>
                <w:szCs w:val="20"/>
              </w:rPr>
            </w:pPr>
            <w:r w:rsidRPr="00B148B1">
              <w:rPr>
                <w:rFonts w:cs="Arial"/>
                <w:b/>
                <w:bCs/>
                <w:i/>
                <w:iCs/>
                <w:szCs w:val="20"/>
              </w:rPr>
              <w:t>42,1</w:t>
            </w:r>
          </w:p>
        </w:tc>
      </w:tr>
      <w:tr w:rsidR="00306492" w:rsidRPr="00B148B1" w:rsidTr="00385BB8">
        <w:trPr>
          <w:cantSplit/>
          <w:trHeight w:val="340"/>
        </w:trPr>
        <w:tc>
          <w:tcPr>
            <w:tcW w:w="3510" w:type="dxa"/>
            <w:vAlign w:val="center"/>
          </w:tcPr>
          <w:p w:rsidR="00306492" w:rsidRPr="00B148B1" w:rsidRDefault="00306492" w:rsidP="00FB0032">
            <w:pPr>
              <w:spacing w:line="240" w:lineRule="auto"/>
              <w:jc w:val="right"/>
              <w:rPr>
                <w:rFonts w:cs="Arial"/>
                <w:color w:val="000000"/>
                <w:szCs w:val="20"/>
              </w:rPr>
            </w:pPr>
            <w:r w:rsidRPr="00B148B1">
              <w:rPr>
                <w:rFonts w:cs="Arial"/>
                <w:color w:val="000000"/>
                <w:szCs w:val="20"/>
              </w:rPr>
              <w:t xml:space="preserve">aglomeracije </w:t>
            </w:r>
            <w:r w:rsidR="00FB0032" w:rsidRPr="00B148B1">
              <w:rPr>
                <w:rFonts w:cs="Arial"/>
                <w:color w:val="000000"/>
                <w:szCs w:val="20"/>
              </w:rPr>
              <w:t xml:space="preserve">od </w:t>
            </w:r>
            <w:r w:rsidRPr="00B148B1">
              <w:rPr>
                <w:rFonts w:cs="Arial"/>
                <w:color w:val="000000"/>
                <w:szCs w:val="20"/>
              </w:rPr>
              <w:t xml:space="preserve">500 </w:t>
            </w:r>
            <w:r w:rsidR="00FB0032" w:rsidRPr="00B148B1">
              <w:rPr>
                <w:rFonts w:cs="Arial"/>
                <w:color w:val="000000"/>
                <w:szCs w:val="20"/>
              </w:rPr>
              <w:t>do</w:t>
            </w:r>
            <w:r w:rsidRPr="00B148B1">
              <w:rPr>
                <w:rFonts w:cs="Arial"/>
                <w:color w:val="000000"/>
                <w:szCs w:val="20"/>
              </w:rPr>
              <w:t xml:space="preserve"> 2.000 PE</w:t>
            </w:r>
          </w:p>
        </w:tc>
        <w:tc>
          <w:tcPr>
            <w:tcW w:w="1418" w:type="dxa"/>
            <w:vAlign w:val="center"/>
          </w:tcPr>
          <w:p w:rsidR="00306492" w:rsidRPr="00B148B1" w:rsidRDefault="00306492">
            <w:pPr>
              <w:jc w:val="center"/>
              <w:rPr>
                <w:rFonts w:cs="Arial"/>
                <w:i/>
                <w:iCs/>
                <w:szCs w:val="20"/>
              </w:rPr>
            </w:pPr>
            <w:r w:rsidRPr="00B148B1">
              <w:rPr>
                <w:rFonts w:cs="Arial"/>
                <w:i/>
                <w:iCs/>
                <w:szCs w:val="20"/>
              </w:rPr>
              <w:t>93.216</w:t>
            </w:r>
          </w:p>
        </w:tc>
        <w:tc>
          <w:tcPr>
            <w:tcW w:w="1276" w:type="dxa"/>
            <w:vAlign w:val="center"/>
          </w:tcPr>
          <w:p w:rsidR="00306492" w:rsidRPr="00B148B1" w:rsidRDefault="00306492">
            <w:pPr>
              <w:jc w:val="center"/>
              <w:rPr>
                <w:rFonts w:cs="Arial"/>
                <w:i/>
                <w:iCs/>
                <w:szCs w:val="20"/>
              </w:rPr>
            </w:pPr>
            <w:r w:rsidRPr="00B148B1">
              <w:rPr>
                <w:rFonts w:cs="Arial"/>
                <w:i/>
                <w:iCs/>
                <w:szCs w:val="20"/>
              </w:rPr>
              <w:t>50.056</w:t>
            </w:r>
          </w:p>
        </w:tc>
        <w:tc>
          <w:tcPr>
            <w:tcW w:w="992" w:type="dxa"/>
            <w:vAlign w:val="center"/>
          </w:tcPr>
          <w:p w:rsidR="00306492" w:rsidRPr="00B148B1" w:rsidRDefault="00306492">
            <w:pPr>
              <w:jc w:val="center"/>
              <w:rPr>
                <w:rFonts w:cs="Arial"/>
                <w:i/>
                <w:iCs/>
                <w:szCs w:val="20"/>
              </w:rPr>
            </w:pPr>
            <w:r w:rsidRPr="00B148B1">
              <w:rPr>
                <w:rFonts w:cs="Arial"/>
                <w:i/>
                <w:iCs/>
                <w:szCs w:val="20"/>
              </w:rPr>
              <w:t>53,7</w:t>
            </w:r>
          </w:p>
        </w:tc>
        <w:tc>
          <w:tcPr>
            <w:tcW w:w="1134" w:type="dxa"/>
            <w:vAlign w:val="center"/>
          </w:tcPr>
          <w:p w:rsidR="00306492" w:rsidRPr="00B148B1" w:rsidRDefault="002627DB">
            <w:pPr>
              <w:jc w:val="center"/>
              <w:rPr>
                <w:rFonts w:cs="Arial"/>
                <w:i/>
                <w:iCs/>
                <w:szCs w:val="20"/>
              </w:rPr>
            </w:pPr>
            <w:r w:rsidRPr="00B148B1">
              <w:rPr>
                <w:rFonts w:cs="Arial"/>
                <w:i/>
                <w:iCs/>
                <w:szCs w:val="20"/>
              </w:rPr>
              <w:t>49.386</w:t>
            </w:r>
          </w:p>
        </w:tc>
        <w:tc>
          <w:tcPr>
            <w:tcW w:w="902" w:type="dxa"/>
            <w:vAlign w:val="center"/>
          </w:tcPr>
          <w:p w:rsidR="00306492" w:rsidRPr="00B148B1" w:rsidRDefault="002627DB">
            <w:pPr>
              <w:jc w:val="center"/>
              <w:rPr>
                <w:rFonts w:cs="Arial"/>
                <w:i/>
                <w:iCs/>
                <w:szCs w:val="20"/>
              </w:rPr>
            </w:pPr>
            <w:r w:rsidRPr="00B148B1">
              <w:rPr>
                <w:rFonts w:cs="Arial"/>
                <w:i/>
                <w:iCs/>
                <w:szCs w:val="20"/>
              </w:rPr>
              <w:t>53,0</w:t>
            </w:r>
          </w:p>
        </w:tc>
      </w:tr>
      <w:tr w:rsidR="00306492" w:rsidRPr="00B148B1" w:rsidTr="00385BB8">
        <w:trPr>
          <w:cantSplit/>
          <w:trHeight w:val="340"/>
        </w:trPr>
        <w:tc>
          <w:tcPr>
            <w:tcW w:w="3510" w:type="dxa"/>
            <w:vAlign w:val="center"/>
          </w:tcPr>
          <w:p w:rsidR="00306492" w:rsidRPr="00B148B1" w:rsidRDefault="00306492" w:rsidP="008F36B7">
            <w:pPr>
              <w:spacing w:line="240" w:lineRule="auto"/>
              <w:jc w:val="right"/>
              <w:rPr>
                <w:rFonts w:cs="Arial"/>
                <w:color w:val="000000"/>
                <w:szCs w:val="20"/>
              </w:rPr>
            </w:pPr>
            <w:r w:rsidRPr="00B148B1">
              <w:rPr>
                <w:rFonts w:cs="Arial"/>
                <w:color w:val="000000"/>
                <w:szCs w:val="20"/>
              </w:rPr>
              <w:t xml:space="preserve">aglomeracije </w:t>
            </w:r>
            <w:r w:rsidR="00FB0032" w:rsidRPr="00B148B1">
              <w:rPr>
                <w:rFonts w:cs="Arial"/>
                <w:color w:val="000000"/>
                <w:szCs w:val="20"/>
              </w:rPr>
              <w:t>od</w:t>
            </w:r>
            <w:r w:rsidRPr="00B148B1">
              <w:rPr>
                <w:rFonts w:cs="Arial"/>
                <w:color w:val="000000"/>
                <w:szCs w:val="20"/>
              </w:rPr>
              <w:t xml:space="preserve"> 50 </w:t>
            </w:r>
            <w:r w:rsidR="00FB0032" w:rsidRPr="00B148B1">
              <w:rPr>
                <w:rFonts w:cs="Arial"/>
                <w:color w:val="000000"/>
                <w:szCs w:val="20"/>
              </w:rPr>
              <w:t>do</w:t>
            </w:r>
            <w:r w:rsidRPr="00B148B1">
              <w:rPr>
                <w:rFonts w:cs="Arial"/>
                <w:color w:val="000000"/>
                <w:szCs w:val="20"/>
              </w:rPr>
              <w:t xml:space="preserve"> 500 PE</w:t>
            </w:r>
          </w:p>
        </w:tc>
        <w:tc>
          <w:tcPr>
            <w:tcW w:w="1418" w:type="dxa"/>
            <w:vAlign w:val="center"/>
          </w:tcPr>
          <w:p w:rsidR="00306492" w:rsidRPr="00B148B1" w:rsidRDefault="00306492">
            <w:pPr>
              <w:jc w:val="center"/>
              <w:rPr>
                <w:rFonts w:cs="Arial"/>
                <w:i/>
                <w:iCs/>
                <w:szCs w:val="20"/>
              </w:rPr>
            </w:pPr>
            <w:r w:rsidRPr="00B148B1">
              <w:rPr>
                <w:rFonts w:cs="Arial"/>
                <w:i/>
                <w:iCs/>
                <w:szCs w:val="20"/>
              </w:rPr>
              <w:t>124.587</w:t>
            </w:r>
          </w:p>
        </w:tc>
        <w:tc>
          <w:tcPr>
            <w:tcW w:w="1276" w:type="dxa"/>
            <w:vAlign w:val="center"/>
          </w:tcPr>
          <w:p w:rsidR="00306492" w:rsidRPr="00B148B1" w:rsidRDefault="002627DB">
            <w:pPr>
              <w:jc w:val="center"/>
              <w:rPr>
                <w:rFonts w:cs="Arial"/>
                <w:i/>
                <w:iCs/>
                <w:szCs w:val="20"/>
              </w:rPr>
            </w:pPr>
            <w:r w:rsidRPr="00B148B1">
              <w:rPr>
                <w:rFonts w:cs="Arial"/>
                <w:i/>
                <w:iCs/>
                <w:szCs w:val="20"/>
              </w:rPr>
              <w:t>44.463</w:t>
            </w:r>
          </w:p>
        </w:tc>
        <w:tc>
          <w:tcPr>
            <w:tcW w:w="992" w:type="dxa"/>
            <w:vAlign w:val="center"/>
          </w:tcPr>
          <w:p w:rsidR="00306492" w:rsidRPr="00B148B1" w:rsidRDefault="002627DB">
            <w:pPr>
              <w:jc w:val="center"/>
              <w:rPr>
                <w:rFonts w:cs="Arial"/>
                <w:i/>
                <w:iCs/>
                <w:szCs w:val="20"/>
              </w:rPr>
            </w:pPr>
            <w:r w:rsidRPr="00B148B1">
              <w:rPr>
                <w:rFonts w:cs="Arial"/>
                <w:i/>
                <w:iCs/>
                <w:szCs w:val="20"/>
              </w:rPr>
              <w:t>35,7</w:t>
            </w:r>
          </w:p>
        </w:tc>
        <w:tc>
          <w:tcPr>
            <w:tcW w:w="1134" w:type="dxa"/>
            <w:vAlign w:val="center"/>
          </w:tcPr>
          <w:p w:rsidR="00306492" w:rsidRPr="00B148B1" w:rsidRDefault="002627DB">
            <w:pPr>
              <w:jc w:val="center"/>
              <w:rPr>
                <w:rFonts w:cs="Arial"/>
                <w:i/>
                <w:iCs/>
                <w:szCs w:val="20"/>
              </w:rPr>
            </w:pPr>
            <w:r w:rsidRPr="00B148B1">
              <w:rPr>
                <w:rFonts w:cs="Arial"/>
                <w:i/>
                <w:iCs/>
                <w:szCs w:val="20"/>
              </w:rPr>
              <w:t>42.489</w:t>
            </w:r>
          </w:p>
        </w:tc>
        <w:tc>
          <w:tcPr>
            <w:tcW w:w="902" w:type="dxa"/>
            <w:vAlign w:val="center"/>
          </w:tcPr>
          <w:p w:rsidR="00306492" w:rsidRPr="00B148B1" w:rsidRDefault="002627DB">
            <w:pPr>
              <w:jc w:val="center"/>
              <w:rPr>
                <w:rFonts w:cs="Arial"/>
                <w:i/>
                <w:iCs/>
                <w:szCs w:val="20"/>
              </w:rPr>
            </w:pPr>
            <w:r w:rsidRPr="00B148B1">
              <w:rPr>
                <w:rFonts w:cs="Arial"/>
                <w:i/>
                <w:iCs/>
                <w:szCs w:val="20"/>
              </w:rPr>
              <w:t>34,1</w:t>
            </w:r>
          </w:p>
        </w:tc>
      </w:tr>
      <w:tr w:rsidR="00306492" w:rsidRPr="00B148B1" w:rsidTr="00385BB8">
        <w:trPr>
          <w:cantSplit/>
          <w:trHeight w:val="340"/>
        </w:trPr>
        <w:tc>
          <w:tcPr>
            <w:tcW w:w="3510" w:type="dxa"/>
            <w:vAlign w:val="center"/>
          </w:tcPr>
          <w:p w:rsidR="00306492" w:rsidRPr="00B148B1" w:rsidRDefault="00306492" w:rsidP="008F36B7">
            <w:pPr>
              <w:spacing w:line="240" w:lineRule="auto"/>
              <w:jc w:val="right"/>
              <w:rPr>
                <w:rFonts w:cs="Arial"/>
                <w:color w:val="000000"/>
                <w:szCs w:val="20"/>
              </w:rPr>
            </w:pPr>
            <w:r w:rsidRPr="00B148B1">
              <w:rPr>
                <w:rFonts w:cs="Arial"/>
                <w:color w:val="000000"/>
                <w:szCs w:val="20"/>
              </w:rPr>
              <w:t>aglomeracije &lt; 50 PE</w:t>
            </w:r>
          </w:p>
        </w:tc>
        <w:tc>
          <w:tcPr>
            <w:tcW w:w="1418" w:type="dxa"/>
            <w:vAlign w:val="center"/>
          </w:tcPr>
          <w:p w:rsidR="00306492" w:rsidRPr="00B148B1" w:rsidRDefault="00306492">
            <w:pPr>
              <w:jc w:val="center"/>
              <w:rPr>
                <w:rFonts w:cs="Arial"/>
                <w:i/>
                <w:iCs/>
                <w:szCs w:val="20"/>
              </w:rPr>
            </w:pPr>
            <w:r w:rsidRPr="00B148B1">
              <w:rPr>
                <w:rFonts w:cs="Arial"/>
                <w:i/>
                <w:iCs/>
                <w:szCs w:val="20"/>
              </w:rPr>
              <w:t>320</w:t>
            </w:r>
          </w:p>
        </w:tc>
        <w:tc>
          <w:tcPr>
            <w:tcW w:w="1276" w:type="dxa"/>
            <w:vAlign w:val="center"/>
          </w:tcPr>
          <w:p w:rsidR="00306492" w:rsidRPr="00B148B1" w:rsidRDefault="00306492">
            <w:pPr>
              <w:jc w:val="center"/>
              <w:rPr>
                <w:rFonts w:cs="Arial"/>
                <w:i/>
                <w:iCs/>
                <w:szCs w:val="20"/>
              </w:rPr>
            </w:pPr>
            <w:r w:rsidRPr="00B148B1">
              <w:rPr>
                <w:rFonts w:cs="Arial"/>
                <w:i/>
                <w:iCs/>
                <w:szCs w:val="20"/>
              </w:rPr>
              <w:t>29</w:t>
            </w:r>
          </w:p>
        </w:tc>
        <w:tc>
          <w:tcPr>
            <w:tcW w:w="992" w:type="dxa"/>
            <w:vAlign w:val="center"/>
          </w:tcPr>
          <w:p w:rsidR="00306492" w:rsidRPr="00B148B1" w:rsidRDefault="00306492">
            <w:pPr>
              <w:jc w:val="center"/>
              <w:rPr>
                <w:rFonts w:cs="Arial"/>
                <w:i/>
                <w:iCs/>
                <w:szCs w:val="20"/>
              </w:rPr>
            </w:pPr>
            <w:r w:rsidRPr="00B148B1">
              <w:rPr>
                <w:rFonts w:cs="Arial"/>
                <w:i/>
                <w:iCs/>
                <w:szCs w:val="20"/>
              </w:rPr>
              <w:t>9,1</w:t>
            </w:r>
          </w:p>
        </w:tc>
        <w:tc>
          <w:tcPr>
            <w:tcW w:w="1134" w:type="dxa"/>
            <w:vAlign w:val="center"/>
          </w:tcPr>
          <w:p w:rsidR="00306492" w:rsidRPr="00B148B1" w:rsidRDefault="00306492">
            <w:pPr>
              <w:jc w:val="center"/>
              <w:rPr>
                <w:rFonts w:cs="Arial"/>
                <w:i/>
                <w:iCs/>
                <w:szCs w:val="20"/>
              </w:rPr>
            </w:pPr>
            <w:r w:rsidRPr="00B148B1">
              <w:rPr>
                <w:rFonts w:cs="Arial"/>
                <w:i/>
                <w:iCs/>
                <w:szCs w:val="20"/>
              </w:rPr>
              <w:t>29</w:t>
            </w:r>
          </w:p>
        </w:tc>
        <w:tc>
          <w:tcPr>
            <w:tcW w:w="902" w:type="dxa"/>
            <w:vAlign w:val="center"/>
          </w:tcPr>
          <w:p w:rsidR="00306492" w:rsidRPr="00B148B1" w:rsidRDefault="00306492">
            <w:pPr>
              <w:jc w:val="center"/>
              <w:rPr>
                <w:rFonts w:cs="Arial"/>
                <w:i/>
                <w:iCs/>
                <w:szCs w:val="20"/>
              </w:rPr>
            </w:pPr>
            <w:r w:rsidRPr="00B148B1">
              <w:rPr>
                <w:rFonts w:cs="Arial"/>
                <w:i/>
                <w:iCs/>
                <w:szCs w:val="20"/>
              </w:rPr>
              <w:t>9,1</w:t>
            </w:r>
          </w:p>
        </w:tc>
      </w:tr>
      <w:tr w:rsidR="00306492" w:rsidRPr="00B148B1" w:rsidTr="00385BB8">
        <w:trPr>
          <w:cantSplit/>
          <w:trHeight w:val="340"/>
        </w:trPr>
        <w:tc>
          <w:tcPr>
            <w:tcW w:w="3510" w:type="dxa"/>
            <w:vAlign w:val="center"/>
          </w:tcPr>
          <w:p w:rsidR="00306492" w:rsidRPr="00B148B1" w:rsidRDefault="00306492" w:rsidP="008F36B7">
            <w:pPr>
              <w:tabs>
                <w:tab w:val="left" w:pos="851"/>
                <w:tab w:val="left" w:pos="1418"/>
                <w:tab w:val="left" w:pos="9600"/>
              </w:tabs>
              <w:spacing w:line="240" w:lineRule="auto"/>
              <w:rPr>
                <w:rFonts w:cs="Arial"/>
                <w:b/>
                <w:i/>
                <w:szCs w:val="20"/>
              </w:rPr>
            </w:pPr>
            <w:r w:rsidRPr="00B148B1">
              <w:rPr>
                <w:rFonts w:cs="Arial"/>
                <w:b/>
                <w:i/>
                <w:szCs w:val="20"/>
              </w:rPr>
              <w:t>Skupaj</w:t>
            </w:r>
          </w:p>
        </w:tc>
        <w:tc>
          <w:tcPr>
            <w:tcW w:w="1418" w:type="dxa"/>
            <w:vAlign w:val="center"/>
          </w:tcPr>
          <w:p w:rsidR="00306492" w:rsidRPr="00B148B1" w:rsidRDefault="00306492">
            <w:pPr>
              <w:jc w:val="center"/>
              <w:rPr>
                <w:rFonts w:cs="Arial"/>
                <w:b/>
                <w:bCs/>
                <w:i/>
                <w:iCs/>
                <w:szCs w:val="20"/>
              </w:rPr>
            </w:pPr>
            <w:r w:rsidRPr="00B148B1">
              <w:rPr>
                <w:rFonts w:cs="Arial"/>
                <w:b/>
                <w:bCs/>
                <w:i/>
                <w:iCs/>
                <w:szCs w:val="20"/>
              </w:rPr>
              <w:t>2.107.080</w:t>
            </w:r>
          </w:p>
        </w:tc>
        <w:tc>
          <w:tcPr>
            <w:tcW w:w="1276" w:type="dxa"/>
            <w:vAlign w:val="center"/>
          </w:tcPr>
          <w:p w:rsidR="00306492" w:rsidRPr="00B148B1" w:rsidRDefault="00C62938">
            <w:pPr>
              <w:jc w:val="center"/>
              <w:rPr>
                <w:rFonts w:cs="Arial"/>
                <w:b/>
                <w:bCs/>
                <w:i/>
                <w:iCs/>
                <w:szCs w:val="20"/>
              </w:rPr>
            </w:pPr>
            <w:r w:rsidRPr="00B148B1">
              <w:rPr>
                <w:rFonts w:cs="Arial"/>
                <w:b/>
                <w:bCs/>
                <w:i/>
                <w:iCs/>
                <w:szCs w:val="20"/>
              </w:rPr>
              <w:t>1.659.834</w:t>
            </w:r>
          </w:p>
        </w:tc>
        <w:tc>
          <w:tcPr>
            <w:tcW w:w="992" w:type="dxa"/>
            <w:vAlign w:val="center"/>
          </w:tcPr>
          <w:p w:rsidR="00306492" w:rsidRPr="00B148B1" w:rsidRDefault="00C62938">
            <w:pPr>
              <w:jc w:val="center"/>
              <w:rPr>
                <w:rFonts w:cs="Arial"/>
                <w:b/>
                <w:bCs/>
                <w:i/>
                <w:iCs/>
                <w:szCs w:val="20"/>
              </w:rPr>
            </w:pPr>
            <w:r w:rsidRPr="00B148B1">
              <w:rPr>
                <w:rFonts w:cs="Arial"/>
                <w:b/>
                <w:bCs/>
                <w:i/>
                <w:iCs/>
                <w:szCs w:val="20"/>
              </w:rPr>
              <w:t>78,8</w:t>
            </w:r>
          </w:p>
        </w:tc>
        <w:tc>
          <w:tcPr>
            <w:tcW w:w="1134" w:type="dxa"/>
            <w:vAlign w:val="center"/>
          </w:tcPr>
          <w:p w:rsidR="00306492" w:rsidRPr="00B148B1" w:rsidRDefault="00306492" w:rsidP="003C5FE2">
            <w:pPr>
              <w:jc w:val="center"/>
              <w:rPr>
                <w:rFonts w:cs="Arial"/>
                <w:b/>
                <w:bCs/>
                <w:i/>
                <w:iCs/>
                <w:szCs w:val="20"/>
              </w:rPr>
            </w:pPr>
            <w:r w:rsidRPr="00B148B1">
              <w:rPr>
                <w:rFonts w:cs="Arial"/>
                <w:b/>
                <w:bCs/>
                <w:i/>
                <w:iCs/>
                <w:szCs w:val="20"/>
              </w:rPr>
              <w:t>1.</w:t>
            </w:r>
            <w:r w:rsidR="00C62938" w:rsidRPr="00B148B1">
              <w:rPr>
                <w:rFonts w:cs="Arial"/>
                <w:b/>
                <w:bCs/>
                <w:i/>
                <w:iCs/>
                <w:szCs w:val="20"/>
              </w:rPr>
              <w:t>622.097</w:t>
            </w:r>
          </w:p>
        </w:tc>
        <w:tc>
          <w:tcPr>
            <w:tcW w:w="902" w:type="dxa"/>
            <w:vAlign w:val="center"/>
          </w:tcPr>
          <w:p w:rsidR="00306492" w:rsidRPr="00B148B1" w:rsidRDefault="00C62938">
            <w:pPr>
              <w:jc w:val="center"/>
              <w:rPr>
                <w:rFonts w:cs="Arial"/>
                <w:b/>
                <w:bCs/>
                <w:i/>
                <w:iCs/>
                <w:szCs w:val="20"/>
              </w:rPr>
            </w:pPr>
            <w:r w:rsidRPr="00B148B1">
              <w:rPr>
                <w:rFonts w:cs="Arial"/>
                <w:b/>
                <w:bCs/>
                <w:i/>
                <w:iCs/>
                <w:szCs w:val="20"/>
              </w:rPr>
              <w:t>77,0</w:t>
            </w:r>
          </w:p>
        </w:tc>
      </w:tr>
    </w:tbl>
    <w:p w:rsidR="004B3FD9" w:rsidRPr="00B148B1" w:rsidRDefault="004B3FD9" w:rsidP="002434DF">
      <w:pPr>
        <w:tabs>
          <w:tab w:val="left" w:leader="dot" w:pos="284"/>
          <w:tab w:val="left" w:pos="9600"/>
        </w:tabs>
        <w:spacing w:before="120" w:line="280" w:lineRule="atLeast"/>
        <w:ind w:left="284" w:hanging="284"/>
        <w:rPr>
          <w:rFonts w:cs="Arial"/>
          <w:sz w:val="18"/>
          <w:szCs w:val="18"/>
        </w:rPr>
      </w:pPr>
      <w:r w:rsidRPr="00B148B1">
        <w:rPr>
          <w:rFonts w:cs="Arial"/>
          <w:sz w:val="18"/>
          <w:szCs w:val="18"/>
          <w:vertAlign w:val="superscript"/>
        </w:rPr>
        <w:t>(1)</w:t>
      </w:r>
      <w:r w:rsidR="00C5768E" w:rsidRPr="00B148B1">
        <w:rPr>
          <w:rFonts w:cs="Arial"/>
          <w:sz w:val="18"/>
          <w:szCs w:val="18"/>
          <w:vertAlign w:val="superscript"/>
        </w:rPr>
        <w:t xml:space="preserve"> </w:t>
      </w:r>
      <w:r w:rsidR="00A86DEA" w:rsidRPr="00B148B1">
        <w:rPr>
          <w:rFonts w:cs="Arial"/>
          <w:sz w:val="18"/>
          <w:szCs w:val="18"/>
        </w:rPr>
        <w:t>V</w:t>
      </w:r>
      <w:r w:rsidRPr="00B148B1">
        <w:rPr>
          <w:rFonts w:cs="Arial"/>
          <w:sz w:val="18"/>
          <w:szCs w:val="18"/>
        </w:rPr>
        <w:t xml:space="preserve">ključene so tudi aglomeracije s skupno obremenitvijo, manjšo od </w:t>
      </w:r>
      <w:r w:rsidR="00C5768E" w:rsidRPr="00B148B1">
        <w:rPr>
          <w:rFonts w:cs="Arial"/>
          <w:sz w:val="18"/>
          <w:szCs w:val="18"/>
        </w:rPr>
        <w:t>50 PE, in aglomeracije s skupno</w:t>
      </w:r>
      <w:r w:rsidR="002434DF" w:rsidRPr="00B148B1">
        <w:rPr>
          <w:rFonts w:cs="Arial"/>
          <w:sz w:val="18"/>
          <w:szCs w:val="18"/>
        </w:rPr>
        <w:t xml:space="preserve"> </w:t>
      </w:r>
      <w:r w:rsidRPr="00B148B1">
        <w:rPr>
          <w:rFonts w:cs="Arial"/>
          <w:sz w:val="18"/>
          <w:szCs w:val="18"/>
        </w:rPr>
        <w:t>obremenitvijo, enako ali večjo od 50 PE in manjšo od 2.000 PE, iz dodatnega programa predhodnega operativnega programa</w:t>
      </w:r>
      <w:r w:rsidR="00E15146" w:rsidRPr="00B148B1">
        <w:rPr>
          <w:rFonts w:cs="Arial"/>
          <w:sz w:val="18"/>
          <w:szCs w:val="18"/>
        </w:rPr>
        <w:t>;</w:t>
      </w:r>
    </w:p>
    <w:p w:rsidR="004B3FD9" w:rsidRPr="00B148B1" w:rsidRDefault="004B3FD9" w:rsidP="00385BB8">
      <w:pPr>
        <w:tabs>
          <w:tab w:val="left" w:leader="dot" w:pos="993"/>
          <w:tab w:val="left" w:pos="9600"/>
        </w:tabs>
        <w:spacing w:before="120" w:line="280" w:lineRule="atLeast"/>
        <w:ind w:left="993" w:hanging="993"/>
        <w:rPr>
          <w:rFonts w:cs="Arial"/>
          <w:sz w:val="18"/>
          <w:szCs w:val="18"/>
        </w:rPr>
      </w:pPr>
      <w:r w:rsidRPr="00B148B1">
        <w:rPr>
          <w:rFonts w:cs="Arial"/>
          <w:sz w:val="18"/>
          <w:szCs w:val="18"/>
        </w:rPr>
        <w:t>JKO</w:t>
      </w:r>
      <w:r w:rsidR="00A86DEA" w:rsidRPr="00B148B1">
        <w:rPr>
          <w:rFonts w:cs="Arial"/>
          <w:sz w:val="18"/>
          <w:szCs w:val="18"/>
        </w:rPr>
        <w:t xml:space="preserve"> </w:t>
      </w:r>
      <w:r w:rsidR="00A86DEA" w:rsidRPr="00B148B1">
        <w:rPr>
          <w:rFonts w:cs="Arial"/>
          <w:color w:val="202122"/>
          <w:sz w:val="18"/>
          <w:szCs w:val="18"/>
          <w:shd w:val="clear" w:color="auto" w:fill="FFFFFF"/>
        </w:rPr>
        <w:t xml:space="preserve">– </w:t>
      </w:r>
      <w:r w:rsidRPr="00B148B1">
        <w:rPr>
          <w:rFonts w:cs="Arial"/>
          <w:sz w:val="18"/>
          <w:szCs w:val="18"/>
        </w:rPr>
        <w:t>javno kanalizacijsko omrežje;</w:t>
      </w:r>
    </w:p>
    <w:p w:rsidR="004B3FD9" w:rsidRPr="00B148B1" w:rsidRDefault="004B3FD9" w:rsidP="00385BB8">
      <w:pPr>
        <w:tabs>
          <w:tab w:val="left" w:leader="dot" w:pos="993"/>
          <w:tab w:val="left" w:pos="9600"/>
        </w:tabs>
        <w:spacing w:before="120" w:line="280" w:lineRule="atLeast"/>
        <w:ind w:left="993" w:hanging="993"/>
        <w:rPr>
          <w:rFonts w:cs="Arial"/>
          <w:sz w:val="18"/>
          <w:szCs w:val="18"/>
        </w:rPr>
      </w:pPr>
      <w:r w:rsidRPr="00B148B1">
        <w:rPr>
          <w:rFonts w:cs="Arial"/>
          <w:sz w:val="18"/>
          <w:szCs w:val="18"/>
        </w:rPr>
        <w:t>ČN</w:t>
      </w:r>
      <w:r w:rsidR="00A86DEA" w:rsidRPr="00B148B1">
        <w:rPr>
          <w:rFonts w:cs="Arial"/>
          <w:sz w:val="18"/>
          <w:szCs w:val="18"/>
        </w:rPr>
        <w:t xml:space="preserve"> </w:t>
      </w:r>
      <w:r w:rsidR="00A86DEA" w:rsidRPr="00B148B1">
        <w:rPr>
          <w:rFonts w:cs="Arial"/>
          <w:color w:val="202122"/>
          <w:sz w:val="18"/>
          <w:szCs w:val="18"/>
          <w:shd w:val="clear" w:color="auto" w:fill="FFFFFF"/>
        </w:rPr>
        <w:t xml:space="preserve">– </w:t>
      </w:r>
      <w:r w:rsidRPr="00B148B1">
        <w:rPr>
          <w:rFonts w:cs="Arial"/>
          <w:sz w:val="18"/>
          <w:szCs w:val="18"/>
        </w:rPr>
        <w:t xml:space="preserve">čistilna naprava, namenjena </w:t>
      </w:r>
      <w:r w:rsidR="004F3B39" w:rsidRPr="00B148B1">
        <w:rPr>
          <w:rFonts w:cs="Arial"/>
          <w:sz w:val="18"/>
          <w:szCs w:val="18"/>
        </w:rPr>
        <w:t xml:space="preserve">za </w:t>
      </w:r>
      <w:r w:rsidRPr="00B148B1">
        <w:rPr>
          <w:rFonts w:cs="Arial"/>
          <w:sz w:val="18"/>
          <w:szCs w:val="18"/>
        </w:rPr>
        <w:t>izvajanj</w:t>
      </w:r>
      <w:r w:rsidR="004F3B39" w:rsidRPr="00B148B1">
        <w:rPr>
          <w:rFonts w:cs="Arial"/>
          <w:sz w:val="18"/>
          <w:szCs w:val="18"/>
        </w:rPr>
        <w:t>e</w:t>
      </w:r>
      <w:r w:rsidRPr="00B148B1">
        <w:rPr>
          <w:rFonts w:cs="Arial"/>
          <w:sz w:val="18"/>
          <w:szCs w:val="18"/>
        </w:rPr>
        <w:t xml:space="preserve"> javne službe.</w:t>
      </w:r>
    </w:p>
    <w:p w:rsidR="001D5F60" w:rsidRPr="00B148B1" w:rsidRDefault="004B3FD9" w:rsidP="00385BB8">
      <w:pPr>
        <w:tabs>
          <w:tab w:val="left" w:pos="9600"/>
        </w:tabs>
        <w:spacing w:before="120" w:line="280" w:lineRule="atLeast"/>
        <w:rPr>
          <w:rFonts w:cs="Arial"/>
          <w:szCs w:val="20"/>
        </w:rPr>
      </w:pPr>
      <w:r w:rsidRPr="00B148B1">
        <w:rPr>
          <w:rFonts w:cs="Arial"/>
          <w:szCs w:val="20"/>
        </w:rPr>
        <w:t>Podatki o stopnji priključenosti na javno kanalizacijsko omrežje in komunalno ali skupno čistilno napravo po posameznih aglomeracijah, prikazan</w:t>
      </w:r>
      <w:r w:rsidR="004F433B" w:rsidRPr="00B148B1">
        <w:rPr>
          <w:rFonts w:cs="Arial"/>
          <w:szCs w:val="20"/>
        </w:rPr>
        <w:t>i</w:t>
      </w:r>
      <w:r w:rsidRPr="00B148B1">
        <w:rPr>
          <w:rFonts w:cs="Arial"/>
          <w:szCs w:val="20"/>
        </w:rPr>
        <w:t xml:space="preserve"> glede na </w:t>
      </w:r>
      <w:proofErr w:type="spellStart"/>
      <w:r w:rsidRPr="00B148B1">
        <w:rPr>
          <w:rFonts w:cs="Arial"/>
          <w:szCs w:val="20"/>
        </w:rPr>
        <w:t>priključenost</w:t>
      </w:r>
      <w:proofErr w:type="spellEnd"/>
      <w:r w:rsidRPr="00B148B1">
        <w:rPr>
          <w:rFonts w:cs="Arial"/>
          <w:szCs w:val="20"/>
        </w:rPr>
        <w:t xml:space="preserve"> skupne obremenitve aglomeracije, izražene v PE, kot izhaja iz podatkov IJSVO, so prikazani v prilogi (PRILOGA 3), ki je sestavni del tega operativnega programa.</w:t>
      </w:r>
    </w:p>
    <w:p w:rsidR="00E06AC1" w:rsidRPr="00B148B1" w:rsidRDefault="00E06AC1" w:rsidP="00385BB8">
      <w:pPr>
        <w:tabs>
          <w:tab w:val="left" w:pos="9600"/>
        </w:tabs>
        <w:spacing w:before="120" w:line="280" w:lineRule="atLeast"/>
        <w:rPr>
          <w:rFonts w:cs="Arial"/>
          <w:szCs w:val="20"/>
        </w:rPr>
      </w:pPr>
    </w:p>
    <w:p w:rsidR="00E06AC1" w:rsidRDefault="00DE2C9A" w:rsidP="00866B34">
      <w:pPr>
        <w:pStyle w:val="Naslov4"/>
      </w:pPr>
      <w:bookmarkStart w:id="60" w:name="_Toc50628068"/>
      <w:r w:rsidRPr="00B148B1">
        <w:t xml:space="preserve">2.1.4.2 </w:t>
      </w:r>
      <w:r w:rsidR="00E06AC1" w:rsidRPr="00B148B1">
        <w:t xml:space="preserve">Preliminarna ocena </w:t>
      </w:r>
      <w:r w:rsidR="00E06AC1" w:rsidRPr="00866B34">
        <w:t>skladnosti</w:t>
      </w:r>
      <w:bookmarkEnd w:id="60"/>
    </w:p>
    <w:p w:rsidR="00866B34" w:rsidRPr="00866B34" w:rsidRDefault="00866B34" w:rsidP="00866B34"/>
    <w:p w:rsidR="00CC7E7E" w:rsidRPr="00B148B1" w:rsidRDefault="00CC7E7E" w:rsidP="00866B34">
      <w:r w:rsidRPr="00B148B1">
        <w:t>Za vsako posamezno aglomeracijo iz predhodnega operativnega programa je izdelana preliminarna ocena skladnosti s predpisanimi zahtevami glede odvajanja in čiščenja komunalne odpadne vode, in sicer je preliminarna ocena izdelana po merilih, ki jih v navodilih »</w:t>
      </w:r>
      <w:proofErr w:type="spellStart"/>
      <w:r w:rsidRPr="00B148B1">
        <w:t>Evaluation</w:t>
      </w:r>
      <w:proofErr w:type="spellEnd"/>
      <w:r w:rsidRPr="00B148B1">
        <w:t xml:space="preserve"> </w:t>
      </w:r>
      <w:proofErr w:type="spellStart"/>
      <w:r w:rsidRPr="00B148B1">
        <w:t>of</w:t>
      </w:r>
      <w:proofErr w:type="spellEnd"/>
      <w:r w:rsidRPr="00B148B1">
        <w:t xml:space="preserve"> </w:t>
      </w:r>
      <w:proofErr w:type="spellStart"/>
      <w:r w:rsidRPr="00B148B1">
        <w:t>Information</w:t>
      </w:r>
      <w:proofErr w:type="spellEnd"/>
      <w:r w:rsidRPr="00B148B1">
        <w:t xml:space="preserve"> </w:t>
      </w:r>
      <w:proofErr w:type="spellStart"/>
      <w:r w:rsidRPr="00B148B1">
        <w:t>reported</w:t>
      </w:r>
      <w:proofErr w:type="spellEnd"/>
      <w:r w:rsidRPr="00B148B1">
        <w:t xml:space="preserve"> in </w:t>
      </w:r>
      <w:proofErr w:type="spellStart"/>
      <w:r w:rsidRPr="00B148B1">
        <w:t>the</w:t>
      </w:r>
      <w:proofErr w:type="spellEnd"/>
      <w:r w:rsidRPr="00B148B1">
        <w:t xml:space="preserve"> </w:t>
      </w:r>
      <w:proofErr w:type="spellStart"/>
      <w:r w:rsidRPr="00B148B1">
        <w:t>Frame</w:t>
      </w:r>
      <w:proofErr w:type="spellEnd"/>
      <w:r w:rsidRPr="00B148B1">
        <w:t xml:space="preserve"> </w:t>
      </w:r>
      <w:proofErr w:type="spellStart"/>
      <w:r w:rsidRPr="00B148B1">
        <w:t>of</w:t>
      </w:r>
      <w:proofErr w:type="spellEnd"/>
      <w:r w:rsidRPr="00B148B1">
        <w:t xml:space="preserve"> UWWTD </w:t>
      </w:r>
      <w:proofErr w:type="spellStart"/>
      <w:r w:rsidRPr="00B148B1">
        <w:t>Questionnaires</w:t>
      </w:r>
      <w:proofErr w:type="spellEnd"/>
      <w:r w:rsidRPr="00B148B1">
        <w:t xml:space="preserve">, General </w:t>
      </w:r>
      <w:proofErr w:type="spellStart"/>
      <w:r w:rsidRPr="00B148B1">
        <w:t>Methodology</w:t>
      </w:r>
      <w:proofErr w:type="spellEnd"/>
      <w:r w:rsidRPr="00B148B1">
        <w:t xml:space="preserve"> </w:t>
      </w:r>
      <w:proofErr w:type="spellStart"/>
      <w:r w:rsidRPr="00B148B1">
        <w:t>and</w:t>
      </w:r>
      <w:proofErr w:type="spellEnd"/>
      <w:r w:rsidRPr="00B148B1">
        <w:t xml:space="preserve"> </w:t>
      </w:r>
      <w:proofErr w:type="spellStart"/>
      <w:r w:rsidRPr="00B148B1">
        <w:t>Working</w:t>
      </w:r>
      <w:proofErr w:type="spellEnd"/>
      <w:r w:rsidRPr="00B148B1">
        <w:t xml:space="preserve"> </w:t>
      </w:r>
      <w:proofErr w:type="spellStart"/>
      <w:r w:rsidRPr="00B148B1">
        <w:t>Steps</w:t>
      </w:r>
      <w:proofErr w:type="spellEnd"/>
      <w:r w:rsidRPr="00B148B1">
        <w:t xml:space="preserve">, </w:t>
      </w:r>
      <w:proofErr w:type="spellStart"/>
      <w:r w:rsidRPr="00B148B1">
        <w:t>March</w:t>
      </w:r>
      <w:proofErr w:type="spellEnd"/>
      <w:r w:rsidRPr="00B148B1">
        <w:t xml:space="preserve"> 2012, </w:t>
      </w:r>
      <w:proofErr w:type="spellStart"/>
      <w:r w:rsidRPr="00B148B1">
        <w:t>revised</w:t>
      </w:r>
      <w:proofErr w:type="spellEnd"/>
      <w:r w:rsidRPr="00B148B1">
        <w:t xml:space="preserve"> </w:t>
      </w:r>
      <w:proofErr w:type="spellStart"/>
      <w:r w:rsidRPr="00B148B1">
        <w:t>October</w:t>
      </w:r>
      <w:proofErr w:type="spellEnd"/>
      <w:r w:rsidRPr="00B148B1">
        <w:t xml:space="preserve"> 2014« in »UWWTD legal </w:t>
      </w:r>
      <w:proofErr w:type="spellStart"/>
      <w:r w:rsidRPr="00B148B1">
        <w:t>compliance</w:t>
      </w:r>
      <w:proofErr w:type="spellEnd"/>
      <w:r w:rsidRPr="00B148B1">
        <w:t xml:space="preserve"> </w:t>
      </w:r>
      <w:proofErr w:type="spellStart"/>
      <w:r w:rsidRPr="00B148B1">
        <w:t>assessment</w:t>
      </w:r>
      <w:proofErr w:type="spellEnd"/>
      <w:r w:rsidRPr="00B148B1">
        <w:t xml:space="preserve"> </w:t>
      </w:r>
      <w:proofErr w:type="spellStart"/>
      <w:r w:rsidRPr="00B148B1">
        <w:t>methodology</w:t>
      </w:r>
      <w:proofErr w:type="spellEnd"/>
      <w:r w:rsidRPr="00B148B1">
        <w:t xml:space="preserve"> </w:t>
      </w:r>
      <w:proofErr w:type="spellStart"/>
      <w:r w:rsidRPr="00B148B1">
        <w:t>document</w:t>
      </w:r>
      <w:proofErr w:type="spellEnd"/>
      <w:r w:rsidRPr="00B148B1">
        <w:t xml:space="preserve">, </w:t>
      </w:r>
      <w:proofErr w:type="spellStart"/>
      <w:r w:rsidRPr="00B148B1">
        <w:t>Final</w:t>
      </w:r>
      <w:proofErr w:type="spellEnd"/>
      <w:r w:rsidRPr="00B148B1">
        <w:t xml:space="preserve"> 20 </w:t>
      </w:r>
      <w:proofErr w:type="spellStart"/>
      <w:r w:rsidRPr="00B148B1">
        <w:t>June</w:t>
      </w:r>
      <w:proofErr w:type="spellEnd"/>
      <w:r w:rsidRPr="00B148B1">
        <w:t xml:space="preserve"> 2014« navaja EK (v nadaljnjem besedilu: navodilo EK). </w:t>
      </w:r>
    </w:p>
    <w:p w:rsidR="00CC7E7E" w:rsidRPr="00B148B1" w:rsidRDefault="00CC7E7E" w:rsidP="00385BB8">
      <w:pPr>
        <w:tabs>
          <w:tab w:val="left" w:pos="9600"/>
        </w:tabs>
        <w:spacing w:before="120" w:line="280" w:lineRule="atLeast"/>
        <w:rPr>
          <w:rFonts w:cs="Arial"/>
          <w:szCs w:val="20"/>
        </w:rPr>
      </w:pPr>
      <w:r w:rsidRPr="00B148B1">
        <w:rPr>
          <w:rFonts w:cs="Arial"/>
          <w:szCs w:val="20"/>
        </w:rPr>
        <w:t>Za ugotavljanje skladnosti glede odvajanja komunalne odpadne vode so v navodilu EK navedena naslednja merila:</w:t>
      </w:r>
    </w:p>
    <w:p w:rsidR="00CC7E7E" w:rsidRPr="00B148B1" w:rsidRDefault="00CC7E7E" w:rsidP="004C2581">
      <w:pPr>
        <w:numPr>
          <w:ilvl w:val="0"/>
          <w:numId w:val="11"/>
        </w:numPr>
        <w:tabs>
          <w:tab w:val="left" w:pos="9600"/>
        </w:tabs>
        <w:spacing w:before="120" w:line="280" w:lineRule="atLeast"/>
        <w:rPr>
          <w:rFonts w:cs="Arial"/>
          <w:szCs w:val="20"/>
        </w:rPr>
      </w:pPr>
      <w:r w:rsidRPr="00B148B1">
        <w:rPr>
          <w:rFonts w:cs="Arial"/>
          <w:szCs w:val="20"/>
        </w:rPr>
        <w:t>če seštevek deležev obremenitve, ki se ne odvaja v kanalizacijsko omrežje, in obremenitve, ki se ne čisti v individualnem sistemu za odvajanje in čiščenje komunalne odpadne vode, ter obremenitve, ki se čisti v individualnem sistemu za odvajanje in čiščenje komunalne odpadne vode, ne presega dv</w:t>
      </w:r>
      <w:r w:rsidR="004F433B" w:rsidRPr="00B148B1">
        <w:rPr>
          <w:rFonts w:cs="Arial"/>
          <w:szCs w:val="20"/>
        </w:rPr>
        <w:t>eh</w:t>
      </w:r>
      <w:r w:rsidRPr="00B148B1">
        <w:rPr>
          <w:rFonts w:cs="Arial"/>
          <w:szCs w:val="20"/>
        </w:rPr>
        <w:t xml:space="preserve"> odstotk</w:t>
      </w:r>
      <w:r w:rsidR="004F433B" w:rsidRPr="00B148B1">
        <w:rPr>
          <w:rFonts w:cs="Arial"/>
          <w:szCs w:val="20"/>
        </w:rPr>
        <w:t>ov</w:t>
      </w:r>
      <w:r w:rsidRPr="00B148B1">
        <w:rPr>
          <w:rFonts w:cs="Arial"/>
          <w:szCs w:val="20"/>
        </w:rPr>
        <w:t xml:space="preserve"> in hkrati ne presega 2.000 PE, se aglomeracij</w:t>
      </w:r>
      <w:r w:rsidR="004F433B" w:rsidRPr="00B148B1">
        <w:rPr>
          <w:rFonts w:cs="Arial"/>
          <w:szCs w:val="20"/>
        </w:rPr>
        <w:t>a</w:t>
      </w:r>
      <w:r w:rsidRPr="00B148B1">
        <w:rPr>
          <w:rFonts w:cs="Arial"/>
          <w:szCs w:val="20"/>
        </w:rPr>
        <w:t xml:space="preserve"> oceni kot skladno glede odvajanja komunalne odpadne vode (aglomeracija skladna s 3. členom Direktive 91/271/EGS; v nadaljnjem besedilu: oznaka »</w:t>
      </w:r>
      <w:r w:rsidRPr="00B148B1">
        <w:rPr>
          <w:rFonts w:cs="Arial"/>
          <w:color w:val="000000"/>
          <w:szCs w:val="20"/>
          <w:lang w:eastAsia="sl-SI"/>
        </w:rPr>
        <w:t>skladna</w:t>
      </w:r>
      <w:r w:rsidRPr="00B148B1">
        <w:rPr>
          <w:rFonts w:cs="Arial"/>
          <w:szCs w:val="20"/>
        </w:rPr>
        <w:t>«),</w:t>
      </w:r>
    </w:p>
    <w:p w:rsidR="00CC7E7E" w:rsidRPr="00B148B1" w:rsidRDefault="00CC7E7E" w:rsidP="004C2581">
      <w:pPr>
        <w:numPr>
          <w:ilvl w:val="0"/>
          <w:numId w:val="11"/>
        </w:numPr>
        <w:tabs>
          <w:tab w:val="left" w:pos="9600"/>
        </w:tabs>
        <w:spacing w:before="120" w:line="280" w:lineRule="atLeast"/>
        <w:rPr>
          <w:rFonts w:cs="Arial"/>
          <w:szCs w:val="20"/>
        </w:rPr>
      </w:pPr>
      <w:r w:rsidRPr="00B148B1">
        <w:rPr>
          <w:rFonts w:cs="Arial"/>
          <w:szCs w:val="20"/>
        </w:rPr>
        <w:t xml:space="preserve">če seštevek iz prejšnje </w:t>
      </w:r>
      <w:r w:rsidR="00F21F6F" w:rsidRPr="00B148B1">
        <w:rPr>
          <w:rFonts w:cs="Arial"/>
          <w:szCs w:val="20"/>
        </w:rPr>
        <w:t>točke</w:t>
      </w:r>
      <w:r w:rsidRPr="00B148B1">
        <w:rPr>
          <w:rFonts w:cs="Arial"/>
          <w:szCs w:val="20"/>
        </w:rPr>
        <w:t xml:space="preserve"> presega dva odstotka ali presega 2.000 PE, se podrobneje preveri seštevek deležev obremenitve, ki se ne odvaja v kanalizacijsko omrežje, in obremenitve, ki se ne čisti v individualnem sistemu za odvajanje in čiščenje komunalne odpadne vode. Če ta presega dva odstotka ali presega 2.000 PE, se aglomeracij</w:t>
      </w:r>
      <w:r w:rsidR="004F433B" w:rsidRPr="00B148B1">
        <w:rPr>
          <w:rFonts w:cs="Arial"/>
          <w:szCs w:val="20"/>
        </w:rPr>
        <w:t>a</w:t>
      </w:r>
      <w:r w:rsidRPr="00B148B1">
        <w:rPr>
          <w:rFonts w:cs="Arial"/>
          <w:szCs w:val="20"/>
        </w:rPr>
        <w:t xml:space="preserve"> oceni kot neskladn</w:t>
      </w:r>
      <w:r w:rsidR="004F433B" w:rsidRPr="00B148B1">
        <w:rPr>
          <w:rFonts w:cs="Arial"/>
          <w:szCs w:val="20"/>
        </w:rPr>
        <w:t>a</w:t>
      </w:r>
      <w:r w:rsidRPr="00B148B1">
        <w:rPr>
          <w:rFonts w:cs="Arial"/>
          <w:szCs w:val="20"/>
        </w:rPr>
        <w:t xml:space="preserve"> glede odvajanja komunalne odpadne vode (neskladno s 3. členom Direktive 91/271/EGS; v nadaljnjem besedilu: oznaka »</w:t>
      </w:r>
      <w:r w:rsidRPr="00B148B1">
        <w:rPr>
          <w:rFonts w:cs="Arial"/>
          <w:szCs w:val="20"/>
          <w:lang w:eastAsia="sl-SI"/>
        </w:rPr>
        <w:t>ni skladna</w:t>
      </w:r>
      <w:r w:rsidRPr="00B148B1">
        <w:rPr>
          <w:rFonts w:cs="Arial"/>
          <w:szCs w:val="20"/>
        </w:rPr>
        <w:t>«), če pa ne presega dv</w:t>
      </w:r>
      <w:r w:rsidR="004F433B" w:rsidRPr="00B148B1">
        <w:rPr>
          <w:rFonts w:cs="Arial"/>
          <w:szCs w:val="20"/>
        </w:rPr>
        <w:t>eh</w:t>
      </w:r>
      <w:r w:rsidRPr="00B148B1">
        <w:rPr>
          <w:rFonts w:cs="Arial"/>
          <w:szCs w:val="20"/>
        </w:rPr>
        <w:t xml:space="preserve"> odstotk</w:t>
      </w:r>
      <w:r w:rsidR="004F433B" w:rsidRPr="00B148B1">
        <w:rPr>
          <w:rFonts w:cs="Arial"/>
          <w:szCs w:val="20"/>
        </w:rPr>
        <w:t>ov</w:t>
      </w:r>
      <w:r w:rsidRPr="00B148B1">
        <w:rPr>
          <w:rFonts w:cs="Arial"/>
          <w:szCs w:val="20"/>
        </w:rPr>
        <w:t xml:space="preserve"> in hkrati ne presega 2.000 PE, se </w:t>
      </w:r>
      <w:r w:rsidRPr="00B148B1">
        <w:rPr>
          <w:rFonts w:cs="Arial"/>
          <w:szCs w:val="20"/>
        </w:rPr>
        <w:lastRenderedPageBreak/>
        <w:t>aglomeracij</w:t>
      </w:r>
      <w:r w:rsidR="004F433B" w:rsidRPr="00B148B1">
        <w:rPr>
          <w:rFonts w:cs="Arial"/>
          <w:szCs w:val="20"/>
        </w:rPr>
        <w:t>a</w:t>
      </w:r>
      <w:r w:rsidRPr="00B148B1">
        <w:rPr>
          <w:rFonts w:cs="Arial"/>
          <w:szCs w:val="20"/>
        </w:rPr>
        <w:t xml:space="preserve"> oceni kot aglomeracija z vprašljivo skladnostjo glede odvajanja komunalne odpadne vode (aglomeracija vprašljivo skladna s 3. členom Direktive 91/271/EGS; v nadaljnjem besedilu: oznaka »</w:t>
      </w:r>
      <w:r w:rsidRPr="00B148B1">
        <w:rPr>
          <w:rFonts w:cs="Arial"/>
          <w:szCs w:val="20"/>
          <w:lang w:eastAsia="sl-SI"/>
        </w:rPr>
        <w:t>vprašljiva</w:t>
      </w:r>
      <w:r w:rsidRPr="00B148B1">
        <w:rPr>
          <w:rFonts w:cs="Arial"/>
          <w:szCs w:val="20"/>
        </w:rPr>
        <w:t>«)</w:t>
      </w:r>
      <w:r w:rsidR="00931396" w:rsidRPr="00B148B1">
        <w:rPr>
          <w:rFonts w:cs="Arial"/>
          <w:szCs w:val="20"/>
        </w:rPr>
        <w:t>,</w:t>
      </w:r>
      <w:r w:rsidRPr="00B148B1">
        <w:rPr>
          <w:rFonts w:cs="Arial"/>
          <w:szCs w:val="20"/>
        </w:rPr>
        <w:t xml:space="preserve"> </w:t>
      </w:r>
    </w:p>
    <w:p w:rsidR="00CC7E7E" w:rsidRPr="00B148B1" w:rsidRDefault="00CC7E7E" w:rsidP="004C2581">
      <w:pPr>
        <w:numPr>
          <w:ilvl w:val="0"/>
          <w:numId w:val="11"/>
        </w:numPr>
        <w:tabs>
          <w:tab w:val="left" w:pos="9600"/>
        </w:tabs>
        <w:spacing w:before="120" w:line="280" w:lineRule="atLeast"/>
        <w:rPr>
          <w:rFonts w:cs="Arial"/>
          <w:szCs w:val="20"/>
        </w:rPr>
      </w:pPr>
      <w:r w:rsidRPr="00B148B1">
        <w:rPr>
          <w:rFonts w:cs="Arial"/>
          <w:szCs w:val="20"/>
        </w:rPr>
        <w:t xml:space="preserve">če je aglomeracija ocenjena </w:t>
      </w:r>
      <w:r w:rsidR="00931396" w:rsidRPr="00B148B1">
        <w:rPr>
          <w:rFonts w:cs="Arial"/>
          <w:szCs w:val="20"/>
        </w:rPr>
        <w:t>za</w:t>
      </w:r>
      <w:r w:rsidRPr="00B148B1">
        <w:rPr>
          <w:rFonts w:cs="Arial"/>
          <w:szCs w:val="20"/>
        </w:rPr>
        <w:t xml:space="preserve"> neskladn</w:t>
      </w:r>
      <w:r w:rsidR="00931396" w:rsidRPr="00B148B1">
        <w:rPr>
          <w:rFonts w:cs="Arial"/>
          <w:szCs w:val="20"/>
        </w:rPr>
        <w:t>o</w:t>
      </w:r>
      <w:r w:rsidRPr="00B148B1">
        <w:rPr>
          <w:rFonts w:cs="Arial"/>
          <w:szCs w:val="20"/>
        </w:rPr>
        <w:t>, se dodatno podrobneje preveri delež obremenitve, ki se čisti v individualnem sistemu za odvajanje in čiščenje komunalne odpadne vode. Če ta delež presega dva odstotka ali presega 1.000 PE, se aglomeracij</w:t>
      </w:r>
      <w:r w:rsidR="004B4A7B" w:rsidRPr="00B148B1">
        <w:rPr>
          <w:rFonts w:cs="Arial"/>
          <w:szCs w:val="20"/>
        </w:rPr>
        <w:t>a</w:t>
      </w:r>
      <w:r w:rsidRPr="00B148B1">
        <w:rPr>
          <w:rFonts w:cs="Arial"/>
          <w:szCs w:val="20"/>
        </w:rPr>
        <w:t xml:space="preserve"> oceni kot aglomeracija z dodatno vprašljivo skladnostjo (</w:t>
      </w:r>
      <w:proofErr w:type="spellStart"/>
      <w:r w:rsidRPr="00B148B1">
        <w:rPr>
          <w:rFonts w:cs="Arial"/>
          <w:szCs w:val="20"/>
        </w:rPr>
        <w:t>AddQC</w:t>
      </w:r>
      <w:proofErr w:type="spellEnd"/>
      <w:r w:rsidRPr="00B148B1">
        <w:rPr>
          <w:rFonts w:cs="Arial"/>
          <w:szCs w:val="20"/>
        </w:rPr>
        <w:t>) glede odvajanja komunalne odpadne vode (aglomeracija dodatno vprašljiva skladna s 3. členom Direktive 91/271/EGS).</w:t>
      </w:r>
    </w:p>
    <w:p w:rsidR="00CC7E7E" w:rsidRPr="00B148B1" w:rsidRDefault="00CC7E7E" w:rsidP="00385BB8">
      <w:pPr>
        <w:tabs>
          <w:tab w:val="left" w:pos="9600"/>
        </w:tabs>
        <w:spacing w:before="120" w:line="280" w:lineRule="atLeast"/>
        <w:rPr>
          <w:rFonts w:cs="Arial"/>
          <w:szCs w:val="20"/>
        </w:rPr>
      </w:pPr>
      <w:r w:rsidRPr="00B148B1">
        <w:rPr>
          <w:rFonts w:cs="Arial"/>
          <w:szCs w:val="20"/>
        </w:rPr>
        <w:t>Za ugotavljanje skladnosti glede sekundarnega čiščenja komunalne odpadne vode so v navodilu EK navedena naslednja merila:</w:t>
      </w:r>
    </w:p>
    <w:p w:rsidR="00CC7E7E" w:rsidRPr="00B148B1" w:rsidRDefault="00CC7E7E" w:rsidP="004C2581">
      <w:pPr>
        <w:numPr>
          <w:ilvl w:val="0"/>
          <w:numId w:val="12"/>
        </w:numPr>
        <w:tabs>
          <w:tab w:val="left" w:pos="9600"/>
        </w:tabs>
        <w:spacing w:before="120" w:line="280" w:lineRule="atLeast"/>
        <w:rPr>
          <w:rFonts w:cs="Arial"/>
          <w:szCs w:val="20"/>
        </w:rPr>
      </w:pPr>
      <w:r w:rsidRPr="00B148B1">
        <w:rPr>
          <w:rFonts w:cs="Arial"/>
          <w:szCs w:val="20"/>
        </w:rPr>
        <w:t xml:space="preserve">če je posamezna aglomeracija glede odvajanja komunalne odpadne vode ocenjena kot »skladna« ali kot </w:t>
      </w:r>
      <w:r w:rsidR="0065087A" w:rsidRPr="00B148B1">
        <w:rPr>
          <w:rFonts w:cs="Arial"/>
          <w:szCs w:val="20"/>
        </w:rPr>
        <w:t xml:space="preserve">»vprašljiva« </w:t>
      </w:r>
      <w:r w:rsidRPr="00B148B1">
        <w:rPr>
          <w:rFonts w:cs="Arial"/>
          <w:szCs w:val="20"/>
        </w:rPr>
        <w:t>aglomeracija, se nadalje preverja skladnost z zahtevami glede sekundarnega čiščenja komunalne odpadne vode;</w:t>
      </w:r>
    </w:p>
    <w:p w:rsidR="00CC7E7E" w:rsidRPr="00B148B1" w:rsidRDefault="00CC7E7E" w:rsidP="004C2581">
      <w:pPr>
        <w:numPr>
          <w:ilvl w:val="0"/>
          <w:numId w:val="12"/>
        </w:numPr>
        <w:tabs>
          <w:tab w:val="left" w:pos="9600"/>
        </w:tabs>
        <w:spacing w:before="120" w:line="280" w:lineRule="atLeast"/>
        <w:rPr>
          <w:rFonts w:cs="Arial"/>
          <w:szCs w:val="20"/>
        </w:rPr>
      </w:pPr>
      <w:r w:rsidRPr="00B148B1">
        <w:rPr>
          <w:rFonts w:cs="Arial"/>
          <w:szCs w:val="20"/>
        </w:rPr>
        <w:t>če delež obremenitve, ki se odvaja v kanalizacijsko omrežje, a zanj ni zagotovljeno sekundarno čiščenje, ne presega enega odstotka in hkrati ne presega 2.000 PE, se aglomeracij</w:t>
      </w:r>
      <w:r w:rsidR="0065087A" w:rsidRPr="00B148B1">
        <w:rPr>
          <w:rFonts w:cs="Arial"/>
          <w:szCs w:val="20"/>
        </w:rPr>
        <w:t>a</w:t>
      </w:r>
      <w:r w:rsidRPr="00B148B1">
        <w:rPr>
          <w:rFonts w:cs="Arial"/>
          <w:szCs w:val="20"/>
        </w:rPr>
        <w:t xml:space="preserve"> oceni kot skladn</w:t>
      </w:r>
      <w:r w:rsidR="006E1A9E" w:rsidRPr="00B148B1">
        <w:rPr>
          <w:rFonts w:cs="Arial"/>
          <w:szCs w:val="20"/>
        </w:rPr>
        <w:t>a</w:t>
      </w:r>
      <w:r w:rsidRPr="00B148B1">
        <w:rPr>
          <w:rFonts w:cs="Arial"/>
          <w:szCs w:val="20"/>
        </w:rPr>
        <w:t xml:space="preserve"> s predpisanimi zahtevami glede sekundarnega čiščenja komunalne odpadne vode (aglomeracija skladna s 4. členom Direktive 91/271/EGS), če hkrati rezultati </w:t>
      </w:r>
      <w:proofErr w:type="spellStart"/>
      <w:r w:rsidRPr="00B148B1">
        <w:rPr>
          <w:rFonts w:cs="Arial"/>
          <w:szCs w:val="20"/>
        </w:rPr>
        <w:t>monitoringa</w:t>
      </w:r>
      <w:proofErr w:type="spellEnd"/>
      <w:r w:rsidRPr="00B148B1">
        <w:rPr>
          <w:rFonts w:cs="Arial"/>
          <w:szCs w:val="20"/>
        </w:rPr>
        <w:t xml:space="preserve"> parametrov v odpadni vodi izkazujejo skladnost s predpisanimi mejnimi vrednostmi emisij pri sekundarnem čiščenju za vse komunalne čistilne naprave, v katerih se čisti komunalna odpadna voda iz te aglomeracije</w:t>
      </w:r>
      <w:r w:rsidR="000E02D3" w:rsidRPr="00B148B1">
        <w:rPr>
          <w:rFonts w:cs="Arial"/>
          <w:szCs w:val="20"/>
        </w:rPr>
        <w:t>;</w:t>
      </w:r>
    </w:p>
    <w:p w:rsidR="00CC7E7E" w:rsidRPr="00B148B1" w:rsidRDefault="00CC7E7E" w:rsidP="004C2581">
      <w:pPr>
        <w:numPr>
          <w:ilvl w:val="0"/>
          <w:numId w:val="12"/>
        </w:numPr>
        <w:tabs>
          <w:tab w:val="left" w:pos="9600"/>
        </w:tabs>
        <w:spacing w:before="120" w:line="280" w:lineRule="atLeast"/>
        <w:rPr>
          <w:rFonts w:cs="Arial"/>
          <w:szCs w:val="20"/>
        </w:rPr>
      </w:pPr>
      <w:r w:rsidRPr="00B148B1">
        <w:rPr>
          <w:rFonts w:cs="Arial"/>
          <w:szCs w:val="20"/>
        </w:rPr>
        <w:t xml:space="preserve">če delež obremenitve, ki se odvaja v kanalizacijsko omrežje, a zanj ni zagotovljeno sekundarno čiščenje, presega en odstotek ali presega 2.000 PE, ali če rezultati </w:t>
      </w:r>
      <w:proofErr w:type="spellStart"/>
      <w:r w:rsidRPr="00B148B1">
        <w:rPr>
          <w:rFonts w:cs="Arial"/>
          <w:szCs w:val="20"/>
        </w:rPr>
        <w:t>monitoringa</w:t>
      </w:r>
      <w:proofErr w:type="spellEnd"/>
      <w:r w:rsidRPr="00B148B1">
        <w:rPr>
          <w:rFonts w:cs="Arial"/>
          <w:szCs w:val="20"/>
        </w:rPr>
        <w:t xml:space="preserve"> parametrov v odpadni vodi ne izkazujejo skladnosti s predpisanimi mejnimi vrednostmi emisij pri sekundarnem čiščenju, se aglomeracij</w:t>
      </w:r>
      <w:r w:rsidR="000E02D3" w:rsidRPr="00B148B1">
        <w:rPr>
          <w:rFonts w:cs="Arial"/>
          <w:szCs w:val="20"/>
        </w:rPr>
        <w:t>a</w:t>
      </w:r>
      <w:r w:rsidRPr="00B148B1">
        <w:rPr>
          <w:rFonts w:cs="Arial"/>
          <w:szCs w:val="20"/>
        </w:rPr>
        <w:t xml:space="preserve"> oceni kot neskladn</w:t>
      </w:r>
      <w:r w:rsidR="000E02D3" w:rsidRPr="00B148B1">
        <w:rPr>
          <w:rFonts w:cs="Arial"/>
          <w:szCs w:val="20"/>
        </w:rPr>
        <w:t>a</w:t>
      </w:r>
      <w:r w:rsidRPr="00B148B1">
        <w:rPr>
          <w:rFonts w:cs="Arial"/>
          <w:szCs w:val="20"/>
        </w:rPr>
        <w:t xml:space="preserve"> s predpisanimi zahtevami glede sekundarnega čiščenja komunalne odpadne vode (aglomeracija ni sklad</w:t>
      </w:r>
      <w:r w:rsidR="00332206" w:rsidRPr="00B148B1">
        <w:rPr>
          <w:rFonts w:cs="Arial"/>
          <w:szCs w:val="20"/>
        </w:rPr>
        <w:t>n</w:t>
      </w:r>
      <w:r w:rsidRPr="00B148B1">
        <w:rPr>
          <w:rFonts w:cs="Arial"/>
          <w:szCs w:val="20"/>
        </w:rPr>
        <w:t>a s 4. členom Direktive 91/271/EGS).</w:t>
      </w:r>
    </w:p>
    <w:p w:rsidR="00CC7E7E" w:rsidRPr="00B148B1" w:rsidRDefault="00CC7E7E" w:rsidP="00385BB8">
      <w:pPr>
        <w:tabs>
          <w:tab w:val="left" w:pos="9600"/>
        </w:tabs>
        <w:spacing w:before="120" w:line="280" w:lineRule="atLeast"/>
        <w:rPr>
          <w:rFonts w:cs="Arial"/>
          <w:szCs w:val="20"/>
        </w:rPr>
      </w:pPr>
      <w:r w:rsidRPr="00B148B1">
        <w:rPr>
          <w:rFonts w:cs="Arial"/>
          <w:szCs w:val="20"/>
        </w:rPr>
        <w:t>Za ugotavljanje skladnosti glede terciarnega čiščenja komunalne odpadne vode so v navodilu EK navedena naslednja merila:</w:t>
      </w:r>
    </w:p>
    <w:p w:rsidR="00CC7E7E" w:rsidRPr="00B148B1" w:rsidRDefault="00CC7E7E" w:rsidP="004C2581">
      <w:pPr>
        <w:numPr>
          <w:ilvl w:val="0"/>
          <w:numId w:val="13"/>
        </w:numPr>
        <w:tabs>
          <w:tab w:val="left" w:pos="9600"/>
        </w:tabs>
        <w:spacing w:before="120" w:line="280" w:lineRule="atLeast"/>
        <w:rPr>
          <w:rFonts w:cs="Arial"/>
          <w:szCs w:val="20"/>
        </w:rPr>
      </w:pPr>
      <w:r w:rsidRPr="00B148B1">
        <w:rPr>
          <w:rFonts w:cs="Arial"/>
          <w:szCs w:val="20"/>
        </w:rPr>
        <w:t>za celoten delež obremenitve aglomeracije, ki se odvaja po kanalizacijskem omrežju, mora biti zagotovljeno terciarno čiščenje oziroma strožje čiščenje glede na tip občutljivega območja. To pomeni, da morajo imeti vse komunalne čistilne naprave, v katerih se čisti komunalna odpadna voda iz te aglomeracije, tehnologijo za najmanj terciarno oziroma predpisano strožje čiščenje komunalne odpadne vode</w:t>
      </w:r>
      <w:r w:rsidR="00CB3B52" w:rsidRPr="00B148B1">
        <w:rPr>
          <w:rFonts w:cs="Arial"/>
          <w:szCs w:val="20"/>
        </w:rPr>
        <w:t xml:space="preserve"> (aglomeracija skladna s 5. členom Direktive 91/271/EGS)</w:t>
      </w:r>
      <w:r w:rsidR="00307B42" w:rsidRPr="00B148B1">
        <w:rPr>
          <w:rFonts w:cs="Arial"/>
          <w:szCs w:val="20"/>
        </w:rPr>
        <w:t>,</w:t>
      </w:r>
      <w:r w:rsidRPr="00B148B1">
        <w:rPr>
          <w:rFonts w:cs="Arial"/>
          <w:szCs w:val="20"/>
        </w:rPr>
        <w:t xml:space="preserve"> in</w:t>
      </w:r>
    </w:p>
    <w:p w:rsidR="00CC7E7E" w:rsidRPr="00B148B1" w:rsidRDefault="00CC7E7E" w:rsidP="004C2581">
      <w:pPr>
        <w:numPr>
          <w:ilvl w:val="0"/>
          <w:numId w:val="13"/>
        </w:numPr>
        <w:tabs>
          <w:tab w:val="left" w:pos="9600"/>
        </w:tabs>
        <w:spacing w:before="120" w:line="280" w:lineRule="atLeast"/>
        <w:rPr>
          <w:rFonts w:cs="Arial"/>
          <w:szCs w:val="20"/>
        </w:rPr>
      </w:pPr>
      <w:r w:rsidRPr="00B148B1">
        <w:rPr>
          <w:rFonts w:cs="Arial"/>
          <w:szCs w:val="20"/>
        </w:rPr>
        <w:t xml:space="preserve">rezultati </w:t>
      </w:r>
      <w:proofErr w:type="spellStart"/>
      <w:r w:rsidRPr="00B148B1">
        <w:rPr>
          <w:rFonts w:cs="Arial"/>
          <w:szCs w:val="20"/>
        </w:rPr>
        <w:t>monitoringa</w:t>
      </w:r>
      <w:proofErr w:type="spellEnd"/>
      <w:r w:rsidRPr="00B148B1">
        <w:rPr>
          <w:rFonts w:cs="Arial"/>
          <w:szCs w:val="20"/>
        </w:rPr>
        <w:t xml:space="preserve"> parametrov v odpadni vodi morajo izkazovati skladnost s predpisanimi mejnimi vrednostmi emisij pri terciarnem čiščenju za vse komunalne čistilne naprave, v katerih se čisti komunalna odpadna voda iz te aglome</w:t>
      </w:r>
      <w:r w:rsidR="00CB3B52" w:rsidRPr="00B148B1">
        <w:rPr>
          <w:rFonts w:cs="Arial"/>
          <w:szCs w:val="20"/>
        </w:rPr>
        <w:t xml:space="preserve">racije (aglomeracija skladna s </w:t>
      </w:r>
      <w:r w:rsidR="00A125D5" w:rsidRPr="00B148B1">
        <w:rPr>
          <w:rFonts w:cs="Arial"/>
          <w:szCs w:val="20"/>
        </w:rPr>
        <w:t>5</w:t>
      </w:r>
      <w:r w:rsidR="00CB3B52" w:rsidRPr="00B148B1">
        <w:rPr>
          <w:rFonts w:cs="Arial"/>
          <w:szCs w:val="20"/>
        </w:rPr>
        <w:t>. členom Direktive 91/271/EGS)</w:t>
      </w:r>
      <w:r w:rsidR="00DA45EC">
        <w:rPr>
          <w:rFonts w:cs="Arial"/>
          <w:szCs w:val="20"/>
        </w:rPr>
        <w:t>.</w:t>
      </w:r>
    </w:p>
    <w:p w:rsidR="00CC7E7E" w:rsidRPr="00B148B1" w:rsidRDefault="00CC7E7E" w:rsidP="00385BB8">
      <w:pPr>
        <w:tabs>
          <w:tab w:val="left" w:pos="9600"/>
        </w:tabs>
        <w:spacing w:before="120" w:line="280" w:lineRule="atLeast"/>
        <w:rPr>
          <w:rFonts w:cs="Arial"/>
          <w:szCs w:val="20"/>
        </w:rPr>
      </w:pPr>
      <w:r w:rsidRPr="00B148B1">
        <w:rPr>
          <w:rFonts w:cs="Arial"/>
          <w:szCs w:val="20"/>
        </w:rPr>
        <w:t xml:space="preserve">Pri ugotavljanju skladnosti glede čiščenja komunalne odpadne vode je treba upoštevati tudi, da aglomeracija ne more biti skladna glede sekundarnega ali terciarnega čiščenja, če ni skladna glede odvajanja komunalne odpadne vode, prav tako ne more biti skladna glede terciarnega čiščenja, če ni skladna glede sekundarnega čiščenja komunalne odpadne vode. V posebnih primerih, </w:t>
      </w:r>
      <w:r w:rsidR="00307B42" w:rsidRPr="00B148B1">
        <w:rPr>
          <w:rFonts w:cs="Arial"/>
          <w:szCs w:val="20"/>
        </w:rPr>
        <w:t xml:space="preserve">ko </w:t>
      </w:r>
      <w:r w:rsidRPr="00B148B1">
        <w:rPr>
          <w:rFonts w:cs="Arial"/>
          <w:szCs w:val="20"/>
        </w:rPr>
        <w:t>je delež obremenitve, ki se odvaja v kanalizacijsko omrežje, enak nič odstotkov in je aglomeracija ocenjena kot aglomeracija z vprašljivo skladnostjo glede odvajanja komunalne odpadne vode, ker se za pretežni delež obremenitve zagotavlja čiščenje v individualnih sistemih za odvajanje in čiščenje komunalne odpadne vode, se aglomeracija glede skladnosti s 4. ali 5. členom Direktive 91/271/EGS označi z oznako »ni relevantno«.</w:t>
      </w:r>
    </w:p>
    <w:p w:rsidR="00CC7E7E" w:rsidRPr="00B148B1" w:rsidRDefault="00607839" w:rsidP="00385BB8">
      <w:pPr>
        <w:tabs>
          <w:tab w:val="left" w:pos="9600"/>
        </w:tabs>
        <w:spacing w:before="120" w:line="280" w:lineRule="atLeast"/>
        <w:rPr>
          <w:rFonts w:cs="Arial"/>
          <w:szCs w:val="20"/>
        </w:rPr>
      </w:pPr>
      <w:r w:rsidRPr="00B148B1">
        <w:rPr>
          <w:rFonts w:cs="Arial"/>
          <w:szCs w:val="20"/>
        </w:rPr>
        <w:lastRenderedPageBreak/>
        <w:t>Pri</w:t>
      </w:r>
      <w:r w:rsidR="00CC7E7E" w:rsidRPr="00B148B1">
        <w:rPr>
          <w:rFonts w:cs="Arial"/>
          <w:szCs w:val="20"/>
        </w:rPr>
        <w:t xml:space="preserve"> </w:t>
      </w:r>
      <w:r w:rsidRPr="00B148B1">
        <w:rPr>
          <w:rFonts w:cs="Arial"/>
          <w:szCs w:val="20"/>
        </w:rPr>
        <w:t>izračunu preliminarne ocene skladnosti</w:t>
      </w:r>
      <w:r w:rsidR="00CC7E7E" w:rsidRPr="00B148B1">
        <w:rPr>
          <w:rFonts w:cs="Arial"/>
          <w:szCs w:val="20"/>
        </w:rPr>
        <w:t xml:space="preserve"> po posameznih aglomeracijah</w:t>
      </w:r>
      <w:r w:rsidRPr="00B148B1">
        <w:rPr>
          <w:rFonts w:cs="Arial"/>
          <w:szCs w:val="20"/>
        </w:rPr>
        <w:t xml:space="preserve"> iz predhodnega operativnega programa</w:t>
      </w:r>
      <w:r w:rsidR="00CC7E7E" w:rsidRPr="00B148B1">
        <w:rPr>
          <w:rFonts w:cs="Arial"/>
          <w:szCs w:val="20"/>
        </w:rPr>
        <w:t xml:space="preserve"> so uporabljeni podatki iz IJSVO, in sicer podatki o stavbah ter obliki odvajanja in čiščenja komunalnih odpadnih in padavinskih voda na referenčni datum 31. december 2018, </w:t>
      </w:r>
      <w:r w:rsidR="00307B42" w:rsidRPr="00B148B1">
        <w:rPr>
          <w:rFonts w:cs="Arial"/>
          <w:szCs w:val="20"/>
        </w:rPr>
        <w:t>ki jih sporočijo</w:t>
      </w:r>
      <w:r w:rsidR="00CC7E7E" w:rsidRPr="00B148B1">
        <w:rPr>
          <w:rFonts w:cs="Arial"/>
          <w:szCs w:val="20"/>
        </w:rPr>
        <w:t xml:space="preserve"> izvajalc</w:t>
      </w:r>
      <w:r w:rsidR="00307B42" w:rsidRPr="00B148B1">
        <w:rPr>
          <w:rFonts w:cs="Arial"/>
          <w:szCs w:val="20"/>
        </w:rPr>
        <w:t>i</w:t>
      </w:r>
      <w:r w:rsidR="00CC7E7E" w:rsidRPr="00B148B1">
        <w:rPr>
          <w:rFonts w:cs="Arial"/>
          <w:szCs w:val="20"/>
        </w:rPr>
        <w:t xml:space="preserve"> javnih služb. </w:t>
      </w:r>
    </w:p>
    <w:p w:rsidR="00CC7E7E" w:rsidRPr="00B148B1" w:rsidRDefault="00B03A3A" w:rsidP="00385BB8">
      <w:pPr>
        <w:tabs>
          <w:tab w:val="left" w:pos="9600"/>
        </w:tabs>
        <w:spacing w:before="120" w:line="280" w:lineRule="atLeast"/>
        <w:rPr>
          <w:rFonts w:cs="Arial"/>
          <w:szCs w:val="20"/>
        </w:rPr>
      </w:pPr>
      <w:r w:rsidRPr="00B148B1">
        <w:rPr>
          <w:rFonts w:cs="Arial"/>
          <w:szCs w:val="20"/>
        </w:rPr>
        <w:t xml:space="preserve">Preliminarna ocena skladnosti glede odvajanja komunalne odpadne vode kaže, da je </w:t>
      </w:r>
      <w:r w:rsidR="00CC7E7E" w:rsidRPr="00B148B1">
        <w:rPr>
          <w:rFonts w:cs="Arial"/>
          <w:szCs w:val="20"/>
        </w:rPr>
        <w:t>11</w:t>
      </w:r>
      <w:r w:rsidRPr="00B148B1">
        <w:rPr>
          <w:rFonts w:cs="Arial"/>
          <w:szCs w:val="20"/>
        </w:rPr>
        <w:t>8</w:t>
      </w:r>
      <w:r w:rsidR="00CE224C" w:rsidRPr="00B148B1">
        <w:rPr>
          <w:rFonts w:cs="Arial"/>
          <w:szCs w:val="20"/>
        </w:rPr>
        <w:t xml:space="preserve"> od skupno 158</w:t>
      </w:r>
      <w:r w:rsidRPr="00B148B1">
        <w:rPr>
          <w:rFonts w:cs="Arial"/>
          <w:szCs w:val="20"/>
        </w:rPr>
        <w:t xml:space="preserve"> </w:t>
      </w:r>
      <w:r w:rsidR="00CC7E7E" w:rsidRPr="00B148B1">
        <w:rPr>
          <w:rFonts w:cs="Arial"/>
          <w:szCs w:val="20"/>
        </w:rPr>
        <w:t>aglomeracij s skupno obremenitvijo, enako ali večjo od 2.000 PE</w:t>
      </w:r>
      <w:r w:rsidRPr="00B148B1">
        <w:rPr>
          <w:rFonts w:cs="Arial"/>
          <w:szCs w:val="20"/>
        </w:rPr>
        <w:t xml:space="preserve"> skladnih s 3. </w:t>
      </w:r>
      <w:r w:rsidR="00F80C05" w:rsidRPr="00B148B1">
        <w:rPr>
          <w:rFonts w:cs="Arial"/>
          <w:szCs w:val="20"/>
        </w:rPr>
        <w:t>č</w:t>
      </w:r>
      <w:r w:rsidRPr="00B148B1">
        <w:rPr>
          <w:rFonts w:cs="Arial"/>
          <w:szCs w:val="20"/>
        </w:rPr>
        <w:t xml:space="preserve">lenom </w:t>
      </w:r>
      <w:r w:rsidR="003872FE" w:rsidRPr="00B148B1">
        <w:rPr>
          <w:rFonts w:cs="Arial"/>
          <w:szCs w:val="20"/>
        </w:rPr>
        <w:t>Direktive 91/271/EGS</w:t>
      </w:r>
      <w:r w:rsidR="00CC7E7E" w:rsidRPr="00B148B1">
        <w:rPr>
          <w:rFonts w:cs="Arial"/>
          <w:szCs w:val="20"/>
        </w:rPr>
        <w:t xml:space="preserve">. Če se za aglomeracije s skupno obremenitvijo, manjšo od 2.000 PE, upoštevajo enaka merila za </w:t>
      </w:r>
      <w:r w:rsidR="00F80C05" w:rsidRPr="00B148B1">
        <w:rPr>
          <w:rFonts w:cs="Arial"/>
          <w:szCs w:val="20"/>
        </w:rPr>
        <w:t>oceno</w:t>
      </w:r>
      <w:r w:rsidR="00CC7E7E" w:rsidRPr="00B148B1">
        <w:rPr>
          <w:rFonts w:cs="Arial"/>
          <w:szCs w:val="20"/>
        </w:rPr>
        <w:t xml:space="preserve"> </w:t>
      </w:r>
      <w:r w:rsidR="00F80C05" w:rsidRPr="00B148B1">
        <w:rPr>
          <w:rFonts w:cs="Arial"/>
          <w:szCs w:val="20"/>
        </w:rPr>
        <w:t>skladnosti</w:t>
      </w:r>
      <w:r w:rsidR="00CC7E7E" w:rsidRPr="00B148B1">
        <w:rPr>
          <w:rFonts w:cs="Arial"/>
          <w:szCs w:val="20"/>
        </w:rPr>
        <w:t>, pa podatki</w:t>
      </w:r>
      <w:r w:rsidR="00F80C05" w:rsidRPr="00B148B1">
        <w:rPr>
          <w:rFonts w:cs="Arial"/>
          <w:szCs w:val="20"/>
        </w:rPr>
        <w:t xml:space="preserve"> </w:t>
      </w:r>
      <w:r w:rsidR="00CC7E7E" w:rsidRPr="00B148B1">
        <w:rPr>
          <w:rFonts w:cs="Arial"/>
          <w:szCs w:val="20"/>
        </w:rPr>
        <w:t xml:space="preserve">kažejo, da </w:t>
      </w:r>
      <w:r w:rsidR="00F80C05" w:rsidRPr="00B148B1">
        <w:rPr>
          <w:rFonts w:cs="Arial"/>
          <w:szCs w:val="20"/>
        </w:rPr>
        <w:t>skladnost</w:t>
      </w:r>
      <w:r w:rsidR="00CC7E7E" w:rsidRPr="00B148B1">
        <w:rPr>
          <w:rFonts w:cs="Arial"/>
          <w:szCs w:val="20"/>
        </w:rPr>
        <w:t xml:space="preserve"> dosega:</w:t>
      </w:r>
    </w:p>
    <w:p w:rsidR="00CC7E7E" w:rsidRPr="00B148B1" w:rsidRDefault="00CC7E7E" w:rsidP="004C2581">
      <w:pPr>
        <w:pStyle w:val="Odstavekseznama"/>
        <w:numPr>
          <w:ilvl w:val="0"/>
          <w:numId w:val="14"/>
        </w:numPr>
        <w:tabs>
          <w:tab w:val="left" w:pos="9600"/>
        </w:tabs>
        <w:spacing w:before="120" w:line="280" w:lineRule="atLeast"/>
        <w:rPr>
          <w:rFonts w:cs="Arial"/>
          <w:szCs w:val="20"/>
        </w:rPr>
      </w:pPr>
      <w:r w:rsidRPr="00B148B1">
        <w:rPr>
          <w:rFonts w:cs="Arial"/>
          <w:szCs w:val="20"/>
        </w:rPr>
        <w:t>skup</w:t>
      </w:r>
      <w:r w:rsidR="00307B42" w:rsidRPr="00B148B1">
        <w:rPr>
          <w:rFonts w:cs="Arial"/>
          <w:szCs w:val="20"/>
        </w:rPr>
        <w:t>no</w:t>
      </w:r>
      <w:r w:rsidRPr="00B148B1">
        <w:rPr>
          <w:rFonts w:cs="Arial"/>
          <w:szCs w:val="20"/>
        </w:rPr>
        <w:t xml:space="preserve"> </w:t>
      </w:r>
      <w:r w:rsidR="00CC0733" w:rsidRPr="00B148B1">
        <w:rPr>
          <w:rFonts w:cs="Arial"/>
          <w:szCs w:val="20"/>
        </w:rPr>
        <w:t>806</w:t>
      </w:r>
      <w:r w:rsidRPr="00B148B1">
        <w:rPr>
          <w:rFonts w:cs="Arial"/>
          <w:szCs w:val="20"/>
        </w:rPr>
        <w:t xml:space="preserve"> aglomeracij iz osnovnega programa predhodnega operativnega programa, od tega:</w:t>
      </w:r>
    </w:p>
    <w:p w:rsidR="00CC7E7E" w:rsidRPr="00B148B1" w:rsidRDefault="00CC7E7E" w:rsidP="004C2581">
      <w:pPr>
        <w:numPr>
          <w:ilvl w:val="0"/>
          <w:numId w:val="6"/>
        </w:numPr>
        <w:tabs>
          <w:tab w:val="left" w:pos="9600"/>
        </w:tabs>
        <w:spacing w:before="120" w:line="280" w:lineRule="atLeast"/>
        <w:rPr>
          <w:rFonts w:cs="Arial"/>
          <w:szCs w:val="20"/>
        </w:rPr>
      </w:pPr>
      <w:r w:rsidRPr="00B148B1">
        <w:rPr>
          <w:rFonts w:cs="Arial"/>
          <w:szCs w:val="20"/>
        </w:rPr>
        <w:t>1</w:t>
      </w:r>
      <w:r w:rsidR="00CC0733" w:rsidRPr="00B148B1">
        <w:rPr>
          <w:rFonts w:cs="Arial"/>
          <w:szCs w:val="20"/>
        </w:rPr>
        <w:t>80</w:t>
      </w:r>
      <w:r w:rsidRPr="00B148B1">
        <w:rPr>
          <w:rFonts w:cs="Arial"/>
          <w:szCs w:val="20"/>
        </w:rPr>
        <w:t xml:space="preserve"> aglomeracij s skupno obremenitvijo, enako ali večjo od 500 PE in manjšo od 2.000 PE, in</w:t>
      </w:r>
    </w:p>
    <w:p w:rsidR="00CC7E7E" w:rsidRPr="00B148B1" w:rsidRDefault="00CC0733" w:rsidP="004C2581">
      <w:pPr>
        <w:numPr>
          <w:ilvl w:val="0"/>
          <w:numId w:val="6"/>
        </w:numPr>
        <w:tabs>
          <w:tab w:val="left" w:pos="9600"/>
        </w:tabs>
        <w:spacing w:before="120" w:line="280" w:lineRule="atLeast"/>
        <w:rPr>
          <w:rFonts w:cs="Arial"/>
          <w:szCs w:val="20"/>
        </w:rPr>
      </w:pPr>
      <w:r w:rsidRPr="00B148B1">
        <w:rPr>
          <w:rFonts w:cs="Arial"/>
          <w:szCs w:val="20"/>
        </w:rPr>
        <w:t>626</w:t>
      </w:r>
      <w:r w:rsidR="00CC7E7E" w:rsidRPr="00B148B1">
        <w:rPr>
          <w:rFonts w:cs="Arial"/>
          <w:szCs w:val="20"/>
        </w:rPr>
        <w:t xml:space="preserve"> aglomeracij s skupno obremenitvijo, manjšo od 500 PE, ter</w:t>
      </w:r>
    </w:p>
    <w:p w:rsidR="00CC7E7E" w:rsidRPr="00B148B1" w:rsidRDefault="00CC7E7E" w:rsidP="004C2581">
      <w:pPr>
        <w:pStyle w:val="Odstavekseznama"/>
        <w:numPr>
          <w:ilvl w:val="0"/>
          <w:numId w:val="14"/>
        </w:numPr>
        <w:tabs>
          <w:tab w:val="left" w:pos="9600"/>
        </w:tabs>
        <w:spacing w:before="120" w:line="280" w:lineRule="atLeast"/>
        <w:rPr>
          <w:rFonts w:cs="Arial"/>
          <w:szCs w:val="20"/>
        </w:rPr>
      </w:pPr>
      <w:r w:rsidRPr="00B148B1">
        <w:rPr>
          <w:rFonts w:cs="Arial"/>
          <w:szCs w:val="20"/>
        </w:rPr>
        <w:t>skup</w:t>
      </w:r>
      <w:r w:rsidR="00307B42" w:rsidRPr="00B148B1">
        <w:rPr>
          <w:rFonts w:cs="Arial"/>
          <w:szCs w:val="20"/>
        </w:rPr>
        <w:t>no</w:t>
      </w:r>
      <w:r w:rsidRPr="00B148B1">
        <w:rPr>
          <w:rFonts w:cs="Arial"/>
          <w:szCs w:val="20"/>
        </w:rPr>
        <w:t xml:space="preserve"> 6</w:t>
      </w:r>
      <w:r w:rsidR="00CC0733" w:rsidRPr="00B148B1">
        <w:rPr>
          <w:rFonts w:cs="Arial"/>
          <w:szCs w:val="20"/>
        </w:rPr>
        <w:t>20</w:t>
      </w:r>
      <w:r w:rsidRPr="00B148B1">
        <w:rPr>
          <w:rFonts w:cs="Arial"/>
          <w:szCs w:val="20"/>
        </w:rPr>
        <w:t xml:space="preserve"> aglomeracij iz dodatnega programa predhodnega operativnega programa, od tega:</w:t>
      </w:r>
    </w:p>
    <w:p w:rsidR="00CC7E7E" w:rsidRPr="00B148B1" w:rsidRDefault="00CC7E7E" w:rsidP="004C2581">
      <w:pPr>
        <w:numPr>
          <w:ilvl w:val="0"/>
          <w:numId w:val="6"/>
        </w:numPr>
        <w:tabs>
          <w:tab w:val="left" w:pos="9600"/>
        </w:tabs>
        <w:spacing w:before="120" w:line="280" w:lineRule="atLeast"/>
        <w:rPr>
          <w:rFonts w:cs="Arial"/>
          <w:szCs w:val="20"/>
        </w:rPr>
      </w:pPr>
      <w:r w:rsidRPr="00B148B1">
        <w:rPr>
          <w:rFonts w:cs="Arial"/>
          <w:szCs w:val="20"/>
        </w:rPr>
        <w:t>7</w:t>
      </w:r>
      <w:r w:rsidR="00CC0733" w:rsidRPr="00B148B1">
        <w:rPr>
          <w:rFonts w:cs="Arial"/>
          <w:szCs w:val="20"/>
        </w:rPr>
        <w:t>8</w:t>
      </w:r>
      <w:r w:rsidRPr="00B148B1">
        <w:rPr>
          <w:rFonts w:cs="Arial"/>
          <w:szCs w:val="20"/>
        </w:rPr>
        <w:t xml:space="preserve"> aglomeracij s skupno obremenitvijo, enako ali večjo od 500 PE in manjšo od 2.000 PE, in</w:t>
      </w:r>
    </w:p>
    <w:p w:rsidR="00CC7E7E" w:rsidRPr="00B148B1" w:rsidRDefault="00CC7E7E" w:rsidP="004C2581">
      <w:pPr>
        <w:numPr>
          <w:ilvl w:val="0"/>
          <w:numId w:val="6"/>
        </w:numPr>
        <w:tabs>
          <w:tab w:val="left" w:pos="9600"/>
        </w:tabs>
        <w:spacing w:before="120" w:line="280" w:lineRule="atLeast"/>
        <w:rPr>
          <w:rFonts w:cs="Arial"/>
          <w:szCs w:val="20"/>
        </w:rPr>
      </w:pPr>
      <w:r w:rsidRPr="00B148B1">
        <w:rPr>
          <w:rFonts w:cs="Arial"/>
          <w:szCs w:val="20"/>
        </w:rPr>
        <w:t>5</w:t>
      </w:r>
      <w:r w:rsidR="00CC0733" w:rsidRPr="00B148B1">
        <w:rPr>
          <w:rFonts w:cs="Arial"/>
          <w:szCs w:val="20"/>
        </w:rPr>
        <w:t>42</w:t>
      </w:r>
      <w:r w:rsidRPr="00B148B1">
        <w:rPr>
          <w:rFonts w:cs="Arial"/>
          <w:szCs w:val="20"/>
        </w:rPr>
        <w:t xml:space="preserve"> aglomeracij s skupno obremenitvijo, manjšo od 500 PE.</w:t>
      </w:r>
    </w:p>
    <w:p w:rsidR="00CE224C" w:rsidRPr="00B148B1" w:rsidRDefault="00CE224C" w:rsidP="00385BB8">
      <w:pPr>
        <w:tabs>
          <w:tab w:val="left" w:pos="9600"/>
        </w:tabs>
        <w:spacing w:before="120" w:line="280" w:lineRule="atLeast"/>
        <w:rPr>
          <w:rFonts w:cs="Arial"/>
          <w:szCs w:val="20"/>
        </w:rPr>
      </w:pPr>
      <w:r w:rsidRPr="00B148B1">
        <w:rPr>
          <w:rFonts w:cs="Arial"/>
          <w:szCs w:val="20"/>
        </w:rPr>
        <w:t xml:space="preserve">Preliminarna ocena skladnosti glede </w:t>
      </w:r>
      <w:r w:rsidR="000C6746" w:rsidRPr="00B148B1">
        <w:rPr>
          <w:rFonts w:cs="Arial"/>
          <w:szCs w:val="20"/>
        </w:rPr>
        <w:t xml:space="preserve">sekundarnega čiščenja komunalne odpadne vode </w:t>
      </w:r>
      <w:r w:rsidRPr="00B148B1">
        <w:rPr>
          <w:rFonts w:cs="Arial"/>
          <w:szCs w:val="20"/>
        </w:rPr>
        <w:t xml:space="preserve">kaže, da je </w:t>
      </w:r>
      <w:r w:rsidR="000C6746" w:rsidRPr="00B148B1">
        <w:rPr>
          <w:rFonts w:cs="Arial"/>
          <w:szCs w:val="20"/>
        </w:rPr>
        <w:t>83</w:t>
      </w:r>
      <w:r w:rsidRPr="00B148B1">
        <w:rPr>
          <w:rFonts w:cs="Arial"/>
          <w:szCs w:val="20"/>
        </w:rPr>
        <w:t xml:space="preserve"> od skupno 158 aglomeracij s skupno obremenitvijo, enako ali večjo od 2.000 PE skladnih s </w:t>
      </w:r>
      <w:r w:rsidR="000C6746" w:rsidRPr="00B148B1">
        <w:rPr>
          <w:rFonts w:cs="Arial"/>
          <w:szCs w:val="20"/>
        </w:rPr>
        <w:t>4</w:t>
      </w:r>
      <w:r w:rsidRPr="00B148B1">
        <w:rPr>
          <w:rFonts w:cs="Arial"/>
          <w:szCs w:val="20"/>
        </w:rPr>
        <w:t>. členom Direktive 91/271/EGS. Če se za aglomeracije s skupno obremenitvijo, manjšo od 2.000 PE, upoštevajo enaka merila za oceno skladnosti, pa podatki kažejo, da skladnost dosega:</w:t>
      </w:r>
    </w:p>
    <w:p w:rsidR="00CE224C" w:rsidRPr="00B148B1" w:rsidRDefault="00CE224C" w:rsidP="004C2581">
      <w:pPr>
        <w:pStyle w:val="Odstavekseznama"/>
        <w:numPr>
          <w:ilvl w:val="0"/>
          <w:numId w:val="15"/>
        </w:numPr>
        <w:tabs>
          <w:tab w:val="left" w:pos="9600"/>
        </w:tabs>
        <w:spacing w:before="120" w:line="280" w:lineRule="atLeast"/>
        <w:rPr>
          <w:rFonts w:cs="Arial"/>
          <w:szCs w:val="20"/>
        </w:rPr>
      </w:pPr>
      <w:r w:rsidRPr="00B148B1">
        <w:rPr>
          <w:rFonts w:cs="Arial"/>
          <w:szCs w:val="20"/>
        </w:rPr>
        <w:t>skup</w:t>
      </w:r>
      <w:r w:rsidR="00307B42" w:rsidRPr="00B148B1">
        <w:rPr>
          <w:rFonts w:cs="Arial"/>
          <w:szCs w:val="20"/>
        </w:rPr>
        <w:t>no</w:t>
      </w:r>
      <w:r w:rsidRPr="00B148B1">
        <w:rPr>
          <w:rFonts w:cs="Arial"/>
          <w:szCs w:val="20"/>
        </w:rPr>
        <w:t xml:space="preserve"> </w:t>
      </w:r>
      <w:r w:rsidR="000C6746" w:rsidRPr="00B148B1">
        <w:rPr>
          <w:rFonts w:cs="Arial"/>
          <w:szCs w:val="20"/>
        </w:rPr>
        <w:t>365</w:t>
      </w:r>
      <w:r w:rsidRPr="00B148B1">
        <w:rPr>
          <w:rFonts w:cs="Arial"/>
          <w:szCs w:val="20"/>
        </w:rPr>
        <w:t xml:space="preserve"> aglomeracij iz osnovnega programa predhodnega operativnega programa, od tega:</w:t>
      </w:r>
    </w:p>
    <w:p w:rsidR="00CE224C" w:rsidRPr="00B148B1" w:rsidRDefault="00CE224C" w:rsidP="004C2581">
      <w:pPr>
        <w:numPr>
          <w:ilvl w:val="0"/>
          <w:numId w:val="6"/>
        </w:numPr>
        <w:tabs>
          <w:tab w:val="left" w:pos="9600"/>
        </w:tabs>
        <w:spacing w:before="120" w:line="280" w:lineRule="atLeast"/>
        <w:rPr>
          <w:rFonts w:cs="Arial"/>
          <w:szCs w:val="20"/>
        </w:rPr>
      </w:pPr>
      <w:r w:rsidRPr="00B148B1">
        <w:rPr>
          <w:rFonts w:cs="Arial"/>
          <w:szCs w:val="20"/>
        </w:rPr>
        <w:t>1</w:t>
      </w:r>
      <w:r w:rsidR="000C6746" w:rsidRPr="00B148B1">
        <w:rPr>
          <w:rFonts w:cs="Arial"/>
          <w:szCs w:val="20"/>
        </w:rPr>
        <w:t>17</w:t>
      </w:r>
      <w:r w:rsidRPr="00B148B1">
        <w:rPr>
          <w:rFonts w:cs="Arial"/>
          <w:szCs w:val="20"/>
        </w:rPr>
        <w:t xml:space="preserve"> aglomeracij s skupno obremenitvijo, enako ali večjo od 500 PE in manjšo od 2.000 PE, in</w:t>
      </w:r>
    </w:p>
    <w:p w:rsidR="00CE224C" w:rsidRPr="00B148B1" w:rsidRDefault="000C6746" w:rsidP="004C2581">
      <w:pPr>
        <w:numPr>
          <w:ilvl w:val="0"/>
          <w:numId w:val="6"/>
        </w:numPr>
        <w:tabs>
          <w:tab w:val="left" w:pos="9600"/>
        </w:tabs>
        <w:spacing w:before="120" w:line="280" w:lineRule="atLeast"/>
        <w:rPr>
          <w:rFonts w:cs="Arial"/>
          <w:szCs w:val="20"/>
        </w:rPr>
      </w:pPr>
      <w:r w:rsidRPr="00B148B1">
        <w:rPr>
          <w:rFonts w:cs="Arial"/>
          <w:szCs w:val="20"/>
        </w:rPr>
        <w:t>248</w:t>
      </w:r>
      <w:r w:rsidR="00CE224C" w:rsidRPr="00B148B1">
        <w:rPr>
          <w:rFonts w:cs="Arial"/>
          <w:szCs w:val="20"/>
        </w:rPr>
        <w:t xml:space="preserve"> aglomeracij s skupno obremenitvijo, manjšo od 500 PE, ter</w:t>
      </w:r>
    </w:p>
    <w:p w:rsidR="00CE224C" w:rsidRPr="00B148B1" w:rsidRDefault="00CE224C" w:rsidP="004C2581">
      <w:pPr>
        <w:pStyle w:val="Odstavekseznama"/>
        <w:numPr>
          <w:ilvl w:val="0"/>
          <w:numId w:val="15"/>
        </w:numPr>
        <w:tabs>
          <w:tab w:val="left" w:pos="9600"/>
        </w:tabs>
        <w:spacing w:before="120" w:line="280" w:lineRule="atLeast"/>
        <w:rPr>
          <w:rFonts w:cs="Arial"/>
          <w:szCs w:val="20"/>
        </w:rPr>
      </w:pPr>
      <w:r w:rsidRPr="00B148B1">
        <w:rPr>
          <w:rFonts w:cs="Arial"/>
          <w:szCs w:val="20"/>
        </w:rPr>
        <w:t>skup</w:t>
      </w:r>
      <w:r w:rsidR="00307B42" w:rsidRPr="00B148B1">
        <w:rPr>
          <w:rFonts w:cs="Arial"/>
          <w:szCs w:val="20"/>
        </w:rPr>
        <w:t>no</w:t>
      </w:r>
      <w:r w:rsidRPr="00B148B1">
        <w:rPr>
          <w:rFonts w:cs="Arial"/>
          <w:szCs w:val="20"/>
        </w:rPr>
        <w:t xml:space="preserve"> </w:t>
      </w:r>
      <w:r w:rsidR="000C6746" w:rsidRPr="00B148B1">
        <w:rPr>
          <w:rFonts w:cs="Arial"/>
          <w:szCs w:val="20"/>
        </w:rPr>
        <w:t>252</w:t>
      </w:r>
      <w:r w:rsidRPr="00B148B1">
        <w:rPr>
          <w:rFonts w:cs="Arial"/>
          <w:szCs w:val="20"/>
        </w:rPr>
        <w:t xml:space="preserve"> aglomeracij iz dodatnega programa predhodnega operativnega programa, od tega:</w:t>
      </w:r>
    </w:p>
    <w:p w:rsidR="00CE224C" w:rsidRPr="00B148B1" w:rsidRDefault="000C6746" w:rsidP="004C2581">
      <w:pPr>
        <w:numPr>
          <w:ilvl w:val="0"/>
          <w:numId w:val="6"/>
        </w:numPr>
        <w:tabs>
          <w:tab w:val="left" w:pos="9600"/>
        </w:tabs>
        <w:spacing w:before="120" w:line="280" w:lineRule="atLeast"/>
        <w:rPr>
          <w:rFonts w:cs="Arial"/>
          <w:szCs w:val="20"/>
        </w:rPr>
      </w:pPr>
      <w:r w:rsidRPr="00B148B1">
        <w:rPr>
          <w:rFonts w:cs="Arial"/>
          <w:szCs w:val="20"/>
        </w:rPr>
        <w:t>48</w:t>
      </w:r>
      <w:r w:rsidR="00CE224C" w:rsidRPr="00B148B1">
        <w:rPr>
          <w:rFonts w:cs="Arial"/>
          <w:szCs w:val="20"/>
        </w:rPr>
        <w:t xml:space="preserve"> aglomeracij s skupno obremenitvijo, enako ali večjo od 500 PE in manjšo od 2.000 PE, in</w:t>
      </w:r>
    </w:p>
    <w:p w:rsidR="00CE224C" w:rsidRPr="00B148B1" w:rsidRDefault="000C6746" w:rsidP="004C2581">
      <w:pPr>
        <w:numPr>
          <w:ilvl w:val="0"/>
          <w:numId w:val="6"/>
        </w:numPr>
        <w:tabs>
          <w:tab w:val="left" w:pos="9600"/>
        </w:tabs>
        <w:spacing w:before="120" w:line="280" w:lineRule="atLeast"/>
        <w:rPr>
          <w:rFonts w:cs="Arial"/>
          <w:szCs w:val="20"/>
        </w:rPr>
      </w:pPr>
      <w:r w:rsidRPr="00B148B1">
        <w:rPr>
          <w:rFonts w:cs="Arial"/>
          <w:szCs w:val="20"/>
        </w:rPr>
        <w:t>208</w:t>
      </w:r>
      <w:r w:rsidR="00CE224C" w:rsidRPr="00B148B1">
        <w:rPr>
          <w:rFonts w:cs="Arial"/>
          <w:szCs w:val="20"/>
        </w:rPr>
        <w:t xml:space="preserve"> aglomeracij s skupno obremenitvijo, manjšo od 500 PE.</w:t>
      </w:r>
    </w:p>
    <w:p w:rsidR="00D60FC2" w:rsidRPr="00B148B1" w:rsidRDefault="00D60FC2" w:rsidP="00385BB8">
      <w:pPr>
        <w:tabs>
          <w:tab w:val="left" w:pos="9600"/>
        </w:tabs>
        <w:spacing w:before="120" w:line="280" w:lineRule="atLeast"/>
        <w:rPr>
          <w:rFonts w:cs="Arial"/>
          <w:szCs w:val="20"/>
        </w:rPr>
      </w:pPr>
      <w:r w:rsidRPr="00B148B1">
        <w:rPr>
          <w:rFonts w:cs="Arial"/>
          <w:szCs w:val="20"/>
        </w:rPr>
        <w:t xml:space="preserve">Preliminarna ocena skladnosti glede strožjega čiščenja komunalne odpadne vode kaže, da je 34 aglomeracij s skupno obremenitvijo, enako ali večjo od 2.000 PE skladnih s 5. členom Direktive 91/271/EGS. </w:t>
      </w:r>
    </w:p>
    <w:p w:rsidR="00607839" w:rsidRPr="00B148B1" w:rsidRDefault="00607839" w:rsidP="00385BB8">
      <w:pPr>
        <w:tabs>
          <w:tab w:val="left" w:pos="9600"/>
        </w:tabs>
        <w:spacing w:before="120" w:line="280" w:lineRule="atLeast"/>
        <w:rPr>
          <w:rFonts w:cs="Arial"/>
          <w:szCs w:val="20"/>
        </w:rPr>
      </w:pPr>
      <w:r w:rsidRPr="00B148B1">
        <w:rPr>
          <w:rFonts w:cs="Arial"/>
          <w:szCs w:val="20"/>
        </w:rPr>
        <w:t xml:space="preserve">Podatki o preliminarni oceni skladnosti aglomeracij iz predhodnega operativnega programa so prikazani v prilogi (PRILOGA 4), ki je sestavni del tega operativnega programa. </w:t>
      </w:r>
    </w:p>
    <w:p w:rsidR="009A7BA1" w:rsidRDefault="00DE2C9A" w:rsidP="00F63991">
      <w:pPr>
        <w:pStyle w:val="Naslov4"/>
      </w:pPr>
      <w:bookmarkStart w:id="61" w:name="_Toc50628069"/>
      <w:r w:rsidRPr="00B148B1">
        <w:t xml:space="preserve">2.1.4.3 </w:t>
      </w:r>
      <w:r w:rsidR="009A7BA1" w:rsidRPr="00B148B1">
        <w:t>Ocena stopnje priključenosti na posamez</w:t>
      </w:r>
      <w:r w:rsidR="00EC137D" w:rsidRPr="00B148B1">
        <w:t xml:space="preserve">no vrsto ureditve – </w:t>
      </w:r>
      <w:r w:rsidR="008C6D60" w:rsidRPr="00B148B1">
        <w:t xml:space="preserve">zunaj </w:t>
      </w:r>
      <w:r w:rsidR="00EC137D" w:rsidRPr="00B148B1">
        <w:t>meja</w:t>
      </w:r>
      <w:r w:rsidR="009A7BA1" w:rsidRPr="00B148B1">
        <w:t xml:space="preserve"> aglomeracij iz predhodnega operativnega </w:t>
      </w:r>
      <w:r w:rsidR="009A7BA1" w:rsidRPr="00F63991">
        <w:t>programa</w:t>
      </w:r>
      <w:bookmarkEnd w:id="61"/>
    </w:p>
    <w:p w:rsidR="00F63991" w:rsidRPr="00F63991" w:rsidRDefault="00F63991" w:rsidP="00F63991"/>
    <w:p w:rsidR="00B34D8E" w:rsidRPr="00B148B1" w:rsidRDefault="00B34D8E" w:rsidP="00F63991">
      <w:r w:rsidRPr="00B148B1">
        <w:t>Podatki</w:t>
      </w:r>
      <w:r w:rsidR="008B512A" w:rsidRPr="00B148B1">
        <w:t xml:space="preserve"> o načinu ureditve odvajanja in čiščenja komunalne odpadne vode</w:t>
      </w:r>
      <w:r w:rsidRPr="00B148B1">
        <w:t xml:space="preserve"> iz IJSVO na presečni datum 31. december 2018, </w:t>
      </w:r>
      <w:r w:rsidR="00F60A7A" w:rsidRPr="00B148B1">
        <w:t>ki jih s</w:t>
      </w:r>
      <w:r w:rsidRPr="00B148B1">
        <w:t>poroč</w:t>
      </w:r>
      <w:r w:rsidR="00F60A7A" w:rsidRPr="00B148B1">
        <w:t>ijo</w:t>
      </w:r>
      <w:r w:rsidRPr="00B148B1">
        <w:t xml:space="preserve"> s strani izvajalc</w:t>
      </w:r>
      <w:r w:rsidR="00F60A7A" w:rsidRPr="00B148B1">
        <w:t>i</w:t>
      </w:r>
      <w:r w:rsidRPr="00B148B1">
        <w:t xml:space="preserve"> javnih služb, kažejo, da: </w:t>
      </w:r>
    </w:p>
    <w:p w:rsidR="00B34D8E" w:rsidRPr="00B148B1" w:rsidRDefault="00B34D8E"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 xml:space="preserve">za </w:t>
      </w:r>
      <w:r w:rsidR="001719CD" w:rsidRPr="00B148B1">
        <w:rPr>
          <w:rFonts w:cs="Arial"/>
          <w:szCs w:val="20"/>
        </w:rPr>
        <w:t>26.810</w:t>
      </w:r>
      <w:r w:rsidRPr="00B148B1">
        <w:rPr>
          <w:rFonts w:cs="Arial"/>
          <w:szCs w:val="20"/>
        </w:rPr>
        <w:t xml:space="preserve"> stalno prijavljenih prebivalcev </w:t>
      </w:r>
      <w:r w:rsidR="008C6D60" w:rsidRPr="00B148B1">
        <w:rPr>
          <w:rFonts w:cs="Arial"/>
          <w:szCs w:val="20"/>
        </w:rPr>
        <w:t>zunaj</w:t>
      </w:r>
      <w:r w:rsidRPr="00B148B1">
        <w:rPr>
          <w:rFonts w:cs="Arial"/>
          <w:szCs w:val="20"/>
        </w:rPr>
        <w:t xml:space="preserve"> meja aglomeracij, kar znaša 8,</w:t>
      </w:r>
      <w:r w:rsidR="001719CD" w:rsidRPr="00B148B1">
        <w:rPr>
          <w:rFonts w:cs="Arial"/>
          <w:szCs w:val="20"/>
        </w:rPr>
        <w:t>8</w:t>
      </w:r>
      <w:r w:rsidRPr="00B148B1">
        <w:rPr>
          <w:rFonts w:cs="Arial"/>
          <w:szCs w:val="20"/>
        </w:rPr>
        <w:t xml:space="preserve"> odstotk</w:t>
      </w:r>
      <w:r w:rsidR="00F60A7A" w:rsidRPr="00B148B1">
        <w:rPr>
          <w:rFonts w:cs="Arial"/>
          <w:szCs w:val="20"/>
        </w:rPr>
        <w:t>a</w:t>
      </w:r>
      <w:r w:rsidRPr="00B148B1">
        <w:rPr>
          <w:rFonts w:cs="Arial"/>
          <w:szCs w:val="20"/>
        </w:rPr>
        <w:t xml:space="preserve">, izvajalci javne službe niso poročali podatka o načinu ureditve odvajanja in čiščenja komunalne odpadne vode, torej tudi ne o načinu izvajanja javne službe, </w:t>
      </w:r>
    </w:p>
    <w:p w:rsidR="00B34D8E" w:rsidRPr="00B148B1" w:rsidRDefault="00B34D8E"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 xml:space="preserve">stopnja priključenosti stalno prijavljenih prebivalcev </w:t>
      </w:r>
      <w:r w:rsidR="008C6D60" w:rsidRPr="00B148B1">
        <w:rPr>
          <w:rFonts w:cs="Arial"/>
          <w:szCs w:val="20"/>
        </w:rPr>
        <w:t xml:space="preserve">zunaj </w:t>
      </w:r>
      <w:r w:rsidRPr="00B148B1">
        <w:rPr>
          <w:rFonts w:cs="Arial"/>
          <w:szCs w:val="20"/>
        </w:rPr>
        <w:t>meja aglomeracij na javno kanalizacijsko omrežje znaša 9,</w:t>
      </w:r>
      <w:r w:rsidR="001719CD" w:rsidRPr="00B148B1">
        <w:rPr>
          <w:rFonts w:cs="Arial"/>
          <w:szCs w:val="20"/>
        </w:rPr>
        <w:t>9</w:t>
      </w:r>
      <w:r w:rsidRPr="00B148B1">
        <w:rPr>
          <w:rFonts w:cs="Arial"/>
          <w:szCs w:val="20"/>
        </w:rPr>
        <w:t xml:space="preserve"> odstotk</w:t>
      </w:r>
      <w:r w:rsidR="00F60A7A" w:rsidRPr="00B148B1">
        <w:rPr>
          <w:rFonts w:cs="Arial"/>
          <w:szCs w:val="20"/>
        </w:rPr>
        <w:t>a</w:t>
      </w:r>
      <w:r w:rsidRPr="00B148B1">
        <w:rPr>
          <w:rFonts w:cs="Arial"/>
          <w:szCs w:val="20"/>
        </w:rPr>
        <w:t>,</w:t>
      </w:r>
    </w:p>
    <w:p w:rsidR="00B34D8E" w:rsidRPr="00B148B1" w:rsidRDefault="00F60A7A"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 xml:space="preserve">ima </w:t>
      </w:r>
      <w:r w:rsidR="00B34D8E" w:rsidRPr="00B148B1">
        <w:rPr>
          <w:rFonts w:cs="Arial"/>
          <w:szCs w:val="20"/>
        </w:rPr>
        <w:t xml:space="preserve">individualno ureditev (MKČN, GREZ_P ali GREZ_N) </w:t>
      </w:r>
      <w:r w:rsidR="001719CD" w:rsidRPr="00B148B1">
        <w:rPr>
          <w:rFonts w:cs="Arial"/>
          <w:szCs w:val="20"/>
        </w:rPr>
        <w:t>79</w:t>
      </w:r>
      <w:r w:rsidR="00F63991">
        <w:rPr>
          <w:rFonts w:cs="Arial"/>
          <w:szCs w:val="20"/>
        </w:rPr>
        <w:t>,0</w:t>
      </w:r>
      <w:r w:rsidR="00B34D8E" w:rsidRPr="00B148B1">
        <w:rPr>
          <w:rFonts w:cs="Arial"/>
          <w:szCs w:val="20"/>
        </w:rPr>
        <w:t xml:space="preserve"> odstotk</w:t>
      </w:r>
      <w:r w:rsidR="00F63991">
        <w:rPr>
          <w:rFonts w:cs="Arial"/>
          <w:szCs w:val="20"/>
        </w:rPr>
        <w:t>a</w:t>
      </w:r>
      <w:r w:rsidR="00B34D8E" w:rsidRPr="00B148B1">
        <w:rPr>
          <w:rFonts w:cs="Arial"/>
          <w:szCs w:val="20"/>
        </w:rPr>
        <w:t xml:space="preserve"> stalno prijavljenih prebivalcev </w:t>
      </w:r>
      <w:r w:rsidR="008C6D60" w:rsidRPr="00B148B1">
        <w:rPr>
          <w:rFonts w:cs="Arial"/>
          <w:szCs w:val="20"/>
        </w:rPr>
        <w:t xml:space="preserve">zunaj </w:t>
      </w:r>
      <w:r w:rsidR="00B34D8E" w:rsidRPr="00B148B1">
        <w:rPr>
          <w:rFonts w:cs="Arial"/>
          <w:szCs w:val="20"/>
        </w:rPr>
        <w:t>meja aglomeracij,</w:t>
      </w:r>
    </w:p>
    <w:p w:rsidR="00B34D8E" w:rsidRPr="00B148B1" w:rsidRDefault="00C2508F" w:rsidP="004C2581">
      <w:pPr>
        <w:numPr>
          <w:ilvl w:val="0"/>
          <w:numId w:val="6"/>
        </w:numPr>
        <w:tabs>
          <w:tab w:val="num" w:pos="360"/>
          <w:tab w:val="left" w:pos="9600"/>
        </w:tabs>
        <w:spacing w:before="120" w:line="240" w:lineRule="auto"/>
        <w:ind w:left="357" w:hanging="357"/>
        <w:rPr>
          <w:rFonts w:cs="Arial"/>
          <w:szCs w:val="20"/>
        </w:rPr>
      </w:pPr>
      <w:r w:rsidRPr="00B148B1">
        <w:rPr>
          <w:rFonts w:cs="Arial"/>
          <w:szCs w:val="20"/>
        </w:rPr>
        <w:lastRenderedPageBreak/>
        <w:t xml:space="preserve">je </w:t>
      </w:r>
      <w:r w:rsidR="00B34D8E" w:rsidRPr="00B148B1">
        <w:rPr>
          <w:rFonts w:cs="Arial"/>
          <w:szCs w:val="20"/>
        </w:rPr>
        <w:t xml:space="preserve">za 4,8 odstotka vseh stalno prijavljenih prebivalcev </w:t>
      </w:r>
      <w:r w:rsidR="008C6D60" w:rsidRPr="00B148B1">
        <w:rPr>
          <w:rFonts w:cs="Arial"/>
          <w:szCs w:val="20"/>
        </w:rPr>
        <w:t xml:space="preserve">zunaj </w:t>
      </w:r>
      <w:r w:rsidR="00B34D8E" w:rsidRPr="00B148B1">
        <w:rPr>
          <w:rFonts w:cs="Arial"/>
          <w:szCs w:val="20"/>
        </w:rPr>
        <w:t>meja aglomeracij po poročilih izvajalcev javne služ</w:t>
      </w:r>
      <w:r w:rsidR="009036DD" w:rsidRPr="00B148B1">
        <w:rPr>
          <w:rFonts w:cs="Arial"/>
          <w:szCs w:val="20"/>
        </w:rPr>
        <w:t>b</w:t>
      </w:r>
      <w:r w:rsidR="00B34D8E" w:rsidRPr="00B148B1">
        <w:rPr>
          <w:rFonts w:cs="Arial"/>
          <w:szCs w:val="20"/>
        </w:rPr>
        <w:t xml:space="preserve">e način ureditve neznan. </w:t>
      </w:r>
    </w:p>
    <w:p w:rsidR="00B34D8E" w:rsidRPr="00B148B1" w:rsidRDefault="00B34D8E" w:rsidP="00385BB8">
      <w:pPr>
        <w:tabs>
          <w:tab w:val="left" w:pos="851"/>
          <w:tab w:val="left" w:pos="1418"/>
          <w:tab w:val="left" w:pos="9600"/>
        </w:tabs>
        <w:spacing w:before="120" w:line="280" w:lineRule="atLeast"/>
        <w:rPr>
          <w:rFonts w:cs="Arial"/>
          <w:szCs w:val="20"/>
        </w:rPr>
      </w:pPr>
      <w:bookmarkStart w:id="62" w:name="_Toc530517931"/>
      <w:bookmarkStart w:id="63" w:name="_Toc50626721"/>
      <w:r w:rsidRPr="00B148B1">
        <w:rPr>
          <w:rFonts w:cs="Arial"/>
          <w:szCs w:val="20"/>
        </w:rPr>
        <w:t xml:space="preserve">Preglednica </w:t>
      </w:r>
      <w:r w:rsidRPr="00B148B1">
        <w:rPr>
          <w:rFonts w:cs="Arial"/>
          <w:szCs w:val="20"/>
        </w:rPr>
        <w:fldChar w:fldCharType="begin"/>
      </w:r>
      <w:r w:rsidRPr="00B148B1">
        <w:rPr>
          <w:rFonts w:cs="Arial"/>
          <w:szCs w:val="20"/>
        </w:rPr>
        <w:instrText xml:space="preserve"> SEQ Preglednica \* ARABIC </w:instrText>
      </w:r>
      <w:r w:rsidRPr="00B148B1">
        <w:rPr>
          <w:rFonts w:cs="Arial"/>
          <w:szCs w:val="20"/>
        </w:rPr>
        <w:fldChar w:fldCharType="separate"/>
      </w:r>
      <w:r w:rsidR="00E92793">
        <w:rPr>
          <w:rFonts w:cs="Arial"/>
          <w:noProof/>
          <w:szCs w:val="20"/>
        </w:rPr>
        <w:t>5</w:t>
      </w:r>
      <w:r w:rsidRPr="00B148B1">
        <w:rPr>
          <w:rFonts w:cs="Arial"/>
          <w:szCs w:val="20"/>
        </w:rPr>
        <w:fldChar w:fldCharType="end"/>
      </w:r>
      <w:r w:rsidRPr="00B148B1">
        <w:rPr>
          <w:rFonts w:cs="Arial"/>
          <w:szCs w:val="20"/>
        </w:rPr>
        <w:t>: Obremenitev p</w:t>
      </w:r>
      <w:r w:rsidR="00C5768E" w:rsidRPr="00B148B1">
        <w:rPr>
          <w:rFonts w:cs="Arial"/>
          <w:szCs w:val="20"/>
        </w:rPr>
        <w:t>o načinu izvajanja javne službe</w:t>
      </w:r>
      <w:r w:rsidRPr="00B148B1">
        <w:rPr>
          <w:rFonts w:cs="Arial"/>
          <w:szCs w:val="20"/>
        </w:rPr>
        <w:t xml:space="preserve"> </w:t>
      </w:r>
      <w:r w:rsidR="008C6D60" w:rsidRPr="00B148B1">
        <w:rPr>
          <w:rFonts w:cs="Arial"/>
          <w:szCs w:val="20"/>
        </w:rPr>
        <w:t xml:space="preserve">zunaj </w:t>
      </w:r>
      <w:r w:rsidRPr="00B148B1">
        <w:rPr>
          <w:rFonts w:cs="Arial"/>
          <w:szCs w:val="20"/>
        </w:rPr>
        <w:t>meja aglomeracij</w:t>
      </w:r>
      <w:bookmarkEnd w:id="62"/>
      <w:bookmarkEnd w:id="63"/>
    </w:p>
    <w:tbl>
      <w:tblPr>
        <w:tblW w:w="9087" w:type="dxa"/>
        <w:tblInd w:w="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134"/>
        <w:gridCol w:w="2976"/>
        <w:gridCol w:w="2977"/>
      </w:tblGrid>
      <w:tr w:rsidR="00B34D8E" w:rsidRPr="00B148B1" w:rsidTr="00385BB8">
        <w:trPr>
          <w:trHeight w:val="340"/>
          <w:tblHeader/>
        </w:trPr>
        <w:tc>
          <w:tcPr>
            <w:tcW w:w="3134" w:type="dxa"/>
            <w:noWrap/>
            <w:vAlign w:val="center"/>
            <w:hideMark/>
          </w:tcPr>
          <w:p w:rsidR="00B34D8E" w:rsidRPr="00B148B1" w:rsidRDefault="00B34D8E" w:rsidP="00890C64">
            <w:pPr>
              <w:spacing w:line="240" w:lineRule="auto"/>
              <w:rPr>
                <w:rFonts w:cs="Arial"/>
                <w:szCs w:val="20"/>
                <w:lang w:eastAsia="sl-SI"/>
              </w:rPr>
            </w:pPr>
            <w:r w:rsidRPr="00B148B1">
              <w:rPr>
                <w:rFonts w:cs="Arial"/>
                <w:b/>
                <w:bCs/>
                <w:color w:val="000000"/>
                <w:szCs w:val="20"/>
                <w:lang w:eastAsia="sl-SI"/>
              </w:rPr>
              <w:t>Način izvajanja javne službe</w:t>
            </w:r>
          </w:p>
        </w:tc>
        <w:tc>
          <w:tcPr>
            <w:tcW w:w="5953" w:type="dxa"/>
            <w:gridSpan w:val="2"/>
            <w:noWrap/>
            <w:vAlign w:val="center"/>
            <w:hideMark/>
          </w:tcPr>
          <w:p w:rsidR="00B34D8E" w:rsidRPr="00B148B1" w:rsidRDefault="00B34D8E" w:rsidP="00890C64">
            <w:pPr>
              <w:spacing w:line="240" w:lineRule="auto"/>
              <w:jc w:val="center"/>
              <w:rPr>
                <w:rFonts w:cs="Arial"/>
                <w:b/>
                <w:bCs/>
                <w:color w:val="000000"/>
                <w:szCs w:val="20"/>
                <w:lang w:eastAsia="sl-SI"/>
              </w:rPr>
            </w:pPr>
            <w:r w:rsidRPr="00B148B1">
              <w:rPr>
                <w:rFonts w:cs="Arial"/>
                <w:b/>
                <w:bCs/>
                <w:color w:val="000000"/>
                <w:szCs w:val="20"/>
                <w:lang w:eastAsia="sl-SI"/>
              </w:rPr>
              <w:t>Skupna obremenitev</w:t>
            </w:r>
          </w:p>
        </w:tc>
      </w:tr>
      <w:tr w:rsidR="00B34D8E" w:rsidRPr="00B148B1" w:rsidTr="00385BB8">
        <w:trPr>
          <w:trHeight w:val="340"/>
          <w:tblHeader/>
        </w:trPr>
        <w:tc>
          <w:tcPr>
            <w:tcW w:w="3134" w:type="dxa"/>
            <w:noWrap/>
            <w:vAlign w:val="center"/>
            <w:hideMark/>
          </w:tcPr>
          <w:p w:rsidR="00B34D8E" w:rsidRPr="00B148B1" w:rsidRDefault="00B34D8E" w:rsidP="00890C64">
            <w:pPr>
              <w:spacing w:line="240" w:lineRule="auto"/>
              <w:rPr>
                <w:rFonts w:cs="Arial"/>
                <w:b/>
                <w:bCs/>
                <w:color w:val="000000"/>
                <w:szCs w:val="20"/>
                <w:lang w:eastAsia="sl-SI"/>
              </w:rPr>
            </w:pPr>
          </w:p>
        </w:tc>
        <w:tc>
          <w:tcPr>
            <w:tcW w:w="2976" w:type="dxa"/>
            <w:noWrap/>
            <w:vAlign w:val="center"/>
            <w:hideMark/>
          </w:tcPr>
          <w:p w:rsidR="00B34D8E" w:rsidRPr="00B148B1" w:rsidRDefault="00B34D8E" w:rsidP="00890C64">
            <w:pPr>
              <w:spacing w:line="240" w:lineRule="auto"/>
              <w:jc w:val="center"/>
              <w:rPr>
                <w:rFonts w:cs="Arial"/>
                <w:b/>
                <w:bCs/>
                <w:color w:val="000000"/>
                <w:szCs w:val="20"/>
                <w:lang w:eastAsia="sl-SI"/>
              </w:rPr>
            </w:pPr>
            <w:r w:rsidRPr="00B148B1">
              <w:rPr>
                <w:rFonts w:cs="Arial"/>
                <w:b/>
                <w:bCs/>
                <w:color w:val="000000"/>
                <w:szCs w:val="20"/>
                <w:lang w:eastAsia="sl-SI"/>
              </w:rPr>
              <w:t>[PE]</w:t>
            </w:r>
          </w:p>
        </w:tc>
        <w:tc>
          <w:tcPr>
            <w:tcW w:w="2977" w:type="dxa"/>
            <w:noWrap/>
            <w:vAlign w:val="center"/>
            <w:hideMark/>
          </w:tcPr>
          <w:p w:rsidR="00B34D8E" w:rsidRPr="00B148B1" w:rsidRDefault="00B34D8E" w:rsidP="00890C64">
            <w:pPr>
              <w:spacing w:line="240" w:lineRule="auto"/>
              <w:jc w:val="center"/>
              <w:rPr>
                <w:rFonts w:cs="Arial"/>
                <w:b/>
                <w:bCs/>
                <w:color w:val="000000"/>
                <w:szCs w:val="20"/>
                <w:lang w:eastAsia="sl-SI"/>
              </w:rPr>
            </w:pPr>
            <w:r w:rsidRPr="00B148B1">
              <w:rPr>
                <w:rFonts w:cs="Arial"/>
                <w:b/>
                <w:bCs/>
                <w:color w:val="000000"/>
                <w:szCs w:val="20"/>
                <w:lang w:eastAsia="sl-SI"/>
              </w:rPr>
              <w:t>[%]</w:t>
            </w:r>
          </w:p>
        </w:tc>
      </w:tr>
      <w:tr w:rsidR="00B34D8E" w:rsidRPr="00B148B1" w:rsidTr="00385BB8">
        <w:trPr>
          <w:trHeight w:val="340"/>
        </w:trPr>
        <w:tc>
          <w:tcPr>
            <w:tcW w:w="3134" w:type="dxa"/>
            <w:noWrap/>
            <w:vAlign w:val="center"/>
            <w:hideMark/>
          </w:tcPr>
          <w:p w:rsidR="00B34D8E" w:rsidRPr="00B148B1" w:rsidRDefault="00B34D8E" w:rsidP="00890C64">
            <w:pPr>
              <w:spacing w:line="240" w:lineRule="auto"/>
              <w:rPr>
                <w:rFonts w:cs="Arial"/>
                <w:iCs/>
                <w:szCs w:val="20"/>
                <w:lang w:eastAsia="sl-SI"/>
              </w:rPr>
            </w:pPr>
            <w:r w:rsidRPr="00B148B1">
              <w:rPr>
                <w:rFonts w:cs="Arial"/>
                <w:iCs/>
                <w:szCs w:val="20"/>
                <w:lang w:eastAsia="sl-SI"/>
              </w:rPr>
              <w:t>MKČN</w:t>
            </w:r>
          </w:p>
        </w:tc>
        <w:tc>
          <w:tcPr>
            <w:tcW w:w="2976" w:type="dxa"/>
            <w:noWrap/>
            <w:vAlign w:val="center"/>
            <w:hideMark/>
          </w:tcPr>
          <w:p w:rsidR="00B34D8E" w:rsidRPr="00B148B1" w:rsidRDefault="001719CD" w:rsidP="00890C64">
            <w:pPr>
              <w:jc w:val="center"/>
              <w:rPr>
                <w:rFonts w:cs="Arial"/>
                <w:szCs w:val="20"/>
              </w:rPr>
            </w:pPr>
            <w:r w:rsidRPr="00B148B1">
              <w:rPr>
                <w:rFonts w:cs="Arial"/>
                <w:szCs w:val="20"/>
              </w:rPr>
              <w:t>19.030</w:t>
            </w:r>
          </w:p>
        </w:tc>
        <w:tc>
          <w:tcPr>
            <w:tcW w:w="2977" w:type="dxa"/>
            <w:noWrap/>
            <w:vAlign w:val="center"/>
            <w:hideMark/>
          </w:tcPr>
          <w:p w:rsidR="00B34D8E" w:rsidRPr="00B148B1" w:rsidRDefault="00B34D8E" w:rsidP="001719CD">
            <w:pPr>
              <w:jc w:val="center"/>
              <w:rPr>
                <w:rFonts w:cs="Arial"/>
                <w:szCs w:val="20"/>
              </w:rPr>
            </w:pPr>
            <w:r w:rsidRPr="00B148B1">
              <w:rPr>
                <w:rFonts w:cs="Arial"/>
                <w:szCs w:val="20"/>
              </w:rPr>
              <w:t>4,</w:t>
            </w:r>
            <w:r w:rsidR="001719CD" w:rsidRPr="00B148B1">
              <w:rPr>
                <w:rFonts w:cs="Arial"/>
                <w:szCs w:val="20"/>
              </w:rPr>
              <w:t>26</w:t>
            </w:r>
          </w:p>
        </w:tc>
      </w:tr>
      <w:tr w:rsidR="00B34D8E" w:rsidRPr="00B148B1" w:rsidTr="00385BB8">
        <w:trPr>
          <w:trHeight w:val="340"/>
        </w:trPr>
        <w:tc>
          <w:tcPr>
            <w:tcW w:w="3134" w:type="dxa"/>
            <w:noWrap/>
            <w:vAlign w:val="center"/>
            <w:hideMark/>
          </w:tcPr>
          <w:p w:rsidR="00B34D8E" w:rsidRPr="00B148B1" w:rsidRDefault="00B34D8E" w:rsidP="00890C64">
            <w:pPr>
              <w:spacing w:line="240" w:lineRule="auto"/>
              <w:rPr>
                <w:rFonts w:cs="Arial"/>
                <w:iCs/>
                <w:szCs w:val="20"/>
                <w:lang w:eastAsia="sl-SI"/>
              </w:rPr>
            </w:pPr>
            <w:r w:rsidRPr="00B148B1">
              <w:rPr>
                <w:rFonts w:cs="Arial"/>
                <w:iCs/>
                <w:szCs w:val="20"/>
                <w:lang w:eastAsia="sl-SI"/>
              </w:rPr>
              <w:t>IZPUST</w:t>
            </w:r>
          </w:p>
        </w:tc>
        <w:tc>
          <w:tcPr>
            <w:tcW w:w="2976" w:type="dxa"/>
            <w:noWrap/>
            <w:vAlign w:val="center"/>
            <w:hideMark/>
          </w:tcPr>
          <w:p w:rsidR="00B34D8E" w:rsidRPr="00B148B1" w:rsidRDefault="001719CD" w:rsidP="00890C64">
            <w:pPr>
              <w:jc w:val="center"/>
              <w:rPr>
                <w:rFonts w:cs="Arial"/>
                <w:szCs w:val="20"/>
              </w:rPr>
            </w:pPr>
            <w:r w:rsidRPr="00B148B1">
              <w:rPr>
                <w:rFonts w:cs="Arial"/>
                <w:szCs w:val="20"/>
              </w:rPr>
              <w:t>1.205</w:t>
            </w:r>
          </w:p>
        </w:tc>
        <w:tc>
          <w:tcPr>
            <w:tcW w:w="2977" w:type="dxa"/>
            <w:noWrap/>
            <w:vAlign w:val="center"/>
            <w:hideMark/>
          </w:tcPr>
          <w:p w:rsidR="00B34D8E" w:rsidRPr="00B148B1" w:rsidRDefault="00B34D8E" w:rsidP="001719CD">
            <w:pPr>
              <w:jc w:val="center"/>
              <w:rPr>
                <w:rFonts w:cs="Arial"/>
                <w:szCs w:val="20"/>
              </w:rPr>
            </w:pPr>
            <w:r w:rsidRPr="00B148B1">
              <w:rPr>
                <w:rFonts w:cs="Arial"/>
                <w:szCs w:val="20"/>
              </w:rPr>
              <w:t>0,</w:t>
            </w:r>
            <w:r w:rsidR="001719CD" w:rsidRPr="00B148B1">
              <w:rPr>
                <w:rFonts w:cs="Arial"/>
                <w:szCs w:val="20"/>
              </w:rPr>
              <w:t>27</w:t>
            </w:r>
          </w:p>
        </w:tc>
      </w:tr>
      <w:tr w:rsidR="00B34D8E" w:rsidRPr="00B148B1" w:rsidTr="00385BB8">
        <w:trPr>
          <w:trHeight w:val="340"/>
        </w:trPr>
        <w:tc>
          <w:tcPr>
            <w:tcW w:w="3134" w:type="dxa"/>
            <w:noWrap/>
            <w:vAlign w:val="center"/>
            <w:hideMark/>
          </w:tcPr>
          <w:p w:rsidR="00B34D8E" w:rsidRPr="00B148B1" w:rsidRDefault="00B34D8E" w:rsidP="00890C64">
            <w:pPr>
              <w:spacing w:line="240" w:lineRule="auto"/>
              <w:rPr>
                <w:rFonts w:cs="Arial"/>
                <w:iCs/>
                <w:szCs w:val="20"/>
                <w:lang w:eastAsia="sl-SI"/>
              </w:rPr>
            </w:pPr>
            <w:r w:rsidRPr="00B148B1">
              <w:rPr>
                <w:rFonts w:cs="Arial"/>
                <w:iCs/>
                <w:szCs w:val="20"/>
                <w:lang w:eastAsia="sl-SI"/>
              </w:rPr>
              <w:t>NP</w:t>
            </w:r>
          </w:p>
        </w:tc>
        <w:tc>
          <w:tcPr>
            <w:tcW w:w="2976" w:type="dxa"/>
            <w:noWrap/>
            <w:vAlign w:val="center"/>
            <w:hideMark/>
          </w:tcPr>
          <w:p w:rsidR="00B34D8E" w:rsidRPr="00B148B1" w:rsidRDefault="001719CD" w:rsidP="00890C64">
            <w:pPr>
              <w:jc w:val="center"/>
              <w:rPr>
                <w:rFonts w:cs="Arial"/>
                <w:szCs w:val="20"/>
              </w:rPr>
            </w:pPr>
            <w:r w:rsidRPr="00B148B1">
              <w:rPr>
                <w:rFonts w:cs="Arial"/>
                <w:szCs w:val="20"/>
              </w:rPr>
              <w:t>26.810</w:t>
            </w:r>
          </w:p>
        </w:tc>
        <w:tc>
          <w:tcPr>
            <w:tcW w:w="2977" w:type="dxa"/>
            <w:noWrap/>
            <w:vAlign w:val="center"/>
            <w:hideMark/>
          </w:tcPr>
          <w:p w:rsidR="00B34D8E" w:rsidRPr="00B148B1" w:rsidRDefault="001719CD" w:rsidP="00890C64">
            <w:pPr>
              <w:jc w:val="center"/>
              <w:rPr>
                <w:rFonts w:cs="Arial"/>
                <w:szCs w:val="20"/>
              </w:rPr>
            </w:pPr>
            <w:r w:rsidRPr="00B148B1">
              <w:rPr>
                <w:rFonts w:cs="Arial"/>
                <w:szCs w:val="20"/>
              </w:rPr>
              <w:t>6,00</w:t>
            </w:r>
          </w:p>
        </w:tc>
      </w:tr>
      <w:tr w:rsidR="00B34D8E" w:rsidRPr="00B148B1" w:rsidTr="00385BB8">
        <w:trPr>
          <w:trHeight w:val="340"/>
        </w:trPr>
        <w:tc>
          <w:tcPr>
            <w:tcW w:w="3134" w:type="dxa"/>
            <w:noWrap/>
            <w:vAlign w:val="center"/>
            <w:hideMark/>
          </w:tcPr>
          <w:p w:rsidR="00B34D8E" w:rsidRPr="00B148B1" w:rsidRDefault="00B34D8E" w:rsidP="00890C64">
            <w:pPr>
              <w:spacing w:line="240" w:lineRule="auto"/>
              <w:rPr>
                <w:rFonts w:cs="Arial"/>
                <w:iCs/>
                <w:szCs w:val="20"/>
                <w:lang w:eastAsia="sl-SI"/>
              </w:rPr>
            </w:pPr>
            <w:r w:rsidRPr="00B148B1">
              <w:rPr>
                <w:rFonts w:cs="Arial"/>
                <w:iCs/>
                <w:szCs w:val="20"/>
                <w:lang w:eastAsia="sl-SI"/>
              </w:rPr>
              <w:t>KANAL</w:t>
            </w:r>
          </w:p>
        </w:tc>
        <w:tc>
          <w:tcPr>
            <w:tcW w:w="2976" w:type="dxa"/>
            <w:noWrap/>
            <w:vAlign w:val="center"/>
            <w:hideMark/>
          </w:tcPr>
          <w:p w:rsidR="00B34D8E" w:rsidRPr="00B148B1" w:rsidRDefault="001719CD" w:rsidP="00890C64">
            <w:pPr>
              <w:jc w:val="center"/>
              <w:rPr>
                <w:rFonts w:cs="Arial"/>
                <w:szCs w:val="20"/>
              </w:rPr>
            </w:pPr>
            <w:r w:rsidRPr="00B148B1">
              <w:rPr>
                <w:rFonts w:cs="Arial"/>
                <w:szCs w:val="20"/>
              </w:rPr>
              <w:t>44.321</w:t>
            </w:r>
          </w:p>
        </w:tc>
        <w:tc>
          <w:tcPr>
            <w:tcW w:w="2977" w:type="dxa"/>
            <w:noWrap/>
            <w:vAlign w:val="center"/>
            <w:hideMark/>
          </w:tcPr>
          <w:p w:rsidR="00B34D8E" w:rsidRPr="00B148B1" w:rsidRDefault="001719CD" w:rsidP="00890C64">
            <w:pPr>
              <w:jc w:val="center"/>
              <w:rPr>
                <w:rFonts w:cs="Arial"/>
                <w:szCs w:val="20"/>
              </w:rPr>
            </w:pPr>
            <w:r w:rsidRPr="00B148B1">
              <w:rPr>
                <w:rFonts w:cs="Arial"/>
                <w:szCs w:val="20"/>
              </w:rPr>
              <w:t>9,91</w:t>
            </w:r>
          </w:p>
        </w:tc>
      </w:tr>
      <w:tr w:rsidR="00B34D8E" w:rsidRPr="00B148B1" w:rsidTr="00385BB8">
        <w:trPr>
          <w:trHeight w:val="340"/>
        </w:trPr>
        <w:tc>
          <w:tcPr>
            <w:tcW w:w="3134" w:type="dxa"/>
            <w:noWrap/>
            <w:vAlign w:val="center"/>
            <w:hideMark/>
          </w:tcPr>
          <w:p w:rsidR="00B34D8E" w:rsidRPr="00B148B1" w:rsidRDefault="00B34D8E" w:rsidP="00890C64">
            <w:pPr>
              <w:spacing w:line="240" w:lineRule="auto"/>
              <w:rPr>
                <w:rFonts w:cs="Arial"/>
                <w:iCs/>
                <w:szCs w:val="20"/>
                <w:lang w:eastAsia="sl-SI"/>
              </w:rPr>
            </w:pPr>
            <w:r w:rsidRPr="00B148B1">
              <w:rPr>
                <w:rFonts w:cs="Arial"/>
                <w:iCs/>
                <w:szCs w:val="20"/>
                <w:lang w:eastAsia="sl-SI"/>
              </w:rPr>
              <w:t>GREZ_N</w:t>
            </w:r>
          </w:p>
        </w:tc>
        <w:tc>
          <w:tcPr>
            <w:tcW w:w="2976" w:type="dxa"/>
            <w:noWrap/>
            <w:vAlign w:val="center"/>
            <w:hideMark/>
          </w:tcPr>
          <w:p w:rsidR="00B34D8E" w:rsidRPr="00B148B1" w:rsidRDefault="00B34D8E" w:rsidP="00890C64">
            <w:pPr>
              <w:jc w:val="center"/>
              <w:rPr>
                <w:rFonts w:cs="Arial"/>
                <w:szCs w:val="20"/>
              </w:rPr>
            </w:pPr>
            <w:r w:rsidRPr="00B148B1">
              <w:rPr>
                <w:rFonts w:cs="Arial"/>
                <w:szCs w:val="20"/>
              </w:rPr>
              <w:t>39.185</w:t>
            </w:r>
          </w:p>
        </w:tc>
        <w:tc>
          <w:tcPr>
            <w:tcW w:w="2977" w:type="dxa"/>
            <w:noWrap/>
            <w:vAlign w:val="center"/>
            <w:hideMark/>
          </w:tcPr>
          <w:p w:rsidR="00B34D8E" w:rsidRPr="00B148B1" w:rsidRDefault="001719CD" w:rsidP="00890C64">
            <w:pPr>
              <w:jc w:val="center"/>
              <w:rPr>
                <w:rFonts w:cs="Arial"/>
                <w:szCs w:val="20"/>
              </w:rPr>
            </w:pPr>
            <w:r w:rsidRPr="00B148B1">
              <w:rPr>
                <w:rFonts w:cs="Arial"/>
                <w:szCs w:val="20"/>
              </w:rPr>
              <w:t>8,76</w:t>
            </w:r>
          </w:p>
        </w:tc>
      </w:tr>
      <w:tr w:rsidR="00B34D8E" w:rsidRPr="00B148B1" w:rsidTr="00385BB8">
        <w:trPr>
          <w:trHeight w:val="340"/>
        </w:trPr>
        <w:tc>
          <w:tcPr>
            <w:tcW w:w="3134" w:type="dxa"/>
            <w:noWrap/>
            <w:vAlign w:val="center"/>
            <w:hideMark/>
          </w:tcPr>
          <w:p w:rsidR="00B34D8E" w:rsidRPr="00B148B1" w:rsidRDefault="00B34D8E" w:rsidP="00890C64">
            <w:pPr>
              <w:spacing w:line="240" w:lineRule="auto"/>
              <w:rPr>
                <w:rFonts w:cs="Arial"/>
                <w:iCs/>
                <w:szCs w:val="20"/>
                <w:lang w:eastAsia="sl-SI"/>
              </w:rPr>
            </w:pPr>
            <w:r w:rsidRPr="00B148B1">
              <w:rPr>
                <w:rFonts w:cs="Arial"/>
                <w:iCs/>
                <w:szCs w:val="20"/>
                <w:lang w:eastAsia="sl-SI"/>
              </w:rPr>
              <w:t>GREZ_P</w:t>
            </w:r>
          </w:p>
        </w:tc>
        <w:tc>
          <w:tcPr>
            <w:tcW w:w="2976" w:type="dxa"/>
            <w:noWrap/>
            <w:vAlign w:val="center"/>
            <w:hideMark/>
          </w:tcPr>
          <w:p w:rsidR="00B34D8E" w:rsidRPr="00B148B1" w:rsidRDefault="001719CD" w:rsidP="00890C64">
            <w:pPr>
              <w:jc w:val="center"/>
              <w:rPr>
                <w:rFonts w:cs="Arial"/>
                <w:szCs w:val="20"/>
              </w:rPr>
            </w:pPr>
            <w:r w:rsidRPr="00B148B1">
              <w:rPr>
                <w:rFonts w:cs="Arial"/>
                <w:szCs w:val="20"/>
              </w:rPr>
              <w:t>294.983</w:t>
            </w:r>
          </w:p>
        </w:tc>
        <w:tc>
          <w:tcPr>
            <w:tcW w:w="2977" w:type="dxa"/>
            <w:noWrap/>
            <w:vAlign w:val="center"/>
            <w:hideMark/>
          </w:tcPr>
          <w:p w:rsidR="00B34D8E" w:rsidRPr="00B148B1" w:rsidRDefault="001719CD" w:rsidP="00890C64">
            <w:pPr>
              <w:jc w:val="center"/>
              <w:rPr>
                <w:rFonts w:cs="Arial"/>
                <w:szCs w:val="20"/>
              </w:rPr>
            </w:pPr>
            <w:r w:rsidRPr="00B148B1">
              <w:rPr>
                <w:rFonts w:cs="Arial"/>
                <w:szCs w:val="20"/>
              </w:rPr>
              <w:t>65,97</w:t>
            </w:r>
          </w:p>
        </w:tc>
      </w:tr>
      <w:tr w:rsidR="00B34D8E" w:rsidRPr="00B148B1" w:rsidTr="00385BB8">
        <w:trPr>
          <w:trHeight w:val="340"/>
        </w:trPr>
        <w:tc>
          <w:tcPr>
            <w:tcW w:w="3134" w:type="dxa"/>
            <w:noWrap/>
            <w:vAlign w:val="center"/>
            <w:hideMark/>
          </w:tcPr>
          <w:p w:rsidR="00B34D8E" w:rsidRPr="00B148B1" w:rsidRDefault="00B34D8E" w:rsidP="00890C64">
            <w:pPr>
              <w:spacing w:line="240" w:lineRule="auto"/>
              <w:rPr>
                <w:rFonts w:cs="Arial"/>
                <w:iCs/>
                <w:szCs w:val="20"/>
                <w:lang w:eastAsia="sl-SI"/>
              </w:rPr>
            </w:pPr>
            <w:r w:rsidRPr="00B148B1">
              <w:rPr>
                <w:rFonts w:cs="Arial"/>
                <w:iCs/>
                <w:szCs w:val="20"/>
                <w:lang w:eastAsia="sl-SI"/>
              </w:rPr>
              <w:t>NEZNAN</w:t>
            </w:r>
          </w:p>
        </w:tc>
        <w:tc>
          <w:tcPr>
            <w:tcW w:w="2976" w:type="dxa"/>
            <w:noWrap/>
            <w:vAlign w:val="center"/>
            <w:hideMark/>
          </w:tcPr>
          <w:p w:rsidR="00B34D8E" w:rsidRPr="00B148B1" w:rsidRDefault="00B34D8E" w:rsidP="001719CD">
            <w:pPr>
              <w:jc w:val="center"/>
              <w:rPr>
                <w:rFonts w:cs="Arial"/>
                <w:szCs w:val="20"/>
              </w:rPr>
            </w:pPr>
            <w:r w:rsidRPr="00B148B1">
              <w:rPr>
                <w:rFonts w:cs="Arial"/>
                <w:szCs w:val="20"/>
              </w:rPr>
              <w:t>21.5</w:t>
            </w:r>
            <w:r w:rsidR="001719CD" w:rsidRPr="00B148B1">
              <w:rPr>
                <w:rFonts w:cs="Arial"/>
                <w:szCs w:val="20"/>
              </w:rPr>
              <w:t>96</w:t>
            </w:r>
          </w:p>
        </w:tc>
        <w:tc>
          <w:tcPr>
            <w:tcW w:w="2977" w:type="dxa"/>
            <w:noWrap/>
            <w:vAlign w:val="center"/>
            <w:hideMark/>
          </w:tcPr>
          <w:p w:rsidR="00B34D8E" w:rsidRPr="00B148B1" w:rsidRDefault="00B34D8E" w:rsidP="00890C64">
            <w:pPr>
              <w:jc w:val="center"/>
              <w:rPr>
                <w:rFonts w:cs="Arial"/>
                <w:szCs w:val="20"/>
              </w:rPr>
            </w:pPr>
            <w:r w:rsidRPr="00B148B1">
              <w:rPr>
                <w:rFonts w:cs="Arial"/>
                <w:szCs w:val="20"/>
              </w:rPr>
              <w:t>4,8</w:t>
            </w:r>
            <w:r w:rsidR="001719CD" w:rsidRPr="00B148B1">
              <w:rPr>
                <w:rFonts w:cs="Arial"/>
                <w:szCs w:val="20"/>
              </w:rPr>
              <w:t>3</w:t>
            </w:r>
          </w:p>
        </w:tc>
      </w:tr>
      <w:tr w:rsidR="00B34D8E" w:rsidRPr="00B148B1" w:rsidTr="00385BB8">
        <w:trPr>
          <w:trHeight w:val="340"/>
        </w:trPr>
        <w:tc>
          <w:tcPr>
            <w:tcW w:w="3134" w:type="dxa"/>
            <w:noWrap/>
            <w:vAlign w:val="center"/>
            <w:hideMark/>
          </w:tcPr>
          <w:p w:rsidR="00B34D8E" w:rsidRPr="00B148B1" w:rsidRDefault="00B34D8E" w:rsidP="00890C64">
            <w:pPr>
              <w:spacing w:line="240" w:lineRule="auto"/>
              <w:rPr>
                <w:rFonts w:cs="Arial"/>
                <w:b/>
                <w:bCs/>
                <w:iCs/>
                <w:szCs w:val="20"/>
                <w:lang w:eastAsia="sl-SI"/>
              </w:rPr>
            </w:pPr>
            <w:r w:rsidRPr="00B148B1">
              <w:rPr>
                <w:rFonts w:cs="Arial"/>
                <w:b/>
                <w:bCs/>
                <w:iCs/>
                <w:szCs w:val="20"/>
                <w:lang w:eastAsia="sl-SI"/>
              </w:rPr>
              <w:t>Skupaj</w:t>
            </w:r>
          </w:p>
        </w:tc>
        <w:tc>
          <w:tcPr>
            <w:tcW w:w="2976" w:type="dxa"/>
            <w:noWrap/>
            <w:vAlign w:val="center"/>
            <w:hideMark/>
          </w:tcPr>
          <w:p w:rsidR="00B34D8E" w:rsidRPr="00B148B1" w:rsidRDefault="00B34D8E" w:rsidP="00890C64">
            <w:pPr>
              <w:jc w:val="center"/>
              <w:rPr>
                <w:rFonts w:cs="Arial"/>
                <w:b/>
                <w:bCs/>
                <w:szCs w:val="20"/>
                <w:vertAlign w:val="superscript"/>
              </w:rPr>
            </w:pPr>
            <w:r w:rsidRPr="00B148B1">
              <w:rPr>
                <w:rFonts w:cs="Arial"/>
                <w:b/>
                <w:bCs/>
                <w:szCs w:val="20"/>
              </w:rPr>
              <w:t>447.130</w:t>
            </w:r>
            <w:r w:rsidRPr="00B148B1">
              <w:rPr>
                <w:rFonts w:cs="Arial"/>
                <w:b/>
                <w:bCs/>
                <w:szCs w:val="20"/>
                <w:vertAlign w:val="superscript"/>
              </w:rPr>
              <w:t>(1)</w:t>
            </w:r>
          </w:p>
        </w:tc>
        <w:tc>
          <w:tcPr>
            <w:tcW w:w="2977" w:type="dxa"/>
            <w:noWrap/>
            <w:vAlign w:val="center"/>
            <w:hideMark/>
          </w:tcPr>
          <w:p w:rsidR="00B34D8E" w:rsidRPr="00B148B1" w:rsidRDefault="00B34D8E" w:rsidP="00890C64">
            <w:pPr>
              <w:jc w:val="center"/>
              <w:rPr>
                <w:rFonts w:cs="Arial"/>
                <w:b/>
                <w:szCs w:val="20"/>
              </w:rPr>
            </w:pPr>
            <w:r w:rsidRPr="00B148B1">
              <w:rPr>
                <w:rFonts w:cs="Arial"/>
                <w:b/>
                <w:szCs w:val="20"/>
              </w:rPr>
              <w:t>100</w:t>
            </w:r>
          </w:p>
        </w:tc>
      </w:tr>
    </w:tbl>
    <w:p w:rsidR="0065057A" w:rsidRPr="00B148B1" w:rsidRDefault="00B34D8E" w:rsidP="00385BB8">
      <w:pPr>
        <w:tabs>
          <w:tab w:val="left" w:leader="dot" w:pos="993"/>
          <w:tab w:val="left" w:pos="9600"/>
        </w:tabs>
        <w:spacing w:before="120" w:line="280" w:lineRule="atLeast"/>
        <w:ind w:left="993" w:hanging="993"/>
        <w:rPr>
          <w:rFonts w:cs="Arial"/>
          <w:sz w:val="18"/>
          <w:szCs w:val="18"/>
        </w:rPr>
      </w:pPr>
      <w:r w:rsidRPr="00B148B1">
        <w:rPr>
          <w:rFonts w:cs="Arial"/>
          <w:sz w:val="18"/>
          <w:szCs w:val="18"/>
          <w:vertAlign w:val="superscript"/>
        </w:rPr>
        <w:t xml:space="preserve"> </w:t>
      </w:r>
      <w:r w:rsidR="0065057A" w:rsidRPr="002A0EFC">
        <w:rPr>
          <w:rFonts w:cs="Arial"/>
          <w:sz w:val="18"/>
          <w:szCs w:val="18"/>
          <w:vertAlign w:val="superscript"/>
        </w:rPr>
        <w:t>(1)</w:t>
      </w:r>
      <w:r w:rsidR="00E15146" w:rsidRPr="002A0EFC">
        <w:rPr>
          <w:rFonts w:cs="Arial"/>
          <w:sz w:val="18"/>
          <w:szCs w:val="18"/>
          <w:vertAlign w:val="superscript"/>
        </w:rPr>
        <w:t xml:space="preserve">  </w:t>
      </w:r>
      <w:r w:rsidR="00452342" w:rsidRPr="002A0EFC">
        <w:rPr>
          <w:rFonts w:cs="Arial"/>
          <w:sz w:val="18"/>
          <w:szCs w:val="18"/>
        </w:rPr>
        <w:t>Z</w:t>
      </w:r>
      <w:r w:rsidR="0065057A" w:rsidRPr="002A0EFC">
        <w:rPr>
          <w:rFonts w:cs="Arial"/>
          <w:sz w:val="18"/>
          <w:szCs w:val="18"/>
        </w:rPr>
        <w:t>a</w:t>
      </w:r>
      <w:r w:rsidR="0065057A" w:rsidRPr="00B148B1">
        <w:rPr>
          <w:rFonts w:cs="Arial"/>
          <w:sz w:val="18"/>
          <w:szCs w:val="18"/>
        </w:rPr>
        <w:t xml:space="preserve"> izračun je upoštevano število stalno prijavljenih prebivalcev na dan 31. decembr</w:t>
      </w:r>
      <w:r w:rsidR="00452342" w:rsidRPr="00B148B1">
        <w:rPr>
          <w:rFonts w:cs="Arial"/>
          <w:sz w:val="18"/>
          <w:szCs w:val="18"/>
        </w:rPr>
        <w:t>a</w:t>
      </w:r>
      <w:r w:rsidR="0065057A" w:rsidRPr="00B148B1">
        <w:rPr>
          <w:rFonts w:cs="Arial"/>
          <w:sz w:val="18"/>
          <w:szCs w:val="18"/>
        </w:rPr>
        <w:t xml:space="preserve"> 201</w:t>
      </w:r>
      <w:r w:rsidRPr="00B148B1">
        <w:rPr>
          <w:rFonts w:cs="Arial"/>
          <w:sz w:val="18"/>
          <w:szCs w:val="18"/>
        </w:rPr>
        <w:t>8</w:t>
      </w:r>
      <w:r w:rsidR="0065057A" w:rsidRPr="00B148B1">
        <w:rPr>
          <w:rFonts w:cs="Arial"/>
          <w:sz w:val="18"/>
          <w:szCs w:val="18"/>
        </w:rPr>
        <w:t>;</w:t>
      </w:r>
    </w:p>
    <w:p w:rsidR="00826D47" w:rsidRPr="00B148B1" w:rsidRDefault="00826D47" w:rsidP="00385BB8">
      <w:pPr>
        <w:tabs>
          <w:tab w:val="left" w:leader="dot" w:pos="993"/>
          <w:tab w:val="left" w:pos="9600"/>
        </w:tabs>
        <w:spacing w:before="120" w:line="280" w:lineRule="atLeast"/>
        <w:ind w:left="993" w:hanging="993"/>
        <w:rPr>
          <w:rFonts w:cs="Arial"/>
          <w:sz w:val="18"/>
          <w:szCs w:val="18"/>
        </w:rPr>
      </w:pPr>
      <w:r w:rsidRPr="00B148B1">
        <w:rPr>
          <w:rFonts w:cs="Arial"/>
          <w:sz w:val="18"/>
          <w:szCs w:val="18"/>
        </w:rPr>
        <w:t>MKČN</w:t>
      </w:r>
      <w:r w:rsidR="00452342" w:rsidRPr="00B148B1">
        <w:rPr>
          <w:rFonts w:cs="Arial"/>
          <w:sz w:val="18"/>
          <w:szCs w:val="18"/>
        </w:rPr>
        <w:t xml:space="preserve"> </w:t>
      </w:r>
      <w:r w:rsidR="00452342" w:rsidRPr="00B148B1">
        <w:rPr>
          <w:rFonts w:cs="Arial"/>
          <w:color w:val="202122"/>
          <w:sz w:val="18"/>
          <w:szCs w:val="18"/>
          <w:shd w:val="clear" w:color="auto" w:fill="FFFFFF"/>
        </w:rPr>
        <w:t xml:space="preserve">– </w:t>
      </w:r>
      <w:r w:rsidRPr="00B148B1">
        <w:rPr>
          <w:rFonts w:cs="Arial"/>
          <w:sz w:val="18"/>
          <w:szCs w:val="18"/>
        </w:rPr>
        <w:t>mala komunalna čistilna naprava z zmogljivostjo, manjšo od 50 PE;</w:t>
      </w:r>
    </w:p>
    <w:p w:rsidR="00826D47" w:rsidRPr="00B148B1" w:rsidRDefault="00826D47" w:rsidP="00385BB8">
      <w:pPr>
        <w:tabs>
          <w:tab w:val="left" w:leader="dot" w:pos="993"/>
          <w:tab w:val="left" w:pos="9600"/>
        </w:tabs>
        <w:spacing w:before="120" w:line="280" w:lineRule="atLeast"/>
        <w:ind w:left="993" w:hanging="993"/>
        <w:rPr>
          <w:rFonts w:cs="Arial"/>
          <w:sz w:val="18"/>
          <w:szCs w:val="18"/>
        </w:rPr>
      </w:pPr>
      <w:r w:rsidRPr="00B148B1">
        <w:rPr>
          <w:rFonts w:cs="Arial"/>
          <w:sz w:val="18"/>
          <w:szCs w:val="18"/>
        </w:rPr>
        <w:t>IZPUST</w:t>
      </w:r>
      <w:r w:rsidR="00452342" w:rsidRPr="00B148B1">
        <w:rPr>
          <w:rFonts w:cs="Arial"/>
          <w:sz w:val="18"/>
          <w:szCs w:val="18"/>
        </w:rPr>
        <w:t xml:space="preserve"> </w:t>
      </w:r>
      <w:r w:rsidR="00452342" w:rsidRPr="00B148B1">
        <w:rPr>
          <w:rFonts w:cs="Arial"/>
          <w:color w:val="202122"/>
          <w:sz w:val="18"/>
          <w:szCs w:val="18"/>
          <w:shd w:val="clear" w:color="auto" w:fill="FFFFFF"/>
        </w:rPr>
        <w:t xml:space="preserve">– </w:t>
      </w:r>
      <w:r w:rsidRPr="00B148B1">
        <w:rPr>
          <w:rFonts w:cs="Arial"/>
          <w:sz w:val="18"/>
          <w:szCs w:val="18"/>
        </w:rPr>
        <w:t>neposredni izpust komunalne odpadne vode v vode;</w:t>
      </w:r>
    </w:p>
    <w:p w:rsidR="00826D47" w:rsidRPr="00B148B1" w:rsidRDefault="00104FC1" w:rsidP="00385BB8">
      <w:pPr>
        <w:tabs>
          <w:tab w:val="left" w:leader="dot" w:pos="993"/>
          <w:tab w:val="left" w:pos="9600"/>
        </w:tabs>
        <w:spacing w:before="120" w:line="280" w:lineRule="atLeast"/>
        <w:ind w:left="993" w:hanging="993"/>
        <w:rPr>
          <w:rFonts w:cs="Arial"/>
          <w:sz w:val="18"/>
          <w:szCs w:val="18"/>
        </w:rPr>
      </w:pPr>
      <w:r w:rsidRPr="00B148B1">
        <w:rPr>
          <w:rFonts w:cs="Arial"/>
          <w:sz w:val="18"/>
          <w:szCs w:val="18"/>
        </w:rPr>
        <w:t>NP</w:t>
      </w:r>
      <w:r w:rsidR="00452342" w:rsidRPr="00B148B1">
        <w:rPr>
          <w:rFonts w:cs="Arial"/>
          <w:sz w:val="18"/>
          <w:szCs w:val="18"/>
        </w:rPr>
        <w:t xml:space="preserve"> </w:t>
      </w:r>
      <w:r w:rsidR="00452342" w:rsidRPr="00B148B1">
        <w:rPr>
          <w:rFonts w:cs="Arial"/>
          <w:color w:val="202122"/>
          <w:sz w:val="18"/>
          <w:szCs w:val="18"/>
          <w:shd w:val="clear" w:color="auto" w:fill="FFFFFF"/>
        </w:rPr>
        <w:t xml:space="preserve">– </w:t>
      </w:r>
      <w:r w:rsidRPr="00B148B1">
        <w:rPr>
          <w:rFonts w:cs="Arial"/>
          <w:sz w:val="18"/>
          <w:szCs w:val="18"/>
        </w:rPr>
        <w:t>v IJSVO ni podatka (izvajalec javne službe ni poročal);</w:t>
      </w:r>
      <w:r w:rsidR="00826D47" w:rsidRPr="00B148B1">
        <w:rPr>
          <w:rFonts w:cs="Arial"/>
          <w:sz w:val="18"/>
          <w:szCs w:val="18"/>
        </w:rPr>
        <w:t xml:space="preserve"> </w:t>
      </w:r>
    </w:p>
    <w:p w:rsidR="00826D47" w:rsidRPr="00B148B1" w:rsidRDefault="00826D47" w:rsidP="00385BB8">
      <w:pPr>
        <w:tabs>
          <w:tab w:val="left" w:leader="dot" w:pos="993"/>
          <w:tab w:val="left" w:pos="9600"/>
        </w:tabs>
        <w:spacing w:before="120" w:line="280" w:lineRule="atLeast"/>
        <w:ind w:left="993" w:hanging="993"/>
        <w:rPr>
          <w:rFonts w:cs="Arial"/>
          <w:sz w:val="18"/>
          <w:szCs w:val="18"/>
        </w:rPr>
      </w:pPr>
      <w:r w:rsidRPr="00B148B1">
        <w:rPr>
          <w:rFonts w:cs="Arial"/>
          <w:sz w:val="18"/>
          <w:szCs w:val="18"/>
        </w:rPr>
        <w:t>KANAL</w:t>
      </w:r>
      <w:r w:rsidR="00452342" w:rsidRPr="00B148B1">
        <w:rPr>
          <w:rFonts w:cs="Arial"/>
          <w:sz w:val="18"/>
          <w:szCs w:val="18"/>
        </w:rPr>
        <w:t xml:space="preserve"> </w:t>
      </w:r>
      <w:r w:rsidR="00452342" w:rsidRPr="00B148B1">
        <w:rPr>
          <w:rFonts w:cs="Arial"/>
          <w:color w:val="202122"/>
          <w:sz w:val="18"/>
          <w:szCs w:val="18"/>
          <w:shd w:val="clear" w:color="auto" w:fill="FFFFFF"/>
        </w:rPr>
        <w:t xml:space="preserve">– </w:t>
      </w:r>
      <w:r w:rsidRPr="00B148B1">
        <w:rPr>
          <w:rFonts w:cs="Arial"/>
          <w:sz w:val="18"/>
          <w:szCs w:val="18"/>
        </w:rPr>
        <w:t>objekt priključen na javno kanalizacijsko omrežje;</w:t>
      </w:r>
    </w:p>
    <w:p w:rsidR="009A7BA1" w:rsidRPr="00B148B1" w:rsidRDefault="009A7BA1" w:rsidP="00385BB8">
      <w:pPr>
        <w:tabs>
          <w:tab w:val="left" w:leader="dot" w:pos="993"/>
          <w:tab w:val="left" w:pos="9600"/>
        </w:tabs>
        <w:spacing w:before="120" w:line="280" w:lineRule="atLeast"/>
        <w:ind w:left="993" w:hanging="993"/>
        <w:rPr>
          <w:rFonts w:cs="Arial"/>
          <w:sz w:val="18"/>
          <w:szCs w:val="18"/>
        </w:rPr>
      </w:pPr>
      <w:r w:rsidRPr="00B148B1">
        <w:rPr>
          <w:rFonts w:cs="Arial"/>
          <w:sz w:val="18"/>
          <w:szCs w:val="18"/>
        </w:rPr>
        <w:t>JKO</w:t>
      </w:r>
      <w:r w:rsidR="00452342" w:rsidRPr="00B148B1">
        <w:rPr>
          <w:rFonts w:cs="Arial"/>
          <w:sz w:val="18"/>
          <w:szCs w:val="18"/>
        </w:rPr>
        <w:t xml:space="preserve"> </w:t>
      </w:r>
      <w:r w:rsidR="00452342" w:rsidRPr="00B148B1">
        <w:rPr>
          <w:rFonts w:cs="Arial"/>
          <w:color w:val="202122"/>
          <w:sz w:val="18"/>
          <w:szCs w:val="18"/>
          <w:shd w:val="clear" w:color="auto" w:fill="FFFFFF"/>
        </w:rPr>
        <w:t xml:space="preserve">– </w:t>
      </w:r>
      <w:r w:rsidRPr="00B148B1">
        <w:rPr>
          <w:rFonts w:cs="Arial"/>
          <w:sz w:val="18"/>
          <w:szCs w:val="18"/>
        </w:rPr>
        <w:t>javno kanalizacijsko omrežje;</w:t>
      </w:r>
    </w:p>
    <w:p w:rsidR="00826D47" w:rsidRPr="00B148B1" w:rsidRDefault="00826D47" w:rsidP="00385BB8">
      <w:pPr>
        <w:tabs>
          <w:tab w:val="left" w:leader="dot" w:pos="993"/>
          <w:tab w:val="left" w:pos="9600"/>
        </w:tabs>
        <w:spacing w:before="120" w:line="280" w:lineRule="atLeast"/>
        <w:ind w:left="993" w:hanging="993"/>
        <w:rPr>
          <w:rFonts w:cs="Arial"/>
          <w:sz w:val="18"/>
          <w:szCs w:val="18"/>
        </w:rPr>
      </w:pPr>
      <w:r w:rsidRPr="00B148B1">
        <w:rPr>
          <w:rFonts w:cs="Arial"/>
          <w:sz w:val="18"/>
          <w:szCs w:val="18"/>
        </w:rPr>
        <w:t>GREZ_N</w:t>
      </w:r>
      <w:r w:rsidR="00452342" w:rsidRPr="00B148B1">
        <w:rPr>
          <w:rFonts w:cs="Arial"/>
          <w:sz w:val="18"/>
          <w:szCs w:val="18"/>
        </w:rPr>
        <w:t xml:space="preserve"> </w:t>
      </w:r>
      <w:r w:rsidR="00452342" w:rsidRPr="00B148B1">
        <w:rPr>
          <w:rFonts w:cs="Arial"/>
          <w:color w:val="202122"/>
          <w:sz w:val="18"/>
          <w:szCs w:val="18"/>
          <w:shd w:val="clear" w:color="auto" w:fill="FFFFFF"/>
        </w:rPr>
        <w:t xml:space="preserve">– </w:t>
      </w:r>
      <w:r w:rsidRPr="00B148B1">
        <w:rPr>
          <w:rFonts w:cs="Arial"/>
          <w:sz w:val="18"/>
          <w:szCs w:val="18"/>
        </w:rPr>
        <w:t>objekt opremljen z nepretočno greznico;</w:t>
      </w:r>
    </w:p>
    <w:p w:rsidR="00826D47" w:rsidRPr="00B148B1" w:rsidRDefault="00826D47" w:rsidP="00385BB8">
      <w:pPr>
        <w:tabs>
          <w:tab w:val="left" w:leader="dot" w:pos="993"/>
          <w:tab w:val="left" w:pos="9600"/>
        </w:tabs>
        <w:spacing w:before="120" w:line="280" w:lineRule="atLeast"/>
        <w:ind w:left="993" w:hanging="993"/>
        <w:rPr>
          <w:rFonts w:cs="Arial"/>
          <w:sz w:val="18"/>
          <w:szCs w:val="18"/>
        </w:rPr>
      </w:pPr>
      <w:r w:rsidRPr="00B148B1">
        <w:rPr>
          <w:rFonts w:cs="Arial"/>
          <w:sz w:val="18"/>
          <w:szCs w:val="18"/>
        </w:rPr>
        <w:t>GREZ_P</w:t>
      </w:r>
      <w:r w:rsidR="00452342" w:rsidRPr="00B148B1">
        <w:rPr>
          <w:rFonts w:cs="Arial"/>
          <w:sz w:val="18"/>
          <w:szCs w:val="18"/>
        </w:rPr>
        <w:t xml:space="preserve"> </w:t>
      </w:r>
      <w:r w:rsidR="00452342" w:rsidRPr="00B148B1">
        <w:rPr>
          <w:rFonts w:cs="Arial"/>
          <w:color w:val="202122"/>
          <w:sz w:val="18"/>
          <w:szCs w:val="18"/>
          <w:shd w:val="clear" w:color="auto" w:fill="FFFFFF"/>
        </w:rPr>
        <w:t xml:space="preserve">– </w:t>
      </w:r>
      <w:r w:rsidRPr="00B148B1">
        <w:rPr>
          <w:rFonts w:cs="Arial"/>
          <w:sz w:val="18"/>
          <w:szCs w:val="18"/>
        </w:rPr>
        <w:t>objekt opremljen z obstoječo pretočno greznico;</w:t>
      </w:r>
    </w:p>
    <w:p w:rsidR="00826D47" w:rsidRPr="00B148B1" w:rsidRDefault="00826D47" w:rsidP="00385BB8">
      <w:pPr>
        <w:tabs>
          <w:tab w:val="left" w:leader="dot" w:pos="993"/>
          <w:tab w:val="left" w:pos="9600"/>
        </w:tabs>
        <w:spacing w:before="120" w:line="280" w:lineRule="atLeast"/>
        <w:ind w:left="993" w:hanging="993"/>
        <w:rPr>
          <w:rFonts w:cs="Arial"/>
          <w:sz w:val="18"/>
          <w:szCs w:val="18"/>
        </w:rPr>
      </w:pPr>
      <w:r w:rsidRPr="00B148B1">
        <w:rPr>
          <w:rFonts w:cs="Arial"/>
          <w:sz w:val="18"/>
          <w:szCs w:val="18"/>
        </w:rPr>
        <w:t>NEZNAN</w:t>
      </w:r>
      <w:r w:rsidR="00452342" w:rsidRPr="00B148B1">
        <w:rPr>
          <w:rFonts w:cs="Arial"/>
          <w:sz w:val="18"/>
          <w:szCs w:val="18"/>
        </w:rPr>
        <w:t xml:space="preserve"> </w:t>
      </w:r>
      <w:r w:rsidR="00452342" w:rsidRPr="00B148B1">
        <w:rPr>
          <w:rFonts w:cs="Arial"/>
          <w:color w:val="202122"/>
          <w:sz w:val="18"/>
          <w:szCs w:val="18"/>
          <w:shd w:val="clear" w:color="auto" w:fill="FFFFFF"/>
        </w:rPr>
        <w:t xml:space="preserve">– </w:t>
      </w:r>
      <w:r w:rsidRPr="00B148B1">
        <w:rPr>
          <w:rFonts w:cs="Arial"/>
          <w:sz w:val="18"/>
          <w:szCs w:val="18"/>
        </w:rPr>
        <w:t>način ravnanja s komunalno odpadno vodo iz stavbe ni znan.</w:t>
      </w:r>
    </w:p>
    <w:p w:rsidR="00D774EB" w:rsidRPr="00B148B1" w:rsidRDefault="00D774EB" w:rsidP="00385BB8">
      <w:pPr>
        <w:pStyle w:val="Naslov2"/>
      </w:pPr>
      <w:bookmarkStart w:id="64" w:name="_Toc50628070"/>
      <w:r w:rsidRPr="00B148B1">
        <w:t>Poraba finančnih sredstev</w:t>
      </w:r>
      <w:bookmarkEnd w:id="64"/>
    </w:p>
    <w:p w:rsidR="008D3063" w:rsidRPr="00B148B1" w:rsidRDefault="008D3063" w:rsidP="008D3063">
      <w:pPr>
        <w:tabs>
          <w:tab w:val="left" w:pos="9600"/>
        </w:tabs>
        <w:spacing w:before="120" w:line="280" w:lineRule="atLeast"/>
        <w:rPr>
          <w:rFonts w:cs="Arial"/>
          <w:szCs w:val="20"/>
        </w:rPr>
      </w:pPr>
      <w:bookmarkStart w:id="65" w:name="_Ref438468329"/>
      <w:bookmarkStart w:id="66" w:name="_Toc438472653"/>
      <w:r w:rsidRPr="00B148B1">
        <w:rPr>
          <w:rFonts w:cs="Arial"/>
          <w:szCs w:val="20"/>
        </w:rPr>
        <w:t>Po podatkih Ministrstva za finance je v obdobju od leta 2007 do leta 2019, višina investicijskih izdatkov za odvajanje in čiščenje odpadne vode vseh lokalnih skupnosti znašala 1.48</w:t>
      </w:r>
      <w:r w:rsidR="00623613">
        <w:rPr>
          <w:rFonts w:cs="Arial"/>
          <w:szCs w:val="20"/>
        </w:rPr>
        <w:t>4</w:t>
      </w:r>
      <w:r w:rsidRPr="00B148B1">
        <w:rPr>
          <w:rFonts w:cs="Arial"/>
          <w:szCs w:val="20"/>
        </w:rPr>
        <w:t xml:space="preserve"> milijonov evrov. Pri tem so upoštevani podatki o višini vseh investicijskih odhodkov in investicijskih transferov občin, namenjeni za program »0520 Ravnanje z odpadno vodo«. </w:t>
      </w:r>
    </w:p>
    <w:p w:rsidR="008D3063" w:rsidRPr="00B148B1" w:rsidRDefault="008D3063" w:rsidP="008D3063">
      <w:pPr>
        <w:tabs>
          <w:tab w:val="left" w:pos="9600"/>
        </w:tabs>
        <w:spacing w:before="120" w:line="280" w:lineRule="atLeast"/>
        <w:rPr>
          <w:rFonts w:cs="Arial"/>
          <w:szCs w:val="20"/>
        </w:rPr>
      </w:pPr>
      <w:r w:rsidRPr="00B148B1">
        <w:rPr>
          <w:rFonts w:cs="Arial"/>
          <w:szCs w:val="20"/>
        </w:rPr>
        <w:t>Investicijski izdatki za odvajanje in čiščenje komunalne odpadne vode v obdobju od leta 2007 do leta 2019 so prikazani v preglednici (</w:t>
      </w:r>
      <w:r w:rsidRPr="00B148B1">
        <w:rPr>
          <w:rFonts w:cs="Arial"/>
          <w:szCs w:val="20"/>
        </w:rPr>
        <w:fldChar w:fldCharType="begin"/>
      </w:r>
      <w:r w:rsidRPr="00B148B1">
        <w:rPr>
          <w:rFonts w:cs="Arial"/>
          <w:szCs w:val="20"/>
        </w:rPr>
        <w:instrText xml:space="preserve"> REF _Ref527133120 \h  \* MERGEFORMAT </w:instrText>
      </w:r>
      <w:r w:rsidRPr="00B148B1">
        <w:rPr>
          <w:rFonts w:cs="Arial"/>
          <w:szCs w:val="20"/>
        </w:rPr>
      </w:r>
      <w:r w:rsidRPr="00B148B1">
        <w:rPr>
          <w:rFonts w:cs="Arial"/>
          <w:szCs w:val="20"/>
        </w:rPr>
        <w:fldChar w:fldCharType="separate"/>
      </w:r>
      <w:r w:rsidR="00E92793" w:rsidRPr="00B148B1">
        <w:rPr>
          <w:rFonts w:cs="Arial"/>
          <w:szCs w:val="20"/>
        </w:rPr>
        <w:t xml:space="preserve">Preglednica </w:t>
      </w:r>
      <w:r w:rsidR="00E92793">
        <w:rPr>
          <w:rFonts w:cs="Arial"/>
          <w:szCs w:val="20"/>
        </w:rPr>
        <w:t>6</w:t>
      </w:r>
      <w:r w:rsidRPr="00B148B1">
        <w:rPr>
          <w:rFonts w:cs="Arial"/>
          <w:szCs w:val="20"/>
        </w:rPr>
        <w:fldChar w:fldCharType="end"/>
      </w:r>
      <w:r w:rsidRPr="00B148B1">
        <w:rPr>
          <w:rFonts w:cs="Arial"/>
          <w:szCs w:val="20"/>
        </w:rPr>
        <w:t>). V preglednici (</w:t>
      </w:r>
      <w:r w:rsidRPr="00B148B1">
        <w:rPr>
          <w:rFonts w:cs="Arial"/>
          <w:szCs w:val="20"/>
        </w:rPr>
        <w:fldChar w:fldCharType="begin"/>
      </w:r>
      <w:r w:rsidRPr="00B148B1">
        <w:rPr>
          <w:rFonts w:cs="Arial"/>
          <w:szCs w:val="20"/>
        </w:rPr>
        <w:instrText xml:space="preserve"> REF _Ref527133120 \h  \* MERGEFORMAT </w:instrText>
      </w:r>
      <w:r w:rsidRPr="00B148B1">
        <w:rPr>
          <w:rFonts w:cs="Arial"/>
          <w:szCs w:val="20"/>
        </w:rPr>
      </w:r>
      <w:r w:rsidRPr="00B148B1">
        <w:rPr>
          <w:rFonts w:cs="Arial"/>
          <w:szCs w:val="20"/>
        </w:rPr>
        <w:fldChar w:fldCharType="separate"/>
      </w:r>
      <w:r w:rsidR="00E92793" w:rsidRPr="00B148B1">
        <w:rPr>
          <w:rFonts w:cs="Arial"/>
          <w:szCs w:val="20"/>
        </w:rPr>
        <w:t xml:space="preserve">Preglednica </w:t>
      </w:r>
      <w:r w:rsidR="00E92793">
        <w:rPr>
          <w:rFonts w:cs="Arial"/>
          <w:szCs w:val="20"/>
        </w:rPr>
        <w:t>6</w:t>
      </w:r>
      <w:r w:rsidRPr="00B148B1">
        <w:rPr>
          <w:rFonts w:cs="Arial"/>
          <w:szCs w:val="20"/>
        </w:rPr>
        <w:fldChar w:fldCharType="end"/>
      </w:r>
      <w:r w:rsidRPr="00B148B1">
        <w:rPr>
          <w:rFonts w:cs="Arial"/>
          <w:szCs w:val="20"/>
        </w:rPr>
        <w:t>) so prikazani investicijski izdatki glede na različne vire financiranja predhodnega operativnega programa v obdobju od leta 2007 do leta 2019, in sicer:</w:t>
      </w:r>
    </w:p>
    <w:p w:rsidR="008D3063" w:rsidRPr="00B148B1" w:rsidRDefault="008D3063"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 xml:space="preserve">sredstva Kohezijskega sklada, namenjena za gradnjo infrastrukture za odvajanje in čiščenje komunalne odpadne vode, prednostno v aglomeracijah s skupno obremenitvijo, enako ali večjo od 2.000 PE, </w:t>
      </w:r>
    </w:p>
    <w:p w:rsidR="008D3063" w:rsidRPr="00B148B1" w:rsidRDefault="008D3063"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sredstva Evropskega sklada za regionalni razvoj, namenjena za gradnjo infrastrukture za odvajanje in čiščenje komunalne odpadne vode v aglomeracijah s skupno obremenitvijo, enako ali večjo od 2.000 PE, pa tudi za aglomeracije s skupno obremenitvijo, manjšo od 2.000 PE,</w:t>
      </w:r>
    </w:p>
    <w:p w:rsidR="008D3063" w:rsidRPr="00B148B1" w:rsidRDefault="008D3063"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sredstva proračuna Republike Slovenije</w:t>
      </w:r>
      <w:r w:rsidR="008B512A" w:rsidRPr="00B148B1">
        <w:rPr>
          <w:rFonts w:cs="Arial"/>
          <w:szCs w:val="20"/>
        </w:rPr>
        <w:t>,</w:t>
      </w:r>
      <w:r w:rsidRPr="00B148B1">
        <w:rPr>
          <w:rFonts w:cs="Arial"/>
          <w:szCs w:val="20"/>
        </w:rPr>
        <w:t xml:space="preserve"> in</w:t>
      </w:r>
    </w:p>
    <w:p w:rsidR="008D3063" w:rsidRPr="00B148B1" w:rsidRDefault="008D3063"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lastRenderedPageBreak/>
        <w:t>sredstva proračunov občin, vključno s sredstvi okoljske dajatve za onesnaževanje okolja zaradi odvajanja odpadnih voda, sredstvi komunalnega prispevka in drugimi sredstvi.</w:t>
      </w:r>
    </w:p>
    <w:p w:rsidR="008D3063" w:rsidRPr="00B148B1" w:rsidRDefault="008D3063" w:rsidP="008D3063">
      <w:pPr>
        <w:tabs>
          <w:tab w:val="left" w:pos="9600"/>
        </w:tabs>
        <w:spacing w:before="120" w:line="280" w:lineRule="atLeast"/>
        <w:rPr>
          <w:rFonts w:cs="Arial"/>
          <w:szCs w:val="20"/>
        </w:rPr>
      </w:pPr>
      <w:r w:rsidRPr="00B148B1">
        <w:rPr>
          <w:rFonts w:cs="Arial"/>
          <w:szCs w:val="20"/>
        </w:rPr>
        <w:t>V okviru projektov, financiranih iz sredstev Evropskega sklada za regionalni razvoj, so se poleg ukrepov s področja odvajanja in čiščenja komunalne odpadne vode lahko izvajali tudi drugi ukrepi, kot na primer ukrepi s področja oskrbe s pitno vodo, ceste in podobno. Glede na to, da iz razpoložljivih virov struktura ukrepov oziroma porazdelitev stroškov med različne vrste ukrepov posameznega projekta ni razvidna, so finančna sredstva teh projektov upoštevana oziroma v preglednici (</w:t>
      </w:r>
      <w:r w:rsidRPr="00B148B1">
        <w:rPr>
          <w:rFonts w:cs="Arial"/>
          <w:szCs w:val="20"/>
        </w:rPr>
        <w:fldChar w:fldCharType="begin"/>
      </w:r>
      <w:r w:rsidRPr="00B148B1">
        <w:rPr>
          <w:rFonts w:cs="Arial"/>
          <w:szCs w:val="20"/>
        </w:rPr>
        <w:instrText xml:space="preserve"> REF _Ref527133120 \h  \* MERGEFORMAT </w:instrText>
      </w:r>
      <w:r w:rsidRPr="00B148B1">
        <w:rPr>
          <w:rFonts w:cs="Arial"/>
          <w:szCs w:val="20"/>
        </w:rPr>
      </w:r>
      <w:r w:rsidRPr="00B148B1">
        <w:rPr>
          <w:rFonts w:cs="Arial"/>
          <w:szCs w:val="20"/>
        </w:rPr>
        <w:fldChar w:fldCharType="separate"/>
      </w:r>
      <w:r w:rsidR="00E92793" w:rsidRPr="00E92793">
        <w:rPr>
          <w:rFonts w:cs="Arial"/>
          <w:bCs/>
        </w:rPr>
        <w:t>Preglednica 6</w:t>
      </w:r>
      <w:r w:rsidRPr="00B148B1">
        <w:rPr>
          <w:rFonts w:cs="Arial"/>
          <w:szCs w:val="20"/>
        </w:rPr>
        <w:fldChar w:fldCharType="end"/>
      </w:r>
      <w:r w:rsidRPr="00B148B1">
        <w:rPr>
          <w:rFonts w:cs="Arial"/>
          <w:szCs w:val="20"/>
        </w:rPr>
        <w:t xml:space="preserve">) prikazana v celoti. </w:t>
      </w:r>
    </w:p>
    <w:p w:rsidR="00D774EB" w:rsidRPr="00B148B1" w:rsidRDefault="00D774EB" w:rsidP="00385BB8">
      <w:pPr>
        <w:tabs>
          <w:tab w:val="left" w:pos="9600"/>
        </w:tabs>
        <w:spacing w:before="120" w:line="280" w:lineRule="atLeast"/>
        <w:rPr>
          <w:rFonts w:cs="Arial"/>
          <w:szCs w:val="20"/>
        </w:rPr>
      </w:pPr>
      <w:bookmarkStart w:id="67" w:name="_Ref527133120"/>
      <w:bookmarkStart w:id="68" w:name="_Ref527113029"/>
      <w:bookmarkStart w:id="69" w:name="_Toc50626722"/>
      <w:bookmarkEnd w:id="65"/>
      <w:r w:rsidRPr="00B148B1">
        <w:rPr>
          <w:rFonts w:cs="Arial"/>
          <w:szCs w:val="20"/>
        </w:rPr>
        <w:t xml:space="preserve">Preglednica </w:t>
      </w:r>
      <w:r w:rsidRPr="00B148B1">
        <w:rPr>
          <w:rFonts w:cs="Arial"/>
          <w:szCs w:val="20"/>
        </w:rPr>
        <w:fldChar w:fldCharType="begin"/>
      </w:r>
      <w:r w:rsidRPr="00B148B1">
        <w:rPr>
          <w:rFonts w:cs="Arial"/>
          <w:szCs w:val="20"/>
        </w:rPr>
        <w:instrText xml:space="preserve"> SEQ Preglednica \* ARABIC </w:instrText>
      </w:r>
      <w:r w:rsidRPr="00B148B1">
        <w:rPr>
          <w:rFonts w:cs="Arial"/>
          <w:szCs w:val="20"/>
        </w:rPr>
        <w:fldChar w:fldCharType="separate"/>
      </w:r>
      <w:r w:rsidR="00E92793">
        <w:rPr>
          <w:rFonts w:cs="Arial"/>
          <w:noProof/>
          <w:szCs w:val="20"/>
        </w:rPr>
        <w:t>6</w:t>
      </w:r>
      <w:r w:rsidRPr="00B148B1">
        <w:rPr>
          <w:rFonts w:cs="Arial"/>
          <w:szCs w:val="20"/>
        </w:rPr>
        <w:fldChar w:fldCharType="end"/>
      </w:r>
      <w:bookmarkEnd w:id="67"/>
      <w:r w:rsidRPr="00B148B1">
        <w:rPr>
          <w:rFonts w:cs="Arial"/>
          <w:szCs w:val="20"/>
        </w:rPr>
        <w:t>: Investicijski izdatki in finančni viri za odvajanje in čiščenje komunalne odpadne vode v obdobju 2007</w:t>
      </w:r>
      <w:r w:rsidR="00EF46BF" w:rsidRPr="00B148B1">
        <w:rPr>
          <w:rFonts w:cs="Arial"/>
          <w:szCs w:val="20"/>
        </w:rPr>
        <w:t>–</w:t>
      </w:r>
      <w:r w:rsidRPr="00B148B1">
        <w:rPr>
          <w:rFonts w:cs="Arial"/>
          <w:szCs w:val="20"/>
        </w:rPr>
        <w:t>201</w:t>
      </w:r>
      <w:r w:rsidR="00551F86" w:rsidRPr="00B148B1">
        <w:rPr>
          <w:rFonts w:cs="Arial"/>
          <w:szCs w:val="20"/>
        </w:rPr>
        <w:t>9</w:t>
      </w:r>
      <w:r w:rsidRPr="00B148B1">
        <w:rPr>
          <w:rFonts w:cs="Arial"/>
          <w:szCs w:val="20"/>
        </w:rPr>
        <w:t xml:space="preserve"> (v mio EUR</w:t>
      </w:r>
      <w:bookmarkEnd w:id="66"/>
      <w:r w:rsidRPr="00B148B1">
        <w:rPr>
          <w:rFonts w:cs="Arial"/>
          <w:szCs w:val="20"/>
        </w:rPr>
        <w:t>)</w:t>
      </w:r>
      <w:bookmarkEnd w:id="68"/>
      <w:bookmarkEnd w:id="69"/>
    </w:p>
    <w:tbl>
      <w:tblPr>
        <w:tblStyle w:val="Tabelamrea"/>
        <w:tblW w:w="4888"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Caption w:val="Investicijski izdatki in finančni viri za odvajanje in čiščenje komunalne odpadne vode v obdobju 2007–2019 (v mio EUR)"/>
        <w:tblDescription w:val="Investicijski izdatki in finančni viri za odvajanje in čiščenje komunalne odpadne vode v obdobju 2007–2019 (v mio EUR)"/>
      </w:tblPr>
      <w:tblGrid>
        <w:gridCol w:w="1512"/>
        <w:gridCol w:w="1512"/>
        <w:gridCol w:w="1512"/>
        <w:gridCol w:w="1512"/>
        <w:gridCol w:w="1512"/>
        <w:gridCol w:w="1512"/>
      </w:tblGrid>
      <w:tr w:rsidR="00D774EB" w:rsidRPr="00B148B1" w:rsidTr="00385BB8">
        <w:trPr>
          <w:trHeight w:val="680"/>
          <w:tblHeader/>
        </w:trPr>
        <w:tc>
          <w:tcPr>
            <w:tcW w:w="833" w:type="pct"/>
            <w:vAlign w:val="center"/>
          </w:tcPr>
          <w:p w:rsidR="00D774EB" w:rsidRPr="00B148B1" w:rsidRDefault="00483C66" w:rsidP="003A32BD">
            <w:pPr>
              <w:tabs>
                <w:tab w:val="left" w:pos="851"/>
                <w:tab w:val="left" w:pos="1418"/>
                <w:tab w:val="left" w:pos="9600"/>
              </w:tabs>
              <w:spacing w:line="240" w:lineRule="auto"/>
              <w:jc w:val="center"/>
              <w:rPr>
                <w:rFonts w:cs="Arial"/>
                <w:b/>
                <w:szCs w:val="20"/>
              </w:rPr>
            </w:pPr>
            <w:r w:rsidRPr="00B148B1">
              <w:rPr>
                <w:rFonts w:cs="Arial"/>
                <w:b/>
                <w:szCs w:val="20"/>
              </w:rPr>
              <w:t>LETO</w:t>
            </w:r>
          </w:p>
        </w:tc>
        <w:tc>
          <w:tcPr>
            <w:tcW w:w="833" w:type="pct"/>
            <w:vAlign w:val="center"/>
            <w:hideMark/>
          </w:tcPr>
          <w:p w:rsidR="00D774EB" w:rsidRPr="00B148B1" w:rsidRDefault="00D774EB" w:rsidP="003A32BD">
            <w:pPr>
              <w:tabs>
                <w:tab w:val="left" w:pos="851"/>
                <w:tab w:val="left" w:pos="1418"/>
                <w:tab w:val="left" w:pos="9600"/>
              </w:tabs>
              <w:spacing w:line="240" w:lineRule="auto"/>
              <w:jc w:val="center"/>
              <w:rPr>
                <w:rFonts w:cs="Arial"/>
                <w:b/>
                <w:szCs w:val="20"/>
              </w:rPr>
            </w:pPr>
            <w:r w:rsidRPr="00B148B1">
              <w:rPr>
                <w:rFonts w:cs="Arial"/>
                <w:b/>
                <w:szCs w:val="20"/>
              </w:rPr>
              <w:t>KS</w:t>
            </w:r>
            <w:r w:rsidR="00F55CC0" w:rsidRPr="00B148B1">
              <w:rPr>
                <w:rFonts w:cs="Arial"/>
                <w:b/>
                <w:szCs w:val="20"/>
              </w:rPr>
              <w:t xml:space="preserve"> </w:t>
            </w:r>
            <w:r w:rsidRPr="00B148B1">
              <w:rPr>
                <w:rFonts w:cs="Arial"/>
                <w:b/>
                <w:szCs w:val="20"/>
              </w:rPr>
              <w:t>+</w:t>
            </w:r>
            <w:r w:rsidR="00F55CC0" w:rsidRPr="00B148B1">
              <w:rPr>
                <w:rFonts w:cs="Arial"/>
                <w:b/>
                <w:szCs w:val="20"/>
              </w:rPr>
              <w:t xml:space="preserve"> </w:t>
            </w:r>
            <w:r w:rsidRPr="00B148B1">
              <w:rPr>
                <w:rFonts w:cs="Arial"/>
                <w:b/>
                <w:szCs w:val="20"/>
              </w:rPr>
              <w:t>ESRR</w:t>
            </w:r>
          </w:p>
        </w:tc>
        <w:tc>
          <w:tcPr>
            <w:tcW w:w="833" w:type="pct"/>
            <w:vAlign w:val="center"/>
            <w:hideMark/>
          </w:tcPr>
          <w:p w:rsidR="00D774EB" w:rsidRPr="00B148B1" w:rsidRDefault="00D774EB" w:rsidP="003A32BD">
            <w:pPr>
              <w:tabs>
                <w:tab w:val="left" w:pos="851"/>
                <w:tab w:val="left" w:pos="1418"/>
                <w:tab w:val="left" w:pos="9600"/>
              </w:tabs>
              <w:spacing w:line="240" w:lineRule="auto"/>
              <w:jc w:val="center"/>
              <w:rPr>
                <w:rFonts w:cs="Arial"/>
                <w:b/>
                <w:szCs w:val="20"/>
              </w:rPr>
            </w:pPr>
            <w:r w:rsidRPr="00B148B1">
              <w:rPr>
                <w:rFonts w:cs="Arial"/>
                <w:b/>
                <w:szCs w:val="20"/>
              </w:rPr>
              <w:t>ISPA</w:t>
            </w:r>
          </w:p>
        </w:tc>
        <w:tc>
          <w:tcPr>
            <w:tcW w:w="833" w:type="pct"/>
            <w:vAlign w:val="center"/>
            <w:hideMark/>
          </w:tcPr>
          <w:p w:rsidR="00D774EB" w:rsidRPr="00B148B1" w:rsidRDefault="00D774EB" w:rsidP="003A32BD">
            <w:pPr>
              <w:tabs>
                <w:tab w:val="left" w:pos="851"/>
                <w:tab w:val="left" w:pos="1418"/>
                <w:tab w:val="left" w:pos="9600"/>
              </w:tabs>
              <w:spacing w:line="240" w:lineRule="auto"/>
              <w:jc w:val="center"/>
              <w:rPr>
                <w:rFonts w:cs="Arial"/>
                <w:b/>
                <w:szCs w:val="20"/>
              </w:rPr>
            </w:pPr>
            <w:r w:rsidRPr="00B148B1">
              <w:rPr>
                <w:rFonts w:cs="Arial"/>
                <w:b/>
                <w:szCs w:val="20"/>
              </w:rPr>
              <w:t>Proračun RS</w:t>
            </w:r>
          </w:p>
        </w:tc>
        <w:tc>
          <w:tcPr>
            <w:tcW w:w="833" w:type="pct"/>
            <w:vAlign w:val="center"/>
            <w:hideMark/>
          </w:tcPr>
          <w:p w:rsidR="00D774EB" w:rsidRPr="00B148B1" w:rsidRDefault="00D774EB" w:rsidP="003A32BD">
            <w:pPr>
              <w:tabs>
                <w:tab w:val="left" w:pos="851"/>
                <w:tab w:val="left" w:pos="1418"/>
                <w:tab w:val="left" w:pos="9600"/>
              </w:tabs>
              <w:spacing w:line="240" w:lineRule="auto"/>
              <w:jc w:val="center"/>
              <w:rPr>
                <w:rFonts w:cs="Arial"/>
                <w:b/>
                <w:szCs w:val="20"/>
              </w:rPr>
            </w:pPr>
            <w:r w:rsidRPr="00B148B1">
              <w:rPr>
                <w:rFonts w:cs="Arial"/>
                <w:b/>
                <w:szCs w:val="20"/>
              </w:rPr>
              <w:t>Občinski proračun</w:t>
            </w:r>
          </w:p>
        </w:tc>
        <w:tc>
          <w:tcPr>
            <w:tcW w:w="833" w:type="pct"/>
            <w:vAlign w:val="center"/>
            <w:hideMark/>
          </w:tcPr>
          <w:p w:rsidR="00D774EB" w:rsidRPr="00B148B1" w:rsidRDefault="00D774EB" w:rsidP="003A32BD">
            <w:pPr>
              <w:tabs>
                <w:tab w:val="left" w:pos="851"/>
                <w:tab w:val="left" w:pos="1418"/>
                <w:tab w:val="left" w:pos="9600"/>
              </w:tabs>
              <w:spacing w:line="240" w:lineRule="auto"/>
              <w:jc w:val="center"/>
              <w:rPr>
                <w:rFonts w:cs="Arial"/>
                <w:b/>
                <w:szCs w:val="20"/>
              </w:rPr>
            </w:pPr>
            <w:r w:rsidRPr="00B148B1">
              <w:rPr>
                <w:rFonts w:cs="Arial"/>
                <w:b/>
                <w:szCs w:val="20"/>
              </w:rPr>
              <w:t>SKUPAJ</w:t>
            </w:r>
          </w:p>
        </w:tc>
      </w:tr>
      <w:tr w:rsidR="00D774EB" w:rsidRPr="00B148B1" w:rsidTr="00385BB8">
        <w:trPr>
          <w:trHeight w:val="340"/>
          <w:tblHeader/>
        </w:trPr>
        <w:tc>
          <w:tcPr>
            <w:tcW w:w="833" w:type="pct"/>
            <w:vAlign w:val="center"/>
          </w:tcPr>
          <w:p w:rsidR="00D774EB" w:rsidRPr="00B148B1" w:rsidRDefault="00D774EB" w:rsidP="003A32BD">
            <w:pPr>
              <w:tabs>
                <w:tab w:val="left" w:pos="851"/>
                <w:tab w:val="left" w:pos="1418"/>
                <w:tab w:val="left" w:pos="9600"/>
              </w:tabs>
              <w:spacing w:before="120" w:line="240" w:lineRule="auto"/>
              <w:jc w:val="center"/>
              <w:rPr>
                <w:rFonts w:cs="Arial"/>
                <w:szCs w:val="20"/>
              </w:rPr>
            </w:pPr>
          </w:p>
        </w:tc>
        <w:tc>
          <w:tcPr>
            <w:tcW w:w="833" w:type="pct"/>
            <w:vAlign w:val="center"/>
            <w:hideMark/>
          </w:tcPr>
          <w:p w:rsidR="00D774EB" w:rsidRPr="00B148B1" w:rsidRDefault="00D774EB" w:rsidP="003A32BD">
            <w:pPr>
              <w:tabs>
                <w:tab w:val="left" w:pos="9600"/>
              </w:tabs>
              <w:spacing w:line="240" w:lineRule="auto"/>
              <w:jc w:val="center"/>
              <w:rPr>
                <w:rFonts w:cs="Arial"/>
                <w:b/>
                <w:szCs w:val="20"/>
              </w:rPr>
            </w:pPr>
            <w:r w:rsidRPr="00B148B1">
              <w:rPr>
                <w:rFonts w:cs="Arial"/>
                <w:b/>
                <w:szCs w:val="20"/>
              </w:rPr>
              <w:t>[mio EUR]</w:t>
            </w:r>
          </w:p>
        </w:tc>
        <w:tc>
          <w:tcPr>
            <w:tcW w:w="833" w:type="pct"/>
            <w:vAlign w:val="center"/>
            <w:hideMark/>
          </w:tcPr>
          <w:p w:rsidR="00D774EB" w:rsidRPr="00B148B1" w:rsidRDefault="00D774EB" w:rsidP="003A32BD">
            <w:pPr>
              <w:tabs>
                <w:tab w:val="left" w:pos="851"/>
                <w:tab w:val="left" w:pos="1418"/>
                <w:tab w:val="left" w:pos="9600"/>
              </w:tabs>
              <w:spacing w:line="240" w:lineRule="auto"/>
              <w:jc w:val="center"/>
              <w:rPr>
                <w:rFonts w:cs="Arial"/>
                <w:b/>
                <w:szCs w:val="20"/>
              </w:rPr>
            </w:pPr>
            <w:r w:rsidRPr="00B148B1">
              <w:rPr>
                <w:rFonts w:cs="Arial"/>
                <w:b/>
                <w:szCs w:val="20"/>
              </w:rPr>
              <w:t>[mio EUR]</w:t>
            </w:r>
          </w:p>
        </w:tc>
        <w:tc>
          <w:tcPr>
            <w:tcW w:w="833" w:type="pct"/>
            <w:vAlign w:val="center"/>
            <w:hideMark/>
          </w:tcPr>
          <w:p w:rsidR="00D774EB" w:rsidRPr="00B148B1" w:rsidRDefault="00D774EB" w:rsidP="003A32BD">
            <w:pPr>
              <w:tabs>
                <w:tab w:val="left" w:pos="9600"/>
              </w:tabs>
              <w:spacing w:line="240" w:lineRule="auto"/>
              <w:jc w:val="center"/>
              <w:rPr>
                <w:rFonts w:cs="Arial"/>
                <w:b/>
                <w:szCs w:val="20"/>
              </w:rPr>
            </w:pPr>
            <w:r w:rsidRPr="00B148B1">
              <w:rPr>
                <w:rFonts w:cs="Arial"/>
                <w:b/>
                <w:szCs w:val="20"/>
              </w:rPr>
              <w:t>[mio EUR]</w:t>
            </w:r>
          </w:p>
        </w:tc>
        <w:tc>
          <w:tcPr>
            <w:tcW w:w="833" w:type="pct"/>
            <w:vAlign w:val="center"/>
            <w:hideMark/>
          </w:tcPr>
          <w:p w:rsidR="00D774EB" w:rsidRPr="00B148B1" w:rsidRDefault="00D774EB" w:rsidP="003A32BD">
            <w:pPr>
              <w:tabs>
                <w:tab w:val="left" w:pos="9600"/>
              </w:tabs>
              <w:spacing w:line="240" w:lineRule="auto"/>
              <w:jc w:val="center"/>
              <w:rPr>
                <w:rFonts w:cs="Arial"/>
                <w:b/>
                <w:szCs w:val="20"/>
              </w:rPr>
            </w:pPr>
            <w:r w:rsidRPr="00B148B1">
              <w:rPr>
                <w:rFonts w:cs="Arial"/>
                <w:b/>
                <w:szCs w:val="20"/>
              </w:rPr>
              <w:t>[mio EUR]</w:t>
            </w:r>
          </w:p>
        </w:tc>
        <w:tc>
          <w:tcPr>
            <w:tcW w:w="833" w:type="pct"/>
            <w:vAlign w:val="center"/>
            <w:hideMark/>
          </w:tcPr>
          <w:p w:rsidR="00D774EB" w:rsidRPr="00B148B1" w:rsidRDefault="00D774EB" w:rsidP="003A32BD">
            <w:pPr>
              <w:tabs>
                <w:tab w:val="left" w:pos="9600"/>
              </w:tabs>
              <w:spacing w:line="240" w:lineRule="auto"/>
              <w:jc w:val="center"/>
              <w:rPr>
                <w:rFonts w:cs="Arial"/>
                <w:b/>
                <w:szCs w:val="20"/>
              </w:rPr>
            </w:pPr>
            <w:r w:rsidRPr="00B148B1">
              <w:rPr>
                <w:rFonts w:cs="Arial"/>
                <w:b/>
                <w:szCs w:val="20"/>
              </w:rPr>
              <w:t>[mio EUR]</w:t>
            </w:r>
          </w:p>
        </w:tc>
      </w:tr>
      <w:tr w:rsidR="00D774EB" w:rsidRPr="00B148B1" w:rsidTr="00385BB8">
        <w:trPr>
          <w:trHeight w:val="340"/>
        </w:trPr>
        <w:tc>
          <w:tcPr>
            <w:tcW w:w="833" w:type="pct"/>
            <w:vAlign w:val="center"/>
            <w:hideMark/>
          </w:tcPr>
          <w:p w:rsidR="00D774EB" w:rsidRPr="00B148B1" w:rsidRDefault="00D774EB" w:rsidP="003A32BD">
            <w:pPr>
              <w:spacing w:line="240" w:lineRule="auto"/>
              <w:jc w:val="center"/>
              <w:rPr>
                <w:rFonts w:cs="Arial"/>
                <w:color w:val="000000"/>
                <w:szCs w:val="20"/>
              </w:rPr>
            </w:pPr>
            <w:r w:rsidRPr="00B148B1">
              <w:rPr>
                <w:rFonts w:cs="Arial"/>
                <w:color w:val="000000"/>
                <w:szCs w:val="20"/>
              </w:rPr>
              <w:t>2007</w:t>
            </w:r>
          </w:p>
        </w:tc>
        <w:tc>
          <w:tcPr>
            <w:tcW w:w="833" w:type="pct"/>
            <w:vAlign w:val="center"/>
            <w:hideMark/>
          </w:tcPr>
          <w:p w:rsidR="00D774EB" w:rsidRPr="00B148B1" w:rsidRDefault="00D774EB" w:rsidP="003A32BD">
            <w:pPr>
              <w:spacing w:line="240" w:lineRule="auto"/>
              <w:jc w:val="center"/>
              <w:rPr>
                <w:rFonts w:cs="Arial"/>
                <w:color w:val="000000"/>
                <w:szCs w:val="20"/>
              </w:rPr>
            </w:pPr>
            <w:r w:rsidRPr="00B148B1">
              <w:rPr>
                <w:rFonts w:cs="Arial"/>
                <w:color w:val="000000"/>
                <w:szCs w:val="20"/>
              </w:rPr>
              <w:t>0,0</w:t>
            </w:r>
          </w:p>
        </w:tc>
        <w:tc>
          <w:tcPr>
            <w:tcW w:w="833" w:type="pct"/>
            <w:vAlign w:val="center"/>
            <w:hideMark/>
          </w:tcPr>
          <w:p w:rsidR="00D774EB" w:rsidRPr="00B148B1" w:rsidRDefault="00D774EB" w:rsidP="003A32BD">
            <w:pPr>
              <w:spacing w:line="240" w:lineRule="auto"/>
              <w:jc w:val="center"/>
              <w:rPr>
                <w:rFonts w:cs="Arial"/>
                <w:color w:val="000000"/>
                <w:szCs w:val="20"/>
              </w:rPr>
            </w:pPr>
            <w:r w:rsidRPr="00B148B1">
              <w:rPr>
                <w:rFonts w:cs="Arial"/>
                <w:color w:val="000000"/>
                <w:szCs w:val="20"/>
              </w:rPr>
              <w:t>2,9</w:t>
            </w:r>
          </w:p>
        </w:tc>
        <w:tc>
          <w:tcPr>
            <w:tcW w:w="833" w:type="pct"/>
            <w:vAlign w:val="center"/>
            <w:hideMark/>
          </w:tcPr>
          <w:p w:rsidR="00D774EB" w:rsidRPr="00B148B1" w:rsidRDefault="00D774EB" w:rsidP="003A32BD">
            <w:pPr>
              <w:spacing w:line="240" w:lineRule="auto"/>
              <w:jc w:val="center"/>
              <w:rPr>
                <w:rFonts w:cs="Arial"/>
                <w:color w:val="000000"/>
                <w:szCs w:val="20"/>
              </w:rPr>
            </w:pPr>
            <w:r w:rsidRPr="00B148B1">
              <w:rPr>
                <w:rFonts w:cs="Arial"/>
                <w:color w:val="000000"/>
                <w:szCs w:val="20"/>
              </w:rPr>
              <w:t>6,9</w:t>
            </w:r>
          </w:p>
        </w:tc>
        <w:tc>
          <w:tcPr>
            <w:tcW w:w="833" w:type="pct"/>
            <w:vAlign w:val="center"/>
            <w:hideMark/>
          </w:tcPr>
          <w:p w:rsidR="00D774EB" w:rsidRPr="00B148B1" w:rsidRDefault="00D774EB" w:rsidP="003A32BD">
            <w:pPr>
              <w:spacing w:line="240" w:lineRule="auto"/>
              <w:jc w:val="center"/>
              <w:rPr>
                <w:rFonts w:cs="Arial"/>
                <w:color w:val="000000"/>
                <w:szCs w:val="20"/>
              </w:rPr>
            </w:pPr>
            <w:r w:rsidRPr="00B148B1">
              <w:rPr>
                <w:rFonts w:cs="Arial"/>
                <w:color w:val="000000"/>
                <w:szCs w:val="20"/>
              </w:rPr>
              <w:t>64,3</w:t>
            </w:r>
          </w:p>
        </w:tc>
        <w:tc>
          <w:tcPr>
            <w:tcW w:w="833" w:type="pct"/>
            <w:vAlign w:val="center"/>
            <w:hideMark/>
          </w:tcPr>
          <w:p w:rsidR="00D774EB" w:rsidRPr="00B148B1" w:rsidRDefault="00D774EB" w:rsidP="003A32BD">
            <w:pPr>
              <w:spacing w:line="240" w:lineRule="auto"/>
              <w:jc w:val="center"/>
              <w:rPr>
                <w:rFonts w:cs="Arial"/>
                <w:color w:val="000000"/>
                <w:szCs w:val="20"/>
              </w:rPr>
            </w:pPr>
            <w:r w:rsidRPr="00B148B1">
              <w:rPr>
                <w:rFonts w:cs="Arial"/>
                <w:color w:val="000000"/>
                <w:szCs w:val="20"/>
              </w:rPr>
              <w:t>74,1</w:t>
            </w:r>
          </w:p>
        </w:tc>
      </w:tr>
      <w:tr w:rsidR="00D774EB" w:rsidRPr="00B148B1" w:rsidTr="00385BB8">
        <w:trPr>
          <w:trHeight w:val="340"/>
        </w:trPr>
        <w:tc>
          <w:tcPr>
            <w:tcW w:w="833" w:type="pct"/>
            <w:vAlign w:val="center"/>
            <w:hideMark/>
          </w:tcPr>
          <w:p w:rsidR="00D774EB" w:rsidRPr="00B148B1" w:rsidRDefault="00D774EB" w:rsidP="003A32BD">
            <w:pPr>
              <w:spacing w:line="240" w:lineRule="auto"/>
              <w:jc w:val="center"/>
              <w:rPr>
                <w:rFonts w:cs="Arial"/>
                <w:color w:val="000000"/>
                <w:szCs w:val="20"/>
              </w:rPr>
            </w:pPr>
            <w:r w:rsidRPr="00B148B1">
              <w:rPr>
                <w:rFonts w:cs="Arial"/>
                <w:color w:val="000000"/>
                <w:szCs w:val="20"/>
              </w:rPr>
              <w:t>2008</w:t>
            </w:r>
          </w:p>
        </w:tc>
        <w:tc>
          <w:tcPr>
            <w:tcW w:w="833" w:type="pct"/>
            <w:vAlign w:val="center"/>
            <w:hideMark/>
          </w:tcPr>
          <w:p w:rsidR="00D774EB" w:rsidRPr="00B148B1" w:rsidRDefault="00D774EB" w:rsidP="003A32BD">
            <w:pPr>
              <w:spacing w:line="240" w:lineRule="auto"/>
              <w:jc w:val="center"/>
              <w:rPr>
                <w:rFonts w:cs="Arial"/>
                <w:color w:val="000000"/>
                <w:szCs w:val="20"/>
              </w:rPr>
            </w:pPr>
            <w:r w:rsidRPr="00B148B1">
              <w:rPr>
                <w:rFonts w:cs="Arial"/>
                <w:color w:val="000000"/>
                <w:szCs w:val="20"/>
              </w:rPr>
              <w:t>0,8</w:t>
            </w:r>
          </w:p>
        </w:tc>
        <w:tc>
          <w:tcPr>
            <w:tcW w:w="833" w:type="pct"/>
            <w:vAlign w:val="center"/>
            <w:hideMark/>
          </w:tcPr>
          <w:p w:rsidR="00D774EB" w:rsidRPr="00B148B1" w:rsidRDefault="00D774EB" w:rsidP="003A32BD">
            <w:pPr>
              <w:spacing w:line="240" w:lineRule="auto"/>
              <w:jc w:val="center"/>
              <w:rPr>
                <w:rFonts w:cs="Arial"/>
                <w:color w:val="000000"/>
                <w:szCs w:val="20"/>
              </w:rPr>
            </w:pPr>
            <w:r w:rsidRPr="00B148B1">
              <w:rPr>
                <w:rFonts w:cs="Arial"/>
                <w:color w:val="000000"/>
                <w:szCs w:val="20"/>
              </w:rPr>
              <w:t>5,8</w:t>
            </w:r>
          </w:p>
        </w:tc>
        <w:tc>
          <w:tcPr>
            <w:tcW w:w="833" w:type="pct"/>
            <w:vAlign w:val="center"/>
            <w:hideMark/>
          </w:tcPr>
          <w:p w:rsidR="00D774EB" w:rsidRPr="00B148B1" w:rsidRDefault="00D774EB" w:rsidP="003A32BD">
            <w:pPr>
              <w:spacing w:line="240" w:lineRule="auto"/>
              <w:jc w:val="center"/>
              <w:rPr>
                <w:rFonts w:cs="Arial"/>
                <w:color w:val="000000"/>
                <w:szCs w:val="20"/>
              </w:rPr>
            </w:pPr>
            <w:r w:rsidRPr="00B148B1">
              <w:rPr>
                <w:rFonts w:cs="Arial"/>
                <w:color w:val="000000"/>
                <w:szCs w:val="20"/>
              </w:rPr>
              <w:t>21,3</w:t>
            </w:r>
          </w:p>
        </w:tc>
        <w:tc>
          <w:tcPr>
            <w:tcW w:w="833" w:type="pct"/>
            <w:vAlign w:val="center"/>
            <w:hideMark/>
          </w:tcPr>
          <w:p w:rsidR="00D774EB" w:rsidRPr="00B148B1" w:rsidRDefault="00D774EB" w:rsidP="003A32BD">
            <w:pPr>
              <w:spacing w:line="240" w:lineRule="auto"/>
              <w:jc w:val="center"/>
              <w:rPr>
                <w:rFonts w:cs="Arial"/>
                <w:color w:val="000000"/>
                <w:szCs w:val="20"/>
              </w:rPr>
            </w:pPr>
            <w:r w:rsidRPr="00B148B1">
              <w:rPr>
                <w:rFonts w:cs="Arial"/>
                <w:color w:val="000000"/>
                <w:szCs w:val="20"/>
              </w:rPr>
              <w:t>73,6</w:t>
            </w:r>
          </w:p>
        </w:tc>
        <w:tc>
          <w:tcPr>
            <w:tcW w:w="833" w:type="pct"/>
            <w:vAlign w:val="center"/>
            <w:hideMark/>
          </w:tcPr>
          <w:p w:rsidR="00D774EB" w:rsidRPr="00B148B1" w:rsidRDefault="00D774EB" w:rsidP="003A32BD">
            <w:pPr>
              <w:spacing w:line="240" w:lineRule="auto"/>
              <w:jc w:val="center"/>
              <w:rPr>
                <w:rFonts w:cs="Arial"/>
                <w:color w:val="000000"/>
                <w:szCs w:val="20"/>
              </w:rPr>
            </w:pPr>
            <w:r w:rsidRPr="00B148B1">
              <w:rPr>
                <w:rFonts w:cs="Arial"/>
                <w:color w:val="000000"/>
                <w:szCs w:val="20"/>
              </w:rPr>
              <w:t>101,4</w:t>
            </w:r>
          </w:p>
        </w:tc>
      </w:tr>
      <w:tr w:rsidR="00D774EB" w:rsidRPr="00B148B1" w:rsidTr="00385BB8">
        <w:trPr>
          <w:trHeight w:val="340"/>
        </w:trPr>
        <w:tc>
          <w:tcPr>
            <w:tcW w:w="833" w:type="pct"/>
            <w:vAlign w:val="center"/>
            <w:hideMark/>
          </w:tcPr>
          <w:p w:rsidR="00D774EB" w:rsidRPr="00B148B1" w:rsidRDefault="00D774EB" w:rsidP="003A32BD">
            <w:pPr>
              <w:spacing w:line="240" w:lineRule="auto"/>
              <w:jc w:val="center"/>
              <w:rPr>
                <w:rFonts w:cs="Arial"/>
                <w:color w:val="000000"/>
                <w:szCs w:val="20"/>
              </w:rPr>
            </w:pPr>
            <w:r w:rsidRPr="00B148B1">
              <w:rPr>
                <w:rFonts w:cs="Arial"/>
                <w:color w:val="000000"/>
                <w:szCs w:val="20"/>
              </w:rPr>
              <w:t>2009</w:t>
            </w:r>
          </w:p>
        </w:tc>
        <w:tc>
          <w:tcPr>
            <w:tcW w:w="833" w:type="pct"/>
            <w:vAlign w:val="center"/>
            <w:hideMark/>
          </w:tcPr>
          <w:p w:rsidR="00D774EB" w:rsidRPr="00B148B1" w:rsidRDefault="00D774EB" w:rsidP="003A32BD">
            <w:pPr>
              <w:spacing w:line="240" w:lineRule="auto"/>
              <w:jc w:val="center"/>
              <w:rPr>
                <w:rFonts w:cs="Arial"/>
                <w:color w:val="000000"/>
                <w:szCs w:val="20"/>
              </w:rPr>
            </w:pPr>
            <w:r w:rsidRPr="00B148B1">
              <w:rPr>
                <w:rFonts w:cs="Arial"/>
                <w:color w:val="000000"/>
                <w:szCs w:val="20"/>
              </w:rPr>
              <w:t>13,4</w:t>
            </w:r>
          </w:p>
        </w:tc>
        <w:tc>
          <w:tcPr>
            <w:tcW w:w="833" w:type="pct"/>
            <w:vAlign w:val="center"/>
            <w:hideMark/>
          </w:tcPr>
          <w:p w:rsidR="00D774EB" w:rsidRPr="00B148B1" w:rsidRDefault="00D774EB" w:rsidP="003A32BD">
            <w:pPr>
              <w:spacing w:line="240" w:lineRule="auto"/>
              <w:jc w:val="center"/>
              <w:rPr>
                <w:rFonts w:cs="Arial"/>
                <w:color w:val="000000"/>
                <w:szCs w:val="20"/>
              </w:rPr>
            </w:pPr>
            <w:r w:rsidRPr="00B148B1">
              <w:rPr>
                <w:rFonts w:cs="Arial"/>
                <w:color w:val="000000"/>
                <w:szCs w:val="20"/>
              </w:rPr>
              <w:t>12,4</w:t>
            </w:r>
          </w:p>
        </w:tc>
        <w:tc>
          <w:tcPr>
            <w:tcW w:w="833" w:type="pct"/>
            <w:vAlign w:val="center"/>
            <w:hideMark/>
          </w:tcPr>
          <w:p w:rsidR="00D774EB" w:rsidRPr="00B148B1" w:rsidRDefault="00D774EB" w:rsidP="003A32BD">
            <w:pPr>
              <w:spacing w:line="240" w:lineRule="auto"/>
              <w:jc w:val="center"/>
              <w:rPr>
                <w:rFonts w:cs="Arial"/>
                <w:color w:val="000000"/>
                <w:szCs w:val="20"/>
              </w:rPr>
            </w:pPr>
            <w:r w:rsidRPr="00B148B1">
              <w:rPr>
                <w:rFonts w:cs="Arial"/>
                <w:color w:val="000000"/>
                <w:szCs w:val="20"/>
              </w:rPr>
              <w:t>37,4</w:t>
            </w:r>
          </w:p>
        </w:tc>
        <w:tc>
          <w:tcPr>
            <w:tcW w:w="833" w:type="pct"/>
            <w:vAlign w:val="center"/>
            <w:hideMark/>
          </w:tcPr>
          <w:p w:rsidR="00D774EB" w:rsidRPr="00B148B1" w:rsidRDefault="00D774EB" w:rsidP="003A32BD">
            <w:pPr>
              <w:spacing w:line="240" w:lineRule="auto"/>
              <w:jc w:val="center"/>
              <w:rPr>
                <w:rFonts w:cs="Arial"/>
                <w:color w:val="000000"/>
                <w:szCs w:val="20"/>
              </w:rPr>
            </w:pPr>
            <w:r w:rsidRPr="00B148B1">
              <w:rPr>
                <w:rFonts w:cs="Arial"/>
                <w:color w:val="000000"/>
                <w:szCs w:val="20"/>
              </w:rPr>
              <w:t>82,4</w:t>
            </w:r>
          </w:p>
        </w:tc>
        <w:tc>
          <w:tcPr>
            <w:tcW w:w="833" w:type="pct"/>
            <w:vAlign w:val="center"/>
            <w:hideMark/>
          </w:tcPr>
          <w:p w:rsidR="00D774EB" w:rsidRPr="00B148B1" w:rsidRDefault="00D774EB" w:rsidP="003A32BD">
            <w:pPr>
              <w:spacing w:line="240" w:lineRule="auto"/>
              <w:jc w:val="center"/>
              <w:rPr>
                <w:rFonts w:cs="Arial"/>
                <w:color w:val="000000"/>
                <w:szCs w:val="20"/>
              </w:rPr>
            </w:pPr>
            <w:r w:rsidRPr="00B148B1">
              <w:rPr>
                <w:rFonts w:cs="Arial"/>
                <w:color w:val="000000"/>
                <w:szCs w:val="20"/>
              </w:rPr>
              <w:t>145,6</w:t>
            </w:r>
          </w:p>
        </w:tc>
      </w:tr>
      <w:tr w:rsidR="00D774EB" w:rsidRPr="00B148B1" w:rsidTr="00385BB8">
        <w:trPr>
          <w:trHeight w:val="340"/>
        </w:trPr>
        <w:tc>
          <w:tcPr>
            <w:tcW w:w="833" w:type="pct"/>
            <w:vAlign w:val="center"/>
            <w:hideMark/>
          </w:tcPr>
          <w:p w:rsidR="00D774EB" w:rsidRPr="00B148B1" w:rsidRDefault="00D774EB" w:rsidP="003A32BD">
            <w:pPr>
              <w:spacing w:line="240" w:lineRule="auto"/>
              <w:jc w:val="center"/>
              <w:rPr>
                <w:rFonts w:cs="Arial"/>
                <w:color w:val="000000"/>
                <w:szCs w:val="20"/>
              </w:rPr>
            </w:pPr>
            <w:r w:rsidRPr="00B148B1">
              <w:rPr>
                <w:rFonts w:cs="Arial"/>
                <w:color w:val="000000"/>
                <w:szCs w:val="20"/>
              </w:rPr>
              <w:t>2010</w:t>
            </w:r>
          </w:p>
        </w:tc>
        <w:tc>
          <w:tcPr>
            <w:tcW w:w="833" w:type="pct"/>
            <w:vAlign w:val="center"/>
            <w:hideMark/>
          </w:tcPr>
          <w:p w:rsidR="00D774EB" w:rsidRPr="00B148B1" w:rsidRDefault="00D774EB" w:rsidP="003A32BD">
            <w:pPr>
              <w:spacing w:line="240" w:lineRule="auto"/>
              <w:jc w:val="center"/>
              <w:rPr>
                <w:rFonts w:cs="Arial"/>
                <w:color w:val="000000"/>
                <w:szCs w:val="20"/>
              </w:rPr>
            </w:pPr>
            <w:r w:rsidRPr="00B148B1">
              <w:rPr>
                <w:rFonts w:cs="Arial"/>
                <w:color w:val="000000"/>
                <w:szCs w:val="20"/>
              </w:rPr>
              <w:t>28,0</w:t>
            </w:r>
          </w:p>
        </w:tc>
        <w:tc>
          <w:tcPr>
            <w:tcW w:w="833" w:type="pct"/>
            <w:vAlign w:val="center"/>
            <w:hideMark/>
          </w:tcPr>
          <w:p w:rsidR="00D774EB" w:rsidRPr="00B148B1" w:rsidRDefault="00D774EB" w:rsidP="003A32BD">
            <w:pPr>
              <w:spacing w:line="240" w:lineRule="auto"/>
              <w:jc w:val="center"/>
              <w:rPr>
                <w:rFonts w:cs="Arial"/>
                <w:color w:val="000000"/>
                <w:szCs w:val="20"/>
              </w:rPr>
            </w:pPr>
            <w:r w:rsidRPr="00B148B1">
              <w:rPr>
                <w:rFonts w:cs="Arial"/>
                <w:color w:val="000000"/>
                <w:szCs w:val="20"/>
              </w:rPr>
              <w:t>2,0</w:t>
            </w:r>
          </w:p>
        </w:tc>
        <w:tc>
          <w:tcPr>
            <w:tcW w:w="833" w:type="pct"/>
            <w:vAlign w:val="center"/>
            <w:hideMark/>
          </w:tcPr>
          <w:p w:rsidR="00D774EB" w:rsidRPr="00B148B1" w:rsidRDefault="00D774EB" w:rsidP="003A32BD">
            <w:pPr>
              <w:spacing w:line="240" w:lineRule="auto"/>
              <w:jc w:val="center"/>
              <w:rPr>
                <w:rFonts w:cs="Arial"/>
                <w:color w:val="000000"/>
                <w:szCs w:val="20"/>
              </w:rPr>
            </w:pPr>
            <w:r w:rsidRPr="00B148B1">
              <w:rPr>
                <w:rFonts w:cs="Arial"/>
                <w:color w:val="000000"/>
                <w:szCs w:val="20"/>
              </w:rPr>
              <w:t>3,3</w:t>
            </w:r>
          </w:p>
        </w:tc>
        <w:tc>
          <w:tcPr>
            <w:tcW w:w="833" w:type="pct"/>
            <w:vAlign w:val="center"/>
            <w:hideMark/>
          </w:tcPr>
          <w:p w:rsidR="00D774EB" w:rsidRPr="00B148B1" w:rsidRDefault="00D774EB" w:rsidP="003A32BD">
            <w:pPr>
              <w:spacing w:line="240" w:lineRule="auto"/>
              <w:jc w:val="center"/>
              <w:rPr>
                <w:rFonts w:cs="Arial"/>
                <w:color w:val="000000"/>
                <w:szCs w:val="20"/>
              </w:rPr>
            </w:pPr>
            <w:r w:rsidRPr="00B148B1">
              <w:rPr>
                <w:rFonts w:cs="Arial"/>
                <w:color w:val="000000"/>
                <w:szCs w:val="20"/>
              </w:rPr>
              <w:t>75,9</w:t>
            </w:r>
          </w:p>
        </w:tc>
        <w:tc>
          <w:tcPr>
            <w:tcW w:w="833" w:type="pct"/>
            <w:vAlign w:val="center"/>
            <w:hideMark/>
          </w:tcPr>
          <w:p w:rsidR="00D774EB" w:rsidRPr="00B148B1" w:rsidRDefault="00D774EB" w:rsidP="003A32BD">
            <w:pPr>
              <w:spacing w:line="240" w:lineRule="auto"/>
              <w:jc w:val="center"/>
              <w:rPr>
                <w:rFonts w:cs="Arial"/>
                <w:color w:val="000000"/>
                <w:szCs w:val="20"/>
              </w:rPr>
            </w:pPr>
            <w:r w:rsidRPr="00B148B1">
              <w:rPr>
                <w:rFonts w:cs="Arial"/>
                <w:color w:val="000000"/>
                <w:szCs w:val="20"/>
              </w:rPr>
              <w:t>109,3</w:t>
            </w:r>
          </w:p>
        </w:tc>
      </w:tr>
      <w:tr w:rsidR="00D774EB" w:rsidRPr="00B148B1" w:rsidTr="00385BB8">
        <w:trPr>
          <w:trHeight w:val="340"/>
        </w:trPr>
        <w:tc>
          <w:tcPr>
            <w:tcW w:w="833" w:type="pct"/>
            <w:vAlign w:val="center"/>
            <w:hideMark/>
          </w:tcPr>
          <w:p w:rsidR="00D774EB" w:rsidRPr="00B148B1" w:rsidRDefault="00D774EB" w:rsidP="003A32BD">
            <w:pPr>
              <w:spacing w:line="240" w:lineRule="auto"/>
              <w:jc w:val="center"/>
              <w:rPr>
                <w:rFonts w:cs="Arial"/>
                <w:color w:val="000000"/>
                <w:szCs w:val="20"/>
              </w:rPr>
            </w:pPr>
            <w:r w:rsidRPr="00B148B1">
              <w:rPr>
                <w:rFonts w:cs="Arial"/>
                <w:color w:val="000000"/>
                <w:szCs w:val="20"/>
              </w:rPr>
              <w:t>2011</w:t>
            </w:r>
          </w:p>
        </w:tc>
        <w:tc>
          <w:tcPr>
            <w:tcW w:w="833" w:type="pct"/>
            <w:vAlign w:val="center"/>
            <w:hideMark/>
          </w:tcPr>
          <w:p w:rsidR="00D774EB" w:rsidRPr="00B148B1" w:rsidRDefault="00D774EB" w:rsidP="003A32BD">
            <w:pPr>
              <w:spacing w:line="240" w:lineRule="auto"/>
              <w:jc w:val="center"/>
              <w:rPr>
                <w:rFonts w:cs="Arial"/>
                <w:color w:val="000000"/>
                <w:szCs w:val="20"/>
              </w:rPr>
            </w:pPr>
            <w:r w:rsidRPr="00B148B1">
              <w:rPr>
                <w:rFonts w:cs="Arial"/>
                <w:color w:val="000000"/>
                <w:szCs w:val="20"/>
              </w:rPr>
              <w:t>43,8</w:t>
            </w:r>
          </w:p>
        </w:tc>
        <w:tc>
          <w:tcPr>
            <w:tcW w:w="833" w:type="pct"/>
            <w:vAlign w:val="center"/>
            <w:hideMark/>
          </w:tcPr>
          <w:p w:rsidR="00D774EB" w:rsidRPr="00B148B1" w:rsidRDefault="00D774EB" w:rsidP="003A32BD">
            <w:pPr>
              <w:spacing w:line="240" w:lineRule="auto"/>
              <w:jc w:val="center"/>
              <w:rPr>
                <w:rFonts w:cs="Arial"/>
                <w:color w:val="000000"/>
                <w:szCs w:val="20"/>
              </w:rPr>
            </w:pPr>
            <w:r w:rsidRPr="00B148B1">
              <w:rPr>
                <w:rFonts w:cs="Arial"/>
                <w:color w:val="000000"/>
                <w:szCs w:val="20"/>
              </w:rPr>
              <w:t>1,5</w:t>
            </w:r>
          </w:p>
        </w:tc>
        <w:tc>
          <w:tcPr>
            <w:tcW w:w="833" w:type="pct"/>
            <w:vAlign w:val="center"/>
            <w:hideMark/>
          </w:tcPr>
          <w:p w:rsidR="00D774EB" w:rsidRPr="00B148B1" w:rsidRDefault="00D774EB" w:rsidP="003A32BD">
            <w:pPr>
              <w:spacing w:line="240" w:lineRule="auto"/>
              <w:jc w:val="center"/>
              <w:rPr>
                <w:rFonts w:cs="Arial"/>
                <w:color w:val="000000"/>
                <w:szCs w:val="20"/>
              </w:rPr>
            </w:pPr>
            <w:r w:rsidRPr="00B148B1">
              <w:rPr>
                <w:rFonts w:cs="Arial"/>
                <w:color w:val="000000"/>
                <w:szCs w:val="20"/>
              </w:rPr>
              <w:t>-4,6</w:t>
            </w:r>
          </w:p>
        </w:tc>
        <w:tc>
          <w:tcPr>
            <w:tcW w:w="833" w:type="pct"/>
            <w:vAlign w:val="center"/>
            <w:hideMark/>
          </w:tcPr>
          <w:p w:rsidR="00D774EB" w:rsidRPr="00B148B1" w:rsidRDefault="00D774EB" w:rsidP="003A32BD">
            <w:pPr>
              <w:spacing w:line="240" w:lineRule="auto"/>
              <w:jc w:val="center"/>
              <w:rPr>
                <w:rFonts w:cs="Arial"/>
                <w:color w:val="000000"/>
                <w:szCs w:val="20"/>
              </w:rPr>
            </w:pPr>
            <w:r w:rsidRPr="00B148B1">
              <w:rPr>
                <w:rFonts w:cs="Arial"/>
                <w:color w:val="000000"/>
                <w:szCs w:val="20"/>
              </w:rPr>
              <w:t>62,6</w:t>
            </w:r>
          </w:p>
        </w:tc>
        <w:tc>
          <w:tcPr>
            <w:tcW w:w="833" w:type="pct"/>
            <w:vAlign w:val="center"/>
            <w:hideMark/>
          </w:tcPr>
          <w:p w:rsidR="00D774EB" w:rsidRPr="00B148B1" w:rsidRDefault="00D774EB" w:rsidP="003A32BD">
            <w:pPr>
              <w:spacing w:line="240" w:lineRule="auto"/>
              <w:jc w:val="center"/>
              <w:rPr>
                <w:rFonts w:cs="Arial"/>
                <w:color w:val="000000"/>
                <w:szCs w:val="20"/>
              </w:rPr>
            </w:pPr>
            <w:r w:rsidRPr="00B148B1">
              <w:rPr>
                <w:rFonts w:cs="Arial"/>
                <w:color w:val="000000"/>
                <w:szCs w:val="20"/>
              </w:rPr>
              <w:t>103,3</w:t>
            </w:r>
          </w:p>
        </w:tc>
      </w:tr>
      <w:tr w:rsidR="00D774EB" w:rsidRPr="00B148B1" w:rsidTr="00385BB8">
        <w:trPr>
          <w:trHeight w:val="340"/>
        </w:trPr>
        <w:tc>
          <w:tcPr>
            <w:tcW w:w="833" w:type="pct"/>
            <w:vAlign w:val="center"/>
            <w:hideMark/>
          </w:tcPr>
          <w:p w:rsidR="00D774EB" w:rsidRPr="00B148B1" w:rsidRDefault="00D774EB" w:rsidP="003A32BD">
            <w:pPr>
              <w:spacing w:line="240" w:lineRule="auto"/>
              <w:jc w:val="center"/>
              <w:rPr>
                <w:rFonts w:cs="Arial"/>
                <w:color w:val="000000"/>
                <w:szCs w:val="20"/>
              </w:rPr>
            </w:pPr>
            <w:r w:rsidRPr="00B148B1">
              <w:rPr>
                <w:rFonts w:cs="Arial"/>
                <w:color w:val="000000"/>
                <w:szCs w:val="20"/>
              </w:rPr>
              <w:t>2012</w:t>
            </w:r>
          </w:p>
        </w:tc>
        <w:tc>
          <w:tcPr>
            <w:tcW w:w="833" w:type="pct"/>
            <w:vAlign w:val="center"/>
            <w:hideMark/>
          </w:tcPr>
          <w:p w:rsidR="00D774EB" w:rsidRPr="00B148B1" w:rsidRDefault="00D774EB" w:rsidP="003A32BD">
            <w:pPr>
              <w:spacing w:line="240" w:lineRule="auto"/>
              <w:jc w:val="center"/>
              <w:rPr>
                <w:rFonts w:cs="Arial"/>
                <w:color w:val="000000"/>
                <w:szCs w:val="20"/>
              </w:rPr>
            </w:pPr>
            <w:r w:rsidRPr="00B148B1">
              <w:rPr>
                <w:rFonts w:cs="Arial"/>
                <w:color w:val="000000"/>
                <w:szCs w:val="20"/>
              </w:rPr>
              <w:t>42,3</w:t>
            </w:r>
          </w:p>
        </w:tc>
        <w:tc>
          <w:tcPr>
            <w:tcW w:w="833" w:type="pct"/>
            <w:vAlign w:val="center"/>
            <w:hideMark/>
          </w:tcPr>
          <w:p w:rsidR="00D774EB" w:rsidRPr="00B148B1" w:rsidRDefault="00D774EB" w:rsidP="003A32BD">
            <w:pPr>
              <w:spacing w:line="240" w:lineRule="auto"/>
              <w:jc w:val="center"/>
              <w:rPr>
                <w:rFonts w:cs="Arial"/>
                <w:color w:val="000000"/>
                <w:szCs w:val="20"/>
              </w:rPr>
            </w:pPr>
            <w:r w:rsidRPr="00B148B1">
              <w:rPr>
                <w:rFonts w:cs="Arial"/>
                <w:color w:val="000000"/>
                <w:szCs w:val="20"/>
              </w:rPr>
              <w:t>0,0</w:t>
            </w:r>
          </w:p>
        </w:tc>
        <w:tc>
          <w:tcPr>
            <w:tcW w:w="833" w:type="pct"/>
            <w:vAlign w:val="center"/>
            <w:hideMark/>
          </w:tcPr>
          <w:p w:rsidR="00D774EB" w:rsidRPr="00B148B1" w:rsidRDefault="00D774EB" w:rsidP="003A32BD">
            <w:pPr>
              <w:spacing w:line="240" w:lineRule="auto"/>
              <w:jc w:val="center"/>
              <w:rPr>
                <w:rFonts w:cs="Arial"/>
                <w:color w:val="000000"/>
                <w:szCs w:val="20"/>
              </w:rPr>
            </w:pPr>
            <w:r w:rsidRPr="00B148B1">
              <w:rPr>
                <w:rFonts w:cs="Arial"/>
                <w:color w:val="000000"/>
                <w:szCs w:val="20"/>
              </w:rPr>
              <w:t>10,2</w:t>
            </w:r>
          </w:p>
        </w:tc>
        <w:tc>
          <w:tcPr>
            <w:tcW w:w="833" w:type="pct"/>
            <w:vAlign w:val="center"/>
            <w:hideMark/>
          </w:tcPr>
          <w:p w:rsidR="00D774EB" w:rsidRPr="00B148B1" w:rsidRDefault="00D774EB" w:rsidP="003A32BD">
            <w:pPr>
              <w:spacing w:line="240" w:lineRule="auto"/>
              <w:jc w:val="center"/>
              <w:rPr>
                <w:rFonts w:cs="Arial"/>
                <w:color w:val="000000"/>
                <w:szCs w:val="20"/>
              </w:rPr>
            </w:pPr>
            <w:r w:rsidRPr="00B148B1">
              <w:rPr>
                <w:rFonts w:cs="Arial"/>
                <w:color w:val="000000"/>
                <w:szCs w:val="20"/>
              </w:rPr>
              <w:t>63,2</w:t>
            </w:r>
          </w:p>
        </w:tc>
        <w:tc>
          <w:tcPr>
            <w:tcW w:w="833" w:type="pct"/>
            <w:vAlign w:val="center"/>
            <w:hideMark/>
          </w:tcPr>
          <w:p w:rsidR="00D774EB" w:rsidRPr="00B148B1" w:rsidRDefault="00D774EB" w:rsidP="003A32BD">
            <w:pPr>
              <w:spacing w:line="240" w:lineRule="auto"/>
              <w:jc w:val="center"/>
              <w:rPr>
                <w:rFonts w:cs="Arial"/>
                <w:color w:val="000000"/>
                <w:szCs w:val="20"/>
              </w:rPr>
            </w:pPr>
            <w:r w:rsidRPr="00B148B1">
              <w:rPr>
                <w:rFonts w:cs="Arial"/>
                <w:color w:val="000000"/>
                <w:szCs w:val="20"/>
              </w:rPr>
              <w:t>115,7</w:t>
            </w:r>
          </w:p>
        </w:tc>
      </w:tr>
      <w:tr w:rsidR="00D774EB" w:rsidRPr="00B148B1" w:rsidTr="00385BB8">
        <w:trPr>
          <w:trHeight w:val="340"/>
        </w:trPr>
        <w:tc>
          <w:tcPr>
            <w:tcW w:w="833" w:type="pct"/>
            <w:vAlign w:val="center"/>
            <w:hideMark/>
          </w:tcPr>
          <w:p w:rsidR="00D774EB" w:rsidRPr="00B148B1" w:rsidRDefault="00D774EB" w:rsidP="003A32BD">
            <w:pPr>
              <w:spacing w:line="240" w:lineRule="auto"/>
              <w:jc w:val="center"/>
              <w:rPr>
                <w:rFonts w:cs="Arial"/>
                <w:color w:val="000000"/>
                <w:szCs w:val="20"/>
              </w:rPr>
            </w:pPr>
            <w:r w:rsidRPr="00B148B1">
              <w:rPr>
                <w:rFonts w:cs="Arial"/>
                <w:color w:val="000000"/>
                <w:szCs w:val="20"/>
              </w:rPr>
              <w:t>2013</w:t>
            </w:r>
          </w:p>
        </w:tc>
        <w:tc>
          <w:tcPr>
            <w:tcW w:w="833" w:type="pct"/>
            <w:vAlign w:val="center"/>
            <w:hideMark/>
          </w:tcPr>
          <w:p w:rsidR="00D774EB" w:rsidRPr="00B148B1" w:rsidRDefault="00D774EB" w:rsidP="003A32BD">
            <w:pPr>
              <w:spacing w:line="240" w:lineRule="auto"/>
              <w:jc w:val="center"/>
              <w:rPr>
                <w:rFonts w:cs="Arial"/>
                <w:color w:val="000000"/>
                <w:szCs w:val="20"/>
              </w:rPr>
            </w:pPr>
            <w:r w:rsidRPr="00B148B1">
              <w:rPr>
                <w:rFonts w:cs="Arial"/>
                <w:color w:val="000000"/>
                <w:szCs w:val="20"/>
              </w:rPr>
              <w:t>57,2</w:t>
            </w:r>
          </w:p>
        </w:tc>
        <w:tc>
          <w:tcPr>
            <w:tcW w:w="833" w:type="pct"/>
            <w:vAlign w:val="center"/>
            <w:hideMark/>
          </w:tcPr>
          <w:p w:rsidR="00D774EB" w:rsidRPr="00B148B1" w:rsidRDefault="00D774EB" w:rsidP="003A32BD">
            <w:pPr>
              <w:spacing w:line="240" w:lineRule="auto"/>
              <w:jc w:val="center"/>
              <w:rPr>
                <w:rFonts w:cs="Arial"/>
                <w:color w:val="000000"/>
                <w:szCs w:val="20"/>
              </w:rPr>
            </w:pPr>
            <w:r w:rsidRPr="00B148B1">
              <w:rPr>
                <w:rFonts w:cs="Arial"/>
                <w:color w:val="000000"/>
                <w:szCs w:val="20"/>
              </w:rPr>
              <w:t>0,0</w:t>
            </w:r>
          </w:p>
        </w:tc>
        <w:tc>
          <w:tcPr>
            <w:tcW w:w="833" w:type="pct"/>
            <w:vAlign w:val="center"/>
            <w:hideMark/>
          </w:tcPr>
          <w:p w:rsidR="00D774EB" w:rsidRPr="00B148B1" w:rsidRDefault="00D774EB" w:rsidP="003A32BD">
            <w:pPr>
              <w:spacing w:line="240" w:lineRule="auto"/>
              <w:jc w:val="center"/>
              <w:rPr>
                <w:rFonts w:cs="Arial"/>
                <w:color w:val="000000"/>
                <w:szCs w:val="20"/>
              </w:rPr>
            </w:pPr>
            <w:r w:rsidRPr="00B148B1">
              <w:rPr>
                <w:rFonts w:cs="Arial"/>
                <w:color w:val="000000"/>
                <w:szCs w:val="20"/>
              </w:rPr>
              <w:t>4,2</w:t>
            </w:r>
          </w:p>
        </w:tc>
        <w:tc>
          <w:tcPr>
            <w:tcW w:w="833" w:type="pct"/>
            <w:vAlign w:val="center"/>
            <w:hideMark/>
          </w:tcPr>
          <w:p w:rsidR="00D774EB" w:rsidRPr="00B148B1" w:rsidRDefault="00D774EB" w:rsidP="003A32BD">
            <w:pPr>
              <w:spacing w:line="240" w:lineRule="auto"/>
              <w:jc w:val="center"/>
              <w:rPr>
                <w:rFonts w:cs="Arial"/>
                <w:color w:val="000000"/>
                <w:szCs w:val="20"/>
              </w:rPr>
            </w:pPr>
            <w:r w:rsidRPr="00B148B1">
              <w:rPr>
                <w:rFonts w:cs="Arial"/>
                <w:color w:val="000000"/>
                <w:szCs w:val="20"/>
              </w:rPr>
              <w:t>62,3</w:t>
            </w:r>
          </w:p>
        </w:tc>
        <w:tc>
          <w:tcPr>
            <w:tcW w:w="833" w:type="pct"/>
            <w:vAlign w:val="center"/>
            <w:hideMark/>
          </w:tcPr>
          <w:p w:rsidR="00D774EB" w:rsidRPr="00B148B1" w:rsidRDefault="00D774EB" w:rsidP="003A32BD">
            <w:pPr>
              <w:spacing w:line="240" w:lineRule="auto"/>
              <w:jc w:val="center"/>
              <w:rPr>
                <w:rFonts w:cs="Arial"/>
                <w:color w:val="000000"/>
                <w:szCs w:val="20"/>
              </w:rPr>
            </w:pPr>
            <w:r w:rsidRPr="00B148B1">
              <w:rPr>
                <w:rFonts w:cs="Arial"/>
                <w:color w:val="000000"/>
                <w:szCs w:val="20"/>
              </w:rPr>
              <w:t>123,7</w:t>
            </w:r>
          </w:p>
        </w:tc>
      </w:tr>
      <w:tr w:rsidR="00D774EB" w:rsidRPr="00B148B1" w:rsidTr="00385BB8">
        <w:trPr>
          <w:trHeight w:val="340"/>
        </w:trPr>
        <w:tc>
          <w:tcPr>
            <w:tcW w:w="833" w:type="pct"/>
            <w:vAlign w:val="center"/>
            <w:hideMark/>
          </w:tcPr>
          <w:p w:rsidR="00D774EB" w:rsidRPr="00B148B1" w:rsidRDefault="00D774EB" w:rsidP="003A32BD">
            <w:pPr>
              <w:spacing w:line="240" w:lineRule="auto"/>
              <w:jc w:val="center"/>
              <w:rPr>
                <w:rFonts w:cs="Arial"/>
                <w:color w:val="000000"/>
                <w:szCs w:val="20"/>
              </w:rPr>
            </w:pPr>
            <w:r w:rsidRPr="00B148B1">
              <w:rPr>
                <w:rFonts w:cs="Arial"/>
                <w:color w:val="000000"/>
                <w:szCs w:val="20"/>
              </w:rPr>
              <w:t>2014</w:t>
            </w:r>
          </w:p>
        </w:tc>
        <w:tc>
          <w:tcPr>
            <w:tcW w:w="833" w:type="pct"/>
            <w:vAlign w:val="center"/>
            <w:hideMark/>
          </w:tcPr>
          <w:p w:rsidR="00D774EB" w:rsidRPr="00B148B1" w:rsidRDefault="00D774EB" w:rsidP="003A32BD">
            <w:pPr>
              <w:spacing w:line="240" w:lineRule="auto"/>
              <w:jc w:val="center"/>
              <w:rPr>
                <w:rFonts w:cs="Arial"/>
                <w:color w:val="000000"/>
                <w:szCs w:val="20"/>
              </w:rPr>
            </w:pPr>
            <w:r w:rsidRPr="00B148B1">
              <w:rPr>
                <w:rFonts w:cs="Arial"/>
                <w:color w:val="000000"/>
                <w:szCs w:val="20"/>
              </w:rPr>
              <w:t>93,3</w:t>
            </w:r>
          </w:p>
        </w:tc>
        <w:tc>
          <w:tcPr>
            <w:tcW w:w="833" w:type="pct"/>
            <w:vAlign w:val="center"/>
            <w:hideMark/>
          </w:tcPr>
          <w:p w:rsidR="00D774EB" w:rsidRPr="00B148B1" w:rsidRDefault="00D774EB" w:rsidP="003A32BD">
            <w:pPr>
              <w:spacing w:line="240" w:lineRule="auto"/>
              <w:jc w:val="center"/>
              <w:rPr>
                <w:rFonts w:cs="Arial"/>
                <w:color w:val="000000"/>
                <w:szCs w:val="20"/>
              </w:rPr>
            </w:pPr>
            <w:r w:rsidRPr="00B148B1">
              <w:rPr>
                <w:rFonts w:cs="Arial"/>
                <w:color w:val="000000"/>
                <w:szCs w:val="20"/>
              </w:rPr>
              <w:t>0,0</w:t>
            </w:r>
          </w:p>
        </w:tc>
        <w:tc>
          <w:tcPr>
            <w:tcW w:w="833" w:type="pct"/>
            <w:vAlign w:val="center"/>
            <w:hideMark/>
          </w:tcPr>
          <w:p w:rsidR="00D774EB" w:rsidRPr="00B148B1" w:rsidRDefault="00D774EB" w:rsidP="003A32BD">
            <w:pPr>
              <w:spacing w:line="240" w:lineRule="auto"/>
              <w:jc w:val="center"/>
              <w:rPr>
                <w:rFonts w:cs="Arial"/>
                <w:color w:val="000000"/>
                <w:szCs w:val="20"/>
              </w:rPr>
            </w:pPr>
            <w:r w:rsidRPr="00B148B1">
              <w:rPr>
                <w:rFonts w:cs="Arial"/>
                <w:color w:val="000000"/>
                <w:szCs w:val="20"/>
              </w:rPr>
              <w:t>38,9</w:t>
            </w:r>
          </w:p>
        </w:tc>
        <w:tc>
          <w:tcPr>
            <w:tcW w:w="833" w:type="pct"/>
            <w:vAlign w:val="center"/>
            <w:hideMark/>
          </w:tcPr>
          <w:p w:rsidR="00D774EB" w:rsidRPr="00B148B1" w:rsidRDefault="00D774EB" w:rsidP="003A32BD">
            <w:pPr>
              <w:spacing w:line="240" w:lineRule="auto"/>
              <w:jc w:val="center"/>
              <w:rPr>
                <w:rFonts w:cs="Arial"/>
                <w:color w:val="000000"/>
                <w:szCs w:val="20"/>
              </w:rPr>
            </w:pPr>
            <w:r w:rsidRPr="00B148B1">
              <w:rPr>
                <w:rFonts w:cs="Arial"/>
                <w:color w:val="000000"/>
                <w:szCs w:val="20"/>
              </w:rPr>
              <w:t>84,5</w:t>
            </w:r>
          </w:p>
        </w:tc>
        <w:tc>
          <w:tcPr>
            <w:tcW w:w="833" w:type="pct"/>
            <w:vAlign w:val="center"/>
            <w:hideMark/>
          </w:tcPr>
          <w:p w:rsidR="00D774EB" w:rsidRPr="00B148B1" w:rsidRDefault="00D774EB" w:rsidP="003A32BD">
            <w:pPr>
              <w:spacing w:line="240" w:lineRule="auto"/>
              <w:jc w:val="center"/>
              <w:rPr>
                <w:rFonts w:cs="Arial"/>
                <w:color w:val="000000"/>
                <w:szCs w:val="20"/>
              </w:rPr>
            </w:pPr>
            <w:r w:rsidRPr="00B148B1">
              <w:rPr>
                <w:rFonts w:cs="Arial"/>
                <w:color w:val="000000"/>
                <w:szCs w:val="20"/>
              </w:rPr>
              <w:t>216,6</w:t>
            </w:r>
          </w:p>
        </w:tc>
      </w:tr>
      <w:tr w:rsidR="00D774EB" w:rsidRPr="00B148B1" w:rsidTr="00385BB8">
        <w:trPr>
          <w:trHeight w:val="340"/>
        </w:trPr>
        <w:tc>
          <w:tcPr>
            <w:tcW w:w="833" w:type="pct"/>
            <w:vAlign w:val="center"/>
            <w:hideMark/>
          </w:tcPr>
          <w:p w:rsidR="00D774EB" w:rsidRPr="00B148B1" w:rsidRDefault="00D774EB" w:rsidP="003A32BD">
            <w:pPr>
              <w:spacing w:line="240" w:lineRule="auto"/>
              <w:jc w:val="center"/>
              <w:rPr>
                <w:rFonts w:cs="Arial"/>
                <w:color w:val="000000"/>
                <w:szCs w:val="20"/>
              </w:rPr>
            </w:pPr>
            <w:r w:rsidRPr="00B148B1">
              <w:rPr>
                <w:rFonts w:cs="Arial"/>
                <w:color w:val="000000"/>
                <w:szCs w:val="20"/>
              </w:rPr>
              <w:t>2015</w:t>
            </w:r>
          </w:p>
        </w:tc>
        <w:tc>
          <w:tcPr>
            <w:tcW w:w="833" w:type="pct"/>
            <w:vAlign w:val="center"/>
            <w:hideMark/>
          </w:tcPr>
          <w:p w:rsidR="00D774EB" w:rsidRPr="00B148B1" w:rsidRDefault="00D774EB" w:rsidP="003A32BD">
            <w:pPr>
              <w:spacing w:line="240" w:lineRule="auto"/>
              <w:jc w:val="center"/>
              <w:rPr>
                <w:rFonts w:cs="Arial"/>
                <w:color w:val="000000"/>
                <w:szCs w:val="20"/>
              </w:rPr>
            </w:pPr>
            <w:r w:rsidRPr="00B148B1">
              <w:rPr>
                <w:rFonts w:cs="Arial"/>
                <w:color w:val="000000"/>
                <w:szCs w:val="20"/>
              </w:rPr>
              <w:t>100,1</w:t>
            </w:r>
          </w:p>
        </w:tc>
        <w:tc>
          <w:tcPr>
            <w:tcW w:w="833" w:type="pct"/>
            <w:vAlign w:val="center"/>
            <w:hideMark/>
          </w:tcPr>
          <w:p w:rsidR="00D774EB" w:rsidRPr="00B148B1" w:rsidRDefault="00D774EB" w:rsidP="003A32BD">
            <w:pPr>
              <w:spacing w:line="240" w:lineRule="auto"/>
              <w:jc w:val="center"/>
              <w:rPr>
                <w:rFonts w:cs="Arial"/>
                <w:color w:val="000000"/>
                <w:szCs w:val="20"/>
              </w:rPr>
            </w:pPr>
            <w:r w:rsidRPr="00B148B1">
              <w:rPr>
                <w:rFonts w:cs="Arial"/>
                <w:color w:val="000000"/>
                <w:szCs w:val="20"/>
              </w:rPr>
              <w:t>0,0</w:t>
            </w:r>
          </w:p>
        </w:tc>
        <w:tc>
          <w:tcPr>
            <w:tcW w:w="833" w:type="pct"/>
            <w:vAlign w:val="center"/>
            <w:hideMark/>
          </w:tcPr>
          <w:p w:rsidR="00D774EB" w:rsidRPr="00B148B1" w:rsidRDefault="00D774EB" w:rsidP="003A32BD">
            <w:pPr>
              <w:spacing w:line="240" w:lineRule="auto"/>
              <w:jc w:val="center"/>
              <w:rPr>
                <w:rFonts w:cs="Arial"/>
                <w:color w:val="000000"/>
                <w:szCs w:val="20"/>
              </w:rPr>
            </w:pPr>
            <w:r w:rsidRPr="00B148B1">
              <w:rPr>
                <w:rFonts w:cs="Arial"/>
                <w:color w:val="000000"/>
                <w:szCs w:val="20"/>
              </w:rPr>
              <w:t>39,8</w:t>
            </w:r>
          </w:p>
        </w:tc>
        <w:tc>
          <w:tcPr>
            <w:tcW w:w="833" w:type="pct"/>
            <w:vAlign w:val="center"/>
            <w:hideMark/>
          </w:tcPr>
          <w:p w:rsidR="00D774EB" w:rsidRPr="00B148B1" w:rsidRDefault="00D774EB" w:rsidP="003A32BD">
            <w:pPr>
              <w:spacing w:line="240" w:lineRule="auto"/>
              <w:jc w:val="center"/>
              <w:rPr>
                <w:rFonts w:cs="Arial"/>
                <w:color w:val="000000"/>
                <w:szCs w:val="20"/>
              </w:rPr>
            </w:pPr>
            <w:r w:rsidRPr="00B148B1">
              <w:rPr>
                <w:rFonts w:cs="Arial"/>
                <w:color w:val="000000"/>
                <w:szCs w:val="20"/>
              </w:rPr>
              <w:t>100,4</w:t>
            </w:r>
          </w:p>
        </w:tc>
        <w:tc>
          <w:tcPr>
            <w:tcW w:w="833" w:type="pct"/>
            <w:vAlign w:val="center"/>
            <w:hideMark/>
          </w:tcPr>
          <w:p w:rsidR="00D774EB" w:rsidRPr="00B148B1" w:rsidRDefault="00D774EB" w:rsidP="003A32BD">
            <w:pPr>
              <w:spacing w:line="240" w:lineRule="auto"/>
              <w:jc w:val="center"/>
              <w:rPr>
                <w:rFonts w:cs="Arial"/>
                <w:color w:val="000000"/>
                <w:szCs w:val="20"/>
              </w:rPr>
            </w:pPr>
            <w:r w:rsidRPr="00B148B1">
              <w:rPr>
                <w:rFonts w:cs="Arial"/>
                <w:color w:val="000000"/>
                <w:szCs w:val="20"/>
              </w:rPr>
              <w:t>240,3</w:t>
            </w:r>
          </w:p>
        </w:tc>
      </w:tr>
      <w:tr w:rsidR="00D774EB" w:rsidRPr="00B148B1" w:rsidTr="00385BB8">
        <w:trPr>
          <w:trHeight w:val="340"/>
        </w:trPr>
        <w:tc>
          <w:tcPr>
            <w:tcW w:w="833" w:type="pct"/>
            <w:vAlign w:val="center"/>
            <w:hideMark/>
          </w:tcPr>
          <w:p w:rsidR="00D774EB" w:rsidRPr="00B148B1" w:rsidRDefault="00D774EB" w:rsidP="003A32BD">
            <w:pPr>
              <w:spacing w:line="240" w:lineRule="auto"/>
              <w:jc w:val="center"/>
              <w:rPr>
                <w:rFonts w:cs="Arial"/>
                <w:color w:val="000000"/>
                <w:szCs w:val="20"/>
              </w:rPr>
            </w:pPr>
            <w:r w:rsidRPr="00B148B1">
              <w:rPr>
                <w:rFonts w:cs="Arial"/>
                <w:color w:val="000000"/>
                <w:szCs w:val="20"/>
              </w:rPr>
              <w:t>2016</w:t>
            </w:r>
          </w:p>
        </w:tc>
        <w:tc>
          <w:tcPr>
            <w:tcW w:w="833" w:type="pct"/>
            <w:vAlign w:val="center"/>
            <w:hideMark/>
          </w:tcPr>
          <w:p w:rsidR="00D774EB" w:rsidRPr="00B148B1" w:rsidRDefault="00D774EB" w:rsidP="003A32BD">
            <w:pPr>
              <w:spacing w:line="240" w:lineRule="auto"/>
              <w:jc w:val="center"/>
              <w:rPr>
                <w:rFonts w:cs="Arial"/>
                <w:color w:val="000000"/>
                <w:szCs w:val="20"/>
              </w:rPr>
            </w:pPr>
            <w:r w:rsidRPr="00B148B1">
              <w:rPr>
                <w:rFonts w:cs="Arial"/>
                <w:color w:val="000000"/>
                <w:szCs w:val="20"/>
              </w:rPr>
              <w:t>23,5</w:t>
            </w:r>
          </w:p>
        </w:tc>
        <w:tc>
          <w:tcPr>
            <w:tcW w:w="833" w:type="pct"/>
            <w:vAlign w:val="center"/>
            <w:hideMark/>
          </w:tcPr>
          <w:p w:rsidR="00D774EB" w:rsidRPr="00B148B1" w:rsidRDefault="00D774EB" w:rsidP="003A32BD">
            <w:pPr>
              <w:spacing w:line="240" w:lineRule="auto"/>
              <w:jc w:val="center"/>
              <w:rPr>
                <w:rFonts w:cs="Arial"/>
                <w:color w:val="000000"/>
                <w:szCs w:val="20"/>
              </w:rPr>
            </w:pPr>
            <w:r w:rsidRPr="00B148B1">
              <w:rPr>
                <w:rFonts w:cs="Arial"/>
                <w:color w:val="000000"/>
                <w:szCs w:val="20"/>
              </w:rPr>
              <w:t>0,0</w:t>
            </w:r>
          </w:p>
        </w:tc>
        <w:tc>
          <w:tcPr>
            <w:tcW w:w="833" w:type="pct"/>
            <w:vAlign w:val="center"/>
            <w:hideMark/>
          </w:tcPr>
          <w:p w:rsidR="00D774EB" w:rsidRPr="00B148B1" w:rsidRDefault="00D774EB" w:rsidP="003A32BD">
            <w:pPr>
              <w:spacing w:line="240" w:lineRule="auto"/>
              <w:jc w:val="center"/>
              <w:rPr>
                <w:rFonts w:cs="Arial"/>
                <w:color w:val="000000"/>
                <w:szCs w:val="20"/>
              </w:rPr>
            </w:pPr>
            <w:r w:rsidRPr="00B148B1">
              <w:rPr>
                <w:rFonts w:cs="Arial"/>
                <w:color w:val="000000"/>
                <w:szCs w:val="20"/>
              </w:rPr>
              <w:t>10,7</w:t>
            </w:r>
          </w:p>
        </w:tc>
        <w:tc>
          <w:tcPr>
            <w:tcW w:w="833" w:type="pct"/>
            <w:vAlign w:val="center"/>
            <w:hideMark/>
          </w:tcPr>
          <w:p w:rsidR="00D774EB" w:rsidRPr="00B148B1" w:rsidRDefault="00D774EB" w:rsidP="003A32BD">
            <w:pPr>
              <w:spacing w:line="240" w:lineRule="auto"/>
              <w:jc w:val="center"/>
              <w:rPr>
                <w:rFonts w:cs="Arial"/>
                <w:color w:val="000000"/>
                <w:szCs w:val="20"/>
              </w:rPr>
            </w:pPr>
            <w:r w:rsidRPr="00B148B1">
              <w:rPr>
                <w:rFonts w:cs="Arial"/>
                <w:color w:val="000000"/>
                <w:szCs w:val="20"/>
              </w:rPr>
              <w:t>22,8</w:t>
            </w:r>
          </w:p>
        </w:tc>
        <w:tc>
          <w:tcPr>
            <w:tcW w:w="833" w:type="pct"/>
            <w:vAlign w:val="center"/>
            <w:hideMark/>
          </w:tcPr>
          <w:p w:rsidR="00D774EB" w:rsidRPr="00B148B1" w:rsidRDefault="00D774EB" w:rsidP="003A32BD">
            <w:pPr>
              <w:spacing w:line="240" w:lineRule="auto"/>
              <w:jc w:val="center"/>
              <w:rPr>
                <w:rFonts w:cs="Arial"/>
                <w:color w:val="000000"/>
                <w:szCs w:val="20"/>
              </w:rPr>
            </w:pPr>
            <w:r w:rsidRPr="00B148B1">
              <w:rPr>
                <w:rFonts w:cs="Arial"/>
                <w:color w:val="000000"/>
                <w:szCs w:val="20"/>
              </w:rPr>
              <w:t>57,0</w:t>
            </w:r>
          </w:p>
        </w:tc>
      </w:tr>
      <w:tr w:rsidR="00D774EB" w:rsidRPr="00B148B1" w:rsidTr="00385BB8">
        <w:trPr>
          <w:trHeight w:val="340"/>
        </w:trPr>
        <w:tc>
          <w:tcPr>
            <w:tcW w:w="833" w:type="pct"/>
            <w:vAlign w:val="center"/>
            <w:hideMark/>
          </w:tcPr>
          <w:p w:rsidR="00D774EB" w:rsidRPr="00B148B1" w:rsidRDefault="00D774EB" w:rsidP="003A32BD">
            <w:pPr>
              <w:spacing w:line="240" w:lineRule="auto"/>
              <w:jc w:val="center"/>
              <w:rPr>
                <w:rFonts w:cs="Arial"/>
                <w:color w:val="000000"/>
                <w:szCs w:val="20"/>
              </w:rPr>
            </w:pPr>
            <w:r w:rsidRPr="00B148B1">
              <w:rPr>
                <w:rFonts w:cs="Arial"/>
                <w:color w:val="000000"/>
                <w:szCs w:val="20"/>
              </w:rPr>
              <w:t>2017</w:t>
            </w:r>
          </w:p>
        </w:tc>
        <w:tc>
          <w:tcPr>
            <w:tcW w:w="833" w:type="pct"/>
            <w:vAlign w:val="center"/>
            <w:hideMark/>
          </w:tcPr>
          <w:p w:rsidR="00D774EB" w:rsidRPr="00B148B1" w:rsidRDefault="00D774EB" w:rsidP="003A32BD">
            <w:pPr>
              <w:spacing w:line="240" w:lineRule="auto"/>
              <w:jc w:val="center"/>
              <w:rPr>
                <w:rFonts w:cs="Arial"/>
                <w:color w:val="000000"/>
                <w:szCs w:val="20"/>
              </w:rPr>
            </w:pPr>
            <w:r w:rsidRPr="00B148B1">
              <w:rPr>
                <w:rFonts w:cs="Arial"/>
                <w:color w:val="000000"/>
                <w:szCs w:val="20"/>
              </w:rPr>
              <w:t>0,8</w:t>
            </w:r>
          </w:p>
        </w:tc>
        <w:tc>
          <w:tcPr>
            <w:tcW w:w="833" w:type="pct"/>
            <w:vAlign w:val="center"/>
            <w:hideMark/>
          </w:tcPr>
          <w:p w:rsidR="00D774EB" w:rsidRPr="00B148B1" w:rsidRDefault="00D774EB" w:rsidP="003A32BD">
            <w:pPr>
              <w:spacing w:line="240" w:lineRule="auto"/>
              <w:jc w:val="center"/>
              <w:rPr>
                <w:rFonts w:cs="Arial"/>
                <w:color w:val="000000"/>
                <w:szCs w:val="20"/>
              </w:rPr>
            </w:pPr>
            <w:r w:rsidRPr="00B148B1">
              <w:rPr>
                <w:rFonts w:cs="Arial"/>
                <w:color w:val="000000"/>
                <w:szCs w:val="20"/>
              </w:rPr>
              <w:t>0,0</w:t>
            </w:r>
          </w:p>
        </w:tc>
        <w:tc>
          <w:tcPr>
            <w:tcW w:w="833" w:type="pct"/>
            <w:vAlign w:val="center"/>
            <w:hideMark/>
          </w:tcPr>
          <w:p w:rsidR="00D774EB" w:rsidRPr="00B148B1" w:rsidRDefault="00D774EB" w:rsidP="003A32BD">
            <w:pPr>
              <w:spacing w:line="240" w:lineRule="auto"/>
              <w:jc w:val="center"/>
              <w:rPr>
                <w:rFonts w:cs="Arial"/>
                <w:color w:val="000000"/>
                <w:szCs w:val="20"/>
              </w:rPr>
            </w:pPr>
            <w:r w:rsidRPr="00B148B1">
              <w:rPr>
                <w:rFonts w:cs="Arial"/>
                <w:color w:val="000000"/>
                <w:szCs w:val="20"/>
              </w:rPr>
              <w:t>-1,6</w:t>
            </w:r>
          </w:p>
        </w:tc>
        <w:tc>
          <w:tcPr>
            <w:tcW w:w="833" w:type="pct"/>
            <w:vAlign w:val="center"/>
            <w:hideMark/>
          </w:tcPr>
          <w:p w:rsidR="00D774EB" w:rsidRPr="00B148B1" w:rsidRDefault="00D774EB" w:rsidP="003A32BD">
            <w:pPr>
              <w:spacing w:line="240" w:lineRule="auto"/>
              <w:jc w:val="center"/>
              <w:rPr>
                <w:rFonts w:cs="Arial"/>
                <w:color w:val="000000"/>
                <w:szCs w:val="20"/>
              </w:rPr>
            </w:pPr>
            <w:r w:rsidRPr="00B148B1">
              <w:rPr>
                <w:rFonts w:cs="Arial"/>
                <w:color w:val="000000"/>
                <w:szCs w:val="20"/>
              </w:rPr>
              <w:t>55,2</w:t>
            </w:r>
          </w:p>
        </w:tc>
        <w:tc>
          <w:tcPr>
            <w:tcW w:w="833" w:type="pct"/>
            <w:vAlign w:val="center"/>
            <w:hideMark/>
          </w:tcPr>
          <w:p w:rsidR="00D774EB" w:rsidRPr="00B148B1" w:rsidRDefault="00D774EB" w:rsidP="003A32BD">
            <w:pPr>
              <w:spacing w:line="240" w:lineRule="auto"/>
              <w:jc w:val="center"/>
              <w:rPr>
                <w:rFonts w:cs="Arial"/>
                <w:color w:val="000000"/>
                <w:szCs w:val="20"/>
              </w:rPr>
            </w:pPr>
            <w:r w:rsidRPr="00B148B1">
              <w:rPr>
                <w:rFonts w:cs="Arial"/>
                <w:color w:val="000000"/>
                <w:szCs w:val="20"/>
              </w:rPr>
              <w:t>54,4</w:t>
            </w:r>
          </w:p>
        </w:tc>
      </w:tr>
      <w:tr w:rsidR="00052E69" w:rsidRPr="00B148B1" w:rsidTr="00385BB8">
        <w:trPr>
          <w:trHeight w:val="340"/>
        </w:trPr>
        <w:tc>
          <w:tcPr>
            <w:tcW w:w="833" w:type="pct"/>
            <w:vAlign w:val="center"/>
          </w:tcPr>
          <w:p w:rsidR="00052E69" w:rsidRPr="00B148B1" w:rsidRDefault="00052E69" w:rsidP="003A32BD">
            <w:pPr>
              <w:spacing w:line="240" w:lineRule="auto"/>
              <w:jc w:val="center"/>
              <w:rPr>
                <w:rFonts w:cs="Arial"/>
                <w:color w:val="000000"/>
                <w:szCs w:val="20"/>
              </w:rPr>
            </w:pPr>
            <w:r w:rsidRPr="00B148B1">
              <w:rPr>
                <w:rFonts w:cs="Arial"/>
                <w:color w:val="000000"/>
                <w:szCs w:val="20"/>
              </w:rPr>
              <w:t>2018</w:t>
            </w:r>
          </w:p>
        </w:tc>
        <w:tc>
          <w:tcPr>
            <w:tcW w:w="833" w:type="pct"/>
            <w:vAlign w:val="center"/>
          </w:tcPr>
          <w:p w:rsidR="00052E69" w:rsidRPr="00B148B1" w:rsidRDefault="00052E69" w:rsidP="003A32BD">
            <w:pPr>
              <w:spacing w:line="240" w:lineRule="auto"/>
              <w:jc w:val="center"/>
              <w:rPr>
                <w:rFonts w:cs="Arial"/>
                <w:color w:val="000000"/>
                <w:szCs w:val="20"/>
              </w:rPr>
            </w:pPr>
            <w:r w:rsidRPr="00B148B1">
              <w:rPr>
                <w:rFonts w:cs="Arial"/>
                <w:color w:val="000000"/>
                <w:szCs w:val="20"/>
              </w:rPr>
              <w:t>3,7</w:t>
            </w:r>
          </w:p>
        </w:tc>
        <w:tc>
          <w:tcPr>
            <w:tcW w:w="833" w:type="pct"/>
            <w:vAlign w:val="center"/>
          </w:tcPr>
          <w:p w:rsidR="00052E69" w:rsidRPr="00B148B1" w:rsidRDefault="00052E69" w:rsidP="003A32BD">
            <w:pPr>
              <w:spacing w:line="240" w:lineRule="auto"/>
              <w:jc w:val="center"/>
              <w:rPr>
                <w:rFonts w:cs="Arial"/>
                <w:color w:val="000000"/>
                <w:szCs w:val="20"/>
              </w:rPr>
            </w:pPr>
            <w:r w:rsidRPr="00B148B1">
              <w:rPr>
                <w:rFonts w:cs="Arial"/>
                <w:color w:val="000000"/>
                <w:szCs w:val="20"/>
              </w:rPr>
              <w:t>0,0</w:t>
            </w:r>
          </w:p>
        </w:tc>
        <w:tc>
          <w:tcPr>
            <w:tcW w:w="833" w:type="pct"/>
            <w:vAlign w:val="center"/>
          </w:tcPr>
          <w:p w:rsidR="00052E69" w:rsidRPr="00B148B1" w:rsidRDefault="00052E69" w:rsidP="003A32BD">
            <w:pPr>
              <w:spacing w:line="240" w:lineRule="auto"/>
              <w:jc w:val="center"/>
              <w:rPr>
                <w:rFonts w:cs="Arial"/>
                <w:color w:val="000000"/>
                <w:szCs w:val="20"/>
              </w:rPr>
            </w:pPr>
            <w:r w:rsidRPr="00B148B1">
              <w:rPr>
                <w:rFonts w:cs="Arial"/>
                <w:color w:val="000000"/>
                <w:szCs w:val="20"/>
              </w:rPr>
              <w:t>0,0</w:t>
            </w:r>
          </w:p>
        </w:tc>
        <w:tc>
          <w:tcPr>
            <w:tcW w:w="833" w:type="pct"/>
            <w:vAlign w:val="center"/>
          </w:tcPr>
          <w:p w:rsidR="00052E69" w:rsidRPr="00B148B1" w:rsidRDefault="00052E69" w:rsidP="003A32BD">
            <w:pPr>
              <w:spacing w:line="240" w:lineRule="auto"/>
              <w:jc w:val="center"/>
              <w:rPr>
                <w:rFonts w:cs="Arial"/>
                <w:color w:val="000000"/>
                <w:szCs w:val="20"/>
              </w:rPr>
            </w:pPr>
            <w:r w:rsidRPr="00B148B1">
              <w:rPr>
                <w:rFonts w:cs="Arial"/>
                <w:color w:val="000000"/>
                <w:szCs w:val="20"/>
              </w:rPr>
              <w:t>62,3</w:t>
            </w:r>
          </w:p>
        </w:tc>
        <w:tc>
          <w:tcPr>
            <w:tcW w:w="833" w:type="pct"/>
            <w:vAlign w:val="center"/>
          </w:tcPr>
          <w:p w:rsidR="00052E69" w:rsidRPr="00B148B1" w:rsidRDefault="00052E69" w:rsidP="003A32BD">
            <w:pPr>
              <w:spacing w:line="240" w:lineRule="auto"/>
              <w:jc w:val="center"/>
              <w:rPr>
                <w:rFonts w:cs="Arial"/>
                <w:color w:val="000000"/>
                <w:szCs w:val="20"/>
              </w:rPr>
            </w:pPr>
            <w:r w:rsidRPr="00B148B1">
              <w:rPr>
                <w:rFonts w:cs="Arial"/>
                <w:color w:val="000000"/>
                <w:szCs w:val="20"/>
              </w:rPr>
              <w:t>66,0</w:t>
            </w:r>
          </w:p>
        </w:tc>
      </w:tr>
      <w:tr w:rsidR="00052E69" w:rsidRPr="00B148B1" w:rsidTr="00385BB8">
        <w:trPr>
          <w:trHeight w:val="340"/>
        </w:trPr>
        <w:tc>
          <w:tcPr>
            <w:tcW w:w="833" w:type="pct"/>
            <w:vAlign w:val="center"/>
          </w:tcPr>
          <w:p w:rsidR="00052E69" w:rsidRPr="00B148B1" w:rsidRDefault="00052E69" w:rsidP="003A32BD">
            <w:pPr>
              <w:spacing w:line="240" w:lineRule="auto"/>
              <w:jc w:val="center"/>
              <w:rPr>
                <w:rFonts w:cs="Arial"/>
                <w:color w:val="000000"/>
                <w:szCs w:val="20"/>
              </w:rPr>
            </w:pPr>
            <w:r w:rsidRPr="00B148B1">
              <w:rPr>
                <w:rFonts w:cs="Arial"/>
                <w:color w:val="000000"/>
                <w:szCs w:val="20"/>
              </w:rPr>
              <w:t>2019</w:t>
            </w:r>
          </w:p>
        </w:tc>
        <w:tc>
          <w:tcPr>
            <w:tcW w:w="833" w:type="pct"/>
            <w:vAlign w:val="center"/>
          </w:tcPr>
          <w:p w:rsidR="00052E69" w:rsidRPr="00B148B1" w:rsidRDefault="00052E69" w:rsidP="003A32BD">
            <w:pPr>
              <w:spacing w:line="240" w:lineRule="auto"/>
              <w:jc w:val="center"/>
              <w:rPr>
                <w:rFonts w:cs="Arial"/>
                <w:color w:val="000000"/>
                <w:szCs w:val="20"/>
              </w:rPr>
            </w:pPr>
            <w:r w:rsidRPr="00B148B1">
              <w:rPr>
                <w:rFonts w:cs="Arial"/>
                <w:color w:val="000000"/>
                <w:szCs w:val="20"/>
              </w:rPr>
              <w:t>0,1</w:t>
            </w:r>
          </w:p>
        </w:tc>
        <w:tc>
          <w:tcPr>
            <w:tcW w:w="833" w:type="pct"/>
            <w:vAlign w:val="center"/>
          </w:tcPr>
          <w:p w:rsidR="00052E69" w:rsidRPr="00B148B1" w:rsidRDefault="00052E69" w:rsidP="003A32BD">
            <w:pPr>
              <w:spacing w:line="240" w:lineRule="auto"/>
              <w:jc w:val="center"/>
              <w:rPr>
                <w:rFonts w:cs="Arial"/>
                <w:color w:val="000000"/>
                <w:szCs w:val="20"/>
              </w:rPr>
            </w:pPr>
            <w:r w:rsidRPr="00B148B1">
              <w:rPr>
                <w:rFonts w:cs="Arial"/>
                <w:color w:val="000000"/>
                <w:szCs w:val="20"/>
              </w:rPr>
              <w:t>0,0</w:t>
            </w:r>
          </w:p>
        </w:tc>
        <w:tc>
          <w:tcPr>
            <w:tcW w:w="833" w:type="pct"/>
            <w:vAlign w:val="center"/>
          </w:tcPr>
          <w:p w:rsidR="00052E69" w:rsidRPr="00B148B1" w:rsidRDefault="00052E69" w:rsidP="003A32BD">
            <w:pPr>
              <w:spacing w:line="240" w:lineRule="auto"/>
              <w:jc w:val="center"/>
              <w:rPr>
                <w:rFonts w:cs="Arial"/>
                <w:color w:val="000000"/>
                <w:szCs w:val="20"/>
              </w:rPr>
            </w:pPr>
            <w:r w:rsidRPr="00B148B1">
              <w:rPr>
                <w:rFonts w:cs="Arial"/>
                <w:color w:val="000000"/>
                <w:szCs w:val="20"/>
              </w:rPr>
              <w:t>0,0</w:t>
            </w:r>
          </w:p>
        </w:tc>
        <w:tc>
          <w:tcPr>
            <w:tcW w:w="833" w:type="pct"/>
            <w:vAlign w:val="center"/>
          </w:tcPr>
          <w:p w:rsidR="00052E69" w:rsidRPr="00B148B1" w:rsidRDefault="00052E69" w:rsidP="003A32BD">
            <w:pPr>
              <w:spacing w:line="240" w:lineRule="auto"/>
              <w:jc w:val="center"/>
              <w:rPr>
                <w:rFonts w:cs="Arial"/>
                <w:color w:val="000000"/>
                <w:szCs w:val="20"/>
              </w:rPr>
            </w:pPr>
            <w:r w:rsidRPr="00B148B1">
              <w:rPr>
                <w:rFonts w:cs="Arial"/>
                <w:color w:val="000000"/>
                <w:szCs w:val="20"/>
              </w:rPr>
              <w:t>76,6</w:t>
            </w:r>
          </w:p>
        </w:tc>
        <w:tc>
          <w:tcPr>
            <w:tcW w:w="833" w:type="pct"/>
            <w:vAlign w:val="center"/>
          </w:tcPr>
          <w:p w:rsidR="00052E69" w:rsidRPr="00B148B1" w:rsidRDefault="00052E69" w:rsidP="003A32BD">
            <w:pPr>
              <w:spacing w:line="240" w:lineRule="auto"/>
              <w:jc w:val="center"/>
              <w:rPr>
                <w:rFonts w:cs="Arial"/>
                <w:color w:val="000000"/>
                <w:szCs w:val="20"/>
              </w:rPr>
            </w:pPr>
            <w:r w:rsidRPr="00B148B1">
              <w:rPr>
                <w:rFonts w:cs="Arial"/>
                <w:color w:val="000000"/>
                <w:szCs w:val="20"/>
              </w:rPr>
              <w:t>76,6</w:t>
            </w:r>
          </w:p>
        </w:tc>
      </w:tr>
      <w:tr w:rsidR="00052E69" w:rsidRPr="00B148B1" w:rsidTr="00385BB8">
        <w:trPr>
          <w:trHeight w:val="340"/>
        </w:trPr>
        <w:tc>
          <w:tcPr>
            <w:tcW w:w="833" w:type="pct"/>
            <w:vAlign w:val="center"/>
          </w:tcPr>
          <w:p w:rsidR="00052E69" w:rsidRPr="00B148B1" w:rsidRDefault="00052E69" w:rsidP="003A32BD">
            <w:pPr>
              <w:spacing w:line="240" w:lineRule="auto"/>
              <w:jc w:val="center"/>
              <w:rPr>
                <w:rFonts w:cs="Arial"/>
                <w:b/>
                <w:color w:val="000000"/>
                <w:szCs w:val="20"/>
              </w:rPr>
            </w:pPr>
            <w:r w:rsidRPr="00B148B1">
              <w:rPr>
                <w:rFonts w:cs="Arial"/>
                <w:b/>
                <w:color w:val="000000"/>
                <w:szCs w:val="20"/>
              </w:rPr>
              <w:t>SKUPAJ</w:t>
            </w:r>
          </w:p>
        </w:tc>
        <w:tc>
          <w:tcPr>
            <w:tcW w:w="833" w:type="pct"/>
            <w:vAlign w:val="center"/>
          </w:tcPr>
          <w:p w:rsidR="00052E69" w:rsidRPr="00B148B1" w:rsidRDefault="00052E69" w:rsidP="003A32BD">
            <w:pPr>
              <w:tabs>
                <w:tab w:val="left" w:pos="851"/>
                <w:tab w:val="left" w:pos="1418"/>
                <w:tab w:val="left" w:pos="9600"/>
              </w:tabs>
              <w:spacing w:line="240" w:lineRule="auto"/>
              <w:jc w:val="center"/>
              <w:rPr>
                <w:rFonts w:cs="Arial"/>
                <w:b/>
                <w:szCs w:val="20"/>
              </w:rPr>
            </w:pPr>
            <w:r w:rsidRPr="00B148B1">
              <w:rPr>
                <w:rFonts w:cs="Arial"/>
                <w:b/>
                <w:szCs w:val="20"/>
              </w:rPr>
              <w:t>407,1</w:t>
            </w:r>
          </w:p>
        </w:tc>
        <w:tc>
          <w:tcPr>
            <w:tcW w:w="833" w:type="pct"/>
            <w:vAlign w:val="center"/>
          </w:tcPr>
          <w:p w:rsidR="00052E69" w:rsidRPr="00B148B1" w:rsidRDefault="00052E69" w:rsidP="003A32BD">
            <w:pPr>
              <w:spacing w:line="240" w:lineRule="auto"/>
              <w:jc w:val="center"/>
              <w:rPr>
                <w:rFonts w:cs="Arial"/>
                <w:b/>
                <w:color w:val="000000"/>
                <w:szCs w:val="20"/>
              </w:rPr>
            </w:pPr>
            <w:r w:rsidRPr="00B148B1">
              <w:rPr>
                <w:rFonts w:cs="Arial"/>
                <w:b/>
                <w:color w:val="000000"/>
                <w:szCs w:val="20"/>
              </w:rPr>
              <w:t>24,6</w:t>
            </w:r>
          </w:p>
        </w:tc>
        <w:tc>
          <w:tcPr>
            <w:tcW w:w="833" w:type="pct"/>
            <w:vAlign w:val="center"/>
          </w:tcPr>
          <w:p w:rsidR="00052E69" w:rsidRPr="00B148B1" w:rsidRDefault="00052E69" w:rsidP="003A32BD">
            <w:pPr>
              <w:spacing w:line="240" w:lineRule="auto"/>
              <w:jc w:val="center"/>
              <w:rPr>
                <w:rFonts w:cs="Arial"/>
                <w:b/>
                <w:color w:val="000000"/>
                <w:szCs w:val="20"/>
              </w:rPr>
            </w:pPr>
            <w:r w:rsidRPr="00B148B1">
              <w:rPr>
                <w:rFonts w:cs="Arial"/>
                <w:b/>
                <w:color w:val="000000"/>
                <w:szCs w:val="20"/>
              </w:rPr>
              <w:t>166,4</w:t>
            </w:r>
          </w:p>
        </w:tc>
        <w:tc>
          <w:tcPr>
            <w:tcW w:w="833" w:type="pct"/>
            <w:vAlign w:val="center"/>
          </w:tcPr>
          <w:p w:rsidR="00052E69" w:rsidRPr="00B148B1" w:rsidRDefault="008B512A" w:rsidP="003A32BD">
            <w:pPr>
              <w:spacing w:line="240" w:lineRule="auto"/>
              <w:jc w:val="center"/>
              <w:rPr>
                <w:rFonts w:cs="Arial"/>
                <w:b/>
                <w:color w:val="000000"/>
                <w:szCs w:val="20"/>
              </w:rPr>
            </w:pPr>
            <w:r w:rsidRPr="00B148B1">
              <w:rPr>
                <w:rFonts w:cs="Arial"/>
                <w:b/>
                <w:color w:val="000000"/>
                <w:szCs w:val="20"/>
              </w:rPr>
              <w:t>886,1</w:t>
            </w:r>
          </w:p>
        </w:tc>
        <w:tc>
          <w:tcPr>
            <w:tcW w:w="833" w:type="pct"/>
            <w:vAlign w:val="center"/>
          </w:tcPr>
          <w:p w:rsidR="00052E69" w:rsidRPr="00B148B1" w:rsidRDefault="00052E69" w:rsidP="003A32BD">
            <w:pPr>
              <w:spacing w:line="240" w:lineRule="auto"/>
              <w:jc w:val="center"/>
              <w:rPr>
                <w:rFonts w:cs="Arial"/>
                <w:b/>
                <w:color w:val="000000"/>
                <w:szCs w:val="20"/>
              </w:rPr>
            </w:pPr>
            <w:r w:rsidRPr="00B148B1">
              <w:rPr>
                <w:rFonts w:cs="Arial"/>
                <w:b/>
                <w:color w:val="000000"/>
                <w:szCs w:val="20"/>
              </w:rPr>
              <w:t>1.484,1</w:t>
            </w:r>
          </w:p>
        </w:tc>
      </w:tr>
    </w:tbl>
    <w:p w:rsidR="00D774EB" w:rsidRPr="00B148B1" w:rsidRDefault="00F55CC0" w:rsidP="00385BB8">
      <w:pPr>
        <w:tabs>
          <w:tab w:val="left" w:leader="dot" w:pos="993"/>
          <w:tab w:val="left" w:pos="9600"/>
        </w:tabs>
        <w:spacing w:before="120" w:line="280" w:lineRule="atLeast"/>
        <w:ind w:left="993" w:hanging="993"/>
        <w:rPr>
          <w:rFonts w:cs="Arial"/>
          <w:sz w:val="18"/>
          <w:szCs w:val="18"/>
        </w:rPr>
      </w:pPr>
      <w:r w:rsidRPr="00B148B1">
        <w:rPr>
          <w:rFonts w:cs="Arial"/>
          <w:sz w:val="18"/>
          <w:szCs w:val="18"/>
        </w:rPr>
        <w:t>KS</w:t>
      </w:r>
      <w:r w:rsidR="00A8419F" w:rsidRPr="00B148B1">
        <w:rPr>
          <w:rFonts w:cs="Arial"/>
          <w:sz w:val="18"/>
          <w:szCs w:val="18"/>
        </w:rPr>
        <w:t xml:space="preserve"> </w:t>
      </w:r>
      <w:r w:rsidR="00A8419F" w:rsidRPr="00B148B1">
        <w:rPr>
          <w:rFonts w:cs="Arial"/>
          <w:color w:val="202122"/>
          <w:sz w:val="18"/>
          <w:szCs w:val="18"/>
          <w:shd w:val="clear" w:color="auto" w:fill="FFFFFF"/>
        </w:rPr>
        <w:t xml:space="preserve">– </w:t>
      </w:r>
      <w:r w:rsidRPr="00B148B1">
        <w:rPr>
          <w:rFonts w:cs="Arial"/>
          <w:sz w:val="18"/>
          <w:szCs w:val="18"/>
        </w:rPr>
        <w:t>K</w:t>
      </w:r>
      <w:r w:rsidR="00D774EB" w:rsidRPr="00B148B1">
        <w:rPr>
          <w:rFonts w:cs="Arial"/>
          <w:sz w:val="18"/>
          <w:szCs w:val="18"/>
        </w:rPr>
        <w:t>ohezijski sklad;</w:t>
      </w:r>
    </w:p>
    <w:p w:rsidR="00D774EB" w:rsidRPr="00B148B1" w:rsidRDefault="00F55CC0" w:rsidP="00385BB8">
      <w:pPr>
        <w:tabs>
          <w:tab w:val="left" w:leader="dot" w:pos="993"/>
          <w:tab w:val="left" w:pos="9600"/>
        </w:tabs>
        <w:spacing w:before="120" w:line="280" w:lineRule="atLeast"/>
        <w:ind w:left="993" w:hanging="993"/>
        <w:rPr>
          <w:rFonts w:cs="Arial"/>
          <w:sz w:val="18"/>
          <w:szCs w:val="18"/>
        </w:rPr>
      </w:pPr>
      <w:r w:rsidRPr="00B148B1">
        <w:rPr>
          <w:rFonts w:cs="Arial"/>
          <w:sz w:val="18"/>
          <w:szCs w:val="18"/>
        </w:rPr>
        <w:t>ESRR</w:t>
      </w:r>
      <w:r w:rsidR="00A8419F" w:rsidRPr="00B148B1">
        <w:rPr>
          <w:rFonts w:cs="Arial"/>
          <w:sz w:val="18"/>
          <w:szCs w:val="18"/>
        </w:rPr>
        <w:t xml:space="preserve"> </w:t>
      </w:r>
      <w:r w:rsidR="00A8419F" w:rsidRPr="00B148B1">
        <w:rPr>
          <w:rFonts w:cs="Arial"/>
          <w:color w:val="202122"/>
          <w:sz w:val="18"/>
          <w:szCs w:val="18"/>
          <w:shd w:val="clear" w:color="auto" w:fill="FFFFFF"/>
        </w:rPr>
        <w:t xml:space="preserve">– </w:t>
      </w:r>
      <w:r w:rsidRPr="00B148B1">
        <w:rPr>
          <w:rFonts w:cs="Arial"/>
          <w:sz w:val="18"/>
          <w:szCs w:val="18"/>
        </w:rPr>
        <w:t>E</w:t>
      </w:r>
      <w:r w:rsidR="00D774EB" w:rsidRPr="00B148B1">
        <w:rPr>
          <w:rFonts w:cs="Arial"/>
          <w:sz w:val="18"/>
          <w:szCs w:val="18"/>
        </w:rPr>
        <w:t>vropski sklad za regionalni razvoj;</w:t>
      </w:r>
    </w:p>
    <w:p w:rsidR="00D774EB" w:rsidRPr="00B148B1" w:rsidRDefault="00D774EB" w:rsidP="00385BB8">
      <w:pPr>
        <w:tabs>
          <w:tab w:val="left" w:leader="dot" w:pos="993"/>
          <w:tab w:val="left" w:pos="9600"/>
        </w:tabs>
        <w:spacing w:before="120" w:line="280" w:lineRule="atLeast"/>
        <w:ind w:left="993" w:hanging="993"/>
        <w:rPr>
          <w:rFonts w:cs="Arial"/>
          <w:sz w:val="18"/>
          <w:szCs w:val="18"/>
        </w:rPr>
      </w:pPr>
      <w:r w:rsidRPr="00B148B1">
        <w:rPr>
          <w:rFonts w:cs="Arial"/>
          <w:sz w:val="18"/>
          <w:szCs w:val="18"/>
        </w:rPr>
        <w:t>ISPA</w:t>
      </w:r>
      <w:r w:rsidR="00A8419F" w:rsidRPr="00B148B1">
        <w:rPr>
          <w:rFonts w:cs="Arial"/>
          <w:sz w:val="18"/>
          <w:szCs w:val="18"/>
        </w:rPr>
        <w:t xml:space="preserve"> </w:t>
      </w:r>
      <w:r w:rsidR="00A8419F" w:rsidRPr="00B148B1">
        <w:rPr>
          <w:rFonts w:cs="Arial"/>
          <w:color w:val="202122"/>
          <w:sz w:val="18"/>
          <w:szCs w:val="18"/>
          <w:shd w:val="clear" w:color="auto" w:fill="FFFFFF"/>
        </w:rPr>
        <w:t xml:space="preserve">– </w:t>
      </w:r>
      <w:r w:rsidRPr="00B148B1">
        <w:rPr>
          <w:rFonts w:cs="Arial"/>
          <w:sz w:val="18"/>
          <w:szCs w:val="18"/>
        </w:rPr>
        <w:t xml:space="preserve">instrument strukturnih politik v predpristopnem obdobju (do 1. maja 2004). </w:t>
      </w:r>
    </w:p>
    <w:p w:rsidR="008D3063" w:rsidRPr="00B148B1" w:rsidRDefault="008D3063" w:rsidP="008D3063">
      <w:pPr>
        <w:tabs>
          <w:tab w:val="left" w:pos="851"/>
          <w:tab w:val="left" w:pos="1134"/>
          <w:tab w:val="left" w:pos="9600"/>
        </w:tabs>
        <w:spacing w:before="120" w:line="280" w:lineRule="atLeast"/>
        <w:rPr>
          <w:rFonts w:cs="Arial"/>
          <w:szCs w:val="20"/>
        </w:rPr>
      </w:pPr>
      <w:bookmarkStart w:id="70" w:name="_Ref446336231"/>
      <w:r w:rsidRPr="00B148B1">
        <w:rPr>
          <w:rFonts w:cs="Arial"/>
          <w:szCs w:val="20"/>
        </w:rPr>
        <w:t>Investicijski izdatki za odvajanje in čiščenje komunalne odpadne vode v obdobju od leta 2007 do leta 2019 so po posameznih letih grafično prikazani v sliki (</w:t>
      </w:r>
      <w:r w:rsidRPr="00B148B1">
        <w:rPr>
          <w:rFonts w:cs="Arial"/>
          <w:szCs w:val="20"/>
        </w:rPr>
        <w:fldChar w:fldCharType="begin"/>
      </w:r>
      <w:r w:rsidRPr="00B148B1">
        <w:rPr>
          <w:rFonts w:cs="Arial"/>
          <w:szCs w:val="20"/>
        </w:rPr>
        <w:instrText xml:space="preserve"> REF _Ref45092382 \h  \* MERGEFORMAT </w:instrText>
      </w:r>
      <w:r w:rsidRPr="00B148B1">
        <w:rPr>
          <w:rFonts w:cs="Arial"/>
          <w:szCs w:val="20"/>
        </w:rPr>
      </w:r>
      <w:r w:rsidRPr="00B148B1">
        <w:rPr>
          <w:rFonts w:cs="Arial"/>
          <w:szCs w:val="20"/>
        </w:rPr>
        <w:fldChar w:fldCharType="separate"/>
      </w:r>
      <w:r w:rsidR="00E92793" w:rsidRPr="00E92793">
        <w:rPr>
          <w:rFonts w:cs="Arial"/>
        </w:rPr>
        <w:t xml:space="preserve">Grafikon </w:t>
      </w:r>
      <w:r w:rsidR="00E92793" w:rsidRPr="00E92793">
        <w:rPr>
          <w:rFonts w:cs="Arial"/>
          <w:noProof/>
        </w:rPr>
        <w:t>1</w:t>
      </w:r>
      <w:r w:rsidRPr="00B148B1">
        <w:rPr>
          <w:rFonts w:cs="Arial"/>
          <w:szCs w:val="20"/>
        </w:rPr>
        <w:fldChar w:fldCharType="end"/>
      </w:r>
      <w:r w:rsidRPr="00B148B1">
        <w:rPr>
          <w:rFonts w:cs="Arial"/>
          <w:szCs w:val="20"/>
        </w:rPr>
        <w:t>). Podatki kažejo, da so investicijski izdatki v obdobju</w:t>
      </w:r>
      <w:r w:rsidR="00BC44D5">
        <w:rPr>
          <w:rFonts w:cs="Arial"/>
          <w:szCs w:val="20"/>
        </w:rPr>
        <w:t>,</w:t>
      </w:r>
      <w:r w:rsidRPr="00B148B1">
        <w:rPr>
          <w:rFonts w:cs="Arial"/>
          <w:szCs w:val="20"/>
        </w:rPr>
        <w:t xml:space="preserve"> za katerega je bila podana okvirna finančna struktura za izvedbo predhodnega operativnega programa</w:t>
      </w:r>
      <w:r w:rsidR="002A0EFC">
        <w:rPr>
          <w:rFonts w:cs="Arial"/>
          <w:szCs w:val="20"/>
        </w:rPr>
        <w:t>,</w:t>
      </w:r>
      <w:r w:rsidRPr="00B148B1">
        <w:rPr>
          <w:rFonts w:cs="Arial"/>
          <w:szCs w:val="20"/>
        </w:rPr>
        <w:t xml:space="preserve"> to je od leta 2009 do leta 2017, znašali 1.166 milijonov evrov, kar je približno 5</w:t>
      </w:r>
      <w:r w:rsidR="00623613">
        <w:rPr>
          <w:rFonts w:cs="Arial"/>
          <w:szCs w:val="20"/>
        </w:rPr>
        <w:t>0</w:t>
      </w:r>
      <w:r w:rsidRPr="00B148B1">
        <w:rPr>
          <w:rFonts w:cs="Arial"/>
          <w:szCs w:val="20"/>
        </w:rPr>
        <w:t xml:space="preserve"> odstotkov glede na oceno potrebnih finančnih sredstev za izvedbo ukrepov, ki je bila podana v predhodnem operativnem programu. Iz grafikona je razvidno, da se je obseg investicij v letih povečeval, pri čemer se bistveno povečanje obsega investicij izkazuje v letih 2009, 2014 in 2015. Največji delež sredstev izhaja iz proračunov občin, od leta 2009 dalje se izkazuje stalno naraščanje deleža sredstev evropskih skladov (KS in ESRR), ki pa se po letu 2015 znižujejo, kar povezujemo predvsem z iztekom finančnega obdobja 2007–2013. </w:t>
      </w:r>
    </w:p>
    <w:p w:rsidR="00C24B89" w:rsidRPr="00B148B1" w:rsidRDefault="004075C3" w:rsidP="00385BB8">
      <w:pPr>
        <w:keepNext/>
        <w:tabs>
          <w:tab w:val="left" w:pos="851"/>
          <w:tab w:val="left" w:pos="1134"/>
          <w:tab w:val="left" w:pos="9600"/>
        </w:tabs>
        <w:spacing w:before="120" w:line="280" w:lineRule="atLeast"/>
        <w:rPr>
          <w:rFonts w:cs="Arial"/>
          <w:szCs w:val="20"/>
        </w:rPr>
      </w:pPr>
      <w:r w:rsidRPr="00B148B1">
        <w:rPr>
          <w:noProof/>
          <w:lang w:eastAsia="sl-SI"/>
        </w:rPr>
        <w:lastRenderedPageBreak/>
        <w:drawing>
          <wp:inline distT="0" distB="0" distL="0" distR="0" wp14:anchorId="6ECF6780" wp14:editId="25C29476">
            <wp:extent cx="5667555" cy="3243532"/>
            <wp:effectExtent l="0" t="0" r="0" b="0"/>
            <wp:docPr id="4" name="Grafikon 4" descr="Investicijski izdatki za odvajanje in čiščenje komunalne odpadne vode po posameznih letih v obdobju od 2007 do 2019 (v mio EUR)" title="Investicijski izdatki za odvajanje in čiščenje komunalne odpadne vode po posameznih letih v obdobju od 2007 do 2019 (v mio EU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535D3" w:rsidRPr="00B148B1" w:rsidRDefault="008C3B82" w:rsidP="00385BB8">
      <w:pPr>
        <w:pStyle w:val="Napis"/>
        <w:rPr>
          <w:rFonts w:cs="Arial"/>
          <w:lang w:val="sl-SI"/>
        </w:rPr>
      </w:pPr>
      <w:bookmarkStart w:id="71" w:name="_Ref45092382"/>
      <w:bookmarkStart w:id="72" w:name="_Toc50627608"/>
      <w:bookmarkEnd w:id="70"/>
      <w:r w:rsidRPr="00B148B1">
        <w:rPr>
          <w:rFonts w:ascii="Arial" w:hAnsi="Arial" w:cs="Arial"/>
          <w:b w:val="0"/>
          <w:lang w:val="sl-SI"/>
        </w:rPr>
        <w:t xml:space="preserve">Grafikon </w:t>
      </w:r>
      <w:r w:rsidRPr="00B148B1">
        <w:rPr>
          <w:rFonts w:ascii="Arial" w:hAnsi="Arial" w:cs="Arial"/>
          <w:b w:val="0"/>
          <w:lang w:val="sl-SI"/>
        </w:rPr>
        <w:fldChar w:fldCharType="begin"/>
      </w:r>
      <w:r w:rsidRPr="00B148B1">
        <w:rPr>
          <w:rFonts w:ascii="Arial" w:hAnsi="Arial" w:cs="Arial"/>
          <w:b w:val="0"/>
          <w:lang w:val="sl-SI"/>
        </w:rPr>
        <w:instrText xml:space="preserve"> SEQ Grafikon \* ARABIC </w:instrText>
      </w:r>
      <w:r w:rsidRPr="00B148B1">
        <w:rPr>
          <w:rFonts w:ascii="Arial" w:hAnsi="Arial" w:cs="Arial"/>
          <w:b w:val="0"/>
          <w:lang w:val="sl-SI"/>
        </w:rPr>
        <w:fldChar w:fldCharType="separate"/>
      </w:r>
      <w:r w:rsidR="00E92793">
        <w:rPr>
          <w:rFonts w:ascii="Arial" w:hAnsi="Arial" w:cs="Arial"/>
          <w:b w:val="0"/>
          <w:noProof/>
          <w:lang w:val="sl-SI"/>
        </w:rPr>
        <w:t>1</w:t>
      </w:r>
      <w:r w:rsidRPr="00B148B1">
        <w:rPr>
          <w:rFonts w:ascii="Arial" w:hAnsi="Arial" w:cs="Arial"/>
          <w:b w:val="0"/>
          <w:lang w:val="sl-SI"/>
        </w:rPr>
        <w:fldChar w:fldCharType="end"/>
      </w:r>
      <w:bookmarkEnd w:id="71"/>
      <w:r w:rsidR="005535D3" w:rsidRPr="00B148B1">
        <w:rPr>
          <w:rFonts w:ascii="Arial" w:hAnsi="Arial" w:cs="Arial"/>
          <w:b w:val="0"/>
          <w:lang w:val="sl-SI"/>
        </w:rPr>
        <w:t>: Investicijski izdatki za odvajanje in čiščenje komunalne odpadne vode po posameznih letih v obdobju od 2007 do 201</w:t>
      </w:r>
      <w:r w:rsidR="00EA4DDC" w:rsidRPr="00B148B1">
        <w:rPr>
          <w:rFonts w:ascii="Arial" w:hAnsi="Arial" w:cs="Arial"/>
          <w:b w:val="0"/>
          <w:lang w:val="sl-SI"/>
        </w:rPr>
        <w:t>9</w:t>
      </w:r>
      <w:r w:rsidR="005535D3" w:rsidRPr="00B148B1">
        <w:rPr>
          <w:rFonts w:ascii="Arial" w:hAnsi="Arial" w:cs="Arial"/>
          <w:b w:val="0"/>
          <w:lang w:val="sl-SI"/>
        </w:rPr>
        <w:t xml:space="preserve"> (v mio EUR)</w:t>
      </w:r>
      <w:bookmarkEnd w:id="72"/>
    </w:p>
    <w:p w:rsidR="00F55CC0" w:rsidRPr="00B148B1" w:rsidRDefault="00F55CC0" w:rsidP="00385BB8">
      <w:pPr>
        <w:tabs>
          <w:tab w:val="left" w:leader="dot" w:pos="993"/>
          <w:tab w:val="left" w:pos="9600"/>
        </w:tabs>
        <w:spacing w:before="120" w:line="280" w:lineRule="atLeast"/>
        <w:ind w:left="993" w:hanging="993"/>
        <w:rPr>
          <w:rFonts w:cs="Arial"/>
          <w:sz w:val="18"/>
          <w:szCs w:val="18"/>
        </w:rPr>
      </w:pPr>
      <w:r w:rsidRPr="00B148B1">
        <w:rPr>
          <w:rFonts w:cs="Arial"/>
          <w:sz w:val="18"/>
          <w:szCs w:val="18"/>
        </w:rPr>
        <w:t>KS</w:t>
      </w:r>
      <w:r w:rsidR="00E22BD8" w:rsidRPr="00B148B1">
        <w:rPr>
          <w:rFonts w:cs="Arial"/>
          <w:sz w:val="18"/>
          <w:szCs w:val="18"/>
        </w:rPr>
        <w:t xml:space="preserve"> </w:t>
      </w:r>
      <w:r w:rsidR="00E22BD8" w:rsidRPr="00B148B1">
        <w:rPr>
          <w:rFonts w:cs="Arial"/>
          <w:color w:val="202122"/>
          <w:sz w:val="18"/>
          <w:szCs w:val="18"/>
          <w:shd w:val="clear" w:color="auto" w:fill="FFFFFF"/>
        </w:rPr>
        <w:t xml:space="preserve">– </w:t>
      </w:r>
      <w:r w:rsidRPr="00B148B1">
        <w:rPr>
          <w:rFonts w:cs="Arial"/>
          <w:sz w:val="18"/>
          <w:szCs w:val="18"/>
        </w:rPr>
        <w:t>Kohezijski sklad;</w:t>
      </w:r>
    </w:p>
    <w:p w:rsidR="00D774EB" w:rsidRPr="00B148B1" w:rsidRDefault="00D774EB" w:rsidP="00385BB8">
      <w:pPr>
        <w:tabs>
          <w:tab w:val="left" w:leader="dot" w:pos="993"/>
          <w:tab w:val="left" w:pos="9600"/>
        </w:tabs>
        <w:spacing w:before="120" w:line="280" w:lineRule="atLeast"/>
        <w:ind w:left="993" w:hanging="993"/>
        <w:rPr>
          <w:rFonts w:cs="Arial"/>
          <w:sz w:val="18"/>
          <w:szCs w:val="18"/>
        </w:rPr>
      </w:pPr>
      <w:r w:rsidRPr="00B148B1">
        <w:rPr>
          <w:rFonts w:cs="Arial"/>
          <w:sz w:val="18"/>
          <w:szCs w:val="18"/>
        </w:rPr>
        <w:t>ESRR</w:t>
      </w:r>
      <w:r w:rsidR="00E22BD8" w:rsidRPr="00B148B1">
        <w:rPr>
          <w:rFonts w:cs="Arial"/>
          <w:sz w:val="18"/>
          <w:szCs w:val="18"/>
        </w:rPr>
        <w:t xml:space="preserve"> </w:t>
      </w:r>
      <w:r w:rsidR="00E22BD8" w:rsidRPr="00B148B1">
        <w:rPr>
          <w:rFonts w:cs="Arial"/>
          <w:color w:val="202122"/>
          <w:sz w:val="18"/>
          <w:szCs w:val="18"/>
          <w:shd w:val="clear" w:color="auto" w:fill="FFFFFF"/>
        </w:rPr>
        <w:t xml:space="preserve">– </w:t>
      </w:r>
      <w:r w:rsidR="00F97A70" w:rsidRPr="00B148B1">
        <w:rPr>
          <w:rFonts w:cs="Arial"/>
          <w:sz w:val="18"/>
          <w:szCs w:val="18"/>
        </w:rPr>
        <w:t>E</w:t>
      </w:r>
      <w:r w:rsidRPr="00B148B1">
        <w:rPr>
          <w:rFonts w:cs="Arial"/>
          <w:sz w:val="18"/>
          <w:szCs w:val="18"/>
        </w:rPr>
        <w:t>vropski sklad za regionalni razvoj;</w:t>
      </w:r>
    </w:p>
    <w:p w:rsidR="00102056" w:rsidRPr="00B148B1" w:rsidRDefault="00D774EB" w:rsidP="00385BB8">
      <w:pPr>
        <w:tabs>
          <w:tab w:val="left" w:leader="dot" w:pos="993"/>
          <w:tab w:val="left" w:pos="9600"/>
        </w:tabs>
        <w:spacing w:before="120" w:line="280" w:lineRule="atLeast"/>
        <w:ind w:left="993" w:hanging="993"/>
        <w:rPr>
          <w:rFonts w:cs="Arial"/>
          <w:sz w:val="18"/>
          <w:szCs w:val="18"/>
        </w:rPr>
      </w:pPr>
      <w:r w:rsidRPr="00B148B1">
        <w:rPr>
          <w:rFonts w:cs="Arial"/>
          <w:sz w:val="18"/>
          <w:szCs w:val="18"/>
        </w:rPr>
        <w:t>ISPA</w:t>
      </w:r>
      <w:r w:rsidR="00E22BD8" w:rsidRPr="00B148B1">
        <w:rPr>
          <w:rFonts w:cs="Arial"/>
          <w:sz w:val="18"/>
          <w:szCs w:val="18"/>
        </w:rPr>
        <w:t xml:space="preserve"> </w:t>
      </w:r>
      <w:r w:rsidR="00E22BD8" w:rsidRPr="00B148B1">
        <w:rPr>
          <w:rFonts w:cs="Arial"/>
          <w:color w:val="202122"/>
          <w:sz w:val="18"/>
          <w:szCs w:val="18"/>
          <w:shd w:val="clear" w:color="auto" w:fill="FFFFFF"/>
        </w:rPr>
        <w:t xml:space="preserve">– </w:t>
      </w:r>
      <w:r w:rsidRPr="00B148B1">
        <w:rPr>
          <w:rFonts w:cs="Arial"/>
          <w:sz w:val="18"/>
          <w:szCs w:val="18"/>
        </w:rPr>
        <w:t>instrument strukturnih po</w:t>
      </w:r>
      <w:bookmarkStart w:id="73" w:name="_Ref446339293"/>
      <w:r w:rsidR="00C24B89" w:rsidRPr="00B148B1">
        <w:rPr>
          <w:rFonts w:cs="Arial"/>
          <w:sz w:val="18"/>
          <w:szCs w:val="18"/>
        </w:rPr>
        <w:t>litik v predpristopnem obdobju.</w:t>
      </w:r>
    </w:p>
    <w:bookmarkEnd w:id="73"/>
    <w:p w:rsidR="00170220" w:rsidRPr="00B148B1" w:rsidRDefault="004075C3" w:rsidP="00385BB8">
      <w:pPr>
        <w:pStyle w:val="Napis"/>
        <w:rPr>
          <w:rFonts w:ascii="Arial" w:hAnsi="Arial" w:cs="Arial"/>
          <w:b w:val="0"/>
          <w:lang w:val="sl-SI"/>
        </w:rPr>
      </w:pPr>
      <w:r w:rsidRPr="00B148B1">
        <w:rPr>
          <w:noProof/>
          <w:lang w:val="sl-SI" w:eastAsia="sl-SI"/>
        </w:rPr>
        <w:drawing>
          <wp:inline distT="0" distB="0" distL="0" distR="0" wp14:anchorId="2C58EE65" wp14:editId="6ABE5C46">
            <wp:extent cx="5607170" cy="3036498"/>
            <wp:effectExtent l="0" t="0" r="0" b="0"/>
            <wp:docPr id="8" name="Grafikon 8" descr="Struktura finančnih virov investicijskih izdatkov za odvajanje in čiščenje komunalne odpadne vode v obdobju od 2007 do 2019" title="Struktura finančnih virov investicijskih izdatkov za odvajanje in čiščenje komunalne odpadne vode v obdobju od 2007 do 20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535D3" w:rsidRPr="00B148B1" w:rsidRDefault="008C3B82" w:rsidP="00385BB8">
      <w:pPr>
        <w:pStyle w:val="Napis"/>
        <w:rPr>
          <w:rFonts w:ascii="Arial" w:hAnsi="Arial" w:cs="Arial"/>
          <w:b w:val="0"/>
          <w:lang w:val="sl-SI"/>
        </w:rPr>
      </w:pPr>
      <w:bookmarkStart w:id="74" w:name="_Toc50627609"/>
      <w:r w:rsidRPr="00B148B1">
        <w:rPr>
          <w:rFonts w:ascii="Arial" w:hAnsi="Arial" w:cs="Arial"/>
          <w:b w:val="0"/>
          <w:lang w:val="sl-SI"/>
        </w:rPr>
        <w:t xml:space="preserve">Grafikon </w:t>
      </w:r>
      <w:r w:rsidRPr="00B148B1">
        <w:rPr>
          <w:rFonts w:ascii="Arial" w:hAnsi="Arial" w:cs="Arial"/>
          <w:b w:val="0"/>
          <w:lang w:val="sl-SI"/>
        </w:rPr>
        <w:fldChar w:fldCharType="begin"/>
      </w:r>
      <w:r w:rsidRPr="00B148B1">
        <w:rPr>
          <w:rFonts w:ascii="Arial" w:hAnsi="Arial" w:cs="Arial"/>
          <w:b w:val="0"/>
          <w:lang w:val="sl-SI"/>
        </w:rPr>
        <w:instrText xml:space="preserve"> SEQ Grafikon \* ARABIC </w:instrText>
      </w:r>
      <w:r w:rsidRPr="00B148B1">
        <w:rPr>
          <w:rFonts w:ascii="Arial" w:hAnsi="Arial" w:cs="Arial"/>
          <w:b w:val="0"/>
          <w:lang w:val="sl-SI"/>
        </w:rPr>
        <w:fldChar w:fldCharType="separate"/>
      </w:r>
      <w:r w:rsidR="00E92793">
        <w:rPr>
          <w:rFonts w:ascii="Arial" w:hAnsi="Arial" w:cs="Arial"/>
          <w:b w:val="0"/>
          <w:noProof/>
          <w:lang w:val="sl-SI"/>
        </w:rPr>
        <w:t>2</w:t>
      </w:r>
      <w:r w:rsidRPr="00B148B1">
        <w:rPr>
          <w:rFonts w:ascii="Arial" w:hAnsi="Arial" w:cs="Arial"/>
          <w:b w:val="0"/>
          <w:lang w:val="sl-SI"/>
        </w:rPr>
        <w:fldChar w:fldCharType="end"/>
      </w:r>
      <w:r w:rsidRPr="00B148B1">
        <w:rPr>
          <w:rFonts w:ascii="Arial" w:hAnsi="Arial" w:cs="Arial"/>
          <w:b w:val="0"/>
          <w:lang w:val="sl-SI"/>
        </w:rPr>
        <w:t xml:space="preserve">: </w:t>
      </w:r>
      <w:r w:rsidR="005535D3" w:rsidRPr="00B148B1">
        <w:rPr>
          <w:rFonts w:ascii="Arial" w:hAnsi="Arial" w:cs="Arial"/>
          <w:b w:val="0"/>
          <w:lang w:val="sl-SI"/>
        </w:rPr>
        <w:t xml:space="preserve">Struktura finančnih virov investicijskih izdatkov za odvajanje in čiščenje komunalne odpadne vode v obdobju </w:t>
      </w:r>
      <w:r w:rsidR="00E22BD8" w:rsidRPr="00B148B1">
        <w:rPr>
          <w:rFonts w:ascii="Arial" w:hAnsi="Arial" w:cs="Arial"/>
          <w:b w:val="0"/>
          <w:lang w:val="sl-SI"/>
        </w:rPr>
        <w:t xml:space="preserve">od </w:t>
      </w:r>
      <w:r w:rsidR="005535D3" w:rsidRPr="00B148B1">
        <w:rPr>
          <w:rFonts w:ascii="Arial" w:hAnsi="Arial" w:cs="Arial"/>
          <w:b w:val="0"/>
          <w:lang w:val="sl-SI"/>
        </w:rPr>
        <w:t xml:space="preserve">2007 </w:t>
      </w:r>
      <w:r w:rsidR="00E22BD8" w:rsidRPr="00B148B1">
        <w:rPr>
          <w:rFonts w:ascii="Arial" w:hAnsi="Arial" w:cs="Arial"/>
          <w:b w:val="0"/>
          <w:lang w:val="sl-SI"/>
        </w:rPr>
        <w:t>do</w:t>
      </w:r>
      <w:r w:rsidR="005535D3" w:rsidRPr="00B148B1">
        <w:rPr>
          <w:rFonts w:ascii="Arial" w:hAnsi="Arial" w:cs="Arial"/>
          <w:b w:val="0"/>
          <w:lang w:val="sl-SI"/>
        </w:rPr>
        <w:t xml:space="preserve"> 201</w:t>
      </w:r>
      <w:r w:rsidR="00EA4DDC" w:rsidRPr="00B148B1">
        <w:rPr>
          <w:rFonts w:ascii="Arial" w:hAnsi="Arial" w:cs="Arial"/>
          <w:b w:val="0"/>
          <w:lang w:val="sl-SI"/>
        </w:rPr>
        <w:t>9</w:t>
      </w:r>
      <w:bookmarkEnd w:id="74"/>
    </w:p>
    <w:p w:rsidR="00F55CC0" w:rsidRPr="00B148B1" w:rsidRDefault="00F55CC0" w:rsidP="00385BB8">
      <w:pPr>
        <w:tabs>
          <w:tab w:val="left" w:leader="dot" w:pos="993"/>
          <w:tab w:val="left" w:pos="9600"/>
        </w:tabs>
        <w:spacing w:before="120" w:line="280" w:lineRule="atLeast"/>
        <w:ind w:left="993" w:hanging="993"/>
        <w:rPr>
          <w:rFonts w:cs="Arial"/>
          <w:sz w:val="18"/>
          <w:szCs w:val="18"/>
        </w:rPr>
      </w:pPr>
      <w:r w:rsidRPr="00B148B1">
        <w:rPr>
          <w:rFonts w:cs="Arial"/>
          <w:sz w:val="18"/>
          <w:szCs w:val="18"/>
        </w:rPr>
        <w:t>KS</w:t>
      </w:r>
      <w:r w:rsidR="00F34487" w:rsidRPr="00B148B1">
        <w:rPr>
          <w:rFonts w:cs="Arial"/>
          <w:sz w:val="18"/>
          <w:szCs w:val="18"/>
        </w:rPr>
        <w:t xml:space="preserve"> </w:t>
      </w:r>
      <w:r w:rsidR="00F34487" w:rsidRPr="00B148B1">
        <w:rPr>
          <w:rFonts w:cs="Arial"/>
          <w:color w:val="202122"/>
          <w:sz w:val="18"/>
          <w:szCs w:val="18"/>
          <w:shd w:val="clear" w:color="auto" w:fill="FFFFFF"/>
        </w:rPr>
        <w:t xml:space="preserve">– </w:t>
      </w:r>
      <w:r w:rsidRPr="00B148B1">
        <w:rPr>
          <w:rFonts w:cs="Arial"/>
          <w:sz w:val="18"/>
          <w:szCs w:val="18"/>
        </w:rPr>
        <w:t>Kohezijski sklad;</w:t>
      </w:r>
    </w:p>
    <w:p w:rsidR="00F55CC0" w:rsidRPr="00B148B1" w:rsidRDefault="00F55CC0" w:rsidP="00385BB8">
      <w:pPr>
        <w:tabs>
          <w:tab w:val="left" w:leader="dot" w:pos="993"/>
          <w:tab w:val="left" w:pos="9600"/>
        </w:tabs>
        <w:spacing w:before="120" w:line="280" w:lineRule="atLeast"/>
        <w:ind w:left="993" w:hanging="993"/>
        <w:rPr>
          <w:rFonts w:cs="Arial"/>
          <w:sz w:val="18"/>
          <w:szCs w:val="18"/>
        </w:rPr>
      </w:pPr>
      <w:r w:rsidRPr="00B148B1">
        <w:rPr>
          <w:rFonts w:cs="Arial"/>
          <w:sz w:val="18"/>
          <w:szCs w:val="18"/>
        </w:rPr>
        <w:t>ESRR</w:t>
      </w:r>
      <w:r w:rsidR="00F34487" w:rsidRPr="00B148B1">
        <w:rPr>
          <w:rFonts w:cs="Arial"/>
          <w:sz w:val="18"/>
          <w:szCs w:val="18"/>
        </w:rPr>
        <w:t xml:space="preserve"> </w:t>
      </w:r>
      <w:r w:rsidR="00F34487" w:rsidRPr="00B148B1">
        <w:rPr>
          <w:rFonts w:cs="Arial"/>
          <w:color w:val="202122"/>
          <w:sz w:val="18"/>
          <w:szCs w:val="18"/>
          <w:shd w:val="clear" w:color="auto" w:fill="FFFFFF"/>
        </w:rPr>
        <w:t xml:space="preserve">– </w:t>
      </w:r>
      <w:r w:rsidR="00F97A70" w:rsidRPr="00B148B1">
        <w:rPr>
          <w:rFonts w:cs="Arial"/>
          <w:sz w:val="18"/>
          <w:szCs w:val="18"/>
        </w:rPr>
        <w:t>E</w:t>
      </w:r>
      <w:r w:rsidRPr="00B148B1">
        <w:rPr>
          <w:rFonts w:cs="Arial"/>
          <w:sz w:val="18"/>
          <w:szCs w:val="18"/>
        </w:rPr>
        <w:t>vropski sklad za regionalni razvoj;</w:t>
      </w:r>
    </w:p>
    <w:p w:rsidR="00F55CC0" w:rsidRPr="00B148B1" w:rsidRDefault="00F55CC0" w:rsidP="00385BB8">
      <w:pPr>
        <w:tabs>
          <w:tab w:val="left" w:leader="dot" w:pos="993"/>
          <w:tab w:val="left" w:pos="9600"/>
        </w:tabs>
        <w:spacing w:before="120" w:line="280" w:lineRule="atLeast"/>
        <w:ind w:left="993" w:hanging="993"/>
        <w:rPr>
          <w:rFonts w:cs="Arial"/>
          <w:sz w:val="18"/>
          <w:szCs w:val="18"/>
        </w:rPr>
      </w:pPr>
      <w:r w:rsidRPr="00B148B1">
        <w:rPr>
          <w:rFonts w:cs="Arial"/>
          <w:sz w:val="18"/>
          <w:szCs w:val="18"/>
        </w:rPr>
        <w:t>ISPA</w:t>
      </w:r>
      <w:r w:rsidR="00F34487" w:rsidRPr="00B148B1">
        <w:rPr>
          <w:rFonts w:cs="Arial"/>
          <w:sz w:val="18"/>
          <w:szCs w:val="18"/>
        </w:rPr>
        <w:t xml:space="preserve"> </w:t>
      </w:r>
      <w:r w:rsidR="00F34487" w:rsidRPr="00B148B1">
        <w:rPr>
          <w:rFonts w:cs="Arial"/>
          <w:color w:val="202122"/>
          <w:sz w:val="18"/>
          <w:szCs w:val="18"/>
          <w:shd w:val="clear" w:color="auto" w:fill="FFFFFF"/>
        </w:rPr>
        <w:t>–</w:t>
      </w:r>
      <w:r w:rsidR="00C5768E" w:rsidRPr="00B148B1">
        <w:rPr>
          <w:rFonts w:cs="Arial"/>
          <w:color w:val="202122"/>
          <w:sz w:val="18"/>
          <w:szCs w:val="18"/>
          <w:shd w:val="clear" w:color="auto" w:fill="FFFFFF"/>
        </w:rPr>
        <w:t xml:space="preserve"> </w:t>
      </w:r>
      <w:r w:rsidRPr="00B148B1">
        <w:rPr>
          <w:rFonts w:cs="Arial"/>
          <w:sz w:val="18"/>
          <w:szCs w:val="18"/>
        </w:rPr>
        <w:t>instrument strukturnih politik v predpristopnem obdobju.</w:t>
      </w:r>
    </w:p>
    <w:p w:rsidR="0067569A" w:rsidRDefault="0067569A" w:rsidP="00385BB8">
      <w:pPr>
        <w:tabs>
          <w:tab w:val="left" w:pos="851"/>
          <w:tab w:val="left" w:pos="1134"/>
          <w:tab w:val="left" w:pos="9600"/>
        </w:tabs>
        <w:spacing w:before="120" w:line="280" w:lineRule="atLeast"/>
        <w:rPr>
          <w:rFonts w:cs="Arial"/>
          <w:szCs w:val="20"/>
        </w:rPr>
      </w:pPr>
    </w:p>
    <w:p w:rsidR="00D774EB" w:rsidRPr="00B148B1" w:rsidRDefault="00D774EB" w:rsidP="00385BB8">
      <w:pPr>
        <w:tabs>
          <w:tab w:val="left" w:pos="851"/>
          <w:tab w:val="left" w:pos="1134"/>
          <w:tab w:val="left" w:pos="9600"/>
        </w:tabs>
        <w:spacing w:before="120" w:line="280" w:lineRule="atLeast"/>
        <w:rPr>
          <w:rFonts w:cs="Arial"/>
          <w:b/>
          <w:kern w:val="32"/>
          <w:sz w:val="28"/>
          <w:szCs w:val="32"/>
          <w:lang w:eastAsia="sl-SI"/>
        </w:rPr>
      </w:pPr>
      <w:r w:rsidRPr="00B148B1">
        <w:rPr>
          <w:rFonts w:cs="Arial"/>
          <w:szCs w:val="20"/>
        </w:rPr>
        <w:t xml:space="preserve">Kot je razvidno iz strukture finančnih virov investicijskih izdatkov za odvajanje in čiščenje komunalne odpadne vode v obdobju </w:t>
      </w:r>
      <w:r w:rsidR="0052570E" w:rsidRPr="00B148B1">
        <w:rPr>
          <w:rFonts w:cs="Arial"/>
          <w:szCs w:val="20"/>
        </w:rPr>
        <w:t xml:space="preserve">od </w:t>
      </w:r>
      <w:r w:rsidRPr="00B148B1">
        <w:rPr>
          <w:rFonts w:cs="Arial"/>
          <w:szCs w:val="20"/>
        </w:rPr>
        <w:t>2007</w:t>
      </w:r>
      <w:r w:rsidR="0052570E" w:rsidRPr="00B148B1">
        <w:rPr>
          <w:rFonts w:cs="Arial"/>
          <w:szCs w:val="20"/>
        </w:rPr>
        <w:t xml:space="preserve"> do </w:t>
      </w:r>
      <w:r w:rsidRPr="00B148B1">
        <w:rPr>
          <w:rFonts w:cs="Arial"/>
          <w:szCs w:val="20"/>
        </w:rPr>
        <w:t>201</w:t>
      </w:r>
      <w:r w:rsidR="00D43BAF" w:rsidRPr="00B148B1">
        <w:rPr>
          <w:rFonts w:cs="Arial"/>
          <w:szCs w:val="20"/>
        </w:rPr>
        <w:t>9</w:t>
      </w:r>
      <w:r w:rsidR="00EC137D" w:rsidRPr="00B148B1">
        <w:rPr>
          <w:rFonts w:cs="Arial"/>
          <w:szCs w:val="20"/>
        </w:rPr>
        <w:t>,</w:t>
      </w:r>
      <w:r w:rsidRPr="00B148B1">
        <w:rPr>
          <w:rFonts w:cs="Arial"/>
          <w:szCs w:val="20"/>
        </w:rPr>
        <w:t xml:space="preserve"> je bilo 30 odstotkov investicij financiranih iz sredstev evropskih skladov, dobrih 1</w:t>
      </w:r>
      <w:r w:rsidR="00D43BAF" w:rsidRPr="00B148B1">
        <w:rPr>
          <w:rFonts w:cs="Arial"/>
          <w:szCs w:val="20"/>
        </w:rPr>
        <w:t>1</w:t>
      </w:r>
      <w:r w:rsidRPr="00B148B1">
        <w:rPr>
          <w:rFonts w:cs="Arial"/>
          <w:szCs w:val="20"/>
        </w:rPr>
        <w:t xml:space="preserve"> odstotkov iz državnega proračuna, največji delež, </w:t>
      </w:r>
      <w:r w:rsidR="00D43BAF" w:rsidRPr="00B148B1">
        <w:rPr>
          <w:rFonts w:cs="Arial"/>
          <w:szCs w:val="20"/>
        </w:rPr>
        <w:t xml:space="preserve">slabih </w:t>
      </w:r>
      <w:r w:rsidRPr="00B148B1">
        <w:rPr>
          <w:rFonts w:cs="Arial"/>
          <w:szCs w:val="20"/>
        </w:rPr>
        <w:t>6</w:t>
      </w:r>
      <w:r w:rsidR="00D43BAF" w:rsidRPr="00B148B1">
        <w:rPr>
          <w:rFonts w:cs="Arial"/>
          <w:szCs w:val="20"/>
        </w:rPr>
        <w:t>0</w:t>
      </w:r>
      <w:r w:rsidRPr="00B148B1">
        <w:rPr>
          <w:rFonts w:cs="Arial"/>
          <w:szCs w:val="20"/>
        </w:rPr>
        <w:t xml:space="preserve"> odstotkov</w:t>
      </w:r>
      <w:r w:rsidR="00C360E4" w:rsidRPr="00B148B1">
        <w:rPr>
          <w:rFonts w:cs="Arial"/>
          <w:szCs w:val="20"/>
        </w:rPr>
        <w:t>,</w:t>
      </w:r>
      <w:r w:rsidRPr="00B148B1">
        <w:rPr>
          <w:rFonts w:cs="Arial"/>
          <w:szCs w:val="20"/>
        </w:rPr>
        <w:t xml:space="preserve"> pa iz proračunov občin.</w:t>
      </w:r>
    </w:p>
    <w:p w:rsidR="00E41AE6" w:rsidRPr="00B148B1" w:rsidRDefault="00E41AE6" w:rsidP="00E41AE6">
      <w:pPr>
        <w:pStyle w:val="Naslov2"/>
      </w:pPr>
      <w:bookmarkStart w:id="75" w:name="_Toc50628071"/>
      <w:r w:rsidRPr="00B148B1">
        <w:t>Ravnanje z blatom</w:t>
      </w:r>
      <w:bookmarkEnd w:id="75"/>
    </w:p>
    <w:p w:rsidR="00E41AE6" w:rsidRPr="00B148B1" w:rsidRDefault="00E41AE6" w:rsidP="00E41AE6">
      <w:pPr>
        <w:rPr>
          <w:rFonts w:cs="Arial"/>
          <w:szCs w:val="20"/>
        </w:rPr>
      </w:pPr>
      <w:r w:rsidRPr="00B148B1">
        <w:rPr>
          <w:rFonts w:cs="Arial"/>
          <w:szCs w:val="20"/>
        </w:rPr>
        <w:t xml:space="preserve">Blato iz komunalnih čistilnih naprav, ki niso opremljene za obdelavo blata, in blato iz obstoječih pretočnih greznic odstranjuje in prevzema izvajalec javne službe na območju, kjer se komunalna odpadna voda čisti v tej komunalni čistilni napravi oziroma obstoječi pretočni greznici. Izjemoma lahko upravljavec male komunalne čistilne naprave z zmogljivostjo, manjšo od 50 PE, ali obstoječe pretočne greznice na kmetijskem gospodarstvu blato odvzema sam in ga uporablja kot gnojilo v kmetijstvu, če je zagotovljeno izpolnjevanje zahtev Uredbe o uporabi blata iz komunalnih čistilnih naprav v kmetijstvu. </w:t>
      </w:r>
    </w:p>
    <w:p w:rsidR="00E41AE6" w:rsidRPr="00B148B1" w:rsidRDefault="00E41AE6" w:rsidP="00E41AE6">
      <w:pPr>
        <w:tabs>
          <w:tab w:val="left" w:pos="9600"/>
        </w:tabs>
        <w:spacing w:before="120" w:line="280" w:lineRule="atLeast"/>
        <w:rPr>
          <w:rFonts w:cs="Arial"/>
          <w:szCs w:val="20"/>
        </w:rPr>
      </w:pPr>
      <w:r w:rsidRPr="00B148B1">
        <w:rPr>
          <w:rFonts w:cs="Arial"/>
          <w:szCs w:val="20"/>
        </w:rPr>
        <w:t>Prevzem blata s strani izvajalca javne službe mora biti zagotovljen v časovnih presledkih, določenih glede na zmogljivost posamezne male komunalne čistilne naprave, vendar najmanj enkrat na tri leta, za prevzeto blato pa mora izvajalec javne službe zagotoviti obdelavo na območju komunalne čistilne naprave, ki je opremljena za prevzem in obdelavo blata. Če izvajalec javne službe sam ne upravlja komunalne čistilne naprave, ki je opremljena za obdelavo blata, mora zagotoviti obdelavo blata na območju druge komunalne čistilne naprave, ki je opremljena z zadostnimi zmogljivostmi za obdelavo blata. Izvajalec javne službe lahko v soglasju z občino zagotovi obdelavo blata v premični napravi za obdelavo blata, če se taka obdelava blata izvaja na območju komunalne čistine naprave, kjer nastaja blato.</w:t>
      </w:r>
    </w:p>
    <w:p w:rsidR="00E41AE6" w:rsidRPr="00B148B1" w:rsidRDefault="00E41AE6" w:rsidP="00E41AE6">
      <w:pPr>
        <w:tabs>
          <w:tab w:val="left" w:pos="9600"/>
        </w:tabs>
        <w:spacing w:before="120" w:line="280" w:lineRule="atLeast"/>
        <w:rPr>
          <w:rFonts w:cs="Arial"/>
          <w:szCs w:val="20"/>
        </w:rPr>
      </w:pPr>
      <w:r w:rsidRPr="00B148B1">
        <w:rPr>
          <w:rFonts w:cs="Arial"/>
          <w:szCs w:val="20"/>
        </w:rPr>
        <w:t xml:space="preserve">Izvajalec javne službe, ki je upravljavec komunalne čistilne naprave, opremljene za obdelavo blata, mora za blato, ki nastane pri čiščenju komunalne odpadne vode, zagotoviti obdelavo blata, s katero se doseže: </w:t>
      </w:r>
    </w:p>
    <w:p w:rsidR="00E41AE6" w:rsidRPr="00B148B1" w:rsidRDefault="00E41AE6" w:rsidP="004C2581">
      <w:pPr>
        <w:numPr>
          <w:ilvl w:val="0"/>
          <w:numId w:val="21"/>
        </w:numPr>
        <w:tabs>
          <w:tab w:val="left" w:pos="9600"/>
        </w:tabs>
        <w:spacing w:before="120" w:line="280" w:lineRule="atLeast"/>
        <w:ind w:left="357" w:hanging="357"/>
        <w:rPr>
          <w:rFonts w:cs="Arial"/>
          <w:szCs w:val="20"/>
        </w:rPr>
      </w:pPr>
      <w:r w:rsidRPr="00B148B1">
        <w:rPr>
          <w:rFonts w:cs="Arial"/>
          <w:szCs w:val="20"/>
        </w:rPr>
        <w:t xml:space="preserve">izpolnjevanje zahtev za uporabo kot gnojilo v kmetijstvu v skladu s predpisom, ki ureja uporabo blata iz komunalnih čistilnih naprav v kmetijstvu, če se obdelano blato uporablja kot gnojilo v kmetijstvu, ali </w:t>
      </w:r>
    </w:p>
    <w:p w:rsidR="00E41AE6" w:rsidRPr="00B148B1" w:rsidRDefault="00E41AE6" w:rsidP="004C2581">
      <w:pPr>
        <w:numPr>
          <w:ilvl w:val="0"/>
          <w:numId w:val="21"/>
        </w:numPr>
        <w:tabs>
          <w:tab w:val="left" w:pos="9600"/>
        </w:tabs>
        <w:spacing w:before="120" w:line="280" w:lineRule="atLeast"/>
        <w:ind w:left="357" w:hanging="357"/>
        <w:rPr>
          <w:rFonts w:cs="Arial"/>
          <w:szCs w:val="20"/>
        </w:rPr>
      </w:pPr>
      <w:r w:rsidRPr="00B148B1">
        <w:rPr>
          <w:rFonts w:cs="Arial"/>
          <w:szCs w:val="20"/>
        </w:rPr>
        <w:t>izpolnjevanje zahtev za postopke predelave ali odstranjevanja blata v skladu s predpisi, ki urejajo odpadke.</w:t>
      </w:r>
    </w:p>
    <w:p w:rsidR="00E41AE6" w:rsidRPr="00B148B1" w:rsidRDefault="00E41AE6" w:rsidP="00E41AE6">
      <w:pPr>
        <w:tabs>
          <w:tab w:val="left" w:pos="9600"/>
        </w:tabs>
        <w:spacing w:before="120" w:line="280" w:lineRule="atLeast"/>
        <w:rPr>
          <w:rFonts w:cs="Arial"/>
          <w:szCs w:val="20"/>
        </w:rPr>
      </w:pPr>
      <w:r w:rsidRPr="00B148B1">
        <w:rPr>
          <w:rFonts w:cs="Arial"/>
          <w:szCs w:val="20"/>
        </w:rPr>
        <w:t xml:space="preserve">Obdelano blato se, če je le mogoče, znova uporabi. Obdelano blato se lahko uporabi kot gnojilo v kmetijstvu, če so zagotovljene njegova obdelava in uporaba v skladu z Uredbo o predelavi biološko razgradljivih odpadkov in uporabi komposta ali </w:t>
      </w:r>
      <w:proofErr w:type="spellStart"/>
      <w:r w:rsidRPr="00B148B1">
        <w:rPr>
          <w:rFonts w:cs="Arial"/>
          <w:szCs w:val="20"/>
        </w:rPr>
        <w:t>digestata</w:t>
      </w:r>
      <w:proofErr w:type="spellEnd"/>
      <w:r w:rsidRPr="00B148B1">
        <w:rPr>
          <w:rFonts w:cs="Arial"/>
          <w:szCs w:val="20"/>
        </w:rPr>
        <w:t xml:space="preserve"> ter uporaba v skladu z Uredbo o uporabi blata iz komunalnih čistilnih naprav v kmetijstvu.</w:t>
      </w:r>
    </w:p>
    <w:p w:rsidR="00E41AE6" w:rsidRPr="00B148B1" w:rsidRDefault="00E41AE6" w:rsidP="00E41AE6">
      <w:pPr>
        <w:tabs>
          <w:tab w:val="left" w:pos="9600"/>
        </w:tabs>
        <w:spacing w:before="120" w:line="280" w:lineRule="atLeast"/>
        <w:rPr>
          <w:rFonts w:cs="Arial"/>
          <w:szCs w:val="20"/>
        </w:rPr>
      </w:pPr>
      <w:r w:rsidRPr="00B148B1">
        <w:rPr>
          <w:rFonts w:cs="Arial"/>
          <w:szCs w:val="20"/>
        </w:rPr>
        <w:t>Za obdelano blato, ki se ne uporablja kot gnojilo v kmetijstvu, mora izvajalec javne službe zagotoviti ravnanje v skladu s predpisi, ki urejajo odpadke. Če je izvajalec javne službe upravljavec komunalne čistilne naprave, ki je opremljena za obdelavo blata, mora kot povzročitelj odpadkov v načrt gospodarjenja z odpadki v skladu s predpisom, ki ureja odpadke, vključiti tudi ravnanje z blatom, ki ga prevzame iz komunalnih čistilnih naprav, ki niso opremljene za obdelavo blata, in iz obstoječih pretočnih greznic.</w:t>
      </w:r>
    </w:p>
    <w:p w:rsidR="00E41AE6" w:rsidRPr="00B148B1" w:rsidRDefault="00E41AE6" w:rsidP="00E41AE6">
      <w:pPr>
        <w:tabs>
          <w:tab w:val="left" w:pos="9600"/>
        </w:tabs>
        <w:spacing w:before="120" w:line="280" w:lineRule="atLeast"/>
        <w:rPr>
          <w:rFonts w:cs="Arial"/>
          <w:szCs w:val="20"/>
        </w:rPr>
      </w:pPr>
      <w:r w:rsidRPr="00B148B1">
        <w:rPr>
          <w:rFonts w:cs="Arial"/>
          <w:szCs w:val="20"/>
        </w:rPr>
        <w:t xml:space="preserve">Opremljanje z opremo za prevzem in obdelavo blata ureja Uredba o emisiji snovi in toplote pri odvajanju odpadnih voda v vode in javno kanalizacijo. Navedena uredba določa, da mora investitor oziroma lastnik pri načrtovanju, gradnji, rekonstrukciji ali vzdrževanju komunalne ali skupne čistilne naprave z zmogljivostjo, enako ali večjo od 10.000 PE, ki je namenjena za izvajanje javne službe, </w:t>
      </w:r>
      <w:r w:rsidRPr="00B148B1">
        <w:rPr>
          <w:rFonts w:cs="Arial"/>
          <w:szCs w:val="20"/>
        </w:rPr>
        <w:lastRenderedPageBreak/>
        <w:t>zagotoviti vgradnjo opreme za prevzem in obdelavo blata iz komunalnih čistilnih naprav, ki niso opremljene za njegov prevzem in obdelavo, ter blata iz obstoječih pretočnih greznic. Upravljavec te komunalne ali skupne čistilne naprave mora pri njenem obratovanju zagotoviti neoviran sprejem blata in njegovo obdelavo na tej komunalni ali skupni čistilni napravi.</w:t>
      </w:r>
    </w:p>
    <w:p w:rsidR="00E41AE6" w:rsidRPr="00B148B1" w:rsidRDefault="00E41AE6" w:rsidP="00E41AE6">
      <w:pPr>
        <w:tabs>
          <w:tab w:val="left" w:pos="9600"/>
        </w:tabs>
        <w:spacing w:before="120" w:line="280" w:lineRule="atLeast"/>
        <w:rPr>
          <w:rFonts w:cs="Arial"/>
          <w:szCs w:val="20"/>
        </w:rPr>
      </w:pPr>
      <w:r w:rsidRPr="00B148B1">
        <w:rPr>
          <w:rFonts w:cs="Arial"/>
          <w:szCs w:val="20"/>
        </w:rPr>
        <w:t>Na podlagi podatkov iz IJSVO na presečni datum 31. december 2018 je mogoče ugotoviti, da blato iz komunalnih čistilnih naprav, ki niso opremljene za obdelavo blata, prevzema 69 komunalnih čistilnih naprav, od tega 39 komunalnih čistilnih naprav z zmogljivostjo, enako ali večjo od 10.000 PE, za katere je opremljenost za prevzem in obdelavo blata predpisana, in tudi 33 komunalnih čistilnih naprav z zmogljivostjo, manjšo od 10.000 PE. Na predmetne KČN se je odpeljalo 2.636 ton suhe snovi blata.</w:t>
      </w:r>
    </w:p>
    <w:p w:rsidR="00E41AE6" w:rsidRPr="00B148B1" w:rsidRDefault="00E41AE6" w:rsidP="00E41AE6">
      <w:pPr>
        <w:tabs>
          <w:tab w:val="left" w:pos="9600"/>
        </w:tabs>
        <w:spacing w:before="120" w:line="280" w:lineRule="atLeast"/>
        <w:rPr>
          <w:rFonts w:cs="Arial"/>
          <w:szCs w:val="20"/>
        </w:rPr>
      </w:pPr>
      <w:r w:rsidRPr="00B148B1">
        <w:rPr>
          <w:rFonts w:cs="Arial"/>
          <w:szCs w:val="20"/>
        </w:rPr>
        <w:t>Podatki iz IJSVO na presečni datum 31. december 2018 kažejo tudi, da je bilo iz komunalnih čistilnih naprav leta 2018 odstranjenih 1.479.493 m</w:t>
      </w:r>
      <w:r w:rsidRPr="00B148B1">
        <w:rPr>
          <w:rFonts w:cs="Arial"/>
          <w:szCs w:val="20"/>
          <w:vertAlign w:val="superscript"/>
        </w:rPr>
        <w:t>3</w:t>
      </w:r>
      <w:r w:rsidRPr="00B148B1">
        <w:rPr>
          <w:rFonts w:cs="Arial"/>
          <w:szCs w:val="20"/>
        </w:rPr>
        <w:t xml:space="preserve"> obdelanega blata, pri čemer se podatek o stopnji zgoščenosti odstranjenega blata giblje od 0 do 91 %, v povprečju pa znaša 5,23 %. </w:t>
      </w:r>
    </w:p>
    <w:p w:rsidR="00E41AE6" w:rsidRPr="00B148B1" w:rsidRDefault="00E41AE6" w:rsidP="00E41AE6">
      <w:pPr>
        <w:tabs>
          <w:tab w:val="left" w:pos="9600"/>
        </w:tabs>
        <w:spacing w:before="120" w:line="280" w:lineRule="atLeast"/>
        <w:rPr>
          <w:rFonts w:cs="Arial"/>
          <w:szCs w:val="20"/>
        </w:rPr>
      </w:pPr>
      <w:r w:rsidRPr="00B148B1">
        <w:rPr>
          <w:rFonts w:cs="Arial"/>
          <w:szCs w:val="20"/>
        </w:rPr>
        <w:t xml:space="preserve">Iz podatkov iz IJSVO ni razvidno, ali je na kateri koli čistilni napravi oziroma pri katerem koli od izvajalcev javne službe obdelava blata zagotovljena v premični enoti za obdelavo blata. </w:t>
      </w:r>
    </w:p>
    <w:p w:rsidR="00E41AE6" w:rsidRPr="00B148B1" w:rsidRDefault="00E41AE6" w:rsidP="00E41AE6">
      <w:pPr>
        <w:tabs>
          <w:tab w:val="left" w:pos="9600"/>
        </w:tabs>
        <w:spacing w:before="120" w:line="280" w:lineRule="atLeast"/>
        <w:rPr>
          <w:rFonts w:cs="Arial"/>
        </w:rPr>
      </w:pPr>
      <w:r w:rsidRPr="00B148B1">
        <w:rPr>
          <w:rFonts w:cs="Arial"/>
          <w:szCs w:val="20"/>
        </w:rPr>
        <w:t xml:space="preserve">Ravnanje z obdelanim blatom iz komunalnih čistilnih naprav, ki ga izvajalec javne službe odda v odstranjevanje kot odpadek, je podrobneje obravnavano v Programu ravnanja z odpadki in Programu preprečevanja odpadkov Republike Slovenije (poglavje 3.2., str 120), sklep Vlade RS, št. </w:t>
      </w:r>
      <w:r w:rsidRPr="00B148B1">
        <w:rPr>
          <w:rFonts w:cs="Arial"/>
        </w:rPr>
        <w:t>35402-1/2016/6 z dne 30. junija 2016.</w:t>
      </w:r>
    </w:p>
    <w:p w:rsidR="00E41AE6" w:rsidRPr="00B148B1" w:rsidRDefault="00E41AE6" w:rsidP="00E41AE6">
      <w:pPr>
        <w:spacing w:after="200" w:line="276" w:lineRule="auto"/>
        <w:jc w:val="left"/>
        <w:rPr>
          <w:rFonts w:cs="Arial"/>
        </w:rPr>
      </w:pPr>
      <w:r w:rsidRPr="00B148B1">
        <w:rPr>
          <w:rFonts w:cs="Arial"/>
        </w:rPr>
        <w:br w:type="page"/>
      </w:r>
    </w:p>
    <w:p w:rsidR="00DE2C9A" w:rsidRPr="00B148B1" w:rsidRDefault="00385BB8" w:rsidP="00385BB8">
      <w:pPr>
        <w:pStyle w:val="Naslov1"/>
      </w:pPr>
      <w:bookmarkStart w:id="76" w:name="_Toc50628072"/>
      <w:r w:rsidRPr="00B148B1">
        <w:lastRenderedPageBreak/>
        <w:t>SPREMEMBE AGLOMERACIJ GLEDE NA PREDHODNI OPERATIVNI PROGRAM</w:t>
      </w:r>
      <w:bookmarkEnd w:id="76"/>
    </w:p>
    <w:p w:rsidR="00F82F35" w:rsidRPr="00B148B1" w:rsidRDefault="004075C3" w:rsidP="00385BB8">
      <w:pPr>
        <w:tabs>
          <w:tab w:val="left" w:pos="9600"/>
        </w:tabs>
        <w:spacing w:before="120" w:line="280" w:lineRule="atLeast"/>
        <w:rPr>
          <w:rFonts w:cs="Arial"/>
          <w:szCs w:val="20"/>
        </w:rPr>
      </w:pPr>
      <w:r w:rsidRPr="00B148B1">
        <w:rPr>
          <w:rFonts w:cs="Arial"/>
          <w:szCs w:val="20"/>
        </w:rPr>
        <w:t>Aglomeracije, ki so predmet tega operativnega programa, so v primerjavi s predhodnim operativnim programom spremenjene ob upoštevanju meril iz Uredbe o odvajanju in čiščenju komunalne odpadne vode in ob upoštevanju poselitve oziroma trenda rasti prebivalstva ter iz geografskih značilnosti.</w:t>
      </w:r>
    </w:p>
    <w:p w:rsidR="00B4546B" w:rsidRPr="00B148B1" w:rsidRDefault="00D774EB" w:rsidP="00385BB8">
      <w:pPr>
        <w:tabs>
          <w:tab w:val="left" w:pos="9600"/>
        </w:tabs>
        <w:spacing w:before="120" w:line="280" w:lineRule="atLeast"/>
        <w:rPr>
          <w:rFonts w:cs="Arial"/>
          <w:szCs w:val="20"/>
        </w:rPr>
      </w:pPr>
      <w:r w:rsidRPr="00B148B1">
        <w:rPr>
          <w:rFonts w:cs="Arial"/>
          <w:szCs w:val="20"/>
        </w:rPr>
        <w:t>Od leta 2008 do konca leta 201</w:t>
      </w:r>
      <w:r w:rsidR="00895586" w:rsidRPr="00B148B1">
        <w:rPr>
          <w:rFonts w:cs="Arial"/>
          <w:szCs w:val="20"/>
        </w:rPr>
        <w:t>8</w:t>
      </w:r>
      <w:r w:rsidRPr="00B148B1">
        <w:rPr>
          <w:rFonts w:cs="Arial"/>
          <w:szCs w:val="20"/>
        </w:rPr>
        <w:t xml:space="preserve"> se je število stalnih prebivalcev, ki živijo v aglomeracijah</w:t>
      </w:r>
      <w:r w:rsidR="00F82F35" w:rsidRPr="00B148B1">
        <w:rPr>
          <w:rFonts w:cs="Arial"/>
          <w:szCs w:val="20"/>
        </w:rPr>
        <w:t>,</w:t>
      </w:r>
      <w:r w:rsidRPr="00B148B1">
        <w:rPr>
          <w:rFonts w:cs="Arial"/>
          <w:szCs w:val="20"/>
        </w:rPr>
        <w:t xml:space="preserve"> z</w:t>
      </w:r>
      <w:r w:rsidR="009D2E50" w:rsidRPr="00B148B1">
        <w:rPr>
          <w:rFonts w:cs="Arial"/>
          <w:szCs w:val="20"/>
        </w:rPr>
        <w:t>manjšalo</w:t>
      </w:r>
      <w:r w:rsidRPr="00B148B1">
        <w:rPr>
          <w:rFonts w:cs="Arial"/>
          <w:szCs w:val="20"/>
        </w:rPr>
        <w:t xml:space="preserve">, posledično </w:t>
      </w:r>
      <w:r w:rsidR="00F82F35" w:rsidRPr="00B148B1">
        <w:rPr>
          <w:rFonts w:cs="Arial"/>
          <w:szCs w:val="20"/>
        </w:rPr>
        <w:t>se je spremenila gostota</w:t>
      </w:r>
      <w:r w:rsidRPr="00B148B1">
        <w:rPr>
          <w:rFonts w:cs="Arial"/>
          <w:szCs w:val="20"/>
        </w:rPr>
        <w:t xml:space="preserve"> poselitve</w:t>
      </w:r>
      <w:r w:rsidR="00F82F35" w:rsidRPr="00B148B1">
        <w:rPr>
          <w:rFonts w:cs="Arial"/>
          <w:szCs w:val="20"/>
        </w:rPr>
        <w:t>.</w:t>
      </w:r>
      <w:r w:rsidRPr="00B148B1">
        <w:rPr>
          <w:rFonts w:cs="Arial"/>
          <w:szCs w:val="20"/>
        </w:rPr>
        <w:t xml:space="preserve"> </w:t>
      </w:r>
      <w:r w:rsidR="00F82F35" w:rsidRPr="00B148B1">
        <w:rPr>
          <w:rFonts w:cs="Arial"/>
          <w:szCs w:val="20"/>
        </w:rPr>
        <w:t>Glede na navedeno so se ob upoštevanju meril in korakov za določitev aglomeracij, ki so podrobneje navedeni v</w:t>
      </w:r>
      <w:r w:rsidRPr="00B148B1">
        <w:rPr>
          <w:rFonts w:cs="Arial"/>
          <w:szCs w:val="20"/>
        </w:rPr>
        <w:t xml:space="preserve"> poglavju</w:t>
      </w:r>
      <w:r w:rsidR="0057794D" w:rsidRPr="00B148B1">
        <w:rPr>
          <w:rFonts w:cs="Arial"/>
          <w:szCs w:val="20"/>
        </w:rPr>
        <w:t xml:space="preserve"> </w:t>
      </w:r>
      <w:r w:rsidR="0057794D" w:rsidRPr="00B148B1">
        <w:rPr>
          <w:rFonts w:cs="Arial"/>
          <w:szCs w:val="20"/>
        </w:rPr>
        <w:fldChar w:fldCharType="begin"/>
      </w:r>
      <w:r w:rsidR="0057794D" w:rsidRPr="00B148B1">
        <w:rPr>
          <w:rFonts w:cs="Arial"/>
          <w:szCs w:val="20"/>
        </w:rPr>
        <w:instrText xml:space="preserve"> REF _Ref45722910 \n \h  \* MERGEFORMAT </w:instrText>
      </w:r>
      <w:r w:rsidR="0057794D" w:rsidRPr="00B148B1">
        <w:rPr>
          <w:rFonts w:cs="Arial"/>
          <w:szCs w:val="20"/>
        </w:rPr>
      </w:r>
      <w:r w:rsidR="0057794D" w:rsidRPr="00B148B1">
        <w:rPr>
          <w:rFonts w:cs="Arial"/>
          <w:szCs w:val="20"/>
        </w:rPr>
        <w:fldChar w:fldCharType="separate"/>
      </w:r>
      <w:r w:rsidR="00E92793">
        <w:rPr>
          <w:rFonts w:cs="Arial"/>
          <w:szCs w:val="20"/>
        </w:rPr>
        <w:t>3.1</w:t>
      </w:r>
      <w:r w:rsidR="0057794D" w:rsidRPr="00B148B1">
        <w:rPr>
          <w:rFonts w:cs="Arial"/>
          <w:szCs w:val="20"/>
        </w:rPr>
        <w:fldChar w:fldCharType="end"/>
      </w:r>
      <w:r w:rsidR="00AE7EB2" w:rsidRPr="00B148B1">
        <w:rPr>
          <w:rFonts w:cs="Arial"/>
          <w:szCs w:val="20"/>
        </w:rPr>
        <w:t>.</w:t>
      </w:r>
      <w:r w:rsidR="0057794D" w:rsidRPr="00B148B1">
        <w:rPr>
          <w:rFonts w:cs="Arial"/>
          <w:szCs w:val="20"/>
        </w:rPr>
        <w:t xml:space="preserve"> </w:t>
      </w:r>
      <w:r w:rsidR="00F82F35" w:rsidRPr="00B148B1">
        <w:rPr>
          <w:rFonts w:cs="Arial"/>
          <w:szCs w:val="20"/>
        </w:rPr>
        <w:t xml:space="preserve">tega operativnega programa, </w:t>
      </w:r>
      <w:r w:rsidRPr="00B148B1">
        <w:rPr>
          <w:rFonts w:cs="Arial"/>
          <w:szCs w:val="20"/>
        </w:rPr>
        <w:t>spremenile tudi geografske meje aglomeracij. Tako so se nekatere aglomeracije združile, druge razdružile, nekatere pa so nastale na novo. Podrobneje je</w:t>
      </w:r>
      <w:r w:rsidR="00531F16" w:rsidRPr="00B148B1">
        <w:rPr>
          <w:rFonts w:cs="Arial"/>
          <w:szCs w:val="20"/>
        </w:rPr>
        <w:t xml:space="preserve"> </w:t>
      </w:r>
      <w:r w:rsidRPr="00B148B1">
        <w:rPr>
          <w:rFonts w:cs="Arial"/>
          <w:szCs w:val="20"/>
        </w:rPr>
        <w:t xml:space="preserve">primerjava aglomeracij iz predhodnega operativnega programa in </w:t>
      </w:r>
      <w:r w:rsidR="0055170B" w:rsidRPr="00B148B1">
        <w:rPr>
          <w:rFonts w:cs="Arial"/>
          <w:szCs w:val="20"/>
        </w:rPr>
        <w:t>veljavnih</w:t>
      </w:r>
      <w:r w:rsidRPr="00B148B1">
        <w:rPr>
          <w:rFonts w:cs="Arial"/>
          <w:szCs w:val="20"/>
        </w:rPr>
        <w:t xml:space="preserve"> agl</w:t>
      </w:r>
      <w:r w:rsidR="00F82F35" w:rsidRPr="00B148B1">
        <w:rPr>
          <w:rFonts w:cs="Arial"/>
          <w:szCs w:val="20"/>
        </w:rPr>
        <w:t xml:space="preserve">omeracij predstavljena v </w:t>
      </w:r>
      <w:r w:rsidR="00906871" w:rsidRPr="00B148B1">
        <w:rPr>
          <w:rFonts w:cs="Arial"/>
          <w:szCs w:val="20"/>
        </w:rPr>
        <w:t>prilogi</w:t>
      </w:r>
      <w:r w:rsidRPr="00B148B1">
        <w:rPr>
          <w:rFonts w:cs="Arial"/>
          <w:szCs w:val="20"/>
        </w:rPr>
        <w:t xml:space="preserve"> (</w:t>
      </w:r>
      <w:r w:rsidR="00906871" w:rsidRPr="00B148B1">
        <w:rPr>
          <w:rFonts w:cs="Arial"/>
          <w:szCs w:val="20"/>
        </w:rPr>
        <w:t xml:space="preserve">PRILOGA </w:t>
      </w:r>
      <w:r w:rsidR="00E134AA" w:rsidRPr="00B148B1">
        <w:rPr>
          <w:rFonts w:cs="Arial"/>
          <w:szCs w:val="20"/>
        </w:rPr>
        <w:t>5</w:t>
      </w:r>
      <w:r w:rsidRPr="00B148B1">
        <w:rPr>
          <w:rFonts w:cs="Arial"/>
          <w:szCs w:val="20"/>
        </w:rPr>
        <w:t>)</w:t>
      </w:r>
      <w:r w:rsidR="009A3E3A" w:rsidRPr="00B148B1">
        <w:rPr>
          <w:rFonts w:cs="Arial"/>
          <w:szCs w:val="20"/>
        </w:rPr>
        <w:t xml:space="preserve">, ki </w:t>
      </w:r>
      <w:r w:rsidR="00906871" w:rsidRPr="00B148B1">
        <w:rPr>
          <w:rFonts w:cs="Arial"/>
          <w:szCs w:val="20"/>
        </w:rPr>
        <w:t>je sestavni del</w:t>
      </w:r>
      <w:r w:rsidR="00F82F35" w:rsidRPr="00B148B1">
        <w:rPr>
          <w:rFonts w:cs="Arial"/>
          <w:szCs w:val="20"/>
        </w:rPr>
        <w:t xml:space="preserve"> tega operativnega programa</w:t>
      </w:r>
      <w:r w:rsidR="001C392E" w:rsidRPr="00B148B1">
        <w:rPr>
          <w:rFonts w:cs="Arial"/>
          <w:szCs w:val="20"/>
        </w:rPr>
        <w:t>.</w:t>
      </w:r>
      <w:r w:rsidR="00F82F35" w:rsidRPr="00B148B1">
        <w:rPr>
          <w:rFonts w:cs="Arial"/>
          <w:szCs w:val="20"/>
        </w:rPr>
        <w:t xml:space="preserve"> </w:t>
      </w:r>
    </w:p>
    <w:p w:rsidR="00F149F3" w:rsidRPr="00B148B1" w:rsidRDefault="00DC45F8" w:rsidP="00385BB8">
      <w:pPr>
        <w:pStyle w:val="Naslov2"/>
      </w:pPr>
      <w:bookmarkStart w:id="77" w:name="_Ref45722910"/>
      <w:bookmarkStart w:id="78" w:name="_Toc50628073"/>
      <w:r w:rsidRPr="00B148B1">
        <w:t xml:space="preserve">Metodologija </w:t>
      </w:r>
      <w:r w:rsidR="00385BB8" w:rsidRPr="00B148B1">
        <w:t>za določitev aglomeracij</w:t>
      </w:r>
      <w:bookmarkEnd w:id="77"/>
      <w:bookmarkEnd w:id="78"/>
    </w:p>
    <w:p w:rsidR="004B7B6F" w:rsidRPr="00B148B1" w:rsidRDefault="004B7B6F" w:rsidP="004B7B6F">
      <w:pPr>
        <w:tabs>
          <w:tab w:val="left" w:pos="9600"/>
        </w:tabs>
        <w:spacing w:after="120" w:line="280" w:lineRule="atLeast"/>
        <w:rPr>
          <w:rFonts w:cs="Arial"/>
          <w:szCs w:val="20"/>
        </w:rPr>
      </w:pPr>
      <w:r w:rsidRPr="00B148B1">
        <w:rPr>
          <w:rFonts w:cs="Arial"/>
          <w:szCs w:val="20"/>
        </w:rPr>
        <w:t>V skladu z Uredbo o odvajanju in čiščenju komunalne odpadne vode se aglomeracije določijo na območjih, kjer je:</w:t>
      </w:r>
    </w:p>
    <w:p w:rsidR="004B7B6F" w:rsidRPr="00B148B1" w:rsidRDefault="004B7B6F"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 xml:space="preserve">gostota obremenjenosti zaradi nastajanja komunalne odpadne vode, izražena v PE na hektar (v nadaljnjem besedilu: PE/ha), enaka ali večja od 10 PE/ha, in </w:t>
      </w:r>
    </w:p>
    <w:p w:rsidR="004B7B6F" w:rsidRPr="00B148B1" w:rsidRDefault="004B7B6F"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obremenitev zaradi nastajanja komunalne odpadne vode, izražena s skupnim številom PE (v nadaljnjem besedilu: obremenitev zaradi prebivalstva), enaka ali večja od 50 PE.</w:t>
      </w:r>
    </w:p>
    <w:p w:rsidR="009D3A88" w:rsidRDefault="009D3A88" w:rsidP="004B7B6F">
      <w:pPr>
        <w:tabs>
          <w:tab w:val="left" w:pos="9600"/>
        </w:tabs>
        <w:spacing w:after="120" w:line="280" w:lineRule="atLeast"/>
        <w:rPr>
          <w:rFonts w:cs="Arial"/>
        </w:rPr>
      </w:pPr>
    </w:p>
    <w:p w:rsidR="004B7B6F" w:rsidRPr="00B148B1" w:rsidRDefault="004B7B6F" w:rsidP="004B7B6F">
      <w:pPr>
        <w:tabs>
          <w:tab w:val="left" w:pos="9600"/>
        </w:tabs>
        <w:spacing w:after="120" w:line="280" w:lineRule="atLeast"/>
        <w:rPr>
          <w:rFonts w:cs="Arial"/>
        </w:rPr>
      </w:pPr>
      <w:r w:rsidRPr="00B148B1">
        <w:rPr>
          <w:rFonts w:cs="Arial"/>
        </w:rPr>
        <w:t>Gostota obremenjenosti posameznega območja zaradi nastajanja komunalne odpadne vode se izračuna iz podatkov o številu stalno prijavljenih prebivalcev v posamezni kvadratni celici s površino 100 m krat 100</w:t>
      </w:r>
      <w:r w:rsidR="007138B5" w:rsidRPr="00B148B1">
        <w:rPr>
          <w:rFonts w:cs="Arial"/>
        </w:rPr>
        <w:t xml:space="preserve"> m, </w:t>
      </w:r>
      <w:r w:rsidRPr="00B148B1">
        <w:rPr>
          <w:rFonts w:cs="Arial"/>
        </w:rPr>
        <w:t>pri čemer je en stalno prijavljeni prebivalec en PE. Obremenitev zaradi prebivalstva na posameznem območju se izračuna kot seštevek obremenitve skupine stičnih celic, katerih gostota obremenjenosti je enaka ali večja od 10 PE/ha in se stikajo vsaj v enem vozlišču. Osnova za določitev aglomeracij so skupine stičnih celic z obremenitvijo, enako ali večjo od 50 PE.</w:t>
      </w:r>
    </w:p>
    <w:p w:rsidR="002D6A43" w:rsidRPr="00B148B1" w:rsidRDefault="004B7B6F" w:rsidP="004B7B6F">
      <w:pPr>
        <w:tabs>
          <w:tab w:val="left" w:pos="9600"/>
        </w:tabs>
        <w:spacing w:after="120" w:line="280" w:lineRule="atLeast"/>
        <w:rPr>
          <w:rFonts w:cs="Arial"/>
        </w:rPr>
      </w:pPr>
      <w:r w:rsidRPr="00B148B1">
        <w:rPr>
          <w:rFonts w:cs="Arial"/>
        </w:rPr>
        <w:t xml:space="preserve">Pri določitvi aglomeracij se skupinam stičnih celic iz prejšnjega odstavka priključijo dodatne celice, ki se s skupino celic iz prejšnjega odstavka stikajo vsaj v enem vozlišču in vključujejo: </w:t>
      </w:r>
    </w:p>
    <w:p w:rsidR="002D6A43" w:rsidRPr="00B148B1" w:rsidRDefault="004B7B6F"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katerokoli od stavb, ki so v skladu s predpisom, ki ureja klasifikacijo vrst objektov in objekte državnega pomena, razvrščene po klasifikacijskih ravneh, navedenih v Uredbi o odvajanju in č</w:t>
      </w:r>
      <w:r w:rsidR="00187974" w:rsidRPr="00B148B1">
        <w:rPr>
          <w:rFonts w:cs="Arial"/>
          <w:szCs w:val="20"/>
        </w:rPr>
        <w:t>iščenju komunalne odpadne vode,</w:t>
      </w:r>
    </w:p>
    <w:p w:rsidR="00626FB9" w:rsidRPr="00B148B1" w:rsidRDefault="004B7B6F"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javno kanalizacijsko omrežje in enostanovanjsko stavbo</w:t>
      </w:r>
      <w:r w:rsidR="00187974" w:rsidRPr="00B148B1">
        <w:rPr>
          <w:rFonts w:cs="Arial"/>
          <w:szCs w:val="20"/>
        </w:rPr>
        <w:t>,</w:t>
      </w:r>
      <w:r w:rsidRPr="00B148B1">
        <w:rPr>
          <w:rFonts w:cs="Arial"/>
          <w:szCs w:val="20"/>
        </w:rPr>
        <w:t xml:space="preserve"> in </w:t>
      </w:r>
    </w:p>
    <w:p w:rsidR="004B7B6F" w:rsidRPr="00B148B1" w:rsidRDefault="004B7B6F"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 xml:space="preserve">pozidano stavbno zemljišče iz občinskih prostorskih aktov v skladu s predpisi o urejanju prostora, razvrščeno v katerokoli od v Uredbi o odvajanju in čiščenju komunalne odpadne vode navedenih namenskih rab prostora. </w:t>
      </w:r>
    </w:p>
    <w:p w:rsidR="002D6A43" w:rsidRPr="00B148B1" w:rsidRDefault="002D6A43" w:rsidP="002D6A43">
      <w:pPr>
        <w:tabs>
          <w:tab w:val="left" w:pos="9600"/>
        </w:tabs>
        <w:spacing w:before="120" w:line="280" w:lineRule="atLeast"/>
        <w:rPr>
          <w:rFonts w:cs="Arial"/>
          <w:szCs w:val="20"/>
        </w:rPr>
      </w:pPr>
    </w:p>
    <w:p w:rsidR="004B7B6F" w:rsidRPr="00B148B1" w:rsidRDefault="004B7B6F" w:rsidP="004B7B6F">
      <w:pPr>
        <w:tabs>
          <w:tab w:val="left" w:pos="9600"/>
        </w:tabs>
        <w:spacing w:after="120" w:line="280" w:lineRule="atLeast"/>
        <w:rPr>
          <w:rFonts w:cs="Arial"/>
        </w:rPr>
      </w:pPr>
      <w:r w:rsidRPr="00B148B1">
        <w:rPr>
          <w:rFonts w:cs="Arial"/>
        </w:rPr>
        <w:t xml:space="preserve">Lega in obseg posamezne aglomeracije se shematsko prikaže z zunanjo mejo skupine stičnih celic, kot navedeno zgoraj. Pri določitvi geografske meje posamezne aglomeracije se upoštevajo podatki o mejah pozidanih stavbnih zemljišč ter tudi podatki o mejah območja posameznega izvajalca javne službe, če se ujema z mejo občine. Za geografsko mejo posamezne aglomeracije se štejejo zunanje </w:t>
      </w:r>
      <w:r w:rsidRPr="00B148B1">
        <w:rPr>
          <w:rFonts w:cs="Arial"/>
        </w:rPr>
        <w:lastRenderedPageBreak/>
        <w:t>meje pozidanih stavbnih zemljišč, ki so znotraj skupine stičnih celic, oziroma zunanje meje stavbnih zemljišč, ki se z njo stikajo, če pozidana stavbna zemljišča segajo prek meja skupine stičnih celic</w:t>
      </w:r>
      <w:r w:rsidR="002462F5">
        <w:rPr>
          <w:rFonts w:cs="Arial"/>
        </w:rPr>
        <w:t>.</w:t>
      </w:r>
      <w:r w:rsidRPr="00B148B1">
        <w:rPr>
          <w:rFonts w:cs="Arial"/>
        </w:rPr>
        <w:t xml:space="preserve"> </w:t>
      </w:r>
    </w:p>
    <w:p w:rsidR="004B7B6F" w:rsidRPr="00B148B1" w:rsidRDefault="004B7B6F" w:rsidP="004B7B6F">
      <w:pPr>
        <w:tabs>
          <w:tab w:val="left" w:pos="9600"/>
        </w:tabs>
        <w:spacing w:after="120" w:line="280" w:lineRule="atLeast"/>
        <w:rPr>
          <w:rFonts w:cs="Arial"/>
        </w:rPr>
      </w:pPr>
      <w:r w:rsidRPr="00B148B1">
        <w:rPr>
          <w:rFonts w:cs="Arial"/>
        </w:rPr>
        <w:t xml:space="preserve">Obremenitev aglomeracije zaradi nastajanja komunalne odpadne vode se izračuna iz podatkov o obremenitvi zaradi stalno prijavljenega prebivalstva znotraj geografske meje posamezne aglomeracije in dodatni obremenitvi. Skupna obremenitev aglomeracije je seštevek obremenitve iz naslova stalno prijavljenega prebivalstva in dodatne obremenitve (t. j. obremenitev iz stavb, kjer ni stalno prijavljenih prebivalcev oziroma niso stanovanjske stavbe, vendar pa v njej nastaja komunalna odpadna voda ter iz naslova biološko razgradljive industrijske odpadne vode). </w:t>
      </w:r>
    </w:p>
    <w:p w:rsidR="004B7B6F" w:rsidRPr="00B148B1" w:rsidRDefault="004B7B6F" w:rsidP="004B7B6F">
      <w:pPr>
        <w:tabs>
          <w:tab w:val="left" w:pos="9600"/>
        </w:tabs>
        <w:spacing w:before="120" w:line="280" w:lineRule="atLeast"/>
        <w:rPr>
          <w:rFonts w:cs="Arial"/>
          <w:szCs w:val="20"/>
        </w:rPr>
      </w:pPr>
      <w:r w:rsidRPr="00B148B1">
        <w:rPr>
          <w:rFonts w:cs="Arial"/>
          <w:szCs w:val="20"/>
        </w:rPr>
        <w:t>Dodatna obremenitev iz naslova komunalne odpadne vode zaradi izvajanja gospodarske ali druge dejavnosti se izrazi s številom PE in se določi na podlagi porabe pitne vode v posamezni stavbi, iz katere nastaja komunala odpadna voda, kot količnik med letno količino porabljene pitne vode in povprečno specifično letno porabo pitne vode na prebivalca po formuli, določeni z Uredbo o odvajanju in čiščenju komunalne odpadne vode.</w:t>
      </w:r>
    </w:p>
    <w:p w:rsidR="004B7B6F" w:rsidRPr="00B148B1" w:rsidRDefault="004B7B6F" w:rsidP="004B7B6F">
      <w:pPr>
        <w:tabs>
          <w:tab w:val="left" w:pos="9600"/>
        </w:tabs>
        <w:spacing w:before="120" w:line="280" w:lineRule="atLeast"/>
        <w:rPr>
          <w:rFonts w:cs="Arial"/>
          <w:szCs w:val="20"/>
        </w:rPr>
      </w:pPr>
      <w:r w:rsidRPr="00B148B1">
        <w:rPr>
          <w:rFonts w:cs="Arial"/>
          <w:szCs w:val="20"/>
        </w:rPr>
        <w:t xml:space="preserve">Dodatna obremenitev iz naslova biološko razgradljive industrijske odpadne vode se izrazi s številom PE in se določi na podlagi rezultatov obratovalnega </w:t>
      </w:r>
      <w:proofErr w:type="spellStart"/>
      <w:r w:rsidRPr="00B148B1">
        <w:rPr>
          <w:rFonts w:cs="Arial"/>
          <w:szCs w:val="20"/>
        </w:rPr>
        <w:t>monitoringa</w:t>
      </w:r>
      <w:proofErr w:type="spellEnd"/>
      <w:r w:rsidRPr="00B148B1">
        <w:rPr>
          <w:rFonts w:cs="Arial"/>
          <w:szCs w:val="20"/>
        </w:rPr>
        <w:t xml:space="preserve"> te odpadne vode v skladu s predpisom, ki ureja prve meritve in obratovalni </w:t>
      </w:r>
      <w:proofErr w:type="spellStart"/>
      <w:r w:rsidRPr="00B148B1">
        <w:rPr>
          <w:rFonts w:cs="Arial"/>
          <w:szCs w:val="20"/>
        </w:rPr>
        <w:t>monitoring</w:t>
      </w:r>
      <w:proofErr w:type="spellEnd"/>
      <w:r w:rsidRPr="00B148B1">
        <w:rPr>
          <w:rFonts w:cs="Arial"/>
          <w:szCs w:val="20"/>
        </w:rPr>
        <w:t xml:space="preserve"> odpadnih voda.</w:t>
      </w:r>
    </w:p>
    <w:p w:rsidR="004B7B6F" w:rsidRPr="00B148B1" w:rsidRDefault="004B7B6F" w:rsidP="004B7B6F">
      <w:pPr>
        <w:tabs>
          <w:tab w:val="left" w:pos="9600"/>
        </w:tabs>
        <w:spacing w:before="120" w:line="280" w:lineRule="atLeast"/>
        <w:rPr>
          <w:rFonts w:cs="Arial"/>
          <w:szCs w:val="20"/>
        </w:rPr>
      </w:pPr>
      <w:r w:rsidRPr="00B148B1">
        <w:rPr>
          <w:rFonts w:cs="Arial"/>
          <w:szCs w:val="20"/>
        </w:rPr>
        <w:t>Skladno z Uredbo o odvajanju in čiščenju komunalne odpadne vode se v primeru, da podatki za izračun dodatne obremenitve niso na razpolago, dodatna obremenitev določi na podlagi statistično določenega dodatnega deleža glede na obremenitev zaradi nastajanja komunalne odpadne vode, izračunana iz podatkov o številu stalno prijavljenih prebivalcev, ločeno za skupine aglomeracij, s skupno obremenitvijo:</w:t>
      </w:r>
    </w:p>
    <w:p w:rsidR="004B7B6F" w:rsidRPr="00B148B1" w:rsidRDefault="004B7B6F"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enako ali večjo od 15.000 PE,</w:t>
      </w:r>
    </w:p>
    <w:p w:rsidR="004B7B6F" w:rsidRPr="00B148B1" w:rsidRDefault="004B7B6F"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enako ali večjo od 10.000 PE in manjšo od 15.000 PE,</w:t>
      </w:r>
    </w:p>
    <w:p w:rsidR="004B7B6F" w:rsidRPr="00B148B1" w:rsidRDefault="004B7B6F"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enako ali večjo od 2.000 PE in manjšo od 10.000 PE,</w:t>
      </w:r>
    </w:p>
    <w:p w:rsidR="004B7B6F" w:rsidRPr="00B148B1" w:rsidRDefault="004B7B6F"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enako ali večjo od 500 PE in manjšo od 2.000 PE ter</w:t>
      </w:r>
    </w:p>
    <w:p w:rsidR="004B7B6F" w:rsidRPr="00B148B1" w:rsidRDefault="004B7B6F"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enako ali večjo od 50 PE in manjšo od 500 PE.</w:t>
      </w:r>
    </w:p>
    <w:p w:rsidR="004B7B6F" w:rsidRPr="00B148B1" w:rsidRDefault="004B7B6F" w:rsidP="004B7B6F">
      <w:pPr>
        <w:tabs>
          <w:tab w:val="num" w:pos="360"/>
          <w:tab w:val="left" w:pos="9600"/>
        </w:tabs>
        <w:spacing w:before="120" w:line="280" w:lineRule="atLeast"/>
        <w:rPr>
          <w:rFonts w:cs="Arial"/>
          <w:szCs w:val="20"/>
        </w:rPr>
      </w:pPr>
      <w:r w:rsidRPr="00B148B1">
        <w:rPr>
          <w:rFonts w:cs="Arial"/>
          <w:szCs w:val="20"/>
        </w:rPr>
        <w:t>Pri izračunu dejanske dodatne obremenitve posamezne aglomeracije so bili upoštevani podatki iz IJSVO, ki so jih poslali izvajalci javnih služb. Dejanska dodatna obremenitev je bila poročana za 698 aglomeracij oziroma 88 % celotne obremenitve. Za vse aglomeracije, pri katerih je obremenitev iz naslova stalno prijavljenih prebivalcev enaka ali večja od 10.000 PE, so izvajalci javnih služb sporočili podatke o dejanski dodatni obremenitvi. Za nekatere aglomeracije, pri katerih je obremenitev iz naslova stalno prijavljenih prebivalcev manjša od 10.000 PE, pa je bila dodatna obremenitev določena z interpolacijo in statistično določenega dodatnega deleža glede na obremenitev zaradi nastajanja komunalne odpadne vode, izračunana iz podatkov o številu stalno prijavljenih prebivalcev, za posamezni velikostni razred aglomeracije v skladu z Uredbo o odvajanju in čiščenju komunalne odpadne vode. Statistično določeni deleži obremenitve za aglomeracije, za katere ni na voljo dejanskih podatkov o dodatni obremenitvi, znašajo:</w:t>
      </w:r>
    </w:p>
    <w:p w:rsidR="004B7B6F" w:rsidRPr="00B148B1" w:rsidRDefault="004B7B6F"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za aglomeracijo, pri kateri je obremenitev iz naslova stalno prijavljenih prebivalcev enaka ali večja od 50 PE in manjša od 2.000 PE, 10 odstotkov,</w:t>
      </w:r>
    </w:p>
    <w:p w:rsidR="004B7B6F" w:rsidRPr="00B148B1" w:rsidRDefault="004B7B6F"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za aglomeracijo, pri kateri je obremenitev iz naslova stalno prijavljenih prebivalcev enaka ali večja od 2.000 PE in manjša od 10.000 PE, 20 odstotkov.</w:t>
      </w:r>
    </w:p>
    <w:p w:rsidR="004B7B6F" w:rsidRPr="00B148B1" w:rsidRDefault="004B7B6F" w:rsidP="004B7B6F">
      <w:pPr>
        <w:tabs>
          <w:tab w:val="left" w:pos="9600"/>
        </w:tabs>
        <w:spacing w:before="120" w:line="280" w:lineRule="atLeast"/>
        <w:rPr>
          <w:rFonts w:cs="Arial"/>
          <w:szCs w:val="20"/>
        </w:rPr>
      </w:pPr>
    </w:p>
    <w:p w:rsidR="004B7B6F" w:rsidRPr="00B148B1" w:rsidRDefault="004B7B6F" w:rsidP="004B7B6F">
      <w:pPr>
        <w:tabs>
          <w:tab w:val="left" w:pos="9600"/>
        </w:tabs>
        <w:spacing w:before="120" w:line="280" w:lineRule="atLeast"/>
        <w:rPr>
          <w:rFonts w:cs="Arial"/>
          <w:szCs w:val="20"/>
        </w:rPr>
      </w:pPr>
      <w:r w:rsidRPr="00B148B1">
        <w:rPr>
          <w:rFonts w:cs="Arial"/>
          <w:szCs w:val="20"/>
        </w:rPr>
        <w:lastRenderedPageBreak/>
        <w:t>Če objektov, razvrščenih po klasifikacijskih ravneh, kot je določeno z Uredbo o odvajanju in čiščenju komunalne odpadne vode (gre za objekte, kjer se pričakuje nastanek komunalne odpadne vode, pa niso zajeti prek stalno prijavljenih prebivalcev) ni, se dodatna obremenitev ne upošteva (šteje se, da je dodatna obremenitev enaka nič) in skupno obremenitev aglomeracije določi obremenitev iz naslova stalno prijavljenih prebivalcev.</w:t>
      </w:r>
    </w:p>
    <w:p w:rsidR="004B7B6F" w:rsidRPr="00B148B1" w:rsidRDefault="004B7B6F" w:rsidP="004B7B6F">
      <w:pPr>
        <w:tabs>
          <w:tab w:val="left" w:pos="9600"/>
        </w:tabs>
        <w:spacing w:before="120" w:line="280" w:lineRule="atLeast"/>
        <w:rPr>
          <w:rFonts w:cs="Arial"/>
          <w:szCs w:val="20"/>
        </w:rPr>
      </w:pPr>
      <w:r w:rsidRPr="00B148B1">
        <w:rPr>
          <w:rFonts w:cs="Arial"/>
          <w:szCs w:val="20"/>
        </w:rPr>
        <w:t>Aglomeracije so določene tako, da je bila celotna površina Slovenije prekrita z mrežo celic 100 m krat 100 m. Uporabljena je bila enaka mreža celic, kot za določitev aglomeracij iz predhodnega operativnega programa. Za vsako posamezno celico mreže se je izvedel izračun ali preslikava na podlagi:</w:t>
      </w:r>
    </w:p>
    <w:p w:rsidR="004B7B6F" w:rsidRPr="00B148B1" w:rsidRDefault="004B7B6F"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števila stalno prijavljenih prebivalcev, pri čemer en stalno prijavljeni prebivalec pomeni en PE,</w:t>
      </w:r>
    </w:p>
    <w:p w:rsidR="004B7B6F" w:rsidRPr="00B148B1" w:rsidRDefault="004B7B6F"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prisotnosti stavb s klasifikacijskimi številkami po klasifikacijskih ravneh iz Uredbe o odvajanju in čiščenju komunalne odpadne vode,</w:t>
      </w:r>
    </w:p>
    <w:p w:rsidR="004B7B6F" w:rsidRPr="00B148B1" w:rsidRDefault="004B7B6F"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prisotnosti enostanovanjskih ali dvostanovanjskih stavb s klasifikacijsko številko 1110001 in 1121001, če je v celici hkrati tudi javno kanalizacijsko omrežje,</w:t>
      </w:r>
    </w:p>
    <w:p w:rsidR="004B7B6F" w:rsidRPr="00B148B1" w:rsidRDefault="004B7B6F"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območij generalizirane namenske rabe prostora (GNRP), pri katerih so upoštevana območja stanovanj, območja centralnih dejavnosti, območja proizvodnih dejavnosti, posebna območja, urbanih površin, površin razpršene poselitve in območja za potrebe obrambe in hkrati zajemajo tudi stavbo iz uredbe ali enostanovanjsko stavbo ali vojašnico, ter</w:t>
      </w:r>
    </w:p>
    <w:p w:rsidR="004B7B6F" w:rsidRPr="00B148B1" w:rsidRDefault="004B7B6F" w:rsidP="004C2581">
      <w:pPr>
        <w:numPr>
          <w:ilvl w:val="0"/>
          <w:numId w:val="6"/>
        </w:numPr>
        <w:tabs>
          <w:tab w:val="num" w:pos="360"/>
          <w:tab w:val="left" w:pos="9600"/>
        </w:tabs>
        <w:spacing w:before="120" w:line="280" w:lineRule="atLeast"/>
        <w:ind w:left="357" w:hanging="357"/>
        <w:rPr>
          <w:rFonts w:eastAsiaTheme="minorHAnsi" w:cs="Arial"/>
          <w:color w:val="000000"/>
          <w:szCs w:val="20"/>
        </w:rPr>
      </w:pPr>
      <w:r w:rsidRPr="00B148B1">
        <w:rPr>
          <w:rFonts w:eastAsiaTheme="minorHAnsi" w:cs="Arial"/>
          <w:color w:val="000000"/>
          <w:szCs w:val="20"/>
        </w:rPr>
        <w:t>meje območij izvajalcev javnih služb odvajanja komunalne odpadne vode.</w:t>
      </w:r>
    </w:p>
    <w:p w:rsidR="0057794D" w:rsidRPr="00B148B1" w:rsidRDefault="0057794D" w:rsidP="0057794D">
      <w:pPr>
        <w:spacing w:after="200" w:line="276" w:lineRule="auto"/>
        <w:jc w:val="left"/>
      </w:pPr>
    </w:p>
    <w:p w:rsidR="004B7B6F" w:rsidRPr="00B148B1" w:rsidRDefault="004B7B6F" w:rsidP="004B7B6F">
      <w:pPr>
        <w:tabs>
          <w:tab w:val="left" w:pos="9600"/>
        </w:tabs>
        <w:spacing w:before="120" w:line="280" w:lineRule="atLeast"/>
        <w:jc w:val="center"/>
        <w:rPr>
          <w:rFonts w:cs="Arial"/>
          <w:szCs w:val="20"/>
        </w:rPr>
      </w:pPr>
      <w:r w:rsidRPr="00B148B1">
        <w:rPr>
          <w:rFonts w:cs="Arial"/>
          <w:noProof/>
          <w:lang w:eastAsia="sl-SI"/>
        </w:rPr>
        <w:drawing>
          <wp:inline distT="0" distB="0" distL="0" distR="0" wp14:anchorId="23E6E37D" wp14:editId="6BB20820">
            <wp:extent cx="3514081" cy="4157932"/>
            <wp:effectExtent l="0" t="0" r="0" b="0"/>
            <wp:docPr id="5" name="Slika 5" descr="Koraki določitve veljavnih aglomeracij" title="Koraki določitve veljavnih aglomerac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3549667" cy="4200038"/>
                    </a:xfrm>
                    <a:prstGeom prst="rect">
                      <a:avLst/>
                    </a:prstGeom>
                  </pic:spPr>
                </pic:pic>
              </a:graphicData>
            </a:graphic>
          </wp:inline>
        </w:drawing>
      </w:r>
    </w:p>
    <w:p w:rsidR="00E57802" w:rsidRPr="00B148B1" w:rsidRDefault="00E57802" w:rsidP="00E57802">
      <w:pPr>
        <w:pStyle w:val="Napis"/>
        <w:jc w:val="center"/>
        <w:rPr>
          <w:rFonts w:ascii="Arial" w:hAnsi="Arial" w:cs="Arial"/>
          <w:b w:val="0"/>
          <w:lang w:val="sl-SI"/>
        </w:rPr>
      </w:pPr>
      <w:bookmarkStart w:id="79" w:name="_Ref45866613"/>
      <w:bookmarkStart w:id="80" w:name="_Toc45777403"/>
      <w:r w:rsidRPr="00B148B1">
        <w:rPr>
          <w:rFonts w:ascii="Arial" w:hAnsi="Arial" w:cs="Arial"/>
          <w:b w:val="0"/>
          <w:lang w:val="sl-SI"/>
        </w:rPr>
        <w:t xml:space="preserve">Slika </w:t>
      </w:r>
      <w:r w:rsidRPr="00B148B1">
        <w:rPr>
          <w:rFonts w:ascii="Arial" w:hAnsi="Arial" w:cs="Arial"/>
          <w:b w:val="0"/>
          <w:lang w:val="sl-SI"/>
        </w:rPr>
        <w:fldChar w:fldCharType="begin"/>
      </w:r>
      <w:r w:rsidRPr="00B148B1">
        <w:rPr>
          <w:rFonts w:ascii="Arial" w:hAnsi="Arial" w:cs="Arial"/>
          <w:b w:val="0"/>
          <w:lang w:val="sl-SI"/>
        </w:rPr>
        <w:instrText xml:space="preserve"> SEQ Slika \* ARABIC </w:instrText>
      </w:r>
      <w:r w:rsidRPr="00B148B1">
        <w:rPr>
          <w:rFonts w:ascii="Arial" w:hAnsi="Arial" w:cs="Arial"/>
          <w:b w:val="0"/>
          <w:lang w:val="sl-SI"/>
        </w:rPr>
        <w:fldChar w:fldCharType="separate"/>
      </w:r>
      <w:r w:rsidR="00E92793">
        <w:rPr>
          <w:rFonts w:ascii="Arial" w:hAnsi="Arial" w:cs="Arial"/>
          <w:b w:val="0"/>
          <w:noProof/>
          <w:lang w:val="sl-SI"/>
        </w:rPr>
        <w:t>1</w:t>
      </w:r>
      <w:r w:rsidRPr="00B148B1">
        <w:rPr>
          <w:rFonts w:ascii="Arial" w:hAnsi="Arial" w:cs="Arial"/>
          <w:b w:val="0"/>
          <w:lang w:val="sl-SI"/>
        </w:rPr>
        <w:fldChar w:fldCharType="end"/>
      </w:r>
      <w:bookmarkEnd w:id="79"/>
      <w:r w:rsidRPr="00B148B1">
        <w:rPr>
          <w:rFonts w:ascii="Arial" w:hAnsi="Arial" w:cs="Arial"/>
          <w:b w:val="0"/>
          <w:lang w:val="sl-SI"/>
        </w:rPr>
        <w:t>: Koraki določitve veljavnih aglomeracij</w:t>
      </w:r>
      <w:bookmarkEnd w:id="80"/>
    </w:p>
    <w:p w:rsidR="004B7B6F" w:rsidRPr="00B148B1" w:rsidRDefault="004B7B6F" w:rsidP="00E57802">
      <w:pPr>
        <w:spacing w:after="200" w:line="276" w:lineRule="auto"/>
        <w:jc w:val="center"/>
      </w:pPr>
      <w:r w:rsidRPr="00B148B1">
        <w:rPr>
          <w:sz w:val="16"/>
          <w:szCs w:val="16"/>
        </w:rPr>
        <w:t>Vir: DRSV, MOP – IJSVO, preračuni MOP.</w:t>
      </w:r>
    </w:p>
    <w:p w:rsidR="004B7B6F" w:rsidRPr="00B148B1" w:rsidRDefault="004B7B6F" w:rsidP="004B7B6F">
      <w:pPr>
        <w:tabs>
          <w:tab w:val="left" w:pos="9600"/>
        </w:tabs>
        <w:spacing w:before="120" w:line="280" w:lineRule="atLeast"/>
        <w:rPr>
          <w:rFonts w:cs="Arial"/>
          <w:szCs w:val="20"/>
        </w:rPr>
      </w:pPr>
      <w:r w:rsidRPr="00B148B1">
        <w:rPr>
          <w:rFonts w:cs="Arial"/>
          <w:szCs w:val="20"/>
        </w:rPr>
        <w:lastRenderedPageBreak/>
        <w:t>Pri določitvi meja aglomeracij so bili upoštevani:</w:t>
      </w:r>
    </w:p>
    <w:p w:rsidR="004B7B6F" w:rsidRPr="00B148B1" w:rsidRDefault="004B7B6F"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 xml:space="preserve">območja zgoščene poselitve na podlagi podatkov o stalno prijavljenih prebivalcih iz zbirke podatkov CRP (MNZ, stanje na dan 31. decembra 2017 in 31. decembra 2018), </w:t>
      </w:r>
    </w:p>
    <w:p w:rsidR="004B7B6F" w:rsidRPr="00B148B1" w:rsidRDefault="004B7B6F"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 xml:space="preserve">območja zgoščene gospodarske dejavnosti na podlagi podatkov o prisotnosti stavb, razvrščenih po klasifikacijskih ravneh iz Uredbe o odvajanju in čiščenju komunalne odpadne vode, iz zbirk podatkov KS (GURS, julij 2017 in april 2019) in REN (GURS, julij 2017 in april 2019), </w:t>
      </w:r>
    </w:p>
    <w:p w:rsidR="004B7B6F" w:rsidRPr="00B148B1" w:rsidRDefault="004B7B6F"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prisotnost obstoječe javne infrastrukture za odvajanje komunalne odpadne vode (javno kanalizacijsko omrežje in komunalne čistilne naprave) na podlagi podatkov iz ZK GJI (GURS, februar 2018),</w:t>
      </w:r>
    </w:p>
    <w:p w:rsidR="004B7B6F" w:rsidRPr="00B148B1" w:rsidRDefault="004B7B6F"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generalizirana namenska raba prostora (GNRP, stanje na dan 15. januarja 2019), in</w:t>
      </w:r>
    </w:p>
    <w:p w:rsidR="004B7B6F" w:rsidRPr="00B148B1" w:rsidRDefault="004B7B6F" w:rsidP="004C2581">
      <w:pPr>
        <w:numPr>
          <w:ilvl w:val="0"/>
          <w:numId w:val="6"/>
        </w:numPr>
        <w:tabs>
          <w:tab w:val="num" w:pos="360"/>
          <w:tab w:val="left" w:pos="9600"/>
        </w:tabs>
        <w:spacing w:before="120" w:line="280" w:lineRule="atLeast"/>
        <w:ind w:left="357" w:hanging="357"/>
        <w:rPr>
          <w:rFonts w:cs="Arial"/>
          <w:szCs w:val="20"/>
        </w:rPr>
      </w:pPr>
      <w:r w:rsidRPr="00B148B1">
        <w:rPr>
          <w:rFonts w:eastAsiaTheme="minorHAnsi" w:cs="Arial"/>
          <w:color w:val="000000"/>
          <w:szCs w:val="20"/>
        </w:rPr>
        <w:t>meje območij izvajalcev javnih služb odvajanja komunalne odpadne vode (</w:t>
      </w:r>
      <w:r w:rsidRPr="00B148B1">
        <w:rPr>
          <w:rFonts w:cs="Arial"/>
          <w:szCs w:val="20"/>
        </w:rPr>
        <w:t>MOP – IJSVO, preračuni MOP, maj 2019)</w:t>
      </w:r>
      <w:r w:rsidRPr="00B148B1">
        <w:rPr>
          <w:rFonts w:eastAsiaTheme="minorHAnsi" w:cs="Arial"/>
          <w:color w:val="000000"/>
          <w:szCs w:val="20"/>
        </w:rPr>
        <w:t>.</w:t>
      </w:r>
    </w:p>
    <w:p w:rsidR="004B7B6F" w:rsidRPr="00B148B1" w:rsidRDefault="004B7B6F" w:rsidP="004B7B6F">
      <w:pPr>
        <w:tabs>
          <w:tab w:val="left" w:pos="9600"/>
        </w:tabs>
        <w:spacing w:before="120" w:line="280" w:lineRule="atLeast"/>
        <w:rPr>
          <w:rFonts w:cs="Arial"/>
          <w:szCs w:val="20"/>
        </w:rPr>
      </w:pPr>
      <w:r w:rsidRPr="00B148B1">
        <w:rPr>
          <w:rFonts w:cs="Arial"/>
          <w:szCs w:val="20"/>
        </w:rPr>
        <w:t>Koraki določanja agl</w:t>
      </w:r>
      <w:r w:rsidR="00A75503">
        <w:rPr>
          <w:rFonts w:cs="Arial"/>
          <w:szCs w:val="20"/>
        </w:rPr>
        <w:t xml:space="preserve">omeracij so prikazani na sliki (Slika 1). </w:t>
      </w:r>
      <w:r w:rsidRPr="00B148B1">
        <w:rPr>
          <w:rFonts w:cs="Arial"/>
          <w:szCs w:val="20"/>
        </w:rPr>
        <w:t>Pri določanju aglomeracije so bile v prvem koraku upoštevane tiste stične celice, ki vsebujejo vsaj deset stalno prijavljenih prebivalcev v posamezni celici (korak 1), število stalno prijavljenih prebivalcev v skupini stičnih celic pa je enako ali večje od 50. Tej skupini celic so se priključevale stične celice, v katerih so prisotne stavbe s klasifikacijskimi številkami po klasifikacijskih ravneh iz Uredbe o odvajanju in čiščenju komunalne odpadne vode ali pa hkrati javni kanalizacijski vodi in enostanovanjske ali dvostanovanjske stavbe (koraka 2 in 3). Celicam, ki so izpolnile te pogoje, so se priključevale celice, v katerih so prisotna območja namenske rabe prostora in hkrati zajemajo tudi stavbo iz uredbe ali enostanovanjsko stavbo ali vojašnico. Povezane celice v skupni poligon sestavljajo posamezno aglomeracijo (korak 4).</w:t>
      </w:r>
    </w:p>
    <w:p w:rsidR="004B7B6F" w:rsidRPr="00B148B1" w:rsidRDefault="004B7B6F" w:rsidP="004B7B6F">
      <w:pPr>
        <w:tabs>
          <w:tab w:val="left" w:pos="9600"/>
        </w:tabs>
        <w:spacing w:before="120" w:line="280" w:lineRule="atLeast"/>
        <w:rPr>
          <w:rFonts w:cs="Arial"/>
          <w:szCs w:val="20"/>
        </w:rPr>
      </w:pPr>
      <w:r w:rsidRPr="00B148B1">
        <w:rPr>
          <w:rFonts w:cs="Arial"/>
          <w:szCs w:val="20"/>
        </w:rPr>
        <w:t xml:space="preserve">Vsaka posamezna aglomeracija je določena z enolično identifikacijsko številko in imenom, njena lokacija pa je določena s koordinatami </w:t>
      </w:r>
      <w:proofErr w:type="spellStart"/>
      <w:r w:rsidRPr="00B148B1">
        <w:rPr>
          <w:rFonts w:cs="Arial"/>
          <w:szCs w:val="20"/>
        </w:rPr>
        <w:t>centroida</w:t>
      </w:r>
      <w:proofErr w:type="spellEnd"/>
      <w:r w:rsidRPr="00B148B1">
        <w:rPr>
          <w:rFonts w:cs="Arial"/>
          <w:szCs w:val="20"/>
        </w:rPr>
        <w:t xml:space="preserve"> v državnem koordinatnem sistemu za raven merila 1 : 5.000. Aglomeracije so navedene v prilogi (PRILOGA 5). Geografsko mejo vsake posamezne aglomeracije predstavlja poligon, ki obrisuje skupino stičnih celic, ki sestavljajo aglomeracijo, določeno v skladu z opisanimi merili in koraki določitve. Lokacije in geografske meje aglomeracij so določene na digitalnem podatkovnem sloju, ki je priloga tega operativnega programa. </w:t>
      </w:r>
    </w:p>
    <w:p w:rsidR="004B7B6F" w:rsidRPr="00B148B1" w:rsidRDefault="004B7B6F" w:rsidP="004B7B6F">
      <w:pPr>
        <w:tabs>
          <w:tab w:val="left" w:pos="9600"/>
        </w:tabs>
        <w:spacing w:before="120" w:line="280" w:lineRule="atLeast"/>
        <w:rPr>
          <w:rFonts w:cs="Arial"/>
          <w:noProof/>
          <w:szCs w:val="20"/>
          <w:lang w:eastAsia="sl-SI"/>
        </w:rPr>
      </w:pPr>
      <w:r w:rsidRPr="00B148B1">
        <w:rPr>
          <w:rFonts w:cs="Arial"/>
          <w:noProof/>
          <w:szCs w:val="20"/>
          <w:lang w:eastAsia="sl-SI"/>
        </w:rPr>
        <w:t>Z uredbo je določenih skupaj 1.533 aglomeracij, od tega 123 aglomeracij s skupno obremenitvijo, enako ali večjo od 2.000 PE, in 1.410 aglomeracij s skupno obremenitvijo, manjšo od 2.000 PE.</w:t>
      </w:r>
    </w:p>
    <w:p w:rsidR="00385BB8" w:rsidRPr="00B148B1" w:rsidRDefault="00385BB8" w:rsidP="00385BB8">
      <w:pPr>
        <w:pStyle w:val="Naslov2"/>
      </w:pPr>
      <w:bookmarkStart w:id="81" w:name="_Toc50628074"/>
      <w:r w:rsidRPr="00B148B1">
        <w:t>Spremembe aglomeracij s skupno obremenitvijo, enako ali večjo od 2.000 PE</w:t>
      </w:r>
      <w:bookmarkEnd w:id="81"/>
    </w:p>
    <w:p w:rsidR="006A72BD" w:rsidRPr="00B148B1" w:rsidRDefault="002462F5" w:rsidP="001C392E">
      <w:pPr>
        <w:tabs>
          <w:tab w:val="left" w:pos="9600"/>
        </w:tabs>
        <w:spacing w:before="120" w:line="276" w:lineRule="auto"/>
        <w:rPr>
          <w:rFonts w:cs="Arial"/>
          <w:szCs w:val="20"/>
        </w:rPr>
      </w:pPr>
      <w:r>
        <w:rPr>
          <w:rFonts w:cs="Arial"/>
          <w:szCs w:val="20"/>
        </w:rPr>
        <w:t>S</w:t>
      </w:r>
      <w:r w:rsidRPr="00B148B1">
        <w:rPr>
          <w:rFonts w:cs="Arial"/>
          <w:szCs w:val="20"/>
        </w:rPr>
        <w:t xml:space="preserve"> </w:t>
      </w:r>
      <w:r w:rsidR="00C360E4" w:rsidRPr="00B148B1">
        <w:rPr>
          <w:rFonts w:cs="Arial"/>
          <w:szCs w:val="20"/>
        </w:rPr>
        <w:t xml:space="preserve">spremembo </w:t>
      </w:r>
      <w:r w:rsidR="00B4546B" w:rsidRPr="00B148B1">
        <w:rPr>
          <w:rFonts w:cs="Arial"/>
          <w:szCs w:val="20"/>
        </w:rPr>
        <w:t>aglomeracij</w:t>
      </w:r>
      <w:r w:rsidR="00D774EB" w:rsidRPr="00B148B1">
        <w:rPr>
          <w:rFonts w:cs="Arial"/>
          <w:szCs w:val="20"/>
        </w:rPr>
        <w:t xml:space="preserve"> se skupno število </w:t>
      </w:r>
      <w:r w:rsidR="00052E69" w:rsidRPr="00B148B1">
        <w:rPr>
          <w:rFonts w:cs="Arial"/>
          <w:szCs w:val="20"/>
        </w:rPr>
        <w:t xml:space="preserve">veljavnih </w:t>
      </w:r>
      <w:r w:rsidR="00D774EB" w:rsidRPr="00B148B1">
        <w:rPr>
          <w:rFonts w:cs="Arial"/>
          <w:szCs w:val="20"/>
        </w:rPr>
        <w:t>aglomeracij v primerjavi z aglomeracijami iz predhodnega operativnega programa zmanjša. Zmanjša se tudi število aglomeracij</w:t>
      </w:r>
      <w:r w:rsidR="00B4546B" w:rsidRPr="00B148B1">
        <w:rPr>
          <w:rFonts w:cs="Arial"/>
          <w:szCs w:val="20"/>
        </w:rPr>
        <w:t xml:space="preserve"> s skupno obremenitvijo, enako ali večjo od </w:t>
      </w:r>
      <w:r w:rsidR="00D774EB" w:rsidRPr="00B148B1">
        <w:rPr>
          <w:rFonts w:cs="Arial"/>
          <w:szCs w:val="20"/>
        </w:rPr>
        <w:t>2.000 PE</w:t>
      </w:r>
      <w:r w:rsidR="00B4546B" w:rsidRPr="00B148B1">
        <w:rPr>
          <w:rFonts w:cs="Arial"/>
          <w:szCs w:val="20"/>
        </w:rPr>
        <w:t xml:space="preserve">, in sicer je število </w:t>
      </w:r>
      <w:r w:rsidR="00052E69" w:rsidRPr="00B148B1">
        <w:rPr>
          <w:rFonts w:cs="Arial"/>
          <w:szCs w:val="20"/>
        </w:rPr>
        <w:t xml:space="preserve">veljavnih </w:t>
      </w:r>
      <w:r w:rsidR="00B4546B" w:rsidRPr="00B148B1">
        <w:rPr>
          <w:rFonts w:cs="Arial"/>
          <w:szCs w:val="20"/>
        </w:rPr>
        <w:t xml:space="preserve">aglomeracij s skupno obremenitvijo, enako ali večjo od 2.000 PE, </w:t>
      </w:r>
      <w:r w:rsidR="00654CDA" w:rsidRPr="00B148B1">
        <w:rPr>
          <w:rFonts w:cs="Arial"/>
          <w:szCs w:val="20"/>
        </w:rPr>
        <w:t>123</w:t>
      </w:r>
      <w:r w:rsidR="006A72BD" w:rsidRPr="00B148B1">
        <w:rPr>
          <w:rFonts w:cs="Arial"/>
          <w:szCs w:val="20"/>
        </w:rPr>
        <w:t xml:space="preserve">. Od </w:t>
      </w:r>
      <w:r w:rsidR="00B4546B" w:rsidRPr="00B148B1">
        <w:rPr>
          <w:rFonts w:cs="Arial"/>
          <w:szCs w:val="20"/>
        </w:rPr>
        <w:t>teh</w:t>
      </w:r>
      <w:r w:rsidR="006A72BD" w:rsidRPr="00B148B1">
        <w:rPr>
          <w:rFonts w:cs="Arial"/>
          <w:szCs w:val="20"/>
        </w:rPr>
        <w:t xml:space="preserve"> jih 11</w:t>
      </w:r>
      <w:r w:rsidR="00654CDA" w:rsidRPr="00B148B1">
        <w:rPr>
          <w:rFonts w:cs="Arial"/>
          <w:szCs w:val="20"/>
        </w:rPr>
        <w:t>2</w:t>
      </w:r>
      <w:r w:rsidR="006A72BD" w:rsidRPr="00B148B1">
        <w:rPr>
          <w:rFonts w:cs="Arial"/>
          <w:szCs w:val="20"/>
        </w:rPr>
        <w:t xml:space="preserve"> ohrani identifikacijsko številko</w:t>
      </w:r>
      <w:r w:rsidR="00B004C5" w:rsidRPr="00B148B1">
        <w:rPr>
          <w:rFonts w:cs="Arial"/>
          <w:szCs w:val="20"/>
        </w:rPr>
        <w:t xml:space="preserve"> (aglomeracije, katerih skupna obremenitev je </w:t>
      </w:r>
      <w:r w:rsidR="009D2E50" w:rsidRPr="00B148B1">
        <w:rPr>
          <w:rFonts w:cs="Arial"/>
          <w:szCs w:val="20"/>
        </w:rPr>
        <w:t xml:space="preserve">bila </w:t>
      </w:r>
      <w:r w:rsidR="00B004C5" w:rsidRPr="00B148B1">
        <w:rPr>
          <w:rFonts w:cs="Arial"/>
          <w:szCs w:val="20"/>
        </w:rPr>
        <w:t xml:space="preserve">tudi </w:t>
      </w:r>
      <w:r w:rsidR="009D2E50" w:rsidRPr="00B148B1">
        <w:rPr>
          <w:rFonts w:cs="Arial"/>
          <w:szCs w:val="20"/>
        </w:rPr>
        <w:t xml:space="preserve">v </w:t>
      </w:r>
      <w:r w:rsidR="00B004C5" w:rsidRPr="00B148B1">
        <w:rPr>
          <w:rFonts w:cs="Arial"/>
          <w:szCs w:val="20"/>
        </w:rPr>
        <w:t>predhodnem operativnem programu enak</w:t>
      </w:r>
      <w:r w:rsidR="009D2E50" w:rsidRPr="00B148B1">
        <w:rPr>
          <w:rFonts w:cs="Arial"/>
          <w:szCs w:val="20"/>
        </w:rPr>
        <w:t>a</w:t>
      </w:r>
      <w:r w:rsidR="00B004C5" w:rsidRPr="00B148B1">
        <w:rPr>
          <w:rFonts w:cs="Arial"/>
          <w:szCs w:val="20"/>
        </w:rPr>
        <w:t xml:space="preserve"> ali več</w:t>
      </w:r>
      <w:r w:rsidR="009D2E50" w:rsidRPr="00B148B1">
        <w:rPr>
          <w:rFonts w:cs="Arial"/>
          <w:szCs w:val="20"/>
        </w:rPr>
        <w:t>ja</w:t>
      </w:r>
      <w:r w:rsidR="00B004C5" w:rsidRPr="00B148B1">
        <w:rPr>
          <w:rFonts w:cs="Arial"/>
          <w:szCs w:val="20"/>
        </w:rPr>
        <w:t xml:space="preserve"> od 2.000 PE)</w:t>
      </w:r>
      <w:r w:rsidR="006A72BD" w:rsidRPr="00B148B1">
        <w:rPr>
          <w:rFonts w:cs="Arial"/>
          <w:szCs w:val="20"/>
        </w:rPr>
        <w:t xml:space="preserve">, </w:t>
      </w:r>
      <w:r w:rsidR="00D32E3D" w:rsidRPr="00B148B1">
        <w:rPr>
          <w:rFonts w:cs="Arial"/>
          <w:szCs w:val="20"/>
        </w:rPr>
        <w:t>osem aglomeracij</w:t>
      </w:r>
      <w:r w:rsidR="006A72BD" w:rsidRPr="00B148B1">
        <w:rPr>
          <w:rFonts w:cs="Arial"/>
          <w:szCs w:val="20"/>
        </w:rPr>
        <w:t xml:space="preserve"> v tem </w:t>
      </w:r>
      <w:r w:rsidR="00B4546B" w:rsidRPr="00B148B1">
        <w:rPr>
          <w:rFonts w:cs="Arial"/>
          <w:szCs w:val="20"/>
        </w:rPr>
        <w:t xml:space="preserve">velikostnem </w:t>
      </w:r>
      <w:r w:rsidR="00D32E3D" w:rsidRPr="00B148B1">
        <w:rPr>
          <w:rFonts w:cs="Arial"/>
          <w:szCs w:val="20"/>
        </w:rPr>
        <w:t>razredu</w:t>
      </w:r>
      <w:r w:rsidR="006A72BD" w:rsidRPr="00B148B1">
        <w:rPr>
          <w:rFonts w:cs="Arial"/>
          <w:szCs w:val="20"/>
        </w:rPr>
        <w:t xml:space="preserve"> </w:t>
      </w:r>
      <w:r w:rsidR="009D2E50" w:rsidRPr="00B148B1">
        <w:rPr>
          <w:rFonts w:cs="Arial"/>
          <w:szCs w:val="20"/>
        </w:rPr>
        <w:t xml:space="preserve">je </w:t>
      </w:r>
      <w:r w:rsidR="006A72BD" w:rsidRPr="00B148B1">
        <w:rPr>
          <w:rFonts w:cs="Arial"/>
          <w:szCs w:val="20"/>
        </w:rPr>
        <w:t>nasta</w:t>
      </w:r>
      <w:r w:rsidR="009D2E50" w:rsidRPr="00B148B1">
        <w:rPr>
          <w:rFonts w:cs="Arial"/>
          <w:szCs w:val="20"/>
        </w:rPr>
        <w:t>lo</w:t>
      </w:r>
      <w:r w:rsidR="006A72BD" w:rsidRPr="00B148B1">
        <w:rPr>
          <w:rFonts w:cs="Arial"/>
          <w:szCs w:val="20"/>
        </w:rPr>
        <w:t xml:space="preserve"> na novo</w:t>
      </w:r>
      <w:r w:rsidR="00D32E3D" w:rsidRPr="00B148B1">
        <w:rPr>
          <w:rFonts w:cs="Arial"/>
          <w:szCs w:val="20"/>
        </w:rPr>
        <w:t xml:space="preserve"> zaradi združitve aglomeracij, tri aglomeracije pa zaradi povečanja skupne obremenitve</w:t>
      </w:r>
      <w:r w:rsidR="00B004C5" w:rsidRPr="00B148B1">
        <w:rPr>
          <w:rFonts w:cs="Arial"/>
          <w:szCs w:val="20"/>
        </w:rPr>
        <w:t>,</w:t>
      </w:r>
      <w:r w:rsidR="00D32E3D" w:rsidRPr="00B148B1">
        <w:rPr>
          <w:rFonts w:cs="Arial"/>
          <w:szCs w:val="20"/>
        </w:rPr>
        <w:t xml:space="preserve"> in sicer:</w:t>
      </w:r>
    </w:p>
    <w:p w:rsidR="001C392E" w:rsidRPr="00B148B1" w:rsidRDefault="004E2DEA" w:rsidP="004C2581">
      <w:pPr>
        <w:pStyle w:val="Odstavekseznama"/>
        <w:numPr>
          <w:ilvl w:val="0"/>
          <w:numId w:val="6"/>
        </w:numPr>
        <w:tabs>
          <w:tab w:val="left" w:pos="360"/>
          <w:tab w:val="left" w:pos="9600"/>
        </w:tabs>
        <w:autoSpaceDE w:val="0"/>
        <w:autoSpaceDN w:val="0"/>
        <w:adjustRightInd w:val="0"/>
        <w:spacing w:before="120" w:line="276" w:lineRule="auto"/>
        <w:rPr>
          <w:rFonts w:eastAsiaTheme="minorHAnsi" w:cs="Arial"/>
          <w:color w:val="000000"/>
          <w:szCs w:val="20"/>
        </w:rPr>
      </w:pPr>
      <w:r w:rsidRPr="00B148B1">
        <w:rPr>
          <w:rFonts w:eastAsiaTheme="minorHAnsi" w:cs="Arial"/>
          <w:color w:val="000000"/>
          <w:szCs w:val="20"/>
        </w:rPr>
        <w:t xml:space="preserve">zaradi združitve manjših aglomeracij iz predhodnega operativnega programa (ID 20303 KAMPEL </w:t>
      </w:r>
      <w:r w:rsidR="00405F0D" w:rsidRPr="00B148B1">
        <w:rPr>
          <w:rFonts w:eastAsiaTheme="minorHAnsi" w:cs="Arial"/>
          <w:color w:val="000000"/>
          <w:szCs w:val="20"/>
        </w:rPr>
        <w:t xml:space="preserve">- </w:t>
      </w:r>
      <w:r w:rsidRPr="00B148B1">
        <w:rPr>
          <w:rFonts w:eastAsiaTheme="minorHAnsi" w:cs="Arial"/>
          <w:color w:val="000000"/>
          <w:szCs w:val="20"/>
        </w:rPr>
        <w:t xml:space="preserve">BRDA, 20310 VANGANEL - PREGAČANE, 20313 ČENTURSKA DOLINA, 20341 MANŽAN, 20243 BONINI </w:t>
      </w:r>
      <w:r w:rsidR="00405F0D" w:rsidRPr="00B148B1">
        <w:rPr>
          <w:rFonts w:eastAsiaTheme="minorHAnsi" w:cs="Arial"/>
          <w:color w:val="000000"/>
          <w:szCs w:val="20"/>
        </w:rPr>
        <w:t xml:space="preserve">- </w:t>
      </w:r>
      <w:r w:rsidRPr="00B148B1">
        <w:rPr>
          <w:rFonts w:eastAsiaTheme="minorHAnsi" w:cs="Arial"/>
          <w:color w:val="000000"/>
          <w:szCs w:val="20"/>
        </w:rPr>
        <w:t xml:space="preserve">ŽBURGA, 20286 GRINJAN, 20282 BOŠAMARIN, 20288 KAMPEL </w:t>
      </w:r>
      <w:r w:rsidR="00405F0D" w:rsidRPr="00B148B1">
        <w:rPr>
          <w:rFonts w:eastAsiaTheme="minorHAnsi" w:cs="Arial"/>
          <w:color w:val="000000"/>
          <w:szCs w:val="20"/>
        </w:rPr>
        <w:t xml:space="preserve">- </w:t>
      </w:r>
      <w:r w:rsidRPr="00B148B1">
        <w:rPr>
          <w:rFonts w:eastAsiaTheme="minorHAnsi" w:cs="Arial"/>
          <w:color w:val="000000"/>
          <w:szCs w:val="20"/>
        </w:rPr>
        <w:t xml:space="preserve">NOVAKI, 20280 SV. UBALD, 20298 MANŽAN </w:t>
      </w:r>
      <w:r w:rsidR="00405F0D" w:rsidRPr="00B148B1">
        <w:rPr>
          <w:rFonts w:eastAsiaTheme="minorHAnsi" w:cs="Arial"/>
          <w:color w:val="000000"/>
          <w:szCs w:val="20"/>
        </w:rPr>
        <w:t xml:space="preserve">- </w:t>
      </w:r>
      <w:r w:rsidRPr="00B148B1">
        <w:rPr>
          <w:rFonts w:eastAsiaTheme="minorHAnsi" w:cs="Arial"/>
          <w:color w:val="000000"/>
          <w:szCs w:val="20"/>
        </w:rPr>
        <w:t xml:space="preserve">GRBLJE, 20252 BONINI </w:t>
      </w:r>
      <w:r w:rsidR="00405F0D" w:rsidRPr="00B148B1">
        <w:rPr>
          <w:rFonts w:eastAsiaTheme="minorHAnsi" w:cs="Arial"/>
          <w:color w:val="000000"/>
          <w:szCs w:val="20"/>
        </w:rPr>
        <w:t>-</w:t>
      </w:r>
      <w:r w:rsidRPr="00B148B1">
        <w:rPr>
          <w:rFonts w:eastAsiaTheme="minorHAnsi" w:cs="Arial"/>
          <w:color w:val="000000"/>
          <w:szCs w:val="20"/>
        </w:rPr>
        <w:t xml:space="preserve"> MARSIČ, 30010 </w:t>
      </w:r>
      <w:r w:rsidRPr="00B148B1">
        <w:rPr>
          <w:rFonts w:eastAsiaTheme="minorHAnsi" w:cs="Arial"/>
          <w:color w:val="000000"/>
          <w:szCs w:val="20"/>
        </w:rPr>
        <w:lastRenderedPageBreak/>
        <w:t>ŠALARA (po predhodnem operativnem programu skupaj 2.677 PE) v večjo aglomeracijo nastane samostojna aglomeracija ID 20313 Vanganelska dolina 2019 (2.848 PE),</w:t>
      </w:r>
    </w:p>
    <w:p w:rsidR="001C392E" w:rsidRPr="00B148B1" w:rsidRDefault="001C392E" w:rsidP="004C2581">
      <w:pPr>
        <w:pStyle w:val="Odstavekseznama"/>
        <w:numPr>
          <w:ilvl w:val="0"/>
          <w:numId w:val="6"/>
        </w:numPr>
        <w:tabs>
          <w:tab w:val="left" w:pos="360"/>
          <w:tab w:val="left" w:pos="9600"/>
        </w:tabs>
        <w:autoSpaceDE w:val="0"/>
        <w:autoSpaceDN w:val="0"/>
        <w:adjustRightInd w:val="0"/>
        <w:spacing w:before="120" w:line="276" w:lineRule="auto"/>
        <w:rPr>
          <w:rFonts w:eastAsiaTheme="minorHAnsi" w:cs="Arial"/>
          <w:color w:val="000000"/>
          <w:szCs w:val="20"/>
        </w:rPr>
      </w:pPr>
      <w:r w:rsidRPr="00B148B1">
        <w:rPr>
          <w:rFonts w:eastAsiaTheme="minorHAnsi" w:cs="Arial"/>
          <w:color w:val="000000"/>
          <w:szCs w:val="20"/>
        </w:rPr>
        <w:t>z</w:t>
      </w:r>
      <w:r w:rsidR="004E2DEA" w:rsidRPr="00B148B1">
        <w:rPr>
          <w:rFonts w:eastAsiaTheme="minorHAnsi" w:cs="Arial"/>
          <w:color w:val="000000"/>
          <w:szCs w:val="20"/>
        </w:rPr>
        <w:t>aradi združitve aglomeracij iz predhodnega operativnega programa ID 20029 POBEGI</w:t>
      </w:r>
      <w:r w:rsidR="00405F0D" w:rsidRPr="00B148B1">
        <w:rPr>
          <w:rFonts w:eastAsiaTheme="minorHAnsi" w:cs="Arial"/>
          <w:color w:val="000000"/>
          <w:szCs w:val="20"/>
        </w:rPr>
        <w:t xml:space="preserve"> </w:t>
      </w:r>
      <w:r w:rsidR="004E2DEA" w:rsidRPr="00B148B1">
        <w:rPr>
          <w:rFonts w:eastAsiaTheme="minorHAnsi" w:cs="Arial"/>
          <w:color w:val="000000"/>
          <w:szCs w:val="20"/>
        </w:rPr>
        <w:t>-ČEŽARJI (po predhodnem operativnem programu 1.739 PE) in ID 20030 SV. ANTON (po predhodnem operativnem programu 1.258 PE) nastane združena aglomeracija ID 20030 Sveti Anton 2019 (3.112 PE),</w:t>
      </w:r>
    </w:p>
    <w:p w:rsidR="001C392E" w:rsidRPr="00B148B1" w:rsidRDefault="004E2DEA" w:rsidP="004C2581">
      <w:pPr>
        <w:pStyle w:val="Odstavekseznama"/>
        <w:numPr>
          <w:ilvl w:val="0"/>
          <w:numId w:val="6"/>
        </w:numPr>
        <w:tabs>
          <w:tab w:val="left" w:pos="360"/>
          <w:tab w:val="left" w:pos="9600"/>
        </w:tabs>
        <w:autoSpaceDE w:val="0"/>
        <w:autoSpaceDN w:val="0"/>
        <w:adjustRightInd w:val="0"/>
        <w:spacing w:before="120" w:line="276" w:lineRule="auto"/>
        <w:rPr>
          <w:rFonts w:eastAsiaTheme="minorHAnsi" w:cs="Arial"/>
          <w:color w:val="000000"/>
          <w:szCs w:val="20"/>
        </w:rPr>
      </w:pPr>
      <w:r w:rsidRPr="00B148B1">
        <w:rPr>
          <w:rFonts w:eastAsiaTheme="minorHAnsi" w:cs="Arial"/>
          <w:color w:val="000000"/>
          <w:szCs w:val="20"/>
        </w:rPr>
        <w:t>zaradi združitve aglomeracij iz predhodnega operativnega programa ID 955 KOZINA (po predhodnem operativnem programu 1.528 PE) in ID 30056 HRPELJE (po predhodnem operativnem programu 56 PE) nastane združena aglomeracija ID 955 Kozina 2019 (2.099 PE),</w:t>
      </w:r>
    </w:p>
    <w:p w:rsidR="001C392E" w:rsidRPr="00B148B1" w:rsidRDefault="004E2DEA" w:rsidP="004C2581">
      <w:pPr>
        <w:pStyle w:val="Odstavekseznama"/>
        <w:numPr>
          <w:ilvl w:val="0"/>
          <w:numId w:val="6"/>
        </w:numPr>
        <w:tabs>
          <w:tab w:val="left" w:pos="360"/>
          <w:tab w:val="left" w:pos="9600"/>
        </w:tabs>
        <w:autoSpaceDE w:val="0"/>
        <w:autoSpaceDN w:val="0"/>
        <w:adjustRightInd w:val="0"/>
        <w:spacing w:before="120" w:line="276" w:lineRule="auto"/>
        <w:rPr>
          <w:rFonts w:eastAsiaTheme="minorHAnsi" w:cs="Arial"/>
          <w:color w:val="000000"/>
          <w:szCs w:val="20"/>
        </w:rPr>
      </w:pPr>
      <w:r w:rsidRPr="00B148B1">
        <w:rPr>
          <w:rFonts w:eastAsiaTheme="minorHAnsi" w:cs="Arial"/>
          <w:color w:val="000000"/>
          <w:szCs w:val="20"/>
        </w:rPr>
        <w:t>zaradi združitve aglomeracij iz predhodnega operativnega programa ID 5261 LOŽ (po predhodnem operativnem programu 303 PE) in ID 5262 STARI TRG PRI LOŽU (po predhodnem operativnem programu 1.444 PE) nastane združena aglomeracija ID 5262 Stari trg pri Ložu 2019 (2.142 PE),</w:t>
      </w:r>
    </w:p>
    <w:p w:rsidR="001C392E" w:rsidRPr="00B148B1" w:rsidRDefault="004E2DEA" w:rsidP="004C2581">
      <w:pPr>
        <w:pStyle w:val="Odstavekseznama"/>
        <w:numPr>
          <w:ilvl w:val="0"/>
          <w:numId w:val="6"/>
        </w:numPr>
        <w:tabs>
          <w:tab w:val="left" w:pos="360"/>
          <w:tab w:val="left" w:pos="9600"/>
        </w:tabs>
        <w:autoSpaceDE w:val="0"/>
        <w:autoSpaceDN w:val="0"/>
        <w:adjustRightInd w:val="0"/>
        <w:spacing w:before="120" w:line="276" w:lineRule="auto"/>
        <w:rPr>
          <w:rFonts w:eastAsiaTheme="minorHAnsi" w:cs="Arial"/>
          <w:color w:val="000000"/>
          <w:szCs w:val="20"/>
        </w:rPr>
      </w:pPr>
      <w:r w:rsidRPr="00B148B1">
        <w:rPr>
          <w:rFonts w:eastAsiaTheme="minorHAnsi" w:cs="Arial"/>
          <w:color w:val="000000"/>
          <w:szCs w:val="20"/>
        </w:rPr>
        <w:t>zaradi združitve aglomeracij iz predhodnega operativnega programa ID 9362 ZABUKOVICA (po predhodnem operativnem programu 1.542 PE) in ID 9432 GRIZE (po predhodnem operativnem programu 1.764 PE) nastane združena aglomeracija ID 9362 Zabukovica 2019 (2.108 PE),</w:t>
      </w:r>
    </w:p>
    <w:p w:rsidR="001C392E" w:rsidRPr="00B148B1" w:rsidRDefault="004E2DEA" w:rsidP="004C2581">
      <w:pPr>
        <w:pStyle w:val="Odstavekseznama"/>
        <w:numPr>
          <w:ilvl w:val="0"/>
          <w:numId w:val="6"/>
        </w:numPr>
        <w:tabs>
          <w:tab w:val="left" w:pos="360"/>
          <w:tab w:val="left" w:pos="9600"/>
        </w:tabs>
        <w:autoSpaceDE w:val="0"/>
        <w:autoSpaceDN w:val="0"/>
        <w:adjustRightInd w:val="0"/>
        <w:spacing w:before="120" w:line="276" w:lineRule="auto"/>
        <w:rPr>
          <w:rFonts w:eastAsiaTheme="minorHAnsi" w:cs="Arial"/>
          <w:color w:val="000000"/>
          <w:szCs w:val="20"/>
        </w:rPr>
      </w:pPr>
      <w:r w:rsidRPr="00B148B1">
        <w:rPr>
          <w:rFonts w:eastAsiaTheme="minorHAnsi" w:cs="Arial"/>
          <w:color w:val="000000"/>
          <w:szCs w:val="20"/>
        </w:rPr>
        <w:t>zaradi združitve aglomeracij iz predhodnega operativnega programa ID 7790 PRIHOVA (po predhodnem operativnem programu 1.678 PE) in ID 8109 VARPOLJE (po predhodnem operativnem programu 881 PE) nastane združena aglomeracija ID 7790 Prihova 2019 (2.788 PE),</w:t>
      </w:r>
    </w:p>
    <w:p w:rsidR="001C392E" w:rsidRPr="00B148B1" w:rsidRDefault="004E2DEA" w:rsidP="004C2581">
      <w:pPr>
        <w:pStyle w:val="Odstavekseznama"/>
        <w:numPr>
          <w:ilvl w:val="0"/>
          <w:numId w:val="6"/>
        </w:numPr>
        <w:tabs>
          <w:tab w:val="left" w:pos="360"/>
          <w:tab w:val="left" w:pos="9600"/>
        </w:tabs>
        <w:autoSpaceDE w:val="0"/>
        <w:autoSpaceDN w:val="0"/>
        <w:adjustRightInd w:val="0"/>
        <w:spacing w:before="120" w:line="276" w:lineRule="auto"/>
        <w:rPr>
          <w:rFonts w:eastAsiaTheme="minorHAnsi" w:cs="Arial"/>
          <w:color w:val="000000"/>
          <w:szCs w:val="20"/>
        </w:rPr>
      </w:pPr>
      <w:r w:rsidRPr="00B148B1">
        <w:rPr>
          <w:rFonts w:eastAsiaTheme="minorHAnsi" w:cs="Arial"/>
          <w:color w:val="000000"/>
          <w:szCs w:val="20"/>
        </w:rPr>
        <w:t xml:space="preserve">zaradi združitve aglomeracij iz predhodnega operativnega programa ID 10704 TOLSTI VRH PRI MISLINJI (po predhodnem operativnem programu 1.837 PE), ID 10632 ŠENTILJ POD TURJAKOM (po predhodnem operativnem programu 196 PE) in ID 10611 ŠENTILJ POD TURJAKOM (po predhodnem operativnem programu 702 PE) nastane združena aglomeracija ID 10704 Šentilj </w:t>
      </w:r>
      <w:r w:rsidR="00405F0D" w:rsidRPr="00B148B1">
        <w:rPr>
          <w:rFonts w:eastAsiaTheme="minorHAnsi" w:cs="Arial"/>
          <w:color w:val="000000"/>
          <w:szCs w:val="20"/>
        </w:rPr>
        <w:t xml:space="preserve"> </w:t>
      </w:r>
      <w:r w:rsidR="00BB724C" w:rsidRPr="00B148B1">
        <w:t>–</w:t>
      </w:r>
      <w:r w:rsidR="00BB724C">
        <w:t xml:space="preserve"> </w:t>
      </w:r>
      <w:r w:rsidRPr="00B148B1">
        <w:rPr>
          <w:rFonts w:eastAsiaTheme="minorHAnsi" w:cs="Arial"/>
          <w:color w:val="000000"/>
          <w:szCs w:val="20"/>
        </w:rPr>
        <w:t>Mislinja 2019 (2.241 PE),</w:t>
      </w:r>
    </w:p>
    <w:p w:rsidR="001C392E" w:rsidRPr="00B148B1" w:rsidRDefault="004E2DEA" w:rsidP="004C2581">
      <w:pPr>
        <w:pStyle w:val="Odstavekseznama"/>
        <w:numPr>
          <w:ilvl w:val="0"/>
          <w:numId w:val="6"/>
        </w:numPr>
        <w:tabs>
          <w:tab w:val="left" w:pos="360"/>
          <w:tab w:val="left" w:pos="9600"/>
        </w:tabs>
        <w:autoSpaceDE w:val="0"/>
        <w:autoSpaceDN w:val="0"/>
        <w:adjustRightInd w:val="0"/>
        <w:spacing w:before="120" w:line="276" w:lineRule="auto"/>
        <w:rPr>
          <w:rFonts w:eastAsiaTheme="minorHAnsi" w:cs="Arial"/>
          <w:color w:val="000000"/>
          <w:szCs w:val="20"/>
        </w:rPr>
      </w:pPr>
      <w:r w:rsidRPr="00B148B1">
        <w:rPr>
          <w:rFonts w:eastAsiaTheme="minorHAnsi" w:cs="Arial"/>
          <w:color w:val="000000"/>
          <w:szCs w:val="20"/>
        </w:rPr>
        <w:t xml:space="preserve">zaradi združitve aglomeracij iz predhodnega operativnega programa ID 16491 MORJE (po predhodnem operativnem programu 1.392 PE) in ID 20844 FRAM (po predhodnem operativnem programu 118 PE) nastane združena aglomeracija ID 16491 Fram </w:t>
      </w:r>
      <w:r w:rsidR="00EA79F8" w:rsidRPr="00B148B1">
        <w:t>–</w:t>
      </w:r>
      <w:r w:rsidRPr="00B148B1">
        <w:rPr>
          <w:rFonts w:eastAsiaTheme="minorHAnsi" w:cs="Arial"/>
          <w:color w:val="000000"/>
          <w:szCs w:val="20"/>
        </w:rPr>
        <w:t xml:space="preserve"> Morje 2019 (2.144 PE),</w:t>
      </w:r>
    </w:p>
    <w:p w:rsidR="001C392E" w:rsidRPr="00B148B1" w:rsidRDefault="004E2DEA" w:rsidP="004C2581">
      <w:pPr>
        <w:pStyle w:val="Odstavekseznama"/>
        <w:numPr>
          <w:ilvl w:val="0"/>
          <w:numId w:val="6"/>
        </w:numPr>
        <w:tabs>
          <w:tab w:val="left" w:pos="360"/>
          <w:tab w:val="left" w:pos="9600"/>
        </w:tabs>
        <w:autoSpaceDE w:val="0"/>
        <w:autoSpaceDN w:val="0"/>
        <w:adjustRightInd w:val="0"/>
        <w:spacing w:before="120" w:line="276" w:lineRule="auto"/>
        <w:rPr>
          <w:rFonts w:eastAsiaTheme="minorHAnsi" w:cs="Arial"/>
          <w:color w:val="000000"/>
          <w:szCs w:val="20"/>
        </w:rPr>
      </w:pPr>
      <w:r w:rsidRPr="00B148B1">
        <w:rPr>
          <w:rFonts w:eastAsiaTheme="minorHAnsi" w:cs="Arial"/>
          <w:color w:val="000000"/>
          <w:szCs w:val="20"/>
        </w:rPr>
        <w:t>zaradi povečanja skupne obremenitve aglomeracije iz predhodnega operativnega programa ID 4162 ZABORŠT PRI DOLU (po predhodnem operativnem programu 1.858 PE) doseže aglomeracija ID 4162 Zaboršt pri Dolu 2019 (2.131</w:t>
      </w:r>
      <w:r w:rsidR="001C392E" w:rsidRPr="00B148B1">
        <w:rPr>
          <w:rFonts w:eastAsiaTheme="minorHAnsi" w:cs="Arial"/>
          <w:color w:val="000000"/>
          <w:szCs w:val="20"/>
        </w:rPr>
        <w:t xml:space="preserve"> PE) velikostni razred 2.000 PE,</w:t>
      </w:r>
    </w:p>
    <w:p w:rsidR="001C392E" w:rsidRPr="00B148B1" w:rsidRDefault="004E2DEA" w:rsidP="004C2581">
      <w:pPr>
        <w:pStyle w:val="Odstavekseznama"/>
        <w:numPr>
          <w:ilvl w:val="0"/>
          <w:numId w:val="6"/>
        </w:numPr>
        <w:tabs>
          <w:tab w:val="left" w:pos="360"/>
          <w:tab w:val="left" w:pos="9600"/>
        </w:tabs>
        <w:autoSpaceDE w:val="0"/>
        <w:autoSpaceDN w:val="0"/>
        <w:adjustRightInd w:val="0"/>
        <w:spacing w:before="120" w:line="276" w:lineRule="auto"/>
        <w:rPr>
          <w:rFonts w:eastAsiaTheme="minorHAnsi" w:cs="Arial"/>
          <w:color w:val="000000"/>
          <w:szCs w:val="20"/>
        </w:rPr>
      </w:pPr>
      <w:r w:rsidRPr="00B148B1">
        <w:rPr>
          <w:rFonts w:eastAsiaTheme="minorHAnsi" w:cs="Arial"/>
          <w:color w:val="000000"/>
          <w:szCs w:val="20"/>
        </w:rPr>
        <w:t>zaradi povečanja skupne obremenitve aglomeracije iz predhodnega operativnega programa ID 9498 RUŠE (po predhodnem operativnem programu 99 PE) doseže aglomeracija ID 9498 Gmajna 2019 (4.436 PE) velikostni razred 2.000 PE in</w:t>
      </w:r>
    </w:p>
    <w:p w:rsidR="001C392E" w:rsidRPr="00B148B1" w:rsidRDefault="001C392E" w:rsidP="004C2581">
      <w:pPr>
        <w:pStyle w:val="Odstavekseznama"/>
        <w:numPr>
          <w:ilvl w:val="0"/>
          <w:numId w:val="6"/>
        </w:numPr>
        <w:tabs>
          <w:tab w:val="left" w:pos="360"/>
          <w:tab w:val="left" w:pos="9600"/>
        </w:tabs>
        <w:autoSpaceDE w:val="0"/>
        <w:autoSpaceDN w:val="0"/>
        <w:adjustRightInd w:val="0"/>
        <w:spacing w:before="120" w:line="276" w:lineRule="auto"/>
        <w:rPr>
          <w:rFonts w:eastAsiaTheme="minorHAnsi" w:cs="Arial"/>
          <w:color w:val="000000"/>
          <w:szCs w:val="20"/>
        </w:rPr>
      </w:pPr>
      <w:r w:rsidRPr="00B148B1">
        <w:rPr>
          <w:rFonts w:eastAsiaTheme="minorHAnsi" w:cs="Arial"/>
          <w:color w:val="000000"/>
          <w:szCs w:val="20"/>
        </w:rPr>
        <w:t>zaradi povečanja skupne obremenitve aglomeracije iz predhodnega operativnega programa ID 2873 BOVEC (po predhodnem operativnem programu 1.981 PE) doseže aglomeracija ID 2873 Bovec 2019 (2.087 PE) velikostni razred 2.000 PE.</w:t>
      </w:r>
    </w:p>
    <w:p w:rsidR="00F149F3" w:rsidRPr="00B148B1" w:rsidRDefault="009C3FC4" w:rsidP="00761B11">
      <w:pPr>
        <w:pStyle w:val="Naslov2"/>
      </w:pPr>
      <w:bookmarkStart w:id="82" w:name="_Toc50628075"/>
      <w:r w:rsidRPr="00B148B1">
        <w:t xml:space="preserve">Spremembe aglomeracij </w:t>
      </w:r>
      <w:r w:rsidR="00F149F3" w:rsidRPr="00B148B1">
        <w:t>s skupno obremenitvijo, enako ali večjo od 10.000 PE in manjšo od 15.000 PE</w:t>
      </w:r>
      <w:bookmarkEnd w:id="82"/>
    </w:p>
    <w:p w:rsidR="004E2DEA" w:rsidRPr="00B148B1" w:rsidRDefault="004E2DEA" w:rsidP="001C392E">
      <w:pPr>
        <w:tabs>
          <w:tab w:val="left" w:pos="9600"/>
        </w:tabs>
        <w:autoSpaceDE w:val="0"/>
        <w:autoSpaceDN w:val="0"/>
        <w:adjustRightInd w:val="0"/>
        <w:spacing w:before="120" w:line="276" w:lineRule="auto"/>
        <w:rPr>
          <w:rFonts w:eastAsiaTheme="minorHAnsi" w:cs="Arial"/>
          <w:color w:val="000000"/>
          <w:szCs w:val="20"/>
        </w:rPr>
      </w:pPr>
      <w:r w:rsidRPr="00B148B1">
        <w:rPr>
          <w:rFonts w:eastAsiaTheme="minorHAnsi" w:cs="Arial"/>
          <w:color w:val="000000"/>
          <w:szCs w:val="20"/>
        </w:rPr>
        <w:t xml:space="preserve">Pri aglomeracijah s skupno obremenitvijo, enako ali večjo od 10.000 PE in manjšo od 15.000 PE, se število aglomeracij poveča za štiri aglomeracije, ki nastanejo na novo, hkrati se pri treh aglomeracijah iz predhodnega operativnega programa skupna obremenitev spremeni in </w:t>
      </w:r>
      <w:r w:rsidR="006A3AFC" w:rsidRPr="00B148B1">
        <w:rPr>
          <w:rFonts w:eastAsiaTheme="minorHAnsi" w:cs="Arial"/>
          <w:color w:val="000000"/>
          <w:szCs w:val="20"/>
        </w:rPr>
        <w:t>se izključijo</w:t>
      </w:r>
      <w:r w:rsidRPr="00B148B1">
        <w:rPr>
          <w:rFonts w:eastAsiaTheme="minorHAnsi" w:cs="Arial"/>
          <w:color w:val="000000"/>
          <w:szCs w:val="20"/>
        </w:rPr>
        <w:t xml:space="preserve"> iz tega velikostnega razreda. Skupno se torej število veljavnih aglomeracij s skupno obremenitvijo, enako ali večjo od 10.000 PE in manjšo od 15.000 PE, poveča za eno aglomeracijo. Spremembe so podrobneje opisane v nadaljevanju:</w:t>
      </w:r>
    </w:p>
    <w:p w:rsidR="004E2DEA" w:rsidRPr="00B148B1" w:rsidRDefault="004E2DEA" w:rsidP="004C2581">
      <w:pPr>
        <w:pStyle w:val="Odstavekseznama"/>
        <w:numPr>
          <w:ilvl w:val="0"/>
          <w:numId w:val="6"/>
        </w:numPr>
        <w:tabs>
          <w:tab w:val="left" w:pos="360"/>
          <w:tab w:val="left" w:pos="9600"/>
        </w:tabs>
        <w:autoSpaceDE w:val="0"/>
        <w:autoSpaceDN w:val="0"/>
        <w:adjustRightInd w:val="0"/>
        <w:spacing w:before="120" w:line="276" w:lineRule="auto"/>
        <w:rPr>
          <w:rFonts w:eastAsiaTheme="minorHAnsi" w:cs="Arial"/>
          <w:color w:val="000000"/>
          <w:szCs w:val="20"/>
        </w:rPr>
      </w:pPr>
      <w:r w:rsidRPr="00B148B1">
        <w:rPr>
          <w:rFonts w:eastAsiaTheme="minorHAnsi" w:cs="Arial"/>
          <w:color w:val="000000"/>
          <w:szCs w:val="20"/>
        </w:rPr>
        <w:lastRenderedPageBreak/>
        <w:t xml:space="preserve">nastane združena aglomeracija ID 5025 Grosuplje 2019 (10.965 PE), in sicer se z aglomeracijo iz predhodnega operativnega programa ID 5025 GROSUPLJE (po predhodnem operativnem programu 8.542 PE) združijo aglomeracije ID 5087 GROSPULJE (po predhodnem operativnem programu 68 PE), ID 5122 BREZJE PRI GROSUPLJEM (po predhodnem operativnem programu 1.011 PE), ID 5133 GROSPULJE (po predhodnem operativnem programu 112 PE) in ID 30229 GROSPULJE (po predhodnem operativnem programu 104 PE), </w:t>
      </w:r>
    </w:p>
    <w:p w:rsidR="004E2DEA" w:rsidRPr="00B148B1" w:rsidRDefault="004E2DEA" w:rsidP="004C2581">
      <w:pPr>
        <w:pStyle w:val="Odstavekseznama"/>
        <w:numPr>
          <w:ilvl w:val="0"/>
          <w:numId w:val="6"/>
        </w:numPr>
        <w:tabs>
          <w:tab w:val="left" w:pos="360"/>
          <w:tab w:val="left" w:pos="9600"/>
        </w:tabs>
        <w:autoSpaceDE w:val="0"/>
        <w:autoSpaceDN w:val="0"/>
        <w:adjustRightInd w:val="0"/>
        <w:spacing w:before="120" w:line="276" w:lineRule="auto"/>
        <w:rPr>
          <w:rFonts w:eastAsiaTheme="minorHAnsi" w:cs="Arial"/>
          <w:color w:val="000000"/>
          <w:szCs w:val="20"/>
        </w:rPr>
      </w:pPr>
      <w:r w:rsidRPr="00B148B1">
        <w:rPr>
          <w:rFonts w:eastAsiaTheme="minorHAnsi" w:cs="Arial"/>
          <w:color w:val="000000"/>
          <w:szCs w:val="20"/>
        </w:rPr>
        <w:t>nastane združena aglomeracija ID 1334 Ajdovščina 2019 (10.506 PE), in sicer se z aglomeracijo iz predhodnega operativnega programa ID 1334 ŽAPUŽE (po predhodnem operativnem programu 8.182 PE) združi aglomeracija ID 1365 AJDOVŠČINA (po predhodnem operativnem programu 372 PE),</w:t>
      </w:r>
    </w:p>
    <w:p w:rsidR="004E2DEA" w:rsidRPr="00B148B1" w:rsidRDefault="004E2DEA" w:rsidP="004C2581">
      <w:pPr>
        <w:pStyle w:val="Odstavekseznama"/>
        <w:numPr>
          <w:ilvl w:val="0"/>
          <w:numId w:val="6"/>
        </w:numPr>
        <w:tabs>
          <w:tab w:val="left" w:pos="360"/>
          <w:tab w:val="left" w:pos="9600"/>
        </w:tabs>
        <w:autoSpaceDE w:val="0"/>
        <w:autoSpaceDN w:val="0"/>
        <w:adjustRightInd w:val="0"/>
        <w:spacing w:before="120" w:line="276" w:lineRule="auto"/>
        <w:rPr>
          <w:rFonts w:eastAsiaTheme="minorHAnsi" w:cs="Arial"/>
          <w:color w:val="000000"/>
          <w:szCs w:val="20"/>
        </w:rPr>
      </w:pPr>
      <w:r w:rsidRPr="00B148B1">
        <w:rPr>
          <w:rFonts w:eastAsiaTheme="minorHAnsi" w:cs="Arial"/>
          <w:color w:val="000000"/>
          <w:szCs w:val="20"/>
        </w:rPr>
        <w:t>nastane združena aglomeracija ID 8235 Polzela 2019 (10.243 PE), in sicer se z aglomeracijo iz predhodnega operativnega programa ID 8235 POLZELA (po predhodnem operativnem programu 8.901 PE) združi aglomeracija ID 7940 LATKOVA VAS (po predhodnem operativnem programu 985 PE),</w:t>
      </w:r>
    </w:p>
    <w:p w:rsidR="004E2DEA" w:rsidRPr="00B148B1" w:rsidRDefault="004E2DEA" w:rsidP="004C2581">
      <w:pPr>
        <w:pStyle w:val="Odstavekseznama"/>
        <w:numPr>
          <w:ilvl w:val="0"/>
          <w:numId w:val="6"/>
        </w:numPr>
        <w:tabs>
          <w:tab w:val="left" w:pos="360"/>
          <w:tab w:val="left" w:pos="9600"/>
        </w:tabs>
        <w:autoSpaceDE w:val="0"/>
        <w:autoSpaceDN w:val="0"/>
        <w:adjustRightInd w:val="0"/>
        <w:spacing w:before="120" w:line="276" w:lineRule="auto"/>
        <w:rPr>
          <w:rFonts w:eastAsiaTheme="minorHAnsi" w:cs="Arial"/>
          <w:color w:val="000000"/>
          <w:szCs w:val="20"/>
        </w:rPr>
      </w:pPr>
      <w:r w:rsidRPr="00B148B1">
        <w:rPr>
          <w:rFonts w:eastAsiaTheme="minorHAnsi" w:cs="Arial"/>
          <w:color w:val="000000"/>
          <w:szCs w:val="20"/>
        </w:rPr>
        <w:t xml:space="preserve">v ta velikostni razred se iz višjega velikostnega razreda, torej iz </w:t>
      </w:r>
      <w:r w:rsidR="001112C4" w:rsidRPr="00B148B1">
        <w:rPr>
          <w:rFonts w:eastAsiaTheme="minorHAnsi" w:cs="Arial"/>
          <w:color w:val="000000"/>
          <w:szCs w:val="20"/>
        </w:rPr>
        <w:t xml:space="preserve">skupine </w:t>
      </w:r>
      <w:r w:rsidRPr="00B148B1">
        <w:rPr>
          <w:rFonts w:eastAsiaTheme="minorHAnsi" w:cs="Arial"/>
          <w:color w:val="000000"/>
          <w:szCs w:val="20"/>
        </w:rPr>
        <w:t>aglomeracij s skupno obremenitvijo, enako ali večjo od 15.000 PE, premakne aglomeracija ID 13080 Murska Sobota 2019 (14.192 PE), katere skupna obremenitev se zmanjša (po predhodnem operativnem programu 15.467 PE) predvsem zaradi nižje vrednosti dodatne obremenitve,</w:t>
      </w:r>
    </w:p>
    <w:p w:rsidR="001C392E" w:rsidRPr="00B148B1" w:rsidRDefault="004E2DEA" w:rsidP="004C2581">
      <w:pPr>
        <w:pStyle w:val="Odstavekseznama"/>
        <w:numPr>
          <w:ilvl w:val="0"/>
          <w:numId w:val="6"/>
        </w:numPr>
        <w:tabs>
          <w:tab w:val="left" w:pos="360"/>
          <w:tab w:val="left" w:pos="9600"/>
        </w:tabs>
        <w:autoSpaceDE w:val="0"/>
        <w:autoSpaceDN w:val="0"/>
        <w:adjustRightInd w:val="0"/>
        <w:spacing w:before="120" w:line="276" w:lineRule="auto"/>
        <w:rPr>
          <w:rFonts w:eastAsiaTheme="minorHAnsi" w:cs="Arial"/>
          <w:color w:val="000000"/>
          <w:szCs w:val="20"/>
        </w:rPr>
      </w:pPr>
      <w:r w:rsidRPr="00B148B1">
        <w:rPr>
          <w:rFonts w:eastAsiaTheme="minorHAnsi" w:cs="Arial"/>
          <w:color w:val="000000"/>
          <w:szCs w:val="20"/>
        </w:rPr>
        <w:t>v višji velikostni razred, torej med aglomeracije s skupno obremenitvijo, enako ali večjo od 15.000 PE, se premakne aglomeracija ID 5628 Kočevje 2019 (17.524 PE), katere skupna obremenitev se poveča (po predhodnem operativnem programu 13.299 PE) predvsem zaradi združitve z drugimi aglomeracijami iz predhodnega operativnega programa ID 5604 BREG PRI KOČEVJU (99 PE), ID 5608 KOČEVJE (82 PE), ID 5636 KOČEVJE (1.437 PE) in ID 5647 LIVOLD (646 PE),</w:t>
      </w:r>
    </w:p>
    <w:p w:rsidR="004E2DEA" w:rsidRPr="00B148B1" w:rsidRDefault="004E2DEA" w:rsidP="004C2581">
      <w:pPr>
        <w:pStyle w:val="Odstavekseznama"/>
        <w:numPr>
          <w:ilvl w:val="0"/>
          <w:numId w:val="6"/>
        </w:numPr>
        <w:tabs>
          <w:tab w:val="left" w:pos="360"/>
          <w:tab w:val="left" w:pos="9600"/>
        </w:tabs>
        <w:autoSpaceDE w:val="0"/>
        <w:autoSpaceDN w:val="0"/>
        <w:adjustRightInd w:val="0"/>
        <w:spacing w:before="120" w:line="276" w:lineRule="auto"/>
        <w:rPr>
          <w:rFonts w:eastAsiaTheme="minorHAnsi" w:cs="Arial"/>
          <w:color w:val="000000"/>
          <w:szCs w:val="20"/>
        </w:rPr>
      </w:pPr>
      <w:r w:rsidRPr="00B148B1">
        <w:rPr>
          <w:rFonts w:eastAsiaTheme="minorHAnsi" w:cs="Arial"/>
          <w:color w:val="000000"/>
          <w:szCs w:val="20"/>
        </w:rPr>
        <w:t>črta se aglomeracija iz predhodnega operativnega programa ID 16483 ČRNUČE (po predhodnem operativnem programu 10.648 PE), ki se priključi aglomeraciji ID 16481 Ljubljana 2019 (po predhodnem operativnem programu 302.293 PE), ki je v višjem velikostnem razredu, torej med aglomeracijami s skupno obremenitvijo, enako ali večjo od 15.000 PE (416.808 PE) in</w:t>
      </w:r>
    </w:p>
    <w:p w:rsidR="004E2DEA" w:rsidRPr="00B148B1" w:rsidRDefault="004E2DEA" w:rsidP="004C2581">
      <w:pPr>
        <w:pStyle w:val="Odstavekseznama"/>
        <w:numPr>
          <w:ilvl w:val="0"/>
          <w:numId w:val="6"/>
        </w:numPr>
        <w:tabs>
          <w:tab w:val="left" w:pos="360"/>
          <w:tab w:val="left" w:pos="9600"/>
        </w:tabs>
        <w:autoSpaceDE w:val="0"/>
        <w:autoSpaceDN w:val="0"/>
        <w:adjustRightInd w:val="0"/>
        <w:spacing w:before="120" w:line="276" w:lineRule="auto"/>
        <w:rPr>
          <w:rFonts w:eastAsiaTheme="minorHAnsi" w:cs="Arial"/>
          <w:color w:val="000000"/>
          <w:szCs w:val="20"/>
        </w:rPr>
      </w:pPr>
      <w:r w:rsidRPr="00B148B1">
        <w:rPr>
          <w:rFonts w:eastAsiaTheme="minorHAnsi" w:cs="Arial"/>
          <w:color w:val="000000"/>
          <w:szCs w:val="20"/>
        </w:rPr>
        <w:t>iz tega velikostnega razreda se v nižji velikostni razred, torej med aglomeracije s skupno obremenitvijo, enako ali večjo od 2.000 PE in manjšo d 10.000 PE, premakne aglomeracija iz predhodnega operat</w:t>
      </w:r>
      <w:r w:rsidR="004F6FD5" w:rsidRPr="00B148B1">
        <w:rPr>
          <w:rFonts w:eastAsiaTheme="minorHAnsi" w:cs="Arial"/>
          <w:color w:val="000000"/>
          <w:szCs w:val="20"/>
        </w:rPr>
        <w:t>ivnega programa ID 20007 LITIJA</w:t>
      </w:r>
      <w:r w:rsidRPr="00B148B1">
        <w:rPr>
          <w:rFonts w:eastAsiaTheme="minorHAnsi" w:cs="Arial"/>
          <w:color w:val="000000"/>
          <w:szCs w:val="20"/>
        </w:rPr>
        <w:t xml:space="preserve"> </w:t>
      </w:r>
      <w:r w:rsidR="001112C4" w:rsidRPr="00B148B1">
        <w:rPr>
          <w:rFonts w:eastAsiaTheme="minorHAnsi" w:cs="Arial"/>
          <w:color w:val="000000"/>
          <w:szCs w:val="20"/>
        </w:rPr>
        <w:t xml:space="preserve">- </w:t>
      </w:r>
      <w:r w:rsidRPr="00B148B1">
        <w:rPr>
          <w:rFonts w:eastAsiaTheme="minorHAnsi" w:cs="Arial"/>
          <w:color w:val="000000"/>
          <w:szCs w:val="20"/>
        </w:rPr>
        <w:t xml:space="preserve">ŠMARTNO (po predhodnem operativnem programu 10.215 PE, veljavna aglomeracija ID 20007 Litija </w:t>
      </w:r>
      <w:r w:rsidR="001112C4" w:rsidRPr="00B148B1">
        <w:rPr>
          <w:rFonts w:eastAsiaTheme="minorHAnsi" w:cs="Arial"/>
          <w:color w:val="000000"/>
          <w:szCs w:val="20"/>
        </w:rPr>
        <w:t xml:space="preserve">- </w:t>
      </w:r>
      <w:r w:rsidRPr="00B148B1">
        <w:rPr>
          <w:rFonts w:eastAsiaTheme="minorHAnsi" w:cs="Arial"/>
          <w:color w:val="000000"/>
          <w:szCs w:val="20"/>
        </w:rPr>
        <w:t>Šmartno 2019 9.335 PE).</w:t>
      </w:r>
    </w:p>
    <w:p w:rsidR="006829B7" w:rsidRPr="00B148B1" w:rsidRDefault="006829B7" w:rsidP="008E5E8C">
      <w:pPr>
        <w:pStyle w:val="Naslov2"/>
      </w:pPr>
      <w:bookmarkStart w:id="83" w:name="_Toc50628076"/>
      <w:r w:rsidRPr="00B148B1">
        <w:t>Spremembe aglomeracij s skupno obremenitvijo, enako ali večjo od 15.000 PE</w:t>
      </w:r>
      <w:bookmarkEnd w:id="83"/>
    </w:p>
    <w:p w:rsidR="00A1772A" w:rsidRPr="00B148B1" w:rsidRDefault="00C455DB" w:rsidP="001C392E">
      <w:pPr>
        <w:tabs>
          <w:tab w:val="left" w:pos="9600"/>
        </w:tabs>
        <w:spacing w:before="120" w:line="276" w:lineRule="auto"/>
        <w:rPr>
          <w:rFonts w:cs="Arial"/>
          <w:szCs w:val="20"/>
        </w:rPr>
      </w:pPr>
      <w:r w:rsidRPr="00B148B1">
        <w:rPr>
          <w:rFonts w:cs="Arial"/>
          <w:szCs w:val="20"/>
        </w:rPr>
        <w:t>Pri aglomeracijah s skupno obremenitvijo</w:t>
      </w:r>
      <w:r w:rsidR="00B4546B" w:rsidRPr="00B148B1">
        <w:rPr>
          <w:rFonts w:cs="Arial"/>
          <w:szCs w:val="20"/>
        </w:rPr>
        <w:t>,</w:t>
      </w:r>
      <w:r w:rsidRPr="00B148B1">
        <w:rPr>
          <w:rFonts w:cs="Arial"/>
          <w:szCs w:val="20"/>
        </w:rPr>
        <w:t xml:space="preserve"> enako ali večjo od 15.000 PE</w:t>
      </w:r>
      <w:r w:rsidR="00B4546B" w:rsidRPr="00B148B1">
        <w:rPr>
          <w:rFonts w:cs="Arial"/>
          <w:szCs w:val="20"/>
        </w:rPr>
        <w:t>,</w:t>
      </w:r>
      <w:r w:rsidRPr="00B148B1">
        <w:rPr>
          <w:rFonts w:cs="Arial"/>
          <w:szCs w:val="20"/>
        </w:rPr>
        <w:t xml:space="preserve"> se število aglomeracij poveča</w:t>
      </w:r>
      <w:r w:rsidR="00B4546B" w:rsidRPr="00B148B1">
        <w:rPr>
          <w:rFonts w:cs="Arial"/>
          <w:szCs w:val="20"/>
        </w:rPr>
        <w:t xml:space="preserve"> za </w:t>
      </w:r>
      <w:r w:rsidR="009A2DAE" w:rsidRPr="00B148B1">
        <w:rPr>
          <w:rFonts w:cs="Arial"/>
          <w:szCs w:val="20"/>
        </w:rPr>
        <w:t>eno</w:t>
      </w:r>
      <w:r w:rsidR="00D12269" w:rsidRPr="00B148B1">
        <w:rPr>
          <w:rFonts w:cs="Arial"/>
          <w:szCs w:val="20"/>
        </w:rPr>
        <w:t>,</w:t>
      </w:r>
      <w:r w:rsidRPr="00B148B1">
        <w:rPr>
          <w:rFonts w:cs="Arial"/>
          <w:szCs w:val="20"/>
        </w:rPr>
        <w:t xml:space="preserve"> in sicer</w:t>
      </w:r>
      <w:r w:rsidR="00A1772A" w:rsidRPr="00B148B1">
        <w:rPr>
          <w:rFonts w:cs="Arial"/>
          <w:szCs w:val="20"/>
        </w:rPr>
        <w:t xml:space="preserve"> se, kot navedeno, v nižji velikostni razred premakne aglomeracija </w:t>
      </w:r>
      <w:r w:rsidR="006829B7" w:rsidRPr="00B148B1">
        <w:rPr>
          <w:rFonts w:cs="Arial"/>
          <w:szCs w:val="20"/>
        </w:rPr>
        <w:t xml:space="preserve">iz predhodnega operativnega programa </w:t>
      </w:r>
      <w:r w:rsidR="00A1772A" w:rsidRPr="00B148B1">
        <w:rPr>
          <w:rFonts w:cs="Arial"/>
          <w:szCs w:val="20"/>
        </w:rPr>
        <w:t>ID 13080 MURSKA SOBOTA</w:t>
      </w:r>
      <w:r w:rsidR="006829B7" w:rsidRPr="00B148B1">
        <w:rPr>
          <w:rFonts w:cs="Arial"/>
          <w:szCs w:val="20"/>
        </w:rPr>
        <w:t xml:space="preserve"> (po predhodnem operativnem programu </w:t>
      </w:r>
      <w:r w:rsidR="00265CB0" w:rsidRPr="00B148B1">
        <w:rPr>
          <w:rFonts w:cs="Arial"/>
          <w:szCs w:val="20"/>
        </w:rPr>
        <w:t xml:space="preserve">15.467 </w:t>
      </w:r>
      <w:r w:rsidR="006829B7" w:rsidRPr="00B148B1">
        <w:rPr>
          <w:rFonts w:cs="Arial"/>
          <w:szCs w:val="20"/>
        </w:rPr>
        <w:t>PE)</w:t>
      </w:r>
      <w:r w:rsidR="00A1772A" w:rsidRPr="00B148B1">
        <w:rPr>
          <w:rFonts w:cs="Arial"/>
          <w:szCs w:val="20"/>
        </w:rPr>
        <w:t>, hkrati pa:</w:t>
      </w:r>
    </w:p>
    <w:p w:rsidR="004E2DEA" w:rsidRPr="00B148B1" w:rsidRDefault="004E2DEA" w:rsidP="004C2581">
      <w:pPr>
        <w:pStyle w:val="Odstavekseznama"/>
        <w:numPr>
          <w:ilvl w:val="0"/>
          <w:numId w:val="6"/>
        </w:numPr>
        <w:tabs>
          <w:tab w:val="left" w:pos="360"/>
          <w:tab w:val="left" w:pos="9600"/>
        </w:tabs>
        <w:autoSpaceDE w:val="0"/>
        <w:autoSpaceDN w:val="0"/>
        <w:adjustRightInd w:val="0"/>
        <w:spacing w:before="120" w:line="276" w:lineRule="auto"/>
        <w:rPr>
          <w:rFonts w:eastAsiaTheme="minorHAnsi" w:cs="Arial"/>
          <w:color w:val="000000"/>
          <w:szCs w:val="20"/>
        </w:rPr>
      </w:pPr>
      <w:r w:rsidRPr="00B148B1">
        <w:rPr>
          <w:rFonts w:eastAsiaTheme="minorHAnsi" w:cs="Arial"/>
          <w:color w:val="000000"/>
          <w:szCs w:val="20"/>
        </w:rPr>
        <w:t>se aglomeracija ID 5628 Kočevje 2019, katere skupna obremenitev je po predhodnem operativnem programu znašala manj od 15.000 PE (po predhodnem operativnem programu 13.299 PE), poveča zaradi združitve s štirimi aglomeracijami iz predhodnega operativnega programa, t.</w:t>
      </w:r>
      <w:r w:rsidR="001112C4" w:rsidRPr="00B148B1">
        <w:rPr>
          <w:rFonts w:eastAsiaTheme="minorHAnsi" w:cs="Arial"/>
          <w:color w:val="000000"/>
          <w:szCs w:val="20"/>
        </w:rPr>
        <w:t xml:space="preserve"> </w:t>
      </w:r>
      <w:r w:rsidRPr="00B148B1">
        <w:rPr>
          <w:rFonts w:eastAsiaTheme="minorHAnsi" w:cs="Arial"/>
          <w:color w:val="000000"/>
          <w:szCs w:val="20"/>
        </w:rPr>
        <w:t xml:space="preserve">j. ID 5604 BREG PRI KOČEVJU (po predhodnem operativnem programu 99 PE), ID 5608 KOČEVJE (po predhodnem operativnem programu 82 PE), ID 5636 KOČEVJE (po predhodnem operativnem programu 1.437 PE) in ID 5647 LIVOLD (po predhodnem operativnem programu 646 PE), in </w:t>
      </w:r>
    </w:p>
    <w:p w:rsidR="00C455DB" w:rsidRPr="00B148B1" w:rsidRDefault="004E2DEA" w:rsidP="004C2581">
      <w:pPr>
        <w:pStyle w:val="Odstavekseznama"/>
        <w:numPr>
          <w:ilvl w:val="0"/>
          <w:numId w:val="6"/>
        </w:numPr>
        <w:tabs>
          <w:tab w:val="left" w:pos="360"/>
          <w:tab w:val="left" w:pos="9600"/>
        </w:tabs>
        <w:autoSpaceDE w:val="0"/>
        <w:autoSpaceDN w:val="0"/>
        <w:adjustRightInd w:val="0"/>
        <w:spacing w:before="120" w:line="276" w:lineRule="auto"/>
        <w:rPr>
          <w:rFonts w:eastAsiaTheme="minorHAnsi" w:cs="Arial"/>
          <w:color w:val="000000"/>
          <w:szCs w:val="20"/>
        </w:rPr>
      </w:pPr>
      <w:r w:rsidRPr="00B148B1">
        <w:rPr>
          <w:rFonts w:eastAsiaTheme="minorHAnsi" w:cs="Arial"/>
          <w:color w:val="000000"/>
          <w:szCs w:val="20"/>
        </w:rPr>
        <w:lastRenderedPageBreak/>
        <w:t>se aglomeracija ID 20004 Mengeš 2019, katere skupna obremenitev je po predhodnem operativnem programu znašala manj od 15.000 PE (po predhodnem operativnem programu 8.480 PE), poveča zaradi združitve s tremi aglomeracijami iz predhodnega operativnega programa, t.</w:t>
      </w:r>
      <w:r w:rsidR="001112C4" w:rsidRPr="00B148B1">
        <w:rPr>
          <w:rFonts w:eastAsiaTheme="minorHAnsi" w:cs="Arial"/>
          <w:color w:val="000000"/>
          <w:szCs w:val="20"/>
        </w:rPr>
        <w:t xml:space="preserve"> </w:t>
      </w:r>
      <w:r w:rsidRPr="00B148B1">
        <w:rPr>
          <w:rFonts w:eastAsiaTheme="minorHAnsi" w:cs="Arial"/>
          <w:color w:val="000000"/>
          <w:szCs w:val="20"/>
        </w:rPr>
        <w:t>j. ID 4051 LOKA PRI MENGŠU (po predhodnem operativnem programu 82 PE), ID 20005 TRZIN (po predhodnem operativnem programu 5.279 PE) in ID 4074 TOPOLE (po predhodnem operativnem programu 273 PE).</w:t>
      </w:r>
    </w:p>
    <w:p w:rsidR="00D774EB" w:rsidRPr="00B148B1" w:rsidRDefault="00D774EB" w:rsidP="001843E3">
      <w:pPr>
        <w:tabs>
          <w:tab w:val="left" w:pos="9600"/>
        </w:tabs>
        <w:spacing w:before="120" w:line="280" w:lineRule="atLeast"/>
        <w:rPr>
          <w:rFonts w:cs="Arial"/>
          <w:szCs w:val="20"/>
        </w:rPr>
      </w:pPr>
      <w:bookmarkStart w:id="84" w:name="_Toc50626723"/>
      <w:r w:rsidRPr="00B148B1">
        <w:rPr>
          <w:rFonts w:cs="Arial"/>
          <w:szCs w:val="20"/>
        </w:rPr>
        <w:t>Preglednica</w:t>
      </w:r>
      <w:r w:rsidR="00814432">
        <w:rPr>
          <w:rFonts w:cs="Arial"/>
          <w:szCs w:val="20"/>
        </w:rPr>
        <w:t xml:space="preserve"> </w:t>
      </w:r>
      <w:r w:rsidRPr="00B148B1">
        <w:rPr>
          <w:rFonts w:cs="Arial"/>
          <w:szCs w:val="20"/>
        </w:rPr>
        <w:fldChar w:fldCharType="begin"/>
      </w:r>
      <w:r w:rsidRPr="00B148B1">
        <w:rPr>
          <w:rFonts w:cs="Arial"/>
          <w:szCs w:val="20"/>
        </w:rPr>
        <w:instrText xml:space="preserve"> SEQ Preglednica \* ARABIC </w:instrText>
      </w:r>
      <w:r w:rsidRPr="00B148B1">
        <w:rPr>
          <w:rFonts w:cs="Arial"/>
          <w:szCs w:val="20"/>
        </w:rPr>
        <w:fldChar w:fldCharType="separate"/>
      </w:r>
      <w:r w:rsidR="00E92793">
        <w:rPr>
          <w:rFonts w:cs="Arial"/>
          <w:noProof/>
          <w:szCs w:val="20"/>
        </w:rPr>
        <w:t>7</w:t>
      </w:r>
      <w:r w:rsidRPr="00B148B1">
        <w:rPr>
          <w:rFonts w:cs="Arial"/>
          <w:szCs w:val="20"/>
        </w:rPr>
        <w:fldChar w:fldCharType="end"/>
      </w:r>
      <w:r w:rsidRPr="00B148B1">
        <w:rPr>
          <w:rFonts w:cs="Arial"/>
          <w:szCs w:val="20"/>
        </w:rPr>
        <w:t xml:space="preserve">: Spremembe aglomeracij glede na </w:t>
      </w:r>
      <w:r w:rsidR="00D7312E" w:rsidRPr="00B148B1">
        <w:rPr>
          <w:rFonts w:cs="Arial"/>
          <w:szCs w:val="20"/>
        </w:rPr>
        <w:t>aglomeracije iz predhodnega operativnega programa</w:t>
      </w:r>
      <w:bookmarkEnd w:id="84"/>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127"/>
        <w:gridCol w:w="849"/>
        <w:gridCol w:w="922"/>
        <w:gridCol w:w="886"/>
        <w:gridCol w:w="886"/>
        <w:gridCol w:w="851"/>
        <w:gridCol w:w="920"/>
        <w:gridCol w:w="886"/>
        <w:gridCol w:w="887"/>
      </w:tblGrid>
      <w:tr w:rsidR="00D774EB" w:rsidRPr="00B148B1" w:rsidTr="00B803AE">
        <w:trPr>
          <w:trHeight w:val="340"/>
          <w:tblHeader/>
        </w:trPr>
        <w:tc>
          <w:tcPr>
            <w:tcW w:w="2127" w:type="dxa"/>
            <w:noWrap/>
            <w:vAlign w:val="bottom"/>
            <w:hideMark/>
          </w:tcPr>
          <w:p w:rsidR="00D774EB" w:rsidRPr="00B148B1" w:rsidRDefault="00D774EB" w:rsidP="006A72BD">
            <w:pPr>
              <w:spacing w:line="240" w:lineRule="auto"/>
              <w:rPr>
                <w:rFonts w:cs="Arial"/>
                <w:sz w:val="16"/>
                <w:szCs w:val="16"/>
                <w:lang w:eastAsia="sl-SI"/>
              </w:rPr>
            </w:pPr>
          </w:p>
        </w:tc>
        <w:tc>
          <w:tcPr>
            <w:tcW w:w="3543" w:type="dxa"/>
            <w:gridSpan w:val="4"/>
            <w:vAlign w:val="center"/>
            <w:hideMark/>
          </w:tcPr>
          <w:p w:rsidR="00D774EB" w:rsidRPr="00B148B1" w:rsidRDefault="00052E69" w:rsidP="00052E69">
            <w:pPr>
              <w:spacing w:line="240" w:lineRule="auto"/>
              <w:jc w:val="center"/>
              <w:rPr>
                <w:rFonts w:cs="Arial"/>
                <w:b/>
                <w:bCs/>
                <w:iCs/>
                <w:color w:val="000000"/>
                <w:sz w:val="16"/>
                <w:szCs w:val="16"/>
                <w:lang w:eastAsia="sl-SI"/>
              </w:rPr>
            </w:pPr>
            <w:r w:rsidRPr="00B148B1">
              <w:rPr>
                <w:rFonts w:cs="Arial"/>
                <w:b/>
                <w:bCs/>
                <w:iCs/>
                <w:color w:val="000000"/>
                <w:sz w:val="16"/>
                <w:szCs w:val="16"/>
                <w:lang w:eastAsia="sl-SI"/>
              </w:rPr>
              <w:t>Predhodne aglomeracije</w:t>
            </w:r>
          </w:p>
        </w:tc>
        <w:tc>
          <w:tcPr>
            <w:tcW w:w="3544" w:type="dxa"/>
            <w:gridSpan w:val="4"/>
            <w:vAlign w:val="center"/>
            <w:hideMark/>
          </w:tcPr>
          <w:p w:rsidR="00D774EB" w:rsidRPr="00B148B1" w:rsidRDefault="00052E69" w:rsidP="00052E69">
            <w:pPr>
              <w:spacing w:line="240" w:lineRule="auto"/>
              <w:jc w:val="center"/>
              <w:rPr>
                <w:rFonts w:cs="Arial"/>
                <w:b/>
                <w:bCs/>
                <w:iCs/>
                <w:color w:val="000000"/>
                <w:sz w:val="16"/>
                <w:szCs w:val="16"/>
                <w:lang w:eastAsia="sl-SI"/>
              </w:rPr>
            </w:pPr>
            <w:r w:rsidRPr="00B148B1">
              <w:rPr>
                <w:rFonts w:cs="Arial"/>
                <w:b/>
                <w:bCs/>
                <w:iCs/>
                <w:color w:val="000000"/>
                <w:sz w:val="16"/>
                <w:szCs w:val="16"/>
                <w:lang w:eastAsia="sl-SI"/>
              </w:rPr>
              <w:t>Veljavne</w:t>
            </w:r>
            <w:r w:rsidR="005266E5" w:rsidRPr="00B148B1">
              <w:rPr>
                <w:rFonts w:cs="Arial"/>
                <w:b/>
                <w:bCs/>
                <w:iCs/>
                <w:color w:val="000000"/>
                <w:sz w:val="16"/>
                <w:szCs w:val="16"/>
                <w:lang w:eastAsia="sl-SI"/>
              </w:rPr>
              <w:t xml:space="preserve"> </w:t>
            </w:r>
            <w:r w:rsidR="0092722B" w:rsidRPr="00B148B1">
              <w:rPr>
                <w:rFonts w:cs="Arial"/>
                <w:b/>
                <w:bCs/>
                <w:iCs/>
                <w:color w:val="000000"/>
                <w:sz w:val="16"/>
                <w:szCs w:val="16"/>
                <w:lang w:eastAsia="sl-SI"/>
              </w:rPr>
              <w:t>aglomeracije</w:t>
            </w:r>
          </w:p>
        </w:tc>
      </w:tr>
      <w:tr w:rsidR="007D0A6E" w:rsidRPr="00B148B1" w:rsidTr="00B803AE">
        <w:trPr>
          <w:trHeight w:val="340"/>
          <w:tblHeader/>
        </w:trPr>
        <w:tc>
          <w:tcPr>
            <w:tcW w:w="2127" w:type="dxa"/>
            <w:vAlign w:val="bottom"/>
          </w:tcPr>
          <w:p w:rsidR="00D774EB" w:rsidRPr="00B148B1" w:rsidRDefault="00D774EB" w:rsidP="006A72BD">
            <w:pPr>
              <w:spacing w:line="240" w:lineRule="auto"/>
              <w:rPr>
                <w:rFonts w:cs="Arial"/>
                <w:b/>
                <w:bCs/>
                <w:iCs/>
                <w:color w:val="000000"/>
                <w:sz w:val="16"/>
                <w:szCs w:val="16"/>
                <w:lang w:eastAsia="sl-SI"/>
              </w:rPr>
            </w:pPr>
          </w:p>
        </w:tc>
        <w:tc>
          <w:tcPr>
            <w:tcW w:w="849" w:type="dxa"/>
            <w:noWrap/>
            <w:vAlign w:val="center"/>
            <w:hideMark/>
          </w:tcPr>
          <w:p w:rsidR="00D774EB" w:rsidRPr="00B148B1" w:rsidRDefault="00D774EB" w:rsidP="006A72BD">
            <w:pPr>
              <w:spacing w:line="240" w:lineRule="auto"/>
              <w:jc w:val="center"/>
              <w:rPr>
                <w:rFonts w:cs="Arial"/>
                <w:b/>
                <w:bCs/>
                <w:iCs/>
                <w:color w:val="000000"/>
                <w:sz w:val="16"/>
                <w:szCs w:val="16"/>
                <w:lang w:eastAsia="sl-SI"/>
              </w:rPr>
            </w:pPr>
            <w:r w:rsidRPr="00B148B1">
              <w:rPr>
                <w:rFonts w:cs="Arial"/>
                <w:b/>
                <w:bCs/>
                <w:iCs/>
                <w:color w:val="000000"/>
                <w:sz w:val="16"/>
                <w:szCs w:val="16"/>
                <w:lang w:eastAsia="sl-SI"/>
              </w:rPr>
              <w:t>Število</w:t>
            </w:r>
          </w:p>
        </w:tc>
        <w:tc>
          <w:tcPr>
            <w:tcW w:w="2694" w:type="dxa"/>
            <w:gridSpan w:val="3"/>
            <w:noWrap/>
            <w:vAlign w:val="center"/>
            <w:hideMark/>
          </w:tcPr>
          <w:p w:rsidR="00D774EB" w:rsidRPr="00B148B1" w:rsidRDefault="00D774EB" w:rsidP="006A72BD">
            <w:pPr>
              <w:spacing w:line="240" w:lineRule="auto"/>
              <w:jc w:val="center"/>
              <w:rPr>
                <w:rFonts w:cs="Arial"/>
                <w:b/>
                <w:bCs/>
                <w:iCs/>
                <w:color w:val="000000"/>
                <w:sz w:val="16"/>
                <w:szCs w:val="16"/>
                <w:lang w:eastAsia="sl-SI"/>
              </w:rPr>
            </w:pPr>
            <w:r w:rsidRPr="00B148B1">
              <w:rPr>
                <w:rFonts w:cs="Arial"/>
                <w:b/>
                <w:bCs/>
                <w:iCs/>
                <w:color w:val="000000"/>
                <w:sz w:val="16"/>
                <w:szCs w:val="16"/>
                <w:lang w:eastAsia="sl-SI"/>
              </w:rPr>
              <w:t>Obremenitev</w:t>
            </w:r>
          </w:p>
        </w:tc>
        <w:tc>
          <w:tcPr>
            <w:tcW w:w="851" w:type="dxa"/>
            <w:noWrap/>
            <w:vAlign w:val="center"/>
            <w:hideMark/>
          </w:tcPr>
          <w:p w:rsidR="00D774EB" w:rsidRPr="00B148B1" w:rsidRDefault="00D774EB" w:rsidP="006A72BD">
            <w:pPr>
              <w:spacing w:line="240" w:lineRule="auto"/>
              <w:jc w:val="center"/>
              <w:rPr>
                <w:rFonts w:cs="Arial"/>
                <w:b/>
                <w:bCs/>
                <w:iCs/>
                <w:color w:val="000000"/>
                <w:sz w:val="16"/>
                <w:szCs w:val="16"/>
                <w:lang w:eastAsia="sl-SI"/>
              </w:rPr>
            </w:pPr>
            <w:r w:rsidRPr="00B148B1">
              <w:rPr>
                <w:rFonts w:cs="Arial"/>
                <w:b/>
                <w:bCs/>
                <w:iCs/>
                <w:color w:val="000000"/>
                <w:sz w:val="16"/>
                <w:szCs w:val="16"/>
                <w:lang w:eastAsia="sl-SI"/>
              </w:rPr>
              <w:t>Število</w:t>
            </w:r>
          </w:p>
        </w:tc>
        <w:tc>
          <w:tcPr>
            <w:tcW w:w="2693" w:type="dxa"/>
            <w:gridSpan w:val="3"/>
            <w:noWrap/>
            <w:vAlign w:val="center"/>
            <w:hideMark/>
          </w:tcPr>
          <w:p w:rsidR="00D774EB" w:rsidRPr="00B148B1" w:rsidRDefault="00D774EB" w:rsidP="006A72BD">
            <w:pPr>
              <w:spacing w:line="240" w:lineRule="auto"/>
              <w:jc w:val="center"/>
              <w:rPr>
                <w:rFonts w:cs="Arial"/>
                <w:b/>
                <w:bCs/>
                <w:iCs/>
                <w:color w:val="000000"/>
                <w:sz w:val="16"/>
                <w:szCs w:val="16"/>
                <w:lang w:eastAsia="sl-SI"/>
              </w:rPr>
            </w:pPr>
            <w:r w:rsidRPr="00B148B1">
              <w:rPr>
                <w:rFonts w:cs="Arial"/>
                <w:b/>
                <w:bCs/>
                <w:iCs/>
                <w:color w:val="000000"/>
                <w:sz w:val="16"/>
                <w:szCs w:val="16"/>
                <w:lang w:eastAsia="sl-SI"/>
              </w:rPr>
              <w:t>Obremenitev</w:t>
            </w:r>
          </w:p>
        </w:tc>
      </w:tr>
      <w:tr w:rsidR="005A7B2B" w:rsidRPr="00B148B1" w:rsidTr="00B803AE">
        <w:trPr>
          <w:trHeight w:val="680"/>
          <w:tblHeader/>
        </w:trPr>
        <w:tc>
          <w:tcPr>
            <w:tcW w:w="2127" w:type="dxa"/>
            <w:vAlign w:val="center"/>
            <w:hideMark/>
          </w:tcPr>
          <w:p w:rsidR="00D774EB" w:rsidRPr="00B148B1" w:rsidRDefault="0092722B" w:rsidP="00EE78A0">
            <w:pPr>
              <w:spacing w:line="240" w:lineRule="auto"/>
              <w:jc w:val="center"/>
              <w:rPr>
                <w:rFonts w:cs="Arial"/>
                <w:b/>
                <w:bCs/>
                <w:iCs/>
                <w:color w:val="000000"/>
                <w:sz w:val="16"/>
                <w:szCs w:val="16"/>
                <w:lang w:eastAsia="sl-SI"/>
              </w:rPr>
            </w:pPr>
            <w:r w:rsidRPr="00B148B1">
              <w:rPr>
                <w:rFonts w:cs="Arial"/>
                <w:b/>
                <w:bCs/>
                <w:iCs/>
                <w:color w:val="000000"/>
                <w:sz w:val="16"/>
                <w:szCs w:val="16"/>
                <w:lang w:eastAsia="sl-SI"/>
              </w:rPr>
              <w:t>Velikostni razredi aglomeracij</w:t>
            </w:r>
          </w:p>
        </w:tc>
        <w:tc>
          <w:tcPr>
            <w:tcW w:w="849" w:type="dxa"/>
            <w:noWrap/>
            <w:vAlign w:val="center"/>
            <w:hideMark/>
          </w:tcPr>
          <w:p w:rsidR="00D774EB" w:rsidRPr="00B148B1" w:rsidRDefault="00D774EB" w:rsidP="00D7312E">
            <w:pPr>
              <w:spacing w:line="240" w:lineRule="auto"/>
              <w:rPr>
                <w:rFonts w:cs="Arial"/>
                <w:sz w:val="16"/>
                <w:szCs w:val="16"/>
                <w:lang w:eastAsia="sl-SI"/>
              </w:rPr>
            </w:pPr>
          </w:p>
        </w:tc>
        <w:tc>
          <w:tcPr>
            <w:tcW w:w="922" w:type="dxa"/>
            <w:noWrap/>
            <w:vAlign w:val="center"/>
            <w:hideMark/>
          </w:tcPr>
          <w:p w:rsidR="00D774EB" w:rsidRPr="00B148B1" w:rsidRDefault="00D774EB" w:rsidP="00D7312E">
            <w:pPr>
              <w:spacing w:line="240" w:lineRule="auto"/>
              <w:jc w:val="center"/>
              <w:rPr>
                <w:rFonts w:cs="Arial"/>
                <w:b/>
                <w:bCs/>
                <w:iCs/>
                <w:color w:val="000000"/>
                <w:sz w:val="16"/>
                <w:szCs w:val="16"/>
                <w:lang w:eastAsia="sl-SI"/>
              </w:rPr>
            </w:pPr>
            <w:r w:rsidRPr="00B148B1">
              <w:rPr>
                <w:rFonts w:cs="Arial"/>
                <w:b/>
                <w:bCs/>
                <w:iCs/>
                <w:color w:val="000000"/>
                <w:sz w:val="16"/>
                <w:szCs w:val="16"/>
                <w:lang w:eastAsia="sl-SI"/>
              </w:rPr>
              <w:t>PE</w:t>
            </w:r>
          </w:p>
        </w:tc>
        <w:tc>
          <w:tcPr>
            <w:tcW w:w="886" w:type="dxa"/>
            <w:noWrap/>
            <w:vAlign w:val="center"/>
            <w:hideMark/>
          </w:tcPr>
          <w:p w:rsidR="00D774EB" w:rsidRPr="00B148B1" w:rsidRDefault="00D774EB" w:rsidP="00D7312E">
            <w:pPr>
              <w:spacing w:line="240" w:lineRule="auto"/>
              <w:jc w:val="center"/>
              <w:rPr>
                <w:rFonts w:cs="Arial"/>
                <w:b/>
                <w:bCs/>
                <w:iCs/>
                <w:color w:val="000000"/>
                <w:sz w:val="16"/>
                <w:szCs w:val="16"/>
                <w:lang w:eastAsia="sl-SI"/>
              </w:rPr>
            </w:pPr>
            <w:proofErr w:type="spellStart"/>
            <w:r w:rsidRPr="00B148B1">
              <w:rPr>
                <w:rFonts w:cs="Arial"/>
                <w:b/>
                <w:bCs/>
                <w:iCs/>
                <w:color w:val="000000"/>
                <w:sz w:val="16"/>
                <w:szCs w:val="16"/>
                <w:lang w:eastAsia="sl-SI"/>
              </w:rPr>
              <w:t>PE</w:t>
            </w:r>
            <w:r w:rsidR="005A7B2B" w:rsidRPr="00B148B1">
              <w:rPr>
                <w:rFonts w:cs="Arial"/>
                <w:b/>
                <w:bCs/>
                <w:iCs/>
                <w:color w:val="000000"/>
                <w:sz w:val="16"/>
                <w:szCs w:val="16"/>
                <w:vertAlign w:val="subscript"/>
                <w:lang w:eastAsia="sl-SI"/>
              </w:rPr>
              <w:t>dod</w:t>
            </w:r>
            <w:proofErr w:type="spellEnd"/>
          </w:p>
        </w:tc>
        <w:tc>
          <w:tcPr>
            <w:tcW w:w="886" w:type="dxa"/>
            <w:noWrap/>
            <w:vAlign w:val="center"/>
            <w:hideMark/>
          </w:tcPr>
          <w:p w:rsidR="00D774EB" w:rsidRPr="00B148B1" w:rsidRDefault="00D774EB" w:rsidP="00D7312E">
            <w:pPr>
              <w:spacing w:line="240" w:lineRule="auto"/>
              <w:jc w:val="center"/>
              <w:rPr>
                <w:rFonts w:cs="Arial"/>
                <w:b/>
                <w:bCs/>
                <w:iCs/>
                <w:color w:val="000000"/>
                <w:sz w:val="16"/>
                <w:szCs w:val="16"/>
                <w:lang w:eastAsia="sl-SI"/>
              </w:rPr>
            </w:pPr>
            <w:proofErr w:type="spellStart"/>
            <w:r w:rsidRPr="00B148B1">
              <w:rPr>
                <w:rFonts w:cs="Arial"/>
                <w:b/>
                <w:bCs/>
                <w:iCs/>
                <w:color w:val="000000"/>
                <w:sz w:val="16"/>
                <w:szCs w:val="16"/>
                <w:lang w:eastAsia="sl-SI"/>
              </w:rPr>
              <w:t>PE</w:t>
            </w:r>
            <w:r w:rsidRPr="00B148B1">
              <w:rPr>
                <w:rFonts w:cs="Arial"/>
                <w:b/>
                <w:bCs/>
                <w:iCs/>
                <w:color w:val="000000"/>
                <w:sz w:val="16"/>
                <w:szCs w:val="16"/>
                <w:vertAlign w:val="subscript"/>
                <w:lang w:eastAsia="sl-SI"/>
              </w:rPr>
              <w:t>sk</w:t>
            </w:r>
            <w:proofErr w:type="spellEnd"/>
          </w:p>
        </w:tc>
        <w:tc>
          <w:tcPr>
            <w:tcW w:w="851" w:type="dxa"/>
            <w:noWrap/>
            <w:vAlign w:val="center"/>
            <w:hideMark/>
          </w:tcPr>
          <w:p w:rsidR="00D774EB" w:rsidRPr="00B148B1" w:rsidRDefault="00D774EB" w:rsidP="00D7312E">
            <w:pPr>
              <w:spacing w:line="240" w:lineRule="auto"/>
              <w:jc w:val="center"/>
              <w:rPr>
                <w:rFonts w:cs="Arial"/>
                <w:sz w:val="16"/>
                <w:szCs w:val="16"/>
                <w:lang w:eastAsia="sl-SI"/>
              </w:rPr>
            </w:pPr>
          </w:p>
        </w:tc>
        <w:tc>
          <w:tcPr>
            <w:tcW w:w="920" w:type="dxa"/>
            <w:noWrap/>
            <w:vAlign w:val="center"/>
            <w:hideMark/>
          </w:tcPr>
          <w:p w:rsidR="00D774EB" w:rsidRPr="00B148B1" w:rsidRDefault="00D774EB" w:rsidP="00D7312E">
            <w:pPr>
              <w:spacing w:line="240" w:lineRule="auto"/>
              <w:jc w:val="center"/>
              <w:rPr>
                <w:rFonts w:cs="Arial"/>
                <w:b/>
                <w:bCs/>
                <w:iCs/>
                <w:color w:val="000000"/>
                <w:sz w:val="16"/>
                <w:szCs w:val="16"/>
                <w:lang w:eastAsia="sl-SI"/>
              </w:rPr>
            </w:pPr>
            <w:r w:rsidRPr="00B148B1">
              <w:rPr>
                <w:rFonts w:cs="Arial"/>
                <w:b/>
                <w:bCs/>
                <w:iCs/>
                <w:color w:val="000000"/>
                <w:sz w:val="16"/>
                <w:szCs w:val="16"/>
                <w:lang w:eastAsia="sl-SI"/>
              </w:rPr>
              <w:t>PE</w:t>
            </w:r>
          </w:p>
        </w:tc>
        <w:tc>
          <w:tcPr>
            <w:tcW w:w="886" w:type="dxa"/>
            <w:noWrap/>
            <w:vAlign w:val="center"/>
            <w:hideMark/>
          </w:tcPr>
          <w:p w:rsidR="00D774EB" w:rsidRPr="00B148B1" w:rsidRDefault="005A7B2B" w:rsidP="00D7312E">
            <w:pPr>
              <w:spacing w:line="240" w:lineRule="auto"/>
              <w:jc w:val="center"/>
              <w:rPr>
                <w:rFonts w:cs="Arial"/>
                <w:b/>
                <w:bCs/>
                <w:iCs/>
                <w:color w:val="000000"/>
                <w:sz w:val="16"/>
                <w:szCs w:val="16"/>
                <w:lang w:eastAsia="sl-SI"/>
              </w:rPr>
            </w:pPr>
            <w:proofErr w:type="spellStart"/>
            <w:r w:rsidRPr="00B148B1">
              <w:rPr>
                <w:rFonts w:cs="Arial"/>
                <w:b/>
                <w:bCs/>
                <w:iCs/>
                <w:color w:val="000000"/>
                <w:sz w:val="16"/>
                <w:szCs w:val="16"/>
                <w:lang w:eastAsia="sl-SI"/>
              </w:rPr>
              <w:t>PE</w:t>
            </w:r>
            <w:r w:rsidRPr="00B148B1">
              <w:rPr>
                <w:rFonts w:cs="Arial"/>
                <w:b/>
                <w:bCs/>
                <w:iCs/>
                <w:color w:val="000000"/>
                <w:sz w:val="16"/>
                <w:szCs w:val="16"/>
                <w:vertAlign w:val="subscript"/>
                <w:lang w:eastAsia="sl-SI"/>
              </w:rPr>
              <w:t>dod</w:t>
            </w:r>
            <w:proofErr w:type="spellEnd"/>
          </w:p>
        </w:tc>
        <w:tc>
          <w:tcPr>
            <w:tcW w:w="887" w:type="dxa"/>
            <w:noWrap/>
            <w:vAlign w:val="center"/>
            <w:hideMark/>
          </w:tcPr>
          <w:p w:rsidR="00D774EB" w:rsidRPr="00B148B1" w:rsidRDefault="005A7B2B" w:rsidP="00D7312E">
            <w:pPr>
              <w:spacing w:line="240" w:lineRule="auto"/>
              <w:jc w:val="center"/>
              <w:rPr>
                <w:rFonts w:cs="Arial"/>
                <w:b/>
                <w:bCs/>
                <w:iCs/>
                <w:color w:val="000000"/>
                <w:sz w:val="16"/>
                <w:szCs w:val="16"/>
                <w:lang w:eastAsia="sl-SI"/>
              </w:rPr>
            </w:pPr>
            <w:proofErr w:type="spellStart"/>
            <w:r w:rsidRPr="00B148B1">
              <w:rPr>
                <w:rFonts w:cs="Arial"/>
                <w:b/>
                <w:bCs/>
                <w:iCs/>
                <w:color w:val="000000"/>
                <w:sz w:val="16"/>
                <w:szCs w:val="16"/>
                <w:lang w:eastAsia="sl-SI"/>
              </w:rPr>
              <w:t>PE</w:t>
            </w:r>
            <w:r w:rsidRPr="00B148B1">
              <w:rPr>
                <w:rFonts w:cs="Arial"/>
                <w:b/>
                <w:bCs/>
                <w:iCs/>
                <w:color w:val="000000"/>
                <w:sz w:val="16"/>
                <w:szCs w:val="16"/>
                <w:vertAlign w:val="subscript"/>
                <w:lang w:eastAsia="sl-SI"/>
              </w:rPr>
              <w:t>sk</w:t>
            </w:r>
            <w:proofErr w:type="spellEnd"/>
          </w:p>
        </w:tc>
      </w:tr>
      <w:tr w:rsidR="00895586" w:rsidRPr="00B148B1" w:rsidTr="00B803AE">
        <w:trPr>
          <w:trHeight w:val="680"/>
        </w:trPr>
        <w:tc>
          <w:tcPr>
            <w:tcW w:w="2127" w:type="dxa"/>
            <w:vAlign w:val="center"/>
            <w:hideMark/>
          </w:tcPr>
          <w:p w:rsidR="00895586" w:rsidRPr="00B148B1" w:rsidRDefault="00895586" w:rsidP="001112C4">
            <w:pPr>
              <w:spacing w:line="240" w:lineRule="auto"/>
              <w:jc w:val="right"/>
              <w:rPr>
                <w:rFonts w:cs="Arial"/>
                <w:b/>
                <w:bCs/>
                <w:iCs/>
                <w:color w:val="000000"/>
                <w:sz w:val="16"/>
                <w:szCs w:val="16"/>
                <w:lang w:eastAsia="sl-SI"/>
              </w:rPr>
            </w:pPr>
            <w:r w:rsidRPr="00B148B1">
              <w:rPr>
                <w:rFonts w:cs="Arial"/>
                <w:color w:val="000000"/>
                <w:sz w:val="16"/>
                <w:szCs w:val="16"/>
              </w:rPr>
              <w:t xml:space="preserve">aglomeracije </w:t>
            </w:r>
            <w:r w:rsidR="001112C4" w:rsidRPr="00B148B1">
              <w:rPr>
                <w:rFonts w:cs="Arial"/>
                <w:color w:val="000000"/>
                <w:sz w:val="16"/>
                <w:szCs w:val="16"/>
              </w:rPr>
              <w:t xml:space="preserve">od </w:t>
            </w:r>
            <w:r w:rsidRPr="00B148B1">
              <w:rPr>
                <w:rFonts w:cs="Arial"/>
                <w:color w:val="000000"/>
                <w:sz w:val="16"/>
                <w:szCs w:val="16"/>
              </w:rPr>
              <w:t xml:space="preserve">50 </w:t>
            </w:r>
            <w:r w:rsidR="001112C4" w:rsidRPr="00B148B1">
              <w:rPr>
                <w:rFonts w:cs="Arial"/>
                <w:color w:val="000000"/>
                <w:sz w:val="16"/>
                <w:szCs w:val="16"/>
              </w:rPr>
              <w:t>do</w:t>
            </w:r>
            <w:r w:rsidRPr="00B148B1">
              <w:rPr>
                <w:rFonts w:cs="Arial"/>
                <w:color w:val="000000"/>
                <w:sz w:val="16"/>
                <w:szCs w:val="16"/>
              </w:rPr>
              <w:t xml:space="preserve"> 500 PE</w:t>
            </w:r>
          </w:p>
        </w:tc>
        <w:tc>
          <w:tcPr>
            <w:tcW w:w="849" w:type="dxa"/>
            <w:noWrap/>
            <w:vAlign w:val="center"/>
            <w:hideMark/>
          </w:tcPr>
          <w:p w:rsidR="00895586" w:rsidRPr="00B148B1" w:rsidRDefault="00895586">
            <w:pPr>
              <w:jc w:val="center"/>
              <w:rPr>
                <w:rFonts w:cs="Arial"/>
                <w:sz w:val="16"/>
                <w:szCs w:val="16"/>
              </w:rPr>
            </w:pPr>
            <w:r w:rsidRPr="00B148B1">
              <w:rPr>
                <w:rFonts w:cs="Arial"/>
                <w:sz w:val="16"/>
                <w:szCs w:val="16"/>
              </w:rPr>
              <w:t>1.710</w:t>
            </w:r>
          </w:p>
        </w:tc>
        <w:tc>
          <w:tcPr>
            <w:tcW w:w="922" w:type="dxa"/>
            <w:noWrap/>
            <w:vAlign w:val="center"/>
            <w:hideMark/>
          </w:tcPr>
          <w:p w:rsidR="00895586" w:rsidRPr="00B148B1" w:rsidRDefault="00895586">
            <w:pPr>
              <w:jc w:val="center"/>
              <w:rPr>
                <w:rFonts w:cs="Arial"/>
                <w:sz w:val="16"/>
                <w:szCs w:val="16"/>
              </w:rPr>
            </w:pPr>
            <w:r w:rsidRPr="00B148B1">
              <w:rPr>
                <w:rFonts w:cs="Arial"/>
                <w:sz w:val="16"/>
                <w:szCs w:val="16"/>
              </w:rPr>
              <w:t>232.645</w:t>
            </w:r>
          </w:p>
        </w:tc>
        <w:tc>
          <w:tcPr>
            <w:tcW w:w="886" w:type="dxa"/>
            <w:noWrap/>
            <w:vAlign w:val="center"/>
            <w:hideMark/>
          </w:tcPr>
          <w:p w:rsidR="00895586" w:rsidRPr="00B148B1" w:rsidRDefault="00895586">
            <w:pPr>
              <w:jc w:val="center"/>
              <w:rPr>
                <w:rFonts w:cs="Arial"/>
                <w:sz w:val="16"/>
                <w:szCs w:val="16"/>
              </w:rPr>
            </w:pPr>
            <w:r w:rsidRPr="00B148B1">
              <w:rPr>
                <w:rFonts w:cs="Arial"/>
                <w:sz w:val="16"/>
                <w:szCs w:val="16"/>
              </w:rPr>
              <w:t>69.891</w:t>
            </w:r>
          </w:p>
        </w:tc>
        <w:tc>
          <w:tcPr>
            <w:tcW w:w="886" w:type="dxa"/>
            <w:noWrap/>
            <w:vAlign w:val="center"/>
            <w:hideMark/>
          </w:tcPr>
          <w:p w:rsidR="00895586" w:rsidRPr="00B148B1" w:rsidRDefault="00895586">
            <w:pPr>
              <w:jc w:val="center"/>
              <w:rPr>
                <w:rFonts w:cs="Arial"/>
                <w:sz w:val="16"/>
                <w:szCs w:val="16"/>
              </w:rPr>
            </w:pPr>
            <w:r w:rsidRPr="00B148B1">
              <w:rPr>
                <w:rFonts w:cs="Arial"/>
                <w:sz w:val="16"/>
                <w:szCs w:val="16"/>
              </w:rPr>
              <w:t>302.536</w:t>
            </w:r>
          </w:p>
        </w:tc>
        <w:tc>
          <w:tcPr>
            <w:tcW w:w="851" w:type="dxa"/>
            <w:noWrap/>
            <w:vAlign w:val="center"/>
            <w:hideMark/>
          </w:tcPr>
          <w:p w:rsidR="00895586" w:rsidRPr="00B148B1" w:rsidRDefault="00895586" w:rsidP="00A14803">
            <w:pPr>
              <w:jc w:val="center"/>
              <w:rPr>
                <w:rFonts w:cs="Arial"/>
                <w:sz w:val="16"/>
                <w:szCs w:val="16"/>
              </w:rPr>
            </w:pPr>
            <w:r w:rsidRPr="00B148B1">
              <w:rPr>
                <w:rFonts w:cs="Arial"/>
                <w:sz w:val="16"/>
                <w:szCs w:val="16"/>
              </w:rPr>
              <w:t>1.14</w:t>
            </w:r>
            <w:r w:rsidR="00A14803" w:rsidRPr="00B148B1">
              <w:rPr>
                <w:rFonts w:cs="Arial"/>
                <w:sz w:val="16"/>
                <w:szCs w:val="16"/>
              </w:rPr>
              <w:t>5</w:t>
            </w:r>
          </w:p>
        </w:tc>
        <w:tc>
          <w:tcPr>
            <w:tcW w:w="920" w:type="dxa"/>
            <w:noWrap/>
            <w:vAlign w:val="center"/>
            <w:hideMark/>
          </w:tcPr>
          <w:p w:rsidR="00895586" w:rsidRPr="00B148B1" w:rsidRDefault="00895586" w:rsidP="00A14803">
            <w:pPr>
              <w:jc w:val="center"/>
              <w:rPr>
                <w:rFonts w:cs="Arial"/>
                <w:sz w:val="16"/>
                <w:szCs w:val="16"/>
              </w:rPr>
            </w:pPr>
            <w:r w:rsidRPr="00B148B1">
              <w:rPr>
                <w:rFonts w:cs="Arial"/>
                <w:sz w:val="16"/>
                <w:szCs w:val="16"/>
              </w:rPr>
              <w:t>202.</w:t>
            </w:r>
            <w:r w:rsidR="00A14803" w:rsidRPr="00B148B1">
              <w:rPr>
                <w:rFonts w:cs="Arial"/>
                <w:sz w:val="16"/>
                <w:szCs w:val="16"/>
              </w:rPr>
              <w:t>752</w:t>
            </w:r>
          </w:p>
        </w:tc>
        <w:tc>
          <w:tcPr>
            <w:tcW w:w="886" w:type="dxa"/>
            <w:noWrap/>
            <w:vAlign w:val="center"/>
            <w:hideMark/>
          </w:tcPr>
          <w:p w:rsidR="00895586" w:rsidRPr="00B148B1" w:rsidRDefault="00895586" w:rsidP="00A14803">
            <w:pPr>
              <w:jc w:val="center"/>
              <w:rPr>
                <w:rFonts w:cs="Arial"/>
                <w:sz w:val="16"/>
                <w:szCs w:val="16"/>
              </w:rPr>
            </w:pPr>
            <w:r w:rsidRPr="00B148B1">
              <w:rPr>
                <w:rFonts w:cs="Arial"/>
                <w:sz w:val="16"/>
                <w:szCs w:val="16"/>
              </w:rPr>
              <w:t>17.61</w:t>
            </w:r>
            <w:r w:rsidR="00A14803" w:rsidRPr="00B148B1">
              <w:rPr>
                <w:rFonts w:cs="Arial"/>
                <w:sz w:val="16"/>
                <w:szCs w:val="16"/>
              </w:rPr>
              <w:t>1</w:t>
            </w:r>
          </w:p>
        </w:tc>
        <w:tc>
          <w:tcPr>
            <w:tcW w:w="887" w:type="dxa"/>
            <w:noWrap/>
            <w:vAlign w:val="center"/>
            <w:hideMark/>
          </w:tcPr>
          <w:p w:rsidR="00895586" w:rsidRPr="00B148B1" w:rsidRDefault="00895586" w:rsidP="00A14803">
            <w:pPr>
              <w:jc w:val="center"/>
              <w:rPr>
                <w:rFonts w:cs="Arial"/>
                <w:sz w:val="16"/>
                <w:szCs w:val="16"/>
              </w:rPr>
            </w:pPr>
            <w:r w:rsidRPr="00B148B1">
              <w:rPr>
                <w:rFonts w:cs="Arial"/>
                <w:sz w:val="16"/>
                <w:szCs w:val="16"/>
              </w:rPr>
              <w:t>220.</w:t>
            </w:r>
            <w:r w:rsidR="00A14803" w:rsidRPr="00B148B1">
              <w:rPr>
                <w:rFonts w:cs="Arial"/>
                <w:sz w:val="16"/>
                <w:szCs w:val="16"/>
              </w:rPr>
              <w:t>363</w:t>
            </w:r>
          </w:p>
        </w:tc>
      </w:tr>
      <w:tr w:rsidR="00895586" w:rsidRPr="00B148B1" w:rsidTr="00B803AE">
        <w:trPr>
          <w:trHeight w:val="680"/>
        </w:trPr>
        <w:tc>
          <w:tcPr>
            <w:tcW w:w="2127" w:type="dxa"/>
            <w:vAlign w:val="center"/>
            <w:hideMark/>
          </w:tcPr>
          <w:p w:rsidR="00895586" w:rsidRPr="00B148B1" w:rsidRDefault="00895586" w:rsidP="001112C4">
            <w:pPr>
              <w:spacing w:line="240" w:lineRule="auto"/>
              <w:jc w:val="right"/>
              <w:rPr>
                <w:rFonts w:cs="Arial"/>
                <w:b/>
                <w:bCs/>
                <w:iCs/>
                <w:color w:val="000000"/>
                <w:sz w:val="16"/>
                <w:szCs w:val="16"/>
                <w:lang w:eastAsia="sl-SI"/>
              </w:rPr>
            </w:pPr>
            <w:r w:rsidRPr="00B148B1">
              <w:rPr>
                <w:rFonts w:cs="Arial"/>
                <w:color w:val="000000"/>
                <w:sz w:val="16"/>
                <w:szCs w:val="16"/>
              </w:rPr>
              <w:t xml:space="preserve">aglomeracije </w:t>
            </w:r>
            <w:r w:rsidR="001112C4" w:rsidRPr="00B148B1">
              <w:rPr>
                <w:rFonts w:cs="Arial"/>
                <w:color w:val="000000"/>
                <w:sz w:val="16"/>
                <w:szCs w:val="16"/>
              </w:rPr>
              <w:t xml:space="preserve">od </w:t>
            </w:r>
            <w:r w:rsidRPr="00B148B1">
              <w:rPr>
                <w:rFonts w:cs="Arial"/>
                <w:color w:val="000000"/>
                <w:sz w:val="16"/>
                <w:szCs w:val="16"/>
              </w:rPr>
              <w:t xml:space="preserve">500 </w:t>
            </w:r>
            <w:r w:rsidR="001112C4" w:rsidRPr="00B148B1">
              <w:rPr>
                <w:rFonts w:cs="Arial"/>
                <w:color w:val="000000"/>
                <w:sz w:val="16"/>
                <w:szCs w:val="16"/>
              </w:rPr>
              <w:t>do</w:t>
            </w:r>
            <w:r w:rsidRPr="00B148B1">
              <w:rPr>
                <w:rFonts w:cs="Arial"/>
                <w:color w:val="000000"/>
                <w:sz w:val="16"/>
                <w:szCs w:val="16"/>
              </w:rPr>
              <w:t xml:space="preserve"> 2.000 PE</w:t>
            </w:r>
          </w:p>
        </w:tc>
        <w:tc>
          <w:tcPr>
            <w:tcW w:w="849" w:type="dxa"/>
            <w:noWrap/>
            <w:vAlign w:val="center"/>
            <w:hideMark/>
          </w:tcPr>
          <w:p w:rsidR="00895586" w:rsidRPr="00B148B1" w:rsidRDefault="00895586">
            <w:pPr>
              <w:jc w:val="center"/>
              <w:rPr>
                <w:rFonts w:cs="Arial"/>
                <w:sz w:val="16"/>
                <w:szCs w:val="16"/>
              </w:rPr>
            </w:pPr>
            <w:r w:rsidRPr="00B148B1">
              <w:rPr>
                <w:rFonts w:cs="Arial"/>
                <w:sz w:val="16"/>
                <w:szCs w:val="16"/>
              </w:rPr>
              <w:t>355</w:t>
            </w:r>
          </w:p>
        </w:tc>
        <w:tc>
          <w:tcPr>
            <w:tcW w:w="922" w:type="dxa"/>
            <w:noWrap/>
            <w:vAlign w:val="center"/>
            <w:hideMark/>
          </w:tcPr>
          <w:p w:rsidR="00895586" w:rsidRPr="00B148B1" w:rsidRDefault="00895586">
            <w:pPr>
              <w:jc w:val="center"/>
              <w:rPr>
                <w:rFonts w:cs="Arial"/>
                <w:sz w:val="16"/>
                <w:szCs w:val="16"/>
              </w:rPr>
            </w:pPr>
            <w:r w:rsidRPr="00B148B1">
              <w:rPr>
                <w:rFonts w:cs="Arial"/>
                <w:sz w:val="16"/>
                <w:szCs w:val="16"/>
              </w:rPr>
              <w:t>263.155</w:t>
            </w:r>
          </w:p>
        </w:tc>
        <w:tc>
          <w:tcPr>
            <w:tcW w:w="886" w:type="dxa"/>
            <w:noWrap/>
            <w:vAlign w:val="center"/>
            <w:hideMark/>
          </w:tcPr>
          <w:p w:rsidR="00895586" w:rsidRPr="00B148B1" w:rsidRDefault="00895586">
            <w:pPr>
              <w:jc w:val="center"/>
              <w:rPr>
                <w:rFonts w:cs="Arial"/>
                <w:sz w:val="16"/>
                <w:szCs w:val="16"/>
              </w:rPr>
            </w:pPr>
            <w:r w:rsidRPr="00B148B1">
              <w:rPr>
                <w:rFonts w:cs="Arial"/>
                <w:sz w:val="16"/>
                <w:szCs w:val="16"/>
              </w:rPr>
              <w:t>78.957</w:t>
            </w:r>
          </w:p>
        </w:tc>
        <w:tc>
          <w:tcPr>
            <w:tcW w:w="886" w:type="dxa"/>
            <w:noWrap/>
            <w:vAlign w:val="center"/>
            <w:hideMark/>
          </w:tcPr>
          <w:p w:rsidR="00895586" w:rsidRPr="00B148B1" w:rsidRDefault="00895586">
            <w:pPr>
              <w:jc w:val="center"/>
              <w:rPr>
                <w:rFonts w:cs="Arial"/>
                <w:sz w:val="16"/>
                <w:szCs w:val="16"/>
              </w:rPr>
            </w:pPr>
            <w:r w:rsidRPr="00B148B1">
              <w:rPr>
                <w:rFonts w:cs="Arial"/>
                <w:sz w:val="16"/>
                <w:szCs w:val="16"/>
              </w:rPr>
              <w:t>342.112</w:t>
            </w:r>
          </w:p>
        </w:tc>
        <w:tc>
          <w:tcPr>
            <w:tcW w:w="851" w:type="dxa"/>
            <w:noWrap/>
            <w:vAlign w:val="center"/>
            <w:hideMark/>
          </w:tcPr>
          <w:p w:rsidR="00895586" w:rsidRPr="00B148B1" w:rsidRDefault="00895586">
            <w:pPr>
              <w:jc w:val="center"/>
              <w:rPr>
                <w:rFonts w:cs="Arial"/>
                <w:sz w:val="16"/>
                <w:szCs w:val="16"/>
              </w:rPr>
            </w:pPr>
            <w:r w:rsidRPr="00B148B1">
              <w:rPr>
                <w:rFonts w:cs="Arial"/>
                <w:sz w:val="16"/>
                <w:szCs w:val="16"/>
              </w:rPr>
              <w:t>265</w:t>
            </w:r>
          </w:p>
        </w:tc>
        <w:tc>
          <w:tcPr>
            <w:tcW w:w="920" w:type="dxa"/>
            <w:noWrap/>
            <w:vAlign w:val="center"/>
            <w:hideMark/>
          </w:tcPr>
          <w:p w:rsidR="00895586" w:rsidRPr="00B148B1" w:rsidRDefault="00895586">
            <w:pPr>
              <w:jc w:val="center"/>
              <w:rPr>
                <w:rFonts w:cs="Arial"/>
                <w:sz w:val="16"/>
                <w:szCs w:val="16"/>
              </w:rPr>
            </w:pPr>
            <w:r w:rsidRPr="00B148B1">
              <w:rPr>
                <w:rFonts w:cs="Arial"/>
                <w:sz w:val="16"/>
                <w:szCs w:val="16"/>
              </w:rPr>
              <w:t>229.492</w:t>
            </w:r>
          </w:p>
        </w:tc>
        <w:tc>
          <w:tcPr>
            <w:tcW w:w="886" w:type="dxa"/>
            <w:noWrap/>
            <w:vAlign w:val="center"/>
            <w:hideMark/>
          </w:tcPr>
          <w:p w:rsidR="00895586" w:rsidRPr="00B148B1" w:rsidRDefault="00895586">
            <w:pPr>
              <w:jc w:val="center"/>
              <w:rPr>
                <w:rFonts w:cs="Arial"/>
                <w:sz w:val="16"/>
                <w:szCs w:val="16"/>
              </w:rPr>
            </w:pPr>
            <w:r w:rsidRPr="00B148B1">
              <w:rPr>
                <w:rFonts w:cs="Arial"/>
                <w:sz w:val="16"/>
                <w:szCs w:val="16"/>
              </w:rPr>
              <w:t>30.910</w:t>
            </w:r>
          </w:p>
        </w:tc>
        <w:tc>
          <w:tcPr>
            <w:tcW w:w="887" w:type="dxa"/>
            <w:noWrap/>
            <w:vAlign w:val="center"/>
            <w:hideMark/>
          </w:tcPr>
          <w:p w:rsidR="00895586" w:rsidRPr="00B148B1" w:rsidRDefault="00895586">
            <w:pPr>
              <w:jc w:val="center"/>
              <w:rPr>
                <w:rFonts w:cs="Arial"/>
                <w:sz w:val="16"/>
                <w:szCs w:val="16"/>
              </w:rPr>
            </w:pPr>
            <w:r w:rsidRPr="00B148B1">
              <w:rPr>
                <w:rFonts w:cs="Arial"/>
                <w:sz w:val="16"/>
                <w:szCs w:val="16"/>
              </w:rPr>
              <w:t>260.402</w:t>
            </w:r>
          </w:p>
        </w:tc>
      </w:tr>
      <w:tr w:rsidR="00895586" w:rsidRPr="00B148B1" w:rsidTr="00B803AE">
        <w:trPr>
          <w:trHeight w:val="680"/>
        </w:trPr>
        <w:tc>
          <w:tcPr>
            <w:tcW w:w="2127" w:type="dxa"/>
            <w:vAlign w:val="center"/>
            <w:hideMark/>
          </w:tcPr>
          <w:p w:rsidR="00895586" w:rsidRPr="00B148B1" w:rsidRDefault="00895586" w:rsidP="00EF04E4">
            <w:pPr>
              <w:spacing w:line="240" w:lineRule="auto"/>
              <w:jc w:val="right"/>
              <w:rPr>
                <w:rFonts w:cs="Arial"/>
                <w:b/>
                <w:bCs/>
                <w:i/>
                <w:iCs/>
                <w:color w:val="000000"/>
                <w:sz w:val="16"/>
                <w:szCs w:val="16"/>
                <w:lang w:eastAsia="sl-SI"/>
              </w:rPr>
            </w:pPr>
            <w:r w:rsidRPr="00B148B1">
              <w:rPr>
                <w:rFonts w:cs="Arial"/>
                <w:b/>
                <w:i/>
                <w:color w:val="000000"/>
                <w:sz w:val="16"/>
                <w:szCs w:val="16"/>
              </w:rPr>
              <w:t>aglomeracije &lt; 2.000 PE</w:t>
            </w:r>
          </w:p>
        </w:tc>
        <w:tc>
          <w:tcPr>
            <w:tcW w:w="849" w:type="dxa"/>
            <w:noWrap/>
            <w:vAlign w:val="center"/>
            <w:hideMark/>
          </w:tcPr>
          <w:p w:rsidR="00895586" w:rsidRPr="00B148B1" w:rsidRDefault="00895586">
            <w:pPr>
              <w:jc w:val="center"/>
              <w:rPr>
                <w:rFonts w:cs="Arial"/>
                <w:b/>
                <w:bCs/>
                <w:i/>
                <w:iCs/>
                <w:sz w:val="16"/>
                <w:szCs w:val="16"/>
              </w:rPr>
            </w:pPr>
            <w:r w:rsidRPr="00B148B1">
              <w:rPr>
                <w:rFonts w:cs="Arial"/>
                <w:b/>
                <w:bCs/>
                <w:i/>
                <w:iCs/>
                <w:sz w:val="16"/>
                <w:szCs w:val="16"/>
              </w:rPr>
              <w:t>2.074</w:t>
            </w:r>
          </w:p>
        </w:tc>
        <w:tc>
          <w:tcPr>
            <w:tcW w:w="922" w:type="dxa"/>
            <w:noWrap/>
            <w:vAlign w:val="center"/>
            <w:hideMark/>
          </w:tcPr>
          <w:p w:rsidR="00895586" w:rsidRPr="00B148B1" w:rsidRDefault="00895586">
            <w:pPr>
              <w:jc w:val="center"/>
              <w:rPr>
                <w:rFonts w:cs="Arial"/>
                <w:b/>
                <w:bCs/>
                <w:i/>
                <w:iCs/>
                <w:sz w:val="16"/>
                <w:szCs w:val="16"/>
              </w:rPr>
            </w:pPr>
            <w:r w:rsidRPr="00B148B1">
              <w:rPr>
                <w:rFonts w:cs="Arial"/>
                <w:b/>
                <w:bCs/>
                <w:i/>
                <w:iCs/>
                <w:sz w:val="16"/>
                <w:szCs w:val="16"/>
              </w:rPr>
              <w:t>496.046</w:t>
            </w:r>
          </w:p>
        </w:tc>
        <w:tc>
          <w:tcPr>
            <w:tcW w:w="886" w:type="dxa"/>
            <w:noWrap/>
            <w:vAlign w:val="center"/>
            <w:hideMark/>
          </w:tcPr>
          <w:p w:rsidR="00895586" w:rsidRPr="00B148B1" w:rsidRDefault="00895586">
            <w:pPr>
              <w:jc w:val="center"/>
              <w:rPr>
                <w:rFonts w:cs="Arial"/>
                <w:b/>
                <w:bCs/>
                <w:i/>
                <w:iCs/>
                <w:sz w:val="16"/>
                <w:szCs w:val="16"/>
              </w:rPr>
            </w:pPr>
            <w:r w:rsidRPr="00B148B1">
              <w:rPr>
                <w:rFonts w:cs="Arial"/>
                <w:b/>
                <w:bCs/>
                <w:i/>
                <w:iCs/>
                <w:sz w:val="16"/>
                <w:szCs w:val="16"/>
              </w:rPr>
              <w:t>148.921</w:t>
            </w:r>
          </w:p>
        </w:tc>
        <w:tc>
          <w:tcPr>
            <w:tcW w:w="886" w:type="dxa"/>
            <w:noWrap/>
            <w:vAlign w:val="center"/>
            <w:hideMark/>
          </w:tcPr>
          <w:p w:rsidR="00895586" w:rsidRPr="00B148B1" w:rsidRDefault="00895586">
            <w:pPr>
              <w:jc w:val="center"/>
              <w:rPr>
                <w:rFonts w:cs="Arial"/>
                <w:b/>
                <w:bCs/>
                <w:i/>
                <w:iCs/>
                <w:sz w:val="16"/>
                <w:szCs w:val="16"/>
              </w:rPr>
            </w:pPr>
            <w:r w:rsidRPr="00B148B1">
              <w:rPr>
                <w:rFonts w:cs="Arial"/>
                <w:b/>
                <w:bCs/>
                <w:i/>
                <w:iCs/>
                <w:sz w:val="16"/>
                <w:szCs w:val="16"/>
              </w:rPr>
              <w:t>644.967</w:t>
            </w:r>
          </w:p>
        </w:tc>
        <w:tc>
          <w:tcPr>
            <w:tcW w:w="851" w:type="dxa"/>
            <w:noWrap/>
            <w:vAlign w:val="center"/>
            <w:hideMark/>
          </w:tcPr>
          <w:p w:rsidR="00895586" w:rsidRPr="00B148B1" w:rsidRDefault="00895586" w:rsidP="00A14803">
            <w:pPr>
              <w:jc w:val="center"/>
              <w:rPr>
                <w:rFonts w:cs="Arial"/>
                <w:b/>
                <w:bCs/>
                <w:i/>
                <w:iCs/>
                <w:sz w:val="16"/>
                <w:szCs w:val="16"/>
              </w:rPr>
            </w:pPr>
            <w:r w:rsidRPr="00B148B1">
              <w:rPr>
                <w:rFonts w:cs="Arial"/>
                <w:b/>
                <w:bCs/>
                <w:i/>
                <w:iCs/>
                <w:sz w:val="16"/>
                <w:szCs w:val="16"/>
              </w:rPr>
              <w:t>1.41</w:t>
            </w:r>
            <w:r w:rsidR="00A14803" w:rsidRPr="00B148B1">
              <w:rPr>
                <w:rFonts w:cs="Arial"/>
                <w:b/>
                <w:bCs/>
                <w:i/>
                <w:iCs/>
                <w:sz w:val="16"/>
                <w:szCs w:val="16"/>
              </w:rPr>
              <w:t>0</w:t>
            </w:r>
          </w:p>
        </w:tc>
        <w:tc>
          <w:tcPr>
            <w:tcW w:w="920" w:type="dxa"/>
            <w:noWrap/>
            <w:vAlign w:val="center"/>
            <w:hideMark/>
          </w:tcPr>
          <w:p w:rsidR="00895586" w:rsidRPr="00B148B1" w:rsidRDefault="00A14803">
            <w:pPr>
              <w:jc w:val="center"/>
              <w:rPr>
                <w:rFonts w:cs="Arial"/>
                <w:b/>
                <w:bCs/>
                <w:i/>
                <w:iCs/>
                <w:sz w:val="16"/>
                <w:szCs w:val="16"/>
              </w:rPr>
            </w:pPr>
            <w:r w:rsidRPr="00B148B1">
              <w:rPr>
                <w:rFonts w:cs="Arial"/>
                <w:b/>
                <w:bCs/>
                <w:i/>
                <w:iCs/>
                <w:sz w:val="16"/>
                <w:szCs w:val="16"/>
              </w:rPr>
              <w:t>432.244</w:t>
            </w:r>
          </w:p>
        </w:tc>
        <w:tc>
          <w:tcPr>
            <w:tcW w:w="886" w:type="dxa"/>
            <w:noWrap/>
            <w:vAlign w:val="center"/>
            <w:hideMark/>
          </w:tcPr>
          <w:p w:rsidR="00895586" w:rsidRPr="00B148B1" w:rsidRDefault="00A14803">
            <w:pPr>
              <w:jc w:val="center"/>
              <w:rPr>
                <w:rFonts w:cs="Arial"/>
                <w:b/>
                <w:bCs/>
                <w:i/>
                <w:iCs/>
                <w:sz w:val="16"/>
                <w:szCs w:val="16"/>
              </w:rPr>
            </w:pPr>
            <w:r w:rsidRPr="00B148B1">
              <w:rPr>
                <w:rFonts w:cs="Arial"/>
                <w:b/>
                <w:bCs/>
                <w:i/>
                <w:iCs/>
                <w:sz w:val="16"/>
                <w:szCs w:val="16"/>
              </w:rPr>
              <w:t>48.521</w:t>
            </w:r>
          </w:p>
        </w:tc>
        <w:tc>
          <w:tcPr>
            <w:tcW w:w="887" w:type="dxa"/>
            <w:noWrap/>
            <w:vAlign w:val="center"/>
            <w:hideMark/>
          </w:tcPr>
          <w:p w:rsidR="00895586" w:rsidRPr="00B148B1" w:rsidRDefault="00A14803">
            <w:pPr>
              <w:jc w:val="center"/>
              <w:rPr>
                <w:rFonts w:cs="Arial"/>
                <w:b/>
                <w:bCs/>
                <w:i/>
                <w:iCs/>
                <w:sz w:val="16"/>
                <w:szCs w:val="16"/>
              </w:rPr>
            </w:pPr>
            <w:r w:rsidRPr="00B148B1">
              <w:rPr>
                <w:rFonts w:cs="Arial"/>
                <w:b/>
                <w:bCs/>
                <w:i/>
                <w:iCs/>
                <w:sz w:val="16"/>
                <w:szCs w:val="16"/>
              </w:rPr>
              <w:t>480.765</w:t>
            </w:r>
          </w:p>
        </w:tc>
      </w:tr>
      <w:tr w:rsidR="00895586" w:rsidRPr="00B148B1" w:rsidTr="00B803AE">
        <w:trPr>
          <w:trHeight w:val="680"/>
        </w:trPr>
        <w:tc>
          <w:tcPr>
            <w:tcW w:w="2127" w:type="dxa"/>
            <w:vAlign w:val="center"/>
            <w:hideMark/>
          </w:tcPr>
          <w:p w:rsidR="00895586" w:rsidRPr="00B148B1" w:rsidRDefault="00895586" w:rsidP="006A72BD">
            <w:pPr>
              <w:spacing w:line="240" w:lineRule="auto"/>
              <w:jc w:val="right"/>
              <w:rPr>
                <w:rFonts w:cs="Arial"/>
                <w:b/>
                <w:bCs/>
                <w:iCs/>
                <w:color w:val="000000"/>
                <w:sz w:val="16"/>
                <w:szCs w:val="16"/>
                <w:lang w:eastAsia="sl-SI"/>
              </w:rPr>
            </w:pPr>
            <w:r w:rsidRPr="00B148B1">
              <w:rPr>
                <w:rFonts w:cs="Arial"/>
                <w:color w:val="000000"/>
                <w:sz w:val="16"/>
                <w:szCs w:val="16"/>
              </w:rPr>
              <w:t xml:space="preserve">aglomeracije </w:t>
            </w:r>
            <w:r w:rsidR="001112C4" w:rsidRPr="00B148B1">
              <w:rPr>
                <w:rFonts w:cs="Arial"/>
                <w:color w:val="000000"/>
                <w:sz w:val="16"/>
                <w:szCs w:val="16"/>
              </w:rPr>
              <w:t>od</w:t>
            </w:r>
            <w:r w:rsidRPr="00B148B1">
              <w:rPr>
                <w:rFonts w:cs="Arial"/>
                <w:color w:val="000000"/>
                <w:sz w:val="16"/>
                <w:szCs w:val="16"/>
              </w:rPr>
              <w:t xml:space="preserve"> 2.000 </w:t>
            </w:r>
            <w:r w:rsidR="001112C4" w:rsidRPr="00B148B1">
              <w:rPr>
                <w:rFonts w:cs="Arial"/>
                <w:color w:val="000000"/>
                <w:sz w:val="16"/>
                <w:szCs w:val="16"/>
              </w:rPr>
              <w:t>do</w:t>
            </w:r>
            <w:r w:rsidRPr="00B148B1">
              <w:rPr>
                <w:rFonts w:cs="Arial"/>
                <w:color w:val="000000"/>
                <w:sz w:val="16"/>
                <w:szCs w:val="16"/>
              </w:rPr>
              <w:t xml:space="preserve"> 10.000 PE</w:t>
            </w:r>
          </w:p>
        </w:tc>
        <w:tc>
          <w:tcPr>
            <w:tcW w:w="849" w:type="dxa"/>
            <w:noWrap/>
            <w:vAlign w:val="center"/>
            <w:hideMark/>
          </w:tcPr>
          <w:p w:rsidR="00895586" w:rsidRPr="00B148B1" w:rsidRDefault="00895586">
            <w:pPr>
              <w:jc w:val="center"/>
              <w:rPr>
                <w:rFonts w:cs="Arial"/>
                <w:sz w:val="16"/>
                <w:szCs w:val="16"/>
              </w:rPr>
            </w:pPr>
            <w:r w:rsidRPr="00B148B1">
              <w:rPr>
                <w:rFonts w:cs="Arial"/>
                <w:sz w:val="16"/>
                <w:szCs w:val="16"/>
              </w:rPr>
              <w:t>132</w:t>
            </w:r>
          </w:p>
        </w:tc>
        <w:tc>
          <w:tcPr>
            <w:tcW w:w="922" w:type="dxa"/>
            <w:noWrap/>
            <w:vAlign w:val="center"/>
            <w:hideMark/>
          </w:tcPr>
          <w:p w:rsidR="00895586" w:rsidRPr="00B148B1" w:rsidRDefault="00895586">
            <w:pPr>
              <w:jc w:val="center"/>
              <w:rPr>
                <w:rFonts w:cs="Arial"/>
                <w:sz w:val="16"/>
                <w:szCs w:val="16"/>
              </w:rPr>
            </w:pPr>
            <w:r w:rsidRPr="00B148B1">
              <w:rPr>
                <w:rFonts w:cs="Arial"/>
                <w:sz w:val="16"/>
                <w:szCs w:val="16"/>
              </w:rPr>
              <w:t>403.013</w:t>
            </w:r>
          </w:p>
        </w:tc>
        <w:tc>
          <w:tcPr>
            <w:tcW w:w="886" w:type="dxa"/>
            <w:noWrap/>
            <w:vAlign w:val="center"/>
            <w:hideMark/>
          </w:tcPr>
          <w:p w:rsidR="00895586" w:rsidRPr="00B148B1" w:rsidRDefault="00895586">
            <w:pPr>
              <w:jc w:val="center"/>
              <w:rPr>
                <w:rFonts w:cs="Arial"/>
                <w:sz w:val="16"/>
                <w:szCs w:val="16"/>
              </w:rPr>
            </w:pPr>
            <w:r w:rsidRPr="00B148B1">
              <w:rPr>
                <w:rFonts w:cs="Arial"/>
                <w:sz w:val="16"/>
                <w:szCs w:val="16"/>
              </w:rPr>
              <w:t>120.910</w:t>
            </w:r>
          </w:p>
        </w:tc>
        <w:tc>
          <w:tcPr>
            <w:tcW w:w="886" w:type="dxa"/>
            <w:noWrap/>
            <w:vAlign w:val="center"/>
            <w:hideMark/>
          </w:tcPr>
          <w:p w:rsidR="00895586" w:rsidRPr="00B148B1" w:rsidRDefault="00895586">
            <w:pPr>
              <w:jc w:val="center"/>
              <w:rPr>
                <w:rFonts w:cs="Arial"/>
                <w:sz w:val="16"/>
                <w:szCs w:val="16"/>
              </w:rPr>
            </w:pPr>
            <w:r w:rsidRPr="00B148B1">
              <w:rPr>
                <w:rFonts w:cs="Arial"/>
                <w:sz w:val="16"/>
                <w:szCs w:val="16"/>
              </w:rPr>
              <w:t>523.923</w:t>
            </w:r>
          </w:p>
        </w:tc>
        <w:tc>
          <w:tcPr>
            <w:tcW w:w="851" w:type="dxa"/>
            <w:noWrap/>
            <w:vAlign w:val="center"/>
            <w:hideMark/>
          </w:tcPr>
          <w:p w:rsidR="00895586" w:rsidRPr="00B148B1" w:rsidRDefault="00895586">
            <w:pPr>
              <w:jc w:val="center"/>
              <w:rPr>
                <w:rFonts w:cs="Arial"/>
                <w:sz w:val="16"/>
                <w:szCs w:val="16"/>
              </w:rPr>
            </w:pPr>
            <w:r w:rsidRPr="00B148B1">
              <w:rPr>
                <w:rFonts w:cs="Arial"/>
                <w:sz w:val="16"/>
                <w:szCs w:val="16"/>
              </w:rPr>
              <w:t>95</w:t>
            </w:r>
          </w:p>
        </w:tc>
        <w:tc>
          <w:tcPr>
            <w:tcW w:w="920" w:type="dxa"/>
            <w:noWrap/>
            <w:vAlign w:val="center"/>
            <w:hideMark/>
          </w:tcPr>
          <w:p w:rsidR="00895586" w:rsidRPr="00B148B1" w:rsidRDefault="00895586">
            <w:pPr>
              <w:jc w:val="center"/>
              <w:rPr>
                <w:rFonts w:cs="Arial"/>
                <w:sz w:val="16"/>
                <w:szCs w:val="16"/>
              </w:rPr>
            </w:pPr>
            <w:r w:rsidRPr="00B148B1">
              <w:rPr>
                <w:rFonts w:cs="Arial"/>
                <w:sz w:val="16"/>
                <w:szCs w:val="16"/>
              </w:rPr>
              <w:t>335.999</w:t>
            </w:r>
          </w:p>
        </w:tc>
        <w:tc>
          <w:tcPr>
            <w:tcW w:w="886" w:type="dxa"/>
            <w:noWrap/>
            <w:vAlign w:val="center"/>
            <w:hideMark/>
          </w:tcPr>
          <w:p w:rsidR="00895586" w:rsidRPr="00B148B1" w:rsidRDefault="00895586">
            <w:pPr>
              <w:jc w:val="center"/>
              <w:rPr>
                <w:rFonts w:cs="Arial"/>
                <w:sz w:val="16"/>
                <w:szCs w:val="16"/>
              </w:rPr>
            </w:pPr>
            <w:r w:rsidRPr="00B148B1">
              <w:rPr>
                <w:rFonts w:cs="Arial"/>
                <w:sz w:val="16"/>
                <w:szCs w:val="16"/>
              </w:rPr>
              <w:t>79.403</w:t>
            </w:r>
          </w:p>
        </w:tc>
        <w:tc>
          <w:tcPr>
            <w:tcW w:w="887" w:type="dxa"/>
            <w:noWrap/>
            <w:vAlign w:val="center"/>
            <w:hideMark/>
          </w:tcPr>
          <w:p w:rsidR="00895586" w:rsidRPr="00B148B1" w:rsidRDefault="00895586">
            <w:pPr>
              <w:jc w:val="center"/>
              <w:rPr>
                <w:rFonts w:cs="Arial"/>
                <w:sz w:val="16"/>
                <w:szCs w:val="16"/>
              </w:rPr>
            </w:pPr>
            <w:r w:rsidRPr="00B148B1">
              <w:rPr>
                <w:rFonts w:cs="Arial"/>
                <w:sz w:val="16"/>
                <w:szCs w:val="16"/>
              </w:rPr>
              <w:t>415.402</w:t>
            </w:r>
          </w:p>
        </w:tc>
      </w:tr>
      <w:tr w:rsidR="00895586" w:rsidRPr="00B148B1" w:rsidTr="00B803AE">
        <w:trPr>
          <w:trHeight w:val="680"/>
        </w:trPr>
        <w:tc>
          <w:tcPr>
            <w:tcW w:w="2127" w:type="dxa"/>
            <w:vAlign w:val="center"/>
            <w:hideMark/>
          </w:tcPr>
          <w:p w:rsidR="00895586" w:rsidRPr="00B148B1" w:rsidRDefault="00895586" w:rsidP="005A7B2B">
            <w:pPr>
              <w:spacing w:line="240" w:lineRule="auto"/>
              <w:jc w:val="right"/>
              <w:rPr>
                <w:rFonts w:cs="Arial"/>
                <w:b/>
                <w:bCs/>
                <w:iCs/>
                <w:color w:val="000000"/>
                <w:sz w:val="16"/>
                <w:szCs w:val="16"/>
                <w:lang w:eastAsia="sl-SI"/>
              </w:rPr>
            </w:pPr>
            <w:r w:rsidRPr="00B148B1">
              <w:rPr>
                <w:rFonts w:cs="Arial"/>
                <w:color w:val="000000"/>
                <w:sz w:val="16"/>
                <w:szCs w:val="16"/>
              </w:rPr>
              <w:t xml:space="preserve">aglomeracije </w:t>
            </w:r>
            <w:r w:rsidR="001112C4" w:rsidRPr="00B148B1">
              <w:rPr>
                <w:rFonts w:cs="Arial"/>
                <w:color w:val="000000"/>
                <w:sz w:val="16"/>
                <w:szCs w:val="16"/>
              </w:rPr>
              <w:t>od</w:t>
            </w:r>
            <w:r w:rsidRPr="00B148B1">
              <w:rPr>
                <w:rFonts w:cs="Arial"/>
                <w:color w:val="000000"/>
                <w:sz w:val="16"/>
                <w:szCs w:val="16"/>
              </w:rPr>
              <w:t xml:space="preserve"> 10.000 </w:t>
            </w:r>
            <w:r w:rsidR="001112C4" w:rsidRPr="00B148B1">
              <w:rPr>
                <w:rFonts w:cs="Arial"/>
                <w:color w:val="000000"/>
                <w:sz w:val="16"/>
                <w:szCs w:val="16"/>
              </w:rPr>
              <w:t>do</w:t>
            </w:r>
            <w:r w:rsidRPr="00B148B1">
              <w:rPr>
                <w:rFonts w:cs="Arial"/>
                <w:color w:val="000000"/>
                <w:sz w:val="16"/>
                <w:szCs w:val="16"/>
              </w:rPr>
              <w:t xml:space="preserve"> 15.000 PE</w:t>
            </w:r>
          </w:p>
        </w:tc>
        <w:tc>
          <w:tcPr>
            <w:tcW w:w="849" w:type="dxa"/>
            <w:noWrap/>
            <w:vAlign w:val="center"/>
            <w:hideMark/>
          </w:tcPr>
          <w:p w:rsidR="00895586" w:rsidRPr="00B148B1" w:rsidRDefault="00895586">
            <w:pPr>
              <w:jc w:val="center"/>
              <w:rPr>
                <w:rFonts w:cs="Arial"/>
                <w:sz w:val="16"/>
                <w:szCs w:val="16"/>
              </w:rPr>
            </w:pPr>
            <w:r w:rsidRPr="00B148B1">
              <w:rPr>
                <w:rFonts w:cs="Arial"/>
                <w:sz w:val="16"/>
                <w:szCs w:val="16"/>
              </w:rPr>
              <w:t>9</w:t>
            </w:r>
          </w:p>
        </w:tc>
        <w:tc>
          <w:tcPr>
            <w:tcW w:w="922" w:type="dxa"/>
            <w:noWrap/>
            <w:vAlign w:val="center"/>
            <w:hideMark/>
          </w:tcPr>
          <w:p w:rsidR="00895586" w:rsidRPr="00B148B1" w:rsidRDefault="00895586">
            <w:pPr>
              <w:jc w:val="center"/>
              <w:rPr>
                <w:rFonts w:cs="Arial"/>
                <w:sz w:val="16"/>
                <w:szCs w:val="16"/>
              </w:rPr>
            </w:pPr>
            <w:r w:rsidRPr="00B148B1">
              <w:rPr>
                <w:rFonts w:cs="Arial"/>
                <w:sz w:val="16"/>
                <w:szCs w:val="16"/>
              </w:rPr>
              <w:t>81.651</w:t>
            </w:r>
          </w:p>
        </w:tc>
        <w:tc>
          <w:tcPr>
            <w:tcW w:w="886" w:type="dxa"/>
            <w:noWrap/>
            <w:vAlign w:val="center"/>
            <w:hideMark/>
          </w:tcPr>
          <w:p w:rsidR="00895586" w:rsidRPr="00B148B1" w:rsidRDefault="00895586">
            <w:pPr>
              <w:jc w:val="center"/>
              <w:rPr>
                <w:rFonts w:cs="Arial"/>
                <w:sz w:val="16"/>
                <w:szCs w:val="16"/>
              </w:rPr>
            </w:pPr>
            <w:r w:rsidRPr="00B148B1">
              <w:rPr>
                <w:rFonts w:cs="Arial"/>
                <w:sz w:val="16"/>
                <w:szCs w:val="16"/>
              </w:rPr>
              <w:t>24.496</w:t>
            </w:r>
          </w:p>
        </w:tc>
        <w:tc>
          <w:tcPr>
            <w:tcW w:w="886" w:type="dxa"/>
            <w:noWrap/>
            <w:vAlign w:val="center"/>
            <w:hideMark/>
          </w:tcPr>
          <w:p w:rsidR="00895586" w:rsidRPr="00B148B1" w:rsidRDefault="00895586">
            <w:pPr>
              <w:jc w:val="center"/>
              <w:rPr>
                <w:rFonts w:cs="Arial"/>
                <w:sz w:val="16"/>
                <w:szCs w:val="16"/>
              </w:rPr>
            </w:pPr>
            <w:r w:rsidRPr="00B148B1">
              <w:rPr>
                <w:rFonts w:cs="Arial"/>
                <w:sz w:val="16"/>
                <w:szCs w:val="16"/>
              </w:rPr>
              <w:t>106.147</w:t>
            </w:r>
          </w:p>
        </w:tc>
        <w:tc>
          <w:tcPr>
            <w:tcW w:w="851" w:type="dxa"/>
            <w:noWrap/>
            <w:vAlign w:val="center"/>
            <w:hideMark/>
          </w:tcPr>
          <w:p w:rsidR="00895586" w:rsidRPr="00B148B1" w:rsidRDefault="00895586">
            <w:pPr>
              <w:jc w:val="center"/>
              <w:rPr>
                <w:rFonts w:cs="Arial"/>
                <w:sz w:val="16"/>
                <w:szCs w:val="16"/>
              </w:rPr>
            </w:pPr>
            <w:r w:rsidRPr="00B148B1">
              <w:rPr>
                <w:rFonts w:cs="Arial"/>
                <w:sz w:val="16"/>
                <w:szCs w:val="16"/>
              </w:rPr>
              <w:t>10</w:t>
            </w:r>
          </w:p>
        </w:tc>
        <w:tc>
          <w:tcPr>
            <w:tcW w:w="920" w:type="dxa"/>
            <w:noWrap/>
            <w:vAlign w:val="center"/>
            <w:hideMark/>
          </w:tcPr>
          <w:p w:rsidR="00895586" w:rsidRPr="00B148B1" w:rsidRDefault="00895586">
            <w:pPr>
              <w:jc w:val="center"/>
              <w:rPr>
                <w:rFonts w:cs="Arial"/>
                <w:sz w:val="16"/>
                <w:szCs w:val="16"/>
              </w:rPr>
            </w:pPr>
            <w:r w:rsidRPr="00B148B1">
              <w:rPr>
                <w:rFonts w:cs="Arial"/>
                <w:sz w:val="16"/>
                <w:szCs w:val="16"/>
              </w:rPr>
              <w:t>97.637</w:t>
            </w:r>
          </w:p>
        </w:tc>
        <w:tc>
          <w:tcPr>
            <w:tcW w:w="886" w:type="dxa"/>
            <w:noWrap/>
            <w:vAlign w:val="center"/>
            <w:hideMark/>
          </w:tcPr>
          <w:p w:rsidR="00895586" w:rsidRPr="00B148B1" w:rsidRDefault="00895586">
            <w:pPr>
              <w:jc w:val="center"/>
              <w:rPr>
                <w:rFonts w:cs="Arial"/>
                <w:sz w:val="16"/>
                <w:szCs w:val="16"/>
              </w:rPr>
            </w:pPr>
            <w:r w:rsidRPr="00B148B1">
              <w:rPr>
                <w:rFonts w:cs="Arial"/>
                <w:sz w:val="16"/>
                <w:szCs w:val="16"/>
              </w:rPr>
              <w:t>20.733</w:t>
            </w:r>
          </w:p>
        </w:tc>
        <w:tc>
          <w:tcPr>
            <w:tcW w:w="887" w:type="dxa"/>
            <w:noWrap/>
            <w:vAlign w:val="center"/>
            <w:hideMark/>
          </w:tcPr>
          <w:p w:rsidR="00895586" w:rsidRPr="00B148B1" w:rsidRDefault="00895586">
            <w:pPr>
              <w:jc w:val="center"/>
              <w:rPr>
                <w:rFonts w:cs="Arial"/>
                <w:sz w:val="16"/>
                <w:szCs w:val="16"/>
              </w:rPr>
            </w:pPr>
            <w:r w:rsidRPr="00B148B1">
              <w:rPr>
                <w:rFonts w:cs="Arial"/>
                <w:sz w:val="16"/>
                <w:szCs w:val="16"/>
              </w:rPr>
              <w:t>118.370</w:t>
            </w:r>
          </w:p>
        </w:tc>
      </w:tr>
      <w:tr w:rsidR="00895586" w:rsidRPr="00B148B1" w:rsidTr="00B803AE">
        <w:trPr>
          <w:trHeight w:val="680"/>
        </w:trPr>
        <w:tc>
          <w:tcPr>
            <w:tcW w:w="2127" w:type="dxa"/>
            <w:vAlign w:val="center"/>
            <w:hideMark/>
          </w:tcPr>
          <w:p w:rsidR="00895586" w:rsidRPr="00B148B1" w:rsidRDefault="00895586" w:rsidP="0092722B">
            <w:pPr>
              <w:spacing w:line="240" w:lineRule="auto"/>
              <w:jc w:val="right"/>
              <w:rPr>
                <w:rFonts w:cs="Arial"/>
                <w:b/>
                <w:bCs/>
                <w:iCs/>
                <w:color w:val="000000"/>
                <w:sz w:val="16"/>
                <w:szCs w:val="16"/>
                <w:lang w:eastAsia="sl-SI"/>
              </w:rPr>
            </w:pPr>
            <w:r w:rsidRPr="00B148B1">
              <w:rPr>
                <w:rFonts w:cs="Arial"/>
                <w:color w:val="000000"/>
                <w:sz w:val="16"/>
                <w:szCs w:val="16"/>
              </w:rPr>
              <w:t>aglomeracije ≥ 15.000 PE</w:t>
            </w:r>
          </w:p>
        </w:tc>
        <w:tc>
          <w:tcPr>
            <w:tcW w:w="849" w:type="dxa"/>
            <w:noWrap/>
            <w:vAlign w:val="center"/>
            <w:hideMark/>
          </w:tcPr>
          <w:p w:rsidR="00895586" w:rsidRPr="00B148B1" w:rsidRDefault="00895586">
            <w:pPr>
              <w:jc w:val="center"/>
              <w:rPr>
                <w:rFonts w:cs="Arial"/>
                <w:sz w:val="16"/>
                <w:szCs w:val="16"/>
              </w:rPr>
            </w:pPr>
            <w:r w:rsidRPr="00B148B1">
              <w:rPr>
                <w:rFonts w:cs="Arial"/>
                <w:sz w:val="16"/>
                <w:szCs w:val="16"/>
              </w:rPr>
              <w:t>17</w:t>
            </w:r>
          </w:p>
        </w:tc>
        <w:tc>
          <w:tcPr>
            <w:tcW w:w="922" w:type="dxa"/>
            <w:noWrap/>
            <w:vAlign w:val="center"/>
            <w:hideMark/>
          </w:tcPr>
          <w:p w:rsidR="00895586" w:rsidRPr="00B148B1" w:rsidRDefault="00895586">
            <w:pPr>
              <w:jc w:val="center"/>
              <w:rPr>
                <w:rFonts w:cs="Arial"/>
                <w:sz w:val="16"/>
                <w:szCs w:val="16"/>
              </w:rPr>
            </w:pPr>
            <w:r w:rsidRPr="00B148B1">
              <w:rPr>
                <w:rFonts w:cs="Arial"/>
                <w:sz w:val="16"/>
                <w:szCs w:val="16"/>
              </w:rPr>
              <w:t>640.121</w:t>
            </w:r>
          </w:p>
        </w:tc>
        <w:tc>
          <w:tcPr>
            <w:tcW w:w="886" w:type="dxa"/>
            <w:noWrap/>
            <w:vAlign w:val="center"/>
            <w:hideMark/>
          </w:tcPr>
          <w:p w:rsidR="00895586" w:rsidRPr="00B148B1" w:rsidRDefault="00895586">
            <w:pPr>
              <w:jc w:val="center"/>
              <w:rPr>
                <w:rFonts w:cs="Arial"/>
                <w:sz w:val="16"/>
                <w:szCs w:val="16"/>
              </w:rPr>
            </w:pPr>
            <w:r w:rsidRPr="00B148B1">
              <w:rPr>
                <w:rFonts w:cs="Arial"/>
                <w:sz w:val="16"/>
                <w:szCs w:val="16"/>
              </w:rPr>
              <w:t>192.036</w:t>
            </w:r>
          </w:p>
        </w:tc>
        <w:tc>
          <w:tcPr>
            <w:tcW w:w="886" w:type="dxa"/>
            <w:noWrap/>
            <w:vAlign w:val="center"/>
            <w:hideMark/>
          </w:tcPr>
          <w:p w:rsidR="00895586" w:rsidRPr="00B148B1" w:rsidRDefault="00895586">
            <w:pPr>
              <w:jc w:val="center"/>
              <w:rPr>
                <w:rFonts w:cs="Arial"/>
                <w:sz w:val="16"/>
                <w:szCs w:val="16"/>
              </w:rPr>
            </w:pPr>
            <w:r w:rsidRPr="00B148B1">
              <w:rPr>
                <w:rFonts w:cs="Arial"/>
                <w:sz w:val="16"/>
                <w:szCs w:val="16"/>
              </w:rPr>
              <w:t>832.157</w:t>
            </w:r>
          </w:p>
        </w:tc>
        <w:tc>
          <w:tcPr>
            <w:tcW w:w="851" w:type="dxa"/>
            <w:noWrap/>
            <w:vAlign w:val="center"/>
            <w:hideMark/>
          </w:tcPr>
          <w:p w:rsidR="00895586" w:rsidRPr="00B148B1" w:rsidRDefault="00895586">
            <w:pPr>
              <w:jc w:val="center"/>
              <w:rPr>
                <w:rFonts w:cs="Arial"/>
                <w:sz w:val="16"/>
                <w:szCs w:val="16"/>
              </w:rPr>
            </w:pPr>
            <w:r w:rsidRPr="00B148B1">
              <w:rPr>
                <w:rFonts w:cs="Arial"/>
                <w:sz w:val="16"/>
                <w:szCs w:val="16"/>
              </w:rPr>
              <w:t>18</w:t>
            </w:r>
          </w:p>
        </w:tc>
        <w:tc>
          <w:tcPr>
            <w:tcW w:w="920" w:type="dxa"/>
            <w:noWrap/>
            <w:vAlign w:val="center"/>
            <w:hideMark/>
          </w:tcPr>
          <w:p w:rsidR="00895586" w:rsidRPr="00B148B1" w:rsidRDefault="00895586">
            <w:pPr>
              <w:jc w:val="center"/>
              <w:rPr>
                <w:rFonts w:cs="Arial"/>
                <w:sz w:val="16"/>
                <w:szCs w:val="16"/>
              </w:rPr>
            </w:pPr>
            <w:r w:rsidRPr="00B148B1">
              <w:rPr>
                <w:rFonts w:cs="Arial"/>
                <w:sz w:val="16"/>
                <w:szCs w:val="16"/>
              </w:rPr>
              <w:t>746.324</w:t>
            </w:r>
          </w:p>
        </w:tc>
        <w:tc>
          <w:tcPr>
            <w:tcW w:w="886" w:type="dxa"/>
            <w:noWrap/>
            <w:vAlign w:val="center"/>
            <w:hideMark/>
          </w:tcPr>
          <w:p w:rsidR="00895586" w:rsidRPr="00B148B1" w:rsidRDefault="00895586">
            <w:pPr>
              <w:jc w:val="center"/>
              <w:rPr>
                <w:rFonts w:cs="Arial"/>
                <w:sz w:val="16"/>
                <w:szCs w:val="16"/>
              </w:rPr>
            </w:pPr>
            <w:r w:rsidRPr="00B148B1">
              <w:rPr>
                <w:rFonts w:cs="Arial"/>
                <w:sz w:val="16"/>
                <w:szCs w:val="16"/>
              </w:rPr>
              <w:t>323.548</w:t>
            </w:r>
          </w:p>
        </w:tc>
        <w:tc>
          <w:tcPr>
            <w:tcW w:w="887" w:type="dxa"/>
            <w:noWrap/>
            <w:vAlign w:val="center"/>
            <w:hideMark/>
          </w:tcPr>
          <w:p w:rsidR="00895586" w:rsidRPr="00B148B1" w:rsidRDefault="00895586">
            <w:pPr>
              <w:jc w:val="center"/>
              <w:rPr>
                <w:rFonts w:cs="Arial"/>
                <w:sz w:val="16"/>
                <w:szCs w:val="16"/>
              </w:rPr>
            </w:pPr>
            <w:r w:rsidRPr="00B148B1">
              <w:rPr>
                <w:rFonts w:cs="Arial"/>
                <w:sz w:val="16"/>
                <w:szCs w:val="16"/>
              </w:rPr>
              <w:t>1.069.872</w:t>
            </w:r>
          </w:p>
        </w:tc>
      </w:tr>
      <w:tr w:rsidR="00895586" w:rsidRPr="00B148B1" w:rsidTr="00B803AE">
        <w:trPr>
          <w:trHeight w:val="680"/>
        </w:trPr>
        <w:tc>
          <w:tcPr>
            <w:tcW w:w="2127" w:type="dxa"/>
            <w:vAlign w:val="center"/>
            <w:hideMark/>
          </w:tcPr>
          <w:p w:rsidR="00895586" w:rsidRPr="00B148B1" w:rsidRDefault="00895586" w:rsidP="0092722B">
            <w:pPr>
              <w:spacing w:line="240" w:lineRule="auto"/>
              <w:jc w:val="right"/>
              <w:rPr>
                <w:rFonts w:cs="Arial"/>
                <w:b/>
                <w:bCs/>
                <w:i/>
                <w:iCs/>
                <w:color w:val="000000"/>
                <w:sz w:val="16"/>
                <w:szCs w:val="16"/>
                <w:lang w:eastAsia="sl-SI"/>
              </w:rPr>
            </w:pPr>
            <w:r w:rsidRPr="00B148B1">
              <w:rPr>
                <w:rFonts w:cs="Arial"/>
                <w:b/>
                <w:i/>
                <w:color w:val="000000"/>
                <w:sz w:val="16"/>
                <w:szCs w:val="16"/>
              </w:rPr>
              <w:t>aglomeracije ≥ 2.000 PE</w:t>
            </w:r>
          </w:p>
        </w:tc>
        <w:tc>
          <w:tcPr>
            <w:tcW w:w="849" w:type="dxa"/>
            <w:noWrap/>
            <w:vAlign w:val="center"/>
            <w:hideMark/>
          </w:tcPr>
          <w:p w:rsidR="00895586" w:rsidRPr="00B148B1" w:rsidRDefault="00895586">
            <w:pPr>
              <w:jc w:val="center"/>
              <w:rPr>
                <w:rFonts w:cs="Arial"/>
                <w:b/>
                <w:bCs/>
                <w:i/>
                <w:iCs/>
                <w:sz w:val="16"/>
                <w:szCs w:val="16"/>
              </w:rPr>
            </w:pPr>
            <w:r w:rsidRPr="00B148B1">
              <w:rPr>
                <w:rFonts w:cs="Arial"/>
                <w:b/>
                <w:bCs/>
                <w:i/>
                <w:iCs/>
                <w:sz w:val="16"/>
                <w:szCs w:val="16"/>
              </w:rPr>
              <w:t>158</w:t>
            </w:r>
          </w:p>
        </w:tc>
        <w:tc>
          <w:tcPr>
            <w:tcW w:w="922" w:type="dxa"/>
            <w:noWrap/>
            <w:vAlign w:val="center"/>
            <w:hideMark/>
          </w:tcPr>
          <w:p w:rsidR="00895586" w:rsidRPr="00B148B1" w:rsidRDefault="00895586">
            <w:pPr>
              <w:jc w:val="center"/>
              <w:rPr>
                <w:rFonts w:cs="Arial"/>
                <w:b/>
                <w:bCs/>
                <w:i/>
                <w:iCs/>
                <w:sz w:val="16"/>
                <w:szCs w:val="16"/>
              </w:rPr>
            </w:pPr>
            <w:r w:rsidRPr="00B148B1">
              <w:rPr>
                <w:rFonts w:cs="Arial"/>
                <w:b/>
                <w:bCs/>
                <w:i/>
                <w:iCs/>
                <w:sz w:val="16"/>
                <w:szCs w:val="16"/>
              </w:rPr>
              <w:t>1.124.785</w:t>
            </w:r>
          </w:p>
        </w:tc>
        <w:tc>
          <w:tcPr>
            <w:tcW w:w="886" w:type="dxa"/>
            <w:noWrap/>
            <w:vAlign w:val="center"/>
            <w:hideMark/>
          </w:tcPr>
          <w:p w:rsidR="00895586" w:rsidRPr="00B148B1" w:rsidRDefault="00895586">
            <w:pPr>
              <w:jc w:val="center"/>
              <w:rPr>
                <w:rFonts w:cs="Arial"/>
                <w:b/>
                <w:bCs/>
                <w:i/>
                <w:iCs/>
                <w:sz w:val="16"/>
                <w:szCs w:val="16"/>
              </w:rPr>
            </w:pPr>
            <w:r w:rsidRPr="00B148B1">
              <w:rPr>
                <w:rFonts w:cs="Arial"/>
                <w:b/>
                <w:bCs/>
                <w:i/>
                <w:iCs/>
                <w:sz w:val="16"/>
                <w:szCs w:val="16"/>
              </w:rPr>
              <w:t>337.442</w:t>
            </w:r>
          </w:p>
        </w:tc>
        <w:tc>
          <w:tcPr>
            <w:tcW w:w="886" w:type="dxa"/>
            <w:noWrap/>
            <w:vAlign w:val="center"/>
            <w:hideMark/>
          </w:tcPr>
          <w:p w:rsidR="00895586" w:rsidRPr="00B148B1" w:rsidRDefault="00895586">
            <w:pPr>
              <w:jc w:val="center"/>
              <w:rPr>
                <w:rFonts w:cs="Arial"/>
                <w:b/>
                <w:bCs/>
                <w:i/>
                <w:iCs/>
                <w:sz w:val="16"/>
                <w:szCs w:val="16"/>
              </w:rPr>
            </w:pPr>
            <w:r w:rsidRPr="00B148B1">
              <w:rPr>
                <w:rFonts w:cs="Arial"/>
                <w:b/>
                <w:bCs/>
                <w:i/>
                <w:iCs/>
                <w:sz w:val="16"/>
                <w:szCs w:val="16"/>
              </w:rPr>
              <w:t>1.462.227</w:t>
            </w:r>
          </w:p>
        </w:tc>
        <w:tc>
          <w:tcPr>
            <w:tcW w:w="851" w:type="dxa"/>
            <w:noWrap/>
            <w:vAlign w:val="center"/>
            <w:hideMark/>
          </w:tcPr>
          <w:p w:rsidR="00895586" w:rsidRPr="00B148B1" w:rsidRDefault="00895586">
            <w:pPr>
              <w:jc w:val="center"/>
              <w:rPr>
                <w:rFonts w:cs="Arial"/>
                <w:b/>
                <w:bCs/>
                <w:i/>
                <w:iCs/>
                <w:sz w:val="16"/>
                <w:szCs w:val="16"/>
              </w:rPr>
            </w:pPr>
            <w:r w:rsidRPr="00B148B1">
              <w:rPr>
                <w:rFonts w:cs="Arial"/>
                <w:b/>
                <w:bCs/>
                <w:i/>
                <w:iCs/>
                <w:sz w:val="16"/>
                <w:szCs w:val="16"/>
              </w:rPr>
              <w:t>123</w:t>
            </w:r>
          </w:p>
        </w:tc>
        <w:tc>
          <w:tcPr>
            <w:tcW w:w="920" w:type="dxa"/>
            <w:noWrap/>
            <w:vAlign w:val="center"/>
            <w:hideMark/>
          </w:tcPr>
          <w:p w:rsidR="00895586" w:rsidRPr="00B148B1" w:rsidRDefault="00895586">
            <w:pPr>
              <w:jc w:val="center"/>
              <w:rPr>
                <w:rFonts w:cs="Arial"/>
                <w:b/>
                <w:bCs/>
                <w:i/>
                <w:iCs/>
                <w:sz w:val="16"/>
                <w:szCs w:val="16"/>
              </w:rPr>
            </w:pPr>
            <w:r w:rsidRPr="00B148B1">
              <w:rPr>
                <w:rFonts w:cs="Arial"/>
                <w:b/>
                <w:bCs/>
                <w:i/>
                <w:iCs/>
                <w:sz w:val="16"/>
                <w:szCs w:val="16"/>
              </w:rPr>
              <w:t>1.179.960</w:t>
            </w:r>
          </w:p>
        </w:tc>
        <w:tc>
          <w:tcPr>
            <w:tcW w:w="886" w:type="dxa"/>
            <w:noWrap/>
            <w:vAlign w:val="center"/>
            <w:hideMark/>
          </w:tcPr>
          <w:p w:rsidR="00895586" w:rsidRPr="00B148B1" w:rsidRDefault="00895586">
            <w:pPr>
              <w:jc w:val="center"/>
              <w:rPr>
                <w:rFonts w:cs="Arial"/>
                <w:b/>
                <w:bCs/>
                <w:i/>
                <w:iCs/>
                <w:sz w:val="16"/>
                <w:szCs w:val="16"/>
              </w:rPr>
            </w:pPr>
            <w:r w:rsidRPr="00B148B1">
              <w:rPr>
                <w:rFonts w:cs="Arial"/>
                <w:b/>
                <w:bCs/>
                <w:i/>
                <w:iCs/>
                <w:sz w:val="16"/>
                <w:szCs w:val="16"/>
              </w:rPr>
              <w:t>423.684</w:t>
            </w:r>
          </w:p>
        </w:tc>
        <w:tc>
          <w:tcPr>
            <w:tcW w:w="887" w:type="dxa"/>
            <w:noWrap/>
            <w:vAlign w:val="center"/>
            <w:hideMark/>
          </w:tcPr>
          <w:p w:rsidR="00895586" w:rsidRPr="00B148B1" w:rsidRDefault="00895586">
            <w:pPr>
              <w:jc w:val="center"/>
              <w:rPr>
                <w:rFonts w:cs="Arial"/>
                <w:b/>
                <w:bCs/>
                <w:i/>
                <w:iCs/>
                <w:sz w:val="16"/>
                <w:szCs w:val="16"/>
              </w:rPr>
            </w:pPr>
            <w:r w:rsidRPr="00B148B1">
              <w:rPr>
                <w:rFonts w:cs="Arial"/>
                <w:b/>
                <w:bCs/>
                <w:i/>
                <w:iCs/>
                <w:sz w:val="16"/>
                <w:szCs w:val="16"/>
              </w:rPr>
              <w:t>1.603.644</w:t>
            </w:r>
          </w:p>
        </w:tc>
      </w:tr>
      <w:tr w:rsidR="00895586" w:rsidRPr="00B148B1" w:rsidTr="00B803AE">
        <w:trPr>
          <w:trHeight w:val="340"/>
        </w:trPr>
        <w:tc>
          <w:tcPr>
            <w:tcW w:w="2127" w:type="dxa"/>
            <w:vAlign w:val="center"/>
            <w:hideMark/>
          </w:tcPr>
          <w:p w:rsidR="00895586" w:rsidRPr="00B148B1" w:rsidRDefault="00895586" w:rsidP="006A72BD">
            <w:pPr>
              <w:spacing w:line="240" w:lineRule="auto"/>
              <w:jc w:val="right"/>
              <w:rPr>
                <w:rFonts w:cs="Arial"/>
                <w:b/>
                <w:bCs/>
                <w:iCs/>
                <w:color w:val="000000"/>
                <w:sz w:val="16"/>
                <w:szCs w:val="16"/>
                <w:lang w:eastAsia="sl-SI"/>
              </w:rPr>
            </w:pPr>
            <w:r w:rsidRPr="00B148B1">
              <w:rPr>
                <w:rFonts w:cs="Arial"/>
                <w:b/>
                <w:bCs/>
                <w:iCs/>
                <w:color w:val="000000"/>
                <w:sz w:val="16"/>
                <w:szCs w:val="16"/>
                <w:lang w:eastAsia="sl-SI"/>
              </w:rPr>
              <w:t>SKUPAJ</w:t>
            </w:r>
          </w:p>
        </w:tc>
        <w:tc>
          <w:tcPr>
            <w:tcW w:w="849" w:type="dxa"/>
            <w:noWrap/>
            <w:vAlign w:val="center"/>
            <w:hideMark/>
          </w:tcPr>
          <w:p w:rsidR="00895586" w:rsidRPr="00B148B1" w:rsidRDefault="00895586">
            <w:pPr>
              <w:jc w:val="center"/>
              <w:rPr>
                <w:rFonts w:cs="Arial"/>
                <w:b/>
                <w:bCs/>
                <w:sz w:val="16"/>
                <w:szCs w:val="16"/>
              </w:rPr>
            </w:pPr>
            <w:r w:rsidRPr="00B148B1">
              <w:rPr>
                <w:rFonts w:cs="Arial"/>
                <w:b/>
                <w:bCs/>
                <w:sz w:val="16"/>
                <w:szCs w:val="16"/>
              </w:rPr>
              <w:t>2.232</w:t>
            </w:r>
          </w:p>
        </w:tc>
        <w:tc>
          <w:tcPr>
            <w:tcW w:w="922" w:type="dxa"/>
            <w:noWrap/>
            <w:vAlign w:val="center"/>
            <w:hideMark/>
          </w:tcPr>
          <w:p w:rsidR="00895586" w:rsidRPr="00B148B1" w:rsidRDefault="00895586">
            <w:pPr>
              <w:jc w:val="center"/>
              <w:rPr>
                <w:rFonts w:cs="Arial"/>
                <w:b/>
                <w:bCs/>
                <w:sz w:val="16"/>
                <w:szCs w:val="16"/>
              </w:rPr>
            </w:pPr>
            <w:r w:rsidRPr="00B148B1">
              <w:rPr>
                <w:rFonts w:cs="Arial"/>
                <w:b/>
                <w:bCs/>
                <w:sz w:val="16"/>
                <w:szCs w:val="16"/>
              </w:rPr>
              <w:t>1.620.831</w:t>
            </w:r>
          </w:p>
        </w:tc>
        <w:tc>
          <w:tcPr>
            <w:tcW w:w="886" w:type="dxa"/>
            <w:noWrap/>
            <w:vAlign w:val="center"/>
            <w:hideMark/>
          </w:tcPr>
          <w:p w:rsidR="00895586" w:rsidRPr="00B148B1" w:rsidRDefault="00895586">
            <w:pPr>
              <w:jc w:val="center"/>
              <w:rPr>
                <w:rFonts w:cs="Arial"/>
                <w:b/>
                <w:bCs/>
                <w:sz w:val="16"/>
                <w:szCs w:val="16"/>
              </w:rPr>
            </w:pPr>
            <w:r w:rsidRPr="00B148B1">
              <w:rPr>
                <w:rFonts w:cs="Arial"/>
                <w:b/>
                <w:bCs/>
                <w:sz w:val="16"/>
                <w:szCs w:val="16"/>
              </w:rPr>
              <w:t>486.363</w:t>
            </w:r>
          </w:p>
        </w:tc>
        <w:tc>
          <w:tcPr>
            <w:tcW w:w="886" w:type="dxa"/>
            <w:noWrap/>
            <w:vAlign w:val="center"/>
            <w:hideMark/>
          </w:tcPr>
          <w:p w:rsidR="00895586" w:rsidRPr="00B148B1" w:rsidRDefault="00895586">
            <w:pPr>
              <w:jc w:val="center"/>
              <w:rPr>
                <w:rFonts w:cs="Arial"/>
                <w:b/>
                <w:bCs/>
                <w:sz w:val="16"/>
                <w:szCs w:val="16"/>
              </w:rPr>
            </w:pPr>
            <w:r w:rsidRPr="00B148B1">
              <w:rPr>
                <w:rFonts w:cs="Arial"/>
                <w:b/>
                <w:bCs/>
                <w:sz w:val="16"/>
                <w:szCs w:val="16"/>
              </w:rPr>
              <w:t>2.107.194</w:t>
            </w:r>
          </w:p>
        </w:tc>
        <w:tc>
          <w:tcPr>
            <w:tcW w:w="851" w:type="dxa"/>
            <w:noWrap/>
            <w:vAlign w:val="center"/>
            <w:hideMark/>
          </w:tcPr>
          <w:p w:rsidR="00895586" w:rsidRPr="00B148B1" w:rsidRDefault="00895586" w:rsidP="001037CC">
            <w:pPr>
              <w:jc w:val="center"/>
              <w:rPr>
                <w:rFonts w:cs="Arial"/>
                <w:b/>
                <w:bCs/>
                <w:sz w:val="16"/>
                <w:szCs w:val="16"/>
              </w:rPr>
            </w:pPr>
            <w:r w:rsidRPr="00B148B1">
              <w:rPr>
                <w:rFonts w:cs="Arial"/>
                <w:b/>
                <w:bCs/>
                <w:sz w:val="16"/>
                <w:szCs w:val="16"/>
              </w:rPr>
              <w:t>1.53</w:t>
            </w:r>
            <w:r w:rsidR="001037CC" w:rsidRPr="00B148B1">
              <w:rPr>
                <w:rFonts w:cs="Arial"/>
                <w:b/>
                <w:bCs/>
                <w:sz w:val="16"/>
                <w:szCs w:val="16"/>
              </w:rPr>
              <w:t>3</w:t>
            </w:r>
          </w:p>
        </w:tc>
        <w:tc>
          <w:tcPr>
            <w:tcW w:w="920" w:type="dxa"/>
            <w:noWrap/>
            <w:vAlign w:val="center"/>
            <w:hideMark/>
          </w:tcPr>
          <w:p w:rsidR="00895586" w:rsidRPr="00B148B1" w:rsidRDefault="00895586" w:rsidP="001037CC">
            <w:pPr>
              <w:jc w:val="center"/>
              <w:rPr>
                <w:rFonts w:cs="Arial"/>
                <w:b/>
                <w:bCs/>
                <w:sz w:val="16"/>
                <w:szCs w:val="16"/>
              </w:rPr>
            </w:pPr>
            <w:r w:rsidRPr="00B148B1">
              <w:rPr>
                <w:rFonts w:cs="Arial"/>
                <w:b/>
                <w:bCs/>
                <w:sz w:val="16"/>
                <w:szCs w:val="16"/>
              </w:rPr>
              <w:t>1.612.</w:t>
            </w:r>
            <w:r w:rsidR="001037CC" w:rsidRPr="00B148B1">
              <w:rPr>
                <w:rFonts w:cs="Arial"/>
                <w:b/>
                <w:bCs/>
                <w:sz w:val="16"/>
                <w:szCs w:val="16"/>
              </w:rPr>
              <w:t>204</w:t>
            </w:r>
          </w:p>
        </w:tc>
        <w:tc>
          <w:tcPr>
            <w:tcW w:w="886" w:type="dxa"/>
            <w:noWrap/>
            <w:vAlign w:val="center"/>
            <w:hideMark/>
          </w:tcPr>
          <w:p w:rsidR="00895586" w:rsidRPr="00B148B1" w:rsidRDefault="00895586" w:rsidP="001037CC">
            <w:pPr>
              <w:jc w:val="center"/>
              <w:rPr>
                <w:rFonts w:cs="Arial"/>
                <w:b/>
                <w:bCs/>
                <w:sz w:val="16"/>
                <w:szCs w:val="16"/>
              </w:rPr>
            </w:pPr>
            <w:r w:rsidRPr="00B148B1">
              <w:rPr>
                <w:rFonts w:cs="Arial"/>
                <w:b/>
                <w:bCs/>
                <w:sz w:val="16"/>
                <w:szCs w:val="16"/>
              </w:rPr>
              <w:t>472.2</w:t>
            </w:r>
            <w:r w:rsidR="001037CC" w:rsidRPr="00B148B1">
              <w:rPr>
                <w:rFonts w:cs="Arial"/>
                <w:b/>
                <w:bCs/>
                <w:sz w:val="16"/>
                <w:szCs w:val="16"/>
              </w:rPr>
              <w:t>05</w:t>
            </w:r>
          </w:p>
        </w:tc>
        <w:tc>
          <w:tcPr>
            <w:tcW w:w="887" w:type="dxa"/>
            <w:noWrap/>
            <w:vAlign w:val="center"/>
            <w:hideMark/>
          </w:tcPr>
          <w:p w:rsidR="00895586" w:rsidRPr="00B148B1" w:rsidRDefault="00895586" w:rsidP="001037CC">
            <w:pPr>
              <w:jc w:val="center"/>
              <w:rPr>
                <w:rFonts w:cs="Arial"/>
                <w:b/>
                <w:bCs/>
                <w:i/>
                <w:iCs/>
                <w:sz w:val="16"/>
                <w:szCs w:val="16"/>
              </w:rPr>
            </w:pPr>
            <w:r w:rsidRPr="00B148B1">
              <w:rPr>
                <w:rFonts w:cs="Arial"/>
                <w:b/>
                <w:bCs/>
                <w:i/>
                <w:iCs/>
                <w:sz w:val="16"/>
                <w:szCs w:val="16"/>
              </w:rPr>
              <w:t>2.084.</w:t>
            </w:r>
            <w:r w:rsidR="001037CC" w:rsidRPr="00B148B1">
              <w:rPr>
                <w:rFonts w:cs="Arial"/>
                <w:b/>
                <w:bCs/>
                <w:i/>
                <w:iCs/>
                <w:sz w:val="16"/>
                <w:szCs w:val="16"/>
              </w:rPr>
              <w:t>409</w:t>
            </w:r>
          </w:p>
        </w:tc>
      </w:tr>
    </w:tbl>
    <w:p w:rsidR="008914D5" w:rsidRPr="00B148B1" w:rsidRDefault="008914D5" w:rsidP="008914D5">
      <w:pPr>
        <w:tabs>
          <w:tab w:val="left" w:leader="dot" w:pos="993"/>
          <w:tab w:val="left" w:pos="9600"/>
        </w:tabs>
        <w:spacing w:before="120" w:line="280" w:lineRule="atLeast"/>
        <w:ind w:left="993" w:hanging="993"/>
        <w:rPr>
          <w:rFonts w:cs="Arial"/>
          <w:sz w:val="18"/>
          <w:szCs w:val="18"/>
        </w:rPr>
      </w:pPr>
      <w:proofErr w:type="spellStart"/>
      <w:r w:rsidRPr="00B148B1">
        <w:rPr>
          <w:rFonts w:cs="Arial"/>
          <w:sz w:val="18"/>
          <w:szCs w:val="18"/>
        </w:rPr>
        <w:t>PE</w:t>
      </w:r>
      <w:r w:rsidRPr="00B148B1">
        <w:rPr>
          <w:rFonts w:cs="Arial"/>
          <w:sz w:val="18"/>
          <w:szCs w:val="18"/>
          <w:vertAlign w:val="subscript"/>
        </w:rPr>
        <w:t>dod</w:t>
      </w:r>
      <w:proofErr w:type="spellEnd"/>
      <w:r w:rsidR="001112C4" w:rsidRPr="00B148B1">
        <w:rPr>
          <w:rFonts w:cs="Arial"/>
          <w:sz w:val="18"/>
          <w:szCs w:val="18"/>
          <w:vertAlign w:val="subscript"/>
        </w:rPr>
        <w:t xml:space="preserve"> </w:t>
      </w:r>
      <w:r w:rsidR="001112C4" w:rsidRPr="00B148B1">
        <w:rPr>
          <w:rFonts w:cs="Arial"/>
          <w:color w:val="202122"/>
          <w:sz w:val="18"/>
          <w:szCs w:val="18"/>
          <w:shd w:val="clear" w:color="auto" w:fill="FFFFFF"/>
        </w:rPr>
        <w:t xml:space="preserve">– </w:t>
      </w:r>
      <w:r w:rsidRPr="00B148B1">
        <w:rPr>
          <w:rFonts w:cs="Arial"/>
          <w:sz w:val="18"/>
          <w:szCs w:val="18"/>
        </w:rPr>
        <w:t>dodatna obremenitev aglomeracij, izražena v PE;</w:t>
      </w:r>
    </w:p>
    <w:p w:rsidR="005E1571" w:rsidRPr="00B148B1" w:rsidRDefault="008914D5" w:rsidP="008914D5">
      <w:pPr>
        <w:tabs>
          <w:tab w:val="left" w:leader="dot" w:pos="993"/>
          <w:tab w:val="left" w:pos="9600"/>
        </w:tabs>
        <w:spacing w:before="120" w:line="280" w:lineRule="atLeast"/>
        <w:ind w:left="993" w:hanging="993"/>
        <w:rPr>
          <w:rFonts w:cs="Arial"/>
          <w:sz w:val="18"/>
          <w:szCs w:val="18"/>
        </w:rPr>
      </w:pPr>
      <w:proofErr w:type="spellStart"/>
      <w:r w:rsidRPr="00B148B1">
        <w:rPr>
          <w:rFonts w:cs="Arial"/>
          <w:sz w:val="18"/>
          <w:szCs w:val="18"/>
        </w:rPr>
        <w:t>PE</w:t>
      </w:r>
      <w:r w:rsidRPr="00B148B1">
        <w:rPr>
          <w:rFonts w:cs="Arial"/>
          <w:sz w:val="18"/>
          <w:szCs w:val="18"/>
          <w:vertAlign w:val="subscript"/>
        </w:rPr>
        <w:t>sk</w:t>
      </w:r>
      <w:proofErr w:type="spellEnd"/>
      <w:r w:rsidR="001112C4" w:rsidRPr="00B148B1">
        <w:rPr>
          <w:rFonts w:cs="Arial"/>
          <w:sz w:val="18"/>
          <w:szCs w:val="18"/>
          <w:vertAlign w:val="subscript"/>
        </w:rPr>
        <w:t xml:space="preserve"> </w:t>
      </w:r>
      <w:r w:rsidR="001112C4" w:rsidRPr="00B148B1">
        <w:rPr>
          <w:rFonts w:cs="Arial"/>
          <w:color w:val="202122"/>
          <w:sz w:val="18"/>
          <w:szCs w:val="18"/>
          <w:shd w:val="clear" w:color="auto" w:fill="FFFFFF"/>
        </w:rPr>
        <w:t>–</w:t>
      </w:r>
      <w:r w:rsidR="004F6FD5" w:rsidRPr="00B148B1">
        <w:rPr>
          <w:rFonts w:cs="Arial"/>
          <w:color w:val="202122"/>
          <w:sz w:val="18"/>
          <w:szCs w:val="18"/>
          <w:shd w:val="clear" w:color="auto" w:fill="FFFFFF"/>
        </w:rPr>
        <w:t xml:space="preserve"> </w:t>
      </w:r>
      <w:r w:rsidRPr="00B148B1">
        <w:rPr>
          <w:rFonts w:cs="Arial"/>
          <w:sz w:val="18"/>
          <w:szCs w:val="18"/>
        </w:rPr>
        <w:t>skupna obremenitev aglomeracij, izražena v PE.</w:t>
      </w:r>
    </w:p>
    <w:p w:rsidR="005E1571" w:rsidRPr="00B148B1" w:rsidRDefault="005E1571">
      <w:pPr>
        <w:spacing w:after="200" w:line="276" w:lineRule="auto"/>
        <w:jc w:val="left"/>
        <w:rPr>
          <w:rFonts w:cs="Arial"/>
          <w:szCs w:val="20"/>
        </w:rPr>
      </w:pPr>
      <w:r w:rsidRPr="00B148B1">
        <w:rPr>
          <w:rFonts w:cs="Arial"/>
          <w:szCs w:val="20"/>
        </w:rPr>
        <w:br w:type="page"/>
      </w:r>
    </w:p>
    <w:p w:rsidR="00C63DDA" w:rsidRPr="00B148B1" w:rsidRDefault="00C63DDA" w:rsidP="00B139B4">
      <w:pPr>
        <w:pStyle w:val="Naslov1"/>
      </w:pPr>
      <w:bookmarkStart w:id="85" w:name="_Toc50628077"/>
      <w:r w:rsidRPr="00B148B1">
        <w:lastRenderedPageBreak/>
        <w:t xml:space="preserve">OCENA VRZELI </w:t>
      </w:r>
      <w:r w:rsidR="00C06B48" w:rsidRPr="00B148B1">
        <w:t xml:space="preserve">IN POTREBNIH UKREPOV </w:t>
      </w:r>
      <w:r w:rsidRPr="00B148B1">
        <w:t>DO IZPOLNJEVANJA ZAHTEV</w:t>
      </w:r>
      <w:bookmarkEnd w:id="85"/>
    </w:p>
    <w:p w:rsidR="00D774EB" w:rsidRPr="00B148B1" w:rsidRDefault="00D774EB" w:rsidP="008E5E8C">
      <w:pPr>
        <w:pStyle w:val="Naslov2"/>
      </w:pPr>
      <w:bookmarkStart w:id="86" w:name="_Ref530402901"/>
      <w:bookmarkStart w:id="87" w:name="_Toc50628078"/>
      <w:bookmarkStart w:id="88" w:name="_Ref527353739"/>
      <w:r w:rsidRPr="00B148B1">
        <w:t>O</w:t>
      </w:r>
      <w:r w:rsidR="009A2B31" w:rsidRPr="00B148B1">
        <w:t>cena o</w:t>
      </w:r>
      <w:r w:rsidRPr="00B148B1">
        <w:t>premljenost</w:t>
      </w:r>
      <w:r w:rsidR="009A2B31" w:rsidRPr="00B148B1">
        <w:t>i in stopnje priključenosti</w:t>
      </w:r>
      <w:r w:rsidRPr="00B148B1">
        <w:t xml:space="preserve"> aglomeracij</w:t>
      </w:r>
      <w:bookmarkEnd w:id="86"/>
      <w:bookmarkEnd w:id="87"/>
      <w:r w:rsidRPr="00B148B1">
        <w:t xml:space="preserve"> </w:t>
      </w:r>
      <w:bookmarkEnd w:id="88"/>
    </w:p>
    <w:p w:rsidR="00D774EB" w:rsidRPr="00B148B1" w:rsidRDefault="00D774EB" w:rsidP="008E5E8C">
      <w:pPr>
        <w:pStyle w:val="Naslov3"/>
      </w:pPr>
      <w:bookmarkStart w:id="89" w:name="_Toc50628079"/>
      <w:r w:rsidRPr="00B148B1">
        <w:t>O</w:t>
      </w:r>
      <w:r w:rsidR="00CD5722" w:rsidRPr="00B148B1">
        <w:t>cena o</w:t>
      </w:r>
      <w:r w:rsidRPr="00B148B1">
        <w:t>premljenost</w:t>
      </w:r>
      <w:r w:rsidR="00CD5722" w:rsidRPr="00B148B1">
        <w:t>i</w:t>
      </w:r>
      <w:r w:rsidRPr="00B148B1">
        <w:t xml:space="preserve"> aglomeracij</w:t>
      </w:r>
      <w:bookmarkEnd w:id="89"/>
    </w:p>
    <w:p w:rsidR="00D774EB" w:rsidRPr="00B148B1" w:rsidRDefault="003E32A4" w:rsidP="00F82F35">
      <w:pPr>
        <w:tabs>
          <w:tab w:val="left" w:pos="9600"/>
        </w:tabs>
        <w:spacing w:before="120" w:line="280" w:lineRule="atLeast"/>
        <w:rPr>
          <w:rFonts w:cs="Arial"/>
          <w:szCs w:val="20"/>
        </w:rPr>
      </w:pPr>
      <w:r w:rsidRPr="00B148B1">
        <w:rPr>
          <w:rFonts w:cs="Arial"/>
          <w:szCs w:val="20"/>
        </w:rPr>
        <w:t xml:space="preserve">Za </w:t>
      </w:r>
      <w:r w:rsidR="00C959F1" w:rsidRPr="00B148B1">
        <w:rPr>
          <w:rFonts w:cs="Arial"/>
          <w:szCs w:val="20"/>
        </w:rPr>
        <w:t>oceno</w:t>
      </w:r>
      <w:r w:rsidRPr="00B148B1">
        <w:rPr>
          <w:rFonts w:cs="Arial"/>
          <w:szCs w:val="20"/>
        </w:rPr>
        <w:t xml:space="preserve"> stopnje opremljenosti </w:t>
      </w:r>
      <w:r w:rsidR="00C959F1" w:rsidRPr="00B148B1">
        <w:rPr>
          <w:rFonts w:cs="Arial"/>
          <w:szCs w:val="20"/>
        </w:rPr>
        <w:t xml:space="preserve">posameznih </w:t>
      </w:r>
      <w:r w:rsidRPr="00B148B1">
        <w:rPr>
          <w:rFonts w:cs="Arial"/>
          <w:szCs w:val="20"/>
        </w:rPr>
        <w:t>aglomeracij</w:t>
      </w:r>
      <w:r w:rsidR="00C959F1" w:rsidRPr="00B148B1">
        <w:rPr>
          <w:rFonts w:cs="Arial"/>
          <w:szCs w:val="20"/>
        </w:rPr>
        <w:t xml:space="preserve"> je upoštevana določba dosedanje Uredbe o odvajanju in čiščenju komunalne odpadne vode, in sicer, da se šteje</w:t>
      </w:r>
      <w:r w:rsidR="00D774EB" w:rsidRPr="00B148B1">
        <w:rPr>
          <w:rFonts w:cs="Arial"/>
          <w:szCs w:val="20"/>
        </w:rPr>
        <w:t xml:space="preserve">, da je aglomeracija ali njen del opremljen z javno kanalizacijo, ko je javna kanalizacija vpisana v </w:t>
      </w:r>
      <w:r w:rsidRPr="00B148B1">
        <w:rPr>
          <w:rFonts w:cs="Arial"/>
          <w:szCs w:val="20"/>
        </w:rPr>
        <w:t>ZK GJI</w:t>
      </w:r>
      <w:r w:rsidR="00D774EB" w:rsidRPr="00B148B1">
        <w:rPr>
          <w:rFonts w:cs="Arial"/>
          <w:szCs w:val="20"/>
        </w:rPr>
        <w:t>. Skupna dolžina javnega kanalizacijs</w:t>
      </w:r>
      <w:r w:rsidRPr="00B148B1">
        <w:rPr>
          <w:rFonts w:cs="Arial"/>
          <w:szCs w:val="20"/>
        </w:rPr>
        <w:t>kega omrežja</w:t>
      </w:r>
      <w:r w:rsidR="00336FD4" w:rsidRPr="00B148B1">
        <w:rPr>
          <w:rFonts w:cs="Arial"/>
          <w:szCs w:val="20"/>
        </w:rPr>
        <w:t xml:space="preserve"> (</w:t>
      </w:r>
      <w:r w:rsidR="0055603D" w:rsidRPr="00B148B1">
        <w:rPr>
          <w:rFonts w:cs="Arial"/>
          <w:szCs w:val="20"/>
        </w:rPr>
        <w:t>v izračun so vključeni ne</w:t>
      </w:r>
      <w:r w:rsidR="00B03DD5" w:rsidRPr="00B148B1">
        <w:rPr>
          <w:rFonts w:cs="Arial"/>
          <w:szCs w:val="20"/>
        </w:rPr>
        <w:t>-</w:t>
      </w:r>
      <w:r w:rsidR="009A0330" w:rsidRPr="00B148B1">
        <w:rPr>
          <w:rFonts w:cs="Arial"/>
          <w:szCs w:val="20"/>
        </w:rPr>
        <w:t xml:space="preserve">opuščeni </w:t>
      </w:r>
      <w:r w:rsidR="00336FD4" w:rsidRPr="00B148B1">
        <w:rPr>
          <w:rFonts w:cs="Arial"/>
          <w:szCs w:val="20"/>
        </w:rPr>
        <w:t xml:space="preserve">mešani </w:t>
      </w:r>
      <w:r w:rsidR="0055603D" w:rsidRPr="00B148B1">
        <w:rPr>
          <w:rFonts w:cs="Arial"/>
          <w:szCs w:val="20"/>
        </w:rPr>
        <w:t>ali</w:t>
      </w:r>
      <w:r w:rsidR="00336FD4" w:rsidRPr="00B148B1">
        <w:rPr>
          <w:rFonts w:cs="Arial"/>
          <w:szCs w:val="20"/>
        </w:rPr>
        <w:t xml:space="preserve"> </w:t>
      </w:r>
      <w:r w:rsidR="00D12269" w:rsidRPr="00B148B1">
        <w:rPr>
          <w:rFonts w:cs="Arial"/>
          <w:szCs w:val="20"/>
        </w:rPr>
        <w:t>ne</w:t>
      </w:r>
      <w:r w:rsidR="00B03DD5" w:rsidRPr="00B148B1">
        <w:rPr>
          <w:rFonts w:cs="Arial"/>
          <w:szCs w:val="20"/>
        </w:rPr>
        <w:t>-</w:t>
      </w:r>
      <w:r w:rsidR="00D12269" w:rsidRPr="00B148B1">
        <w:rPr>
          <w:rFonts w:cs="Arial"/>
          <w:szCs w:val="20"/>
        </w:rPr>
        <w:t xml:space="preserve">opuščeni </w:t>
      </w:r>
      <w:r w:rsidR="00336FD4" w:rsidRPr="00B148B1">
        <w:rPr>
          <w:rFonts w:cs="Arial"/>
          <w:szCs w:val="20"/>
        </w:rPr>
        <w:t>fekalni vodi)</w:t>
      </w:r>
      <w:r w:rsidRPr="00B148B1">
        <w:rPr>
          <w:rFonts w:cs="Arial"/>
          <w:szCs w:val="20"/>
        </w:rPr>
        <w:t xml:space="preserve"> vpisanega v ZK GJI</w:t>
      </w:r>
      <w:r w:rsidR="00D774EB" w:rsidRPr="00B148B1">
        <w:rPr>
          <w:rFonts w:cs="Arial"/>
          <w:szCs w:val="20"/>
        </w:rPr>
        <w:t xml:space="preserve"> na presečni datum</w:t>
      </w:r>
      <w:r w:rsidRPr="00B148B1">
        <w:rPr>
          <w:rFonts w:cs="Arial"/>
          <w:szCs w:val="20"/>
        </w:rPr>
        <w:t>,</w:t>
      </w:r>
      <w:r w:rsidR="00D774EB" w:rsidRPr="00B148B1">
        <w:rPr>
          <w:rFonts w:cs="Arial"/>
          <w:szCs w:val="20"/>
        </w:rPr>
        <w:t xml:space="preserve"> </w:t>
      </w:r>
      <w:r w:rsidR="00336FD4" w:rsidRPr="00B148B1">
        <w:rPr>
          <w:rFonts w:cs="Arial"/>
          <w:szCs w:val="20"/>
        </w:rPr>
        <w:t>9</w:t>
      </w:r>
      <w:r w:rsidR="00D774EB" w:rsidRPr="00B148B1">
        <w:rPr>
          <w:rFonts w:cs="Arial"/>
          <w:szCs w:val="20"/>
        </w:rPr>
        <w:t>.</w:t>
      </w:r>
      <w:r w:rsidRPr="00B148B1">
        <w:rPr>
          <w:rFonts w:cs="Arial"/>
          <w:szCs w:val="20"/>
        </w:rPr>
        <w:t xml:space="preserve"> </w:t>
      </w:r>
      <w:r w:rsidR="00D12269" w:rsidRPr="00B148B1">
        <w:rPr>
          <w:rFonts w:cs="Arial"/>
          <w:szCs w:val="20"/>
        </w:rPr>
        <w:t>j</w:t>
      </w:r>
      <w:r w:rsidR="001C6587" w:rsidRPr="00B148B1">
        <w:rPr>
          <w:rFonts w:cs="Arial"/>
          <w:szCs w:val="20"/>
        </w:rPr>
        <w:t xml:space="preserve">unij </w:t>
      </w:r>
      <w:r w:rsidR="00D774EB" w:rsidRPr="00B148B1">
        <w:rPr>
          <w:rFonts w:cs="Arial"/>
          <w:szCs w:val="20"/>
        </w:rPr>
        <w:t>201</w:t>
      </w:r>
      <w:r w:rsidR="001C6587" w:rsidRPr="00B148B1">
        <w:rPr>
          <w:rFonts w:cs="Arial"/>
          <w:szCs w:val="20"/>
        </w:rPr>
        <w:t>9</w:t>
      </w:r>
      <w:r w:rsidR="00D774EB" w:rsidRPr="00B148B1">
        <w:rPr>
          <w:rFonts w:cs="Arial"/>
          <w:szCs w:val="20"/>
        </w:rPr>
        <w:t xml:space="preserve">, znaša </w:t>
      </w:r>
      <w:r w:rsidR="00D14502">
        <w:rPr>
          <w:rFonts w:cs="Arial"/>
          <w:szCs w:val="20"/>
        </w:rPr>
        <w:t>približno</w:t>
      </w:r>
      <w:r w:rsidR="00336FD4" w:rsidRPr="00B148B1">
        <w:rPr>
          <w:rFonts w:cs="Arial"/>
          <w:szCs w:val="20"/>
        </w:rPr>
        <w:t xml:space="preserve"> 9</w:t>
      </w:r>
      <w:r w:rsidR="00D774EB" w:rsidRPr="00B148B1">
        <w:rPr>
          <w:rFonts w:cs="Arial"/>
          <w:szCs w:val="20"/>
        </w:rPr>
        <w:t>.</w:t>
      </w:r>
      <w:r w:rsidR="00336FD4" w:rsidRPr="00B148B1">
        <w:rPr>
          <w:rFonts w:cs="Arial"/>
          <w:szCs w:val="20"/>
        </w:rPr>
        <w:t>0</w:t>
      </w:r>
      <w:r w:rsidR="00D774EB" w:rsidRPr="00B148B1">
        <w:rPr>
          <w:rFonts w:cs="Arial"/>
          <w:szCs w:val="20"/>
        </w:rPr>
        <w:t xml:space="preserve">00 km. </w:t>
      </w:r>
    </w:p>
    <w:p w:rsidR="00D774EB" w:rsidRPr="00B148B1" w:rsidRDefault="003E32A4" w:rsidP="00F82F35">
      <w:pPr>
        <w:tabs>
          <w:tab w:val="left" w:pos="9600"/>
        </w:tabs>
        <w:spacing w:before="120" w:line="280" w:lineRule="atLeast"/>
        <w:rPr>
          <w:rFonts w:cs="Arial"/>
          <w:szCs w:val="20"/>
        </w:rPr>
      </w:pPr>
      <w:r w:rsidRPr="00B148B1">
        <w:rPr>
          <w:rFonts w:cs="Arial"/>
          <w:szCs w:val="20"/>
        </w:rPr>
        <w:t>Stopnja o</w:t>
      </w:r>
      <w:r w:rsidR="00D774EB" w:rsidRPr="00B148B1">
        <w:rPr>
          <w:rFonts w:cs="Arial"/>
          <w:szCs w:val="20"/>
        </w:rPr>
        <w:t>premljenost</w:t>
      </w:r>
      <w:r w:rsidRPr="00B148B1">
        <w:rPr>
          <w:rFonts w:cs="Arial"/>
          <w:szCs w:val="20"/>
        </w:rPr>
        <w:t>i posamezne</w:t>
      </w:r>
      <w:r w:rsidR="00D774EB" w:rsidRPr="00B148B1">
        <w:rPr>
          <w:rFonts w:cs="Arial"/>
          <w:szCs w:val="20"/>
        </w:rPr>
        <w:t xml:space="preserve"> aglomeracije </w:t>
      </w:r>
      <w:r w:rsidRPr="00B148B1">
        <w:rPr>
          <w:rFonts w:cs="Arial"/>
          <w:szCs w:val="20"/>
        </w:rPr>
        <w:t xml:space="preserve">je ocenjena </w:t>
      </w:r>
      <w:r w:rsidR="00D774EB" w:rsidRPr="00B148B1">
        <w:rPr>
          <w:rFonts w:cs="Arial"/>
          <w:szCs w:val="20"/>
        </w:rPr>
        <w:t xml:space="preserve">tako, da </w:t>
      </w:r>
      <w:r w:rsidRPr="00B148B1">
        <w:rPr>
          <w:rFonts w:cs="Arial"/>
          <w:szCs w:val="20"/>
        </w:rPr>
        <w:t>je bila</w:t>
      </w:r>
      <w:r w:rsidR="00D774EB" w:rsidRPr="00B148B1">
        <w:rPr>
          <w:rFonts w:cs="Arial"/>
          <w:szCs w:val="20"/>
        </w:rPr>
        <w:t xml:space="preserve"> osi javnega kanalizacijskega omrežja </w:t>
      </w:r>
      <w:r w:rsidRPr="00B148B1">
        <w:rPr>
          <w:rFonts w:cs="Arial"/>
          <w:szCs w:val="20"/>
        </w:rPr>
        <w:t>določena cona</w:t>
      </w:r>
      <w:r w:rsidR="00D774EB" w:rsidRPr="00B148B1">
        <w:rPr>
          <w:rFonts w:cs="Arial"/>
          <w:szCs w:val="20"/>
        </w:rPr>
        <w:t xml:space="preserve"> odmika 100 m. Pri izračunu </w:t>
      </w:r>
      <w:r w:rsidRPr="00B148B1">
        <w:rPr>
          <w:rFonts w:cs="Arial"/>
          <w:szCs w:val="20"/>
        </w:rPr>
        <w:t xml:space="preserve">stopnje </w:t>
      </w:r>
      <w:r w:rsidR="00D774EB" w:rsidRPr="00B148B1">
        <w:rPr>
          <w:rFonts w:cs="Arial"/>
          <w:szCs w:val="20"/>
        </w:rPr>
        <w:t xml:space="preserve">opremljenosti </w:t>
      </w:r>
      <w:r w:rsidRPr="00B148B1">
        <w:rPr>
          <w:rFonts w:cs="Arial"/>
          <w:szCs w:val="20"/>
        </w:rPr>
        <w:t>so bili upoštevani tisti</w:t>
      </w:r>
      <w:r w:rsidR="00D774EB" w:rsidRPr="00B148B1">
        <w:rPr>
          <w:rFonts w:cs="Arial"/>
          <w:szCs w:val="20"/>
        </w:rPr>
        <w:t xml:space="preserve"> obj</w:t>
      </w:r>
      <w:r w:rsidR="001117FD" w:rsidRPr="00B148B1">
        <w:rPr>
          <w:rFonts w:cs="Arial"/>
          <w:szCs w:val="20"/>
        </w:rPr>
        <w:t>ekti</w:t>
      </w:r>
      <w:r w:rsidR="00D774EB" w:rsidRPr="00B148B1">
        <w:rPr>
          <w:rFonts w:cs="Arial"/>
          <w:szCs w:val="20"/>
        </w:rPr>
        <w:t xml:space="preserve"> s hišno številko in pripadajočimi stalnimi prebivalci, ki se nahajajo znotraj izračunane cone odmika </w:t>
      </w:r>
      <w:r w:rsidRPr="00B148B1">
        <w:rPr>
          <w:rFonts w:cs="Arial"/>
          <w:szCs w:val="20"/>
        </w:rPr>
        <w:t xml:space="preserve">od </w:t>
      </w:r>
      <w:r w:rsidR="00D774EB" w:rsidRPr="00B148B1">
        <w:rPr>
          <w:rFonts w:cs="Arial"/>
          <w:szCs w:val="20"/>
        </w:rPr>
        <w:t>osi javnega kanalizacijskega omrežja in meje posamezne aglomeracije.</w:t>
      </w:r>
      <w:r w:rsidR="00407A76" w:rsidRPr="00B148B1">
        <w:rPr>
          <w:rFonts w:cs="Arial"/>
          <w:szCs w:val="20"/>
        </w:rPr>
        <w:t xml:space="preserve"> V primeru, da </w:t>
      </w:r>
      <w:r w:rsidR="00B03DD5" w:rsidRPr="00B148B1">
        <w:rPr>
          <w:rFonts w:cs="Arial"/>
          <w:szCs w:val="20"/>
        </w:rPr>
        <w:t>je</w:t>
      </w:r>
      <w:r w:rsidR="00407A76" w:rsidRPr="00B148B1">
        <w:rPr>
          <w:rFonts w:cs="Arial"/>
          <w:szCs w:val="20"/>
        </w:rPr>
        <w:t xml:space="preserve"> izračunana stopnja opremljenosti </w:t>
      </w:r>
      <w:r w:rsidR="004A4788" w:rsidRPr="00B148B1">
        <w:rPr>
          <w:rFonts w:cs="Arial"/>
          <w:szCs w:val="20"/>
        </w:rPr>
        <w:t xml:space="preserve">aglomeracij </w:t>
      </w:r>
      <w:r w:rsidR="00407A76" w:rsidRPr="00B148B1">
        <w:rPr>
          <w:rFonts w:cs="Arial"/>
          <w:szCs w:val="20"/>
        </w:rPr>
        <w:t xml:space="preserve">nižja od stopnja priključenosti na javno kanalizacijsko omrežje glede na stalno prijavljene prebivalce, je </w:t>
      </w:r>
      <w:r w:rsidR="00B03DD5" w:rsidRPr="00B148B1">
        <w:rPr>
          <w:rFonts w:cs="Arial"/>
          <w:szCs w:val="20"/>
        </w:rPr>
        <w:t xml:space="preserve">upoštevana </w:t>
      </w:r>
      <w:r w:rsidR="00407A76" w:rsidRPr="00B148B1">
        <w:rPr>
          <w:rFonts w:cs="Arial"/>
          <w:szCs w:val="20"/>
        </w:rPr>
        <w:t>stopnj</w:t>
      </w:r>
      <w:r w:rsidR="00B03DD5" w:rsidRPr="00B148B1">
        <w:rPr>
          <w:rFonts w:cs="Arial"/>
          <w:szCs w:val="20"/>
        </w:rPr>
        <w:t>a</w:t>
      </w:r>
      <w:r w:rsidR="00407A76" w:rsidRPr="00B148B1">
        <w:rPr>
          <w:rFonts w:cs="Arial"/>
          <w:szCs w:val="20"/>
        </w:rPr>
        <w:t xml:space="preserve"> priključenosti</w:t>
      </w:r>
      <w:r w:rsidR="00B03DD5" w:rsidRPr="00B148B1">
        <w:rPr>
          <w:rFonts w:cs="Arial"/>
          <w:szCs w:val="20"/>
        </w:rPr>
        <w:t xml:space="preserve"> na javno kanalizacijsko omrežje.</w:t>
      </w:r>
    </w:p>
    <w:p w:rsidR="00C70705" w:rsidRPr="00B148B1" w:rsidRDefault="00C70705" w:rsidP="00F82F35">
      <w:pPr>
        <w:tabs>
          <w:tab w:val="left" w:pos="9600"/>
        </w:tabs>
        <w:spacing w:before="120" w:line="280" w:lineRule="atLeast"/>
        <w:rPr>
          <w:rFonts w:cs="Arial"/>
          <w:szCs w:val="20"/>
        </w:rPr>
      </w:pPr>
      <w:r w:rsidRPr="00B148B1">
        <w:rPr>
          <w:rFonts w:cs="Arial"/>
          <w:szCs w:val="20"/>
        </w:rPr>
        <w:t>Na podlagi podatkov iz</w:t>
      </w:r>
      <w:r w:rsidR="00D774EB" w:rsidRPr="00B148B1">
        <w:rPr>
          <w:rFonts w:cs="Arial"/>
          <w:szCs w:val="20"/>
        </w:rPr>
        <w:t xml:space="preserve"> ZK GJI </w:t>
      </w:r>
      <w:r w:rsidRPr="00B148B1">
        <w:rPr>
          <w:rFonts w:cs="Arial"/>
          <w:szCs w:val="20"/>
        </w:rPr>
        <w:t xml:space="preserve">je ob upoštevanju navedene predpostavke ocenjena stopnja opremljenosti posamezne aglomeracije. Ocene </w:t>
      </w:r>
      <w:r w:rsidR="00D774EB" w:rsidRPr="00B148B1">
        <w:rPr>
          <w:rFonts w:cs="Arial"/>
          <w:szCs w:val="20"/>
        </w:rPr>
        <w:t>kažejo, da</w:t>
      </w:r>
      <w:r w:rsidRPr="00B148B1">
        <w:rPr>
          <w:rFonts w:cs="Arial"/>
          <w:szCs w:val="20"/>
        </w:rPr>
        <w:t xml:space="preserve"> je z javnim kanalizacijskim omrežjem delno ali v celoti opremljenih:</w:t>
      </w:r>
    </w:p>
    <w:p w:rsidR="00C70705" w:rsidRPr="00B148B1" w:rsidRDefault="00D774EB"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 xml:space="preserve">vseh </w:t>
      </w:r>
      <w:r w:rsidR="008D3F71" w:rsidRPr="00B148B1">
        <w:rPr>
          <w:rFonts w:cs="Arial"/>
          <w:szCs w:val="20"/>
        </w:rPr>
        <w:t>123</w:t>
      </w:r>
      <w:r w:rsidRPr="00B148B1">
        <w:rPr>
          <w:rFonts w:cs="Arial"/>
          <w:szCs w:val="20"/>
        </w:rPr>
        <w:t xml:space="preserve"> aglomeracij s skupno obremenitvijo, enako ali večjo od 2.000 PE</w:t>
      </w:r>
      <w:r w:rsidR="00C70705" w:rsidRPr="00B148B1">
        <w:rPr>
          <w:rFonts w:cs="Arial"/>
          <w:szCs w:val="20"/>
        </w:rPr>
        <w:t>,</w:t>
      </w:r>
    </w:p>
    <w:p w:rsidR="00C70705" w:rsidRPr="00B148B1" w:rsidRDefault="008D3F71"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650</w:t>
      </w:r>
      <w:r w:rsidR="00C70705" w:rsidRPr="00B148B1">
        <w:rPr>
          <w:rFonts w:cs="Arial"/>
          <w:szCs w:val="20"/>
        </w:rPr>
        <w:t xml:space="preserve"> aglomeracij </w:t>
      </w:r>
      <w:r w:rsidR="00D774EB" w:rsidRPr="00B148B1">
        <w:rPr>
          <w:rFonts w:cs="Arial"/>
          <w:szCs w:val="20"/>
        </w:rPr>
        <w:t xml:space="preserve">s skupno obremenitvijo, manjšo od 2.000 PE, </w:t>
      </w:r>
      <w:r w:rsidR="00C70705" w:rsidRPr="00B148B1">
        <w:rPr>
          <w:rFonts w:cs="Arial"/>
          <w:szCs w:val="20"/>
        </w:rPr>
        <w:t>in</w:t>
      </w:r>
    </w:p>
    <w:p w:rsidR="00D774EB" w:rsidRPr="00B148B1" w:rsidRDefault="00D774EB"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 xml:space="preserve">približno </w:t>
      </w:r>
      <w:r w:rsidR="005E6181" w:rsidRPr="00B148B1">
        <w:rPr>
          <w:rFonts w:cs="Arial"/>
          <w:szCs w:val="20"/>
        </w:rPr>
        <w:t>84</w:t>
      </w:r>
      <w:r w:rsidRPr="00B148B1">
        <w:rPr>
          <w:rFonts w:cs="Arial"/>
          <w:szCs w:val="20"/>
        </w:rPr>
        <w:t xml:space="preserve"> odstotkov vseh stalno prijavljenih prebivalcev, kar predstavlja 1.</w:t>
      </w:r>
      <w:r w:rsidR="008D3F71" w:rsidRPr="00B148B1">
        <w:rPr>
          <w:rFonts w:cs="Arial"/>
          <w:szCs w:val="20"/>
        </w:rPr>
        <w:t>3</w:t>
      </w:r>
      <w:r w:rsidR="005E6181" w:rsidRPr="00B148B1">
        <w:rPr>
          <w:rFonts w:cs="Arial"/>
          <w:szCs w:val="20"/>
        </w:rPr>
        <w:t xml:space="preserve">56.591 </w:t>
      </w:r>
      <w:r w:rsidRPr="00B148B1">
        <w:rPr>
          <w:rFonts w:cs="Arial"/>
          <w:szCs w:val="20"/>
        </w:rPr>
        <w:t>PE.</w:t>
      </w:r>
    </w:p>
    <w:p w:rsidR="00D774EB" w:rsidRPr="00B148B1" w:rsidRDefault="00D774EB" w:rsidP="00F82F35">
      <w:pPr>
        <w:tabs>
          <w:tab w:val="left" w:pos="9600"/>
        </w:tabs>
        <w:spacing w:before="120" w:line="280" w:lineRule="atLeast"/>
        <w:rPr>
          <w:rFonts w:cs="Arial"/>
          <w:szCs w:val="20"/>
        </w:rPr>
      </w:pPr>
    </w:p>
    <w:p w:rsidR="00C70705" w:rsidRPr="00B148B1" w:rsidRDefault="00C70705" w:rsidP="00F82F35">
      <w:pPr>
        <w:tabs>
          <w:tab w:val="left" w:pos="9600"/>
        </w:tabs>
        <w:spacing w:before="120" w:line="280" w:lineRule="atLeast"/>
        <w:rPr>
          <w:rFonts w:cs="Arial"/>
          <w:szCs w:val="20"/>
        </w:rPr>
      </w:pPr>
      <w:r w:rsidRPr="00B148B1">
        <w:rPr>
          <w:rFonts w:cs="Arial"/>
          <w:szCs w:val="20"/>
        </w:rPr>
        <w:t xml:space="preserve">Ocene stopnje opremljenosti aglomeracij za javno kanalizacijo po velikostnih razredih aglomeracij </w:t>
      </w:r>
      <w:r w:rsidR="005258D6" w:rsidRPr="00B148B1">
        <w:rPr>
          <w:rFonts w:cs="Arial"/>
          <w:szCs w:val="20"/>
        </w:rPr>
        <w:t>so prikazane</w:t>
      </w:r>
      <w:r w:rsidRPr="00B148B1">
        <w:rPr>
          <w:rFonts w:cs="Arial"/>
          <w:szCs w:val="20"/>
        </w:rPr>
        <w:t xml:space="preserve"> v preglednici (</w:t>
      </w:r>
      <w:r w:rsidRPr="00B148B1">
        <w:rPr>
          <w:rFonts w:cs="Arial"/>
          <w:szCs w:val="20"/>
        </w:rPr>
        <w:fldChar w:fldCharType="begin"/>
      </w:r>
      <w:r w:rsidRPr="00B148B1">
        <w:rPr>
          <w:rFonts w:cs="Arial"/>
          <w:szCs w:val="20"/>
        </w:rPr>
        <w:instrText xml:space="preserve"> REF _Ref527113432 \h  \* MERGEFORMAT </w:instrText>
      </w:r>
      <w:r w:rsidRPr="00B148B1">
        <w:rPr>
          <w:rFonts w:cs="Arial"/>
          <w:szCs w:val="20"/>
        </w:rPr>
      </w:r>
      <w:r w:rsidRPr="00B148B1">
        <w:rPr>
          <w:rFonts w:cs="Arial"/>
          <w:szCs w:val="20"/>
        </w:rPr>
        <w:fldChar w:fldCharType="separate"/>
      </w:r>
      <w:r w:rsidR="00E92793" w:rsidRPr="00B148B1">
        <w:rPr>
          <w:rFonts w:cs="Arial"/>
          <w:szCs w:val="20"/>
        </w:rPr>
        <w:t xml:space="preserve">Preglednica </w:t>
      </w:r>
      <w:r w:rsidR="00E92793">
        <w:rPr>
          <w:rFonts w:cs="Arial"/>
          <w:szCs w:val="20"/>
        </w:rPr>
        <w:t>8</w:t>
      </w:r>
      <w:r w:rsidRPr="00B148B1">
        <w:rPr>
          <w:rFonts w:cs="Arial"/>
          <w:szCs w:val="20"/>
        </w:rPr>
        <w:fldChar w:fldCharType="end"/>
      </w:r>
      <w:r w:rsidRPr="00B148B1">
        <w:rPr>
          <w:rFonts w:cs="Arial"/>
          <w:szCs w:val="20"/>
        </w:rPr>
        <w:t>). Ocene kažejo, da stopnja opremljenosti znaša:</w:t>
      </w:r>
    </w:p>
    <w:p w:rsidR="00C70705" w:rsidRPr="00B148B1" w:rsidRDefault="00C70705"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 xml:space="preserve">v aglomeracijah s skupno obremenitvijo, enako ali večjo od 2.000 PE, </w:t>
      </w:r>
      <w:r w:rsidR="005D7ABE" w:rsidRPr="00B148B1">
        <w:rPr>
          <w:rFonts w:cs="Arial"/>
          <w:szCs w:val="20"/>
        </w:rPr>
        <w:t>93,6</w:t>
      </w:r>
      <w:r w:rsidRPr="00B148B1">
        <w:rPr>
          <w:rFonts w:cs="Arial"/>
          <w:szCs w:val="20"/>
        </w:rPr>
        <w:t xml:space="preserve"> odstotk</w:t>
      </w:r>
      <w:r w:rsidR="00A75C64" w:rsidRPr="00B148B1">
        <w:rPr>
          <w:rFonts w:cs="Arial"/>
          <w:szCs w:val="20"/>
        </w:rPr>
        <w:t>a</w:t>
      </w:r>
      <w:r w:rsidRPr="00B148B1">
        <w:rPr>
          <w:rFonts w:cs="Arial"/>
          <w:szCs w:val="20"/>
        </w:rPr>
        <w:t>,</w:t>
      </w:r>
    </w:p>
    <w:p w:rsidR="00C70705" w:rsidRPr="00B148B1" w:rsidRDefault="00C70705"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 xml:space="preserve">v aglomeracijah s skupno obremenitvijo, manjšo od 2.000 PE, </w:t>
      </w:r>
      <w:r w:rsidR="005D7ABE" w:rsidRPr="00B148B1">
        <w:rPr>
          <w:rFonts w:cs="Arial"/>
          <w:szCs w:val="20"/>
        </w:rPr>
        <w:t>58,2</w:t>
      </w:r>
      <w:r w:rsidRPr="00B148B1">
        <w:rPr>
          <w:rFonts w:cs="Arial"/>
          <w:szCs w:val="20"/>
        </w:rPr>
        <w:t xml:space="preserve"> odstotk</w:t>
      </w:r>
      <w:r w:rsidR="00A75C64" w:rsidRPr="00B148B1">
        <w:rPr>
          <w:rFonts w:cs="Arial"/>
          <w:szCs w:val="20"/>
        </w:rPr>
        <w:t>a</w:t>
      </w:r>
      <w:r w:rsidRPr="00B148B1">
        <w:rPr>
          <w:rFonts w:cs="Arial"/>
          <w:szCs w:val="20"/>
        </w:rPr>
        <w:t xml:space="preserve"> in</w:t>
      </w:r>
    </w:p>
    <w:p w:rsidR="00C70705" w:rsidRPr="00B148B1" w:rsidRDefault="00C70705"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 xml:space="preserve"> </w:t>
      </w:r>
      <w:r w:rsidR="008C6D60" w:rsidRPr="00B148B1">
        <w:rPr>
          <w:rFonts w:cs="Arial"/>
          <w:szCs w:val="20"/>
        </w:rPr>
        <w:t xml:space="preserve">zunaj </w:t>
      </w:r>
      <w:r w:rsidRPr="00B148B1">
        <w:rPr>
          <w:rFonts w:cs="Arial"/>
          <w:szCs w:val="20"/>
        </w:rPr>
        <w:t xml:space="preserve">meja aglomeracij </w:t>
      </w:r>
      <w:r w:rsidR="005D7ABE" w:rsidRPr="00B148B1">
        <w:rPr>
          <w:rFonts w:cs="Arial"/>
          <w:szCs w:val="20"/>
        </w:rPr>
        <w:t>5,7</w:t>
      </w:r>
      <w:r w:rsidRPr="00B148B1">
        <w:rPr>
          <w:rFonts w:cs="Arial"/>
          <w:szCs w:val="20"/>
        </w:rPr>
        <w:t xml:space="preserve"> odstotk</w:t>
      </w:r>
      <w:r w:rsidR="00A75C64" w:rsidRPr="00B148B1">
        <w:rPr>
          <w:rFonts w:cs="Arial"/>
          <w:szCs w:val="20"/>
        </w:rPr>
        <w:t>a</w:t>
      </w:r>
      <w:r w:rsidRPr="00B148B1">
        <w:rPr>
          <w:rFonts w:cs="Arial"/>
          <w:szCs w:val="20"/>
        </w:rPr>
        <w:t>.</w:t>
      </w:r>
    </w:p>
    <w:p w:rsidR="00C70705" w:rsidRPr="00B148B1" w:rsidRDefault="00C70705" w:rsidP="00F82F35">
      <w:pPr>
        <w:tabs>
          <w:tab w:val="left" w:pos="9600"/>
        </w:tabs>
        <w:spacing w:before="120" w:line="280" w:lineRule="atLeast"/>
        <w:rPr>
          <w:rFonts w:cs="Arial"/>
          <w:szCs w:val="20"/>
        </w:rPr>
      </w:pPr>
    </w:p>
    <w:p w:rsidR="00D774EB" w:rsidRPr="00B148B1" w:rsidRDefault="00D774EB" w:rsidP="001843E3">
      <w:pPr>
        <w:tabs>
          <w:tab w:val="left" w:pos="9600"/>
        </w:tabs>
        <w:spacing w:before="120" w:line="280" w:lineRule="atLeast"/>
        <w:rPr>
          <w:rFonts w:cs="Arial"/>
          <w:szCs w:val="20"/>
        </w:rPr>
      </w:pPr>
      <w:bookmarkStart w:id="90" w:name="_Ref527113432"/>
      <w:bookmarkStart w:id="91" w:name="_Toc50626724"/>
      <w:r w:rsidRPr="00B148B1">
        <w:rPr>
          <w:rFonts w:cs="Arial"/>
          <w:szCs w:val="20"/>
        </w:rPr>
        <w:t xml:space="preserve">Preglednica </w:t>
      </w:r>
      <w:r w:rsidRPr="00B148B1">
        <w:rPr>
          <w:rFonts w:cs="Arial"/>
          <w:szCs w:val="20"/>
        </w:rPr>
        <w:fldChar w:fldCharType="begin"/>
      </w:r>
      <w:r w:rsidRPr="00B148B1">
        <w:rPr>
          <w:rFonts w:cs="Arial"/>
          <w:szCs w:val="20"/>
        </w:rPr>
        <w:instrText xml:space="preserve"> SEQ Preglednica \* ARABIC </w:instrText>
      </w:r>
      <w:r w:rsidRPr="00B148B1">
        <w:rPr>
          <w:rFonts w:cs="Arial"/>
          <w:szCs w:val="20"/>
        </w:rPr>
        <w:fldChar w:fldCharType="separate"/>
      </w:r>
      <w:r w:rsidR="00E92793">
        <w:rPr>
          <w:rFonts w:cs="Arial"/>
          <w:noProof/>
          <w:szCs w:val="20"/>
        </w:rPr>
        <w:t>8</w:t>
      </w:r>
      <w:r w:rsidRPr="00B148B1">
        <w:rPr>
          <w:rFonts w:cs="Arial"/>
          <w:szCs w:val="20"/>
        </w:rPr>
        <w:fldChar w:fldCharType="end"/>
      </w:r>
      <w:bookmarkEnd w:id="90"/>
      <w:r w:rsidRPr="00B148B1">
        <w:rPr>
          <w:rFonts w:cs="Arial"/>
          <w:szCs w:val="20"/>
        </w:rPr>
        <w:t>:</w:t>
      </w:r>
      <w:r w:rsidR="005258D6" w:rsidRPr="00B148B1">
        <w:rPr>
          <w:rFonts w:cs="Arial"/>
          <w:szCs w:val="20"/>
        </w:rPr>
        <w:t xml:space="preserve"> Ocena stopnje opremljenosti</w:t>
      </w:r>
      <w:r w:rsidRPr="00B148B1">
        <w:rPr>
          <w:rFonts w:cs="Arial"/>
          <w:szCs w:val="20"/>
        </w:rPr>
        <w:t xml:space="preserve"> a</w:t>
      </w:r>
      <w:r w:rsidR="005258D6" w:rsidRPr="00B148B1">
        <w:rPr>
          <w:rFonts w:cs="Arial"/>
          <w:szCs w:val="20"/>
        </w:rPr>
        <w:t>glomeracij z javno kanalizacijo</w:t>
      </w:r>
      <w:r w:rsidRPr="00B148B1">
        <w:rPr>
          <w:rFonts w:cs="Arial"/>
          <w:szCs w:val="20"/>
        </w:rPr>
        <w:t xml:space="preserve"> po velikostnih razredih</w:t>
      </w:r>
      <w:r w:rsidR="005258D6" w:rsidRPr="00B148B1">
        <w:rPr>
          <w:rFonts w:cs="Arial"/>
          <w:szCs w:val="20"/>
        </w:rPr>
        <w:t xml:space="preserve"> aglomeracij</w:t>
      </w:r>
      <w:bookmarkEnd w:id="91"/>
    </w:p>
    <w:tbl>
      <w:tblPr>
        <w:tblW w:w="4928"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544"/>
        <w:gridCol w:w="1842"/>
        <w:gridCol w:w="1842"/>
        <w:gridCol w:w="1843"/>
      </w:tblGrid>
      <w:tr w:rsidR="00D774EB" w:rsidRPr="00B148B1" w:rsidTr="00B04161">
        <w:trPr>
          <w:cantSplit/>
          <w:trHeight w:val="680"/>
          <w:tblHeader/>
        </w:trPr>
        <w:tc>
          <w:tcPr>
            <w:tcW w:w="1953" w:type="pct"/>
            <w:vMerge w:val="restart"/>
            <w:noWrap/>
            <w:vAlign w:val="center"/>
            <w:hideMark/>
          </w:tcPr>
          <w:p w:rsidR="00D774EB" w:rsidRPr="00B148B1" w:rsidRDefault="00D774EB" w:rsidP="0092722B">
            <w:pPr>
              <w:spacing w:line="240" w:lineRule="auto"/>
              <w:rPr>
                <w:rFonts w:cs="Arial"/>
                <w:b/>
                <w:iCs/>
                <w:color w:val="000000"/>
                <w:szCs w:val="20"/>
                <w:lang w:eastAsia="sl-SI"/>
              </w:rPr>
            </w:pPr>
            <w:r w:rsidRPr="00B148B1">
              <w:rPr>
                <w:rFonts w:cs="Arial"/>
                <w:b/>
                <w:iCs/>
                <w:color w:val="000000"/>
                <w:szCs w:val="20"/>
                <w:lang w:eastAsia="sl-SI"/>
              </w:rPr>
              <w:t>Velikostni razredi aglomeracij</w:t>
            </w:r>
          </w:p>
        </w:tc>
        <w:tc>
          <w:tcPr>
            <w:tcW w:w="1015" w:type="pct"/>
            <w:vAlign w:val="center"/>
            <w:hideMark/>
          </w:tcPr>
          <w:p w:rsidR="00D774EB" w:rsidRPr="00B148B1" w:rsidRDefault="00D774EB" w:rsidP="0092722B">
            <w:pPr>
              <w:spacing w:line="240" w:lineRule="auto"/>
              <w:jc w:val="center"/>
              <w:rPr>
                <w:rFonts w:cs="Arial"/>
                <w:b/>
                <w:bCs/>
                <w:iCs/>
                <w:color w:val="000000"/>
                <w:szCs w:val="20"/>
                <w:lang w:eastAsia="sl-SI"/>
              </w:rPr>
            </w:pPr>
            <w:r w:rsidRPr="00B148B1">
              <w:rPr>
                <w:rFonts w:cs="Arial"/>
                <w:b/>
                <w:bCs/>
                <w:iCs/>
                <w:color w:val="000000"/>
                <w:szCs w:val="20"/>
                <w:lang w:eastAsia="sl-SI"/>
              </w:rPr>
              <w:t>Obremenitev</w:t>
            </w:r>
            <w:r w:rsidR="00B560D3" w:rsidRPr="00B148B1">
              <w:rPr>
                <w:rFonts w:cs="Arial"/>
                <w:b/>
                <w:bCs/>
                <w:iCs/>
                <w:color w:val="000000"/>
                <w:szCs w:val="20"/>
                <w:vertAlign w:val="superscript"/>
                <w:lang w:eastAsia="sl-SI"/>
              </w:rPr>
              <w:t>(1)</w:t>
            </w:r>
          </w:p>
        </w:tc>
        <w:tc>
          <w:tcPr>
            <w:tcW w:w="1015" w:type="pct"/>
            <w:vAlign w:val="center"/>
            <w:hideMark/>
          </w:tcPr>
          <w:p w:rsidR="00D774EB" w:rsidRPr="00B148B1" w:rsidRDefault="00D774EB" w:rsidP="0092722B">
            <w:pPr>
              <w:spacing w:line="240" w:lineRule="auto"/>
              <w:jc w:val="center"/>
              <w:rPr>
                <w:rFonts w:cs="Arial"/>
                <w:b/>
                <w:bCs/>
                <w:iCs/>
                <w:color w:val="000000"/>
                <w:szCs w:val="20"/>
                <w:lang w:eastAsia="sl-SI"/>
              </w:rPr>
            </w:pPr>
            <w:r w:rsidRPr="00B148B1">
              <w:rPr>
                <w:rFonts w:cs="Arial"/>
                <w:b/>
                <w:bCs/>
                <w:iCs/>
                <w:color w:val="000000"/>
                <w:szCs w:val="20"/>
                <w:lang w:eastAsia="sl-SI"/>
              </w:rPr>
              <w:t>Opremljenost</w:t>
            </w:r>
          </w:p>
        </w:tc>
        <w:tc>
          <w:tcPr>
            <w:tcW w:w="1016" w:type="pct"/>
            <w:vAlign w:val="center"/>
            <w:hideMark/>
          </w:tcPr>
          <w:p w:rsidR="00D774EB" w:rsidRPr="00B148B1" w:rsidRDefault="00D774EB" w:rsidP="0092722B">
            <w:pPr>
              <w:spacing w:line="240" w:lineRule="auto"/>
              <w:jc w:val="center"/>
              <w:rPr>
                <w:rFonts w:cs="Arial"/>
                <w:b/>
                <w:bCs/>
                <w:iCs/>
                <w:color w:val="000000"/>
                <w:szCs w:val="20"/>
                <w:lang w:eastAsia="sl-SI"/>
              </w:rPr>
            </w:pPr>
            <w:r w:rsidRPr="00B148B1">
              <w:rPr>
                <w:rFonts w:cs="Arial"/>
                <w:b/>
                <w:bCs/>
                <w:iCs/>
                <w:color w:val="000000"/>
                <w:szCs w:val="20"/>
                <w:lang w:eastAsia="sl-SI"/>
              </w:rPr>
              <w:t>Stopnja opremljenosti</w:t>
            </w:r>
          </w:p>
        </w:tc>
      </w:tr>
      <w:tr w:rsidR="00D774EB" w:rsidRPr="00B148B1" w:rsidTr="00B04161">
        <w:trPr>
          <w:cantSplit/>
          <w:trHeight w:val="340"/>
          <w:tblHeader/>
        </w:trPr>
        <w:tc>
          <w:tcPr>
            <w:tcW w:w="1953" w:type="pct"/>
            <w:vMerge/>
            <w:vAlign w:val="center"/>
            <w:hideMark/>
          </w:tcPr>
          <w:p w:rsidR="00D774EB" w:rsidRPr="00B148B1" w:rsidRDefault="00D774EB" w:rsidP="0092722B">
            <w:pPr>
              <w:spacing w:line="240" w:lineRule="auto"/>
              <w:jc w:val="right"/>
              <w:rPr>
                <w:rFonts w:cs="Arial"/>
                <w:b/>
                <w:iCs/>
                <w:color w:val="000000"/>
                <w:szCs w:val="20"/>
                <w:lang w:eastAsia="sl-SI"/>
              </w:rPr>
            </w:pPr>
          </w:p>
        </w:tc>
        <w:tc>
          <w:tcPr>
            <w:tcW w:w="1015" w:type="pct"/>
            <w:noWrap/>
            <w:vAlign w:val="center"/>
            <w:hideMark/>
          </w:tcPr>
          <w:p w:rsidR="00D774EB" w:rsidRPr="00B148B1" w:rsidRDefault="00D774EB" w:rsidP="0092722B">
            <w:pPr>
              <w:spacing w:line="240" w:lineRule="auto"/>
              <w:jc w:val="center"/>
              <w:rPr>
                <w:rFonts w:cs="Arial"/>
                <w:b/>
                <w:bCs/>
                <w:color w:val="000000"/>
                <w:szCs w:val="20"/>
                <w:lang w:eastAsia="sl-SI"/>
              </w:rPr>
            </w:pPr>
            <w:r w:rsidRPr="00B148B1">
              <w:rPr>
                <w:rFonts w:cs="Arial"/>
                <w:b/>
                <w:bCs/>
                <w:iCs/>
                <w:color w:val="000000"/>
                <w:szCs w:val="20"/>
                <w:lang w:eastAsia="sl-SI"/>
              </w:rPr>
              <w:t>[PE]</w:t>
            </w:r>
          </w:p>
        </w:tc>
        <w:tc>
          <w:tcPr>
            <w:tcW w:w="1015" w:type="pct"/>
            <w:noWrap/>
            <w:vAlign w:val="center"/>
            <w:hideMark/>
          </w:tcPr>
          <w:p w:rsidR="00D774EB" w:rsidRPr="00B148B1" w:rsidRDefault="00D774EB" w:rsidP="0092722B">
            <w:pPr>
              <w:spacing w:line="240" w:lineRule="auto"/>
              <w:jc w:val="center"/>
              <w:rPr>
                <w:rFonts w:cs="Arial"/>
                <w:b/>
                <w:bCs/>
                <w:color w:val="000000"/>
                <w:szCs w:val="20"/>
                <w:lang w:eastAsia="sl-SI"/>
              </w:rPr>
            </w:pPr>
            <w:r w:rsidRPr="00B148B1">
              <w:rPr>
                <w:rFonts w:cs="Arial"/>
                <w:b/>
                <w:bCs/>
                <w:iCs/>
                <w:color w:val="000000"/>
                <w:szCs w:val="20"/>
                <w:lang w:eastAsia="sl-SI"/>
              </w:rPr>
              <w:t>[PE]</w:t>
            </w:r>
          </w:p>
        </w:tc>
        <w:tc>
          <w:tcPr>
            <w:tcW w:w="1016" w:type="pct"/>
            <w:noWrap/>
            <w:vAlign w:val="center"/>
            <w:hideMark/>
          </w:tcPr>
          <w:p w:rsidR="00D774EB" w:rsidRPr="00B148B1" w:rsidRDefault="00D774EB" w:rsidP="0092722B">
            <w:pPr>
              <w:spacing w:line="240" w:lineRule="auto"/>
              <w:jc w:val="center"/>
              <w:rPr>
                <w:rFonts w:cs="Arial"/>
                <w:b/>
                <w:bCs/>
                <w:color w:val="000000"/>
                <w:szCs w:val="20"/>
                <w:lang w:eastAsia="sl-SI"/>
              </w:rPr>
            </w:pPr>
            <w:r w:rsidRPr="00B148B1">
              <w:rPr>
                <w:rFonts w:cs="Arial"/>
                <w:b/>
                <w:bCs/>
                <w:iCs/>
                <w:color w:val="000000"/>
                <w:szCs w:val="20"/>
                <w:lang w:eastAsia="sl-SI"/>
              </w:rPr>
              <w:t>[%]</w:t>
            </w:r>
          </w:p>
        </w:tc>
      </w:tr>
      <w:tr w:rsidR="00081030" w:rsidRPr="00B148B1" w:rsidTr="008E74A6">
        <w:trPr>
          <w:cantSplit/>
          <w:trHeight w:val="340"/>
        </w:trPr>
        <w:tc>
          <w:tcPr>
            <w:tcW w:w="1953" w:type="pct"/>
            <w:vAlign w:val="center"/>
            <w:hideMark/>
          </w:tcPr>
          <w:p w:rsidR="00081030" w:rsidRPr="00B148B1" w:rsidRDefault="008C6D60" w:rsidP="0092722B">
            <w:pPr>
              <w:spacing w:line="240" w:lineRule="auto"/>
              <w:jc w:val="right"/>
              <w:rPr>
                <w:rFonts w:cs="Arial"/>
                <w:b/>
                <w:bCs/>
                <w:i/>
                <w:iCs/>
                <w:color w:val="000000"/>
                <w:szCs w:val="20"/>
                <w:lang w:eastAsia="sl-SI"/>
              </w:rPr>
            </w:pPr>
            <w:r w:rsidRPr="00B148B1">
              <w:rPr>
                <w:rFonts w:cs="Arial"/>
                <w:b/>
                <w:bCs/>
                <w:i/>
                <w:iCs/>
                <w:color w:val="000000"/>
                <w:szCs w:val="20"/>
                <w:lang w:eastAsia="sl-SI"/>
              </w:rPr>
              <w:t>zunaj</w:t>
            </w:r>
            <w:r w:rsidR="00081030" w:rsidRPr="00B148B1">
              <w:rPr>
                <w:rFonts w:cs="Arial"/>
                <w:b/>
                <w:bCs/>
                <w:i/>
                <w:iCs/>
                <w:color w:val="000000"/>
                <w:szCs w:val="20"/>
                <w:lang w:eastAsia="sl-SI"/>
              </w:rPr>
              <w:t xml:space="preserve"> meja aglomeracij</w:t>
            </w:r>
          </w:p>
        </w:tc>
        <w:tc>
          <w:tcPr>
            <w:tcW w:w="1015" w:type="pct"/>
            <w:noWrap/>
            <w:vAlign w:val="center"/>
            <w:hideMark/>
          </w:tcPr>
          <w:p w:rsidR="00081030" w:rsidRPr="00B148B1" w:rsidRDefault="00081030">
            <w:pPr>
              <w:jc w:val="center"/>
              <w:rPr>
                <w:rFonts w:cs="Arial"/>
                <w:b/>
                <w:bCs/>
                <w:i/>
                <w:iCs/>
                <w:color w:val="000000"/>
                <w:szCs w:val="20"/>
              </w:rPr>
            </w:pPr>
            <w:r w:rsidRPr="00B148B1">
              <w:rPr>
                <w:rFonts w:cs="Arial"/>
                <w:b/>
                <w:bCs/>
                <w:i/>
                <w:iCs/>
                <w:color w:val="000000"/>
                <w:szCs w:val="20"/>
              </w:rPr>
              <w:t>442.799</w:t>
            </w:r>
          </w:p>
        </w:tc>
        <w:tc>
          <w:tcPr>
            <w:tcW w:w="1015" w:type="pct"/>
            <w:noWrap/>
            <w:vAlign w:val="center"/>
            <w:hideMark/>
          </w:tcPr>
          <w:p w:rsidR="00081030" w:rsidRPr="00B148B1" w:rsidRDefault="00081030">
            <w:pPr>
              <w:jc w:val="center"/>
              <w:rPr>
                <w:rFonts w:cs="Arial"/>
                <w:b/>
                <w:bCs/>
                <w:i/>
                <w:iCs/>
                <w:color w:val="000000"/>
                <w:szCs w:val="20"/>
              </w:rPr>
            </w:pPr>
            <w:r w:rsidRPr="00B148B1">
              <w:rPr>
                <w:rFonts w:cs="Arial"/>
                <w:b/>
                <w:bCs/>
                <w:i/>
                <w:iCs/>
                <w:color w:val="000000"/>
                <w:szCs w:val="20"/>
              </w:rPr>
              <w:t>25.193</w:t>
            </w:r>
          </w:p>
        </w:tc>
        <w:tc>
          <w:tcPr>
            <w:tcW w:w="1016" w:type="pct"/>
            <w:noWrap/>
            <w:vAlign w:val="center"/>
            <w:hideMark/>
          </w:tcPr>
          <w:p w:rsidR="00081030" w:rsidRPr="00B148B1" w:rsidRDefault="00081030">
            <w:pPr>
              <w:jc w:val="center"/>
              <w:rPr>
                <w:rFonts w:cs="Arial"/>
                <w:b/>
                <w:bCs/>
                <w:i/>
                <w:iCs/>
                <w:color w:val="000000"/>
                <w:szCs w:val="20"/>
              </w:rPr>
            </w:pPr>
            <w:r w:rsidRPr="00B148B1">
              <w:rPr>
                <w:rFonts w:cs="Arial"/>
                <w:b/>
                <w:bCs/>
                <w:i/>
                <w:iCs/>
                <w:color w:val="000000"/>
                <w:szCs w:val="20"/>
              </w:rPr>
              <w:t>5,7</w:t>
            </w:r>
          </w:p>
        </w:tc>
      </w:tr>
      <w:tr w:rsidR="00081030" w:rsidRPr="00B148B1" w:rsidTr="008E74A6">
        <w:trPr>
          <w:cantSplit/>
          <w:trHeight w:val="340"/>
        </w:trPr>
        <w:tc>
          <w:tcPr>
            <w:tcW w:w="1953" w:type="pct"/>
            <w:vAlign w:val="center"/>
            <w:hideMark/>
          </w:tcPr>
          <w:p w:rsidR="00081030" w:rsidRPr="00B148B1" w:rsidRDefault="00081030" w:rsidP="0092722B">
            <w:pPr>
              <w:spacing w:line="240" w:lineRule="auto"/>
              <w:jc w:val="right"/>
              <w:rPr>
                <w:rFonts w:cs="Arial"/>
                <w:b/>
                <w:bCs/>
                <w:i/>
                <w:iCs/>
                <w:color w:val="000000"/>
                <w:szCs w:val="20"/>
                <w:lang w:eastAsia="sl-SI"/>
              </w:rPr>
            </w:pPr>
            <w:r w:rsidRPr="00B148B1">
              <w:rPr>
                <w:rFonts w:cs="Arial"/>
                <w:b/>
                <w:bCs/>
                <w:i/>
                <w:iCs/>
                <w:color w:val="000000"/>
                <w:szCs w:val="20"/>
                <w:lang w:eastAsia="sl-SI"/>
              </w:rPr>
              <w:t>v aglomeracijah</w:t>
            </w:r>
          </w:p>
        </w:tc>
        <w:tc>
          <w:tcPr>
            <w:tcW w:w="1015" w:type="pct"/>
            <w:noWrap/>
            <w:vAlign w:val="center"/>
            <w:hideMark/>
          </w:tcPr>
          <w:p w:rsidR="00081030" w:rsidRPr="00B148B1" w:rsidRDefault="00081030">
            <w:pPr>
              <w:jc w:val="center"/>
              <w:rPr>
                <w:rFonts w:cs="Arial"/>
                <w:b/>
                <w:bCs/>
                <w:i/>
                <w:iCs/>
                <w:color w:val="000000"/>
                <w:szCs w:val="20"/>
              </w:rPr>
            </w:pPr>
            <w:r w:rsidRPr="00B148B1">
              <w:rPr>
                <w:rFonts w:cs="Arial"/>
                <w:b/>
                <w:bCs/>
                <w:i/>
                <w:iCs/>
                <w:color w:val="000000"/>
                <w:szCs w:val="20"/>
              </w:rPr>
              <w:t>1.612.204</w:t>
            </w:r>
          </w:p>
        </w:tc>
        <w:tc>
          <w:tcPr>
            <w:tcW w:w="1015" w:type="pct"/>
            <w:noWrap/>
            <w:vAlign w:val="center"/>
            <w:hideMark/>
          </w:tcPr>
          <w:p w:rsidR="00081030" w:rsidRPr="00B148B1" w:rsidRDefault="00081030">
            <w:pPr>
              <w:jc w:val="center"/>
              <w:rPr>
                <w:rFonts w:cs="Arial"/>
                <w:b/>
                <w:bCs/>
                <w:i/>
                <w:iCs/>
                <w:color w:val="000000"/>
                <w:szCs w:val="20"/>
              </w:rPr>
            </w:pPr>
            <w:r w:rsidRPr="00B148B1">
              <w:rPr>
                <w:rFonts w:cs="Arial"/>
                <w:b/>
                <w:bCs/>
                <w:i/>
                <w:iCs/>
                <w:color w:val="000000"/>
                <w:szCs w:val="20"/>
              </w:rPr>
              <w:t>1.356.591</w:t>
            </w:r>
          </w:p>
        </w:tc>
        <w:tc>
          <w:tcPr>
            <w:tcW w:w="1016" w:type="pct"/>
            <w:noWrap/>
            <w:vAlign w:val="center"/>
            <w:hideMark/>
          </w:tcPr>
          <w:p w:rsidR="00081030" w:rsidRPr="00B148B1" w:rsidRDefault="00081030">
            <w:pPr>
              <w:jc w:val="center"/>
              <w:rPr>
                <w:rFonts w:cs="Arial"/>
                <w:b/>
                <w:bCs/>
                <w:i/>
                <w:iCs/>
                <w:color w:val="000000"/>
                <w:szCs w:val="20"/>
              </w:rPr>
            </w:pPr>
            <w:r w:rsidRPr="00B148B1">
              <w:rPr>
                <w:rFonts w:cs="Arial"/>
                <w:b/>
                <w:bCs/>
                <w:i/>
                <w:iCs/>
                <w:color w:val="000000"/>
                <w:szCs w:val="20"/>
              </w:rPr>
              <w:t>84,1</w:t>
            </w:r>
          </w:p>
        </w:tc>
      </w:tr>
      <w:tr w:rsidR="00081030" w:rsidRPr="00B148B1" w:rsidTr="008E74A6">
        <w:trPr>
          <w:cantSplit/>
          <w:trHeight w:val="340"/>
        </w:trPr>
        <w:tc>
          <w:tcPr>
            <w:tcW w:w="1953" w:type="pct"/>
            <w:vAlign w:val="center"/>
            <w:hideMark/>
          </w:tcPr>
          <w:p w:rsidR="00081030" w:rsidRPr="00B148B1" w:rsidRDefault="00081030" w:rsidP="00A75C64">
            <w:pPr>
              <w:spacing w:line="240" w:lineRule="auto"/>
              <w:jc w:val="right"/>
              <w:rPr>
                <w:rFonts w:cs="Arial"/>
                <w:bCs/>
                <w:iCs/>
                <w:color w:val="000000"/>
                <w:szCs w:val="20"/>
                <w:lang w:eastAsia="sl-SI"/>
              </w:rPr>
            </w:pPr>
            <w:r w:rsidRPr="00B148B1">
              <w:rPr>
                <w:rFonts w:cs="Arial"/>
                <w:color w:val="000000"/>
                <w:szCs w:val="20"/>
              </w:rPr>
              <w:t xml:space="preserve">aglomeracije </w:t>
            </w:r>
            <w:r w:rsidR="00A75C64" w:rsidRPr="00B148B1">
              <w:rPr>
                <w:rFonts w:cs="Arial"/>
                <w:color w:val="000000"/>
                <w:szCs w:val="20"/>
              </w:rPr>
              <w:t xml:space="preserve">od </w:t>
            </w:r>
            <w:r w:rsidRPr="00B148B1">
              <w:rPr>
                <w:rFonts w:cs="Arial"/>
                <w:color w:val="000000"/>
                <w:szCs w:val="20"/>
              </w:rPr>
              <w:t xml:space="preserve">50 </w:t>
            </w:r>
            <w:r w:rsidR="00A75C64" w:rsidRPr="00B148B1">
              <w:rPr>
                <w:rFonts w:cs="Arial"/>
                <w:color w:val="000000"/>
                <w:szCs w:val="20"/>
              </w:rPr>
              <w:t>do</w:t>
            </w:r>
            <w:r w:rsidRPr="00B148B1">
              <w:rPr>
                <w:rFonts w:cs="Arial"/>
                <w:color w:val="000000"/>
                <w:szCs w:val="20"/>
              </w:rPr>
              <w:t xml:space="preserve"> 500 PE</w:t>
            </w:r>
          </w:p>
        </w:tc>
        <w:tc>
          <w:tcPr>
            <w:tcW w:w="1015" w:type="pct"/>
            <w:noWrap/>
            <w:vAlign w:val="center"/>
            <w:hideMark/>
          </w:tcPr>
          <w:p w:rsidR="00081030" w:rsidRPr="00B148B1" w:rsidRDefault="00081030">
            <w:pPr>
              <w:jc w:val="center"/>
              <w:rPr>
                <w:rFonts w:cs="Arial"/>
                <w:color w:val="000000"/>
                <w:szCs w:val="20"/>
              </w:rPr>
            </w:pPr>
            <w:r w:rsidRPr="00B148B1">
              <w:rPr>
                <w:rFonts w:cs="Arial"/>
                <w:color w:val="000000"/>
                <w:szCs w:val="20"/>
              </w:rPr>
              <w:t>202.752</w:t>
            </w:r>
          </w:p>
        </w:tc>
        <w:tc>
          <w:tcPr>
            <w:tcW w:w="1015" w:type="pct"/>
            <w:noWrap/>
            <w:vAlign w:val="center"/>
            <w:hideMark/>
          </w:tcPr>
          <w:p w:rsidR="00081030" w:rsidRPr="00B148B1" w:rsidRDefault="00081030">
            <w:pPr>
              <w:jc w:val="center"/>
              <w:rPr>
                <w:rFonts w:cs="Arial"/>
                <w:color w:val="000000"/>
                <w:szCs w:val="20"/>
              </w:rPr>
            </w:pPr>
            <w:r w:rsidRPr="00B148B1">
              <w:rPr>
                <w:rFonts w:cs="Arial"/>
                <w:color w:val="000000"/>
                <w:szCs w:val="20"/>
              </w:rPr>
              <w:t>78.364</w:t>
            </w:r>
          </w:p>
        </w:tc>
        <w:tc>
          <w:tcPr>
            <w:tcW w:w="1016" w:type="pct"/>
            <w:noWrap/>
            <w:vAlign w:val="center"/>
            <w:hideMark/>
          </w:tcPr>
          <w:p w:rsidR="00081030" w:rsidRPr="00B148B1" w:rsidRDefault="00081030">
            <w:pPr>
              <w:jc w:val="center"/>
              <w:rPr>
                <w:rFonts w:cs="Arial"/>
                <w:bCs/>
                <w:i/>
                <w:iCs/>
                <w:color w:val="000000"/>
                <w:szCs w:val="20"/>
              </w:rPr>
            </w:pPr>
            <w:r w:rsidRPr="00B148B1">
              <w:rPr>
                <w:rFonts w:cs="Arial"/>
                <w:bCs/>
                <w:i/>
                <w:iCs/>
                <w:color w:val="000000"/>
                <w:szCs w:val="20"/>
              </w:rPr>
              <w:t>38,7</w:t>
            </w:r>
          </w:p>
        </w:tc>
      </w:tr>
      <w:tr w:rsidR="00081030" w:rsidRPr="00B148B1" w:rsidTr="008E74A6">
        <w:trPr>
          <w:cantSplit/>
          <w:trHeight w:val="340"/>
        </w:trPr>
        <w:tc>
          <w:tcPr>
            <w:tcW w:w="1953" w:type="pct"/>
            <w:vAlign w:val="center"/>
            <w:hideMark/>
          </w:tcPr>
          <w:p w:rsidR="00081030" w:rsidRPr="00B148B1" w:rsidRDefault="00081030" w:rsidP="0092722B">
            <w:pPr>
              <w:spacing w:line="240" w:lineRule="auto"/>
              <w:jc w:val="right"/>
              <w:rPr>
                <w:rFonts w:cs="Arial"/>
                <w:bCs/>
                <w:iCs/>
                <w:color w:val="000000"/>
                <w:szCs w:val="20"/>
                <w:lang w:eastAsia="sl-SI"/>
              </w:rPr>
            </w:pPr>
            <w:r w:rsidRPr="00B148B1">
              <w:rPr>
                <w:rFonts w:cs="Arial"/>
                <w:color w:val="000000"/>
                <w:szCs w:val="20"/>
              </w:rPr>
              <w:t xml:space="preserve">aglomeracije </w:t>
            </w:r>
            <w:r w:rsidR="00A75C64" w:rsidRPr="00B148B1">
              <w:rPr>
                <w:rFonts w:cs="Arial"/>
                <w:color w:val="000000"/>
                <w:szCs w:val="20"/>
              </w:rPr>
              <w:t>od</w:t>
            </w:r>
            <w:r w:rsidRPr="00B148B1">
              <w:rPr>
                <w:rFonts w:cs="Arial"/>
                <w:color w:val="000000"/>
                <w:szCs w:val="20"/>
              </w:rPr>
              <w:t xml:space="preserve"> 500 </w:t>
            </w:r>
            <w:r w:rsidR="00A75C64" w:rsidRPr="00B148B1">
              <w:rPr>
                <w:rFonts w:cs="Arial"/>
                <w:color w:val="000000"/>
                <w:szCs w:val="20"/>
              </w:rPr>
              <w:t>do</w:t>
            </w:r>
            <w:r w:rsidRPr="00B148B1">
              <w:rPr>
                <w:rFonts w:cs="Arial"/>
                <w:color w:val="000000"/>
                <w:szCs w:val="20"/>
              </w:rPr>
              <w:t xml:space="preserve"> 2.000 PE</w:t>
            </w:r>
          </w:p>
        </w:tc>
        <w:tc>
          <w:tcPr>
            <w:tcW w:w="1015" w:type="pct"/>
            <w:noWrap/>
            <w:vAlign w:val="center"/>
            <w:hideMark/>
          </w:tcPr>
          <w:p w:rsidR="00081030" w:rsidRPr="00B148B1" w:rsidRDefault="00081030">
            <w:pPr>
              <w:jc w:val="center"/>
              <w:rPr>
                <w:rFonts w:cs="Arial"/>
                <w:color w:val="000000"/>
                <w:szCs w:val="20"/>
              </w:rPr>
            </w:pPr>
            <w:r w:rsidRPr="00B148B1">
              <w:rPr>
                <w:rFonts w:cs="Arial"/>
                <w:color w:val="000000"/>
                <w:szCs w:val="20"/>
              </w:rPr>
              <w:t>229.492</w:t>
            </w:r>
          </w:p>
        </w:tc>
        <w:tc>
          <w:tcPr>
            <w:tcW w:w="1015" w:type="pct"/>
            <w:noWrap/>
            <w:vAlign w:val="center"/>
            <w:hideMark/>
          </w:tcPr>
          <w:p w:rsidR="00081030" w:rsidRPr="00B148B1" w:rsidRDefault="00081030">
            <w:pPr>
              <w:jc w:val="center"/>
              <w:rPr>
                <w:rFonts w:cs="Arial"/>
                <w:color w:val="000000"/>
                <w:szCs w:val="20"/>
              </w:rPr>
            </w:pPr>
            <w:r w:rsidRPr="00B148B1">
              <w:rPr>
                <w:rFonts w:cs="Arial"/>
                <w:color w:val="000000"/>
                <w:szCs w:val="20"/>
              </w:rPr>
              <w:t>173.286</w:t>
            </w:r>
          </w:p>
        </w:tc>
        <w:tc>
          <w:tcPr>
            <w:tcW w:w="1016" w:type="pct"/>
            <w:noWrap/>
            <w:vAlign w:val="center"/>
            <w:hideMark/>
          </w:tcPr>
          <w:p w:rsidR="00081030" w:rsidRPr="00B148B1" w:rsidRDefault="00081030">
            <w:pPr>
              <w:jc w:val="center"/>
              <w:rPr>
                <w:rFonts w:cs="Arial"/>
                <w:bCs/>
                <w:i/>
                <w:iCs/>
                <w:color w:val="000000"/>
                <w:szCs w:val="20"/>
              </w:rPr>
            </w:pPr>
            <w:r w:rsidRPr="00B148B1">
              <w:rPr>
                <w:rFonts w:cs="Arial"/>
                <w:bCs/>
                <w:i/>
                <w:iCs/>
                <w:color w:val="000000"/>
                <w:szCs w:val="20"/>
              </w:rPr>
              <w:t>75,5</w:t>
            </w:r>
          </w:p>
        </w:tc>
      </w:tr>
      <w:tr w:rsidR="00081030" w:rsidRPr="00B148B1" w:rsidTr="008E74A6">
        <w:trPr>
          <w:cantSplit/>
          <w:trHeight w:val="340"/>
        </w:trPr>
        <w:tc>
          <w:tcPr>
            <w:tcW w:w="1953" w:type="pct"/>
            <w:vAlign w:val="center"/>
            <w:hideMark/>
          </w:tcPr>
          <w:p w:rsidR="00081030" w:rsidRPr="00B148B1" w:rsidRDefault="00081030" w:rsidP="00BA3787">
            <w:pPr>
              <w:jc w:val="right"/>
              <w:rPr>
                <w:rFonts w:cs="Arial"/>
                <w:b/>
                <w:i/>
              </w:rPr>
            </w:pPr>
            <w:r w:rsidRPr="00B148B1">
              <w:rPr>
                <w:rFonts w:cs="Arial"/>
                <w:b/>
                <w:i/>
              </w:rPr>
              <w:lastRenderedPageBreak/>
              <w:t>aglomeracije &lt; 2.000 PE</w:t>
            </w:r>
          </w:p>
        </w:tc>
        <w:tc>
          <w:tcPr>
            <w:tcW w:w="1015" w:type="pct"/>
            <w:noWrap/>
            <w:vAlign w:val="center"/>
            <w:hideMark/>
          </w:tcPr>
          <w:p w:rsidR="00081030" w:rsidRPr="00B148B1" w:rsidRDefault="00081030">
            <w:pPr>
              <w:jc w:val="center"/>
              <w:rPr>
                <w:rFonts w:cs="Arial"/>
                <w:b/>
                <w:bCs/>
                <w:i/>
                <w:iCs/>
                <w:color w:val="000000"/>
                <w:szCs w:val="20"/>
              </w:rPr>
            </w:pPr>
            <w:r w:rsidRPr="00B148B1">
              <w:rPr>
                <w:rFonts w:cs="Arial"/>
                <w:b/>
                <w:bCs/>
                <w:i/>
                <w:iCs/>
                <w:color w:val="000000"/>
                <w:szCs w:val="20"/>
              </w:rPr>
              <w:t>432.244</w:t>
            </w:r>
          </w:p>
        </w:tc>
        <w:tc>
          <w:tcPr>
            <w:tcW w:w="1015" w:type="pct"/>
            <w:noWrap/>
            <w:vAlign w:val="center"/>
            <w:hideMark/>
          </w:tcPr>
          <w:p w:rsidR="00081030" w:rsidRPr="00B148B1" w:rsidRDefault="00081030">
            <w:pPr>
              <w:jc w:val="center"/>
              <w:rPr>
                <w:rFonts w:cs="Arial"/>
                <w:b/>
                <w:bCs/>
                <w:i/>
                <w:iCs/>
                <w:color w:val="000000"/>
                <w:szCs w:val="20"/>
              </w:rPr>
            </w:pPr>
            <w:r w:rsidRPr="00B148B1">
              <w:rPr>
                <w:rFonts w:cs="Arial"/>
                <w:b/>
                <w:bCs/>
                <w:i/>
                <w:iCs/>
                <w:color w:val="000000"/>
                <w:szCs w:val="20"/>
              </w:rPr>
              <w:t>251.650</w:t>
            </w:r>
          </w:p>
        </w:tc>
        <w:tc>
          <w:tcPr>
            <w:tcW w:w="1016" w:type="pct"/>
            <w:noWrap/>
            <w:vAlign w:val="center"/>
            <w:hideMark/>
          </w:tcPr>
          <w:p w:rsidR="00081030" w:rsidRPr="00B148B1" w:rsidRDefault="00081030">
            <w:pPr>
              <w:jc w:val="center"/>
              <w:rPr>
                <w:rFonts w:cs="Arial"/>
                <w:b/>
                <w:bCs/>
                <w:i/>
                <w:iCs/>
                <w:color w:val="000000"/>
                <w:szCs w:val="20"/>
              </w:rPr>
            </w:pPr>
            <w:r w:rsidRPr="00B148B1">
              <w:rPr>
                <w:rFonts w:cs="Arial"/>
                <w:b/>
                <w:bCs/>
                <w:i/>
                <w:iCs/>
                <w:color w:val="000000"/>
                <w:szCs w:val="20"/>
              </w:rPr>
              <w:t>58,2</w:t>
            </w:r>
          </w:p>
        </w:tc>
      </w:tr>
      <w:tr w:rsidR="00081030" w:rsidRPr="00B148B1" w:rsidTr="008E74A6">
        <w:trPr>
          <w:cantSplit/>
          <w:trHeight w:val="340"/>
        </w:trPr>
        <w:tc>
          <w:tcPr>
            <w:tcW w:w="1953" w:type="pct"/>
            <w:vAlign w:val="center"/>
            <w:hideMark/>
          </w:tcPr>
          <w:p w:rsidR="00081030" w:rsidRPr="00B148B1" w:rsidRDefault="00081030" w:rsidP="00A75C64">
            <w:pPr>
              <w:spacing w:line="240" w:lineRule="auto"/>
              <w:jc w:val="right"/>
              <w:rPr>
                <w:rFonts w:cs="Arial"/>
                <w:bCs/>
                <w:iCs/>
                <w:color w:val="000000"/>
                <w:szCs w:val="20"/>
                <w:lang w:eastAsia="sl-SI"/>
              </w:rPr>
            </w:pPr>
            <w:r w:rsidRPr="00B148B1">
              <w:rPr>
                <w:rFonts w:cs="Arial"/>
                <w:color w:val="000000"/>
                <w:szCs w:val="20"/>
              </w:rPr>
              <w:t xml:space="preserve">aglomeracije </w:t>
            </w:r>
            <w:r w:rsidR="00A75C64" w:rsidRPr="00B148B1">
              <w:rPr>
                <w:rFonts w:cs="Arial"/>
                <w:color w:val="000000"/>
                <w:szCs w:val="20"/>
              </w:rPr>
              <w:t xml:space="preserve">od </w:t>
            </w:r>
            <w:r w:rsidRPr="00B148B1">
              <w:rPr>
                <w:rFonts w:cs="Arial"/>
                <w:color w:val="000000"/>
                <w:szCs w:val="20"/>
              </w:rPr>
              <w:t xml:space="preserve">2.000 </w:t>
            </w:r>
            <w:r w:rsidR="00A75C64" w:rsidRPr="00B148B1">
              <w:rPr>
                <w:rFonts w:cs="Arial"/>
                <w:color w:val="000000"/>
                <w:szCs w:val="20"/>
              </w:rPr>
              <w:t>do</w:t>
            </w:r>
            <w:r w:rsidRPr="00B148B1">
              <w:rPr>
                <w:rFonts w:cs="Arial"/>
                <w:color w:val="000000"/>
                <w:szCs w:val="20"/>
              </w:rPr>
              <w:t xml:space="preserve"> 10.000 PE</w:t>
            </w:r>
          </w:p>
        </w:tc>
        <w:tc>
          <w:tcPr>
            <w:tcW w:w="1015" w:type="pct"/>
            <w:noWrap/>
            <w:vAlign w:val="center"/>
            <w:hideMark/>
          </w:tcPr>
          <w:p w:rsidR="00081030" w:rsidRPr="00B148B1" w:rsidRDefault="00081030">
            <w:pPr>
              <w:jc w:val="center"/>
              <w:rPr>
                <w:rFonts w:cs="Arial"/>
                <w:color w:val="000000"/>
                <w:szCs w:val="20"/>
              </w:rPr>
            </w:pPr>
            <w:r w:rsidRPr="00B148B1">
              <w:rPr>
                <w:rFonts w:cs="Arial"/>
                <w:color w:val="000000"/>
                <w:szCs w:val="20"/>
              </w:rPr>
              <w:t>335.999</w:t>
            </w:r>
          </w:p>
        </w:tc>
        <w:tc>
          <w:tcPr>
            <w:tcW w:w="1015" w:type="pct"/>
            <w:noWrap/>
            <w:vAlign w:val="center"/>
            <w:hideMark/>
          </w:tcPr>
          <w:p w:rsidR="00081030" w:rsidRPr="00B148B1" w:rsidRDefault="00081030">
            <w:pPr>
              <w:jc w:val="center"/>
              <w:rPr>
                <w:rFonts w:cs="Arial"/>
                <w:color w:val="000000"/>
                <w:szCs w:val="20"/>
              </w:rPr>
            </w:pPr>
            <w:r w:rsidRPr="00B148B1">
              <w:rPr>
                <w:rFonts w:cs="Arial"/>
                <w:color w:val="000000"/>
                <w:szCs w:val="20"/>
              </w:rPr>
              <w:t>303.935</w:t>
            </w:r>
          </w:p>
        </w:tc>
        <w:tc>
          <w:tcPr>
            <w:tcW w:w="1016" w:type="pct"/>
            <w:noWrap/>
            <w:vAlign w:val="center"/>
            <w:hideMark/>
          </w:tcPr>
          <w:p w:rsidR="00081030" w:rsidRPr="00B148B1" w:rsidRDefault="00081030">
            <w:pPr>
              <w:jc w:val="center"/>
              <w:rPr>
                <w:rFonts w:cs="Arial"/>
                <w:bCs/>
                <w:i/>
                <w:iCs/>
                <w:color w:val="000000"/>
                <w:szCs w:val="20"/>
              </w:rPr>
            </w:pPr>
            <w:r w:rsidRPr="00B148B1">
              <w:rPr>
                <w:rFonts w:cs="Arial"/>
                <w:bCs/>
                <w:i/>
                <w:iCs/>
                <w:color w:val="000000"/>
                <w:szCs w:val="20"/>
              </w:rPr>
              <w:t>90,5</w:t>
            </w:r>
          </w:p>
        </w:tc>
      </w:tr>
      <w:tr w:rsidR="00081030" w:rsidRPr="00B148B1" w:rsidTr="008E74A6">
        <w:trPr>
          <w:cantSplit/>
          <w:trHeight w:val="340"/>
        </w:trPr>
        <w:tc>
          <w:tcPr>
            <w:tcW w:w="1953" w:type="pct"/>
            <w:vAlign w:val="center"/>
            <w:hideMark/>
          </w:tcPr>
          <w:p w:rsidR="00081030" w:rsidRPr="00B148B1" w:rsidRDefault="00081030" w:rsidP="0092722B">
            <w:pPr>
              <w:spacing w:line="240" w:lineRule="auto"/>
              <w:jc w:val="right"/>
              <w:rPr>
                <w:rFonts w:cs="Arial"/>
                <w:bCs/>
                <w:iCs/>
                <w:color w:val="000000"/>
                <w:szCs w:val="20"/>
                <w:lang w:eastAsia="sl-SI"/>
              </w:rPr>
            </w:pPr>
            <w:r w:rsidRPr="00B148B1">
              <w:rPr>
                <w:rFonts w:cs="Arial"/>
                <w:bCs/>
                <w:iCs/>
                <w:color w:val="000000"/>
                <w:szCs w:val="20"/>
                <w:lang w:eastAsia="sl-SI"/>
              </w:rPr>
              <w:t xml:space="preserve">aglomeracije </w:t>
            </w:r>
            <w:r w:rsidR="00A75C64" w:rsidRPr="00B148B1">
              <w:rPr>
                <w:rFonts w:cs="Arial"/>
                <w:bCs/>
                <w:iCs/>
                <w:color w:val="000000"/>
                <w:szCs w:val="20"/>
                <w:lang w:eastAsia="sl-SI"/>
              </w:rPr>
              <w:t xml:space="preserve">od </w:t>
            </w:r>
            <w:r w:rsidRPr="00B148B1">
              <w:rPr>
                <w:rFonts w:cs="Arial"/>
                <w:bCs/>
                <w:iCs/>
                <w:color w:val="000000"/>
                <w:szCs w:val="20"/>
                <w:lang w:eastAsia="sl-SI"/>
              </w:rPr>
              <w:t xml:space="preserve">10.000 </w:t>
            </w:r>
            <w:r w:rsidR="00A75C64" w:rsidRPr="00B148B1">
              <w:rPr>
                <w:rFonts w:cs="Arial"/>
                <w:bCs/>
                <w:iCs/>
                <w:color w:val="000000"/>
                <w:szCs w:val="20"/>
                <w:lang w:eastAsia="sl-SI"/>
              </w:rPr>
              <w:t>do</w:t>
            </w:r>
            <w:r w:rsidRPr="00B148B1">
              <w:rPr>
                <w:rFonts w:cs="Arial"/>
                <w:bCs/>
                <w:iCs/>
                <w:color w:val="000000"/>
                <w:szCs w:val="20"/>
                <w:lang w:eastAsia="sl-SI"/>
              </w:rPr>
              <w:t xml:space="preserve"> 15.000 PE</w:t>
            </w:r>
          </w:p>
        </w:tc>
        <w:tc>
          <w:tcPr>
            <w:tcW w:w="1015" w:type="pct"/>
            <w:noWrap/>
            <w:vAlign w:val="center"/>
            <w:hideMark/>
          </w:tcPr>
          <w:p w:rsidR="00081030" w:rsidRPr="00B148B1" w:rsidRDefault="00081030">
            <w:pPr>
              <w:jc w:val="center"/>
              <w:rPr>
                <w:rFonts w:cs="Arial"/>
                <w:color w:val="000000"/>
                <w:szCs w:val="20"/>
              </w:rPr>
            </w:pPr>
            <w:r w:rsidRPr="00B148B1">
              <w:rPr>
                <w:rFonts w:cs="Arial"/>
                <w:color w:val="000000"/>
                <w:szCs w:val="20"/>
              </w:rPr>
              <w:t>97.637</w:t>
            </w:r>
          </w:p>
        </w:tc>
        <w:tc>
          <w:tcPr>
            <w:tcW w:w="1015" w:type="pct"/>
            <w:noWrap/>
            <w:vAlign w:val="center"/>
            <w:hideMark/>
          </w:tcPr>
          <w:p w:rsidR="00081030" w:rsidRPr="00B148B1" w:rsidRDefault="00081030">
            <w:pPr>
              <w:jc w:val="center"/>
              <w:rPr>
                <w:rFonts w:cs="Arial"/>
                <w:color w:val="000000"/>
                <w:szCs w:val="20"/>
              </w:rPr>
            </w:pPr>
            <w:r w:rsidRPr="00B148B1">
              <w:rPr>
                <w:rFonts w:cs="Arial"/>
                <w:color w:val="000000"/>
                <w:szCs w:val="20"/>
              </w:rPr>
              <w:t>94.936</w:t>
            </w:r>
          </w:p>
        </w:tc>
        <w:tc>
          <w:tcPr>
            <w:tcW w:w="1016" w:type="pct"/>
            <w:noWrap/>
            <w:vAlign w:val="center"/>
            <w:hideMark/>
          </w:tcPr>
          <w:p w:rsidR="00081030" w:rsidRPr="00B148B1" w:rsidRDefault="00081030">
            <w:pPr>
              <w:jc w:val="center"/>
              <w:rPr>
                <w:rFonts w:cs="Arial"/>
                <w:bCs/>
                <w:i/>
                <w:iCs/>
                <w:color w:val="000000"/>
                <w:szCs w:val="20"/>
              </w:rPr>
            </w:pPr>
            <w:r w:rsidRPr="00B148B1">
              <w:rPr>
                <w:rFonts w:cs="Arial"/>
                <w:bCs/>
                <w:i/>
                <w:iCs/>
                <w:color w:val="000000"/>
                <w:szCs w:val="20"/>
              </w:rPr>
              <w:t>97,2</w:t>
            </w:r>
          </w:p>
        </w:tc>
      </w:tr>
      <w:tr w:rsidR="00081030" w:rsidRPr="00B148B1" w:rsidTr="008E74A6">
        <w:trPr>
          <w:cantSplit/>
          <w:trHeight w:val="340"/>
        </w:trPr>
        <w:tc>
          <w:tcPr>
            <w:tcW w:w="1953" w:type="pct"/>
            <w:vAlign w:val="center"/>
            <w:hideMark/>
          </w:tcPr>
          <w:p w:rsidR="00081030" w:rsidRPr="00B148B1" w:rsidRDefault="00081030" w:rsidP="0092722B">
            <w:pPr>
              <w:spacing w:line="240" w:lineRule="auto"/>
              <w:jc w:val="right"/>
              <w:rPr>
                <w:rFonts w:cs="Arial"/>
                <w:bCs/>
                <w:iCs/>
                <w:color w:val="000000"/>
                <w:szCs w:val="20"/>
                <w:lang w:eastAsia="sl-SI"/>
              </w:rPr>
            </w:pPr>
            <w:r w:rsidRPr="00B148B1">
              <w:rPr>
                <w:rFonts w:cs="Arial"/>
                <w:bCs/>
                <w:iCs/>
                <w:color w:val="000000"/>
                <w:szCs w:val="20"/>
                <w:lang w:eastAsia="sl-SI"/>
              </w:rPr>
              <w:t>aglomeracije ≥ 15.000 PE</w:t>
            </w:r>
          </w:p>
        </w:tc>
        <w:tc>
          <w:tcPr>
            <w:tcW w:w="1015" w:type="pct"/>
            <w:noWrap/>
            <w:vAlign w:val="center"/>
            <w:hideMark/>
          </w:tcPr>
          <w:p w:rsidR="00081030" w:rsidRPr="00B148B1" w:rsidRDefault="00081030">
            <w:pPr>
              <w:jc w:val="center"/>
              <w:rPr>
                <w:rFonts w:cs="Arial"/>
                <w:color w:val="000000"/>
                <w:szCs w:val="20"/>
              </w:rPr>
            </w:pPr>
            <w:r w:rsidRPr="00B148B1">
              <w:rPr>
                <w:rFonts w:cs="Arial"/>
                <w:color w:val="000000"/>
                <w:szCs w:val="20"/>
              </w:rPr>
              <w:t>746.324</w:t>
            </w:r>
          </w:p>
        </w:tc>
        <w:tc>
          <w:tcPr>
            <w:tcW w:w="1015" w:type="pct"/>
            <w:noWrap/>
            <w:vAlign w:val="center"/>
            <w:hideMark/>
          </w:tcPr>
          <w:p w:rsidR="00081030" w:rsidRPr="00B148B1" w:rsidRDefault="00081030">
            <w:pPr>
              <w:jc w:val="center"/>
              <w:rPr>
                <w:rFonts w:cs="Arial"/>
                <w:color w:val="000000"/>
                <w:szCs w:val="20"/>
              </w:rPr>
            </w:pPr>
            <w:r w:rsidRPr="00B148B1">
              <w:rPr>
                <w:rFonts w:cs="Arial"/>
                <w:color w:val="000000"/>
                <w:szCs w:val="20"/>
              </w:rPr>
              <w:t>706.070</w:t>
            </w:r>
          </w:p>
        </w:tc>
        <w:tc>
          <w:tcPr>
            <w:tcW w:w="1016" w:type="pct"/>
            <w:noWrap/>
            <w:vAlign w:val="center"/>
            <w:hideMark/>
          </w:tcPr>
          <w:p w:rsidR="00081030" w:rsidRPr="00B148B1" w:rsidRDefault="00081030">
            <w:pPr>
              <w:jc w:val="center"/>
              <w:rPr>
                <w:rFonts w:cs="Arial"/>
                <w:bCs/>
                <w:i/>
                <w:iCs/>
                <w:color w:val="000000"/>
                <w:szCs w:val="20"/>
              </w:rPr>
            </w:pPr>
            <w:r w:rsidRPr="00B148B1">
              <w:rPr>
                <w:rFonts w:cs="Arial"/>
                <w:bCs/>
                <w:i/>
                <w:iCs/>
                <w:color w:val="000000"/>
                <w:szCs w:val="20"/>
              </w:rPr>
              <w:t>94,6</w:t>
            </w:r>
          </w:p>
        </w:tc>
      </w:tr>
      <w:tr w:rsidR="00081030" w:rsidRPr="00B148B1" w:rsidTr="008E74A6">
        <w:trPr>
          <w:cantSplit/>
          <w:trHeight w:val="340"/>
        </w:trPr>
        <w:tc>
          <w:tcPr>
            <w:tcW w:w="1953" w:type="pct"/>
            <w:vAlign w:val="center"/>
            <w:hideMark/>
          </w:tcPr>
          <w:p w:rsidR="00081030" w:rsidRPr="00B148B1" w:rsidRDefault="00081030" w:rsidP="00BA3787">
            <w:pPr>
              <w:jc w:val="right"/>
              <w:rPr>
                <w:rFonts w:cs="Arial"/>
                <w:b/>
                <w:i/>
              </w:rPr>
            </w:pPr>
            <w:r w:rsidRPr="00B148B1">
              <w:rPr>
                <w:rFonts w:cs="Arial"/>
                <w:b/>
                <w:i/>
              </w:rPr>
              <w:t>aglomeracije ≥ 2.000 PE</w:t>
            </w:r>
          </w:p>
        </w:tc>
        <w:tc>
          <w:tcPr>
            <w:tcW w:w="1015" w:type="pct"/>
            <w:noWrap/>
            <w:vAlign w:val="center"/>
            <w:hideMark/>
          </w:tcPr>
          <w:p w:rsidR="00081030" w:rsidRPr="00B148B1" w:rsidRDefault="00081030">
            <w:pPr>
              <w:jc w:val="center"/>
              <w:rPr>
                <w:rFonts w:cs="Arial"/>
                <w:b/>
                <w:bCs/>
                <w:i/>
                <w:iCs/>
                <w:color w:val="000000"/>
                <w:szCs w:val="20"/>
              </w:rPr>
            </w:pPr>
            <w:r w:rsidRPr="00B148B1">
              <w:rPr>
                <w:rFonts w:cs="Arial"/>
                <w:b/>
                <w:bCs/>
                <w:i/>
                <w:iCs/>
                <w:color w:val="000000"/>
                <w:szCs w:val="20"/>
              </w:rPr>
              <w:t>1.179.960</w:t>
            </w:r>
          </w:p>
        </w:tc>
        <w:tc>
          <w:tcPr>
            <w:tcW w:w="1015" w:type="pct"/>
            <w:noWrap/>
            <w:vAlign w:val="center"/>
            <w:hideMark/>
          </w:tcPr>
          <w:p w:rsidR="00081030" w:rsidRPr="00B148B1" w:rsidRDefault="00081030">
            <w:pPr>
              <w:jc w:val="center"/>
              <w:rPr>
                <w:rFonts w:cs="Arial"/>
                <w:b/>
                <w:bCs/>
                <w:i/>
                <w:iCs/>
                <w:color w:val="000000"/>
                <w:szCs w:val="20"/>
              </w:rPr>
            </w:pPr>
            <w:r w:rsidRPr="00B148B1">
              <w:rPr>
                <w:rFonts w:cs="Arial"/>
                <w:b/>
                <w:bCs/>
                <w:i/>
                <w:iCs/>
                <w:color w:val="000000"/>
                <w:szCs w:val="20"/>
              </w:rPr>
              <w:t>1.104.941</w:t>
            </w:r>
          </w:p>
        </w:tc>
        <w:tc>
          <w:tcPr>
            <w:tcW w:w="1016" w:type="pct"/>
            <w:noWrap/>
            <w:vAlign w:val="center"/>
            <w:hideMark/>
          </w:tcPr>
          <w:p w:rsidR="00081030" w:rsidRPr="00B148B1" w:rsidRDefault="00081030">
            <w:pPr>
              <w:jc w:val="center"/>
              <w:rPr>
                <w:rFonts w:cs="Arial"/>
                <w:b/>
                <w:bCs/>
                <w:i/>
                <w:iCs/>
                <w:color w:val="000000"/>
                <w:szCs w:val="20"/>
              </w:rPr>
            </w:pPr>
            <w:r w:rsidRPr="00B148B1">
              <w:rPr>
                <w:rFonts w:cs="Arial"/>
                <w:b/>
                <w:bCs/>
                <w:i/>
                <w:iCs/>
                <w:color w:val="000000"/>
                <w:szCs w:val="20"/>
              </w:rPr>
              <w:t>93,6</w:t>
            </w:r>
          </w:p>
        </w:tc>
      </w:tr>
      <w:tr w:rsidR="00081030" w:rsidRPr="00B148B1" w:rsidTr="008E74A6">
        <w:trPr>
          <w:cantSplit/>
          <w:trHeight w:val="340"/>
        </w:trPr>
        <w:tc>
          <w:tcPr>
            <w:tcW w:w="1953" w:type="pct"/>
            <w:vAlign w:val="center"/>
            <w:hideMark/>
          </w:tcPr>
          <w:p w:rsidR="00081030" w:rsidRPr="00B148B1" w:rsidRDefault="00081030" w:rsidP="0092722B">
            <w:pPr>
              <w:spacing w:line="240" w:lineRule="auto"/>
              <w:jc w:val="right"/>
              <w:rPr>
                <w:rFonts w:cs="Arial"/>
                <w:b/>
                <w:bCs/>
                <w:iCs/>
                <w:color w:val="000000"/>
                <w:szCs w:val="20"/>
                <w:lang w:eastAsia="sl-SI"/>
              </w:rPr>
            </w:pPr>
            <w:r w:rsidRPr="00B148B1">
              <w:rPr>
                <w:rFonts w:cs="Arial"/>
                <w:b/>
                <w:bCs/>
                <w:iCs/>
                <w:color w:val="000000"/>
                <w:szCs w:val="20"/>
                <w:lang w:eastAsia="sl-SI"/>
              </w:rPr>
              <w:t>SKUPAJ</w:t>
            </w:r>
          </w:p>
        </w:tc>
        <w:tc>
          <w:tcPr>
            <w:tcW w:w="1015" w:type="pct"/>
            <w:vAlign w:val="center"/>
            <w:hideMark/>
          </w:tcPr>
          <w:p w:rsidR="00081030" w:rsidRPr="00B148B1" w:rsidRDefault="00081030">
            <w:pPr>
              <w:jc w:val="center"/>
              <w:rPr>
                <w:rFonts w:cs="Arial"/>
                <w:b/>
                <w:bCs/>
                <w:color w:val="000000"/>
                <w:szCs w:val="20"/>
              </w:rPr>
            </w:pPr>
            <w:r w:rsidRPr="00B148B1">
              <w:rPr>
                <w:rFonts w:cs="Arial"/>
                <w:b/>
                <w:bCs/>
                <w:color w:val="000000"/>
                <w:szCs w:val="20"/>
              </w:rPr>
              <w:t>2.055.003</w:t>
            </w:r>
          </w:p>
        </w:tc>
        <w:tc>
          <w:tcPr>
            <w:tcW w:w="1015" w:type="pct"/>
            <w:vAlign w:val="center"/>
            <w:hideMark/>
          </w:tcPr>
          <w:p w:rsidR="00081030" w:rsidRPr="00B148B1" w:rsidRDefault="00081030">
            <w:pPr>
              <w:jc w:val="center"/>
              <w:rPr>
                <w:rFonts w:cs="Arial"/>
                <w:b/>
                <w:bCs/>
                <w:color w:val="000000"/>
                <w:szCs w:val="20"/>
              </w:rPr>
            </w:pPr>
            <w:r w:rsidRPr="00B148B1">
              <w:rPr>
                <w:rFonts w:cs="Arial"/>
                <w:b/>
                <w:bCs/>
                <w:color w:val="000000"/>
                <w:szCs w:val="20"/>
              </w:rPr>
              <w:t>1.381.784</w:t>
            </w:r>
          </w:p>
        </w:tc>
        <w:tc>
          <w:tcPr>
            <w:tcW w:w="1016" w:type="pct"/>
            <w:vAlign w:val="center"/>
            <w:hideMark/>
          </w:tcPr>
          <w:p w:rsidR="00081030" w:rsidRPr="00B148B1" w:rsidRDefault="00081030">
            <w:pPr>
              <w:jc w:val="center"/>
              <w:rPr>
                <w:rFonts w:cs="Arial"/>
                <w:b/>
                <w:bCs/>
                <w:i/>
                <w:iCs/>
                <w:color w:val="000000"/>
                <w:szCs w:val="20"/>
              </w:rPr>
            </w:pPr>
            <w:r w:rsidRPr="00B148B1">
              <w:rPr>
                <w:rFonts w:cs="Arial"/>
                <w:b/>
                <w:bCs/>
                <w:i/>
                <w:iCs/>
                <w:color w:val="000000"/>
                <w:szCs w:val="20"/>
              </w:rPr>
              <w:t>67,2</w:t>
            </w:r>
          </w:p>
        </w:tc>
      </w:tr>
    </w:tbl>
    <w:p w:rsidR="00D774EB" w:rsidRPr="00B148B1" w:rsidRDefault="00B560D3" w:rsidP="00B560D3">
      <w:pPr>
        <w:tabs>
          <w:tab w:val="left" w:leader="dot" w:pos="993"/>
          <w:tab w:val="left" w:pos="9600"/>
        </w:tabs>
        <w:spacing w:before="120" w:line="280" w:lineRule="atLeast"/>
        <w:ind w:left="993" w:hanging="993"/>
        <w:rPr>
          <w:rFonts w:cs="Arial"/>
          <w:sz w:val="18"/>
          <w:szCs w:val="18"/>
        </w:rPr>
      </w:pPr>
      <w:r w:rsidRPr="00B148B1">
        <w:rPr>
          <w:rFonts w:cs="Arial"/>
          <w:b/>
          <w:bCs/>
          <w:iCs/>
          <w:color w:val="000000"/>
          <w:sz w:val="18"/>
          <w:szCs w:val="18"/>
          <w:vertAlign w:val="superscript"/>
          <w:lang w:eastAsia="sl-SI"/>
        </w:rPr>
        <w:t>(1)</w:t>
      </w:r>
      <w:r w:rsidR="00226343" w:rsidRPr="00B148B1">
        <w:rPr>
          <w:rFonts w:cs="Arial"/>
          <w:sz w:val="18"/>
          <w:szCs w:val="18"/>
        </w:rPr>
        <w:t xml:space="preserve"> O</w:t>
      </w:r>
      <w:r w:rsidR="00D774EB" w:rsidRPr="00B148B1">
        <w:rPr>
          <w:rFonts w:cs="Arial"/>
          <w:sz w:val="18"/>
          <w:szCs w:val="18"/>
        </w:rPr>
        <w:t>bremenitev</w:t>
      </w:r>
      <w:r w:rsidRPr="00B148B1">
        <w:rPr>
          <w:rFonts w:cs="Arial"/>
          <w:sz w:val="18"/>
          <w:szCs w:val="18"/>
        </w:rPr>
        <w:t xml:space="preserve"> iz naslova stalno prijavljenih prebivalcev, izražena v PE</w:t>
      </w:r>
      <w:r w:rsidR="00D774EB" w:rsidRPr="00B148B1">
        <w:rPr>
          <w:rFonts w:cs="Arial"/>
          <w:sz w:val="18"/>
          <w:szCs w:val="18"/>
        </w:rPr>
        <w:t>.</w:t>
      </w:r>
    </w:p>
    <w:p w:rsidR="00407A76" w:rsidRPr="00B148B1" w:rsidRDefault="00407A76" w:rsidP="008E5E8C">
      <w:pPr>
        <w:tabs>
          <w:tab w:val="left" w:pos="9600"/>
        </w:tabs>
        <w:spacing w:before="120" w:line="280" w:lineRule="atLeast"/>
        <w:rPr>
          <w:rFonts w:cs="Arial"/>
          <w:szCs w:val="20"/>
        </w:rPr>
      </w:pPr>
      <w:r w:rsidRPr="00B148B1">
        <w:rPr>
          <w:rFonts w:cs="Arial"/>
          <w:szCs w:val="20"/>
        </w:rPr>
        <w:t>Ocena stopnje opremljenosti aglomeracije z javno kanalizacijo je prikazana v prilogi (PRILOGA 6) tega operativnega programa.</w:t>
      </w:r>
    </w:p>
    <w:p w:rsidR="00D774EB" w:rsidRPr="00B148B1" w:rsidRDefault="00CD5722" w:rsidP="008E5E8C">
      <w:pPr>
        <w:pStyle w:val="Naslov3"/>
      </w:pPr>
      <w:bookmarkStart w:id="92" w:name="_Ref527115234"/>
      <w:bookmarkStart w:id="93" w:name="_Toc50628080"/>
      <w:r w:rsidRPr="00B148B1">
        <w:t>Ocena stopnje</w:t>
      </w:r>
      <w:r w:rsidR="00D774EB" w:rsidRPr="00B148B1">
        <w:t xml:space="preserve"> priključenosti glede na stalno prijavljene prebivalce</w:t>
      </w:r>
      <w:bookmarkEnd w:id="92"/>
      <w:bookmarkEnd w:id="93"/>
    </w:p>
    <w:p w:rsidR="00C959F1" w:rsidRPr="00B148B1" w:rsidRDefault="00C959F1" w:rsidP="00C959F1">
      <w:pPr>
        <w:tabs>
          <w:tab w:val="left" w:pos="9600"/>
        </w:tabs>
        <w:spacing w:before="120" w:line="280" w:lineRule="atLeast"/>
        <w:rPr>
          <w:rFonts w:cs="Arial"/>
          <w:szCs w:val="20"/>
        </w:rPr>
      </w:pPr>
      <w:r w:rsidRPr="00B148B1">
        <w:rPr>
          <w:rFonts w:cs="Arial"/>
          <w:szCs w:val="20"/>
        </w:rPr>
        <w:t>Za izdelavo ocene stopnje priključenosti po posameznih aglomeracijah je upoštevana obremenitev iz naslova stalno prijavljenih prebivalcev na presečni datum 31. december 201</w:t>
      </w:r>
      <w:r w:rsidR="00434D29" w:rsidRPr="00B148B1">
        <w:rPr>
          <w:rFonts w:cs="Arial"/>
          <w:szCs w:val="20"/>
        </w:rPr>
        <w:t>8</w:t>
      </w:r>
      <w:r w:rsidRPr="00B148B1">
        <w:rPr>
          <w:rFonts w:cs="Arial"/>
          <w:szCs w:val="20"/>
        </w:rPr>
        <w:t>.</w:t>
      </w:r>
    </w:p>
    <w:p w:rsidR="005258D6" w:rsidRPr="00B148B1" w:rsidRDefault="005258D6" w:rsidP="00C959F1">
      <w:pPr>
        <w:tabs>
          <w:tab w:val="left" w:pos="9600"/>
        </w:tabs>
        <w:spacing w:before="120" w:line="280" w:lineRule="atLeast"/>
        <w:rPr>
          <w:rFonts w:cs="Arial"/>
          <w:szCs w:val="20"/>
        </w:rPr>
      </w:pPr>
      <w:r w:rsidRPr="00B148B1">
        <w:rPr>
          <w:rFonts w:cs="Arial"/>
          <w:szCs w:val="20"/>
        </w:rPr>
        <w:t>Ocene stopnje priključenosti na javno kanalizacijsko omrežje in komunalno ali skupno čistilno napravo po velikostnih razredih aglomeracij so prikazane v preglednici (</w:t>
      </w:r>
      <w:r w:rsidRPr="00B148B1">
        <w:rPr>
          <w:rFonts w:cs="Arial"/>
          <w:szCs w:val="20"/>
        </w:rPr>
        <w:fldChar w:fldCharType="begin"/>
      </w:r>
      <w:r w:rsidRPr="00B148B1">
        <w:rPr>
          <w:rFonts w:cs="Arial"/>
          <w:szCs w:val="20"/>
        </w:rPr>
        <w:instrText xml:space="preserve"> REF _Ref527113501 \h  \* MERGEFORMAT </w:instrText>
      </w:r>
      <w:r w:rsidRPr="00B148B1">
        <w:rPr>
          <w:rFonts w:cs="Arial"/>
          <w:szCs w:val="20"/>
        </w:rPr>
      </w:r>
      <w:r w:rsidRPr="00B148B1">
        <w:rPr>
          <w:rFonts w:cs="Arial"/>
          <w:szCs w:val="20"/>
        </w:rPr>
        <w:fldChar w:fldCharType="separate"/>
      </w:r>
      <w:r w:rsidR="00E92793" w:rsidRPr="00B148B1">
        <w:rPr>
          <w:rFonts w:cs="Arial"/>
          <w:szCs w:val="20"/>
        </w:rPr>
        <w:t xml:space="preserve">Preglednica </w:t>
      </w:r>
      <w:r w:rsidR="00E92793">
        <w:rPr>
          <w:rFonts w:cs="Arial"/>
          <w:noProof/>
          <w:szCs w:val="20"/>
        </w:rPr>
        <w:t>9</w:t>
      </w:r>
      <w:r w:rsidRPr="00B148B1">
        <w:rPr>
          <w:rFonts w:cs="Arial"/>
          <w:szCs w:val="20"/>
        </w:rPr>
        <w:fldChar w:fldCharType="end"/>
      </w:r>
      <w:r w:rsidRPr="00B148B1">
        <w:rPr>
          <w:rFonts w:cs="Arial"/>
          <w:szCs w:val="20"/>
        </w:rPr>
        <w:t>). Ocene kažejo, da stopnja</w:t>
      </w:r>
      <w:r w:rsidR="00D774EB" w:rsidRPr="00B148B1">
        <w:rPr>
          <w:rFonts w:cs="Arial"/>
          <w:szCs w:val="20"/>
        </w:rPr>
        <w:t xml:space="preserve"> priključenosti na presečni datum 31.</w:t>
      </w:r>
      <w:r w:rsidR="00C959F1" w:rsidRPr="00B148B1">
        <w:rPr>
          <w:rFonts w:cs="Arial"/>
          <w:szCs w:val="20"/>
        </w:rPr>
        <w:t xml:space="preserve"> december </w:t>
      </w:r>
      <w:r w:rsidR="00D774EB" w:rsidRPr="00B148B1">
        <w:rPr>
          <w:rFonts w:cs="Arial"/>
          <w:szCs w:val="20"/>
        </w:rPr>
        <w:t>201</w:t>
      </w:r>
      <w:r w:rsidR="00434D29" w:rsidRPr="00B148B1">
        <w:rPr>
          <w:rFonts w:cs="Arial"/>
          <w:szCs w:val="20"/>
        </w:rPr>
        <w:t>8</w:t>
      </w:r>
      <w:r w:rsidR="00D774EB" w:rsidRPr="00B148B1">
        <w:rPr>
          <w:rFonts w:cs="Arial"/>
          <w:szCs w:val="20"/>
        </w:rPr>
        <w:t xml:space="preserve"> </w:t>
      </w:r>
      <w:r w:rsidRPr="00B148B1">
        <w:rPr>
          <w:rFonts w:cs="Arial"/>
          <w:szCs w:val="20"/>
        </w:rPr>
        <w:t>po podatkih IJSVO znaša:</w:t>
      </w:r>
    </w:p>
    <w:p w:rsidR="005258D6" w:rsidRPr="00B148B1" w:rsidRDefault="005258D6" w:rsidP="004C2581">
      <w:pPr>
        <w:numPr>
          <w:ilvl w:val="0"/>
          <w:numId w:val="9"/>
        </w:numPr>
        <w:tabs>
          <w:tab w:val="left" w:pos="9600"/>
        </w:tabs>
        <w:spacing w:before="120" w:line="280" w:lineRule="atLeast"/>
        <w:rPr>
          <w:rFonts w:cs="Arial"/>
          <w:szCs w:val="20"/>
        </w:rPr>
      </w:pPr>
      <w:r w:rsidRPr="00B148B1">
        <w:rPr>
          <w:rFonts w:cs="Arial"/>
          <w:szCs w:val="20"/>
        </w:rPr>
        <w:t>skupno v vseh aglomeracijah:</w:t>
      </w:r>
    </w:p>
    <w:p w:rsidR="005258D6" w:rsidRPr="00B148B1" w:rsidRDefault="00D774EB" w:rsidP="004C2581">
      <w:pPr>
        <w:numPr>
          <w:ilvl w:val="0"/>
          <w:numId w:val="6"/>
        </w:numPr>
        <w:tabs>
          <w:tab w:val="left" w:pos="9600"/>
        </w:tabs>
        <w:spacing w:before="120" w:line="280" w:lineRule="atLeast"/>
        <w:rPr>
          <w:rFonts w:cs="Arial"/>
          <w:szCs w:val="20"/>
        </w:rPr>
      </w:pPr>
      <w:r w:rsidRPr="00B148B1">
        <w:rPr>
          <w:rFonts w:cs="Arial"/>
          <w:szCs w:val="20"/>
        </w:rPr>
        <w:t>7</w:t>
      </w:r>
      <w:r w:rsidR="00C90A4D" w:rsidRPr="00B148B1">
        <w:rPr>
          <w:rFonts w:cs="Arial"/>
          <w:szCs w:val="20"/>
        </w:rPr>
        <w:t>9</w:t>
      </w:r>
      <w:r w:rsidRPr="00B148B1">
        <w:rPr>
          <w:rFonts w:cs="Arial"/>
          <w:szCs w:val="20"/>
        </w:rPr>
        <w:t>,</w:t>
      </w:r>
      <w:r w:rsidR="00C90A4D" w:rsidRPr="00B148B1">
        <w:rPr>
          <w:rFonts w:cs="Arial"/>
          <w:szCs w:val="20"/>
        </w:rPr>
        <w:t>2</w:t>
      </w:r>
      <w:r w:rsidRPr="00B148B1">
        <w:rPr>
          <w:rFonts w:cs="Arial"/>
          <w:szCs w:val="20"/>
        </w:rPr>
        <w:t xml:space="preserve"> odstotk</w:t>
      </w:r>
      <w:r w:rsidR="00B27362" w:rsidRPr="00B148B1">
        <w:rPr>
          <w:rFonts w:cs="Arial"/>
          <w:szCs w:val="20"/>
        </w:rPr>
        <w:t>a</w:t>
      </w:r>
      <w:r w:rsidR="005258D6" w:rsidRPr="00B148B1">
        <w:rPr>
          <w:rFonts w:cs="Arial"/>
          <w:szCs w:val="20"/>
        </w:rPr>
        <w:t xml:space="preserve"> za </w:t>
      </w:r>
      <w:proofErr w:type="spellStart"/>
      <w:r w:rsidR="005258D6" w:rsidRPr="00B148B1">
        <w:rPr>
          <w:rFonts w:cs="Arial"/>
          <w:szCs w:val="20"/>
        </w:rPr>
        <w:t>priključenost</w:t>
      </w:r>
      <w:proofErr w:type="spellEnd"/>
      <w:r w:rsidR="005258D6" w:rsidRPr="00B148B1">
        <w:rPr>
          <w:rFonts w:cs="Arial"/>
          <w:szCs w:val="20"/>
        </w:rPr>
        <w:t xml:space="preserve"> na javno kanalizacijsko omrežje, </w:t>
      </w:r>
    </w:p>
    <w:p w:rsidR="005258D6" w:rsidRPr="00B148B1" w:rsidRDefault="005258D6" w:rsidP="004C2581">
      <w:pPr>
        <w:numPr>
          <w:ilvl w:val="0"/>
          <w:numId w:val="6"/>
        </w:numPr>
        <w:tabs>
          <w:tab w:val="left" w:pos="9600"/>
        </w:tabs>
        <w:spacing w:before="120" w:line="280" w:lineRule="atLeast"/>
        <w:rPr>
          <w:rFonts w:cs="Arial"/>
          <w:szCs w:val="20"/>
        </w:rPr>
      </w:pPr>
      <w:r w:rsidRPr="00B148B1">
        <w:rPr>
          <w:rFonts w:cs="Arial"/>
          <w:szCs w:val="20"/>
        </w:rPr>
        <w:t>7</w:t>
      </w:r>
      <w:r w:rsidR="00C90A4D" w:rsidRPr="00B148B1">
        <w:rPr>
          <w:rFonts w:cs="Arial"/>
          <w:szCs w:val="20"/>
        </w:rPr>
        <w:t>7</w:t>
      </w:r>
      <w:r w:rsidRPr="00B148B1">
        <w:rPr>
          <w:rFonts w:cs="Arial"/>
          <w:szCs w:val="20"/>
        </w:rPr>
        <w:t>,</w:t>
      </w:r>
      <w:r w:rsidR="00C90A4D" w:rsidRPr="00B148B1">
        <w:rPr>
          <w:rFonts w:cs="Arial"/>
          <w:szCs w:val="20"/>
        </w:rPr>
        <w:t>3</w:t>
      </w:r>
      <w:r w:rsidRPr="00B148B1">
        <w:rPr>
          <w:rFonts w:cs="Arial"/>
          <w:szCs w:val="20"/>
        </w:rPr>
        <w:t xml:space="preserve"> odstotk</w:t>
      </w:r>
      <w:r w:rsidR="00B27362" w:rsidRPr="00B148B1">
        <w:rPr>
          <w:rFonts w:cs="Arial"/>
          <w:szCs w:val="20"/>
        </w:rPr>
        <w:t>a</w:t>
      </w:r>
      <w:r w:rsidRPr="00B148B1">
        <w:rPr>
          <w:rFonts w:cs="Arial"/>
          <w:szCs w:val="20"/>
        </w:rPr>
        <w:t xml:space="preserve"> za </w:t>
      </w:r>
      <w:proofErr w:type="spellStart"/>
      <w:r w:rsidRPr="00B148B1">
        <w:rPr>
          <w:rFonts w:cs="Arial"/>
          <w:szCs w:val="20"/>
        </w:rPr>
        <w:t>priključenost</w:t>
      </w:r>
      <w:proofErr w:type="spellEnd"/>
      <w:r w:rsidRPr="00B148B1">
        <w:rPr>
          <w:rFonts w:cs="Arial"/>
          <w:szCs w:val="20"/>
        </w:rPr>
        <w:t xml:space="preserve"> na komunalno ali skupno čistilno napravo,</w:t>
      </w:r>
    </w:p>
    <w:p w:rsidR="005258D6" w:rsidRPr="00B148B1" w:rsidRDefault="005258D6" w:rsidP="004C2581">
      <w:pPr>
        <w:numPr>
          <w:ilvl w:val="0"/>
          <w:numId w:val="9"/>
        </w:numPr>
        <w:tabs>
          <w:tab w:val="left" w:pos="9600"/>
        </w:tabs>
        <w:spacing w:before="120" w:line="280" w:lineRule="atLeast"/>
        <w:rPr>
          <w:rFonts w:cs="Arial"/>
          <w:szCs w:val="20"/>
        </w:rPr>
      </w:pPr>
      <w:r w:rsidRPr="00B148B1">
        <w:rPr>
          <w:rFonts w:cs="Arial"/>
          <w:szCs w:val="20"/>
        </w:rPr>
        <w:t xml:space="preserve">v aglomeracijah s skupno obremenitvijo, enako ali večjo od 2.000 PE: </w:t>
      </w:r>
    </w:p>
    <w:p w:rsidR="005258D6" w:rsidRPr="00B148B1" w:rsidRDefault="00C90A4D" w:rsidP="004C2581">
      <w:pPr>
        <w:numPr>
          <w:ilvl w:val="0"/>
          <w:numId w:val="6"/>
        </w:numPr>
        <w:tabs>
          <w:tab w:val="left" w:pos="9600"/>
        </w:tabs>
        <w:spacing w:before="120" w:line="280" w:lineRule="atLeast"/>
        <w:rPr>
          <w:rFonts w:cs="Arial"/>
          <w:szCs w:val="20"/>
        </w:rPr>
      </w:pPr>
      <w:r w:rsidRPr="00B148B1">
        <w:rPr>
          <w:rFonts w:cs="Arial"/>
          <w:szCs w:val="20"/>
        </w:rPr>
        <w:t>90,2</w:t>
      </w:r>
      <w:r w:rsidR="005258D6" w:rsidRPr="00B148B1">
        <w:rPr>
          <w:rFonts w:cs="Arial"/>
          <w:szCs w:val="20"/>
        </w:rPr>
        <w:t xml:space="preserve"> odstotk</w:t>
      </w:r>
      <w:r w:rsidR="00B27362" w:rsidRPr="00B148B1">
        <w:rPr>
          <w:rFonts w:cs="Arial"/>
          <w:szCs w:val="20"/>
        </w:rPr>
        <w:t>a</w:t>
      </w:r>
      <w:r w:rsidR="005258D6" w:rsidRPr="00B148B1">
        <w:rPr>
          <w:rFonts w:cs="Arial"/>
          <w:szCs w:val="20"/>
        </w:rPr>
        <w:t xml:space="preserve"> za </w:t>
      </w:r>
      <w:proofErr w:type="spellStart"/>
      <w:r w:rsidR="005258D6" w:rsidRPr="00B148B1">
        <w:rPr>
          <w:rFonts w:cs="Arial"/>
          <w:szCs w:val="20"/>
        </w:rPr>
        <w:t>priključenost</w:t>
      </w:r>
      <w:proofErr w:type="spellEnd"/>
      <w:r w:rsidR="005258D6" w:rsidRPr="00B148B1">
        <w:rPr>
          <w:rFonts w:cs="Arial"/>
          <w:szCs w:val="20"/>
        </w:rPr>
        <w:t xml:space="preserve"> na javno kanalizacijsko omrežje,</w:t>
      </w:r>
    </w:p>
    <w:p w:rsidR="005258D6" w:rsidRPr="00B148B1" w:rsidRDefault="00C90A4D" w:rsidP="004C2581">
      <w:pPr>
        <w:numPr>
          <w:ilvl w:val="0"/>
          <w:numId w:val="6"/>
        </w:numPr>
        <w:tabs>
          <w:tab w:val="left" w:pos="9600"/>
        </w:tabs>
        <w:spacing w:before="120" w:line="280" w:lineRule="atLeast"/>
        <w:rPr>
          <w:rFonts w:cs="Arial"/>
          <w:szCs w:val="20"/>
        </w:rPr>
      </w:pPr>
      <w:r w:rsidRPr="00B148B1">
        <w:rPr>
          <w:rFonts w:cs="Arial"/>
          <w:szCs w:val="20"/>
        </w:rPr>
        <w:t>88,6</w:t>
      </w:r>
      <w:r w:rsidR="005258D6" w:rsidRPr="00B148B1">
        <w:rPr>
          <w:rFonts w:cs="Arial"/>
          <w:szCs w:val="20"/>
        </w:rPr>
        <w:t xml:space="preserve"> odstotk</w:t>
      </w:r>
      <w:r w:rsidR="00B27362" w:rsidRPr="00B148B1">
        <w:rPr>
          <w:rFonts w:cs="Arial"/>
          <w:szCs w:val="20"/>
        </w:rPr>
        <w:t>a</w:t>
      </w:r>
      <w:r w:rsidR="005258D6" w:rsidRPr="00B148B1">
        <w:rPr>
          <w:rFonts w:cs="Arial"/>
          <w:szCs w:val="20"/>
        </w:rPr>
        <w:t xml:space="preserve"> za </w:t>
      </w:r>
      <w:proofErr w:type="spellStart"/>
      <w:r w:rsidR="005258D6" w:rsidRPr="00B148B1">
        <w:rPr>
          <w:rFonts w:cs="Arial"/>
          <w:szCs w:val="20"/>
        </w:rPr>
        <w:t>priključenost</w:t>
      </w:r>
      <w:proofErr w:type="spellEnd"/>
      <w:r w:rsidR="005258D6" w:rsidRPr="00B148B1">
        <w:rPr>
          <w:rFonts w:cs="Arial"/>
          <w:szCs w:val="20"/>
        </w:rPr>
        <w:t xml:space="preserve"> na komunalno ali skupno čistilno napravo,</w:t>
      </w:r>
    </w:p>
    <w:p w:rsidR="005258D6" w:rsidRPr="00B148B1" w:rsidRDefault="005258D6" w:rsidP="004C2581">
      <w:pPr>
        <w:numPr>
          <w:ilvl w:val="0"/>
          <w:numId w:val="9"/>
        </w:numPr>
        <w:tabs>
          <w:tab w:val="left" w:pos="9600"/>
        </w:tabs>
        <w:spacing w:before="120" w:line="280" w:lineRule="atLeast"/>
        <w:rPr>
          <w:rFonts w:cs="Arial"/>
          <w:szCs w:val="20"/>
        </w:rPr>
      </w:pPr>
      <w:r w:rsidRPr="00B148B1">
        <w:rPr>
          <w:rFonts w:cs="Arial"/>
          <w:szCs w:val="20"/>
        </w:rPr>
        <w:t>v aglomeracijah s skupno obremenitvijo, manjšo od 2.000 PE:</w:t>
      </w:r>
    </w:p>
    <w:p w:rsidR="005258D6" w:rsidRPr="00B148B1" w:rsidRDefault="00C90A4D" w:rsidP="004C2581">
      <w:pPr>
        <w:numPr>
          <w:ilvl w:val="0"/>
          <w:numId w:val="6"/>
        </w:numPr>
        <w:tabs>
          <w:tab w:val="left" w:pos="9600"/>
        </w:tabs>
        <w:spacing w:before="120" w:line="280" w:lineRule="atLeast"/>
        <w:rPr>
          <w:rFonts w:cs="Arial"/>
          <w:szCs w:val="20"/>
        </w:rPr>
      </w:pPr>
      <w:r w:rsidRPr="00B148B1">
        <w:rPr>
          <w:rFonts w:cs="Arial"/>
          <w:szCs w:val="20"/>
        </w:rPr>
        <w:t>49,0</w:t>
      </w:r>
      <w:r w:rsidR="005258D6" w:rsidRPr="00B148B1">
        <w:rPr>
          <w:rFonts w:cs="Arial"/>
          <w:szCs w:val="20"/>
        </w:rPr>
        <w:t xml:space="preserve"> odstotk</w:t>
      </w:r>
      <w:r w:rsidR="00B27362" w:rsidRPr="00B148B1">
        <w:rPr>
          <w:rFonts w:cs="Arial"/>
          <w:szCs w:val="20"/>
        </w:rPr>
        <w:t>a</w:t>
      </w:r>
      <w:r w:rsidR="005258D6" w:rsidRPr="00B148B1">
        <w:rPr>
          <w:rFonts w:cs="Arial"/>
          <w:szCs w:val="20"/>
        </w:rPr>
        <w:t xml:space="preserve"> za </w:t>
      </w:r>
      <w:proofErr w:type="spellStart"/>
      <w:r w:rsidR="005258D6" w:rsidRPr="00B148B1">
        <w:rPr>
          <w:rFonts w:cs="Arial"/>
          <w:szCs w:val="20"/>
        </w:rPr>
        <w:t>priključenost</w:t>
      </w:r>
      <w:proofErr w:type="spellEnd"/>
      <w:r w:rsidR="005258D6" w:rsidRPr="00B148B1">
        <w:rPr>
          <w:rFonts w:cs="Arial"/>
          <w:szCs w:val="20"/>
        </w:rPr>
        <w:t xml:space="preserve"> na javno kanalizacijsko omrežje,</w:t>
      </w:r>
    </w:p>
    <w:p w:rsidR="005258D6" w:rsidRPr="00B148B1" w:rsidRDefault="00C90A4D" w:rsidP="004C2581">
      <w:pPr>
        <w:numPr>
          <w:ilvl w:val="0"/>
          <w:numId w:val="6"/>
        </w:numPr>
        <w:tabs>
          <w:tab w:val="left" w:pos="9600"/>
        </w:tabs>
        <w:spacing w:before="120" w:line="280" w:lineRule="atLeast"/>
        <w:rPr>
          <w:rFonts w:cs="Arial"/>
          <w:szCs w:val="20"/>
        </w:rPr>
      </w:pPr>
      <w:r w:rsidRPr="00B148B1">
        <w:rPr>
          <w:rFonts w:cs="Arial"/>
          <w:szCs w:val="20"/>
        </w:rPr>
        <w:t>46,7</w:t>
      </w:r>
      <w:r w:rsidR="005258D6" w:rsidRPr="00B148B1">
        <w:rPr>
          <w:rFonts w:cs="Arial"/>
          <w:szCs w:val="20"/>
        </w:rPr>
        <w:t xml:space="preserve"> odstotk</w:t>
      </w:r>
      <w:r w:rsidR="00B27362" w:rsidRPr="00B148B1">
        <w:rPr>
          <w:rFonts w:cs="Arial"/>
          <w:szCs w:val="20"/>
        </w:rPr>
        <w:t>a</w:t>
      </w:r>
      <w:r w:rsidR="005258D6" w:rsidRPr="00B148B1">
        <w:rPr>
          <w:rFonts w:cs="Arial"/>
          <w:szCs w:val="20"/>
        </w:rPr>
        <w:t xml:space="preserve"> za </w:t>
      </w:r>
      <w:proofErr w:type="spellStart"/>
      <w:r w:rsidR="005258D6" w:rsidRPr="00B148B1">
        <w:rPr>
          <w:rFonts w:cs="Arial"/>
          <w:szCs w:val="20"/>
        </w:rPr>
        <w:t>priključenost</w:t>
      </w:r>
      <w:proofErr w:type="spellEnd"/>
      <w:r w:rsidR="005258D6" w:rsidRPr="00B148B1">
        <w:rPr>
          <w:rFonts w:cs="Arial"/>
          <w:szCs w:val="20"/>
        </w:rPr>
        <w:t xml:space="preserve"> </w:t>
      </w:r>
      <w:r w:rsidR="00D774EB" w:rsidRPr="00B148B1">
        <w:rPr>
          <w:rFonts w:cs="Arial"/>
          <w:szCs w:val="20"/>
        </w:rPr>
        <w:t>na komunaln</w:t>
      </w:r>
      <w:r w:rsidR="005258D6" w:rsidRPr="00B148B1">
        <w:rPr>
          <w:rFonts w:cs="Arial"/>
          <w:szCs w:val="20"/>
        </w:rPr>
        <w:t>o ali skupno čistilno napravo</w:t>
      </w:r>
      <w:r w:rsidR="00D774EB" w:rsidRPr="00B148B1">
        <w:rPr>
          <w:rFonts w:cs="Arial"/>
          <w:szCs w:val="20"/>
        </w:rPr>
        <w:t xml:space="preserve">. </w:t>
      </w:r>
    </w:p>
    <w:p w:rsidR="00861FB2" w:rsidRPr="00B148B1" w:rsidRDefault="00861FB2" w:rsidP="00861FB2">
      <w:pPr>
        <w:tabs>
          <w:tab w:val="left" w:pos="9600"/>
        </w:tabs>
        <w:spacing w:before="120" w:line="280" w:lineRule="atLeast"/>
        <w:ind w:left="360"/>
        <w:rPr>
          <w:rFonts w:cs="Arial"/>
          <w:szCs w:val="20"/>
        </w:rPr>
      </w:pPr>
    </w:p>
    <w:p w:rsidR="00D774EB" w:rsidRPr="00B148B1" w:rsidRDefault="00D774EB" w:rsidP="001843E3">
      <w:pPr>
        <w:tabs>
          <w:tab w:val="left" w:pos="9600"/>
        </w:tabs>
        <w:spacing w:before="120" w:line="280" w:lineRule="atLeast"/>
        <w:rPr>
          <w:rFonts w:cs="Arial"/>
          <w:szCs w:val="20"/>
        </w:rPr>
      </w:pPr>
      <w:bookmarkStart w:id="94" w:name="_Ref527113501"/>
      <w:bookmarkStart w:id="95" w:name="_Toc50626725"/>
      <w:r w:rsidRPr="00B148B1">
        <w:rPr>
          <w:rFonts w:cs="Arial"/>
          <w:szCs w:val="20"/>
        </w:rPr>
        <w:t xml:space="preserve">Preglednica </w:t>
      </w:r>
      <w:r w:rsidRPr="00B148B1">
        <w:rPr>
          <w:rFonts w:cs="Arial"/>
          <w:szCs w:val="20"/>
        </w:rPr>
        <w:fldChar w:fldCharType="begin"/>
      </w:r>
      <w:r w:rsidRPr="00B148B1">
        <w:rPr>
          <w:rFonts w:cs="Arial"/>
          <w:szCs w:val="20"/>
        </w:rPr>
        <w:instrText xml:space="preserve"> SEQ Preglednica \* ARABIC </w:instrText>
      </w:r>
      <w:r w:rsidRPr="00B148B1">
        <w:rPr>
          <w:rFonts w:cs="Arial"/>
          <w:szCs w:val="20"/>
        </w:rPr>
        <w:fldChar w:fldCharType="separate"/>
      </w:r>
      <w:r w:rsidR="00E92793">
        <w:rPr>
          <w:rFonts w:cs="Arial"/>
          <w:noProof/>
          <w:szCs w:val="20"/>
        </w:rPr>
        <w:t>9</w:t>
      </w:r>
      <w:r w:rsidRPr="00B148B1">
        <w:rPr>
          <w:rFonts w:cs="Arial"/>
          <w:szCs w:val="20"/>
        </w:rPr>
        <w:fldChar w:fldCharType="end"/>
      </w:r>
      <w:bookmarkEnd w:id="94"/>
      <w:r w:rsidRPr="00B148B1">
        <w:rPr>
          <w:rFonts w:cs="Arial"/>
          <w:szCs w:val="20"/>
        </w:rPr>
        <w:t xml:space="preserve">: </w:t>
      </w:r>
      <w:r w:rsidR="005258D6" w:rsidRPr="00B148B1">
        <w:rPr>
          <w:rFonts w:cs="Arial"/>
          <w:szCs w:val="20"/>
        </w:rPr>
        <w:t>Ocena stopnje priključenosti na javno kanalizacijsko omrežje</w:t>
      </w:r>
      <w:r w:rsidRPr="00B148B1">
        <w:rPr>
          <w:rFonts w:cs="Arial"/>
          <w:szCs w:val="20"/>
        </w:rPr>
        <w:t xml:space="preserve"> in komunalno čistilno napravo po velikostnih razredih aglomeracij glede na stalno prijavljene prebivalce</w:t>
      </w:r>
      <w:bookmarkEnd w:id="95"/>
    </w:p>
    <w:tbl>
      <w:tblPr>
        <w:tblW w:w="4928"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544"/>
        <w:gridCol w:w="1541"/>
        <w:gridCol w:w="1197"/>
        <w:gridCol w:w="824"/>
        <w:gridCol w:w="1116"/>
        <w:gridCol w:w="849"/>
      </w:tblGrid>
      <w:tr w:rsidR="00BA3787" w:rsidRPr="00B148B1" w:rsidTr="00B803AE">
        <w:trPr>
          <w:trHeight w:val="375"/>
          <w:tblHeader/>
        </w:trPr>
        <w:tc>
          <w:tcPr>
            <w:tcW w:w="1953" w:type="pct"/>
            <w:vMerge w:val="restart"/>
            <w:noWrap/>
            <w:vAlign w:val="center"/>
            <w:hideMark/>
          </w:tcPr>
          <w:p w:rsidR="00BA3787" w:rsidRPr="00B148B1" w:rsidRDefault="00BA3787" w:rsidP="00EF04E4">
            <w:pPr>
              <w:spacing w:line="240" w:lineRule="auto"/>
              <w:rPr>
                <w:rFonts w:cs="Arial"/>
                <w:b/>
                <w:iCs/>
                <w:color w:val="000000"/>
                <w:szCs w:val="20"/>
                <w:lang w:eastAsia="sl-SI"/>
              </w:rPr>
            </w:pPr>
            <w:r w:rsidRPr="00B148B1">
              <w:rPr>
                <w:rFonts w:cs="Arial"/>
                <w:b/>
                <w:iCs/>
                <w:color w:val="000000"/>
                <w:szCs w:val="20"/>
                <w:lang w:eastAsia="sl-SI"/>
              </w:rPr>
              <w:t>Velikostni razredi aglomeracij</w:t>
            </w:r>
          </w:p>
        </w:tc>
        <w:tc>
          <w:tcPr>
            <w:tcW w:w="849" w:type="pct"/>
            <w:noWrap/>
            <w:vAlign w:val="center"/>
            <w:hideMark/>
          </w:tcPr>
          <w:p w:rsidR="00BA3787" w:rsidRPr="00B148B1" w:rsidRDefault="00BA3787" w:rsidP="00EF04E4">
            <w:pPr>
              <w:spacing w:line="240" w:lineRule="auto"/>
              <w:jc w:val="center"/>
              <w:rPr>
                <w:rFonts w:cs="Arial"/>
                <w:b/>
                <w:bCs/>
                <w:iCs/>
                <w:color w:val="000000"/>
                <w:szCs w:val="20"/>
                <w:lang w:eastAsia="sl-SI"/>
              </w:rPr>
            </w:pPr>
            <w:r w:rsidRPr="00B148B1">
              <w:rPr>
                <w:rFonts w:cs="Arial"/>
                <w:b/>
                <w:bCs/>
                <w:iCs/>
                <w:color w:val="000000"/>
                <w:szCs w:val="20"/>
                <w:lang w:eastAsia="sl-SI"/>
              </w:rPr>
              <w:t>Obremenitev</w:t>
            </w:r>
            <w:r w:rsidRPr="00B148B1">
              <w:rPr>
                <w:rFonts w:cs="Arial"/>
                <w:b/>
                <w:bCs/>
                <w:iCs/>
                <w:color w:val="000000"/>
                <w:szCs w:val="20"/>
                <w:vertAlign w:val="superscript"/>
                <w:lang w:eastAsia="sl-SI"/>
              </w:rPr>
              <w:t>(1)</w:t>
            </w:r>
          </w:p>
        </w:tc>
        <w:tc>
          <w:tcPr>
            <w:tcW w:w="2197" w:type="pct"/>
            <w:gridSpan w:val="4"/>
            <w:vAlign w:val="center"/>
            <w:hideMark/>
          </w:tcPr>
          <w:p w:rsidR="00BA3787" w:rsidRPr="00B148B1" w:rsidRDefault="00BA3787" w:rsidP="006A72BD">
            <w:pPr>
              <w:spacing w:line="240" w:lineRule="auto"/>
              <w:jc w:val="center"/>
              <w:rPr>
                <w:rFonts w:cs="Arial"/>
                <w:b/>
                <w:bCs/>
                <w:color w:val="000000"/>
                <w:szCs w:val="20"/>
                <w:lang w:eastAsia="sl-SI"/>
              </w:rPr>
            </w:pPr>
            <w:proofErr w:type="spellStart"/>
            <w:r w:rsidRPr="00B148B1">
              <w:rPr>
                <w:rFonts w:cs="Arial"/>
                <w:b/>
                <w:bCs/>
                <w:color w:val="000000"/>
                <w:szCs w:val="20"/>
                <w:lang w:eastAsia="sl-SI"/>
              </w:rPr>
              <w:t>Priključenost</w:t>
            </w:r>
            <w:proofErr w:type="spellEnd"/>
          </w:p>
        </w:tc>
      </w:tr>
      <w:tr w:rsidR="00BA3787" w:rsidRPr="00B148B1" w:rsidTr="00B803AE">
        <w:trPr>
          <w:trHeight w:val="375"/>
          <w:tblHeader/>
        </w:trPr>
        <w:tc>
          <w:tcPr>
            <w:tcW w:w="1953" w:type="pct"/>
            <w:vMerge/>
            <w:vAlign w:val="center"/>
            <w:hideMark/>
          </w:tcPr>
          <w:p w:rsidR="00BA3787" w:rsidRPr="00B148B1" w:rsidRDefault="00BA3787" w:rsidP="006A72BD">
            <w:pPr>
              <w:spacing w:line="240" w:lineRule="auto"/>
              <w:rPr>
                <w:rFonts w:cs="Arial"/>
                <w:b/>
                <w:bCs/>
                <w:i/>
                <w:iCs/>
                <w:color w:val="000000"/>
                <w:szCs w:val="20"/>
                <w:lang w:eastAsia="sl-SI"/>
              </w:rPr>
            </w:pPr>
          </w:p>
        </w:tc>
        <w:tc>
          <w:tcPr>
            <w:tcW w:w="849" w:type="pct"/>
            <w:vMerge w:val="restart"/>
            <w:noWrap/>
            <w:vAlign w:val="center"/>
            <w:hideMark/>
          </w:tcPr>
          <w:p w:rsidR="00BA3787" w:rsidRPr="00B148B1" w:rsidRDefault="00BA3787" w:rsidP="00EF04E4">
            <w:pPr>
              <w:spacing w:line="240" w:lineRule="auto"/>
              <w:jc w:val="center"/>
              <w:rPr>
                <w:rFonts w:cs="Arial"/>
                <w:b/>
                <w:bCs/>
                <w:color w:val="000000"/>
                <w:szCs w:val="20"/>
                <w:lang w:eastAsia="sl-SI"/>
              </w:rPr>
            </w:pPr>
            <w:r w:rsidRPr="00B148B1">
              <w:rPr>
                <w:rFonts w:cs="Arial"/>
                <w:b/>
                <w:bCs/>
                <w:iCs/>
                <w:color w:val="000000"/>
                <w:szCs w:val="20"/>
                <w:lang w:eastAsia="sl-SI"/>
              </w:rPr>
              <w:t>[PE]</w:t>
            </w:r>
          </w:p>
        </w:tc>
        <w:tc>
          <w:tcPr>
            <w:tcW w:w="660" w:type="pct"/>
            <w:vAlign w:val="center"/>
            <w:hideMark/>
          </w:tcPr>
          <w:p w:rsidR="00BA3787" w:rsidRPr="00B148B1" w:rsidRDefault="00BA3787" w:rsidP="006A72BD">
            <w:pPr>
              <w:spacing w:line="240" w:lineRule="auto"/>
              <w:jc w:val="center"/>
              <w:rPr>
                <w:rFonts w:cs="Arial"/>
                <w:b/>
                <w:bCs/>
                <w:color w:val="000000"/>
                <w:szCs w:val="20"/>
                <w:lang w:eastAsia="sl-SI"/>
              </w:rPr>
            </w:pPr>
            <w:r w:rsidRPr="00B148B1">
              <w:rPr>
                <w:rFonts w:cs="Arial"/>
                <w:b/>
                <w:bCs/>
                <w:color w:val="000000"/>
                <w:szCs w:val="20"/>
                <w:lang w:eastAsia="sl-SI"/>
              </w:rPr>
              <w:t>JKO</w:t>
            </w:r>
          </w:p>
        </w:tc>
        <w:tc>
          <w:tcPr>
            <w:tcW w:w="454" w:type="pct"/>
            <w:vAlign w:val="center"/>
            <w:hideMark/>
          </w:tcPr>
          <w:p w:rsidR="00BA3787" w:rsidRPr="00B148B1" w:rsidRDefault="00BA3787" w:rsidP="006A72BD">
            <w:pPr>
              <w:spacing w:line="240" w:lineRule="auto"/>
              <w:jc w:val="center"/>
              <w:rPr>
                <w:rFonts w:cs="Arial"/>
                <w:b/>
                <w:bCs/>
                <w:color w:val="000000"/>
                <w:szCs w:val="20"/>
                <w:lang w:eastAsia="sl-SI"/>
              </w:rPr>
            </w:pPr>
            <w:r w:rsidRPr="00B148B1">
              <w:rPr>
                <w:rFonts w:cs="Arial"/>
                <w:b/>
                <w:bCs/>
                <w:color w:val="000000"/>
                <w:szCs w:val="20"/>
                <w:lang w:eastAsia="sl-SI"/>
              </w:rPr>
              <w:t>JKO</w:t>
            </w:r>
          </w:p>
        </w:tc>
        <w:tc>
          <w:tcPr>
            <w:tcW w:w="615" w:type="pct"/>
            <w:vAlign w:val="center"/>
            <w:hideMark/>
          </w:tcPr>
          <w:p w:rsidR="00BA3787" w:rsidRPr="00B148B1" w:rsidRDefault="00BA3787" w:rsidP="006A72BD">
            <w:pPr>
              <w:spacing w:line="240" w:lineRule="auto"/>
              <w:jc w:val="center"/>
              <w:rPr>
                <w:rFonts w:cs="Arial"/>
                <w:b/>
                <w:bCs/>
                <w:color w:val="000000"/>
                <w:szCs w:val="20"/>
                <w:lang w:eastAsia="sl-SI"/>
              </w:rPr>
            </w:pPr>
            <w:r w:rsidRPr="00B148B1">
              <w:rPr>
                <w:rFonts w:cs="Arial"/>
                <w:b/>
                <w:bCs/>
                <w:color w:val="000000"/>
                <w:szCs w:val="20"/>
                <w:lang w:eastAsia="sl-SI"/>
              </w:rPr>
              <w:t>ČN</w:t>
            </w:r>
          </w:p>
        </w:tc>
        <w:tc>
          <w:tcPr>
            <w:tcW w:w="468" w:type="pct"/>
            <w:vAlign w:val="center"/>
            <w:hideMark/>
          </w:tcPr>
          <w:p w:rsidR="00BA3787" w:rsidRPr="00B148B1" w:rsidRDefault="00BA3787" w:rsidP="006A72BD">
            <w:pPr>
              <w:spacing w:line="240" w:lineRule="auto"/>
              <w:jc w:val="center"/>
              <w:rPr>
                <w:rFonts w:cs="Arial"/>
                <w:b/>
                <w:bCs/>
                <w:color w:val="000000"/>
                <w:szCs w:val="20"/>
                <w:lang w:eastAsia="sl-SI"/>
              </w:rPr>
            </w:pPr>
            <w:r w:rsidRPr="00B148B1">
              <w:rPr>
                <w:rFonts w:cs="Arial"/>
                <w:b/>
                <w:bCs/>
                <w:color w:val="000000"/>
                <w:szCs w:val="20"/>
                <w:lang w:eastAsia="sl-SI"/>
              </w:rPr>
              <w:t>ČN</w:t>
            </w:r>
          </w:p>
        </w:tc>
      </w:tr>
      <w:tr w:rsidR="00D774EB" w:rsidRPr="00B148B1" w:rsidTr="00B803AE">
        <w:trPr>
          <w:trHeight w:val="375"/>
          <w:tblHeader/>
        </w:trPr>
        <w:tc>
          <w:tcPr>
            <w:tcW w:w="1953" w:type="pct"/>
            <w:vMerge/>
            <w:vAlign w:val="center"/>
            <w:hideMark/>
          </w:tcPr>
          <w:p w:rsidR="00D774EB" w:rsidRPr="00B148B1" w:rsidRDefault="00D774EB" w:rsidP="006A72BD">
            <w:pPr>
              <w:spacing w:line="240" w:lineRule="auto"/>
              <w:rPr>
                <w:rFonts w:cs="Arial"/>
                <w:b/>
                <w:bCs/>
                <w:i/>
                <w:iCs/>
                <w:color w:val="000000"/>
                <w:szCs w:val="20"/>
                <w:lang w:eastAsia="sl-SI"/>
              </w:rPr>
            </w:pPr>
          </w:p>
        </w:tc>
        <w:tc>
          <w:tcPr>
            <w:tcW w:w="849" w:type="pct"/>
            <w:vMerge/>
            <w:vAlign w:val="center"/>
            <w:hideMark/>
          </w:tcPr>
          <w:p w:rsidR="00D774EB" w:rsidRPr="00B148B1" w:rsidRDefault="00D774EB" w:rsidP="006A72BD">
            <w:pPr>
              <w:spacing w:line="240" w:lineRule="auto"/>
              <w:rPr>
                <w:rFonts w:cs="Arial"/>
                <w:b/>
                <w:bCs/>
                <w:i/>
                <w:color w:val="000000"/>
                <w:szCs w:val="20"/>
                <w:lang w:eastAsia="sl-SI"/>
              </w:rPr>
            </w:pPr>
          </w:p>
        </w:tc>
        <w:tc>
          <w:tcPr>
            <w:tcW w:w="660" w:type="pct"/>
            <w:vAlign w:val="center"/>
            <w:hideMark/>
          </w:tcPr>
          <w:p w:rsidR="00D774EB" w:rsidRPr="00B148B1" w:rsidRDefault="00D774EB" w:rsidP="006A72BD">
            <w:pPr>
              <w:spacing w:line="240" w:lineRule="auto"/>
              <w:jc w:val="center"/>
              <w:rPr>
                <w:rFonts w:cs="Arial"/>
                <w:b/>
                <w:bCs/>
                <w:iCs/>
                <w:color w:val="000000"/>
                <w:szCs w:val="20"/>
                <w:lang w:eastAsia="sl-SI"/>
              </w:rPr>
            </w:pPr>
            <w:r w:rsidRPr="00B148B1">
              <w:rPr>
                <w:rFonts w:cs="Arial"/>
                <w:b/>
                <w:bCs/>
                <w:iCs/>
                <w:color w:val="000000"/>
                <w:szCs w:val="20"/>
                <w:lang w:eastAsia="sl-SI"/>
              </w:rPr>
              <w:t>[PE]</w:t>
            </w:r>
          </w:p>
        </w:tc>
        <w:tc>
          <w:tcPr>
            <w:tcW w:w="454" w:type="pct"/>
            <w:vAlign w:val="center"/>
            <w:hideMark/>
          </w:tcPr>
          <w:p w:rsidR="00D774EB" w:rsidRPr="00B148B1" w:rsidRDefault="00D774EB" w:rsidP="006A72BD">
            <w:pPr>
              <w:spacing w:line="240" w:lineRule="auto"/>
              <w:jc w:val="center"/>
              <w:rPr>
                <w:rFonts w:cs="Arial"/>
                <w:b/>
                <w:bCs/>
                <w:iCs/>
                <w:color w:val="000000"/>
                <w:szCs w:val="20"/>
                <w:lang w:eastAsia="sl-SI"/>
              </w:rPr>
            </w:pPr>
            <w:r w:rsidRPr="00B148B1">
              <w:rPr>
                <w:rFonts w:cs="Arial"/>
                <w:b/>
                <w:bCs/>
                <w:iCs/>
                <w:color w:val="000000"/>
                <w:szCs w:val="20"/>
                <w:lang w:eastAsia="sl-SI"/>
              </w:rPr>
              <w:t>[%]</w:t>
            </w:r>
          </w:p>
        </w:tc>
        <w:tc>
          <w:tcPr>
            <w:tcW w:w="615" w:type="pct"/>
            <w:vAlign w:val="center"/>
            <w:hideMark/>
          </w:tcPr>
          <w:p w:rsidR="00D774EB" w:rsidRPr="00B148B1" w:rsidRDefault="00D774EB" w:rsidP="006A72BD">
            <w:pPr>
              <w:spacing w:line="240" w:lineRule="auto"/>
              <w:jc w:val="center"/>
              <w:rPr>
                <w:rFonts w:cs="Arial"/>
                <w:b/>
                <w:bCs/>
                <w:iCs/>
                <w:color w:val="000000"/>
                <w:szCs w:val="20"/>
                <w:lang w:eastAsia="sl-SI"/>
              </w:rPr>
            </w:pPr>
            <w:r w:rsidRPr="00B148B1">
              <w:rPr>
                <w:rFonts w:cs="Arial"/>
                <w:b/>
                <w:bCs/>
                <w:iCs/>
                <w:color w:val="000000"/>
                <w:szCs w:val="20"/>
                <w:lang w:eastAsia="sl-SI"/>
              </w:rPr>
              <w:t>[PE]</w:t>
            </w:r>
          </w:p>
        </w:tc>
        <w:tc>
          <w:tcPr>
            <w:tcW w:w="468" w:type="pct"/>
            <w:vAlign w:val="center"/>
            <w:hideMark/>
          </w:tcPr>
          <w:p w:rsidR="00D774EB" w:rsidRPr="00B148B1" w:rsidRDefault="00D774EB" w:rsidP="006A72BD">
            <w:pPr>
              <w:spacing w:line="240" w:lineRule="auto"/>
              <w:jc w:val="center"/>
              <w:rPr>
                <w:rFonts w:cs="Arial"/>
                <w:b/>
                <w:bCs/>
                <w:iCs/>
                <w:color w:val="000000"/>
                <w:szCs w:val="20"/>
                <w:lang w:eastAsia="sl-SI"/>
              </w:rPr>
            </w:pPr>
            <w:r w:rsidRPr="00B148B1">
              <w:rPr>
                <w:rFonts w:cs="Arial"/>
                <w:b/>
                <w:bCs/>
                <w:iCs/>
                <w:color w:val="000000"/>
                <w:szCs w:val="20"/>
                <w:lang w:eastAsia="sl-SI"/>
              </w:rPr>
              <w:t>[%]</w:t>
            </w:r>
          </w:p>
        </w:tc>
      </w:tr>
      <w:tr w:rsidR="00C90A4D" w:rsidRPr="00B148B1" w:rsidTr="00B803AE">
        <w:trPr>
          <w:trHeight w:val="375"/>
        </w:trPr>
        <w:tc>
          <w:tcPr>
            <w:tcW w:w="1953" w:type="pct"/>
            <w:vAlign w:val="center"/>
            <w:hideMark/>
          </w:tcPr>
          <w:p w:rsidR="00C90A4D" w:rsidRPr="00B148B1" w:rsidRDefault="001B6038" w:rsidP="00EF04E4">
            <w:pPr>
              <w:spacing w:line="240" w:lineRule="auto"/>
              <w:jc w:val="right"/>
              <w:rPr>
                <w:rFonts w:cs="Arial"/>
                <w:b/>
                <w:bCs/>
                <w:i/>
                <w:iCs/>
                <w:color w:val="000000"/>
                <w:szCs w:val="20"/>
                <w:lang w:eastAsia="sl-SI"/>
              </w:rPr>
            </w:pPr>
            <w:r w:rsidRPr="00B148B1">
              <w:rPr>
                <w:rFonts w:cs="Arial"/>
                <w:b/>
                <w:bCs/>
                <w:i/>
                <w:iCs/>
                <w:color w:val="000000"/>
                <w:szCs w:val="20"/>
                <w:lang w:eastAsia="sl-SI"/>
              </w:rPr>
              <w:t>z</w:t>
            </w:r>
            <w:r w:rsidR="008C6D60" w:rsidRPr="00B148B1">
              <w:rPr>
                <w:rFonts w:cs="Arial"/>
                <w:b/>
                <w:bCs/>
                <w:i/>
                <w:iCs/>
                <w:color w:val="000000"/>
                <w:szCs w:val="20"/>
                <w:lang w:eastAsia="sl-SI"/>
              </w:rPr>
              <w:t>unaj</w:t>
            </w:r>
            <w:r w:rsidRPr="00B148B1">
              <w:rPr>
                <w:rFonts w:cs="Arial"/>
                <w:b/>
                <w:bCs/>
                <w:i/>
                <w:iCs/>
                <w:color w:val="000000"/>
                <w:szCs w:val="20"/>
                <w:lang w:eastAsia="sl-SI"/>
              </w:rPr>
              <w:t xml:space="preserve"> </w:t>
            </w:r>
            <w:r w:rsidR="00C90A4D" w:rsidRPr="00B148B1">
              <w:rPr>
                <w:rFonts w:cs="Arial"/>
                <w:b/>
                <w:bCs/>
                <w:i/>
                <w:iCs/>
                <w:color w:val="000000"/>
                <w:szCs w:val="20"/>
                <w:lang w:eastAsia="sl-SI"/>
              </w:rPr>
              <w:t>meja aglomeracij</w:t>
            </w:r>
          </w:p>
        </w:tc>
        <w:tc>
          <w:tcPr>
            <w:tcW w:w="849" w:type="pct"/>
            <w:noWrap/>
            <w:vAlign w:val="center"/>
            <w:hideMark/>
          </w:tcPr>
          <w:p w:rsidR="00C90A4D" w:rsidRPr="00B148B1" w:rsidRDefault="00C90A4D">
            <w:pPr>
              <w:jc w:val="center"/>
              <w:rPr>
                <w:rFonts w:cs="Arial"/>
                <w:b/>
                <w:bCs/>
                <w:i/>
                <w:iCs/>
                <w:szCs w:val="20"/>
              </w:rPr>
            </w:pPr>
            <w:r w:rsidRPr="00B148B1">
              <w:rPr>
                <w:rFonts w:cs="Arial"/>
                <w:b/>
                <w:bCs/>
                <w:i/>
                <w:iCs/>
                <w:szCs w:val="20"/>
              </w:rPr>
              <w:t>442.799</w:t>
            </w:r>
          </w:p>
        </w:tc>
        <w:tc>
          <w:tcPr>
            <w:tcW w:w="660" w:type="pct"/>
            <w:noWrap/>
            <w:vAlign w:val="center"/>
            <w:hideMark/>
          </w:tcPr>
          <w:p w:rsidR="00C90A4D" w:rsidRPr="00B148B1" w:rsidRDefault="00C90A4D">
            <w:pPr>
              <w:jc w:val="center"/>
              <w:rPr>
                <w:rFonts w:cs="Arial"/>
                <w:b/>
                <w:bCs/>
                <w:i/>
                <w:iCs/>
                <w:szCs w:val="20"/>
              </w:rPr>
            </w:pPr>
            <w:r w:rsidRPr="00B148B1">
              <w:rPr>
                <w:rFonts w:cs="Arial"/>
                <w:b/>
                <w:bCs/>
                <w:i/>
                <w:iCs/>
                <w:szCs w:val="20"/>
              </w:rPr>
              <w:t>21.963</w:t>
            </w:r>
          </w:p>
        </w:tc>
        <w:tc>
          <w:tcPr>
            <w:tcW w:w="454" w:type="pct"/>
            <w:noWrap/>
            <w:vAlign w:val="center"/>
            <w:hideMark/>
          </w:tcPr>
          <w:p w:rsidR="00C90A4D" w:rsidRPr="00B148B1" w:rsidRDefault="00C90A4D">
            <w:pPr>
              <w:jc w:val="center"/>
              <w:rPr>
                <w:rFonts w:cs="Arial"/>
                <w:b/>
                <w:bCs/>
                <w:i/>
                <w:iCs/>
                <w:szCs w:val="20"/>
              </w:rPr>
            </w:pPr>
            <w:r w:rsidRPr="00B148B1">
              <w:rPr>
                <w:rFonts w:cs="Arial"/>
                <w:b/>
                <w:bCs/>
                <w:i/>
                <w:iCs/>
                <w:szCs w:val="20"/>
              </w:rPr>
              <w:t>5,0</w:t>
            </w:r>
          </w:p>
        </w:tc>
        <w:tc>
          <w:tcPr>
            <w:tcW w:w="615" w:type="pct"/>
            <w:noWrap/>
            <w:vAlign w:val="center"/>
            <w:hideMark/>
          </w:tcPr>
          <w:p w:rsidR="00C90A4D" w:rsidRPr="00B148B1" w:rsidRDefault="00C90A4D">
            <w:pPr>
              <w:jc w:val="center"/>
              <w:rPr>
                <w:rFonts w:cs="Arial"/>
                <w:b/>
                <w:bCs/>
                <w:i/>
                <w:iCs/>
                <w:szCs w:val="20"/>
              </w:rPr>
            </w:pPr>
            <w:r w:rsidRPr="00B148B1">
              <w:rPr>
                <w:rFonts w:cs="Arial"/>
                <w:b/>
                <w:bCs/>
                <w:i/>
                <w:iCs/>
                <w:szCs w:val="20"/>
              </w:rPr>
              <w:t>20.478</w:t>
            </w:r>
          </w:p>
        </w:tc>
        <w:tc>
          <w:tcPr>
            <w:tcW w:w="468" w:type="pct"/>
            <w:noWrap/>
            <w:vAlign w:val="center"/>
            <w:hideMark/>
          </w:tcPr>
          <w:p w:rsidR="00C90A4D" w:rsidRPr="00B148B1" w:rsidRDefault="00C90A4D">
            <w:pPr>
              <w:jc w:val="center"/>
              <w:rPr>
                <w:rFonts w:cs="Arial"/>
                <w:b/>
                <w:bCs/>
                <w:i/>
                <w:iCs/>
                <w:szCs w:val="20"/>
              </w:rPr>
            </w:pPr>
            <w:r w:rsidRPr="00B148B1">
              <w:rPr>
                <w:rFonts w:cs="Arial"/>
                <w:b/>
                <w:bCs/>
                <w:i/>
                <w:iCs/>
                <w:szCs w:val="20"/>
              </w:rPr>
              <w:t>4,6</w:t>
            </w:r>
          </w:p>
        </w:tc>
      </w:tr>
      <w:tr w:rsidR="00C90A4D" w:rsidRPr="00B148B1" w:rsidTr="00B803AE">
        <w:trPr>
          <w:trHeight w:val="375"/>
        </w:trPr>
        <w:tc>
          <w:tcPr>
            <w:tcW w:w="1953" w:type="pct"/>
            <w:vAlign w:val="center"/>
            <w:hideMark/>
          </w:tcPr>
          <w:p w:rsidR="00C90A4D" w:rsidRPr="00B148B1" w:rsidRDefault="00C90A4D" w:rsidP="00EF04E4">
            <w:pPr>
              <w:spacing w:line="240" w:lineRule="auto"/>
              <w:jc w:val="right"/>
              <w:rPr>
                <w:rFonts w:cs="Arial"/>
                <w:b/>
                <w:bCs/>
                <w:i/>
                <w:iCs/>
                <w:color w:val="000000"/>
                <w:szCs w:val="20"/>
                <w:lang w:eastAsia="sl-SI"/>
              </w:rPr>
            </w:pPr>
            <w:r w:rsidRPr="00B148B1">
              <w:rPr>
                <w:rFonts w:cs="Arial"/>
                <w:b/>
                <w:bCs/>
                <w:i/>
                <w:iCs/>
                <w:color w:val="000000"/>
                <w:szCs w:val="20"/>
                <w:lang w:eastAsia="sl-SI"/>
              </w:rPr>
              <w:t>v aglomeracijah</w:t>
            </w:r>
          </w:p>
        </w:tc>
        <w:tc>
          <w:tcPr>
            <w:tcW w:w="849" w:type="pct"/>
            <w:noWrap/>
            <w:vAlign w:val="center"/>
            <w:hideMark/>
          </w:tcPr>
          <w:p w:rsidR="00C90A4D" w:rsidRPr="00B148B1" w:rsidRDefault="00C90A4D">
            <w:pPr>
              <w:jc w:val="center"/>
              <w:rPr>
                <w:rFonts w:cs="Arial"/>
                <w:b/>
                <w:bCs/>
                <w:i/>
                <w:iCs/>
                <w:szCs w:val="20"/>
              </w:rPr>
            </w:pPr>
            <w:r w:rsidRPr="00B148B1">
              <w:rPr>
                <w:rFonts w:cs="Arial"/>
                <w:b/>
                <w:bCs/>
                <w:i/>
                <w:iCs/>
                <w:szCs w:val="20"/>
              </w:rPr>
              <w:t>1.612.204</w:t>
            </w:r>
          </w:p>
        </w:tc>
        <w:tc>
          <w:tcPr>
            <w:tcW w:w="660" w:type="pct"/>
            <w:noWrap/>
            <w:vAlign w:val="center"/>
            <w:hideMark/>
          </w:tcPr>
          <w:p w:rsidR="00C90A4D" w:rsidRPr="00B148B1" w:rsidRDefault="00C90A4D">
            <w:pPr>
              <w:jc w:val="center"/>
              <w:rPr>
                <w:rFonts w:cs="Arial"/>
                <w:b/>
                <w:bCs/>
                <w:i/>
                <w:iCs/>
                <w:szCs w:val="20"/>
              </w:rPr>
            </w:pPr>
            <w:r w:rsidRPr="00B148B1">
              <w:rPr>
                <w:rFonts w:cs="Arial"/>
                <w:b/>
                <w:bCs/>
                <w:i/>
                <w:iCs/>
                <w:szCs w:val="20"/>
              </w:rPr>
              <w:t>1.276.231</w:t>
            </w:r>
          </w:p>
        </w:tc>
        <w:tc>
          <w:tcPr>
            <w:tcW w:w="454" w:type="pct"/>
            <w:noWrap/>
            <w:vAlign w:val="center"/>
            <w:hideMark/>
          </w:tcPr>
          <w:p w:rsidR="00C90A4D" w:rsidRPr="00B148B1" w:rsidRDefault="00C90A4D">
            <w:pPr>
              <w:jc w:val="center"/>
              <w:rPr>
                <w:rFonts w:cs="Arial"/>
                <w:b/>
                <w:bCs/>
                <w:i/>
                <w:iCs/>
                <w:szCs w:val="20"/>
              </w:rPr>
            </w:pPr>
            <w:r w:rsidRPr="00B148B1">
              <w:rPr>
                <w:rFonts w:cs="Arial"/>
                <w:b/>
                <w:bCs/>
                <w:i/>
                <w:iCs/>
                <w:szCs w:val="20"/>
              </w:rPr>
              <w:t>79,2</w:t>
            </w:r>
          </w:p>
        </w:tc>
        <w:tc>
          <w:tcPr>
            <w:tcW w:w="615" w:type="pct"/>
            <w:noWrap/>
            <w:vAlign w:val="center"/>
            <w:hideMark/>
          </w:tcPr>
          <w:p w:rsidR="00C90A4D" w:rsidRPr="00B148B1" w:rsidRDefault="00C90A4D">
            <w:pPr>
              <w:jc w:val="center"/>
              <w:rPr>
                <w:rFonts w:cs="Arial"/>
                <w:b/>
                <w:bCs/>
                <w:i/>
                <w:iCs/>
                <w:szCs w:val="20"/>
              </w:rPr>
            </w:pPr>
            <w:r w:rsidRPr="00B148B1">
              <w:rPr>
                <w:rFonts w:cs="Arial"/>
                <w:b/>
                <w:bCs/>
                <w:i/>
                <w:iCs/>
                <w:szCs w:val="20"/>
              </w:rPr>
              <w:t>1.246.810</w:t>
            </w:r>
          </w:p>
        </w:tc>
        <w:tc>
          <w:tcPr>
            <w:tcW w:w="468" w:type="pct"/>
            <w:noWrap/>
            <w:vAlign w:val="center"/>
            <w:hideMark/>
          </w:tcPr>
          <w:p w:rsidR="00C90A4D" w:rsidRPr="00B148B1" w:rsidRDefault="00C90A4D">
            <w:pPr>
              <w:jc w:val="center"/>
              <w:rPr>
                <w:rFonts w:cs="Arial"/>
                <w:b/>
                <w:bCs/>
                <w:i/>
                <w:iCs/>
                <w:szCs w:val="20"/>
              </w:rPr>
            </w:pPr>
            <w:r w:rsidRPr="00B148B1">
              <w:rPr>
                <w:rFonts w:cs="Arial"/>
                <w:b/>
                <w:bCs/>
                <w:i/>
                <w:iCs/>
                <w:szCs w:val="20"/>
              </w:rPr>
              <w:t>77,3</w:t>
            </w:r>
          </w:p>
        </w:tc>
      </w:tr>
      <w:tr w:rsidR="00C90A4D" w:rsidRPr="00B148B1" w:rsidTr="00B803AE">
        <w:trPr>
          <w:trHeight w:val="375"/>
        </w:trPr>
        <w:tc>
          <w:tcPr>
            <w:tcW w:w="1953" w:type="pct"/>
            <w:vAlign w:val="center"/>
            <w:hideMark/>
          </w:tcPr>
          <w:p w:rsidR="00C90A4D" w:rsidRPr="00B148B1" w:rsidRDefault="00C90A4D" w:rsidP="00EF04E4">
            <w:pPr>
              <w:spacing w:line="240" w:lineRule="auto"/>
              <w:jc w:val="right"/>
              <w:rPr>
                <w:rFonts w:cs="Arial"/>
                <w:bCs/>
                <w:iCs/>
                <w:color w:val="000000"/>
                <w:szCs w:val="20"/>
                <w:lang w:eastAsia="sl-SI"/>
              </w:rPr>
            </w:pPr>
            <w:r w:rsidRPr="00B148B1">
              <w:rPr>
                <w:rFonts w:cs="Arial"/>
                <w:color w:val="000000"/>
                <w:szCs w:val="20"/>
              </w:rPr>
              <w:t xml:space="preserve">aglomeracije </w:t>
            </w:r>
            <w:r w:rsidR="00C53B88" w:rsidRPr="00B148B1">
              <w:rPr>
                <w:rFonts w:cs="Arial"/>
                <w:color w:val="000000"/>
                <w:szCs w:val="20"/>
              </w:rPr>
              <w:t>od</w:t>
            </w:r>
            <w:r w:rsidRPr="00B148B1">
              <w:rPr>
                <w:rFonts w:cs="Arial"/>
                <w:color w:val="000000"/>
                <w:szCs w:val="20"/>
              </w:rPr>
              <w:t xml:space="preserve"> 50 </w:t>
            </w:r>
            <w:r w:rsidR="00C53B88" w:rsidRPr="00B148B1">
              <w:rPr>
                <w:rFonts w:cs="Arial"/>
                <w:color w:val="000000"/>
                <w:szCs w:val="20"/>
              </w:rPr>
              <w:t>do</w:t>
            </w:r>
            <w:r w:rsidRPr="00B148B1">
              <w:rPr>
                <w:rFonts w:cs="Arial"/>
                <w:color w:val="000000"/>
                <w:szCs w:val="20"/>
              </w:rPr>
              <w:t xml:space="preserve"> 500 PE</w:t>
            </w:r>
          </w:p>
        </w:tc>
        <w:tc>
          <w:tcPr>
            <w:tcW w:w="849" w:type="pct"/>
            <w:noWrap/>
            <w:vAlign w:val="center"/>
            <w:hideMark/>
          </w:tcPr>
          <w:p w:rsidR="00C90A4D" w:rsidRPr="00B148B1" w:rsidRDefault="00C90A4D">
            <w:pPr>
              <w:jc w:val="center"/>
              <w:rPr>
                <w:rFonts w:cs="Arial"/>
                <w:szCs w:val="20"/>
              </w:rPr>
            </w:pPr>
            <w:r w:rsidRPr="00B148B1">
              <w:rPr>
                <w:rFonts w:cs="Arial"/>
                <w:szCs w:val="20"/>
              </w:rPr>
              <w:t>202.752</w:t>
            </w:r>
          </w:p>
        </w:tc>
        <w:tc>
          <w:tcPr>
            <w:tcW w:w="660" w:type="pct"/>
            <w:noWrap/>
            <w:vAlign w:val="center"/>
            <w:hideMark/>
          </w:tcPr>
          <w:p w:rsidR="00C90A4D" w:rsidRPr="00B148B1" w:rsidRDefault="00C90A4D">
            <w:pPr>
              <w:jc w:val="center"/>
              <w:rPr>
                <w:rFonts w:cs="Arial"/>
                <w:szCs w:val="20"/>
              </w:rPr>
            </w:pPr>
            <w:r w:rsidRPr="00B148B1">
              <w:rPr>
                <w:rFonts w:cs="Arial"/>
                <w:szCs w:val="20"/>
              </w:rPr>
              <w:t>63.165</w:t>
            </w:r>
          </w:p>
        </w:tc>
        <w:tc>
          <w:tcPr>
            <w:tcW w:w="454" w:type="pct"/>
            <w:noWrap/>
            <w:vAlign w:val="center"/>
            <w:hideMark/>
          </w:tcPr>
          <w:p w:rsidR="00C90A4D" w:rsidRPr="00B148B1" w:rsidRDefault="00C90A4D">
            <w:pPr>
              <w:jc w:val="center"/>
              <w:rPr>
                <w:rFonts w:cs="Arial"/>
                <w:i/>
                <w:iCs/>
                <w:szCs w:val="20"/>
              </w:rPr>
            </w:pPr>
            <w:r w:rsidRPr="00B148B1">
              <w:rPr>
                <w:rFonts w:cs="Arial"/>
                <w:i/>
                <w:iCs/>
                <w:szCs w:val="20"/>
              </w:rPr>
              <w:t>31,2</w:t>
            </w:r>
          </w:p>
        </w:tc>
        <w:tc>
          <w:tcPr>
            <w:tcW w:w="615" w:type="pct"/>
            <w:noWrap/>
            <w:vAlign w:val="center"/>
            <w:hideMark/>
          </w:tcPr>
          <w:p w:rsidR="00C90A4D" w:rsidRPr="00B148B1" w:rsidRDefault="00C90A4D">
            <w:pPr>
              <w:jc w:val="center"/>
              <w:rPr>
                <w:rFonts w:cs="Arial"/>
                <w:szCs w:val="20"/>
              </w:rPr>
            </w:pPr>
            <w:r w:rsidRPr="00B148B1">
              <w:rPr>
                <w:rFonts w:cs="Arial"/>
                <w:szCs w:val="20"/>
              </w:rPr>
              <w:t>57.551</w:t>
            </w:r>
          </w:p>
        </w:tc>
        <w:tc>
          <w:tcPr>
            <w:tcW w:w="468" w:type="pct"/>
            <w:noWrap/>
            <w:vAlign w:val="center"/>
            <w:hideMark/>
          </w:tcPr>
          <w:p w:rsidR="00C90A4D" w:rsidRPr="00B148B1" w:rsidRDefault="00C90A4D">
            <w:pPr>
              <w:jc w:val="center"/>
              <w:rPr>
                <w:rFonts w:cs="Arial"/>
                <w:i/>
                <w:iCs/>
                <w:szCs w:val="20"/>
              </w:rPr>
            </w:pPr>
            <w:r w:rsidRPr="00B148B1">
              <w:rPr>
                <w:rFonts w:cs="Arial"/>
                <w:i/>
                <w:iCs/>
                <w:szCs w:val="20"/>
              </w:rPr>
              <w:t>28,4</w:t>
            </w:r>
          </w:p>
        </w:tc>
      </w:tr>
      <w:tr w:rsidR="00C90A4D" w:rsidRPr="00B148B1" w:rsidTr="00B803AE">
        <w:trPr>
          <w:trHeight w:val="375"/>
        </w:trPr>
        <w:tc>
          <w:tcPr>
            <w:tcW w:w="1953" w:type="pct"/>
            <w:vAlign w:val="center"/>
            <w:hideMark/>
          </w:tcPr>
          <w:p w:rsidR="00C90A4D" w:rsidRPr="00B148B1" w:rsidRDefault="00C90A4D" w:rsidP="00EF04E4">
            <w:pPr>
              <w:spacing w:line="240" w:lineRule="auto"/>
              <w:jc w:val="right"/>
              <w:rPr>
                <w:rFonts w:cs="Arial"/>
                <w:bCs/>
                <w:iCs/>
                <w:color w:val="000000"/>
                <w:szCs w:val="20"/>
                <w:lang w:eastAsia="sl-SI"/>
              </w:rPr>
            </w:pPr>
            <w:r w:rsidRPr="00B148B1">
              <w:rPr>
                <w:rFonts w:cs="Arial"/>
                <w:color w:val="000000"/>
                <w:szCs w:val="20"/>
              </w:rPr>
              <w:lastRenderedPageBreak/>
              <w:t xml:space="preserve">aglomeracije </w:t>
            </w:r>
            <w:r w:rsidR="00C53B88" w:rsidRPr="00B148B1">
              <w:rPr>
                <w:rFonts w:cs="Arial"/>
                <w:color w:val="000000"/>
                <w:szCs w:val="20"/>
              </w:rPr>
              <w:t xml:space="preserve">od </w:t>
            </w:r>
            <w:r w:rsidRPr="00B148B1">
              <w:rPr>
                <w:rFonts w:cs="Arial"/>
                <w:color w:val="000000"/>
                <w:szCs w:val="20"/>
              </w:rPr>
              <w:t xml:space="preserve">500 </w:t>
            </w:r>
            <w:r w:rsidR="00C53B88" w:rsidRPr="00B148B1">
              <w:rPr>
                <w:rFonts w:cs="Arial"/>
                <w:color w:val="000000"/>
                <w:szCs w:val="20"/>
              </w:rPr>
              <w:t>do</w:t>
            </w:r>
            <w:r w:rsidRPr="00B148B1">
              <w:rPr>
                <w:rFonts w:cs="Arial"/>
                <w:color w:val="000000"/>
                <w:szCs w:val="20"/>
              </w:rPr>
              <w:t xml:space="preserve"> 2.000 PE</w:t>
            </w:r>
          </w:p>
        </w:tc>
        <w:tc>
          <w:tcPr>
            <w:tcW w:w="849" w:type="pct"/>
            <w:noWrap/>
            <w:vAlign w:val="center"/>
            <w:hideMark/>
          </w:tcPr>
          <w:p w:rsidR="00C90A4D" w:rsidRPr="00B148B1" w:rsidRDefault="00C90A4D">
            <w:pPr>
              <w:jc w:val="center"/>
              <w:rPr>
                <w:rFonts w:cs="Arial"/>
                <w:szCs w:val="20"/>
              </w:rPr>
            </w:pPr>
            <w:r w:rsidRPr="00B148B1">
              <w:rPr>
                <w:rFonts w:cs="Arial"/>
                <w:szCs w:val="20"/>
              </w:rPr>
              <w:t>229.492</w:t>
            </w:r>
          </w:p>
        </w:tc>
        <w:tc>
          <w:tcPr>
            <w:tcW w:w="660" w:type="pct"/>
            <w:noWrap/>
            <w:vAlign w:val="center"/>
            <w:hideMark/>
          </w:tcPr>
          <w:p w:rsidR="00C90A4D" w:rsidRPr="00B148B1" w:rsidRDefault="00C90A4D">
            <w:pPr>
              <w:jc w:val="center"/>
              <w:rPr>
                <w:rFonts w:cs="Arial"/>
                <w:szCs w:val="20"/>
              </w:rPr>
            </w:pPr>
            <w:r w:rsidRPr="00B148B1">
              <w:rPr>
                <w:rFonts w:cs="Arial"/>
                <w:szCs w:val="20"/>
              </w:rPr>
              <w:t>148.476</w:t>
            </w:r>
          </w:p>
        </w:tc>
        <w:tc>
          <w:tcPr>
            <w:tcW w:w="454" w:type="pct"/>
            <w:noWrap/>
            <w:vAlign w:val="center"/>
            <w:hideMark/>
          </w:tcPr>
          <w:p w:rsidR="00C90A4D" w:rsidRPr="00B148B1" w:rsidRDefault="00C90A4D">
            <w:pPr>
              <w:jc w:val="center"/>
              <w:rPr>
                <w:rFonts w:cs="Arial"/>
                <w:i/>
                <w:iCs/>
                <w:szCs w:val="20"/>
              </w:rPr>
            </w:pPr>
            <w:r w:rsidRPr="00B148B1">
              <w:rPr>
                <w:rFonts w:cs="Arial"/>
                <w:i/>
                <w:iCs/>
                <w:szCs w:val="20"/>
              </w:rPr>
              <w:t>64,7</w:t>
            </w:r>
          </w:p>
        </w:tc>
        <w:tc>
          <w:tcPr>
            <w:tcW w:w="615" w:type="pct"/>
            <w:noWrap/>
            <w:vAlign w:val="center"/>
            <w:hideMark/>
          </w:tcPr>
          <w:p w:rsidR="00C90A4D" w:rsidRPr="00B148B1" w:rsidRDefault="00C90A4D">
            <w:pPr>
              <w:jc w:val="center"/>
              <w:rPr>
                <w:rFonts w:cs="Arial"/>
                <w:szCs w:val="20"/>
              </w:rPr>
            </w:pPr>
            <w:r w:rsidRPr="00B148B1">
              <w:rPr>
                <w:rFonts w:cs="Arial"/>
                <w:szCs w:val="20"/>
              </w:rPr>
              <w:t>144.154</w:t>
            </w:r>
          </w:p>
        </w:tc>
        <w:tc>
          <w:tcPr>
            <w:tcW w:w="468" w:type="pct"/>
            <w:noWrap/>
            <w:vAlign w:val="center"/>
            <w:hideMark/>
          </w:tcPr>
          <w:p w:rsidR="00C90A4D" w:rsidRPr="00B148B1" w:rsidRDefault="00C90A4D">
            <w:pPr>
              <w:jc w:val="center"/>
              <w:rPr>
                <w:rFonts w:cs="Arial"/>
                <w:i/>
                <w:iCs/>
                <w:szCs w:val="20"/>
              </w:rPr>
            </w:pPr>
            <w:r w:rsidRPr="00B148B1">
              <w:rPr>
                <w:rFonts w:cs="Arial"/>
                <w:i/>
                <w:iCs/>
                <w:szCs w:val="20"/>
              </w:rPr>
              <w:t>62,8</w:t>
            </w:r>
          </w:p>
        </w:tc>
      </w:tr>
      <w:tr w:rsidR="00C90A4D" w:rsidRPr="00B148B1" w:rsidTr="00B803AE">
        <w:trPr>
          <w:trHeight w:val="375"/>
        </w:trPr>
        <w:tc>
          <w:tcPr>
            <w:tcW w:w="1953" w:type="pct"/>
            <w:vAlign w:val="center"/>
            <w:hideMark/>
          </w:tcPr>
          <w:p w:rsidR="00C90A4D" w:rsidRPr="00B148B1" w:rsidRDefault="00C90A4D" w:rsidP="00BA3787">
            <w:pPr>
              <w:jc w:val="right"/>
              <w:rPr>
                <w:rFonts w:cs="Arial"/>
                <w:b/>
                <w:i/>
              </w:rPr>
            </w:pPr>
            <w:r w:rsidRPr="00B148B1">
              <w:rPr>
                <w:rFonts w:cs="Arial"/>
                <w:b/>
                <w:i/>
              </w:rPr>
              <w:t>aglomeracije &lt; 2.000 PE</w:t>
            </w:r>
          </w:p>
        </w:tc>
        <w:tc>
          <w:tcPr>
            <w:tcW w:w="849" w:type="pct"/>
            <w:noWrap/>
            <w:vAlign w:val="center"/>
            <w:hideMark/>
          </w:tcPr>
          <w:p w:rsidR="00C90A4D" w:rsidRPr="00B148B1" w:rsidRDefault="00C90A4D">
            <w:pPr>
              <w:jc w:val="center"/>
              <w:rPr>
                <w:rFonts w:cs="Arial"/>
                <w:b/>
                <w:bCs/>
                <w:i/>
                <w:iCs/>
                <w:szCs w:val="20"/>
              </w:rPr>
            </w:pPr>
            <w:r w:rsidRPr="00B148B1">
              <w:rPr>
                <w:rFonts w:cs="Arial"/>
                <w:b/>
                <w:bCs/>
                <w:i/>
                <w:iCs/>
                <w:szCs w:val="20"/>
              </w:rPr>
              <w:t>432.244</w:t>
            </w:r>
          </w:p>
        </w:tc>
        <w:tc>
          <w:tcPr>
            <w:tcW w:w="660" w:type="pct"/>
            <w:noWrap/>
            <w:vAlign w:val="center"/>
            <w:hideMark/>
          </w:tcPr>
          <w:p w:rsidR="00C90A4D" w:rsidRPr="00B148B1" w:rsidRDefault="00C90A4D">
            <w:pPr>
              <w:jc w:val="center"/>
              <w:rPr>
                <w:rFonts w:cs="Arial"/>
                <w:b/>
                <w:bCs/>
                <w:i/>
                <w:iCs/>
                <w:szCs w:val="20"/>
              </w:rPr>
            </w:pPr>
            <w:r w:rsidRPr="00B148B1">
              <w:rPr>
                <w:rFonts w:cs="Arial"/>
                <w:b/>
                <w:bCs/>
                <w:i/>
                <w:iCs/>
                <w:szCs w:val="20"/>
              </w:rPr>
              <w:t>211.641</w:t>
            </w:r>
          </w:p>
        </w:tc>
        <w:tc>
          <w:tcPr>
            <w:tcW w:w="454" w:type="pct"/>
            <w:noWrap/>
            <w:vAlign w:val="center"/>
            <w:hideMark/>
          </w:tcPr>
          <w:p w:rsidR="00C90A4D" w:rsidRPr="00B148B1" w:rsidRDefault="00C90A4D">
            <w:pPr>
              <w:jc w:val="center"/>
              <w:rPr>
                <w:rFonts w:cs="Arial"/>
                <w:b/>
                <w:bCs/>
                <w:i/>
                <w:iCs/>
                <w:szCs w:val="20"/>
              </w:rPr>
            </w:pPr>
            <w:r w:rsidRPr="00B148B1">
              <w:rPr>
                <w:rFonts w:cs="Arial"/>
                <w:b/>
                <w:bCs/>
                <w:i/>
                <w:iCs/>
                <w:szCs w:val="20"/>
              </w:rPr>
              <w:t>49,0</w:t>
            </w:r>
          </w:p>
        </w:tc>
        <w:tc>
          <w:tcPr>
            <w:tcW w:w="615" w:type="pct"/>
            <w:noWrap/>
            <w:vAlign w:val="center"/>
            <w:hideMark/>
          </w:tcPr>
          <w:p w:rsidR="00C90A4D" w:rsidRPr="00B148B1" w:rsidRDefault="00C90A4D">
            <w:pPr>
              <w:jc w:val="center"/>
              <w:rPr>
                <w:rFonts w:cs="Arial"/>
                <w:b/>
                <w:bCs/>
                <w:i/>
                <w:iCs/>
                <w:szCs w:val="20"/>
              </w:rPr>
            </w:pPr>
            <w:r w:rsidRPr="00B148B1">
              <w:rPr>
                <w:rFonts w:cs="Arial"/>
                <w:b/>
                <w:bCs/>
                <w:i/>
                <w:iCs/>
                <w:szCs w:val="20"/>
              </w:rPr>
              <w:t>201.705</w:t>
            </w:r>
          </w:p>
        </w:tc>
        <w:tc>
          <w:tcPr>
            <w:tcW w:w="468" w:type="pct"/>
            <w:noWrap/>
            <w:vAlign w:val="center"/>
            <w:hideMark/>
          </w:tcPr>
          <w:p w:rsidR="00C90A4D" w:rsidRPr="00B148B1" w:rsidRDefault="00C90A4D">
            <w:pPr>
              <w:jc w:val="center"/>
              <w:rPr>
                <w:rFonts w:cs="Arial"/>
                <w:b/>
                <w:bCs/>
                <w:i/>
                <w:iCs/>
                <w:szCs w:val="20"/>
              </w:rPr>
            </w:pPr>
            <w:r w:rsidRPr="00B148B1">
              <w:rPr>
                <w:rFonts w:cs="Arial"/>
                <w:b/>
                <w:bCs/>
                <w:i/>
                <w:iCs/>
                <w:szCs w:val="20"/>
              </w:rPr>
              <w:t>46,7</w:t>
            </w:r>
          </w:p>
        </w:tc>
      </w:tr>
      <w:tr w:rsidR="00C90A4D" w:rsidRPr="00B148B1" w:rsidTr="00B803AE">
        <w:trPr>
          <w:trHeight w:val="375"/>
        </w:trPr>
        <w:tc>
          <w:tcPr>
            <w:tcW w:w="1953" w:type="pct"/>
            <w:vAlign w:val="center"/>
            <w:hideMark/>
          </w:tcPr>
          <w:p w:rsidR="00C90A4D" w:rsidRPr="00B148B1" w:rsidRDefault="00C90A4D" w:rsidP="00C53B88">
            <w:pPr>
              <w:spacing w:line="240" w:lineRule="auto"/>
              <w:jc w:val="right"/>
              <w:rPr>
                <w:rFonts w:cs="Arial"/>
                <w:bCs/>
                <w:iCs/>
                <w:color w:val="000000"/>
                <w:szCs w:val="20"/>
                <w:lang w:eastAsia="sl-SI"/>
              </w:rPr>
            </w:pPr>
            <w:r w:rsidRPr="00B148B1">
              <w:rPr>
                <w:rFonts w:cs="Arial"/>
                <w:color w:val="000000"/>
                <w:szCs w:val="20"/>
              </w:rPr>
              <w:t xml:space="preserve">aglomeracije </w:t>
            </w:r>
            <w:r w:rsidR="00C53B88" w:rsidRPr="00B148B1">
              <w:rPr>
                <w:rFonts w:cs="Arial"/>
                <w:color w:val="000000"/>
                <w:szCs w:val="20"/>
              </w:rPr>
              <w:t>od</w:t>
            </w:r>
            <w:r w:rsidRPr="00B148B1">
              <w:rPr>
                <w:rFonts w:cs="Arial"/>
                <w:color w:val="000000"/>
                <w:szCs w:val="20"/>
              </w:rPr>
              <w:t xml:space="preserve"> 2.000 </w:t>
            </w:r>
            <w:r w:rsidR="00C53B88" w:rsidRPr="00B148B1">
              <w:rPr>
                <w:rFonts w:cs="Arial"/>
                <w:color w:val="000000"/>
                <w:szCs w:val="20"/>
              </w:rPr>
              <w:t xml:space="preserve">do </w:t>
            </w:r>
            <w:r w:rsidRPr="00B148B1">
              <w:rPr>
                <w:rFonts w:cs="Arial"/>
                <w:color w:val="000000"/>
                <w:szCs w:val="20"/>
              </w:rPr>
              <w:t>10.000 PE</w:t>
            </w:r>
          </w:p>
        </w:tc>
        <w:tc>
          <w:tcPr>
            <w:tcW w:w="849" w:type="pct"/>
            <w:noWrap/>
            <w:vAlign w:val="center"/>
            <w:hideMark/>
          </w:tcPr>
          <w:p w:rsidR="00C90A4D" w:rsidRPr="00B148B1" w:rsidRDefault="00C90A4D">
            <w:pPr>
              <w:jc w:val="center"/>
              <w:rPr>
                <w:rFonts w:cs="Arial"/>
                <w:szCs w:val="20"/>
              </w:rPr>
            </w:pPr>
            <w:r w:rsidRPr="00B148B1">
              <w:rPr>
                <w:rFonts w:cs="Arial"/>
                <w:szCs w:val="20"/>
              </w:rPr>
              <w:t>335.999</w:t>
            </w:r>
          </w:p>
        </w:tc>
        <w:tc>
          <w:tcPr>
            <w:tcW w:w="660" w:type="pct"/>
            <w:noWrap/>
            <w:vAlign w:val="center"/>
            <w:hideMark/>
          </w:tcPr>
          <w:p w:rsidR="00C90A4D" w:rsidRPr="00B148B1" w:rsidRDefault="00C90A4D">
            <w:pPr>
              <w:jc w:val="center"/>
              <w:rPr>
                <w:rFonts w:cs="Arial"/>
                <w:szCs w:val="20"/>
              </w:rPr>
            </w:pPr>
            <w:r w:rsidRPr="00B148B1">
              <w:rPr>
                <w:rFonts w:cs="Arial"/>
                <w:szCs w:val="20"/>
              </w:rPr>
              <w:t>284.612</w:t>
            </w:r>
          </w:p>
        </w:tc>
        <w:tc>
          <w:tcPr>
            <w:tcW w:w="454" w:type="pct"/>
            <w:noWrap/>
            <w:vAlign w:val="center"/>
            <w:hideMark/>
          </w:tcPr>
          <w:p w:rsidR="00C90A4D" w:rsidRPr="00B148B1" w:rsidRDefault="00C90A4D">
            <w:pPr>
              <w:jc w:val="center"/>
              <w:rPr>
                <w:rFonts w:cs="Arial"/>
                <w:i/>
                <w:iCs/>
                <w:szCs w:val="20"/>
              </w:rPr>
            </w:pPr>
            <w:r w:rsidRPr="00B148B1">
              <w:rPr>
                <w:rFonts w:cs="Arial"/>
                <w:i/>
                <w:iCs/>
                <w:szCs w:val="20"/>
              </w:rPr>
              <w:t>84,7</w:t>
            </w:r>
          </w:p>
        </w:tc>
        <w:tc>
          <w:tcPr>
            <w:tcW w:w="615" w:type="pct"/>
            <w:noWrap/>
            <w:vAlign w:val="center"/>
            <w:hideMark/>
          </w:tcPr>
          <w:p w:rsidR="00C90A4D" w:rsidRPr="00B148B1" w:rsidRDefault="00C90A4D">
            <w:pPr>
              <w:jc w:val="center"/>
              <w:rPr>
                <w:rFonts w:cs="Arial"/>
                <w:szCs w:val="20"/>
              </w:rPr>
            </w:pPr>
            <w:r w:rsidRPr="00B148B1">
              <w:rPr>
                <w:rFonts w:cs="Arial"/>
                <w:szCs w:val="20"/>
              </w:rPr>
              <w:t>268.549</w:t>
            </w:r>
          </w:p>
        </w:tc>
        <w:tc>
          <w:tcPr>
            <w:tcW w:w="468" w:type="pct"/>
            <w:noWrap/>
            <w:vAlign w:val="center"/>
            <w:hideMark/>
          </w:tcPr>
          <w:p w:rsidR="00C90A4D" w:rsidRPr="00B148B1" w:rsidRDefault="00C90A4D">
            <w:pPr>
              <w:jc w:val="center"/>
              <w:rPr>
                <w:rFonts w:cs="Arial"/>
                <w:i/>
                <w:iCs/>
                <w:szCs w:val="20"/>
              </w:rPr>
            </w:pPr>
            <w:r w:rsidRPr="00B148B1">
              <w:rPr>
                <w:rFonts w:cs="Arial"/>
                <w:i/>
                <w:iCs/>
                <w:szCs w:val="20"/>
              </w:rPr>
              <w:t>79,9</w:t>
            </w:r>
          </w:p>
        </w:tc>
      </w:tr>
      <w:tr w:rsidR="00C90A4D" w:rsidRPr="00B148B1" w:rsidTr="00B803AE">
        <w:trPr>
          <w:trHeight w:val="375"/>
        </w:trPr>
        <w:tc>
          <w:tcPr>
            <w:tcW w:w="1953" w:type="pct"/>
            <w:vAlign w:val="center"/>
            <w:hideMark/>
          </w:tcPr>
          <w:p w:rsidR="00C90A4D" w:rsidRPr="00B148B1" w:rsidRDefault="00C90A4D" w:rsidP="00C53B88">
            <w:pPr>
              <w:spacing w:line="240" w:lineRule="auto"/>
              <w:jc w:val="right"/>
              <w:rPr>
                <w:rFonts w:cs="Arial"/>
                <w:bCs/>
                <w:iCs/>
                <w:color w:val="000000"/>
                <w:szCs w:val="20"/>
                <w:lang w:eastAsia="sl-SI"/>
              </w:rPr>
            </w:pPr>
            <w:r w:rsidRPr="00B148B1">
              <w:rPr>
                <w:rFonts w:cs="Arial"/>
                <w:bCs/>
                <w:iCs/>
                <w:color w:val="000000"/>
                <w:szCs w:val="20"/>
                <w:lang w:eastAsia="sl-SI"/>
              </w:rPr>
              <w:t xml:space="preserve">aglomeracije </w:t>
            </w:r>
            <w:r w:rsidR="00C53B88" w:rsidRPr="00B148B1">
              <w:rPr>
                <w:rFonts w:cs="Arial"/>
                <w:bCs/>
                <w:iCs/>
                <w:color w:val="000000"/>
                <w:szCs w:val="20"/>
                <w:lang w:eastAsia="sl-SI"/>
              </w:rPr>
              <w:t>od</w:t>
            </w:r>
            <w:r w:rsidRPr="00B148B1">
              <w:rPr>
                <w:rFonts w:cs="Arial"/>
                <w:bCs/>
                <w:iCs/>
                <w:color w:val="000000"/>
                <w:szCs w:val="20"/>
                <w:lang w:eastAsia="sl-SI"/>
              </w:rPr>
              <w:t xml:space="preserve"> 10.000 </w:t>
            </w:r>
            <w:r w:rsidR="00C53B88" w:rsidRPr="00B148B1">
              <w:rPr>
                <w:rFonts w:cs="Arial"/>
                <w:bCs/>
                <w:iCs/>
                <w:color w:val="000000"/>
                <w:szCs w:val="20"/>
                <w:lang w:eastAsia="sl-SI"/>
              </w:rPr>
              <w:t xml:space="preserve">do </w:t>
            </w:r>
            <w:r w:rsidRPr="00B148B1">
              <w:rPr>
                <w:rFonts w:cs="Arial"/>
                <w:bCs/>
                <w:iCs/>
                <w:color w:val="000000"/>
                <w:szCs w:val="20"/>
                <w:lang w:eastAsia="sl-SI"/>
              </w:rPr>
              <w:t>15.000 PE</w:t>
            </w:r>
          </w:p>
        </w:tc>
        <w:tc>
          <w:tcPr>
            <w:tcW w:w="849" w:type="pct"/>
            <w:noWrap/>
            <w:vAlign w:val="center"/>
            <w:hideMark/>
          </w:tcPr>
          <w:p w:rsidR="00C90A4D" w:rsidRPr="00B148B1" w:rsidRDefault="00C90A4D">
            <w:pPr>
              <w:jc w:val="center"/>
              <w:rPr>
                <w:rFonts w:cs="Arial"/>
                <w:szCs w:val="20"/>
              </w:rPr>
            </w:pPr>
            <w:r w:rsidRPr="00B148B1">
              <w:rPr>
                <w:rFonts w:cs="Arial"/>
                <w:szCs w:val="20"/>
              </w:rPr>
              <w:t>97.637</w:t>
            </w:r>
          </w:p>
        </w:tc>
        <w:tc>
          <w:tcPr>
            <w:tcW w:w="660" w:type="pct"/>
            <w:noWrap/>
            <w:vAlign w:val="center"/>
            <w:hideMark/>
          </w:tcPr>
          <w:p w:rsidR="00C90A4D" w:rsidRPr="00B148B1" w:rsidRDefault="00C90A4D">
            <w:pPr>
              <w:jc w:val="center"/>
              <w:rPr>
                <w:rFonts w:cs="Arial"/>
                <w:szCs w:val="20"/>
              </w:rPr>
            </w:pPr>
            <w:r w:rsidRPr="00B148B1">
              <w:rPr>
                <w:rFonts w:cs="Arial"/>
                <w:szCs w:val="20"/>
              </w:rPr>
              <w:t>89.885</w:t>
            </w:r>
          </w:p>
        </w:tc>
        <w:tc>
          <w:tcPr>
            <w:tcW w:w="454" w:type="pct"/>
            <w:noWrap/>
            <w:vAlign w:val="center"/>
            <w:hideMark/>
          </w:tcPr>
          <w:p w:rsidR="00C90A4D" w:rsidRPr="00B148B1" w:rsidRDefault="00C90A4D">
            <w:pPr>
              <w:jc w:val="center"/>
              <w:rPr>
                <w:rFonts w:cs="Arial"/>
                <w:i/>
                <w:iCs/>
                <w:szCs w:val="20"/>
              </w:rPr>
            </w:pPr>
            <w:r w:rsidRPr="00B148B1">
              <w:rPr>
                <w:rFonts w:cs="Arial"/>
                <w:i/>
                <w:iCs/>
                <w:szCs w:val="20"/>
              </w:rPr>
              <w:t>92,1</w:t>
            </w:r>
          </w:p>
        </w:tc>
        <w:tc>
          <w:tcPr>
            <w:tcW w:w="615" w:type="pct"/>
            <w:noWrap/>
            <w:vAlign w:val="center"/>
            <w:hideMark/>
          </w:tcPr>
          <w:p w:rsidR="00C90A4D" w:rsidRPr="00B148B1" w:rsidRDefault="00C90A4D">
            <w:pPr>
              <w:jc w:val="center"/>
              <w:rPr>
                <w:rFonts w:cs="Arial"/>
                <w:szCs w:val="20"/>
              </w:rPr>
            </w:pPr>
            <w:r w:rsidRPr="00B148B1">
              <w:rPr>
                <w:rFonts w:cs="Arial"/>
                <w:szCs w:val="20"/>
              </w:rPr>
              <w:t>89.885</w:t>
            </w:r>
          </w:p>
        </w:tc>
        <w:tc>
          <w:tcPr>
            <w:tcW w:w="468" w:type="pct"/>
            <w:noWrap/>
            <w:vAlign w:val="center"/>
            <w:hideMark/>
          </w:tcPr>
          <w:p w:rsidR="00C90A4D" w:rsidRPr="00B148B1" w:rsidRDefault="00C90A4D">
            <w:pPr>
              <w:jc w:val="center"/>
              <w:rPr>
                <w:rFonts w:cs="Arial"/>
                <w:i/>
                <w:iCs/>
                <w:szCs w:val="20"/>
              </w:rPr>
            </w:pPr>
            <w:r w:rsidRPr="00B148B1">
              <w:rPr>
                <w:rFonts w:cs="Arial"/>
                <w:i/>
                <w:iCs/>
                <w:szCs w:val="20"/>
              </w:rPr>
              <w:t>92,1</w:t>
            </w:r>
          </w:p>
        </w:tc>
      </w:tr>
      <w:tr w:rsidR="00C90A4D" w:rsidRPr="00B148B1" w:rsidTr="00B803AE">
        <w:trPr>
          <w:trHeight w:val="375"/>
        </w:trPr>
        <w:tc>
          <w:tcPr>
            <w:tcW w:w="1953" w:type="pct"/>
            <w:vAlign w:val="center"/>
            <w:hideMark/>
          </w:tcPr>
          <w:p w:rsidR="00C90A4D" w:rsidRPr="00B148B1" w:rsidRDefault="00C90A4D" w:rsidP="00BA3787">
            <w:pPr>
              <w:spacing w:line="240" w:lineRule="auto"/>
              <w:jc w:val="right"/>
              <w:rPr>
                <w:rFonts w:cs="Arial"/>
                <w:bCs/>
                <w:iCs/>
                <w:color w:val="000000"/>
                <w:szCs w:val="20"/>
                <w:lang w:eastAsia="sl-SI"/>
              </w:rPr>
            </w:pPr>
            <w:r w:rsidRPr="00B148B1">
              <w:rPr>
                <w:rFonts w:cs="Arial"/>
                <w:bCs/>
                <w:iCs/>
                <w:color w:val="000000"/>
                <w:szCs w:val="20"/>
                <w:lang w:eastAsia="sl-SI"/>
              </w:rPr>
              <w:t>aglomeracije ≥ 15.000 PE</w:t>
            </w:r>
          </w:p>
        </w:tc>
        <w:tc>
          <w:tcPr>
            <w:tcW w:w="849" w:type="pct"/>
            <w:noWrap/>
            <w:vAlign w:val="center"/>
            <w:hideMark/>
          </w:tcPr>
          <w:p w:rsidR="00C90A4D" w:rsidRPr="00B148B1" w:rsidRDefault="00C90A4D">
            <w:pPr>
              <w:jc w:val="center"/>
              <w:rPr>
                <w:rFonts w:cs="Arial"/>
                <w:szCs w:val="20"/>
              </w:rPr>
            </w:pPr>
            <w:r w:rsidRPr="00B148B1">
              <w:rPr>
                <w:rFonts w:cs="Arial"/>
                <w:szCs w:val="20"/>
              </w:rPr>
              <w:t>746.324</w:t>
            </w:r>
          </w:p>
        </w:tc>
        <w:tc>
          <w:tcPr>
            <w:tcW w:w="660" w:type="pct"/>
            <w:noWrap/>
            <w:vAlign w:val="center"/>
            <w:hideMark/>
          </w:tcPr>
          <w:p w:rsidR="00C90A4D" w:rsidRPr="00B148B1" w:rsidRDefault="00C90A4D">
            <w:pPr>
              <w:jc w:val="center"/>
              <w:rPr>
                <w:rFonts w:cs="Arial"/>
                <w:szCs w:val="20"/>
              </w:rPr>
            </w:pPr>
            <w:r w:rsidRPr="00B148B1">
              <w:rPr>
                <w:rFonts w:cs="Arial"/>
                <w:szCs w:val="20"/>
              </w:rPr>
              <w:t>690.093</w:t>
            </w:r>
          </w:p>
        </w:tc>
        <w:tc>
          <w:tcPr>
            <w:tcW w:w="454" w:type="pct"/>
            <w:noWrap/>
            <w:vAlign w:val="center"/>
            <w:hideMark/>
          </w:tcPr>
          <w:p w:rsidR="00C90A4D" w:rsidRPr="00B148B1" w:rsidRDefault="00C90A4D">
            <w:pPr>
              <w:jc w:val="center"/>
              <w:rPr>
                <w:rFonts w:cs="Arial"/>
                <w:i/>
                <w:iCs/>
                <w:szCs w:val="20"/>
              </w:rPr>
            </w:pPr>
            <w:r w:rsidRPr="00B148B1">
              <w:rPr>
                <w:rFonts w:cs="Arial"/>
                <w:i/>
                <w:iCs/>
                <w:szCs w:val="20"/>
              </w:rPr>
              <w:t>92,5</w:t>
            </w:r>
          </w:p>
        </w:tc>
        <w:tc>
          <w:tcPr>
            <w:tcW w:w="615" w:type="pct"/>
            <w:noWrap/>
            <w:vAlign w:val="center"/>
            <w:hideMark/>
          </w:tcPr>
          <w:p w:rsidR="00C90A4D" w:rsidRPr="00B148B1" w:rsidRDefault="00C90A4D">
            <w:pPr>
              <w:jc w:val="center"/>
              <w:rPr>
                <w:rFonts w:cs="Arial"/>
                <w:szCs w:val="20"/>
              </w:rPr>
            </w:pPr>
            <w:r w:rsidRPr="00B148B1">
              <w:rPr>
                <w:rFonts w:cs="Arial"/>
                <w:szCs w:val="20"/>
              </w:rPr>
              <w:t>686.671</w:t>
            </w:r>
          </w:p>
        </w:tc>
        <w:tc>
          <w:tcPr>
            <w:tcW w:w="468" w:type="pct"/>
            <w:noWrap/>
            <w:vAlign w:val="center"/>
            <w:hideMark/>
          </w:tcPr>
          <w:p w:rsidR="00C90A4D" w:rsidRPr="00B148B1" w:rsidRDefault="00C90A4D">
            <w:pPr>
              <w:jc w:val="center"/>
              <w:rPr>
                <w:rFonts w:cs="Arial"/>
                <w:i/>
                <w:iCs/>
                <w:szCs w:val="20"/>
              </w:rPr>
            </w:pPr>
            <w:r w:rsidRPr="00B148B1">
              <w:rPr>
                <w:rFonts w:cs="Arial"/>
                <w:i/>
                <w:iCs/>
                <w:szCs w:val="20"/>
              </w:rPr>
              <w:t>92,0</w:t>
            </w:r>
          </w:p>
        </w:tc>
      </w:tr>
      <w:tr w:rsidR="00C90A4D" w:rsidRPr="00B148B1" w:rsidTr="00B803AE">
        <w:trPr>
          <w:trHeight w:val="375"/>
        </w:trPr>
        <w:tc>
          <w:tcPr>
            <w:tcW w:w="1953" w:type="pct"/>
            <w:vAlign w:val="center"/>
            <w:hideMark/>
          </w:tcPr>
          <w:p w:rsidR="00C90A4D" w:rsidRPr="00B148B1" w:rsidRDefault="00C90A4D" w:rsidP="00BA3787">
            <w:pPr>
              <w:jc w:val="right"/>
              <w:rPr>
                <w:rFonts w:cs="Arial"/>
                <w:b/>
                <w:i/>
              </w:rPr>
            </w:pPr>
            <w:r w:rsidRPr="00B148B1">
              <w:rPr>
                <w:rFonts w:cs="Arial"/>
                <w:b/>
                <w:i/>
              </w:rPr>
              <w:t>aglomeracije ≥ 2.000 PE</w:t>
            </w:r>
          </w:p>
        </w:tc>
        <w:tc>
          <w:tcPr>
            <w:tcW w:w="849" w:type="pct"/>
            <w:noWrap/>
            <w:vAlign w:val="center"/>
            <w:hideMark/>
          </w:tcPr>
          <w:p w:rsidR="00C90A4D" w:rsidRPr="00B148B1" w:rsidRDefault="00C90A4D">
            <w:pPr>
              <w:jc w:val="center"/>
              <w:rPr>
                <w:rFonts w:cs="Arial"/>
                <w:b/>
                <w:bCs/>
                <w:i/>
                <w:iCs/>
                <w:szCs w:val="20"/>
              </w:rPr>
            </w:pPr>
            <w:r w:rsidRPr="00B148B1">
              <w:rPr>
                <w:rFonts w:cs="Arial"/>
                <w:b/>
                <w:bCs/>
                <w:i/>
                <w:iCs/>
                <w:szCs w:val="20"/>
              </w:rPr>
              <w:t>1.179.960</w:t>
            </w:r>
          </w:p>
        </w:tc>
        <w:tc>
          <w:tcPr>
            <w:tcW w:w="660" w:type="pct"/>
            <w:noWrap/>
            <w:vAlign w:val="center"/>
            <w:hideMark/>
          </w:tcPr>
          <w:p w:rsidR="00C90A4D" w:rsidRPr="00B148B1" w:rsidRDefault="00C90A4D">
            <w:pPr>
              <w:jc w:val="center"/>
              <w:rPr>
                <w:rFonts w:cs="Arial"/>
                <w:b/>
                <w:bCs/>
                <w:i/>
                <w:iCs/>
                <w:szCs w:val="20"/>
              </w:rPr>
            </w:pPr>
            <w:r w:rsidRPr="00B148B1">
              <w:rPr>
                <w:rFonts w:cs="Arial"/>
                <w:b/>
                <w:bCs/>
                <w:i/>
                <w:iCs/>
                <w:szCs w:val="20"/>
              </w:rPr>
              <w:t>1.064.590</w:t>
            </w:r>
          </w:p>
        </w:tc>
        <w:tc>
          <w:tcPr>
            <w:tcW w:w="454" w:type="pct"/>
            <w:noWrap/>
            <w:vAlign w:val="center"/>
            <w:hideMark/>
          </w:tcPr>
          <w:p w:rsidR="00C90A4D" w:rsidRPr="00B148B1" w:rsidRDefault="00C90A4D">
            <w:pPr>
              <w:jc w:val="center"/>
              <w:rPr>
                <w:rFonts w:cs="Arial"/>
                <w:b/>
                <w:bCs/>
                <w:i/>
                <w:iCs/>
                <w:szCs w:val="20"/>
              </w:rPr>
            </w:pPr>
            <w:r w:rsidRPr="00B148B1">
              <w:rPr>
                <w:rFonts w:cs="Arial"/>
                <w:b/>
                <w:bCs/>
                <w:i/>
                <w:iCs/>
                <w:szCs w:val="20"/>
              </w:rPr>
              <w:t>90,2</w:t>
            </w:r>
          </w:p>
        </w:tc>
        <w:tc>
          <w:tcPr>
            <w:tcW w:w="615" w:type="pct"/>
            <w:noWrap/>
            <w:vAlign w:val="center"/>
            <w:hideMark/>
          </w:tcPr>
          <w:p w:rsidR="00C90A4D" w:rsidRPr="00B148B1" w:rsidRDefault="00C90A4D">
            <w:pPr>
              <w:jc w:val="center"/>
              <w:rPr>
                <w:rFonts w:cs="Arial"/>
                <w:b/>
                <w:bCs/>
                <w:i/>
                <w:iCs/>
                <w:szCs w:val="20"/>
              </w:rPr>
            </w:pPr>
            <w:r w:rsidRPr="00B148B1">
              <w:rPr>
                <w:rFonts w:cs="Arial"/>
                <w:b/>
                <w:bCs/>
                <w:i/>
                <w:iCs/>
                <w:szCs w:val="20"/>
              </w:rPr>
              <w:t>1.045.105</w:t>
            </w:r>
          </w:p>
        </w:tc>
        <w:tc>
          <w:tcPr>
            <w:tcW w:w="468" w:type="pct"/>
            <w:noWrap/>
            <w:vAlign w:val="center"/>
            <w:hideMark/>
          </w:tcPr>
          <w:p w:rsidR="00C90A4D" w:rsidRPr="00B148B1" w:rsidRDefault="00C90A4D">
            <w:pPr>
              <w:jc w:val="center"/>
              <w:rPr>
                <w:rFonts w:cs="Arial"/>
                <w:b/>
                <w:bCs/>
                <w:i/>
                <w:iCs/>
                <w:szCs w:val="20"/>
              </w:rPr>
            </w:pPr>
            <w:r w:rsidRPr="00B148B1">
              <w:rPr>
                <w:rFonts w:cs="Arial"/>
                <w:b/>
                <w:bCs/>
                <w:i/>
                <w:iCs/>
                <w:szCs w:val="20"/>
              </w:rPr>
              <w:t>88,6</w:t>
            </w:r>
          </w:p>
        </w:tc>
      </w:tr>
      <w:tr w:rsidR="00C90A4D" w:rsidRPr="00B148B1" w:rsidTr="00B803AE">
        <w:trPr>
          <w:trHeight w:val="375"/>
        </w:trPr>
        <w:tc>
          <w:tcPr>
            <w:tcW w:w="1953" w:type="pct"/>
            <w:vAlign w:val="center"/>
            <w:hideMark/>
          </w:tcPr>
          <w:p w:rsidR="00C90A4D" w:rsidRPr="00B148B1" w:rsidRDefault="00C90A4D" w:rsidP="00EF04E4">
            <w:pPr>
              <w:spacing w:line="240" w:lineRule="auto"/>
              <w:jc w:val="right"/>
              <w:rPr>
                <w:rFonts w:cs="Arial"/>
                <w:b/>
                <w:bCs/>
                <w:iCs/>
                <w:color w:val="000000"/>
                <w:szCs w:val="20"/>
                <w:lang w:eastAsia="sl-SI"/>
              </w:rPr>
            </w:pPr>
            <w:r w:rsidRPr="00B148B1">
              <w:rPr>
                <w:rFonts w:cs="Arial"/>
                <w:b/>
                <w:bCs/>
                <w:iCs/>
                <w:color w:val="000000"/>
                <w:szCs w:val="20"/>
                <w:lang w:eastAsia="sl-SI"/>
              </w:rPr>
              <w:t>SKUPAJ</w:t>
            </w:r>
          </w:p>
        </w:tc>
        <w:tc>
          <w:tcPr>
            <w:tcW w:w="849" w:type="pct"/>
            <w:vAlign w:val="center"/>
            <w:hideMark/>
          </w:tcPr>
          <w:p w:rsidR="00C90A4D" w:rsidRPr="00B148B1" w:rsidRDefault="00C90A4D">
            <w:pPr>
              <w:jc w:val="center"/>
              <w:rPr>
                <w:rFonts w:cs="Arial"/>
                <w:b/>
                <w:bCs/>
                <w:szCs w:val="20"/>
              </w:rPr>
            </w:pPr>
            <w:r w:rsidRPr="00B148B1">
              <w:rPr>
                <w:rFonts w:cs="Arial"/>
                <w:b/>
                <w:bCs/>
                <w:szCs w:val="20"/>
              </w:rPr>
              <w:t>2.055.003</w:t>
            </w:r>
          </w:p>
        </w:tc>
        <w:tc>
          <w:tcPr>
            <w:tcW w:w="660" w:type="pct"/>
            <w:vAlign w:val="center"/>
            <w:hideMark/>
          </w:tcPr>
          <w:p w:rsidR="00C90A4D" w:rsidRPr="00B148B1" w:rsidRDefault="00C90A4D">
            <w:pPr>
              <w:jc w:val="center"/>
              <w:rPr>
                <w:rFonts w:cs="Arial"/>
                <w:b/>
                <w:bCs/>
                <w:szCs w:val="20"/>
              </w:rPr>
            </w:pPr>
            <w:r w:rsidRPr="00B148B1">
              <w:rPr>
                <w:rFonts w:cs="Arial"/>
                <w:b/>
                <w:bCs/>
                <w:szCs w:val="20"/>
              </w:rPr>
              <w:t>1.298.194</w:t>
            </w:r>
          </w:p>
        </w:tc>
        <w:tc>
          <w:tcPr>
            <w:tcW w:w="454" w:type="pct"/>
            <w:vAlign w:val="center"/>
            <w:hideMark/>
          </w:tcPr>
          <w:p w:rsidR="00C90A4D" w:rsidRPr="00B148B1" w:rsidRDefault="00C90A4D">
            <w:pPr>
              <w:jc w:val="center"/>
              <w:rPr>
                <w:rFonts w:cs="Arial"/>
                <w:b/>
                <w:bCs/>
                <w:i/>
                <w:iCs/>
                <w:szCs w:val="20"/>
              </w:rPr>
            </w:pPr>
            <w:r w:rsidRPr="00B148B1">
              <w:rPr>
                <w:rFonts w:cs="Arial"/>
                <w:b/>
                <w:bCs/>
                <w:i/>
                <w:iCs/>
                <w:szCs w:val="20"/>
              </w:rPr>
              <w:t>63,2</w:t>
            </w:r>
          </w:p>
        </w:tc>
        <w:tc>
          <w:tcPr>
            <w:tcW w:w="615" w:type="pct"/>
            <w:vAlign w:val="center"/>
            <w:hideMark/>
          </w:tcPr>
          <w:p w:rsidR="00C90A4D" w:rsidRPr="00B148B1" w:rsidRDefault="00C90A4D">
            <w:pPr>
              <w:jc w:val="center"/>
              <w:rPr>
                <w:rFonts w:cs="Arial"/>
                <w:b/>
                <w:bCs/>
                <w:szCs w:val="20"/>
              </w:rPr>
            </w:pPr>
            <w:r w:rsidRPr="00B148B1">
              <w:rPr>
                <w:rFonts w:cs="Arial"/>
                <w:b/>
                <w:bCs/>
                <w:szCs w:val="20"/>
              </w:rPr>
              <w:t>1.267.288</w:t>
            </w:r>
          </w:p>
        </w:tc>
        <w:tc>
          <w:tcPr>
            <w:tcW w:w="468" w:type="pct"/>
            <w:noWrap/>
            <w:vAlign w:val="center"/>
            <w:hideMark/>
          </w:tcPr>
          <w:p w:rsidR="00C90A4D" w:rsidRPr="00B148B1" w:rsidRDefault="00C90A4D">
            <w:pPr>
              <w:jc w:val="center"/>
              <w:rPr>
                <w:rFonts w:cs="Arial"/>
                <w:b/>
                <w:bCs/>
                <w:i/>
                <w:iCs/>
                <w:szCs w:val="20"/>
              </w:rPr>
            </w:pPr>
            <w:r w:rsidRPr="00B148B1">
              <w:rPr>
                <w:rFonts w:cs="Arial"/>
                <w:b/>
                <w:bCs/>
                <w:i/>
                <w:iCs/>
                <w:szCs w:val="20"/>
              </w:rPr>
              <w:t>61,7</w:t>
            </w:r>
          </w:p>
        </w:tc>
      </w:tr>
    </w:tbl>
    <w:p w:rsidR="00C959F1" w:rsidRPr="00B148B1" w:rsidRDefault="00C959F1" w:rsidP="00C959F1">
      <w:pPr>
        <w:tabs>
          <w:tab w:val="left" w:leader="dot" w:pos="993"/>
          <w:tab w:val="left" w:pos="9600"/>
        </w:tabs>
        <w:spacing w:before="120" w:line="280" w:lineRule="atLeast"/>
        <w:ind w:left="993" w:hanging="993"/>
        <w:rPr>
          <w:rFonts w:cs="Arial"/>
          <w:sz w:val="18"/>
          <w:szCs w:val="18"/>
        </w:rPr>
      </w:pPr>
      <w:r w:rsidRPr="00B148B1">
        <w:rPr>
          <w:rFonts w:cs="Arial"/>
          <w:b/>
          <w:bCs/>
          <w:iCs/>
          <w:color w:val="000000"/>
          <w:sz w:val="18"/>
          <w:szCs w:val="18"/>
          <w:vertAlign w:val="superscript"/>
          <w:lang w:eastAsia="sl-SI"/>
        </w:rPr>
        <w:t>(1)</w:t>
      </w:r>
      <w:r w:rsidR="00C53B88" w:rsidRPr="00B148B1">
        <w:rPr>
          <w:rFonts w:cs="Arial"/>
          <w:sz w:val="18"/>
          <w:szCs w:val="18"/>
        </w:rPr>
        <w:t xml:space="preserve"> O</w:t>
      </w:r>
      <w:r w:rsidRPr="00B148B1">
        <w:rPr>
          <w:rFonts w:cs="Arial"/>
          <w:sz w:val="18"/>
          <w:szCs w:val="18"/>
        </w:rPr>
        <w:t>bremenitev iz naslova stalno prijavljenih prebivalcev, izražena v PE;</w:t>
      </w:r>
    </w:p>
    <w:p w:rsidR="00BA3787" w:rsidRPr="00B148B1" w:rsidRDefault="00BA3787" w:rsidP="00C959F1">
      <w:pPr>
        <w:tabs>
          <w:tab w:val="left" w:leader="dot" w:pos="993"/>
          <w:tab w:val="left" w:pos="9600"/>
        </w:tabs>
        <w:spacing w:before="120" w:line="280" w:lineRule="atLeast"/>
        <w:ind w:left="993" w:hanging="993"/>
        <w:rPr>
          <w:rFonts w:cs="Arial"/>
          <w:bCs/>
          <w:iCs/>
          <w:color w:val="000000"/>
          <w:sz w:val="18"/>
          <w:szCs w:val="18"/>
          <w:lang w:eastAsia="sl-SI"/>
        </w:rPr>
      </w:pPr>
      <w:r w:rsidRPr="00B148B1">
        <w:rPr>
          <w:rFonts w:cs="Arial"/>
          <w:bCs/>
          <w:iCs/>
          <w:color w:val="000000"/>
          <w:sz w:val="18"/>
          <w:szCs w:val="18"/>
          <w:lang w:eastAsia="sl-SI"/>
        </w:rPr>
        <w:t>JKO</w:t>
      </w:r>
      <w:r w:rsidR="00C53B88" w:rsidRPr="00B148B1">
        <w:rPr>
          <w:rFonts w:cs="Arial"/>
          <w:bCs/>
          <w:iCs/>
          <w:color w:val="000000"/>
          <w:sz w:val="18"/>
          <w:szCs w:val="18"/>
          <w:lang w:eastAsia="sl-SI"/>
        </w:rPr>
        <w:t xml:space="preserve"> </w:t>
      </w:r>
      <w:r w:rsidR="00C53B88" w:rsidRPr="00B148B1">
        <w:rPr>
          <w:rFonts w:cs="Arial"/>
          <w:color w:val="202122"/>
          <w:sz w:val="18"/>
          <w:szCs w:val="18"/>
          <w:shd w:val="clear" w:color="auto" w:fill="FFFFFF"/>
        </w:rPr>
        <w:t xml:space="preserve">– </w:t>
      </w:r>
      <w:r w:rsidRPr="00B148B1">
        <w:rPr>
          <w:rFonts w:cs="Arial"/>
          <w:bCs/>
          <w:iCs/>
          <w:color w:val="000000"/>
          <w:sz w:val="18"/>
          <w:szCs w:val="18"/>
          <w:lang w:eastAsia="sl-SI"/>
        </w:rPr>
        <w:t>javno kanalizacijsko omrežje;</w:t>
      </w:r>
    </w:p>
    <w:p w:rsidR="00BA3787" w:rsidRPr="00B148B1" w:rsidRDefault="00BA3787" w:rsidP="00C959F1">
      <w:pPr>
        <w:tabs>
          <w:tab w:val="left" w:leader="dot" w:pos="993"/>
          <w:tab w:val="left" w:pos="9600"/>
        </w:tabs>
        <w:spacing w:before="120" w:line="280" w:lineRule="atLeast"/>
        <w:ind w:left="993" w:hanging="993"/>
        <w:rPr>
          <w:rFonts w:cs="Arial"/>
          <w:bCs/>
          <w:iCs/>
          <w:color w:val="000000"/>
          <w:sz w:val="18"/>
          <w:szCs w:val="18"/>
          <w:lang w:eastAsia="sl-SI"/>
        </w:rPr>
      </w:pPr>
      <w:r w:rsidRPr="00B148B1">
        <w:rPr>
          <w:rFonts w:cs="Arial"/>
          <w:bCs/>
          <w:iCs/>
          <w:color w:val="000000"/>
          <w:sz w:val="18"/>
          <w:szCs w:val="18"/>
          <w:lang w:eastAsia="sl-SI"/>
        </w:rPr>
        <w:t>ČN</w:t>
      </w:r>
      <w:r w:rsidR="00C53B88" w:rsidRPr="00B148B1">
        <w:rPr>
          <w:rFonts w:cs="Arial"/>
          <w:bCs/>
          <w:iCs/>
          <w:color w:val="000000"/>
          <w:sz w:val="18"/>
          <w:szCs w:val="18"/>
          <w:lang w:eastAsia="sl-SI"/>
        </w:rPr>
        <w:t xml:space="preserve"> </w:t>
      </w:r>
      <w:r w:rsidR="00C53B88" w:rsidRPr="00B148B1">
        <w:rPr>
          <w:rFonts w:cs="Arial"/>
          <w:color w:val="202122"/>
          <w:sz w:val="18"/>
          <w:szCs w:val="18"/>
          <w:shd w:val="clear" w:color="auto" w:fill="FFFFFF"/>
        </w:rPr>
        <w:t xml:space="preserve">– </w:t>
      </w:r>
      <w:r w:rsidRPr="00B148B1">
        <w:rPr>
          <w:rFonts w:cs="Arial"/>
          <w:bCs/>
          <w:iCs/>
          <w:color w:val="000000"/>
          <w:sz w:val="18"/>
          <w:szCs w:val="18"/>
          <w:lang w:eastAsia="sl-SI"/>
        </w:rPr>
        <w:t xml:space="preserve">čistilna naprava, namenjena </w:t>
      </w:r>
      <w:r w:rsidR="00EB7B7D" w:rsidRPr="00B148B1">
        <w:rPr>
          <w:rFonts w:cs="Arial"/>
          <w:bCs/>
          <w:iCs/>
          <w:color w:val="000000"/>
          <w:sz w:val="18"/>
          <w:szCs w:val="18"/>
          <w:lang w:eastAsia="sl-SI"/>
        </w:rPr>
        <w:t xml:space="preserve">za </w:t>
      </w:r>
      <w:r w:rsidRPr="00B148B1">
        <w:rPr>
          <w:rFonts w:cs="Arial"/>
          <w:bCs/>
          <w:iCs/>
          <w:color w:val="000000"/>
          <w:sz w:val="18"/>
          <w:szCs w:val="18"/>
          <w:lang w:eastAsia="sl-SI"/>
        </w:rPr>
        <w:t>izvajanj</w:t>
      </w:r>
      <w:r w:rsidR="00EB7B7D" w:rsidRPr="00B148B1">
        <w:rPr>
          <w:rFonts w:cs="Arial"/>
          <w:bCs/>
          <w:iCs/>
          <w:color w:val="000000"/>
          <w:sz w:val="18"/>
          <w:szCs w:val="18"/>
          <w:lang w:eastAsia="sl-SI"/>
        </w:rPr>
        <w:t>e</w:t>
      </w:r>
      <w:r w:rsidRPr="00B148B1">
        <w:rPr>
          <w:rFonts w:cs="Arial"/>
          <w:bCs/>
          <w:iCs/>
          <w:color w:val="000000"/>
          <w:sz w:val="18"/>
          <w:szCs w:val="18"/>
          <w:lang w:eastAsia="sl-SI"/>
        </w:rPr>
        <w:t xml:space="preserve"> javne službe.</w:t>
      </w:r>
    </w:p>
    <w:p w:rsidR="00407A76" w:rsidRPr="00B148B1" w:rsidRDefault="00407A76" w:rsidP="00C959F1">
      <w:pPr>
        <w:tabs>
          <w:tab w:val="left" w:pos="9600"/>
        </w:tabs>
        <w:spacing w:before="120" w:line="280" w:lineRule="atLeast"/>
        <w:rPr>
          <w:rFonts w:cs="Arial"/>
          <w:szCs w:val="20"/>
        </w:rPr>
      </w:pPr>
    </w:p>
    <w:p w:rsidR="00D774EB" w:rsidRPr="00B148B1" w:rsidRDefault="00FC556E" w:rsidP="00C959F1">
      <w:pPr>
        <w:tabs>
          <w:tab w:val="left" w:pos="9600"/>
        </w:tabs>
        <w:spacing w:before="120" w:line="280" w:lineRule="atLeast"/>
        <w:rPr>
          <w:rFonts w:cs="Arial"/>
          <w:szCs w:val="20"/>
        </w:rPr>
      </w:pPr>
      <w:r w:rsidRPr="00B148B1">
        <w:rPr>
          <w:rFonts w:cs="Arial"/>
          <w:szCs w:val="20"/>
        </w:rPr>
        <w:t>Ocena stopnje</w:t>
      </w:r>
      <w:r w:rsidR="00D774EB" w:rsidRPr="00B148B1">
        <w:rPr>
          <w:rFonts w:cs="Arial"/>
          <w:szCs w:val="20"/>
        </w:rPr>
        <w:t xml:space="preserve"> priključenosti stalno prijavljenih prebivalcev na javno kanalizacijsko omrežje in na komunalno ali skupno čistilno napravo </w:t>
      </w:r>
      <w:r w:rsidRPr="00B148B1">
        <w:rPr>
          <w:rFonts w:cs="Arial"/>
          <w:szCs w:val="20"/>
        </w:rPr>
        <w:t>po posameznih</w:t>
      </w:r>
      <w:r w:rsidR="00D774EB" w:rsidRPr="00B148B1">
        <w:rPr>
          <w:rFonts w:cs="Arial"/>
          <w:szCs w:val="20"/>
        </w:rPr>
        <w:t xml:space="preserve"> </w:t>
      </w:r>
      <w:r w:rsidRPr="00B148B1">
        <w:rPr>
          <w:rFonts w:cs="Arial"/>
          <w:szCs w:val="20"/>
        </w:rPr>
        <w:t>aglomeracijah</w:t>
      </w:r>
      <w:r w:rsidR="00D774EB" w:rsidRPr="00B148B1">
        <w:rPr>
          <w:rFonts w:cs="Arial"/>
          <w:szCs w:val="20"/>
        </w:rPr>
        <w:t>, kot izhaja iz podatkov</w:t>
      </w:r>
      <w:r w:rsidR="00531F16" w:rsidRPr="00B148B1">
        <w:rPr>
          <w:rFonts w:cs="Arial"/>
          <w:szCs w:val="20"/>
        </w:rPr>
        <w:t xml:space="preserve"> </w:t>
      </w:r>
      <w:r w:rsidR="00D774EB" w:rsidRPr="00B148B1">
        <w:rPr>
          <w:rFonts w:cs="Arial"/>
          <w:szCs w:val="20"/>
        </w:rPr>
        <w:t>IJSVO, je prikazana v prilogi (</w:t>
      </w:r>
      <w:r w:rsidR="00BB19AC" w:rsidRPr="00B148B1">
        <w:rPr>
          <w:rFonts w:cs="Arial"/>
          <w:szCs w:val="20"/>
        </w:rPr>
        <w:t>PRILOGA</w:t>
      </w:r>
      <w:r w:rsidR="00346439" w:rsidRPr="00B148B1">
        <w:rPr>
          <w:rFonts w:cs="Arial"/>
          <w:szCs w:val="20"/>
        </w:rPr>
        <w:t xml:space="preserve"> </w:t>
      </w:r>
      <w:r w:rsidR="00C0028E" w:rsidRPr="00B148B1">
        <w:rPr>
          <w:rFonts w:cs="Arial"/>
          <w:szCs w:val="20"/>
        </w:rPr>
        <w:t>7</w:t>
      </w:r>
      <w:r w:rsidR="00D774EB" w:rsidRPr="00B148B1">
        <w:rPr>
          <w:rFonts w:cs="Arial"/>
          <w:szCs w:val="20"/>
        </w:rPr>
        <w:t>)</w:t>
      </w:r>
      <w:r w:rsidR="00C964DA" w:rsidRPr="00B148B1">
        <w:rPr>
          <w:rFonts w:cs="Arial"/>
          <w:szCs w:val="20"/>
        </w:rPr>
        <w:t>, ki je sestavni del</w:t>
      </w:r>
      <w:r w:rsidRPr="00B148B1">
        <w:rPr>
          <w:rFonts w:cs="Arial"/>
          <w:szCs w:val="20"/>
        </w:rPr>
        <w:t xml:space="preserve"> tega operativnega programa</w:t>
      </w:r>
      <w:r w:rsidR="00D774EB" w:rsidRPr="00B148B1">
        <w:rPr>
          <w:rFonts w:cs="Arial"/>
          <w:szCs w:val="20"/>
        </w:rPr>
        <w:t xml:space="preserve">. </w:t>
      </w:r>
    </w:p>
    <w:p w:rsidR="00D774EB" w:rsidRPr="00B148B1" w:rsidRDefault="00CD5722" w:rsidP="008E5E8C">
      <w:pPr>
        <w:pStyle w:val="Naslov3"/>
      </w:pPr>
      <w:bookmarkStart w:id="96" w:name="_Ref527115237"/>
      <w:bookmarkStart w:id="97" w:name="_Toc50628081"/>
      <w:r w:rsidRPr="00B148B1">
        <w:t>Ocena stopnje</w:t>
      </w:r>
      <w:r w:rsidR="00D774EB" w:rsidRPr="00B148B1">
        <w:t xml:space="preserve"> priključenosti glede na skupno obremenitev</w:t>
      </w:r>
      <w:bookmarkEnd w:id="96"/>
      <w:r w:rsidRPr="00B148B1">
        <w:t xml:space="preserve"> aglomeracije</w:t>
      </w:r>
      <w:bookmarkEnd w:id="97"/>
    </w:p>
    <w:p w:rsidR="00D774EB" w:rsidRPr="00B148B1" w:rsidRDefault="00CD5722" w:rsidP="00CD5722">
      <w:pPr>
        <w:tabs>
          <w:tab w:val="left" w:pos="9600"/>
        </w:tabs>
        <w:spacing w:before="120" w:line="280" w:lineRule="atLeast"/>
        <w:rPr>
          <w:rFonts w:cs="Arial"/>
          <w:szCs w:val="20"/>
        </w:rPr>
      </w:pPr>
      <w:r w:rsidRPr="00B148B1">
        <w:rPr>
          <w:rFonts w:cs="Arial"/>
          <w:szCs w:val="20"/>
        </w:rPr>
        <w:t xml:space="preserve">Za izdelavo ocene stopnje priključenosti po posameznih aglomeracijah </w:t>
      </w:r>
      <w:r w:rsidR="00D774EB" w:rsidRPr="00B148B1">
        <w:rPr>
          <w:rFonts w:cs="Arial"/>
          <w:szCs w:val="20"/>
        </w:rPr>
        <w:t xml:space="preserve">glede na skupno obremenitev </w:t>
      </w:r>
      <w:r w:rsidRPr="00B148B1">
        <w:rPr>
          <w:rFonts w:cs="Arial"/>
          <w:szCs w:val="20"/>
        </w:rPr>
        <w:t>je upoštevana skupna obremenitev aglomeracij (obremenitev iz naslova stalno prijavljenih prebivalcev in dejanska dodatna obremenitev, določena</w:t>
      </w:r>
      <w:r w:rsidR="00576999" w:rsidRPr="00B148B1">
        <w:rPr>
          <w:rFonts w:cs="Arial"/>
          <w:szCs w:val="20"/>
        </w:rPr>
        <w:t>,</w:t>
      </w:r>
      <w:r w:rsidRPr="00B148B1">
        <w:rPr>
          <w:rFonts w:cs="Arial"/>
          <w:szCs w:val="20"/>
        </w:rPr>
        <w:t xml:space="preserve"> kot </w:t>
      </w:r>
      <w:r w:rsidR="00873342" w:rsidRPr="00B148B1">
        <w:rPr>
          <w:rFonts w:cs="Arial"/>
          <w:szCs w:val="20"/>
        </w:rPr>
        <w:t xml:space="preserve">je </w:t>
      </w:r>
      <w:r w:rsidRPr="00B148B1">
        <w:rPr>
          <w:rFonts w:cs="Arial"/>
          <w:szCs w:val="20"/>
        </w:rPr>
        <w:t xml:space="preserve">navedeno </w:t>
      </w:r>
      <w:r w:rsidR="00576999" w:rsidRPr="00B148B1">
        <w:rPr>
          <w:rFonts w:cs="Arial"/>
          <w:szCs w:val="20"/>
        </w:rPr>
        <w:t xml:space="preserve">poglavju </w:t>
      </w:r>
      <w:r w:rsidR="00576999" w:rsidRPr="00B148B1">
        <w:rPr>
          <w:rFonts w:cs="Arial"/>
          <w:szCs w:val="20"/>
        </w:rPr>
        <w:fldChar w:fldCharType="begin"/>
      </w:r>
      <w:r w:rsidR="00576999" w:rsidRPr="00B148B1">
        <w:rPr>
          <w:rFonts w:cs="Arial"/>
          <w:szCs w:val="20"/>
        </w:rPr>
        <w:instrText xml:space="preserve"> REF _Ref45722910 \n \h </w:instrText>
      </w:r>
      <w:r w:rsidR="00B148B1" w:rsidRPr="00B148B1">
        <w:rPr>
          <w:rFonts w:cs="Arial"/>
          <w:szCs w:val="20"/>
        </w:rPr>
        <w:instrText xml:space="preserve"> \* MERGEFORMAT </w:instrText>
      </w:r>
      <w:r w:rsidR="00576999" w:rsidRPr="00B148B1">
        <w:rPr>
          <w:rFonts w:cs="Arial"/>
          <w:szCs w:val="20"/>
        </w:rPr>
      </w:r>
      <w:r w:rsidR="00576999" w:rsidRPr="00B148B1">
        <w:rPr>
          <w:rFonts w:cs="Arial"/>
          <w:szCs w:val="20"/>
        </w:rPr>
        <w:fldChar w:fldCharType="separate"/>
      </w:r>
      <w:r w:rsidR="00E92793">
        <w:rPr>
          <w:rFonts w:cs="Arial"/>
          <w:szCs w:val="20"/>
        </w:rPr>
        <w:t>3.1</w:t>
      </w:r>
      <w:r w:rsidR="00576999" w:rsidRPr="00B148B1">
        <w:rPr>
          <w:rFonts w:cs="Arial"/>
          <w:szCs w:val="20"/>
        </w:rPr>
        <w:fldChar w:fldCharType="end"/>
      </w:r>
      <w:r w:rsidR="00AE7EB2" w:rsidRPr="00B148B1">
        <w:rPr>
          <w:rFonts w:cs="Arial"/>
          <w:szCs w:val="20"/>
        </w:rPr>
        <w:t>.</w:t>
      </w:r>
      <w:r w:rsidR="00576999" w:rsidRPr="00B148B1">
        <w:rPr>
          <w:rFonts w:cs="Arial"/>
          <w:szCs w:val="20"/>
        </w:rPr>
        <w:t xml:space="preserve"> </w:t>
      </w:r>
      <w:r w:rsidRPr="00B148B1">
        <w:rPr>
          <w:rFonts w:cs="Arial"/>
          <w:szCs w:val="20"/>
        </w:rPr>
        <w:t>tega operativnega programa) na presečni datum</w:t>
      </w:r>
      <w:r w:rsidR="00D774EB" w:rsidRPr="00B148B1">
        <w:rPr>
          <w:rFonts w:cs="Arial"/>
          <w:szCs w:val="20"/>
        </w:rPr>
        <w:t xml:space="preserve"> </w:t>
      </w:r>
      <w:r w:rsidRPr="00B148B1">
        <w:rPr>
          <w:rFonts w:cs="Arial"/>
          <w:szCs w:val="20"/>
        </w:rPr>
        <w:t>31. december 201</w:t>
      </w:r>
      <w:r w:rsidR="00F76620" w:rsidRPr="00B148B1">
        <w:rPr>
          <w:rFonts w:cs="Arial"/>
          <w:szCs w:val="20"/>
        </w:rPr>
        <w:t>8</w:t>
      </w:r>
      <w:r w:rsidR="00D774EB" w:rsidRPr="00B148B1">
        <w:rPr>
          <w:rFonts w:cs="Arial"/>
          <w:szCs w:val="20"/>
        </w:rPr>
        <w:t>.</w:t>
      </w:r>
    </w:p>
    <w:p w:rsidR="00E92793" w:rsidRDefault="00CD5722" w:rsidP="00CD5722">
      <w:pPr>
        <w:tabs>
          <w:tab w:val="left" w:pos="9600"/>
        </w:tabs>
        <w:spacing w:before="120" w:line="280" w:lineRule="atLeast"/>
        <w:rPr>
          <w:rFonts w:cs="Arial"/>
          <w:szCs w:val="20"/>
        </w:rPr>
      </w:pPr>
      <w:r w:rsidRPr="00B148B1">
        <w:rPr>
          <w:rFonts w:cs="Arial"/>
          <w:szCs w:val="20"/>
        </w:rPr>
        <w:t>Ocene stopnje priključenosti na javno kanalizacijsko omrežje in komunalno ali skupno čistilno napravo po velikostnih razredih aglomeracij so prikazane v preglednici</w:t>
      </w:r>
      <w:r w:rsidR="00AB69E9" w:rsidRPr="00B148B1">
        <w:rPr>
          <w:rFonts w:cs="Arial"/>
          <w:szCs w:val="20"/>
        </w:rPr>
        <w:t xml:space="preserve"> (</w:t>
      </w:r>
      <w:r w:rsidR="00AB69E9" w:rsidRPr="00B148B1">
        <w:rPr>
          <w:rFonts w:cs="Arial"/>
          <w:szCs w:val="20"/>
        </w:rPr>
        <w:fldChar w:fldCharType="begin"/>
      </w:r>
      <w:r w:rsidR="00AB69E9" w:rsidRPr="00B148B1">
        <w:rPr>
          <w:rFonts w:cs="Arial"/>
          <w:szCs w:val="20"/>
        </w:rPr>
        <w:instrText xml:space="preserve"> REF _Ref527113585 \h  \* MERGEFORMAT </w:instrText>
      </w:r>
      <w:r w:rsidR="00AB69E9" w:rsidRPr="00B148B1">
        <w:rPr>
          <w:rFonts w:cs="Arial"/>
          <w:szCs w:val="20"/>
        </w:rPr>
      </w:r>
      <w:r w:rsidR="00AB69E9" w:rsidRPr="00B148B1">
        <w:rPr>
          <w:rFonts w:cs="Arial"/>
          <w:szCs w:val="20"/>
        </w:rPr>
        <w:fldChar w:fldCharType="separate"/>
      </w:r>
    </w:p>
    <w:p w:rsidR="00D774EB" w:rsidRPr="00B148B1" w:rsidRDefault="00E92793" w:rsidP="00CD5722">
      <w:pPr>
        <w:tabs>
          <w:tab w:val="left" w:pos="9600"/>
        </w:tabs>
        <w:spacing w:before="120" w:line="280" w:lineRule="atLeast"/>
        <w:rPr>
          <w:rFonts w:cs="Arial"/>
          <w:szCs w:val="20"/>
        </w:rPr>
      </w:pPr>
      <w:r w:rsidRPr="00B148B1">
        <w:rPr>
          <w:rFonts w:cs="Arial"/>
          <w:szCs w:val="20"/>
        </w:rPr>
        <w:t xml:space="preserve">Preglednica </w:t>
      </w:r>
      <w:r>
        <w:rPr>
          <w:rFonts w:cs="Arial"/>
          <w:noProof/>
          <w:szCs w:val="20"/>
        </w:rPr>
        <w:t>10</w:t>
      </w:r>
      <w:r w:rsidR="00AB69E9" w:rsidRPr="00B148B1">
        <w:rPr>
          <w:rFonts w:cs="Arial"/>
          <w:szCs w:val="20"/>
        </w:rPr>
        <w:fldChar w:fldCharType="end"/>
      </w:r>
      <w:r w:rsidR="00AB69E9" w:rsidRPr="00B148B1">
        <w:rPr>
          <w:rFonts w:cs="Arial"/>
          <w:szCs w:val="20"/>
        </w:rPr>
        <w:t>). Ocene kažejo, da stopnja priključenosti na presečni datum 31. december 201</w:t>
      </w:r>
      <w:r w:rsidR="00F76620" w:rsidRPr="00B148B1">
        <w:rPr>
          <w:rFonts w:cs="Arial"/>
          <w:szCs w:val="20"/>
        </w:rPr>
        <w:t>8</w:t>
      </w:r>
      <w:r w:rsidR="00AB69E9" w:rsidRPr="00B148B1">
        <w:rPr>
          <w:rFonts w:cs="Arial"/>
          <w:szCs w:val="20"/>
        </w:rPr>
        <w:t xml:space="preserve"> po podatkih IJSVO znaša:</w:t>
      </w:r>
    </w:p>
    <w:p w:rsidR="00AB69E9" w:rsidRPr="00B148B1" w:rsidRDefault="00AB69E9" w:rsidP="004C2581">
      <w:pPr>
        <w:numPr>
          <w:ilvl w:val="0"/>
          <w:numId w:val="10"/>
        </w:numPr>
        <w:tabs>
          <w:tab w:val="left" w:pos="9600"/>
        </w:tabs>
        <w:spacing w:before="120" w:line="280" w:lineRule="atLeast"/>
        <w:rPr>
          <w:rFonts w:cs="Arial"/>
          <w:szCs w:val="20"/>
        </w:rPr>
      </w:pPr>
      <w:r w:rsidRPr="00B148B1">
        <w:rPr>
          <w:rFonts w:cs="Arial"/>
          <w:szCs w:val="20"/>
        </w:rPr>
        <w:t>skupno v vseh aglomeracijah:</w:t>
      </w:r>
    </w:p>
    <w:p w:rsidR="00AB69E9" w:rsidRPr="00B148B1" w:rsidRDefault="00FD028A" w:rsidP="004C2581">
      <w:pPr>
        <w:numPr>
          <w:ilvl w:val="0"/>
          <w:numId w:val="6"/>
        </w:numPr>
        <w:tabs>
          <w:tab w:val="left" w:pos="9600"/>
        </w:tabs>
        <w:spacing w:before="120" w:line="280" w:lineRule="atLeast"/>
        <w:rPr>
          <w:rFonts w:cs="Arial"/>
          <w:szCs w:val="20"/>
        </w:rPr>
      </w:pPr>
      <w:r w:rsidRPr="00B148B1">
        <w:rPr>
          <w:rFonts w:cs="Arial"/>
          <w:szCs w:val="20"/>
        </w:rPr>
        <w:t>82,2</w:t>
      </w:r>
      <w:r w:rsidR="00AB69E9" w:rsidRPr="00B148B1">
        <w:rPr>
          <w:rFonts w:cs="Arial"/>
          <w:szCs w:val="20"/>
        </w:rPr>
        <w:t xml:space="preserve"> odstotk</w:t>
      </w:r>
      <w:r w:rsidR="00A37672" w:rsidRPr="00B148B1">
        <w:rPr>
          <w:rFonts w:cs="Arial"/>
          <w:szCs w:val="20"/>
        </w:rPr>
        <w:t>a</w:t>
      </w:r>
      <w:r w:rsidR="00AB69E9" w:rsidRPr="00B148B1">
        <w:rPr>
          <w:rFonts w:cs="Arial"/>
          <w:szCs w:val="20"/>
        </w:rPr>
        <w:t xml:space="preserve"> za </w:t>
      </w:r>
      <w:proofErr w:type="spellStart"/>
      <w:r w:rsidR="00AB69E9" w:rsidRPr="00B148B1">
        <w:rPr>
          <w:rFonts w:cs="Arial"/>
          <w:szCs w:val="20"/>
        </w:rPr>
        <w:t>priključenost</w:t>
      </w:r>
      <w:proofErr w:type="spellEnd"/>
      <w:r w:rsidR="00AB69E9" w:rsidRPr="00B148B1">
        <w:rPr>
          <w:rFonts w:cs="Arial"/>
          <w:szCs w:val="20"/>
        </w:rPr>
        <w:t xml:space="preserve"> na javno kanalizacijsko omrežje, </w:t>
      </w:r>
    </w:p>
    <w:p w:rsidR="00AB69E9" w:rsidRPr="00B148B1" w:rsidRDefault="00FD028A" w:rsidP="004C2581">
      <w:pPr>
        <w:numPr>
          <w:ilvl w:val="0"/>
          <w:numId w:val="6"/>
        </w:numPr>
        <w:tabs>
          <w:tab w:val="left" w:pos="9600"/>
        </w:tabs>
        <w:spacing w:before="120" w:line="280" w:lineRule="atLeast"/>
        <w:rPr>
          <w:rFonts w:cs="Arial"/>
          <w:szCs w:val="20"/>
        </w:rPr>
      </w:pPr>
      <w:r w:rsidRPr="00B148B1">
        <w:rPr>
          <w:rFonts w:cs="Arial"/>
          <w:szCs w:val="20"/>
        </w:rPr>
        <w:t>80,0</w:t>
      </w:r>
      <w:r w:rsidR="00AB69E9" w:rsidRPr="00B148B1">
        <w:rPr>
          <w:rFonts w:cs="Arial"/>
          <w:szCs w:val="20"/>
        </w:rPr>
        <w:t xml:space="preserve"> odstotk</w:t>
      </w:r>
      <w:r w:rsidR="00A37672" w:rsidRPr="00B148B1">
        <w:rPr>
          <w:rFonts w:cs="Arial"/>
          <w:szCs w:val="20"/>
        </w:rPr>
        <w:t>a</w:t>
      </w:r>
      <w:r w:rsidR="00AB69E9" w:rsidRPr="00B148B1">
        <w:rPr>
          <w:rFonts w:cs="Arial"/>
          <w:szCs w:val="20"/>
        </w:rPr>
        <w:t xml:space="preserve"> za </w:t>
      </w:r>
      <w:proofErr w:type="spellStart"/>
      <w:r w:rsidR="00AB69E9" w:rsidRPr="00B148B1">
        <w:rPr>
          <w:rFonts w:cs="Arial"/>
          <w:szCs w:val="20"/>
        </w:rPr>
        <w:t>priključenost</w:t>
      </w:r>
      <w:proofErr w:type="spellEnd"/>
      <w:r w:rsidR="00AB69E9" w:rsidRPr="00B148B1">
        <w:rPr>
          <w:rFonts w:cs="Arial"/>
          <w:szCs w:val="20"/>
        </w:rPr>
        <w:t xml:space="preserve"> na komunalno ali skupno čistilno napravo,</w:t>
      </w:r>
    </w:p>
    <w:p w:rsidR="00AB69E9" w:rsidRPr="00B148B1" w:rsidRDefault="00AB69E9" w:rsidP="004C2581">
      <w:pPr>
        <w:numPr>
          <w:ilvl w:val="0"/>
          <w:numId w:val="10"/>
        </w:numPr>
        <w:tabs>
          <w:tab w:val="left" w:pos="9600"/>
        </w:tabs>
        <w:spacing w:before="120" w:line="280" w:lineRule="atLeast"/>
        <w:rPr>
          <w:rFonts w:cs="Arial"/>
          <w:szCs w:val="20"/>
        </w:rPr>
      </w:pPr>
      <w:r w:rsidRPr="00B148B1">
        <w:rPr>
          <w:rFonts w:cs="Arial"/>
          <w:szCs w:val="20"/>
        </w:rPr>
        <w:t xml:space="preserve">v aglomeracijah s skupno obremenitvijo, enako ali večjo od 2.000 PE: </w:t>
      </w:r>
    </w:p>
    <w:p w:rsidR="00AB69E9" w:rsidRPr="00B148B1" w:rsidRDefault="00FD028A" w:rsidP="004C2581">
      <w:pPr>
        <w:numPr>
          <w:ilvl w:val="0"/>
          <w:numId w:val="6"/>
        </w:numPr>
        <w:tabs>
          <w:tab w:val="left" w:pos="9600"/>
        </w:tabs>
        <w:spacing w:before="120" w:line="280" w:lineRule="atLeast"/>
        <w:rPr>
          <w:rFonts w:cs="Arial"/>
          <w:szCs w:val="20"/>
        </w:rPr>
      </w:pPr>
      <w:r w:rsidRPr="00B148B1">
        <w:rPr>
          <w:rFonts w:cs="Arial"/>
          <w:szCs w:val="20"/>
        </w:rPr>
        <w:t>91,8</w:t>
      </w:r>
      <w:r w:rsidR="00AB69E9" w:rsidRPr="00B148B1">
        <w:rPr>
          <w:rFonts w:cs="Arial"/>
          <w:szCs w:val="20"/>
        </w:rPr>
        <w:t xml:space="preserve"> odstotk</w:t>
      </w:r>
      <w:r w:rsidR="00A37672" w:rsidRPr="00B148B1">
        <w:rPr>
          <w:rFonts w:cs="Arial"/>
          <w:szCs w:val="20"/>
        </w:rPr>
        <w:t>a</w:t>
      </w:r>
      <w:r w:rsidR="00AB69E9" w:rsidRPr="00B148B1">
        <w:rPr>
          <w:rFonts w:cs="Arial"/>
          <w:szCs w:val="20"/>
        </w:rPr>
        <w:t xml:space="preserve"> za </w:t>
      </w:r>
      <w:proofErr w:type="spellStart"/>
      <w:r w:rsidR="00AB69E9" w:rsidRPr="00B148B1">
        <w:rPr>
          <w:rFonts w:cs="Arial"/>
          <w:szCs w:val="20"/>
        </w:rPr>
        <w:t>priključenost</w:t>
      </w:r>
      <w:proofErr w:type="spellEnd"/>
      <w:r w:rsidR="00AB69E9" w:rsidRPr="00B148B1">
        <w:rPr>
          <w:rFonts w:cs="Arial"/>
          <w:szCs w:val="20"/>
        </w:rPr>
        <w:t xml:space="preserve"> na javno kanalizacijsko omrežje,</w:t>
      </w:r>
    </w:p>
    <w:p w:rsidR="00AB69E9" w:rsidRPr="00B148B1" w:rsidRDefault="00FD028A" w:rsidP="004C2581">
      <w:pPr>
        <w:numPr>
          <w:ilvl w:val="0"/>
          <w:numId w:val="6"/>
        </w:numPr>
        <w:tabs>
          <w:tab w:val="left" w:pos="9600"/>
        </w:tabs>
        <w:spacing w:before="120" w:line="280" w:lineRule="atLeast"/>
        <w:rPr>
          <w:rFonts w:cs="Arial"/>
          <w:szCs w:val="20"/>
        </w:rPr>
      </w:pPr>
      <w:r w:rsidRPr="00B148B1">
        <w:rPr>
          <w:rFonts w:cs="Arial"/>
          <w:szCs w:val="20"/>
        </w:rPr>
        <w:t>90,0</w:t>
      </w:r>
      <w:r w:rsidR="00AB69E9" w:rsidRPr="00B148B1">
        <w:rPr>
          <w:rFonts w:cs="Arial"/>
          <w:szCs w:val="20"/>
        </w:rPr>
        <w:t xml:space="preserve"> odstotk</w:t>
      </w:r>
      <w:r w:rsidR="00A37672" w:rsidRPr="00B148B1">
        <w:rPr>
          <w:rFonts w:cs="Arial"/>
          <w:szCs w:val="20"/>
        </w:rPr>
        <w:t>a</w:t>
      </w:r>
      <w:r w:rsidR="00AB69E9" w:rsidRPr="00B148B1">
        <w:rPr>
          <w:rFonts w:cs="Arial"/>
          <w:szCs w:val="20"/>
        </w:rPr>
        <w:t xml:space="preserve"> za </w:t>
      </w:r>
      <w:proofErr w:type="spellStart"/>
      <w:r w:rsidR="00AB69E9" w:rsidRPr="00B148B1">
        <w:rPr>
          <w:rFonts w:cs="Arial"/>
          <w:szCs w:val="20"/>
        </w:rPr>
        <w:t>priključenost</w:t>
      </w:r>
      <w:proofErr w:type="spellEnd"/>
      <w:r w:rsidR="00AB69E9" w:rsidRPr="00B148B1">
        <w:rPr>
          <w:rFonts w:cs="Arial"/>
          <w:szCs w:val="20"/>
        </w:rPr>
        <w:t xml:space="preserve"> na komunalno ali skupno čistilno napravo,</w:t>
      </w:r>
    </w:p>
    <w:p w:rsidR="00AB69E9" w:rsidRPr="00B148B1" w:rsidRDefault="00AB69E9" w:rsidP="004C2581">
      <w:pPr>
        <w:numPr>
          <w:ilvl w:val="0"/>
          <w:numId w:val="10"/>
        </w:numPr>
        <w:tabs>
          <w:tab w:val="left" w:pos="9600"/>
        </w:tabs>
        <w:spacing w:before="120" w:line="280" w:lineRule="atLeast"/>
        <w:rPr>
          <w:rFonts w:cs="Arial"/>
          <w:szCs w:val="20"/>
        </w:rPr>
      </w:pPr>
      <w:r w:rsidRPr="00B148B1">
        <w:rPr>
          <w:rFonts w:cs="Arial"/>
          <w:szCs w:val="20"/>
        </w:rPr>
        <w:t>v aglomeracijah s skupno obremenitvijo, manjšo od 2.000 PE:</w:t>
      </w:r>
    </w:p>
    <w:p w:rsidR="00AB69E9" w:rsidRPr="00B148B1" w:rsidRDefault="00FD028A" w:rsidP="004C2581">
      <w:pPr>
        <w:numPr>
          <w:ilvl w:val="0"/>
          <w:numId w:val="6"/>
        </w:numPr>
        <w:tabs>
          <w:tab w:val="left" w:pos="9600"/>
        </w:tabs>
        <w:spacing w:before="120" w:line="280" w:lineRule="atLeast"/>
        <w:rPr>
          <w:rFonts w:cs="Arial"/>
          <w:szCs w:val="20"/>
        </w:rPr>
      </w:pPr>
      <w:r w:rsidRPr="00B148B1">
        <w:rPr>
          <w:rFonts w:cs="Arial"/>
          <w:szCs w:val="20"/>
        </w:rPr>
        <w:t>50,0</w:t>
      </w:r>
      <w:r w:rsidR="00AB69E9" w:rsidRPr="00B148B1">
        <w:rPr>
          <w:rFonts w:cs="Arial"/>
          <w:szCs w:val="20"/>
        </w:rPr>
        <w:t xml:space="preserve"> odstotk</w:t>
      </w:r>
      <w:r w:rsidR="00A37672" w:rsidRPr="00B148B1">
        <w:rPr>
          <w:rFonts w:cs="Arial"/>
          <w:szCs w:val="20"/>
        </w:rPr>
        <w:t>a</w:t>
      </w:r>
      <w:r w:rsidR="00AB69E9" w:rsidRPr="00B148B1">
        <w:rPr>
          <w:rFonts w:cs="Arial"/>
          <w:szCs w:val="20"/>
        </w:rPr>
        <w:t xml:space="preserve"> za </w:t>
      </w:r>
      <w:proofErr w:type="spellStart"/>
      <w:r w:rsidR="00AB69E9" w:rsidRPr="00B148B1">
        <w:rPr>
          <w:rFonts w:cs="Arial"/>
          <w:szCs w:val="20"/>
        </w:rPr>
        <w:t>priključenost</w:t>
      </w:r>
      <w:proofErr w:type="spellEnd"/>
      <w:r w:rsidR="00AB69E9" w:rsidRPr="00B148B1">
        <w:rPr>
          <w:rFonts w:cs="Arial"/>
          <w:szCs w:val="20"/>
        </w:rPr>
        <w:t xml:space="preserve"> na javno kanalizacijsko omrežje,</w:t>
      </w:r>
    </w:p>
    <w:p w:rsidR="00AB69E9" w:rsidRPr="00B148B1" w:rsidRDefault="00FD028A" w:rsidP="004C2581">
      <w:pPr>
        <w:numPr>
          <w:ilvl w:val="0"/>
          <w:numId w:val="6"/>
        </w:numPr>
        <w:tabs>
          <w:tab w:val="left" w:pos="9600"/>
        </w:tabs>
        <w:spacing w:before="120" w:line="280" w:lineRule="atLeast"/>
        <w:rPr>
          <w:rFonts w:cs="Arial"/>
          <w:szCs w:val="20"/>
        </w:rPr>
      </w:pPr>
      <w:r w:rsidRPr="00B148B1">
        <w:rPr>
          <w:rFonts w:cs="Arial"/>
          <w:szCs w:val="20"/>
        </w:rPr>
        <w:t>46,8</w:t>
      </w:r>
      <w:r w:rsidR="00AB69E9" w:rsidRPr="00B148B1">
        <w:rPr>
          <w:rFonts w:cs="Arial"/>
          <w:szCs w:val="20"/>
        </w:rPr>
        <w:t xml:space="preserve"> odstotk</w:t>
      </w:r>
      <w:r w:rsidR="00A37672" w:rsidRPr="00B148B1">
        <w:rPr>
          <w:rFonts w:cs="Arial"/>
          <w:szCs w:val="20"/>
        </w:rPr>
        <w:t>a</w:t>
      </w:r>
      <w:r w:rsidR="00AB69E9" w:rsidRPr="00B148B1">
        <w:rPr>
          <w:rFonts w:cs="Arial"/>
          <w:szCs w:val="20"/>
        </w:rPr>
        <w:t xml:space="preserve"> za </w:t>
      </w:r>
      <w:proofErr w:type="spellStart"/>
      <w:r w:rsidR="00AB69E9" w:rsidRPr="00B148B1">
        <w:rPr>
          <w:rFonts w:cs="Arial"/>
          <w:szCs w:val="20"/>
        </w:rPr>
        <w:t>priključenost</w:t>
      </w:r>
      <w:proofErr w:type="spellEnd"/>
      <w:r w:rsidR="00AB69E9" w:rsidRPr="00B148B1">
        <w:rPr>
          <w:rFonts w:cs="Arial"/>
          <w:szCs w:val="20"/>
        </w:rPr>
        <w:t xml:space="preserve"> na komunalno ali skupno čistilno napravo. </w:t>
      </w:r>
    </w:p>
    <w:p w:rsidR="008E1AEC" w:rsidRDefault="008E1AEC" w:rsidP="00CD5722">
      <w:pPr>
        <w:tabs>
          <w:tab w:val="left" w:pos="9600"/>
        </w:tabs>
        <w:spacing w:before="120" w:line="280" w:lineRule="atLeast"/>
        <w:rPr>
          <w:rFonts w:cs="Arial"/>
          <w:szCs w:val="20"/>
        </w:rPr>
      </w:pPr>
      <w:bookmarkStart w:id="98" w:name="_Ref527113585"/>
      <w:bookmarkStart w:id="99" w:name="_Toc50626726"/>
    </w:p>
    <w:p w:rsidR="00D774EB" w:rsidRPr="00B148B1" w:rsidRDefault="001843E3" w:rsidP="00CD5722">
      <w:pPr>
        <w:tabs>
          <w:tab w:val="left" w:pos="9600"/>
        </w:tabs>
        <w:spacing w:before="120" w:line="280" w:lineRule="atLeast"/>
        <w:rPr>
          <w:rFonts w:cs="Arial"/>
          <w:szCs w:val="20"/>
        </w:rPr>
      </w:pPr>
      <w:r w:rsidRPr="00B148B1">
        <w:rPr>
          <w:rFonts w:cs="Arial"/>
          <w:szCs w:val="20"/>
        </w:rPr>
        <w:lastRenderedPageBreak/>
        <w:t xml:space="preserve">Preglednica </w:t>
      </w:r>
      <w:r w:rsidRPr="00B148B1">
        <w:rPr>
          <w:rFonts w:cs="Arial"/>
          <w:szCs w:val="20"/>
        </w:rPr>
        <w:fldChar w:fldCharType="begin"/>
      </w:r>
      <w:r w:rsidRPr="00B148B1">
        <w:rPr>
          <w:rFonts w:cs="Arial"/>
          <w:szCs w:val="20"/>
        </w:rPr>
        <w:instrText xml:space="preserve"> SEQ Preglednica \* ARABIC </w:instrText>
      </w:r>
      <w:r w:rsidRPr="00B148B1">
        <w:rPr>
          <w:rFonts w:cs="Arial"/>
          <w:szCs w:val="20"/>
        </w:rPr>
        <w:fldChar w:fldCharType="separate"/>
      </w:r>
      <w:r w:rsidR="00E92793">
        <w:rPr>
          <w:rFonts w:cs="Arial"/>
          <w:noProof/>
          <w:szCs w:val="20"/>
        </w:rPr>
        <w:t>10</w:t>
      </w:r>
      <w:r w:rsidRPr="00B148B1">
        <w:rPr>
          <w:rFonts w:cs="Arial"/>
          <w:szCs w:val="20"/>
        </w:rPr>
        <w:fldChar w:fldCharType="end"/>
      </w:r>
      <w:bookmarkEnd w:id="98"/>
      <w:r w:rsidRPr="00B148B1">
        <w:rPr>
          <w:rFonts w:cs="Arial"/>
          <w:szCs w:val="20"/>
        </w:rPr>
        <w:t xml:space="preserve">: </w:t>
      </w:r>
      <w:r w:rsidR="00286568" w:rsidRPr="00B148B1">
        <w:rPr>
          <w:rFonts w:cs="Arial"/>
          <w:szCs w:val="20"/>
        </w:rPr>
        <w:t>Ocena stopnje priključenosti</w:t>
      </w:r>
      <w:r w:rsidRPr="00B148B1">
        <w:rPr>
          <w:rFonts w:cs="Arial"/>
          <w:szCs w:val="20"/>
        </w:rPr>
        <w:t xml:space="preserve"> na javno kanalizacijo in komunalno čistilno napravo po velikostnih razredih aglomeracij glede na skupno obremenitev</w:t>
      </w:r>
      <w:bookmarkEnd w:id="99"/>
    </w:p>
    <w:tbl>
      <w:tblPr>
        <w:tblW w:w="4928"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544"/>
        <w:gridCol w:w="1559"/>
        <w:gridCol w:w="1136"/>
        <w:gridCol w:w="851"/>
        <w:gridCol w:w="1134"/>
        <w:gridCol w:w="847"/>
      </w:tblGrid>
      <w:tr w:rsidR="00BA3787" w:rsidRPr="00B148B1" w:rsidTr="00223993">
        <w:trPr>
          <w:cantSplit/>
          <w:trHeight w:val="340"/>
          <w:tblHeader/>
        </w:trPr>
        <w:tc>
          <w:tcPr>
            <w:tcW w:w="1953" w:type="pct"/>
            <w:vMerge w:val="restart"/>
            <w:noWrap/>
            <w:vAlign w:val="center"/>
            <w:hideMark/>
          </w:tcPr>
          <w:p w:rsidR="00BA3787" w:rsidRPr="00B148B1" w:rsidRDefault="00BA3787" w:rsidP="00BA3787">
            <w:pPr>
              <w:spacing w:line="240" w:lineRule="auto"/>
              <w:rPr>
                <w:rFonts w:cs="Arial"/>
                <w:b/>
                <w:iCs/>
                <w:color w:val="000000"/>
                <w:szCs w:val="20"/>
                <w:lang w:eastAsia="sl-SI"/>
              </w:rPr>
            </w:pPr>
            <w:r w:rsidRPr="00B148B1">
              <w:rPr>
                <w:rFonts w:cs="Arial"/>
                <w:b/>
                <w:iCs/>
                <w:color w:val="000000"/>
                <w:szCs w:val="20"/>
                <w:lang w:eastAsia="sl-SI"/>
              </w:rPr>
              <w:t>Velikostni razredi aglomeracij</w:t>
            </w:r>
          </w:p>
        </w:tc>
        <w:tc>
          <w:tcPr>
            <w:tcW w:w="859" w:type="pct"/>
            <w:noWrap/>
            <w:vAlign w:val="center"/>
            <w:hideMark/>
          </w:tcPr>
          <w:p w:rsidR="00BA3787" w:rsidRPr="00B148B1" w:rsidRDefault="00BF2C6F" w:rsidP="00BA3787">
            <w:pPr>
              <w:spacing w:line="240" w:lineRule="auto"/>
              <w:jc w:val="center"/>
              <w:rPr>
                <w:rFonts w:cs="Arial"/>
                <w:b/>
                <w:bCs/>
                <w:iCs/>
                <w:color w:val="000000"/>
                <w:szCs w:val="20"/>
                <w:lang w:eastAsia="sl-SI"/>
              </w:rPr>
            </w:pPr>
            <w:r w:rsidRPr="00B148B1">
              <w:rPr>
                <w:rFonts w:cs="Arial"/>
                <w:b/>
                <w:bCs/>
                <w:iCs/>
                <w:color w:val="000000"/>
                <w:szCs w:val="20"/>
                <w:lang w:eastAsia="sl-SI"/>
              </w:rPr>
              <w:t>Skupna obremenitev</w:t>
            </w:r>
          </w:p>
        </w:tc>
        <w:tc>
          <w:tcPr>
            <w:tcW w:w="2187" w:type="pct"/>
            <w:gridSpan w:val="4"/>
            <w:vAlign w:val="center"/>
            <w:hideMark/>
          </w:tcPr>
          <w:p w:rsidR="00BA3787" w:rsidRPr="00B148B1" w:rsidRDefault="00BA3787" w:rsidP="00BA3787">
            <w:pPr>
              <w:spacing w:line="240" w:lineRule="auto"/>
              <w:jc w:val="center"/>
              <w:rPr>
                <w:rFonts w:cs="Arial"/>
                <w:b/>
                <w:bCs/>
                <w:color w:val="000000"/>
                <w:szCs w:val="20"/>
                <w:lang w:eastAsia="sl-SI"/>
              </w:rPr>
            </w:pPr>
            <w:proofErr w:type="spellStart"/>
            <w:r w:rsidRPr="00B148B1">
              <w:rPr>
                <w:rFonts w:cs="Arial"/>
                <w:b/>
                <w:bCs/>
                <w:color w:val="000000"/>
                <w:szCs w:val="20"/>
                <w:lang w:eastAsia="sl-SI"/>
              </w:rPr>
              <w:t>Priključenost</w:t>
            </w:r>
            <w:proofErr w:type="spellEnd"/>
          </w:p>
        </w:tc>
      </w:tr>
      <w:tr w:rsidR="00EF04E4" w:rsidRPr="00B148B1" w:rsidTr="00223993">
        <w:trPr>
          <w:cantSplit/>
          <w:trHeight w:val="340"/>
          <w:tblHeader/>
        </w:trPr>
        <w:tc>
          <w:tcPr>
            <w:tcW w:w="1953" w:type="pct"/>
            <w:vMerge/>
            <w:vAlign w:val="center"/>
            <w:hideMark/>
          </w:tcPr>
          <w:p w:rsidR="00EF04E4" w:rsidRPr="00B148B1" w:rsidRDefault="00EF04E4" w:rsidP="00BA3787">
            <w:pPr>
              <w:spacing w:line="240" w:lineRule="auto"/>
              <w:jc w:val="center"/>
              <w:rPr>
                <w:rFonts w:cs="Arial"/>
                <w:b/>
                <w:bCs/>
                <w:i/>
                <w:iCs/>
                <w:color w:val="000000"/>
                <w:szCs w:val="20"/>
                <w:lang w:eastAsia="sl-SI"/>
              </w:rPr>
            </w:pPr>
          </w:p>
        </w:tc>
        <w:tc>
          <w:tcPr>
            <w:tcW w:w="859" w:type="pct"/>
            <w:vMerge w:val="restart"/>
            <w:noWrap/>
            <w:vAlign w:val="center"/>
            <w:hideMark/>
          </w:tcPr>
          <w:p w:rsidR="00EF04E4" w:rsidRPr="00B148B1" w:rsidRDefault="00EF04E4" w:rsidP="00BA3787">
            <w:pPr>
              <w:spacing w:line="240" w:lineRule="auto"/>
              <w:jc w:val="center"/>
              <w:rPr>
                <w:rFonts w:cs="Arial"/>
                <w:b/>
                <w:bCs/>
                <w:color w:val="000000"/>
                <w:szCs w:val="20"/>
                <w:lang w:eastAsia="sl-SI"/>
              </w:rPr>
            </w:pPr>
            <w:r w:rsidRPr="00B148B1">
              <w:rPr>
                <w:rFonts w:cs="Arial"/>
                <w:b/>
                <w:bCs/>
                <w:iCs/>
                <w:color w:val="000000"/>
                <w:szCs w:val="20"/>
                <w:lang w:eastAsia="sl-SI"/>
              </w:rPr>
              <w:t>[PE]</w:t>
            </w:r>
          </w:p>
        </w:tc>
        <w:tc>
          <w:tcPr>
            <w:tcW w:w="626" w:type="pct"/>
            <w:vAlign w:val="center"/>
            <w:hideMark/>
          </w:tcPr>
          <w:p w:rsidR="00EF04E4" w:rsidRPr="00B148B1" w:rsidRDefault="00EF04E4" w:rsidP="00BA3787">
            <w:pPr>
              <w:spacing w:line="240" w:lineRule="auto"/>
              <w:jc w:val="center"/>
              <w:rPr>
                <w:rFonts w:cs="Arial"/>
                <w:b/>
                <w:bCs/>
                <w:color w:val="000000"/>
                <w:szCs w:val="20"/>
                <w:lang w:eastAsia="sl-SI"/>
              </w:rPr>
            </w:pPr>
            <w:r w:rsidRPr="00B148B1">
              <w:rPr>
                <w:rFonts w:cs="Arial"/>
                <w:b/>
                <w:bCs/>
                <w:color w:val="000000"/>
                <w:szCs w:val="20"/>
                <w:lang w:eastAsia="sl-SI"/>
              </w:rPr>
              <w:t>JKO</w:t>
            </w:r>
          </w:p>
        </w:tc>
        <w:tc>
          <w:tcPr>
            <w:tcW w:w="469" w:type="pct"/>
            <w:vAlign w:val="center"/>
            <w:hideMark/>
          </w:tcPr>
          <w:p w:rsidR="00EF04E4" w:rsidRPr="00B148B1" w:rsidRDefault="00EF04E4" w:rsidP="00EF04E4">
            <w:pPr>
              <w:spacing w:line="240" w:lineRule="auto"/>
              <w:jc w:val="center"/>
              <w:rPr>
                <w:rFonts w:cs="Arial"/>
                <w:b/>
                <w:bCs/>
                <w:color w:val="000000"/>
                <w:szCs w:val="20"/>
                <w:lang w:eastAsia="sl-SI"/>
              </w:rPr>
            </w:pPr>
            <w:r w:rsidRPr="00B148B1">
              <w:rPr>
                <w:rFonts w:cs="Arial"/>
                <w:b/>
                <w:bCs/>
                <w:color w:val="000000"/>
                <w:szCs w:val="20"/>
                <w:lang w:eastAsia="sl-SI"/>
              </w:rPr>
              <w:t>JKO</w:t>
            </w:r>
          </w:p>
        </w:tc>
        <w:tc>
          <w:tcPr>
            <w:tcW w:w="625" w:type="pct"/>
            <w:vAlign w:val="center"/>
            <w:hideMark/>
          </w:tcPr>
          <w:p w:rsidR="00EF04E4" w:rsidRPr="00B148B1" w:rsidRDefault="00EF04E4" w:rsidP="00EF04E4">
            <w:pPr>
              <w:spacing w:line="240" w:lineRule="auto"/>
              <w:jc w:val="center"/>
              <w:rPr>
                <w:rFonts w:cs="Arial"/>
                <w:b/>
                <w:bCs/>
                <w:color w:val="000000"/>
                <w:szCs w:val="20"/>
                <w:lang w:eastAsia="sl-SI"/>
              </w:rPr>
            </w:pPr>
            <w:r w:rsidRPr="00B148B1">
              <w:rPr>
                <w:rFonts w:cs="Arial"/>
                <w:b/>
                <w:bCs/>
                <w:color w:val="000000"/>
                <w:szCs w:val="20"/>
                <w:lang w:eastAsia="sl-SI"/>
              </w:rPr>
              <w:t>ČN</w:t>
            </w:r>
          </w:p>
        </w:tc>
        <w:tc>
          <w:tcPr>
            <w:tcW w:w="467" w:type="pct"/>
            <w:vAlign w:val="center"/>
            <w:hideMark/>
          </w:tcPr>
          <w:p w:rsidR="00EF04E4" w:rsidRPr="00B148B1" w:rsidRDefault="00613C25" w:rsidP="00BA3787">
            <w:pPr>
              <w:spacing w:line="240" w:lineRule="auto"/>
              <w:jc w:val="center"/>
              <w:rPr>
                <w:rFonts w:cs="Arial"/>
                <w:b/>
                <w:bCs/>
                <w:color w:val="000000"/>
                <w:szCs w:val="20"/>
                <w:lang w:eastAsia="sl-SI"/>
              </w:rPr>
            </w:pPr>
            <w:r w:rsidRPr="00B148B1">
              <w:rPr>
                <w:rFonts w:cs="Arial"/>
                <w:b/>
                <w:bCs/>
                <w:color w:val="000000"/>
                <w:szCs w:val="20"/>
                <w:lang w:eastAsia="sl-SI"/>
              </w:rPr>
              <w:t>ČN</w:t>
            </w:r>
          </w:p>
        </w:tc>
      </w:tr>
      <w:tr w:rsidR="00EF04E4" w:rsidRPr="00B148B1" w:rsidTr="00223993">
        <w:trPr>
          <w:cantSplit/>
          <w:trHeight w:val="340"/>
          <w:tblHeader/>
        </w:trPr>
        <w:tc>
          <w:tcPr>
            <w:tcW w:w="1953" w:type="pct"/>
            <w:vMerge/>
            <w:vAlign w:val="center"/>
            <w:hideMark/>
          </w:tcPr>
          <w:p w:rsidR="00EF04E4" w:rsidRPr="00B148B1" w:rsidRDefault="00EF04E4" w:rsidP="00BA3787">
            <w:pPr>
              <w:spacing w:line="240" w:lineRule="auto"/>
              <w:jc w:val="center"/>
              <w:rPr>
                <w:rFonts w:cs="Arial"/>
                <w:b/>
                <w:bCs/>
                <w:i/>
                <w:iCs/>
                <w:color w:val="000000"/>
                <w:szCs w:val="20"/>
                <w:lang w:eastAsia="sl-SI"/>
              </w:rPr>
            </w:pPr>
          </w:p>
        </w:tc>
        <w:tc>
          <w:tcPr>
            <w:tcW w:w="859" w:type="pct"/>
            <w:vMerge/>
            <w:vAlign w:val="center"/>
            <w:hideMark/>
          </w:tcPr>
          <w:p w:rsidR="00EF04E4" w:rsidRPr="00B148B1" w:rsidRDefault="00EF04E4" w:rsidP="00BA3787">
            <w:pPr>
              <w:spacing w:line="240" w:lineRule="auto"/>
              <w:jc w:val="center"/>
              <w:rPr>
                <w:rFonts w:cs="Arial"/>
                <w:b/>
                <w:bCs/>
                <w:color w:val="000000"/>
                <w:szCs w:val="20"/>
                <w:lang w:eastAsia="sl-SI"/>
              </w:rPr>
            </w:pPr>
          </w:p>
        </w:tc>
        <w:tc>
          <w:tcPr>
            <w:tcW w:w="626" w:type="pct"/>
            <w:vAlign w:val="center"/>
            <w:hideMark/>
          </w:tcPr>
          <w:p w:rsidR="00EF04E4" w:rsidRPr="00B148B1" w:rsidRDefault="00EF04E4" w:rsidP="00BA3787">
            <w:pPr>
              <w:spacing w:line="240" w:lineRule="auto"/>
              <w:jc w:val="center"/>
              <w:rPr>
                <w:rFonts w:cs="Arial"/>
                <w:b/>
                <w:bCs/>
                <w:i/>
                <w:iCs/>
                <w:color w:val="000000"/>
                <w:szCs w:val="20"/>
                <w:lang w:eastAsia="sl-SI"/>
              </w:rPr>
            </w:pPr>
            <w:r w:rsidRPr="00B148B1">
              <w:rPr>
                <w:rFonts w:cs="Arial"/>
                <w:b/>
                <w:bCs/>
                <w:iCs/>
                <w:color w:val="000000"/>
                <w:szCs w:val="20"/>
                <w:lang w:eastAsia="sl-SI"/>
              </w:rPr>
              <w:t>[PE]</w:t>
            </w:r>
          </w:p>
        </w:tc>
        <w:tc>
          <w:tcPr>
            <w:tcW w:w="469" w:type="pct"/>
            <w:vAlign w:val="center"/>
            <w:hideMark/>
          </w:tcPr>
          <w:p w:rsidR="00EF04E4" w:rsidRPr="00B148B1" w:rsidRDefault="00EF04E4" w:rsidP="00EF04E4">
            <w:pPr>
              <w:spacing w:line="240" w:lineRule="auto"/>
              <w:jc w:val="center"/>
              <w:rPr>
                <w:rFonts w:cs="Arial"/>
                <w:b/>
                <w:bCs/>
                <w:iCs/>
                <w:color w:val="000000"/>
                <w:szCs w:val="20"/>
                <w:lang w:eastAsia="sl-SI"/>
              </w:rPr>
            </w:pPr>
            <w:r w:rsidRPr="00B148B1">
              <w:rPr>
                <w:rFonts w:cs="Arial"/>
                <w:b/>
                <w:bCs/>
                <w:iCs/>
                <w:color w:val="000000"/>
                <w:szCs w:val="20"/>
                <w:lang w:eastAsia="sl-SI"/>
              </w:rPr>
              <w:t>[%]</w:t>
            </w:r>
          </w:p>
        </w:tc>
        <w:tc>
          <w:tcPr>
            <w:tcW w:w="625" w:type="pct"/>
            <w:vAlign w:val="center"/>
            <w:hideMark/>
          </w:tcPr>
          <w:p w:rsidR="00EF04E4" w:rsidRPr="00B148B1" w:rsidRDefault="00EF04E4" w:rsidP="00EF04E4">
            <w:pPr>
              <w:spacing w:line="240" w:lineRule="auto"/>
              <w:jc w:val="center"/>
              <w:rPr>
                <w:rFonts w:cs="Arial"/>
                <w:b/>
                <w:bCs/>
                <w:iCs/>
                <w:color w:val="000000"/>
                <w:szCs w:val="20"/>
                <w:lang w:eastAsia="sl-SI"/>
              </w:rPr>
            </w:pPr>
            <w:r w:rsidRPr="00B148B1">
              <w:rPr>
                <w:rFonts w:cs="Arial"/>
                <w:b/>
                <w:bCs/>
                <w:iCs/>
                <w:color w:val="000000"/>
                <w:szCs w:val="20"/>
                <w:lang w:eastAsia="sl-SI"/>
              </w:rPr>
              <w:t>[PE]</w:t>
            </w:r>
          </w:p>
        </w:tc>
        <w:tc>
          <w:tcPr>
            <w:tcW w:w="467" w:type="pct"/>
            <w:vAlign w:val="center"/>
            <w:hideMark/>
          </w:tcPr>
          <w:p w:rsidR="00EF04E4" w:rsidRPr="00B148B1" w:rsidRDefault="00613C25" w:rsidP="00BA3787">
            <w:pPr>
              <w:spacing w:line="240" w:lineRule="auto"/>
              <w:jc w:val="center"/>
              <w:rPr>
                <w:rFonts w:cs="Arial"/>
                <w:b/>
                <w:bCs/>
                <w:iCs/>
                <w:color w:val="000000"/>
                <w:szCs w:val="20"/>
                <w:lang w:eastAsia="sl-SI"/>
              </w:rPr>
            </w:pPr>
            <w:r w:rsidRPr="00B148B1">
              <w:rPr>
                <w:rFonts w:cs="Arial"/>
                <w:b/>
                <w:bCs/>
                <w:iCs/>
                <w:color w:val="000000"/>
                <w:szCs w:val="20"/>
                <w:lang w:eastAsia="sl-SI"/>
              </w:rPr>
              <w:t>[%]</w:t>
            </w:r>
          </w:p>
        </w:tc>
      </w:tr>
      <w:tr w:rsidR="00355D3C" w:rsidRPr="00B148B1" w:rsidTr="00223993">
        <w:trPr>
          <w:cantSplit/>
          <w:trHeight w:val="340"/>
        </w:trPr>
        <w:tc>
          <w:tcPr>
            <w:tcW w:w="1953" w:type="pct"/>
            <w:vAlign w:val="center"/>
            <w:hideMark/>
          </w:tcPr>
          <w:p w:rsidR="00355D3C" w:rsidRPr="00B148B1" w:rsidRDefault="00355D3C" w:rsidP="001D562F">
            <w:pPr>
              <w:spacing w:line="240" w:lineRule="auto"/>
              <w:jc w:val="right"/>
              <w:rPr>
                <w:rFonts w:cs="Arial"/>
                <w:bCs/>
                <w:iCs/>
                <w:color w:val="000000"/>
                <w:szCs w:val="20"/>
                <w:lang w:eastAsia="sl-SI"/>
              </w:rPr>
            </w:pPr>
            <w:r w:rsidRPr="00B148B1">
              <w:rPr>
                <w:rFonts w:cs="Arial"/>
                <w:color w:val="000000"/>
                <w:szCs w:val="20"/>
              </w:rPr>
              <w:t xml:space="preserve">aglomeracije </w:t>
            </w:r>
            <w:r w:rsidR="001D562F" w:rsidRPr="00B148B1">
              <w:rPr>
                <w:rFonts w:cs="Arial"/>
                <w:color w:val="000000"/>
                <w:szCs w:val="20"/>
              </w:rPr>
              <w:t xml:space="preserve">od </w:t>
            </w:r>
            <w:r w:rsidRPr="00B148B1">
              <w:rPr>
                <w:rFonts w:cs="Arial"/>
                <w:color w:val="000000"/>
                <w:szCs w:val="20"/>
              </w:rPr>
              <w:t xml:space="preserve">50 </w:t>
            </w:r>
            <w:r w:rsidR="001D562F" w:rsidRPr="00B148B1">
              <w:rPr>
                <w:rFonts w:cs="Arial"/>
                <w:color w:val="000000"/>
                <w:szCs w:val="20"/>
              </w:rPr>
              <w:t>do</w:t>
            </w:r>
            <w:r w:rsidRPr="00B148B1">
              <w:rPr>
                <w:rFonts w:cs="Arial"/>
                <w:color w:val="000000"/>
                <w:szCs w:val="20"/>
              </w:rPr>
              <w:t xml:space="preserve"> 500 PE</w:t>
            </w:r>
          </w:p>
        </w:tc>
        <w:tc>
          <w:tcPr>
            <w:tcW w:w="859" w:type="pct"/>
            <w:noWrap/>
            <w:vAlign w:val="center"/>
            <w:hideMark/>
          </w:tcPr>
          <w:p w:rsidR="00355D3C" w:rsidRPr="00B148B1" w:rsidRDefault="00355D3C">
            <w:pPr>
              <w:jc w:val="center"/>
              <w:rPr>
                <w:rFonts w:cs="Arial"/>
                <w:szCs w:val="20"/>
              </w:rPr>
            </w:pPr>
            <w:r w:rsidRPr="00B148B1">
              <w:rPr>
                <w:rFonts w:cs="Arial"/>
                <w:szCs w:val="20"/>
              </w:rPr>
              <w:t>220.363</w:t>
            </w:r>
          </w:p>
        </w:tc>
        <w:tc>
          <w:tcPr>
            <w:tcW w:w="626" w:type="pct"/>
            <w:noWrap/>
            <w:vAlign w:val="center"/>
            <w:hideMark/>
          </w:tcPr>
          <w:p w:rsidR="00355D3C" w:rsidRPr="00B148B1" w:rsidRDefault="00355D3C">
            <w:pPr>
              <w:jc w:val="center"/>
              <w:rPr>
                <w:rFonts w:cs="Arial"/>
                <w:szCs w:val="20"/>
              </w:rPr>
            </w:pPr>
            <w:r w:rsidRPr="00B148B1">
              <w:rPr>
                <w:rFonts w:cs="Arial"/>
                <w:szCs w:val="20"/>
              </w:rPr>
              <w:t>69.604</w:t>
            </w:r>
          </w:p>
        </w:tc>
        <w:tc>
          <w:tcPr>
            <w:tcW w:w="469" w:type="pct"/>
            <w:vAlign w:val="center"/>
            <w:hideMark/>
          </w:tcPr>
          <w:p w:rsidR="00355D3C" w:rsidRPr="00B148B1" w:rsidRDefault="00355D3C">
            <w:pPr>
              <w:jc w:val="center"/>
              <w:rPr>
                <w:rFonts w:cs="Arial"/>
                <w:szCs w:val="20"/>
              </w:rPr>
            </w:pPr>
            <w:r w:rsidRPr="00B148B1">
              <w:rPr>
                <w:rFonts w:cs="Arial"/>
                <w:szCs w:val="20"/>
              </w:rPr>
              <w:t>31,6</w:t>
            </w:r>
          </w:p>
        </w:tc>
        <w:tc>
          <w:tcPr>
            <w:tcW w:w="625" w:type="pct"/>
            <w:noWrap/>
            <w:vAlign w:val="center"/>
            <w:hideMark/>
          </w:tcPr>
          <w:p w:rsidR="00355D3C" w:rsidRPr="00B148B1" w:rsidRDefault="00355D3C">
            <w:pPr>
              <w:jc w:val="center"/>
              <w:rPr>
                <w:rFonts w:cs="Arial"/>
                <w:szCs w:val="20"/>
              </w:rPr>
            </w:pPr>
            <w:r w:rsidRPr="00B148B1">
              <w:rPr>
                <w:rFonts w:cs="Arial"/>
                <w:szCs w:val="20"/>
              </w:rPr>
              <w:t>61.334</w:t>
            </w:r>
          </w:p>
        </w:tc>
        <w:tc>
          <w:tcPr>
            <w:tcW w:w="467" w:type="pct"/>
            <w:noWrap/>
            <w:vAlign w:val="center"/>
            <w:hideMark/>
          </w:tcPr>
          <w:p w:rsidR="00355D3C" w:rsidRPr="00B148B1" w:rsidRDefault="00355D3C">
            <w:pPr>
              <w:jc w:val="center"/>
              <w:rPr>
                <w:rFonts w:cs="Arial"/>
                <w:szCs w:val="20"/>
              </w:rPr>
            </w:pPr>
            <w:r w:rsidRPr="00B148B1">
              <w:rPr>
                <w:rFonts w:cs="Arial"/>
                <w:szCs w:val="20"/>
              </w:rPr>
              <w:t>27,8</w:t>
            </w:r>
          </w:p>
        </w:tc>
      </w:tr>
      <w:tr w:rsidR="00355D3C" w:rsidRPr="00B148B1" w:rsidTr="00223993">
        <w:trPr>
          <w:cantSplit/>
          <w:trHeight w:val="340"/>
        </w:trPr>
        <w:tc>
          <w:tcPr>
            <w:tcW w:w="1953" w:type="pct"/>
            <w:vAlign w:val="center"/>
            <w:hideMark/>
          </w:tcPr>
          <w:p w:rsidR="00355D3C" w:rsidRPr="00B148B1" w:rsidRDefault="00355D3C" w:rsidP="001D562F">
            <w:pPr>
              <w:spacing w:line="240" w:lineRule="auto"/>
              <w:jc w:val="right"/>
              <w:rPr>
                <w:rFonts w:cs="Arial"/>
                <w:bCs/>
                <w:iCs/>
                <w:color w:val="000000"/>
                <w:szCs w:val="20"/>
                <w:lang w:eastAsia="sl-SI"/>
              </w:rPr>
            </w:pPr>
            <w:r w:rsidRPr="00B148B1">
              <w:rPr>
                <w:rFonts w:cs="Arial"/>
                <w:color w:val="000000"/>
                <w:szCs w:val="20"/>
              </w:rPr>
              <w:t xml:space="preserve">aglomeracije </w:t>
            </w:r>
            <w:r w:rsidR="001D562F" w:rsidRPr="00B148B1">
              <w:rPr>
                <w:rFonts w:cs="Arial"/>
                <w:color w:val="000000"/>
                <w:szCs w:val="20"/>
              </w:rPr>
              <w:t>od</w:t>
            </w:r>
            <w:r w:rsidRPr="00B148B1">
              <w:rPr>
                <w:rFonts w:cs="Arial"/>
                <w:color w:val="000000"/>
                <w:szCs w:val="20"/>
              </w:rPr>
              <w:t xml:space="preserve"> 500 </w:t>
            </w:r>
            <w:r w:rsidR="001D562F" w:rsidRPr="00B148B1">
              <w:rPr>
                <w:rFonts w:cs="Arial"/>
                <w:color w:val="000000"/>
                <w:szCs w:val="20"/>
              </w:rPr>
              <w:t>do</w:t>
            </w:r>
            <w:r w:rsidRPr="00B148B1">
              <w:rPr>
                <w:rFonts w:cs="Arial"/>
                <w:color w:val="000000"/>
                <w:szCs w:val="20"/>
              </w:rPr>
              <w:t xml:space="preserve"> 2.000 PE</w:t>
            </w:r>
          </w:p>
        </w:tc>
        <w:tc>
          <w:tcPr>
            <w:tcW w:w="859" w:type="pct"/>
            <w:noWrap/>
            <w:vAlign w:val="center"/>
            <w:hideMark/>
          </w:tcPr>
          <w:p w:rsidR="00355D3C" w:rsidRPr="00B148B1" w:rsidRDefault="00355D3C">
            <w:pPr>
              <w:jc w:val="center"/>
              <w:rPr>
                <w:rFonts w:cs="Arial"/>
                <w:szCs w:val="20"/>
              </w:rPr>
            </w:pPr>
            <w:r w:rsidRPr="00B148B1">
              <w:rPr>
                <w:rFonts w:cs="Arial"/>
                <w:szCs w:val="20"/>
              </w:rPr>
              <w:t>260.402</w:t>
            </w:r>
          </w:p>
        </w:tc>
        <w:tc>
          <w:tcPr>
            <w:tcW w:w="626" w:type="pct"/>
            <w:noWrap/>
            <w:vAlign w:val="center"/>
            <w:hideMark/>
          </w:tcPr>
          <w:p w:rsidR="00355D3C" w:rsidRPr="00B148B1" w:rsidRDefault="00355D3C">
            <w:pPr>
              <w:jc w:val="center"/>
              <w:rPr>
                <w:rFonts w:cs="Arial"/>
                <w:szCs w:val="20"/>
              </w:rPr>
            </w:pPr>
            <w:r w:rsidRPr="00B148B1">
              <w:rPr>
                <w:rFonts w:cs="Arial"/>
                <w:szCs w:val="20"/>
              </w:rPr>
              <w:t>170.895</w:t>
            </w:r>
          </w:p>
        </w:tc>
        <w:tc>
          <w:tcPr>
            <w:tcW w:w="469" w:type="pct"/>
            <w:vAlign w:val="center"/>
            <w:hideMark/>
          </w:tcPr>
          <w:p w:rsidR="00355D3C" w:rsidRPr="00B148B1" w:rsidRDefault="00355D3C">
            <w:pPr>
              <w:jc w:val="center"/>
              <w:rPr>
                <w:rFonts w:cs="Arial"/>
                <w:szCs w:val="20"/>
              </w:rPr>
            </w:pPr>
            <w:r w:rsidRPr="00B148B1">
              <w:rPr>
                <w:rFonts w:cs="Arial"/>
                <w:szCs w:val="20"/>
              </w:rPr>
              <w:t>65,6</w:t>
            </w:r>
          </w:p>
        </w:tc>
        <w:tc>
          <w:tcPr>
            <w:tcW w:w="625" w:type="pct"/>
            <w:noWrap/>
            <w:vAlign w:val="center"/>
            <w:hideMark/>
          </w:tcPr>
          <w:p w:rsidR="00355D3C" w:rsidRPr="00B148B1" w:rsidRDefault="00355D3C">
            <w:pPr>
              <w:jc w:val="center"/>
              <w:rPr>
                <w:rFonts w:cs="Arial"/>
                <w:szCs w:val="20"/>
              </w:rPr>
            </w:pPr>
            <w:r w:rsidRPr="00B148B1">
              <w:rPr>
                <w:rFonts w:cs="Arial"/>
                <w:szCs w:val="20"/>
              </w:rPr>
              <w:t>163.699</w:t>
            </w:r>
          </w:p>
        </w:tc>
        <w:tc>
          <w:tcPr>
            <w:tcW w:w="467" w:type="pct"/>
            <w:noWrap/>
            <w:vAlign w:val="center"/>
            <w:hideMark/>
          </w:tcPr>
          <w:p w:rsidR="00355D3C" w:rsidRPr="00B148B1" w:rsidRDefault="00355D3C">
            <w:pPr>
              <w:jc w:val="center"/>
              <w:rPr>
                <w:rFonts w:cs="Arial"/>
                <w:szCs w:val="20"/>
              </w:rPr>
            </w:pPr>
            <w:r w:rsidRPr="00B148B1">
              <w:rPr>
                <w:rFonts w:cs="Arial"/>
                <w:szCs w:val="20"/>
              </w:rPr>
              <w:t>62,9</w:t>
            </w:r>
          </w:p>
        </w:tc>
      </w:tr>
      <w:tr w:rsidR="00355D3C" w:rsidRPr="00B148B1" w:rsidTr="00223993">
        <w:trPr>
          <w:cantSplit/>
          <w:trHeight w:val="340"/>
        </w:trPr>
        <w:tc>
          <w:tcPr>
            <w:tcW w:w="1953" w:type="pct"/>
            <w:vAlign w:val="center"/>
            <w:hideMark/>
          </w:tcPr>
          <w:p w:rsidR="00355D3C" w:rsidRPr="00B148B1" w:rsidRDefault="00355D3C" w:rsidP="00BA3787">
            <w:pPr>
              <w:jc w:val="right"/>
              <w:rPr>
                <w:rFonts w:cs="Arial"/>
                <w:b/>
                <w:i/>
                <w:szCs w:val="20"/>
              </w:rPr>
            </w:pPr>
            <w:r w:rsidRPr="00B148B1">
              <w:rPr>
                <w:rFonts w:cs="Arial"/>
                <w:b/>
                <w:i/>
                <w:szCs w:val="20"/>
              </w:rPr>
              <w:t>aglomeracije &lt; 2.000 PE</w:t>
            </w:r>
          </w:p>
        </w:tc>
        <w:tc>
          <w:tcPr>
            <w:tcW w:w="859" w:type="pct"/>
            <w:noWrap/>
            <w:vAlign w:val="center"/>
            <w:hideMark/>
          </w:tcPr>
          <w:p w:rsidR="00355D3C" w:rsidRPr="00B148B1" w:rsidRDefault="00355D3C">
            <w:pPr>
              <w:jc w:val="center"/>
              <w:rPr>
                <w:rFonts w:cs="Arial"/>
                <w:b/>
                <w:bCs/>
                <w:i/>
                <w:iCs/>
                <w:szCs w:val="20"/>
              </w:rPr>
            </w:pPr>
            <w:r w:rsidRPr="00B148B1">
              <w:rPr>
                <w:rFonts w:cs="Arial"/>
                <w:b/>
                <w:bCs/>
                <w:i/>
                <w:iCs/>
                <w:szCs w:val="20"/>
              </w:rPr>
              <w:t>480.765</w:t>
            </w:r>
          </w:p>
        </w:tc>
        <w:tc>
          <w:tcPr>
            <w:tcW w:w="626" w:type="pct"/>
            <w:noWrap/>
            <w:vAlign w:val="center"/>
            <w:hideMark/>
          </w:tcPr>
          <w:p w:rsidR="00355D3C" w:rsidRPr="00B148B1" w:rsidRDefault="00355D3C">
            <w:pPr>
              <w:jc w:val="center"/>
              <w:rPr>
                <w:rFonts w:cs="Arial"/>
                <w:b/>
                <w:bCs/>
                <w:i/>
                <w:iCs/>
                <w:szCs w:val="20"/>
              </w:rPr>
            </w:pPr>
            <w:r w:rsidRPr="00B148B1">
              <w:rPr>
                <w:rFonts w:cs="Arial"/>
                <w:b/>
                <w:bCs/>
                <w:i/>
                <w:iCs/>
                <w:szCs w:val="20"/>
              </w:rPr>
              <w:t>240.499</w:t>
            </w:r>
          </w:p>
        </w:tc>
        <w:tc>
          <w:tcPr>
            <w:tcW w:w="469" w:type="pct"/>
            <w:vAlign w:val="center"/>
            <w:hideMark/>
          </w:tcPr>
          <w:p w:rsidR="00355D3C" w:rsidRPr="00B148B1" w:rsidRDefault="00355D3C">
            <w:pPr>
              <w:jc w:val="center"/>
              <w:rPr>
                <w:rFonts w:cs="Arial"/>
                <w:b/>
                <w:bCs/>
                <w:szCs w:val="20"/>
              </w:rPr>
            </w:pPr>
            <w:r w:rsidRPr="00B148B1">
              <w:rPr>
                <w:rFonts w:cs="Arial"/>
                <w:b/>
                <w:bCs/>
                <w:szCs w:val="20"/>
              </w:rPr>
              <w:t>50,0</w:t>
            </w:r>
          </w:p>
        </w:tc>
        <w:tc>
          <w:tcPr>
            <w:tcW w:w="625" w:type="pct"/>
            <w:noWrap/>
            <w:vAlign w:val="center"/>
            <w:hideMark/>
          </w:tcPr>
          <w:p w:rsidR="00355D3C" w:rsidRPr="00B148B1" w:rsidRDefault="00355D3C">
            <w:pPr>
              <w:jc w:val="center"/>
              <w:rPr>
                <w:rFonts w:cs="Arial"/>
                <w:b/>
                <w:bCs/>
                <w:i/>
                <w:iCs/>
                <w:szCs w:val="20"/>
              </w:rPr>
            </w:pPr>
            <w:r w:rsidRPr="00B148B1">
              <w:rPr>
                <w:rFonts w:cs="Arial"/>
                <w:b/>
                <w:bCs/>
                <w:i/>
                <w:iCs/>
                <w:szCs w:val="20"/>
              </w:rPr>
              <w:t>225.033</w:t>
            </w:r>
          </w:p>
        </w:tc>
        <w:tc>
          <w:tcPr>
            <w:tcW w:w="467" w:type="pct"/>
            <w:noWrap/>
            <w:vAlign w:val="center"/>
            <w:hideMark/>
          </w:tcPr>
          <w:p w:rsidR="00355D3C" w:rsidRPr="00B148B1" w:rsidRDefault="00355D3C">
            <w:pPr>
              <w:jc w:val="center"/>
              <w:rPr>
                <w:rFonts w:cs="Arial"/>
                <w:b/>
                <w:bCs/>
                <w:szCs w:val="20"/>
              </w:rPr>
            </w:pPr>
            <w:r w:rsidRPr="00B148B1">
              <w:rPr>
                <w:rFonts w:cs="Arial"/>
                <w:b/>
                <w:bCs/>
                <w:szCs w:val="20"/>
              </w:rPr>
              <w:t>46,8</w:t>
            </w:r>
          </w:p>
        </w:tc>
      </w:tr>
      <w:tr w:rsidR="00355D3C" w:rsidRPr="00B148B1" w:rsidTr="00223993">
        <w:trPr>
          <w:cantSplit/>
          <w:trHeight w:val="340"/>
        </w:trPr>
        <w:tc>
          <w:tcPr>
            <w:tcW w:w="1953" w:type="pct"/>
            <w:vAlign w:val="center"/>
            <w:hideMark/>
          </w:tcPr>
          <w:p w:rsidR="00355D3C" w:rsidRPr="00B148B1" w:rsidRDefault="00355D3C" w:rsidP="001D562F">
            <w:pPr>
              <w:spacing w:line="240" w:lineRule="auto"/>
              <w:jc w:val="right"/>
              <w:rPr>
                <w:rFonts w:cs="Arial"/>
                <w:bCs/>
                <w:iCs/>
                <w:color w:val="000000"/>
                <w:szCs w:val="20"/>
                <w:lang w:eastAsia="sl-SI"/>
              </w:rPr>
            </w:pPr>
            <w:r w:rsidRPr="00B148B1">
              <w:rPr>
                <w:rFonts w:cs="Arial"/>
                <w:color w:val="000000"/>
                <w:szCs w:val="20"/>
              </w:rPr>
              <w:t xml:space="preserve">aglomeracije </w:t>
            </w:r>
            <w:r w:rsidR="001D562F" w:rsidRPr="00B148B1">
              <w:rPr>
                <w:rFonts w:cs="Arial"/>
                <w:color w:val="000000"/>
                <w:szCs w:val="20"/>
              </w:rPr>
              <w:t>od</w:t>
            </w:r>
            <w:r w:rsidRPr="00B148B1">
              <w:rPr>
                <w:rFonts w:cs="Arial"/>
                <w:color w:val="000000"/>
                <w:szCs w:val="20"/>
              </w:rPr>
              <w:t xml:space="preserve"> 2.000 </w:t>
            </w:r>
            <w:r w:rsidR="001D562F" w:rsidRPr="00B148B1">
              <w:rPr>
                <w:rFonts w:cs="Arial"/>
                <w:color w:val="000000"/>
                <w:szCs w:val="20"/>
              </w:rPr>
              <w:t>do</w:t>
            </w:r>
            <w:r w:rsidRPr="00B148B1">
              <w:rPr>
                <w:rFonts w:cs="Arial"/>
                <w:color w:val="000000"/>
                <w:szCs w:val="20"/>
              </w:rPr>
              <w:t xml:space="preserve"> 10.000 PE</w:t>
            </w:r>
          </w:p>
        </w:tc>
        <w:tc>
          <w:tcPr>
            <w:tcW w:w="859" w:type="pct"/>
            <w:noWrap/>
            <w:vAlign w:val="center"/>
            <w:hideMark/>
          </w:tcPr>
          <w:p w:rsidR="00355D3C" w:rsidRPr="00B148B1" w:rsidRDefault="00355D3C">
            <w:pPr>
              <w:jc w:val="center"/>
              <w:rPr>
                <w:rFonts w:cs="Arial"/>
                <w:szCs w:val="20"/>
              </w:rPr>
            </w:pPr>
            <w:r w:rsidRPr="00B148B1">
              <w:rPr>
                <w:rFonts w:cs="Arial"/>
                <w:szCs w:val="20"/>
              </w:rPr>
              <w:t>415.402</w:t>
            </w:r>
          </w:p>
        </w:tc>
        <w:tc>
          <w:tcPr>
            <w:tcW w:w="626" w:type="pct"/>
            <w:noWrap/>
            <w:vAlign w:val="center"/>
            <w:hideMark/>
          </w:tcPr>
          <w:p w:rsidR="00355D3C" w:rsidRPr="00B148B1" w:rsidRDefault="00355D3C">
            <w:pPr>
              <w:jc w:val="center"/>
              <w:rPr>
                <w:rFonts w:cs="Arial"/>
                <w:szCs w:val="20"/>
              </w:rPr>
            </w:pPr>
            <w:r w:rsidRPr="00B148B1">
              <w:rPr>
                <w:rFonts w:cs="Arial"/>
                <w:szCs w:val="20"/>
              </w:rPr>
              <w:t>359.271</w:t>
            </w:r>
          </w:p>
        </w:tc>
        <w:tc>
          <w:tcPr>
            <w:tcW w:w="469" w:type="pct"/>
            <w:vAlign w:val="center"/>
            <w:hideMark/>
          </w:tcPr>
          <w:p w:rsidR="00355D3C" w:rsidRPr="00B148B1" w:rsidRDefault="00355D3C">
            <w:pPr>
              <w:jc w:val="center"/>
              <w:rPr>
                <w:rFonts w:cs="Arial"/>
                <w:szCs w:val="20"/>
              </w:rPr>
            </w:pPr>
            <w:r w:rsidRPr="00B148B1">
              <w:rPr>
                <w:rFonts w:cs="Arial"/>
                <w:szCs w:val="20"/>
              </w:rPr>
              <w:t>86,5</w:t>
            </w:r>
          </w:p>
        </w:tc>
        <w:tc>
          <w:tcPr>
            <w:tcW w:w="625" w:type="pct"/>
            <w:noWrap/>
            <w:vAlign w:val="center"/>
            <w:hideMark/>
          </w:tcPr>
          <w:p w:rsidR="00355D3C" w:rsidRPr="00B148B1" w:rsidRDefault="00355D3C">
            <w:pPr>
              <w:jc w:val="center"/>
              <w:rPr>
                <w:rFonts w:cs="Arial"/>
                <w:szCs w:val="20"/>
              </w:rPr>
            </w:pPr>
            <w:r w:rsidRPr="00B148B1">
              <w:rPr>
                <w:rFonts w:cs="Arial"/>
                <w:szCs w:val="20"/>
              </w:rPr>
              <w:t>334.485</w:t>
            </w:r>
          </w:p>
        </w:tc>
        <w:tc>
          <w:tcPr>
            <w:tcW w:w="467" w:type="pct"/>
            <w:noWrap/>
            <w:vAlign w:val="center"/>
            <w:hideMark/>
          </w:tcPr>
          <w:p w:rsidR="00355D3C" w:rsidRPr="00B148B1" w:rsidRDefault="00355D3C">
            <w:pPr>
              <w:jc w:val="center"/>
              <w:rPr>
                <w:rFonts w:cs="Arial"/>
                <w:szCs w:val="20"/>
              </w:rPr>
            </w:pPr>
            <w:r w:rsidRPr="00B148B1">
              <w:rPr>
                <w:rFonts w:cs="Arial"/>
                <w:szCs w:val="20"/>
              </w:rPr>
              <w:t>80,5</w:t>
            </w:r>
          </w:p>
        </w:tc>
      </w:tr>
      <w:tr w:rsidR="00355D3C" w:rsidRPr="00B148B1" w:rsidTr="00223993">
        <w:trPr>
          <w:cantSplit/>
          <w:trHeight w:val="340"/>
        </w:trPr>
        <w:tc>
          <w:tcPr>
            <w:tcW w:w="1953" w:type="pct"/>
            <w:vAlign w:val="center"/>
            <w:hideMark/>
          </w:tcPr>
          <w:p w:rsidR="00355D3C" w:rsidRPr="00B148B1" w:rsidRDefault="00355D3C" w:rsidP="00BA3787">
            <w:pPr>
              <w:spacing w:line="240" w:lineRule="auto"/>
              <w:jc w:val="right"/>
              <w:rPr>
                <w:rFonts w:cs="Arial"/>
                <w:bCs/>
                <w:iCs/>
                <w:color w:val="000000"/>
                <w:szCs w:val="20"/>
                <w:lang w:eastAsia="sl-SI"/>
              </w:rPr>
            </w:pPr>
            <w:r w:rsidRPr="00B148B1">
              <w:rPr>
                <w:rFonts w:cs="Arial"/>
                <w:bCs/>
                <w:iCs/>
                <w:color w:val="000000"/>
                <w:szCs w:val="20"/>
                <w:lang w:eastAsia="sl-SI"/>
              </w:rPr>
              <w:t xml:space="preserve">aglomeracije </w:t>
            </w:r>
            <w:r w:rsidR="001D562F" w:rsidRPr="00B148B1">
              <w:rPr>
                <w:rFonts w:cs="Arial"/>
                <w:bCs/>
                <w:iCs/>
                <w:color w:val="000000"/>
                <w:szCs w:val="20"/>
                <w:lang w:eastAsia="sl-SI"/>
              </w:rPr>
              <w:t>od</w:t>
            </w:r>
            <w:r w:rsidRPr="00B148B1">
              <w:rPr>
                <w:rFonts w:cs="Arial"/>
                <w:bCs/>
                <w:iCs/>
                <w:color w:val="000000"/>
                <w:szCs w:val="20"/>
                <w:lang w:eastAsia="sl-SI"/>
              </w:rPr>
              <w:t xml:space="preserve"> 10.000 </w:t>
            </w:r>
            <w:r w:rsidR="001D562F" w:rsidRPr="00B148B1">
              <w:rPr>
                <w:rFonts w:cs="Arial"/>
                <w:bCs/>
                <w:iCs/>
                <w:color w:val="000000"/>
                <w:szCs w:val="20"/>
                <w:lang w:eastAsia="sl-SI"/>
              </w:rPr>
              <w:t>do</w:t>
            </w:r>
            <w:r w:rsidRPr="00B148B1">
              <w:rPr>
                <w:rFonts w:cs="Arial"/>
                <w:bCs/>
                <w:iCs/>
                <w:color w:val="000000"/>
                <w:szCs w:val="20"/>
                <w:lang w:eastAsia="sl-SI"/>
              </w:rPr>
              <w:t xml:space="preserve"> 15.000 PE</w:t>
            </w:r>
          </w:p>
        </w:tc>
        <w:tc>
          <w:tcPr>
            <w:tcW w:w="859" w:type="pct"/>
            <w:noWrap/>
            <w:vAlign w:val="center"/>
            <w:hideMark/>
          </w:tcPr>
          <w:p w:rsidR="00355D3C" w:rsidRPr="00B148B1" w:rsidRDefault="00355D3C">
            <w:pPr>
              <w:jc w:val="center"/>
              <w:rPr>
                <w:rFonts w:cs="Arial"/>
                <w:szCs w:val="20"/>
              </w:rPr>
            </w:pPr>
            <w:r w:rsidRPr="00B148B1">
              <w:rPr>
                <w:rFonts w:cs="Arial"/>
                <w:szCs w:val="20"/>
              </w:rPr>
              <w:t>118.370</w:t>
            </w:r>
          </w:p>
        </w:tc>
        <w:tc>
          <w:tcPr>
            <w:tcW w:w="626" w:type="pct"/>
            <w:noWrap/>
            <w:vAlign w:val="center"/>
            <w:hideMark/>
          </w:tcPr>
          <w:p w:rsidR="00355D3C" w:rsidRPr="00B148B1" w:rsidRDefault="00355D3C">
            <w:pPr>
              <w:jc w:val="center"/>
              <w:rPr>
                <w:rFonts w:cs="Arial"/>
                <w:szCs w:val="20"/>
              </w:rPr>
            </w:pPr>
            <w:r w:rsidRPr="00B148B1">
              <w:rPr>
                <w:rFonts w:cs="Arial"/>
                <w:szCs w:val="20"/>
              </w:rPr>
              <w:t>109.899</w:t>
            </w:r>
          </w:p>
        </w:tc>
        <w:tc>
          <w:tcPr>
            <w:tcW w:w="469" w:type="pct"/>
            <w:vAlign w:val="center"/>
            <w:hideMark/>
          </w:tcPr>
          <w:p w:rsidR="00355D3C" w:rsidRPr="00B148B1" w:rsidRDefault="00355D3C">
            <w:pPr>
              <w:jc w:val="center"/>
              <w:rPr>
                <w:rFonts w:cs="Arial"/>
                <w:szCs w:val="20"/>
              </w:rPr>
            </w:pPr>
            <w:r w:rsidRPr="00B148B1">
              <w:rPr>
                <w:rFonts w:cs="Arial"/>
                <w:szCs w:val="20"/>
              </w:rPr>
              <w:t>92,8</w:t>
            </w:r>
          </w:p>
        </w:tc>
        <w:tc>
          <w:tcPr>
            <w:tcW w:w="625" w:type="pct"/>
            <w:noWrap/>
            <w:vAlign w:val="center"/>
            <w:hideMark/>
          </w:tcPr>
          <w:p w:rsidR="00355D3C" w:rsidRPr="00B148B1" w:rsidRDefault="00355D3C">
            <w:pPr>
              <w:jc w:val="center"/>
              <w:rPr>
                <w:rFonts w:cs="Arial"/>
                <w:szCs w:val="20"/>
              </w:rPr>
            </w:pPr>
            <w:r w:rsidRPr="00B148B1">
              <w:rPr>
                <w:rFonts w:cs="Arial"/>
                <w:szCs w:val="20"/>
              </w:rPr>
              <w:t>109.899</w:t>
            </w:r>
          </w:p>
        </w:tc>
        <w:tc>
          <w:tcPr>
            <w:tcW w:w="467" w:type="pct"/>
            <w:noWrap/>
            <w:vAlign w:val="center"/>
            <w:hideMark/>
          </w:tcPr>
          <w:p w:rsidR="00355D3C" w:rsidRPr="00B148B1" w:rsidRDefault="00355D3C">
            <w:pPr>
              <w:jc w:val="center"/>
              <w:rPr>
                <w:rFonts w:cs="Arial"/>
                <w:szCs w:val="20"/>
              </w:rPr>
            </w:pPr>
            <w:r w:rsidRPr="00B148B1">
              <w:rPr>
                <w:rFonts w:cs="Arial"/>
                <w:szCs w:val="20"/>
              </w:rPr>
              <w:t>92,8</w:t>
            </w:r>
          </w:p>
        </w:tc>
      </w:tr>
      <w:tr w:rsidR="00355D3C" w:rsidRPr="00B148B1" w:rsidTr="00223993">
        <w:trPr>
          <w:cantSplit/>
          <w:trHeight w:val="340"/>
        </w:trPr>
        <w:tc>
          <w:tcPr>
            <w:tcW w:w="1953" w:type="pct"/>
            <w:vAlign w:val="center"/>
            <w:hideMark/>
          </w:tcPr>
          <w:p w:rsidR="00355D3C" w:rsidRPr="00B148B1" w:rsidRDefault="00355D3C" w:rsidP="00BA3787">
            <w:pPr>
              <w:spacing w:line="240" w:lineRule="auto"/>
              <w:jc w:val="right"/>
              <w:rPr>
                <w:rFonts w:cs="Arial"/>
                <w:bCs/>
                <w:iCs/>
                <w:color w:val="000000"/>
                <w:szCs w:val="20"/>
                <w:lang w:eastAsia="sl-SI"/>
              </w:rPr>
            </w:pPr>
            <w:r w:rsidRPr="00B148B1">
              <w:rPr>
                <w:rFonts w:cs="Arial"/>
                <w:bCs/>
                <w:iCs/>
                <w:color w:val="000000"/>
                <w:szCs w:val="20"/>
                <w:lang w:eastAsia="sl-SI"/>
              </w:rPr>
              <w:t>aglomeracije ≥ 15.000 PE</w:t>
            </w:r>
          </w:p>
        </w:tc>
        <w:tc>
          <w:tcPr>
            <w:tcW w:w="859" w:type="pct"/>
            <w:noWrap/>
            <w:vAlign w:val="center"/>
            <w:hideMark/>
          </w:tcPr>
          <w:p w:rsidR="00355D3C" w:rsidRPr="00B148B1" w:rsidRDefault="00355D3C">
            <w:pPr>
              <w:jc w:val="center"/>
              <w:rPr>
                <w:rFonts w:cs="Arial"/>
                <w:szCs w:val="20"/>
              </w:rPr>
            </w:pPr>
            <w:r w:rsidRPr="00B148B1">
              <w:rPr>
                <w:rFonts w:cs="Arial"/>
                <w:szCs w:val="20"/>
              </w:rPr>
              <w:t>1.069.872</w:t>
            </w:r>
          </w:p>
        </w:tc>
        <w:tc>
          <w:tcPr>
            <w:tcW w:w="626" w:type="pct"/>
            <w:noWrap/>
            <w:vAlign w:val="center"/>
            <w:hideMark/>
          </w:tcPr>
          <w:p w:rsidR="00355D3C" w:rsidRPr="00B148B1" w:rsidRDefault="00355D3C">
            <w:pPr>
              <w:jc w:val="center"/>
              <w:rPr>
                <w:rFonts w:cs="Arial"/>
                <w:szCs w:val="20"/>
              </w:rPr>
            </w:pPr>
            <w:r w:rsidRPr="00B148B1">
              <w:rPr>
                <w:rFonts w:cs="Arial"/>
                <w:szCs w:val="20"/>
              </w:rPr>
              <w:t>1.002.867</w:t>
            </w:r>
          </w:p>
        </w:tc>
        <w:tc>
          <w:tcPr>
            <w:tcW w:w="469" w:type="pct"/>
            <w:vAlign w:val="center"/>
            <w:hideMark/>
          </w:tcPr>
          <w:p w:rsidR="00355D3C" w:rsidRPr="00B148B1" w:rsidRDefault="00355D3C">
            <w:pPr>
              <w:jc w:val="center"/>
              <w:rPr>
                <w:rFonts w:cs="Arial"/>
                <w:szCs w:val="20"/>
              </w:rPr>
            </w:pPr>
            <w:r w:rsidRPr="00B148B1">
              <w:rPr>
                <w:rFonts w:cs="Arial"/>
                <w:szCs w:val="20"/>
              </w:rPr>
              <w:t>93,7</w:t>
            </w:r>
          </w:p>
        </w:tc>
        <w:tc>
          <w:tcPr>
            <w:tcW w:w="625" w:type="pct"/>
            <w:noWrap/>
            <w:vAlign w:val="center"/>
            <w:hideMark/>
          </w:tcPr>
          <w:p w:rsidR="00355D3C" w:rsidRPr="00B148B1" w:rsidRDefault="00355D3C">
            <w:pPr>
              <w:jc w:val="center"/>
              <w:rPr>
                <w:rFonts w:cs="Arial"/>
                <w:szCs w:val="20"/>
              </w:rPr>
            </w:pPr>
            <w:r w:rsidRPr="00B148B1">
              <w:rPr>
                <w:rFonts w:cs="Arial"/>
                <w:szCs w:val="20"/>
              </w:rPr>
              <w:t>998.808</w:t>
            </w:r>
          </w:p>
        </w:tc>
        <w:tc>
          <w:tcPr>
            <w:tcW w:w="467" w:type="pct"/>
            <w:noWrap/>
            <w:vAlign w:val="center"/>
            <w:hideMark/>
          </w:tcPr>
          <w:p w:rsidR="00355D3C" w:rsidRPr="00B148B1" w:rsidRDefault="00355D3C">
            <w:pPr>
              <w:jc w:val="center"/>
              <w:rPr>
                <w:rFonts w:cs="Arial"/>
                <w:szCs w:val="20"/>
              </w:rPr>
            </w:pPr>
            <w:r w:rsidRPr="00B148B1">
              <w:rPr>
                <w:rFonts w:cs="Arial"/>
                <w:szCs w:val="20"/>
              </w:rPr>
              <w:t>93,4</w:t>
            </w:r>
          </w:p>
        </w:tc>
      </w:tr>
      <w:tr w:rsidR="00355D3C" w:rsidRPr="00B148B1" w:rsidTr="00223993">
        <w:trPr>
          <w:cantSplit/>
          <w:trHeight w:val="340"/>
        </w:trPr>
        <w:tc>
          <w:tcPr>
            <w:tcW w:w="1953" w:type="pct"/>
            <w:vAlign w:val="center"/>
            <w:hideMark/>
          </w:tcPr>
          <w:p w:rsidR="00355D3C" w:rsidRPr="00B148B1" w:rsidRDefault="00355D3C" w:rsidP="00BA3787">
            <w:pPr>
              <w:jc w:val="right"/>
              <w:rPr>
                <w:rFonts w:cs="Arial"/>
                <w:b/>
                <w:i/>
                <w:szCs w:val="20"/>
              </w:rPr>
            </w:pPr>
            <w:r w:rsidRPr="00B148B1">
              <w:rPr>
                <w:rFonts w:cs="Arial"/>
                <w:b/>
                <w:i/>
                <w:szCs w:val="20"/>
              </w:rPr>
              <w:t>aglomeracije ≥ 2.000 PE</w:t>
            </w:r>
          </w:p>
        </w:tc>
        <w:tc>
          <w:tcPr>
            <w:tcW w:w="859" w:type="pct"/>
            <w:noWrap/>
            <w:vAlign w:val="center"/>
            <w:hideMark/>
          </w:tcPr>
          <w:p w:rsidR="00355D3C" w:rsidRPr="00B148B1" w:rsidRDefault="00355D3C">
            <w:pPr>
              <w:jc w:val="center"/>
              <w:rPr>
                <w:rFonts w:cs="Arial"/>
                <w:b/>
                <w:bCs/>
                <w:i/>
                <w:iCs/>
                <w:szCs w:val="20"/>
              </w:rPr>
            </w:pPr>
            <w:r w:rsidRPr="00B148B1">
              <w:rPr>
                <w:rFonts w:cs="Arial"/>
                <w:b/>
                <w:bCs/>
                <w:i/>
                <w:iCs/>
                <w:szCs w:val="20"/>
              </w:rPr>
              <w:t>1.603.644</w:t>
            </w:r>
          </w:p>
        </w:tc>
        <w:tc>
          <w:tcPr>
            <w:tcW w:w="626" w:type="pct"/>
            <w:noWrap/>
            <w:vAlign w:val="center"/>
            <w:hideMark/>
          </w:tcPr>
          <w:p w:rsidR="00355D3C" w:rsidRPr="00B148B1" w:rsidRDefault="00355D3C">
            <w:pPr>
              <w:jc w:val="center"/>
              <w:rPr>
                <w:rFonts w:cs="Arial"/>
                <w:b/>
                <w:bCs/>
                <w:i/>
                <w:iCs/>
                <w:szCs w:val="20"/>
              </w:rPr>
            </w:pPr>
            <w:r w:rsidRPr="00B148B1">
              <w:rPr>
                <w:rFonts w:cs="Arial"/>
                <w:b/>
                <w:bCs/>
                <w:i/>
                <w:iCs/>
                <w:szCs w:val="20"/>
              </w:rPr>
              <w:t>1.472.037</w:t>
            </w:r>
          </w:p>
        </w:tc>
        <w:tc>
          <w:tcPr>
            <w:tcW w:w="469" w:type="pct"/>
            <w:vAlign w:val="center"/>
            <w:hideMark/>
          </w:tcPr>
          <w:p w:rsidR="00355D3C" w:rsidRPr="00B148B1" w:rsidRDefault="00355D3C">
            <w:pPr>
              <w:jc w:val="center"/>
              <w:rPr>
                <w:rFonts w:cs="Arial"/>
                <w:b/>
                <w:bCs/>
                <w:szCs w:val="20"/>
              </w:rPr>
            </w:pPr>
            <w:r w:rsidRPr="00B148B1">
              <w:rPr>
                <w:rFonts w:cs="Arial"/>
                <w:b/>
                <w:bCs/>
                <w:szCs w:val="20"/>
              </w:rPr>
              <w:t>91,8</w:t>
            </w:r>
          </w:p>
        </w:tc>
        <w:tc>
          <w:tcPr>
            <w:tcW w:w="625" w:type="pct"/>
            <w:noWrap/>
            <w:vAlign w:val="center"/>
            <w:hideMark/>
          </w:tcPr>
          <w:p w:rsidR="00355D3C" w:rsidRPr="00B148B1" w:rsidRDefault="00355D3C">
            <w:pPr>
              <w:jc w:val="center"/>
              <w:rPr>
                <w:rFonts w:cs="Arial"/>
                <w:b/>
                <w:bCs/>
                <w:i/>
                <w:iCs/>
                <w:szCs w:val="20"/>
              </w:rPr>
            </w:pPr>
            <w:r w:rsidRPr="00B148B1">
              <w:rPr>
                <w:rFonts w:cs="Arial"/>
                <w:b/>
                <w:bCs/>
                <w:i/>
                <w:iCs/>
                <w:szCs w:val="20"/>
              </w:rPr>
              <w:t>1.443.192</w:t>
            </w:r>
          </w:p>
        </w:tc>
        <w:tc>
          <w:tcPr>
            <w:tcW w:w="467" w:type="pct"/>
            <w:noWrap/>
            <w:vAlign w:val="center"/>
            <w:hideMark/>
          </w:tcPr>
          <w:p w:rsidR="00355D3C" w:rsidRPr="00B148B1" w:rsidRDefault="00355D3C">
            <w:pPr>
              <w:jc w:val="center"/>
              <w:rPr>
                <w:rFonts w:cs="Arial"/>
                <w:b/>
                <w:bCs/>
                <w:szCs w:val="20"/>
              </w:rPr>
            </w:pPr>
            <w:r w:rsidRPr="00B148B1">
              <w:rPr>
                <w:rFonts w:cs="Arial"/>
                <w:b/>
                <w:bCs/>
                <w:szCs w:val="20"/>
              </w:rPr>
              <w:t>90,0</w:t>
            </w:r>
          </w:p>
        </w:tc>
      </w:tr>
      <w:tr w:rsidR="00355D3C" w:rsidRPr="00B148B1" w:rsidTr="00223993">
        <w:trPr>
          <w:cantSplit/>
          <w:trHeight w:val="340"/>
        </w:trPr>
        <w:tc>
          <w:tcPr>
            <w:tcW w:w="1953" w:type="pct"/>
            <w:vAlign w:val="center"/>
            <w:hideMark/>
          </w:tcPr>
          <w:p w:rsidR="00355D3C" w:rsidRPr="00B148B1" w:rsidRDefault="00355D3C" w:rsidP="00BA3787">
            <w:pPr>
              <w:spacing w:line="240" w:lineRule="auto"/>
              <w:jc w:val="center"/>
              <w:rPr>
                <w:rFonts w:cs="Arial"/>
                <w:b/>
                <w:bCs/>
                <w:i/>
                <w:iCs/>
                <w:color w:val="000000"/>
                <w:szCs w:val="20"/>
                <w:lang w:eastAsia="sl-SI"/>
              </w:rPr>
            </w:pPr>
            <w:r w:rsidRPr="00B148B1">
              <w:rPr>
                <w:rFonts w:cs="Arial"/>
                <w:b/>
                <w:bCs/>
                <w:i/>
                <w:iCs/>
                <w:color w:val="000000"/>
                <w:szCs w:val="20"/>
                <w:lang w:eastAsia="sl-SI"/>
              </w:rPr>
              <w:t>SKUPAJ</w:t>
            </w:r>
          </w:p>
        </w:tc>
        <w:tc>
          <w:tcPr>
            <w:tcW w:w="859" w:type="pct"/>
            <w:vAlign w:val="center"/>
            <w:hideMark/>
          </w:tcPr>
          <w:p w:rsidR="00355D3C" w:rsidRPr="00B148B1" w:rsidRDefault="00355D3C">
            <w:pPr>
              <w:jc w:val="center"/>
              <w:rPr>
                <w:rFonts w:cs="Arial"/>
                <w:b/>
                <w:bCs/>
                <w:szCs w:val="20"/>
              </w:rPr>
            </w:pPr>
            <w:r w:rsidRPr="00B148B1">
              <w:rPr>
                <w:rFonts w:cs="Arial"/>
                <w:b/>
                <w:bCs/>
                <w:szCs w:val="20"/>
              </w:rPr>
              <w:t>2.084.409</w:t>
            </w:r>
          </w:p>
        </w:tc>
        <w:tc>
          <w:tcPr>
            <w:tcW w:w="626" w:type="pct"/>
            <w:vAlign w:val="center"/>
            <w:hideMark/>
          </w:tcPr>
          <w:p w:rsidR="00355D3C" w:rsidRPr="00B148B1" w:rsidRDefault="00355D3C">
            <w:pPr>
              <w:jc w:val="center"/>
              <w:rPr>
                <w:rFonts w:cs="Arial"/>
                <w:b/>
                <w:bCs/>
                <w:szCs w:val="20"/>
              </w:rPr>
            </w:pPr>
            <w:r w:rsidRPr="00B148B1">
              <w:rPr>
                <w:rFonts w:cs="Arial"/>
                <w:b/>
                <w:bCs/>
                <w:szCs w:val="20"/>
              </w:rPr>
              <w:t>1.712.536</w:t>
            </w:r>
          </w:p>
        </w:tc>
        <w:tc>
          <w:tcPr>
            <w:tcW w:w="469" w:type="pct"/>
            <w:vAlign w:val="center"/>
            <w:hideMark/>
          </w:tcPr>
          <w:p w:rsidR="00355D3C" w:rsidRPr="00B148B1" w:rsidRDefault="00355D3C">
            <w:pPr>
              <w:jc w:val="center"/>
              <w:rPr>
                <w:rFonts w:cs="Arial"/>
                <w:b/>
                <w:bCs/>
                <w:szCs w:val="20"/>
              </w:rPr>
            </w:pPr>
            <w:r w:rsidRPr="00B148B1">
              <w:rPr>
                <w:rFonts w:cs="Arial"/>
                <w:b/>
                <w:bCs/>
                <w:szCs w:val="20"/>
              </w:rPr>
              <w:t>82,2</w:t>
            </w:r>
          </w:p>
        </w:tc>
        <w:tc>
          <w:tcPr>
            <w:tcW w:w="625" w:type="pct"/>
            <w:vAlign w:val="center"/>
            <w:hideMark/>
          </w:tcPr>
          <w:p w:rsidR="00355D3C" w:rsidRPr="00B148B1" w:rsidRDefault="00355D3C">
            <w:pPr>
              <w:jc w:val="center"/>
              <w:rPr>
                <w:rFonts w:cs="Arial"/>
                <w:b/>
                <w:bCs/>
                <w:szCs w:val="20"/>
              </w:rPr>
            </w:pPr>
            <w:r w:rsidRPr="00B148B1">
              <w:rPr>
                <w:rFonts w:cs="Arial"/>
                <w:b/>
                <w:bCs/>
                <w:szCs w:val="20"/>
              </w:rPr>
              <w:t>1.668.225</w:t>
            </w:r>
          </w:p>
        </w:tc>
        <w:tc>
          <w:tcPr>
            <w:tcW w:w="467" w:type="pct"/>
            <w:noWrap/>
            <w:vAlign w:val="center"/>
            <w:hideMark/>
          </w:tcPr>
          <w:p w:rsidR="00355D3C" w:rsidRPr="00B148B1" w:rsidRDefault="00355D3C">
            <w:pPr>
              <w:jc w:val="center"/>
              <w:rPr>
                <w:rFonts w:cs="Arial"/>
                <w:b/>
                <w:bCs/>
                <w:szCs w:val="20"/>
              </w:rPr>
            </w:pPr>
            <w:r w:rsidRPr="00B148B1">
              <w:rPr>
                <w:rFonts w:cs="Arial"/>
                <w:b/>
                <w:bCs/>
                <w:szCs w:val="20"/>
              </w:rPr>
              <w:t>80,0</w:t>
            </w:r>
          </w:p>
        </w:tc>
      </w:tr>
    </w:tbl>
    <w:p w:rsidR="00BA3787" w:rsidRPr="00B148B1" w:rsidRDefault="00BA3787" w:rsidP="00BA3787">
      <w:pPr>
        <w:tabs>
          <w:tab w:val="left" w:leader="dot" w:pos="993"/>
          <w:tab w:val="left" w:pos="9600"/>
        </w:tabs>
        <w:spacing w:before="120" w:line="280" w:lineRule="atLeast"/>
        <w:ind w:left="993" w:hanging="993"/>
        <w:rPr>
          <w:rFonts w:cs="Arial"/>
          <w:bCs/>
          <w:iCs/>
          <w:color w:val="000000"/>
          <w:sz w:val="18"/>
          <w:szCs w:val="18"/>
          <w:lang w:eastAsia="sl-SI"/>
        </w:rPr>
      </w:pPr>
      <w:r w:rsidRPr="00B148B1">
        <w:rPr>
          <w:rFonts w:cs="Arial"/>
          <w:bCs/>
          <w:iCs/>
          <w:color w:val="000000"/>
          <w:sz w:val="18"/>
          <w:szCs w:val="18"/>
          <w:lang w:eastAsia="sl-SI"/>
        </w:rPr>
        <w:t>JKO</w:t>
      </w:r>
      <w:r w:rsidR="003B3136" w:rsidRPr="00B148B1">
        <w:rPr>
          <w:rFonts w:cs="Arial"/>
          <w:bCs/>
          <w:iCs/>
          <w:color w:val="000000"/>
          <w:sz w:val="18"/>
          <w:szCs w:val="18"/>
          <w:lang w:eastAsia="sl-SI"/>
        </w:rPr>
        <w:t xml:space="preserve"> </w:t>
      </w:r>
      <w:r w:rsidR="003B3136" w:rsidRPr="00B148B1">
        <w:rPr>
          <w:rFonts w:cs="Arial"/>
          <w:color w:val="202122"/>
          <w:sz w:val="18"/>
          <w:szCs w:val="18"/>
          <w:shd w:val="clear" w:color="auto" w:fill="FFFFFF"/>
        </w:rPr>
        <w:t xml:space="preserve">– </w:t>
      </w:r>
      <w:r w:rsidRPr="00B148B1">
        <w:rPr>
          <w:rFonts w:cs="Arial"/>
          <w:bCs/>
          <w:iCs/>
          <w:color w:val="000000"/>
          <w:sz w:val="18"/>
          <w:szCs w:val="18"/>
          <w:lang w:eastAsia="sl-SI"/>
        </w:rPr>
        <w:t>javno kanalizacijsko omrežje;</w:t>
      </w:r>
    </w:p>
    <w:p w:rsidR="00BA3787" w:rsidRPr="00B148B1" w:rsidRDefault="00BA3787" w:rsidP="00BA3787">
      <w:pPr>
        <w:tabs>
          <w:tab w:val="left" w:leader="dot" w:pos="993"/>
          <w:tab w:val="left" w:pos="9600"/>
        </w:tabs>
        <w:spacing w:before="120" w:line="280" w:lineRule="atLeast"/>
        <w:ind w:left="993" w:hanging="993"/>
        <w:rPr>
          <w:rFonts w:cs="Arial"/>
          <w:bCs/>
          <w:iCs/>
          <w:color w:val="000000"/>
          <w:sz w:val="18"/>
          <w:szCs w:val="18"/>
          <w:lang w:eastAsia="sl-SI"/>
        </w:rPr>
      </w:pPr>
      <w:r w:rsidRPr="00B148B1">
        <w:rPr>
          <w:rFonts w:cs="Arial"/>
          <w:bCs/>
          <w:iCs/>
          <w:color w:val="000000"/>
          <w:sz w:val="18"/>
          <w:szCs w:val="18"/>
          <w:lang w:eastAsia="sl-SI"/>
        </w:rPr>
        <w:t>ČN</w:t>
      </w:r>
      <w:r w:rsidR="003B3136" w:rsidRPr="00B148B1">
        <w:rPr>
          <w:rFonts w:cs="Arial"/>
          <w:bCs/>
          <w:iCs/>
          <w:color w:val="000000"/>
          <w:sz w:val="18"/>
          <w:szCs w:val="18"/>
          <w:lang w:eastAsia="sl-SI"/>
        </w:rPr>
        <w:t xml:space="preserve"> </w:t>
      </w:r>
      <w:r w:rsidR="003B3136" w:rsidRPr="00B148B1">
        <w:rPr>
          <w:rFonts w:cs="Arial"/>
          <w:color w:val="202122"/>
          <w:sz w:val="18"/>
          <w:szCs w:val="18"/>
          <w:shd w:val="clear" w:color="auto" w:fill="FFFFFF"/>
        </w:rPr>
        <w:t xml:space="preserve">– </w:t>
      </w:r>
      <w:r w:rsidRPr="00B148B1">
        <w:rPr>
          <w:rFonts w:cs="Arial"/>
          <w:bCs/>
          <w:iCs/>
          <w:color w:val="000000"/>
          <w:sz w:val="18"/>
          <w:szCs w:val="18"/>
          <w:lang w:eastAsia="sl-SI"/>
        </w:rPr>
        <w:t xml:space="preserve">čistilna naprava, namenjena </w:t>
      </w:r>
      <w:r w:rsidR="00B67D0C" w:rsidRPr="00B148B1">
        <w:rPr>
          <w:rFonts w:cs="Arial"/>
          <w:bCs/>
          <w:iCs/>
          <w:color w:val="000000"/>
          <w:sz w:val="18"/>
          <w:szCs w:val="18"/>
          <w:lang w:eastAsia="sl-SI"/>
        </w:rPr>
        <w:t xml:space="preserve">za </w:t>
      </w:r>
      <w:r w:rsidRPr="00B148B1">
        <w:rPr>
          <w:rFonts w:cs="Arial"/>
          <w:bCs/>
          <w:iCs/>
          <w:color w:val="000000"/>
          <w:sz w:val="18"/>
          <w:szCs w:val="18"/>
          <w:lang w:eastAsia="sl-SI"/>
        </w:rPr>
        <w:t>izvajanj</w:t>
      </w:r>
      <w:r w:rsidR="00B67D0C" w:rsidRPr="00B148B1">
        <w:rPr>
          <w:rFonts w:cs="Arial"/>
          <w:bCs/>
          <w:iCs/>
          <w:color w:val="000000"/>
          <w:sz w:val="18"/>
          <w:szCs w:val="18"/>
          <w:lang w:eastAsia="sl-SI"/>
        </w:rPr>
        <w:t>e</w:t>
      </w:r>
      <w:r w:rsidRPr="00B148B1">
        <w:rPr>
          <w:rFonts w:cs="Arial"/>
          <w:bCs/>
          <w:iCs/>
          <w:color w:val="000000"/>
          <w:sz w:val="18"/>
          <w:szCs w:val="18"/>
          <w:lang w:eastAsia="sl-SI"/>
        </w:rPr>
        <w:t xml:space="preserve"> javne službe.</w:t>
      </w:r>
    </w:p>
    <w:p w:rsidR="00D774EB" w:rsidRPr="00B148B1" w:rsidRDefault="00D774EB" w:rsidP="00CD5722">
      <w:pPr>
        <w:tabs>
          <w:tab w:val="left" w:pos="9600"/>
        </w:tabs>
        <w:spacing w:before="120" w:line="280" w:lineRule="atLeast"/>
        <w:rPr>
          <w:rFonts w:cs="Arial"/>
          <w:szCs w:val="20"/>
        </w:rPr>
      </w:pPr>
    </w:p>
    <w:p w:rsidR="00C770E5" w:rsidRPr="00B148B1" w:rsidRDefault="00CD5722" w:rsidP="00CD5722">
      <w:pPr>
        <w:tabs>
          <w:tab w:val="left" w:pos="9600"/>
        </w:tabs>
        <w:spacing w:before="120" w:line="280" w:lineRule="atLeast"/>
        <w:rPr>
          <w:rFonts w:cs="Arial"/>
          <w:szCs w:val="20"/>
        </w:rPr>
      </w:pPr>
      <w:r w:rsidRPr="00B148B1">
        <w:rPr>
          <w:rFonts w:cs="Arial"/>
          <w:szCs w:val="20"/>
        </w:rPr>
        <w:t xml:space="preserve">Ocena stopnje priključenosti </w:t>
      </w:r>
      <w:r w:rsidR="00D0357C" w:rsidRPr="00B148B1">
        <w:rPr>
          <w:rFonts w:cs="Arial"/>
          <w:szCs w:val="20"/>
        </w:rPr>
        <w:t>glede na skupno obremenitev</w:t>
      </w:r>
      <w:r w:rsidR="00D774EB" w:rsidRPr="00B148B1">
        <w:rPr>
          <w:rFonts w:cs="Arial"/>
          <w:szCs w:val="20"/>
        </w:rPr>
        <w:t xml:space="preserve"> </w:t>
      </w:r>
      <w:r w:rsidRPr="00B148B1">
        <w:rPr>
          <w:rFonts w:cs="Arial"/>
          <w:szCs w:val="20"/>
        </w:rPr>
        <w:t xml:space="preserve">aglomeracije </w:t>
      </w:r>
      <w:r w:rsidR="00D774EB" w:rsidRPr="00B148B1">
        <w:rPr>
          <w:rFonts w:cs="Arial"/>
          <w:szCs w:val="20"/>
        </w:rPr>
        <w:t xml:space="preserve">na javno kanalizacijsko omrežje in na komunalno ali skupno čistilno napravo </w:t>
      </w:r>
      <w:r w:rsidRPr="00B148B1">
        <w:rPr>
          <w:rFonts w:cs="Arial"/>
          <w:szCs w:val="20"/>
        </w:rPr>
        <w:t>po posameznih aglomeracijah</w:t>
      </w:r>
      <w:r w:rsidR="00D774EB" w:rsidRPr="00B148B1">
        <w:rPr>
          <w:rFonts w:cs="Arial"/>
          <w:szCs w:val="20"/>
        </w:rPr>
        <w:t>, kot izhaja iz podatkov</w:t>
      </w:r>
      <w:r w:rsidR="00531F16" w:rsidRPr="00B148B1">
        <w:rPr>
          <w:rFonts w:cs="Arial"/>
          <w:szCs w:val="20"/>
        </w:rPr>
        <w:t xml:space="preserve"> </w:t>
      </w:r>
      <w:r w:rsidR="00D774EB" w:rsidRPr="00B148B1">
        <w:rPr>
          <w:rFonts w:cs="Arial"/>
          <w:szCs w:val="20"/>
        </w:rPr>
        <w:t>IJSVO, je prikazana v prilogi (</w:t>
      </w:r>
      <w:r w:rsidR="00BB19AC" w:rsidRPr="00B148B1">
        <w:rPr>
          <w:rFonts w:cs="Arial"/>
          <w:szCs w:val="20"/>
        </w:rPr>
        <w:t xml:space="preserve">PRILOGA </w:t>
      </w:r>
      <w:r w:rsidR="00CD06BD" w:rsidRPr="00B148B1">
        <w:rPr>
          <w:rFonts w:cs="Arial"/>
          <w:szCs w:val="20"/>
        </w:rPr>
        <w:t>7</w:t>
      </w:r>
      <w:r w:rsidRPr="00B148B1">
        <w:rPr>
          <w:rFonts w:cs="Arial"/>
          <w:szCs w:val="20"/>
        </w:rPr>
        <w:t>)</w:t>
      </w:r>
      <w:r w:rsidR="00D0357C" w:rsidRPr="00B148B1">
        <w:rPr>
          <w:rFonts w:cs="Arial"/>
          <w:szCs w:val="20"/>
        </w:rPr>
        <w:t xml:space="preserve"> </w:t>
      </w:r>
      <w:r w:rsidRPr="00B148B1">
        <w:rPr>
          <w:rFonts w:cs="Arial"/>
          <w:szCs w:val="20"/>
        </w:rPr>
        <w:t>tega operativnega programa</w:t>
      </w:r>
      <w:r w:rsidR="00D774EB" w:rsidRPr="00B148B1">
        <w:rPr>
          <w:rFonts w:cs="Arial"/>
          <w:szCs w:val="20"/>
        </w:rPr>
        <w:t>.</w:t>
      </w:r>
    </w:p>
    <w:p w:rsidR="00C770E5" w:rsidRPr="00B148B1" w:rsidRDefault="00C770E5" w:rsidP="008E5E8C">
      <w:pPr>
        <w:pStyle w:val="Naslov2"/>
      </w:pPr>
      <w:bookmarkStart w:id="100" w:name="_Ref43708864"/>
      <w:bookmarkStart w:id="101" w:name="_Ref43708880"/>
      <w:bookmarkStart w:id="102" w:name="_Ref43721629"/>
      <w:bookmarkStart w:id="103" w:name="_Toc50628082"/>
      <w:r w:rsidRPr="00B148B1">
        <w:t>Preliminarna ocena skladnosti</w:t>
      </w:r>
      <w:bookmarkEnd w:id="100"/>
      <w:bookmarkEnd w:id="101"/>
      <w:bookmarkEnd w:id="102"/>
      <w:bookmarkEnd w:id="103"/>
    </w:p>
    <w:p w:rsidR="00040FDC" w:rsidRPr="00B148B1" w:rsidRDefault="00584997" w:rsidP="00BB5288">
      <w:pPr>
        <w:rPr>
          <w:rFonts w:cs="Arial"/>
        </w:rPr>
      </w:pPr>
      <w:r w:rsidRPr="00B148B1">
        <w:rPr>
          <w:rFonts w:cs="Arial"/>
        </w:rPr>
        <w:t>Podrobnejša navodila</w:t>
      </w:r>
      <w:r w:rsidR="00040FDC" w:rsidRPr="00B148B1">
        <w:rPr>
          <w:rFonts w:cs="Arial"/>
        </w:rPr>
        <w:t xml:space="preserve"> za izdelavo preliminarne ocene skladnosti </w:t>
      </w:r>
      <w:r w:rsidRPr="00B148B1">
        <w:rPr>
          <w:rFonts w:cs="Arial"/>
        </w:rPr>
        <w:t>so opisana</w:t>
      </w:r>
      <w:r w:rsidR="00040FDC" w:rsidRPr="00B148B1">
        <w:rPr>
          <w:rFonts w:cs="Arial"/>
        </w:rPr>
        <w:t xml:space="preserve"> v </w:t>
      </w:r>
      <w:r w:rsidR="00D6798F" w:rsidRPr="00B148B1">
        <w:rPr>
          <w:rFonts w:cs="Arial"/>
        </w:rPr>
        <w:t>pod</w:t>
      </w:r>
      <w:r w:rsidR="00040FDC" w:rsidRPr="00B148B1">
        <w:rPr>
          <w:rFonts w:cs="Arial"/>
        </w:rPr>
        <w:t xml:space="preserve">poglavju 2.1.4.2 Preliminarna ocena skladnosti. </w:t>
      </w:r>
    </w:p>
    <w:p w:rsidR="00584997" w:rsidRPr="00B148B1" w:rsidRDefault="00040FDC" w:rsidP="00040FDC">
      <w:pPr>
        <w:tabs>
          <w:tab w:val="left" w:pos="9600"/>
        </w:tabs>
        <w:spacing w:before="120" w:line="280" w:lineRule="atLeast"/>
        <w:rPr>
          <w:rFonts w:cs="Arial"/>
          <w:szCs w:val="20"/>
        </w:rPr>
      </w:pPr>
      <w:r w:rsidRPr="00B148B1">
        <w:rPr>
          <w:rFonts w:cs="Arial"/>
          <w:szCs w:val="20"/>
        </w:rPr>
        <w:t>Pri izračunu preliminarne ocene skladnosti po posameznih</w:t>
      </w:r>
      <w:r w:rsidR="0055170B" w:rsidRPr="00B148B1">
        <w:rPr>
          <w:rFonts w:cs="Arial"/>
          <w:szCs w:val="20"/>
        </w:rPr>
        <w:t xml:space="preserve"> veljavnih</w:t>
      </w:r>
      <w:r w:rsidR="00BB5288" w:rsidRPr="00B148B1">
        <w:rPr>
          <w:rFonts w:cs="Arial"/>
          <w:szCs w:val="20"/>
        </w:rPr>
        <w:t xml:space="preserve"> </w:t>
      </w:r>
      <w:r w:rsidRPr="00B148B1">
        <w:rPr>
          <w:rFonts w:cs="Arial"/>
          <w:szCs w:val="20"/>
        </w:rPr>
        <w:t xml:space="preserve">aglomeracijah so uporabljeni podatki iz IJSVO, in sicer podatki o stavbah ter obliki odvajanja in čiščenja komunalnih odpadnih in padavinskih voda na referenčni datum 31. december 2018, poročani s strani izvajalcev javnih služb. </w:t>
      </w:r>
    </w:p>
    <w:p w:rsidR="00B22C7D" w:rsidRPr="00B148B1" w:rsidRDefault="00040FDC" w:rsidP="00040FDC">
      <w:pPr>
        <w:tabs>
          <w:tab w:val="left" w:pos="9600"/>
        </w:tabs>
        <w:spacing w:before="120" w:line="280" w:lineRule="atLeast"/>
        <w:rPr>
          <w:rFonts w:cs="Arial"/>
          <w:szCs w:val="20"/>
        </w:rPr>
      </w:pPr>
      <w:r w:rsidRPr="00B148B1">
        <w:rPr>
          <w:rFonts w:cs="Arial"/>
          <w:szCs w:val="20"/>
        </w:rPr>
        <w:t>Prelimin</w:t>
      </w:r>
      <w:r w:rsidR="00584997" w:rsidRPr="00B148B1">
        <w:rPr>
          <w:rFonts w:cs="Arial"/>
          <w:szCs w:val="20"/>
        </w:rPr>
        <w:t>a</w:t>
      </w:r>
      <w:r w:rsidRPr="00B148B1">
        <w:rPr>
          <w:rFonts w:cs="Arial"/>
          <w:szCs w:val="20"/>
        </w:rPr>
        <w:t xml:space="preserve">rna ocena skladnosti glede odvajanja komunalne odpadne vode kaže, da je </w:t>
      </w:r>
      <w:r w:rsidR="00584997" w:rsidRPr="00B148B1">
        <w:rPr>
          <w:rFonts w:cs="Arial"/>
          <w:szCs w:val="20"/>
        </w:rPr>
        <w:t>92</w:t>
      </w:r>
      <w:r w:rsidRPr="00B148B1">
        <w:rPr>
          <w:rFonts w:cs="Arial"/>
          <w:szCs w:val="20"/>
        </w:rPr>
        <w:t xml:space="preserve"> od skupno </w:t>
      </w:r>
      <w:r w:rsidR="0042378B" w:rsidRPr="00B148B1">
        <w:rPr>
          <w:rFonts w:cs="Arial"/>
          <w:szCs w:val="20"/>
        </w:rPr>
        <w:t>123</w:t>
      </w:r>
      <w:r w:rsidR="003712A5" w:rsidRPr="00B148B1">
        <w:rPr>
          <w:rFonts w:cs="Arial"/>
          <w:szCs w:val="20"/>
        </w:rPr>
        <w:t xml:space="preserve"> </w:t>
      </w:r>
      <w:r w:rsidR="0055170B" w:rsidRPr="00B148B1">
        <w:rPr>
          <w:rFonts w:cs="Arial"/>
          <w:szCs w:val="20"/>
        </w:rPr>
        <w:t>veljavnih</w:t>
      </w:r>
      <w:r w:rsidRPr="00B148B1">
        <w:rPr>
          <w:rFonts w:cs="Arial"/>
          <w:szCs w:val="20"/>
        </w:rPr>
        <w:t xml:space="preserve"> aglomeracij s skupno obremenitvijo, enako ali večjo od 2.000 PE skladnih s 3. členom Direktive 91/271/EGS. </w:t>
      </w:r>
      <w:r w:rsidR="003712A5" w:rsidRPr="00B148B1">
        <w:rPr>
          <w:rFonts w:cs="Arial"/>
          <w:szCs w:val="20"/>
        </w:rPr>
        <w:t>Če se za aglomeracije s skupno obremenitvijo, manjšo od 2.000 PE, upoštevajo enaka merila za oceno skladnosti, pa podatki kažejo, da skladnost dosega 93</w:t>
      </w:r>
      <w:r w:rsidR="00426898" w:rsidRPr="00B148B1">
        <w:rPr>
          <w:rFonts w:cs="Arial"/>
          <w:szCs w:val="20"/>
        </w:rPr>
        <w:t>6</w:t>
      </w:r>
      <w:r w:rsidR="003712A5" w:rsidRPr="00B148B1">
        <w:rPr>
          <w:rFonts w:cs="Arial"/>
          <w:szCs w:val="20"/>
        </w:rPr>
        <w:t xml:space="preserve"> </w:t>
      </w:r>
      <w:r w:rsidR="0055170B" w:rsidRPr="00B148B1">
        <w:rPr>
          <w:rFonts w:cs="Arial"/>
          <w:szCs w:val="20"/>
        </w:rPr>
        <w:t>veljavnih</w:t>
      </w:r>
      <w:r w:rsidR="003712A5" w:rsidRPr="00B148B1">
        <w:rPr>
          <w:rFonts w:cs="Arial"/>
          <w:szCs w:val="20"/>
        </w:rPr>
        <w:t xml:space="preserve"> aglomeracij.</w:t>
      </w:r>
    </w:p>
    <w:p w:rsidR="00B22C7D" w:rsidRPr="00B148B1" w:rsidRDefault="00BB5288" w:rsidP="00040FDC">
      <w:pPr>
        <w:tabs>
          <w:tab w:val="left" w:pos="9600"/>
        </w:tabs>
        <w:spacing w:before="120" w:line="280" w:lineRule="atLeast"/>
        <w:rPr>
          <w:rFonts w:cs="Arial"/>
          <w:szCs w:val="20"/>
        </w:rPr>
      </w:pPr>
      <w:r w:rsidRPr="00B148B1">
        <w:rPr>
          <w:rFonts w:cs="Arial"/>
          <w:szCs w:val="20"/>
        </w:rPr>
        <w:t xml:space="preserve">Preliminarna ocena skladnosti glede sekundarnega čiščenja komunalne odpadne vode kaže, da je </w:t>
      </w:r>
      <w:r w:rsidR="0042378B" w:rsidRPr="00B148B1">
        <w:rPr>
          <w:rFonts w:cs="Arial"/>
          <w:szCs w:val="20"/>
        </w:rPr>
        <w:t>67</w:t>
      </w:r>
      <w:r w:rsidRPr="00B148B1">
        <w:rPr>
          <w:rFonts w:cs="Arial"/>
          <w:szCs w:val="20"/>
        </w:rPr>
        <w:t xml:space="preserve"> od skupno </w:t>
      </w:r>
      <w:r w:rsidR="0042378B" w:rsidRPr="00B148B1">
        <w:rPr>
          <w:rFonts w:cs="Arial"/>
          <w:szCs w:val="20"/>
        </w:rPr>
        <w:t>123</w:t>
      </w:r>
      <w:r w:rsidR="003712A5" w:rsidRPr="00B148B1">
        <w:rPr>
          <w:rFonts w:cs="Arial"/>
          <w:szCs w:val="20"/>
        </w:rPr>
        <w:t xml:space="preserve"> </w:t>
      </w:r>
      <w:r w:rsidR="0055170B" w:rsidRPr="00B148B1">
        <w:rPr>
          <w:rFonts w:cs="Arial"/>
          <w:szCs w:val="20"/>
        </w:rPr>
        <w:t>veljavnih</w:t>
      </w:r>
      <w:r w:rsidRPr="00B148B1">
        <w:rPr>
          <w:rFonts w:cs="Arial"/>
          <w:szCs w:val="20"/>
        </w:rPr>
        <w:t xml:space="preserve"> aglomeracij s skupno obremenitvijo, enako ali večjo od 2.000 PE skladnih s 4. členom Direktive 91/271/EGS. </w:t>
      </w:r>
      <w:r w:rsidR="003712A5" w:rsidRPr="00B148B1">
        <w:rPr>
          <w:rFonts w:cs="Arial"/>
          <w:szCs w:val="20"/>
        </w:rPr>
        <w:t>Če se za aglomeracije s skupno obremenitvijo, manjšo od 2.000 PE, upoštevajo enaka merila za oceno skladnosti, pa podatki kažejo, da skladnost dosega 7</w:t>
      </w:r>
      <w:r w:rsidR="00094087" w:rsidRPr="00B148B1">
        <w:rPr>
          <w:rFonts w:cs="Arial"/>
          <w:szCs w:val="20"/>
        </w:rPr>
        <w:t>09</w:t>
      </w:r>
      <w:r w:rsidR="003712A5" w:rsidRPr="00B148B1">
        <w:rPr>
          <w:rFonts w:cs="Arial"/>
          <w:szCs w:val="20"/>
        </w:rPr>
        <w:t xml:space="preserve"> </w:t>
      </w:r>
      <w:r w:rsidR="0055170B" w:rsidRPr="00B148B1">
        <w:rPr>
          <w:rFonts w:cs="Arial"/>
          <w:szCs w:val="20"/>
        </w:rPr>
        <w:t>veljavnih</w:t>
      </w:r>
      <w:r w:rsidR="003712A5" w:rsidRPr="00B148B1">
        <w:rPr>
          <w:rFonts w:cs="Arial"/>
          <w:szCs w:val="20"/>
        </w:rPr>
        <w:t xml:space="preserve"> aglomeracij.</w:t>
      </w:r>
    </w:p>
    <w:p w:rsidR="00040FDC" w:rsidRPr="00B148B1" w:rsidRDefault="00040FDC" w:rsidP="00040FDC">
      <w:pPr>
        <w:tabs>
          <w:tab w:val="left" w:pos="9600"/>
        </w:tabs>
        <w:spacing w:before="120" w:line="280" w:lineRule="atLeast"/>
        <w:rPr>
          <w:rFonts w:cs="Arial"/>
          <w:szCs w:val="20"/>
        </w:rPr>
      </w:pPr>
      <w:r w:rsidRPr="00B148B1">
        <w:rPr>
          <w:rFonts w:cs="Arial"/>
          <w:szCs w:val="20"/>
        </w:rPr>
        <w:t xml:space="preserve">Preliminarna ocena skladnosti glede strožjega čiščenja komunalne odpadne vode kaže, da je </w:t>
      </w:r>
      <w:r w:rsidR="0042378B" w:rsidRPr="00B148B1">
        <w:rPr>
          <w:rFonts w:cs="Arial"/>
          <w:szCs w:val="20"/>
        </w:rPr>
        <w:t>3</w:t>
      </w:r>
      <w:r w:rsidR="002C7E53" w:rsidRPr="00B148B1">
        <w:rPr>
          <w:rFonts w:cs="Arial"/>
          <w:szCs w:val="20"/>
        </w:rPr>
        <w:t>1</w:t>
      </w:r>
      <w:r w:rsidRPr="00B148B1">
        <w:rPr>
          <w:rFonts w:cs="Arial"/>
          <w:szCs w:val="20"/>
        </w:rPr>
        <w:t xml:space="preserve"> </w:t>
      </w:r>
      <w:r w:rsidR="0055170B" w:rsidRPr="00B148B1">
        <w:rPr>
          <w:rFonts w:cs="Arial"/>
          <w:szCs w:val="20"/>
        </w:rPr>
        <w:t>veljavnih</w:t>
      </w:r>
      <w:r w:rsidR="003712A5" w:rsidRPr="00B148B1">
        <w:rPr>
          <w:rFonts w:cs="Arial"/>
          <w:szCs w:val="20"/>
        </w:rPr>
        <w:t xml:space="preserve"> </w:t>
      </w:r>
      <w:r w:rsidRPr="00B148B1">
        <w:rPr>
          <w:rFonts w:cs="Arial"/>
          <w:szCs w:val="20"/>
        </w:rPr>
        <w:t xml:space="preserve">aglomeracij s skupno obremenitvijo, enako ali večjo od 2.000 PE skladnih s 5. členom Direktive 91/271/EGS. </w:t>
      </w:r>
    </w:p>
    <w:p w:rsidR="00040FDC" w:rsidRPr="00B148B1" w:rsidRDefault="00040FDC" w:rsidP="00040FDC">
      <w:pPr>
        <w:tabs>
          <w:tab w:val="left" w:pos="9600"/>
        </w:tabs>
        <w:spacing w:before="120" w:line="280" w:lineRule="atLeast"/>
        <w:rPr>
          <w:rFonts w:cs="Arial"/>
          <w:szCs w:val="20"/>
        </w:rPr>
      </w:pPr>
      <w:r w:rsidRPr="00B148B1">
        <w:rPr>
          <w:rFonts w:cs="Arial"/>
          <w:szCs w:val="20"/>
        </w:rPr>
        <w:lastRenderedPageBreak/>
        <w:t xml:space="preserve">Podatki o preliminarni oceni skladnosti </w:t>
      </w:r>
      <w:r w:rsidR="0055170B" w:rsidRPr="00B148B1">
        <w:rPr>
          <w:rFonts w:cs="Arial"/>
          <w:szCs w:val="20"/>
        </w:rPr>
        <w:t>veljavnih</w:t>
      </w:r>
      <w:r w:rsidR="00AB7290" w:rsidRPr="00B148B1">
        <w:rPr>
          <w:rFonts w:cs="Arial"/>
          <w:szCs w:val="20"/>
        </w:rPr>
        <w:t xml:space="preserve"> </w:t>
      </w:r>
      <w:r w:rsidRPr="00B148B1">
        <w:rPr>
          <w:rFonts w:cs="Arial"/>
          <w:szCs w:val="20"/>
        </w:rPr>
        <w:t xml:space="preserve">aglomeracij so prikazani v prilogi (PRILOGA </w:t>
      </w:r>
      <w:r w:rsidR="00BC2F5D" w:rsidRPr="00B148B1">
        <w:rPr>
          <w:rFonts w:cs="Arial"/>
          <w:szCs w:val="20"/>
        </w:rPr>
        <w:t>8</w:t>
      </w:r>
      <w:r w:rsidRPr="00B148B1">
        <w:rPr>
          <w:rFonts w:cs="Arial"/>
          <w:szCs w:val="20"/>
        </w:rPr>
        <w:t>), ki je sestavni del tega operativnega programa.</w:t>
      </w:r>
    </w:p>
    <w:p w:rsidR="009E3C40" w:rsidRPr="00B148B1" w:rsidRDefault="009E3C40" w:rsidP="008E5E8C">
      <w:pPr>
        <w:pStyle w:val="Naslov2"/>
      </w:pPr>
      <w:bookmarkStart w:id="104" w:name="_Ref530403012"/>
      <w:bookmarkStart w:id="105" w:name="_Ref530406798"/>
      <w:bookmarkStart w:id="106" w:name="_Toc50628083"/>
      <w:r w:rsidRPr="00B148B1">
        <w:t xml:space="preserve">Ocena opremljenosti na območju </w:t>
      </w:r>
      <w:r w:rsidR="008C6D60" w:rsidRPr="00B148B1">
        <w:t>zunaj</w:t>
      </w:r>
      <w:r w:rsidRPr="00B148B1">
        <w:t xml:space="preserve"> meja aglomeracij</w:t>
      </w:r>
      <w:bookmarkEnd w:id="104"/>
      <w:bookmarkEnd w:id="105"/>
      <w:bookmarkEnd w:id="106"/>
    </w:p>
    <w:p w:rsidR="00861FB2" w:rsidRPr="00B148B1" w:rsidRDefault="00861FB2" w:rsidP="00861FB2">
      <w:pPr>
        <w:tabs>
          <w:tab w:val="left" w:pos="9600"/>
        </w:tabs>
        <w:spacing w:before="120" w:line="280" w:lineRule="atLeast"/>
        <w:rPr>
          <w:rFonts w:cs="Arial"/>
          <w:szCs w:val="20"/>
        </w:rPr>
      </w:pPr>
      <w:r w:rsidRPr="00B148B1">
        <w:rPr>
          <w:rFonts w:cs="Arial"/>
          <w:szCs w:val="20"/>
        </w:rPr>
        <w:t xml:space="preserve">Za izdelavo ocene stopnje priključenosti na območju </w:t>
      </w:r>
      <w:r w:rsidR="008C6D60" w:rsidRPr="00B148B1">
        <w:rPr>
          <w:rFonts w:cs="Arial"/>
          <w:szCs w:val="20"/>
        </w:rPr>
        <w:t xml:space="preserve">zunaj </w:t>
      </w:r>
      <w:r w:rsidRPr="00B148B1">
        <w:rPr>
          <w:rFonts w:cs="Arial"/>
          <w:szCs w:val="20"/>
        </w:rPr>
        <w:t xml:space="preserve">meja </w:t>
      </w:r>
      <w:r w:rsidR="0055170B" w:rsidRPr="00B148B1">
        <w:rPr>
          <w:rFonts w:cs="Arial"/>
          <w:szCs w:val="20"/>
        </w:rPr>
        <w:t>veljavnih</w:t>
      </w:r>
      <w:r w:rsidRPr="00B148B1">
        <w:rPr>
          <w:rFonts w:cs="Arial"/>
          <w:szCs w:val="20"/>
        </w:rPr>
        <w:t xml:space="preserve"> aglomeracij je upoštevana obremenitev iz naslova stalno prijavljenih prebivalcev</w:t>
      </w:r>
      <w:r w:rsidR="00E76109" w:rsidRPr="00B148B1">
        <w:rPr>
          <w:rFonts w:cs="Arial"/>
          <w:szCs w:val="20"/>
        </w:rPr>
        <w:t xml:space="preserve">, </w:t>
      </w:r>
      <w:r w:rsidR="00B67D0C" w:rsidRPr="00B148B1">
        <w:rPr>
          <w:rFonts w:cs="Arial"/>
          <w:szCs w:val="20"/>
        </w:rPr>
        <w:t>podatke za katero so s</w:t>
      </w:r>
      <w:r w:rsidR="00E76109" w:rsidRPr="00B148B1">
        <w:rPr>
          <w:rFonts w:cs="Arial"/>
          <w:szCs w:val="20"/>
        </w:rPr>
        <w:t>poroč</w:t>
      </w:r>
      <w:r w:rsidR="00B67D0C" w:rsidRPr="00B148B1">
        <w:rPr>
          <w:rFonts w:cs="Arial"/>
          <w:szCs w:val="20"/>
        </w:rPr>
        <w:t>ile</w:t>
      </w:r>
      <w:r w:rsidR="00E76109" w:rsidRPr="00B148B1">
        <w:rPr>
          <w:rFonts w:cs="Arial"/>
          <w:szCs w:val="20"/>
        </w:rPr>
        <w:t xml:space="preserve"> občin</w:t>
      </w:r>
      <w:r w:rsidR="00B67D0C" w:rsidRPr="00B148B1">
        <w:rPr>
          <w:rFonts w:cs="Arial"/>
          <w:szCs w:val="20"/>
        </w:rPr>
        <w:t>e</w:t>
      </w:r>
      <w:r w:rsidR="00E76109" w:rsidRPr="00B148B1">
        <w:rPr>
          <w:rFonts w:cs="Arial"/>
          <w:szCs w:val="20"/>
        </w:rPr>
        <w:t xml:space="preserve"> oziroma izvajalc</w:t>
      </w:r>
      <w:r w:rsidR="00B67D0C" w:rsidRPr="00B148B1">
        <w:rPr>
          <w:rFonts w:cs="Arial"/>
          <w:szCs w:val="20"/>
        </w:rPr>
        <w:t>i</w:t>
      </w:r>
      <w:r w:rsidR="00E76109" w:rsidRPr="00B148B1">
        <w:rPr>
          <w:rFonts w:cs="Arial"/>
          <w:szCs w:val="20"/>
        </w:rPr>
        <w:t xml:space="preserve"> javne službe,</w:t>
      </w:r>
      <w:r w:rsidRPr="00B148B1">
        <w:rPr>
          <w:rFonts w:cs="Arial"/>
          <w:szCs w:val="20"/>
        </w:rPr>
        <w:t xml:space="preserve"> na presečni datum 31. december 201</w:t>
      </w:r>
      <w:r w:rsidR="00434D29" w:rsidRPr="00B148B1">
        <w:rPr>
          <w:rFonts w:cs="Arial"/>
          <w:szCs w:val="20"/>
        </w:rPr>
        <w:t>8</w:t>
      </w:r>
      <w:r w:rsidRPr="00B148B1">
        <w:rPr>
          <w:rFonts w:cs="Arial"/>
          <w:szCs w:val="20"/>
        </w:rPr>
        <w:t>.</w:t>
      </w:r>
    </w:p>
    <w:p w:rsidR="00E76109" w:rsidRPr="00B148B1" w:rsidRDefault="00E76109" w:rsidP="00861FB2">
      <w:pPr>
        <w:tabs>
          <w:tab w:val="left" w:pos="9600"/>
        </w:tabs>
        <w:spacing w:before="120" w:line="280" w:lineRule="atLeast"/>
        <w:rPr>
          <w:rFonts w:cs="Arial"/>
          <w:szCs w:val="20"/>
        </w:rPr>
      </w:pPr>
      <w:r w:rsidRPr="00B148B1">
        <w:rPr>
          <w:rFonts w:cs="Arial"/>
          <w:szCs w:val="20"/>
        </w:rPr>
        <w:t>Ocena kaže, da je na presečni datum 31. december 201</w:t>
      </w:r>
      <w:r w:rsidR="00434D29" w:rsidRPr="00B148B1">
        <w:rPr>
          <w:rFonts w:cs="Arial"/>
          <w:szCs w:val="20"/>
        </w:rPr>
        <w:t>8</w:t>
      </w:r>
      <w:r w:rsidRPr="00B148B1">
        <w:rPr>
          <w:rFonts w:cs="Arial"/>
          <w:szCs w:val="20"/>
        </w:rPr>
        <w:t xml:space="preserve"> po podatkih IJSVO ustrezno odvajanje in čiščenje komunalne odpadne vode zagotovljeno za </w:t>
      </w:r>
      <w:r w:rsidR="0014164B" w:rsidRPr="00B148B1">
        <w:rPr>
          <w:rFonts w:cs="Arial"/>
          <w:szCs w:val="20"/>
        </w:rPr>
        <w:t>19</w:t>
      </w:r>
      <w:r w:rsidR="000869C2" w:rsidRPr="00B148B1">
        <w:rPr>
          <w:rFonts w:cs="Arial"/>
          <w:szCs w:val="20"/>
        </w:rPr>
        <w:t>,2</w:t>
      </w:r>
      <w:r w:rsidRPr="00B148B1">
        <w:rPr>
          <w:rFonts w:cs="Arial"/>
          <w:szCs w:val="20"/>
        </w:rPr>
        <w:t xml:space="preserve"> </w:t>
      </w:r>
      <w:r w:rsidR="00B67D0C" w:rsidRPr="00B148B1">
        <w:rPr>
          <w:rFonts w:cs="Arial"/>
          <w:szCs w:val="20"/>
        </w:rPr>
        <w:t xml:space="preserve">% </w:t>
      </w:r>
      <w:r w:rsidRPr="00B148B1">
        <w:rPr>
          <w:rFonts w:cs="Arial"/>
          <w:szCs w:val="20"/>
        </w:rPr>
        <w:t>(</w:t>
      </w:r>
      <w:r w:rsidR="0014164B" w:rsidRPr="00B148B1">
        <w:rPr>
          <w:rFonts w:cs="Arial"/>
          <w:szCs w:val="20"/>
        </w:rPr>
        <w:t>8</w:t>
      </w:r>
      <w:r w:rsidR="00A35A5E" w:rsidRPr="00B148B1">
        <w:rPr>
          <w:rFonts w:cs="Arial"/>
          <w:szCs w:val="20"/>
        </w:rPr>
        <w:t>5</w:t>
      </w:r>
      <w:r w:rsidR="0014164B" w:rsidRPr="00B148B1">
        <w:rPr>
          <w:rFonts w:cs="Arial"/>
          <w:szCs w:val="20"/>
        </w:rPr>
        <w:t>.</w:t>
      </w:r>
      <w:r w:rsidR="00A35A5E" w:rsidRPr="00B148B1">
        <w:rPr>
          <w:rFonts w:cs="Arial"/>
          <w:szCs w:val="20"/>
        </w:rPr>
        <w:t>083</w:t>
      </w:r>
      <w:r w:rsidRPr="00B148B1">
        <w:rPr>
          <w:rFonts w:cs="Arial"/>
          <w:szCs w:val="20"/>
        </w:rPr>
        <w:t xml:space="preserve"> PE) obremenitve</w:t>
      </w:r>
      <w:r w:rsidR="00013C11" w:rsidRPr="00B148B1">
        <w:rPr>
          <w:rFonts w:cs="Arial"/>
          <w:szCs w:val="20"/>
        </w:rPr>
        <w:t xml:space="preserve"> iz naslova stalno prijavljenih prebivalcev</w:t>
      </w:r>
      <w:r w:rsidRPr="00B148B1">
        <w:rPr>
          <w:rFonts w:cs="Arial"/>
          <w:szCs w:val="20"/>
        </w:rPr>
        <w:t xml:space="preserve">, ki nastaja </w:t>
      </w:r>
      <w:r w:rsidR="008C6D60" w:rsidRPr="00B148B1">
        <w:rPr>
          <w:rFonts w:cs="Arial"/>
          <w:szCs w:val="20"/>
        </w:rPr>
        <w:t xml:space="preserve">zunaj </w:t>
      </w:r>
      <w:r w:rsidR="00013C11" w:rsidRPr="00B148B1">
        <w:rPr>
          <w:rFonts w:cs="Arial"/>
          <w:szCs w:val="20"/>
        </w:rPr>
        <w:t xml:space="preserve">meja </w:t>
      </w:r>
      <w:r w:rsidRPr="00B148B1">
        <w:rPr>
          <w:rFonts w:cs="Arial"/>
          <w:szCs w:val="20"/>
        </w:rPr>
        <w:t>aglomeracij. Ocena</w:t>
      </w:r>
      <w:r w:rsidR="00861FB2" w:rsidRPr="00B148B1">
        <w:rPr>
          <w:rFonts w:cs="Arial"/>
          <w:szCs w:val="20"/>
        </w:rPr>
        <w:t xml:space="preserve"> stopnje priključenosti na </w:t>
      </w:r>
      <w:r w:rsidRPr="00B148B1">
        <w:rPr>
          <w:rFonts w:cs="Arial"/>
          <w:szCs w:val="20"/>
        </w:rPr>
        <w:t>posamezno vrsto ureditve za odvajanje in čiščenje komunalne odpadne vode je podrobneje</w:t>
      </w:r>
      <w:r w:rsidR="00861FB2" w:rsidRPr="00B148B1">
        <w:rPr>
          <w:rFonts w:cs="Arial"/>
          <w:szCs w:val="20"/>
        </w:rPr>
        <w:t xml:space="preserve"> prik</w:t>
      </w:r>
      <w:r w:rsidRPr="00B148B1">
        <w:rPr>
          <w:rFonts w:cs="Arial"/>
          <w:szCs w:val="20"/>
        </w:rPr>
        <w:t>azana</w:t>
      </w:r>
      <w:r w:rsidR="00861FB2" w:rsidRPr="00B148B1">
        <w:rPr>
          <w:rFonts w:cs="Arial"/>
          <w:szCs w:val="20"/>
        </w:rPr>
        <w:t xml:space="preserve"> v preglednici </w:t>
      </w:r>
      <w:r w:rsidRPr="00B148B1">
        <w:rPr>
          <w:rFonts w:cs="Arial"/>
          <w:szCs w:val="20"/>
        </w:rPr>
        <w:t>(</w:t>
      </w:r>
      <w:r w:rsidRPr="00B148B1">
        <w:rPr>
          <w:rFonts w:cs="Arial"/>
          <w:szCs w:val="20"/>
        </w:rPr>
        <w:fldChar w:fldCharType="begin"/>
      </w:r>
      <w:r w:rsidRPr="00B148B1">
        <w:rPr>
          <w:rFonts w:cs="Arial"/>
          <w:szCs w:val="20"/>
        </w:rPr>
        <w:instrText xml:space="preserve"> REF _Ref527113861 \h  \* MERGEFORMAT </w:instrText>
      </w:r>
      <w:r w:rsidRPr="00B148B1">
        <w:rPr>
          <w:rFonts w:cs="Arial"/>
          <w:szCs w:val="20"/>
        </w:rPr>
      </w:r>
      <w:r w:rsidRPr="00B148B1">
        <w:rPr>
          <w:rFonts w:cs="Arial"/>
          <w:szCs w:val="20"/>
        </w:rPr>
        <w:fldChar w:fldCharType="separate"/>
      </w:r>
      <w:r w:rsidR="00E92793" w:rsidRPr="00B148B1">
        <w:rPr>
          <w:rFonts w:cs="Arial"/>
          <w:szCs w:val="20"/>
        </w:rPr>
        <w:t xml:space="preserve">Preglednica </w:t>
      </w:r>
      <w:r w:rsidR="00E92793">
        <w:rPr>
          <w:rFonts w:cs="Arial"/>
          <w:noProof/>
          <w:szCs w:val="20"/>
        </w:rPr>
        <w:t>11</w:t>
      </w:r>
      <w:r w:rsidRPr="00B148B1">
        <w:rPr>
          <w:rFonts w:cs="Arial"/>
          <w:szCs w:val="20"/>
        </w:rPr>
        <w:fldChar w:fldCharType="end"/>
      </w:r>
      <w:r w:rsidRPr="00B148B1">
        <w:rPr>
          <w:rFonts w:cs="Arial"/>
          <w:szCs w:val="20"/>
        </w:rPr>
        <w:t xml:space="preserve">). </w:t>
      </w:r>
    </w:p>
    <w:p w:rsidR="00380110" w:rsidRPr="00B148B1" w:rsidRDefault="00380110" w:rsidP="00380110">
      <w:pPr>
        <w:tabs>
          <w:tab w:val="left" w:pos="9600"/>
        </w:tabs>
        <w:spacing w:before="120" w:line="280" w:lineRule="atLeast"/>
        <w:rPr>
          <w:rFonts w:cs="Arial"/>
          <w:szCs w:val="20"/>
        </w:rPr>
      </w:pPr>
      <w:bookmarkStart w:id="107" w:name="_Ref527113861"/>
      <w:bookmarkStart w:id="108" w:name="_Toc50626727"/>
      <w:r w:rsidRPr="00B148B1">
        <w:rPr>
          <w:rFonts w:cs="Arial"/>
          <w:szCs w:val="20"/>
        </w:rPr>
        <w:t xml:space="preserve">Preglednica </w:t>
      </w:r>
      <w:r w:rsidRPr="00B148B1">
        <w:rPr>
          <w:rFonts w:cs="Arial"/>
          <w:szCs w:val="20"/>
        </w:rPr>
        <w:fldChar w:fldCharType="begin"/>
      </w:r>
      <w:r w:rsidRPr="00B148B1">
        <w:rPr>
          <w:rFonts w:cs="Arial"/>
          <w:szCs w:val="20"/>
        </w:rPr>
        <w:instrText xml:space="preserve"> SEQ Preglednica \* ARABIC </w:instrText>
      </w:r>
      <w:r w:rsidRPr="00B148B1">
        <w:rPr>
          <w:rFonts w:cs="Arial"/>
          <w:szCs w:val="20"/>
        </w:rPr>
        <w:fldChar w:fldCharType="separate"/>
      </w:r>
      <w:r w:rsidR="00E92793">
        <w:rPr>
          <w:rFonts w:cs="Arial"/>
          <w:noProof/>
          <w:szCs w:val="20"/>
        </w:rPr>
        <w:t>11</w:t>
      </w:r>
      <w:r w:rsidRPr="00B148B1">
        <w:rPr>
          <w:rFonts w:cs="Arial"/>
          <w:szCs w:val="20"/>
        </w:rPr>
        <w:fldChar w:fldCharType="end"/>
      </w:r>
      <w:bookmarkEnd w:id="107"/>
      <w:r w:rsidRPr="00B148B1">
        <w:rPr>
          <w:rFonts w:cs="Arial"/>
          <w:szCs w:val="20"/>
        </w:rPr>
        <w:t xml:space="preserve">: Skupna obremenitev po načinu izvajanja javne službe </w:t>
      </w:r>
      <w:r w:rsidR="008C6D60" w:rsidRPr="00B148B1">
        <w:rPr>
          <w:rFonts w:cs="Arial"/>
          <w:szCs w:val="20"/>
        </w:rPr>
        <w:t>zunaj</w:t>
      </w:r>
      <w:r w:rsidRPr="00B148B1">
        <w:rPr>
          <w:rFonts w:cs="Arial"/>
          <w:szCs w:val="20"/>
        </w:rPr>
        <w:t xml:space="preserve"> meja aglomeracij</w:t>
      </w:r>
      <w:bookmarkEnd w:id="108"/>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4A0" w:firstRow="1" w:lastRow="0" w:firstColumn="1" w:lastColumn="0" w:noHBand="0" w:noVBand="1"/>
      </w:tblPr>
      <w:tblGrid>
        <w:gridCol w:w="3150"/>
        <w:gridCol w:w="2976"/>
        <w:gridCol w:w="2998"/>
      </w:tblGrid>
      <w:tr w:rsidR="00380110" w:rsidRPr="00B148B1" w:rsidTr="00004CF5">
        <w:trPr>
          <w:trHeight w:val="340"/>
          <w:tblHeader/>
        </w:trPr>
        <w:tc>
          <w:tcPr>
            <w:tcW w:w="1726" w:type="pct"/>
            <w:vAlign w:val="center"/>
            <w:hideMark/>
          </w:tcPr>
          <w:p w:rsidR="00380110" w:rsidRPr="00B148B1" w:rsidRDefault="00380110" w:rsidP="000501FC">
            <w:pPr>
              <w:autoSpaceDE w:val="0"/>
              <w:autoSpaceDN w:val="0"/>
              <w:adjustRightInd w:val="0"/>
              <w:spacing w:line="240" w:lineRule="auto"/>
              <w:jc w:val="center"/>
              <w:rPr>
                <w:rFonts w:cs="Arial"/>
                <w:b/>
                <w:bCs/>
                <w:color w:val="000000"/>
                <w:szCs w:val="20"/>
                <w:lang w:eastAsia="sl-SI"/>
              </w:rPr>
            </w:pPr>
            <w:r w:rsidRPr="00B148B1">
              <w:rPr>
                <w:rFonts w:cs="Arial"/>
                <w:b/>
                <w:bCs/>
                <w:color w:val="000000"/>
                <w:szCs w:val="20"/>
                <w:lang w:eastAsia="sl-SI"/>
              </w:rPr>
              <w:t>Način izvajanja javne službe</w:t>
            </w:r>
          </w:p>
        </w:tc>
        <w:tc>
          <w:tcPr>
            <w:tcW w:w="3274" w:type="pct"/>
            <w:gridSpan w:val="2"/>
            <w:vAlign w:val="center"/>
            <w:hideMark/>
          </w:tcPr>
          <w:p w:rsidR="00380110" w:rsidRPr="00B148B1" w:rsidRDefault="00013C11" w:rsidP="000501FC">
            <w:pPr>
              <w:autoSpaceDE w:val="0"/>
              <w:autoSpaceDN w:val="0"/>
              <w:adjustRightInd w:val="0"/>
              <w:spacing w:line="240" w:lineRule="auto"/>
              <w:jc w:val="center"/>
              <w:rPr>
                <w:rFonts w:cs="Arial"/>
                <w:b/>
                <w:bCs/>
                <w:color w:val="000000"/>
                <w:szCs w:val="20"/>
                <w:lang w:eastAsia="sl-SI"/>
              </w:rPr>
            </w:pPr>
            <w:r w:rsidRPr="00B148B1">
              <w:rPr>
                <w:rFonts w:cs="Arial"/>
                <w:b/>
                <w:bCs/>
                <w:color w:val="000000"/>
                <w:szCs w:val="20"/>
                <w:lang w:eastAsia="sl-SI"/>
              </w:rPr>
              <w:t>O</w:t>
            </w:r>
            <w:r w:rsidR="00380110" w:rsidRPr="00B148B1">
              <w:rPr>
                <w:rFonts w:cs="Arial"/>
                <w:b/>
                <w:bCs/>
                <w:color w:val="000000"/>
                <w:szCs w:val="20"/>
                <w:lang w:eastAsia="sl-SI"/>
              </w:rPr>
              <w:t>bremenitev</w:t>
            </w:r>
            <w:r w:rsidRPr="00B148B1">
              <w:rPr>
                <w:rFonts w:cs="Arial"/>
                <w:b/>
                <w:bCs/>
                <w:color w:val="000000"/>
                <w:szCs w:val="20"/>
                <w:lang w:eastAsia="sl-SI"/>
              </w:rPr>
              <w:t xml:space="preserve"> (stalno prijavljeni prebivalci)</w:t>
            </w:r>
          </w:p>
        </w:tc>
      </w:tr>
      <w:tr w:rsidR="00380110" w:rsidRPr="00B148B1" w:rsidTr="00004CF5">
        <w:trPr>
          <w:trHeight w:val="340"/>
          <w:tblHeader/>
        </w:trPr>
        <w:tc>
          <w:tcPr>
            <w:tcW w:w="1726" w:type="pct"/>
            <w:vAlign w:val="center"/>
          </w:tcPr>
          <w:p w:rsidR="00380110" w:rsidRPr="00B148B1" w:rsidRDefault="00380110" w:rsidP="000501FC">
            <w:pPr>
              <w:autoSpaceDE w:val="0"/>
              <w:autoSpaceDN w:val="0"/>
              <w:adjustRightInd w:val="0"/>
              <w:spacing w:line="240" w:lineRule="auto"/>
              <w:jc w:val="center"/>
              <w:rPr>
                <w:rFonts w:cs="Arial"/>
                <w:i/>
                <w:iCs/>
                <w:color w:val="000000"/>
                <w:szCs w:val="20"/>
                <w:lang w:eastAsia="sl-SI"/>
              </w:rPr>
            </w:pPr>
          </w:p>
        </w:tc>
        <w:tc>
          <w:tcPr>
            <w:tcW w:w="1631" w:type="pct"/>
            <w:vAlign w:val="center"/>
            <w:hideMark/>
          </w:tcPr>
          <w:p w:rsidR="00380110" w:rsidRPr="00B148B1" w:rsidRDefault="00380110" w:rsidP="000501FC">
            <w:pPr>
              <w:autoSpaceDE w:val="0"/>
              <w:autoSpaceDN w:val="0"/>
              <w:adjustRightInd w:val="0"/>
              <w:spacing w:line="240" w:lineRule="auto"/>
              <w:jc w:val="center"/>
              <w:rPr>
                <w:rFonts w:cs="Arial"/>
                <w:b/>
                <w:color w:val="000000"/>
                <w:szCs w:val="20"/>
                <w:lang w:eastAsia="sl-SI"/>
              </w:rPr>
            </w:pPr>
            <w:r w:rsidRPr="00B148B1">
              <w:rPr>
                <w:rFonts w:cs="Arial"/>
                <w:b/>
                <w:color w:val="000000"/>
                <w:szCs w:val="20"/>
                <w:lang w:eastAsia="sl-SI"/>
              </w:rPr>
              <w:t>[PE]</w:t>
            </w:r>
          </w:p>
        </w:tc>
        <w:tc>
          <w:tcPr>
            <w:tcW w:w="1643" w:type="pct"/>
            <w:vAlign w:val="center"/>
            <w:hideMark/>
          </w:tcPr>
          <w:p w:rsidR="00380110" w:rsidRPr="00B148B1" w:rsidRDefault="00380110" w:rsidP="000501FC">
            <w:pPr>
              <w:autoSpaceDE w:val="0"/>
              <w:autoSpaceDN w:val="0"/>
              <w:adjustRightInd w:val="0"/>
              <w:spacing w:line="240" w:lineRule="auto"/>
              <w:jc w:val="center"/>
              <w:rPr>
                <w:rFonts w:cs="Arial"/>
                <w:b/>
                <w:color w:val="000000"/>
                <w:szCs w:val="20"/>
                <w:lang w:eastAsia="sl-SI"/>
              </w:rPr>
            </w:pPr>
            <w:r w:rsidRPr="00B148B1">
              <w:rPr>
                <w:rFonts w:cs="Arial"/>
                <w:b/>
                <w:color w:val="000000"/>
                <w:szCs w:val="20"/>
                <w:lang w:eastAsia="sl-SI"/>
              </w:rPr>
              <w:t>[%]</w:t>
            </w:r>
          </w:p>
        </w:tc>
      </w:tr>
      <w:tr w:rsidR="002D720C" w:rsidRPr="00B148B1" w:rsidTr="00004CF5">
        <w:trPr>
          <w:trHeight w:val="340"/>
        </w:trPr>
        <w:tc>
          <w:tcPr>
            <w:tcW w:w="1726" w:type="pct"/>
            <w:vAlign w:val="center"/>
            <w:hideMark/>
          </w:tcPr>
          <w:p w:rsidR="002D720C" w:rsidRPr="00B148B1" w:rsidRDefault="002D720C" w:rsidP="000501FC">
            <w:pPr>
              <w:spacing w:line="240" w:lineRule="auto"/>
              <w:rPr>
                <w:rFonts w:cs="Arial"/>
                <w:b/>
                <w:iCs/>
                <w:color w:val="000000"/>
                <w:szCs w:val="20"/>
                <w:lang w:eastAsia="sl-SI"/>
              </w:rPr>
            </w:pPr>
            <w:r w:rsidRPr="00B148B1">
              <w:rPr>
                <w:rFonts w:cs="Arial"/>
                <w:b/>
                <w:iCs/>
                <w:color w:val="000000"/>
                <w:szCs w:val="20"/>
                <w:lang w:eastAsia="sl-SI"/>
              </w:rPr>
              <w:t>MKČN</w:t>
            </w:r>
          </w:p>
        </w:tc>
        <w:tc>
          <w:tcPr>
            <w:tcW w:w="1631" w:type="pct"/>
            <w:vAlign w:val="center"/>
            <w:hideMark/>
          </w:tcPr>
          <w:p w:rsidR="002D720C" w:rsidRPr="00B148B1" w:rsidRDefault="000869C2">
            <w:pPr>
              <w:jc w:val="center"/>
              <w:rPr>
                <w:rFonts w:cs="Arial"/>
                <w:b/>
                <w:bCs/>
                <w:color w:val="000000"/>
                <w:szCs w:val="20"/>
              </w:rPr>
            </w:pPr>
            <w:r w:rsidRPr="00B148B1">
              <w:rPr>
                <w:rFonts w:cs="Arial"/>
                <w:b/>
                <w:bCs/>
                <w:color w:val="000000"/>
                <w:szCs w:val="20"/>
              </w:rPr>
              <w:t>17.295</w:t>
            </w:r>
          </w:p>
        </w:tc>
        <w:tc>
          <w:tcPr>
            <w:tcW w:w="1643" w:type="pct"/>
            <w:vAlign w:val="center"/>
            <w:hideMark/>
          </w:tcPr>
          <w:p w:rsidR="002D720C" w:rsidRPr="00B148B1" w:rsidRDefault="002D720C" w:rsidP="000869C2">
            <w:pPr>
              <w:jc w:val="center"/>
              <w:rPr>
                <w:rFonts w:cs="Arial"/>
                <w:b/>
                <w:bCs/>
                <w:color w:val="000000"/>
                <w:szCs w:val="20"/>
              </w:rPr>
            </w:pPr>
            <w:r w:rsidRPr="00B148B1">
              <w:rPr>
                <w:rFonts w:cs="Arial"/>
                <w:b/>
                <w:bCs/>
                <w:color w:val="000000"/>
                <w:szCs w:val="20"/>
              </w:rPr>
              <w:t>3,</w:t>
            </w:r>
            <w:r w:rsidR="000869C2" w:rsidRPr="00B148B1">
              <w:rPr>
                <w:rFonts w:cs="Arial"/>
                <w:b/>
                <w:bCs/>
                <w:color w:val="000000"/>
                <w:szCs w:val="20"/>
              </w:rPr>
              <w:t>9</w:t>
            </w:r>
          </w:p>
        </w:tc>
      </w:tr>
      <w:tr w:rsidR="002D720C" w:rsidRPr="00B148B1" w:rsidTr="00004CF5">
        <w:trPr>
          <w:trHeight w:val="340"/>
        </w:trPr>
        <w:tc>
          <w:tcPr>
            <w:tcW w:w="1726" w:type="pct"/>
            <w:vAlign w:val="center"/>
            <w:hideMark/>
          </w:tcPr>
          <w:p w:rsidR="002D720C" w:rsidRPr="00B148B1" w:rsidRDefault="002D720C" w:rsidP="000501FC">
            <w:pPr>
              <w:spacing w:line="240" w:lineRule="auto"/>
              <w:rPr>
                <w:rFonts w:cs="Arial"/>
                <w:i/>
                <w:iCs/>
                <w:color w:val="000000"/>
                <w:szCs w:val="20"/>
                <w:lang w:eastAsia="sl-SI"/>
              </w:rPr>
            </w:pPr>
            <w:r w:rsidRPr="00B148B1">
              <w:rPr>
                <w:rFonts w:cs="Arial"/>
                <w:i/>
                <w:iCs/>
                <w:color w:val="000000"/>
                <w:szCs w:val="20"/>
                <w:lang w:eastAsia="sl-SI"/>
              </w:rPr>
              <w:t>IZPUST</w:t>
            </w:r>
          </w:p>
        </w:tc>
        <w:tc>
          <w:tcPr>
            <w:tcW w:w="1631" w:type="pct"/>
            <w:vAlign w:val="center"/>
            <w:hideMark/>
          </w:tcPr>
          <w:p w:rsidR="002D720C" w:rsidRPr="00B148B1" w:rsidRDefault="000869C2">
            <w:pPr>
              <w:jc w:val="center"/>
              <w:rPr>
                <w:rFonts w:cs="Arial"/>
                <w:i/>
                <w:iCs/>
                <w:color w:val="000000"/>
                <w:szCs w:val="20"/>
              </w:rPr>
            </w:pPr>
            <w:r w:rsidRPr="00B148B1">
              <w:rPr>
                <w:rFonts w:cs="Arial"/>
                <w:i/>
                <w:iCs/>
                <w:color w:val="000000"/>
                <w:szCs w:val="20"/>
              </w:rPr>
              <w:t>1.158</w:t>
            </w:r>
          </w:p>
        </w:tc>
        <w:tc>
          <w:tcPr>
            <w:tcW w:w="1643" w:type="pct"/>
            <w:vAlign w:val="center"/>
            <w:hideMark/>
          </w:tcPr>
          <w:p w:rsidR="002D720C" w:rsidRPr="00B148B1" w:rsidRDefault="002D720C" w:rsidP="000869C2">
            <w:pPr>
              <w:jc w:val="center"/>
              <w:rPr>
                <w:rFonts w:cs="Arial"/>
                <w:i/>
                <w:iCs/>
                <w:color w:val="000000"/>
                <w:szCs w:val="20"/>
              </w:rPr>
            </w:pPr>
            <w:r w:rsidRPr="00B148B1">
              <w:rPr>
                <w:rFonts w:cs="Arial"/>
                <w:i/>
                <w:iCs/>
                <w:color w:val="000000"/>
                <w:szCs w:val="20"/>
              </w:rPr>
              <w:t>0,</w:t>
            </w:r>
            <w:r w:rsidR="000869C2" w:rsidRPr="00B148B1">
              <w:rPr>
                <w:rFonts w:cs="Arial"/>
                <w:i/>
                <w:iCs/>
                <w:color w:val="000000"/>
                <w:szCs w:val="20"/>
              </w:rPr>
              <w:t>3</w:t>
            </w:r>
          </w:p>
        </w:tc>
      </w:tr>
      <w:tr w:rsidR="002D720C" w:rsidRPr="00B148B1" w:rsidTr="00004CF5">
        <w:trPr>
          <w:trHeight w:val="340"/>
        </w:trPr>
        <w:tc>
          <w:tcPr>
            <w:tcW w:w="1726" w:type="pct"/>
            <w:vAlign w:val="center"/>
            <w:hideMark/>
          </w:tcPr>
          <w:p w:rsidR="002D720C" w:rsidRPr="00B148B1" w:rsidRDefault="002D720C" w:rsidP="000501FC">
            <w:pPr>
              <w:spacing w:line="240" w:lineRule="auto"/>
              <w:rPr>
                <w:rFonts w:cs="Arial"/>
                <w:i/>
                <w:iCs/>
                <w:szCs w:val="20"/>
                <w:lang w:eastAsia="sl-SI"/>
              </w:rPr>
            </w:pPr>
            <w:r w:rsidRPr="00B148B1">
              <w:rPr>
                <w:rFonts w:cs="Arial"/>
                <w:i/>
                <w:iCs/>
                <w:szCs w:val="20"/>
                <w:lang w:eastAsia="sl-SI"/>
              </w:rPr>
              <w:t>NP</w:t>
            </w:r>
          </w:p>
        </w:tc>
        <w:tc>
          <w:tcPr>
            <w:tcW w:w="1631" w:type="pct"/>
            <w:vAlign w:val="center"/>
            <w:hideMark/>
          </w:tcPr>
          <w:p w:rsidR="002D720C" w:rsidRPr="00B148B1" w:rsidRDefault="000869C2">
            <w:pPr>
              <w:jc w:val="center"/>
              <w:rPr>
                <w:rFonts w:cs="Arial"/>
                <w:i/>
                <w:iCs/>
                <w:color w:val="000000"/>
                <w:szCs w:val="20"/>
              </w:rPr>
            </w:pPr>
            <w:r w:rsidRPr="00B148B1">
              <w:rPr>
                <w:rFonts w:cs="Arial"/>
                <w:i/>
                <w:iCs/>
                <w:color w:val="000000"/>
                <w:szCs w:val="20"/>
              </w:rPr>
              <w:t>25.188</w:t>
            </w:r>
          </w:p>
        </w:tc>
        <w:tc>
          <w:tcPr>
            <w:tcW w:w="1643" w:type="pct"/>
            <w:vAlign w:val="center"/>
            <w:hideMark/>
          </w:tcPr>
          <w:p w:rsidR="002D720C" w:rsidRPr="00B148B1" w:rsidRDefault="000869C2">
            <w:pPr>
              <w:jc w:val="center"/>
              <w:rPr>
                <w:rFonts w:cs="Arial"/>
                <w:i/>
                <w:iCs/>
                <w:color w:val="000000"/>
                <w:szCs w:val="20"/>
              </w:rPr>
            </w:pPr>
            <w:r w:rsidRPr="00B148B1">
              <w:rPr>
                <w:rFonts w:cs="Arial"/>
                <w:i/>
                <w:iCs/>
                <w:color w:val="000000"/>
                <w:szCs w:val="20"/>
              </w:rPr>
              <w:t>5,7</w:t>
            </w:r>
          </w:p>
        </w:tc>
      </w:tr>
      <w:tr w:rsidR="002D720C" w:rsidRPr="00B148B1" w:rsidTr="00004CF5">
        <w:trPr>
          <w:trHeight w:val="340"/>
        </w:trPr>
        <w:tc>
          <w:tcPr>
            <w:tcW w:w="1726" w:type="pct"/>
            <w:vAlign w:val="center"/>
            <w:hideMark/>
          </w:tcPr>
          <w:p w:rsidR="002D720C" w:rsidRPr="00B148B1" w:rsidRDefault="002D720C" w:rsidP="000501FC">
            <w:pPr>
              <w:spacing w:line="240" w:lineRule="auto"/>
              <w:rPr>
                <w:rFonts w:cs="Arial"/>
                <w:b/>
                <w:iCs/>
                <w:color w:val="000000"/>
                <w:szCs w:val="20"/>
                <w:lang w:eastAsia="sl-SI"/>
              </w:rPr>
            </w:pPr>
            <w:r w:rsidRPr="00B148B1">
              <w:rPr>
                <w:rFonts w:cs="Arial"/>
                <w:b/>
                <w:iCs/>
                <w:color w:val="000000"/>
                <w:szCs w:val="20"/>
                <w:lang w:eastAsia="sl-SI"/>
              </w:rPr>
              <w:t>KANAL</w:t>
            </w:r>
          </w:p>
        </w:tc>
        <w:tc>
          <w:tcPr>
            <w:tcW w:w="1631" w:type="pct"/>
            <w:vAlign w:val="center"/>
            <w:hideMark/>
          </w:tcPr>
          <w:p w:rsidR="002D720C" w:rsidRPr="00B148B1" w:rsidRDefault="000869C2">
            <w:pPr>
              <w:jc w:val="center"/>
              <w:rPr>
                <w:rFonts w:cs="Arial"/>
                <w:b/>
                <w:bCs/>
                <w:color w:val="000000"/>
                <w:szCs w:val="20"/>
              </w:rPr>
            </w:pPr>
            <w:r w:rsidRPr="00B148B1">
              <w:rPr>
                <w:rFonts w:cs="Arial"/>
                <w:b/>
                <w:bCs/>
                <w:color w:val="000000"/>
                <w:szCs w:val="20"/>
              </w:rPr>
              <w:t>21.963</w:t>
            </w:r>
          </w:p>
        </w:tc>
        <w:tc>
          <w:tcPr>
            <w:tcW w:w="1643" w:type="pct"/>
            <w:vAlign w:val="center"/>
            <w:hideMark/>
          </w:tcPr>
          <w:p w:rsidR="002D720C" w:rsidRPr="00B148B1" w:rsidRDefault="000869C2">
            <w:pPr>
              <w:jc w:val="center"/>
              <w:rPr>
                <w:rFonts w:cs="Arial"/>
                <w:b/>
                <w:bCs/>
                <w:color w:val="000000"/>
                <w:szCs w:val="20"/>
              </w:rPr>
            </w:pPr>
            <w:r w:rsidRPr="00B148B1">
              <w:rPr>
                <w:rFonts w:cs="Arial"/>
                <w:b/>
                <w:bCs/>
                <w:color w:val="000000"/>
                <w:szCs w:val="20"/>
              </w:rPr>
              <w:t>5,0</w:t>
            </w:r>
          </w:p>
        </w:tc>
      </w:tr>
      <w:tr w:rsidR="002D720C" w:rsidRPr="00B148B1" w:rsidTr="00004CF5">
        <w:trPr>
          <w:trHeight w:val="340"/>
        </w:trPr>
        <w:tc>
          <w:tcPr>
            <w:tcW w:w="1726" w:type="pct"/>
            <w:vAlign w:val="center"/>
            <w:hideMark/>
          </w:tcPr>
          <w:p w:rsidR="002D720C" w:rsidRPr="00B148B1" w:rsidRDefault="002D720C" w:rsidP="000501FC">
            <w:pPr>
              <w:spacing w:line="240" w:lineRule="auto"/>
              <w:rPr>
                <w:rFonts w:cs="Arial"/>
                <w:b/>
                <w:iCs/>
                <w:color w:val="000000"/>
                <w:szCs w:val="20"/>
                <w:lang w:eastAsia="sl-SI"/>
              </w:rPr>
            </w:pPr>
            <w:r w:rsidRPr="00B148B1">
              <w:rPr>
                <w:rFonts w:cs="Arial"/>
                <w:b/>
                <w:iCs/>
                <w:color w:val="000000"/>
                <w:szCs w:val="20"/>
                <w:lang w:eastAsia="sl-SI"/>
              </w:rPr>
              <w:t>GREZ_N</w:t>
            </w:r>
          </w:p>
        </w:tc>
        <w:tc>
          <w:tcPr>
            <w:tcW w:w="1631" w:type="pct"/>
            <w:vAlign w:val="center"/>
            <w:hideMark/>
          </w:tcPr>
          <w:p w:rsidR="002D720C" w:rsidRPr="00B148B1" w:rsidRDefault="002D720C">
            <w:pPr>
              <w:jc w:val="center"/>
              <w:rPr>
                <w:rFonts w:cs="Arial"/>
                <w:b/>
                <w:bCs/>
                <w:color w:val="000000"/>
                <w:szCs w:val="20"/>
              </w:rPr>
            </w:pPr>
            <w:r w:rsidRPr="00B148B1">
              <w:rPr>
                <w:rFonts w:cs="Arial"/>
                <w:b/>
                <w:bCs/>
                <w:color w:val="000000"/>
                <w:szCs w:val="20"/>
              </w:rPr>
              <w:t>45.825</w:t>
            </w:r>
          </w:p>
        </w:tc>
        <w:tc>
          <w:tcPr>
            <w:tcW w:w="1643" w:type="pct"/>
            <w:vAlign w:val="center"/>
            <w:hideMark/>
          </w:tcPr>
          <w:p w:rsidR="002D720C" w:rsidRPr="00B148B1" w:rsidRDefault="002D720C" w:rsidP="000869C2">
            <w:pPr>
              <w:jc w:val="center"/>
              <w:rPr>
                <w:rFonts w:cs="Arial"/>
                <w:b/>
                <w:bCs/>
                <w:color w:val="000000"/>
                <w:szCs w:val="20"/>
              </w:rPr>
            </w:pPr>
            <w:r w:rsidRPr="00B148B1">
              <w:rPr>
                <w:rFonts w:cs="Arial"/>
                <w:b/>
                <w:bCs/>
                <w:color w:val="000000"/>
                <w:szCs w:val="20"/>
              </w:rPr>
              <w:t>10,</w:t>
            </w:r>
            <w:r w:rsidR="000869C2" w:rsidRPr="00B148B1">
              <w:rPr>
                <w:rFonts w:cs="Arial"/>
                <w:b/>
                <w:bCs/>
                <w:color w:val="000000"/>
                <w:szCs w:val="20"/>
              </w:rPr>
              <w:t>3</w:t>
            </w:r>
          </w:p>
        </w:tc>
      </w:tr>
      <w:tr w:rsidR="002D720C" w:rsidRPr="00B148B1" w:rsidTr="00004CF5">
        <w:trPr>
          <w:trHeight w:val="340"/>
        </w:trPr>
        <w:tc>
          <w:tcPr>
            <w:tcW w:w="1726" w:type="pct"/>
            <w:vAlign w:val="center"/>
            <w:hideMark/>
          </w:tcPr>
          <w:p w:rsidR="002D720C" w:rsidRPr="00B148B1" w:rsidRDefault="002D720C" w:rsidP="000501FC">
            <w:pPr>
              <w:spacing w:line="240" w:lineRule="auto"/>
              <w:rPr>
                <w:rFonts w:cs="Arial"/>
                <w:i/>
                <w:iCs/>
                <w:color w:val="000000"/>
                <w:szCs w:val="20"/>
                <w:lang w:eastAsia="sl-SI"/>
              </w:rPr>
            </w:pPr>
            <w:r w:rsidRPr="00B148B1">
              <w:rPr>
                <w:rFonts w:cs="Arial"/>
                <w:i/>
                <w:iCs/>
                <w:color w:val="000000"/>
                <w:szCs w:val="20"/>
                <w:lang w:eastAsia="sl-SI"/>
              </w:rPr>
              <w:t>GREZ_P</w:t>
            </w:r>
          </w:p>
        </w:tc>
        <w:tc>
          <w:tcPr>
            <w:tcW w:w="1631" w:type="pct"/>
            <w:vAlign w:val="center"/>
            <w:hideMark/>
          </w:tcPr>
          <w:p w:rsidR="002D720C" w:rsidRPr="00B148B1" w:rsidRDefault="000869C2">
            <w:pPr>
              <w:jc w:val="center"/>
              <w:rPr>
                <w:rFonts w:cs="Arial"/>
                <w:i/>
                <w:iCs/>
                <w:color w:val="000000"/>
                <w:szCs w:val="20"/>
              </w:rPr>
            </w:pPr>
            <w:r w:rsidRPr="00B148B1">
              <w:rPr>
                <w:rFonts w:cs="Arial"/>
                <w:i/>
                <w:iCs/>
                <w:color w:val="000000"/>
                <w:szCs w:val="20"/>
              </w:rPr>
              <w:t>308.637</w:t>
            </w:r>
          </w:p>
        </w:tc>
        <w:tc>
          <w:tcPr>
            <w:tcW w:w="1643" w:type="pct"/>
            <w:vAlign w:val="center"/>
            <w:hideMark/>
          </w:tcPr>
          <w:p w:rsidR="002D720C" w:rsidRPr="00B148B1" w:rsidRDefault="000869C2">
            <w:pPr>
              <w:jc w:val="center"/>
              <w:rPr>
                <w:rFonts w:cs="Arial"/>
                <w:i/>
                <w:iCs/>
                <w:color w:val="000000"/>
                <w:szCs w:val="20"/>
              </w:rPr>
            </w:pPr>
            <w:r w:rsidRPr="00B148B1">
              <w:rPr>
                <w:rFonts w:cs="Arial"/>
                <w:i/>
                <w:iCs/>
                <w:color w:val="000000"/>
                <w:szCs w:val="20"/>
              </w:rPr>
              <w:t>69,7</w:t>
            </w:r>
          </w:p>
        </w:tc>
      </w:tr>
      <w:tr w:rsidR="002D720C" w:rsidRPr="00B148B1" w:rsidTr="00004CF5">
        <w:trPr>
          <w:trHeight w:val="340"/>
        </w:trPr>
        <w:tc>
          <w:tcPr>
            <w:tcW w:w="1726" w:type="pct"/>
            <w:vAlign w:val="center"/>
            <w:hideMark/>
          </w:tcPr>
          <w:p w:rsidR="002D720C" w:rsidRPr="00B148B1" w:rsidRDefault="002D720C" w:rsidP="000501FC">
            <w:pPr>
              <w:spacing w:line="240" w:lineRule="auto"/>
              <w:rPr>
                <w:rFonts w:cs="Arial"/>
                <w:i/>
                <w:iCs/>
                <w:color w:val="000000"/>
                <w:szCs w:val="20"/>
                <w:lang w:eastAsia="sl-SI"/>
              </w:rPr>
            </w:pPr>
            <w:r w:rsidRPr="00B148B1">
              <w:rPr>
                <w:rFonts w:cs="Arial"/>
                <w:i/>
                <w:iCs/>
                <w:color w:val="000000"/>
                <w:szCs w:val="20"/>
                <w:lang w:eastAsia="sl-SI"/>
              </w:rPr>
              <w:t>NEZNAN</w:t>
            </w:r>
          </w:p>
        </w:tc>
        <w:tc>
          <w:tcPr>
            <w:tcW w:w="1631" w:type="pct"/>
            <w:vAlign w:val="center"/>
            <w:hideMark/>
          </w:tcPr>
          <w:p w:rsidR="002D720C" w:rsidRPr="00B148B1" w:rsidRDefault="002D720C">
            <w:pPr>
              <w:jc w:val="center"/>
              <w:rPr>
                <w:rFonts w:cs="Arial"/>
                <w:i/>
                <w:iCs/>
                <w:color w:val="000000"/>
                <w:szCs w:val="20"/>
              </w:rPr>
            </w:pPr>
            <w:r w:rsidRPr="00B148B1">
              <w:rPr>
                <w:rFonts w:cs="Arial"/>
                <w:i/>
                <w:iCs/>
                <w:color w:val="000000"/>
                <w:szCs w:val="20"/>
              </w:rPr>
              <w:t>22.733</w:t>
            </w:r>
          </w:p>
        </w:tc>
        <w:tc>
          <w:tcPr>
            <w:tcW w:w="1643" w:type="pct"/>
            <w:vAlign w:val="center"/>
            <w:hideMark/>
          </w:tcPr>
          <w:p w:rsidR="002D720C" w:rsidRPr="00B148B1" w:rsidRDefault="002D720C">
            <w:pPr>
              <w:jc w:val="center"/>
              <w:rPr>
                <w:rFonts w:cs="Arial"/>
                <w:i/>
                <w:iCs/>
                <w:color w:val="000000"/>
                <w:szCs w:val="20"/>
              </w:rPr>
            </w:pPr>
            <w:r w:rsidRPr="00B148B1">
              <w:rPr>
                <w:rFonts w:cs="Arial"/>
                <w:i/>
                <w:iCs/>
                <w:color w:val="000000"/>
                <w:szCs w:val="20"/>
              </w:rPr>
              <w:t>5,1</w:t>
            </w:r>
          </w:p>
        </w:tc>
      </w:tr>
      <w:tr w:rsidR="002D720C" w:rsidRPr="00B148B1" w:rsidTr="00004CF5">
        <w:trPr>
          <w:trHeight w:val="340"/>
        </w:trPr>
        <w:tc>
          <w:tcPr>
            <w:tcW w:w="1726" w:type="pct"/>
            <w:vAlign w:val="center"/>
            <w:hideMark/>
          </w:tcPr>
          <w:p w:rsidR="002D720C" w:rsidRPr="00B148B1" w:rsidRDefault="002D720C" w:rsidP="000501FC">
            <w:pPr>
              <w:spacing w:line="240" w:lineRule="auto"/>
              <w:rPr>
                <w:rFonts w:cs="Arial"/>
                <w:b/>
                <w:bCs/>
                <w:iCs/>
                <w:color w:val="000000"/>
                <w:szCs w:val="20"/>
                <w:lang w:eastAsia="sl-SI"/>
              </w:rPr>
            </w:pPr>
            <w:r w:rsidRPr="00B148B1">
              <w:rPr>
                <w:rFonts w:cs="Arial"/>
                <w:b/>
                <w:bCs/>
                <w:iCs/>
                <w:color w:val="000000"/>
                <w:szCs w:val="20"/>
                <w:lang w:eastAsia="sl-SI"/>
              </w:rPr>
              <w:t>Skupaj</w:t>
            </w:r>
          </w:p>
        </w:tc>
        <w:tc>
          <w:tcPr>
            <w:tcW w:w="1631" w:type="pct"/>
            <w:vAlign w:val="center"/>
            <w:hideMark/>
          </w:tcPr>
          <w:p w:rsidR="002D720C" w:rsidRPr="00B148B1" w:rsidRDefault="002D720C" w:rsidP="000869C2">
            <w:pPr>
              <w:jc w:val="center"/>
              <w:rPr>
                <w:rFonts w:cs="Arial"/>
                <w:b/>
                <w:bCs/>
                <w:color w:val="000000"/>
                <w:szCs w:val="20"/>
              </w:rPr>
            </w:pPr>
            <w:r w:rsidRPr="00B148B1">
              <w:rPr>
                <w:rFonts w:cs="Arial"/>
                <w:b/>
                <w:bCs/>
                <w:color w:val="000000"/>
                <w:szCs w:val="20"/>
              </w:rPr>
              <w:t>442.</w:t>
            </w:r>
            <w:r w:rsidR="000869C2" w:rsidRPr="00B148B1">
              <w:rPr>
                <w:rFonts w:cs="Arial"/>
                <w:b/>
                <w:bCs/>
                <w:color w:val="000000"/>
                <w:szCs w:val="20"/>
              </w:rPr>
              <w:t>799</w:t>
            </w:r>
            <w:r w:rsidRPr="00B148B1">
              <w:rPr>
                <w:rFonts w:cs="Arial"/>
                <w:b/>
                <w:bCs/>
                <w:color w:val="000000"/>
                <w:szCs w:val="20"/>
                <w:vertAlign w:val="superscript"/>
              </w:rPr>
              <w:t>(1)</w:t>
            </w:r>
          </w:p>
        </w:tc>
        <w:tc>
          <w:tcPr>
            <w:tcW w:w="1643" w:type="pct"/>
            <w:vAlign w:val="center"/>
            <w:hideMark/>
          </w:tcPr>
          <w:p w:rsidR="002D720C" w:rsidRPr="00B148B1" w:rsidRDefault="002D720C">
            <w:pPr>
              <w:jc w:val="center"/>
              <w:rPr>
                <w:rFonts w:cs="Arial"/>
                <w:b/>
                <w:bCs/>
                <w:color w:val="000000"/>
                <w:szCs w:val="20"/>
              </w:rPr>
            </w:pPr>
            <w:r w:rsidRPr="00B148B1">
              <w:rPr>
                <w:rFonts w:cs="Arial"/>
                <w:b/>
                <w:bCs/>
                <w:color w:val="000000"/>
                <w:szCs w:val="20"/>
              </w:rPr>
              <w:t>100</w:t>
            </w:r>
          </w:p>
        </w:tc>
      </w:tr>
    </w:tbl>
    <w:p w:rsidR="00280FCB" w:rsidRPr="00B148B1" w:rsidRDefault="00280FCB" w:rsidP="00280FCB">
      <w:pPr>
        <w:tabs>
          <w:tab w:val="left" w:leader="dot" w:pos="993"/>
          <w:tab w:val="left" w:pos="9600"/>
        </w:tabs>
        <w:spacing w:before="120" w:line="280" w:lineRule="atLeast"/>
        <w:ind w:left="993" w:hanging="993"/>
        <w:rPr>
          <w:rFonts w:cs="Arial"/>
          <w:sz w:val="18"/>
          <w:szCs w:val="18"/>
        </w:rPr>
      </w:pPr>
      <w:r w:rsidRPr="00B148B1">
        <w:rPr>
          <w:rFonts w:cs="Arial"/>
          <w:sz w:val="18"/>
          <w:szCs w:val="18"/>
          <w:vertAlign w:val="superscript"/>
        </w:rPr>
        <w:t>(1)</w:t>
      </w:r>
      <w:r w:rsidR="004F6FD5" w:rsidRPr="00B148B1">
        <w:rPr>
          <w:rFonts w:cs="Arial"/>
          <w:sz w:val="18"/>
          <w:szCs w:val="18"/>
        </w:rPr>
        <w:t xml:space="preserve"> </w:t>
      </w:r>
      <w:r w:rsidRPr="00B148B1">
        <w:rPr>
          <w:rFonts w:cs="Arial"/>
          <w:sz w:val="18"/>
          <w:szCs w:val="18"/>
        </w:rPr>
        <w:t>za izračun je upoštevano število stalno prijavljenih prebivalcev na dan 31. december 201</w:t>
      </w:r>
      <w:r w:rsidR="0005583F" w:rsidRPr="00B148B1">
        <w:rPr>
          <w:rFonts w:cs="Arial"/>
          <w:sz w:val="18"/>
          <w:szCs w:val="18"/>
        </w:rPr>
        <w:t>8</w:t>
      </w:r>
      <w:r w:rsidRPr="00B148B1">
        <w:rPr>
          <w:rFonts w:cs="Arial"/>
          <w:sz w:val="18"/>
          <w:szCs w:val="18"/>
        </w:rPr>
        <w:t>;</w:t>
      </w:r>
    </w:p>
    <w:p w:rsidR="00380110" w:rsidRPr="00B148B1" w:rsidRDefault="00380110" w:rsidP="00380110">
      <w:pPr>
        <w:tabs>
          <w:tab w:val="left" w:leader="dot" w:pos="993"/>
          <w:tab w:val="left" w:pos="9600"/>
        </w:tabs>
        <w:spacing w:before="120" w:line="280" w:lineRule="atLeast"/>
        <w:ind w:left="993" w:hanging="993"/>
        <w:rPr>
          <w:rFonts w:cs="Arial"/>
          <w:sz w:val="18"/>
          <w:szCs w:val="18"/>
        </w:rPr>
      </w:pPr>
      <w:r w:rsidRPr="00B148B1">
        <w:rPr>
          <w:rFonts w:cs="Arial"/>
          <w:sz w:val="18"/>
          <w:szCs w:val="18"/>
        </w:rPr>
        <w:t>MKČN</w:t>
      </w:r>
      <w:r w:rsidR="003D451D" w:rsidRPr="00B148B1">
        <w:rPr>
          <w:rFonts w:cs="Arial"/>
          <w:sz w:val="18"/>
          <w:szCs w:val="18"/>
        </w:rPr>
        <w:t xml:space="preserve"> </w:t>
      </w:r>
      <w:r w:rsidR="00B67D0C" w:rsidRPr="00B148B1">
        <w:rPr>
          <w:rFonts w:cs="Arial"/>
          <w:color w:val="202122"/>
          <w:sz w:val="18"/>
          <w:szCs w:val="18"/>
          <w:shd w:val="clear" w:color="auto" w:fill="FFFFFF"/>
        </w:rPr>
        <w:t xml:space="preserve">– </w:t>
      </w:r>
      <w:r w:rsidRPr="00B148B1">
        <w:rPr>
          <w:rFonts w:cs="Arial"/>
          <w:sz w:val="18"/>
          <w:szCs w:val="18"/>
        </w:rPr>
        <w:t>mala komunalna čistilna naprava z zmogljivostjo, manjšo od 50 PE;</w:t>
      </w:r>
    </w:p>
    <w:p w:rsidR="00380110" w:rsidRPr="00B148B1" w:rsidRDefault="00380110" w:rsidP="00380110">
      <w:pPr>
        <w:tabs>
          <w:tab w:val="left" w:leader="dot" w:pos="993"/>
          <w:tab w:val="left" w:pos="9600"/>
        </w:tabs>
        <w:spacing w:before="120" w:line="280" w:lineRule="atLeast"/>
        <w:ind w:left="993" w:hanging="993"/>
        <w:rPr>
          <w:rFonts w:cs="Arial"/>
          <w:sz w:val="18"/>
          <w:szCs w:val="18"/>
        </w:rPr>
      </w:pPr>
      <w:r w:rsidRPr="00B148B1">
        <w:rPr>
          <w:rFonts w:cs="Arial"/>
          <w:sz w:val="18"/>
          <w:szCs w:val="18"/>
        </w:rPr>
        <w:t>IZPUST</w:t>
      </w:r>
      <w:r w:rsidR="003D451D" w:rsidRPr="00B148B1">
        <w:rPr>
          <w:rFonts w:cs="Arial"/>
          <w:sz w:val="18"/>
          <w:szCs w:val="18"/>
        </w:rPr>
        <w:t xml:space="preserve"> </w:t>
      </w:r>
      <w:r w:rsidR="00B67D0C" w:rsidRPr="00B148B1">
        <w:rPr>
          <w:rFonts w:cs="Arial"/>
          <w:color w:val="202122"/>
          <w:sz w:val="18"/>
          <w:szCs w:val="18"/>
          <w:shd w:val="clear" w:color="auto" w:fill="FFFFFF"/>
        </w:rPr>
        <w:t xml:space="preserve">– </w:t>
      </w:r>
      <w:r w:rsidRPr="00B148B1">
        <w:rPr>
          <w:rFonts w:cs="Arial"/>
          <w:sz w:val="18"/>
          <w:szCs w:val="18"/>
        </w:rPr>
        <w:t>neposredni izpust komunalne odpadne vode v vode;</w:t>
      </w:r>
    </w:p>
    <w:p w:rsidR="00380110" w:rsidRPr="00B148B1" w:rsidRDefault="00380110" w:rsidP="00380110">
      <w:pPr>
        <w:tabs>
          <w:tab w:val="left" w:leader="dot" w:pos="993"/>
          <w:tab w:val="left" w:pos="9600"/>
        </w:tabs>
        <w:spacing w:before="120" w:line="280" w:lineRule="atLeast"/>
        <w:ind w:left="993" w:hanging="993"/>
        <w:rPr>
          <w:rFonts w:cs="Arial"/>
          <w:sz w:val="18"/>
          <w:szCs w:val="18"/>
        </w:rPr>
      </w:pPr>
      <w:r w:rsidRPr="00B148B1">
        <w:rPr>
          <w:rFonts w:cs="Arial"/>
          <w:sz w:val="18"/>
          <w:szCs w:val="18"/>
        </w:rPr>
        <w:t>NP</w:t>
      </w:r>
      <w:r w:rsidR="003D451D" w:rsidRPr="00B148B1">
        <w:rPr>
          <w:rFonts w:cs="Arial"/>
          <w:sz w:val="18"/>
          <w:szCs w:val="18"/>
        </w:rPr>
        <w:t xml:space="preserve"> </w:t>
      </w:r>
      <w:r w:rsidR="00B67D0C" w:rsidRPr="00B148B1">
        <w:rPr>
          <w:rFonts w:cs="Arial"/>
          <w:color w:val="202122"/>
          <w:sz w:val="18"/>
          <w:szCs w:val="18"/>
          <w:shd w:val="clear" w:color="auto" w:fill="FFFFFF"/>
        </w:rPr>
        <w:t xml:space="preserve">– </w:t>
      </w:r>
      <w:r w:rsidRPr="00B148B1">
        <w:rPr>
          <w:rFonts w:cs="Arial"/>
          <w:sz w:val="18"/>
          <w:szCs w:val="18"/>
        </w:rPr>
        <w:t xml:space="preserve">v IJSVO ni podatka (izvajalec javne službe ni poročal); </w:t>
      </w:r>
    </w:p>
    <w:p w:rsidR="00380110" w:rsidRPr="00B148B1" w:rsidRDefault="00380110" w:rsidP="00380110">
      <w:pPr>
        <w:tabs>
          <w:tab w:val="left" w:leader="dot" w:pos="993"/>
          <w:tab w:val="left" w:pos="9600"/>
        </w:tabs>
        <w:spacing w:before="120" w:line="280" w:lineRule="atLeast"/>
        <w:ind w:left="993" w:hanging="993"/>
        <w:rPr>
          <w:rFonts w:cs="Arial"/>
          <w:sz w:val="18"/>
          <w:szCs w:val="18"/>
        </w:rPr>
      </w:pPr>
      <w:r w:rsidRPr="00B148B1">
        <w:rPr>
          <w:rFonts w:cs="Arial"/>
          <w:sz w:val="18"/>
          <w:szCs w:val="18"/>
        </w:rPr>
        <w:t>KANAL</w:t>
      </w:r>
      <w:r w:rsidR="003D451D" w:rsidRPr="00B148B1">
        <w:rPr>
          <w:rFonts w:cs="Arial"/>
          <w:sz w:val="18"/>
          <w:szCs w:val="18"/>
        </w:rPr>
        <w:t xml:space="preserve"> </w:t>
      </w:r>
      <w:r w:rsidR="00B67D0C" w:rsidRPr="00B148B1">
        <w:rPr>
          <w:rFonts w:cs="Arial"/>
          <w:color w:val="202122"/>
          <w:sz w:val="18"/>
          <w:szCs w:val="18"/>
          <w:shd w:val="clear" w:color="auto" w:fill="FFFFFF"/>
        </w:rPr>
        <w:t xml:space="preserve">– </w:t>
      </w:r>
      <w:r w:rsidRPr="00B148B1">
        <w:rPr>
          <w:rFonts w:cs="Arial"/>
          <w:sz w:val="18"/>
          <w:szCs w:val="18"/>
        </w:rPr>
        <w:t>objekt priključen na javno kanalizacijsko omrežje;</w:t>
      </w:r>
    </w:p>
    <w:p w:rsidR="00380110" w:rsidRPr="00B148B1" w:rsidRDefault="00380110" w:rsidP="00380110">
      <w:pPr>
        <w:tabs>
          <w:tab w:val="left" w:leader="dot" w:pos="993"/>
          <w:tab w:val="left" w:pos="9600"/>
        </w:tabs>
        <w:spacing w:before="120" w:line="280" w:lineRule="atLeast"/>
        <w:ind w:left="993" w:hanging="993"/>
        <w:rPr>
          <w:rFonts w:cs="Arial"/>
          <w:sz w:val="18"/>
          <w:szCs w:val="18"/>
        </w:rPr>
      </w:pPr>
      <w:r w:rsidRPr="00B148B1">
        <w:rPr>
          <w:rFonts w:cs="Arial"/>
          <w:sz w:val="18"/>
          <w:szCs w:val="18"/>
        </w:rPr>
        <w:t>GREZ_N</w:t>
      </w:r>
      <w:r w:rsidR="003D451D" w:rsidRPr="00B148B1">
        <w:rPr>
          <w:rFonts w:cs="Arial"/>
          <w:sz w:val="18"/>
          <w:szCs w:val="18"/>
        </w:rPr>
        <w:t xml:space="preserve"> </w:t>
      </w:r>
      <w:r w:rsidR="00B67D0C" w:rsidRPr="00B148B1">
        <w:rPr>
          <w:rFonts w:cs="Arial"/>
          <w:color w:val="202122"/>
          <w:sz w:val="18"/>
          <w:szCs w:val="18"/>
          <w:shd w:val="clear" w:color="auto" w:fill="FFFFFF"/>
        </w:rPr>
        <w:t xml:space="preserve">– </w:t>
      </w:r>
      <w:r w:rsidRPr="00B148B1">
        <w:rPr>
          <w:rFonts w:cs="Arial"/>
          <w:sz w:val="18"/>
          <w:szCs w:val="18"/>
        </w:rPr>
        <w:t>objekt opremljen z nepretočno greznico;</w:t>
      </w:r>
    </w:p>
    <w:p w:rsidR="00380110" w:rsidRPr="00B148B1" w:rsidRDefault="00380110" w:rsidP="00380110">
      <w:pPr>
        <w:tabs>
          <w:tab w:val="left" w:leader="dot" w:pos="993"/>
          <w:tab w:val="left" w:pos="9600"/>
        </w:tabs>
        <w:spacing w:before="120" w:line="280" w:lineRule="atLeast"/>
        <w:ind w:left="993" w:hanging="993"/>
        <w:rPr>
          <w:rFonts w:cs="Arial"/>
          <w:sz w:val="18"/>
          <w:szCs w:val="18"/>
        </w:rPr>
      </w:pPr>
      <w:r w:rsidRPr="00B148B1">
        <w:rPr>
          <w:rFonts w:cs="Arial"/>
          <w:sz w:val="18"/>
          <w:szCs w:val="18"/>
        </w:rPr>
        <w:t>GREZ_P</w:t>
      </w:r>
      <w:r w:rsidR="003D451D" w:rsidRPr="00B148B1">
        <w:rPr>
          <w:rFonts w:cs="Arial"/>
          <w:sz w:val="18"/>
          <w:szCs w:val="18"/>
        </w:rPr>
        <w:t xml:space="preserve"> </w:t>
      </w:r>
      <w:r w:rsidR="00B67D0C" w:rsidRPr="00B148B1">
        <w:rPr>
          <w:rFonts w:cs="Arial"/>
          <w:color w:val="202122"/>
          <w:sz w:val="18"/>
          <w:szCs w:val="18"/>
          <w:shd w:val="clear" w:color="auto" w:fill="FFFFFF"/>
        </w:rPr>
        <w:t xml:space="preserve">– </w:t>
      </w:r>
      <w:r w:rsidRPr="00B148B1">
        <w:rPr>
          <w:rFonts w:cs="Arial"/>
          <w:sz w:val="18"/>
          <w:szCs w:val="18"/>
        </w:rPr>
        <w:t>objekt opremljen z obstoječo pretočno greznico;</w:t>
      </w:r>
    </w:p>
    <w:p w:rsidR="00380110" w:rsidRPr="00B148B1" w:rsidRDefault="00380110" w:rsidP="00380110">
      <w:pPr>
        <w:tabs>
          <w:tab w:val="left" w:leader="dot" w:pos="993"/>
          <w:tab w:val="left" w:pos="9600"/>
        </w:tabs>
        <w:spacing w:before="120" w:line="280" w:lineRule="atLeast"/>
        <w:ind w:left="993" w:hanging="993"/>
        <w:rPr>
          <w:rFonts w:cs="Arial"/>
          <w:sz w:val="18"/>
          <w:szCs w:val="18"/>
        </w:rPr>
      </w:pPr>
      <w:r w:rsidRPr="00B148B1">
        <w:rPr>
          <w:rFonts w:cs="Arial"/>
          <w:sz w:val="18"/>
          <w:szCs w:val="18"/>
        </w:rPr>
        <w:t>NEZNAN</w:t>
      </w:r>
      <w:r w:rsidR="003D451D" w:rsidRPr="00B148B1">
        <w:rPr>
          <w:rFonts w:cs="Arial"/>
          <w:sz w:val="18"/>
          <w:szCs w:val="18"/>
        </w:rPr>
        <w:t xml:space="preserve"> </w:t>
      </w:r>
      <w:r w:rsidR="00B67D0C" w:rsidRPr="00B148B1">
        <w:rPr>
          <w:rFonts w:cs="Arial"/>
          <w:color w:val="202122"/>
          <w:sz w:val="18"/>
          <w:szCs w:val="18"/>
          <w:shd w:val="clear" w:color="auto" w:fill="FFFFFF"/>
        </w:rPr>
        <w:t xml:space="preserve">– </w:t>
      </w:r>
      <w:r w:rsidRPr="00B148B1">
        <w:rPr>
          <w:rFonts w:cs="Arial"/>
          <w:sz w:val="18"/>
          <w:szCs w:val="18"/>
        </w:rPr>
        <w:t>način ravnanja s komunalno odpadno vodo iz stavbe ni znan.</w:t>
      </w:r>
    </w:p>
    <w:p w:rsidR="00E6626B" w:rsidRPr="00B148B1" w:rsidRDefault="00E6626B" w:rsidP="00E6626B">
      <w:pPr>
        <w:pStyle w:val="Naslov3"/>
      </w:pPr>
      <w:bookmarkStart w:id="109" w:name="_Toc50628084"/>
      <w:r w:rsidRPr="00B148B1">
        <w:t>Siva voda</w:t>
      </w:r>
      <w:bookmarkEnd w:id="109"/>
    </w:p>
    <w:p w:rsidR="00C80250" w:rsidRPr="00B148B1" w:rsidRDefault="00E6626B" w:rsidP="00ED2505">
      <w:pPr>
        <w:tabs>
          <w:tab w:val="left" w:pos="9600"/>
        </w:tabs>
        <w:spacing w:before="120" w:line="280" w:lineRule="atLeast"/>
        <w:rPr>
          <w:rFonts w:cs="Arial"/>
          <w:szCs w:val="20"/>
        </w:rPr>
      </w:pPr>
      <w:r w:rsidRPr="00B148B1">
        <w:rPr>
          <w:rFonts w:cs="Arial"/>
          <w:szCs w:val="20"/>
        </w:rPr>
        <w:t xml:space="preserve">Na podlagi analize </w:t>
      </w:r>
      <w:r w:rsidR="00C80250" w:rsidRPr="00B148B1">
        <w:rPr>
          <w:rFonts w:cs="Arial"/>
          <w:szCs w:val="20"/>
        </w:rPr>
        <w:t xml:space="preserve">stavb (kot na primer planinska koča, gorsko zavetišče ali dom ali lovska koča), ki ležijo na nadmorski višini, enaki ali večji od 1.500 m in izven meja aglomeracij, kot je podrobneje opisano v </w:t>
      </w:r>
      <w:r w:rsidR="00D6798F" w:rsidRPr="00B148B1">
        <w:rPr>
          <w:rFonts w:cs="Arial"/>
          <w:szCs w:val="20"/>
        </w:rPr>
        <w:t>pod</w:t>
      </w:r>
      <w:r w:rsidR="00C80250" w:rsidRPr="00B148B1">
        <w:rPr>
          <w:rFonts w:cs="Arial"/>
          <w:szCs w:val="20"/>
        </w:rPr>
        <w:t>poglavju 1.3.4.6, ugotavljamo, da je takih stavb 39. Za te stavbe je možno glede določb, ki se nanašajo na sivo vodo</w:t>
      </w:r>
      <w:r w:rsidR="0048750F">
        <w:rPr>
          <w:rFonts w:cs="Arial"/>
          <w:szCs w:val="20"/>
        </w:rPr>
        <w:t>,</w:t>
      </w:r>
      <w:r w:rsidR="00C80250" w:rsidRPr="00B148B1">
        <w:rPr>
          <w:rFonts w:cs="Arial"/>
          <w:szCs w:val="20"/>
        </w:rPr>
        <w:t xml:space="preserve"> uporabiti </w:t>
      </w:r>
      <w:proofErr w:type="spellStart"/>
      <w:r w:rsidR="00C80250" w:rsidRPr="00B148B1">
        <w:rPr>
          <w:rFonts w:cs="Arial"/>
          <w:szCs w:val="20"/>
        </w:rPr>
        <w:t>32.a</w:t>
      </w:r>
      <w:proofErr w:type="spellEnd"/>
      <w:r w:rsidR="00C80250" w:rsidRPr="00B148B1">
        <w:rPr>
          <w:rFonts w:cs="Arial"/>
          <w:szCs w:val="20"/>
        </w:rPr>
        <w:t xml:space="preserve"> člen Uredbe o odvajanju in čiščenju komunalne odpadne vode.</w:t>
      </w:r>
    </w:p>
    <w:p w:rsidR="00D774EB" w:rsidRPr="00B148B1" w:rsidRDefault="00D774EB" w:rsidP="008E5E8C">
      <w:pPr>
        <w:pStyle w:val="Naslov2"/>
      </w:pPr>
      <w:bookmarkStart w:id="110" w:name="_Toc50628085"/>
      <w:r w:rsidRPr="00B148B1">
        <w:lastRenderedPageBreak/>
        <w:t>Razvitost infrastrukture za odvajanje in čiščenje komunalne odpadne vode</w:t>
      </w:r>
      <w:bookmarkEnd w:id="110"/>
    </w:p>
    <w:p w:rsidR="004E1C1A" w:rsidRPr="00B148B1" w:rsidRDefault="00D774EB" w:rsidP="004E1C1A">
      <w:pPr>
        <w:tabs>
          <w:tab w:val="left" w:pos="9600"/>
        </w:tabs>
        <w:spacing w:before="120" w:line="280" w:lineRule="atLeast"/>
        <w:rPr>
          <w:rFonts w:cs="Arial"/>
          <w:szCs w:val="20"/>
        </w:rPr>
      </w:pPr>
      <w:r w:rsidRPr="00B148B1">
        <w:rPr>
          <w:rFonts w:cs="Arial"/>
          <w:szCs w:val="20"/>
        </w:rPr>
        <w:t xml:space="preserve">Razvitost infrastrukture za odvajanje in čiščenje komunalne odpadne vode se ugotavlja za vsako posamezno občino v skladu z Uredbo o merilih za določanje razvitosti infrastrukture in obremenjenosti okolja zaradi ugotavljanja deleža plačila občini za koncesijo na naravni dobrini (Uradni list RS, št. 74/04). </w:t>
      </w:r>
      <w:r w:rsidR="004E1C1A" w:rsidRPr="00B148B1">
        <w:rPr>
          <w:rFonts w:cs="Arial"/>
          <w:szCs w:val="20"/>
        </w:rPr>
        <w:t>V skladu z zadevno uredbo se občine razvrstijo glede na razvitost infrastrukture v občine s primerno in občine z manj primerno infrastrukturo. Vrednost indeksa, ki je večja od 1, pomeni primerno infrastrukturo. Vrednost indeksa, ki je manjša od 1, pomeni manj primerno infrastrukturo za odvajanje in čiščenje komunalne odpadne vode. Indeksi se izračunajo ločeno za infrastrukturo za odvajanje in infrastrukturo za čiščenje komunalne odpadne vode.</w:t>
      </w:r>
    </w:p>
    <w:p w:rsidR="00875DE7" w:rsidRPr="00B148B1" w:rsidRDefault="00D774EB" w:rsidP="00875DE7">
      <w:pPr>
        <w:tabs>
          <w:tab w:val="left" w:pos="9600"/>
        </w:tabs>
        <w:spacing w:before="120" w:line="280" w:lineRule="atLeast"/>
        <w:rPr>
          <w:rFonts w:cs="Arial"/>
          <w:szCs w:val="20"/>
        </w:rPr>
      </w:pPr>
      <w:r w:rsidRPr="00B148B1">
        <w:rPr>
          <w:rFonts w:cs="Arial"/>
          <w:szCs w:val="20"/>
        </w:rPr>
        <w:t xml:space="preserve">Razvitost infrastrukture za odvajanje in čiščenje komunalne odpadne vode je </w:t>
      </w:r>
      <w:r w:rsidR="004E1C1A" w:rsidRPr="00B148B1">
        <w:rPr>
          <w:rFonts w:cs="Arial"/>
          <w:szCs w:val="20"/>
        </w:rPr>
        <w:t xml:space="preserve">v skladu z zahtevami zadevne uredbe </w:t>
      </w:r>
      <w:r w:rsidRPr="00B148B1">
        <w:rPr>
          <w:rFonts w:cs="Arial"/>
          <w:szCs w:val="20"/>
        </w:rPr>
        <w:t>določena na podlagi</w:t>
      </w:r>
      <w:r w:rsidR="005C5DCE" w:rsidRPr="00B148B1">
        <w:rPr>
          <w:rFonts w:cs="Arial"/>
          <w:szCs w:val="20"/>
        </w:rPr>
        <w:t xml:space="preserve"> </w:t>
      </w:r>
      <w:r w:rsidR="00316238" w:rsidRPr="00B148B1">
        <w:rPr>
          <w:rFonts w:cs="Arial"/>
          <w:szCs w:val="20"/>
        </w:rPr>
        <w:t xml:space="preserve">veljavnih aglomeracij </w:t>
      </w:r>
      <w:r w:rsidR="005C5DCE" w:rsidRPr="00B148B1">
        <w:rPr>
          <w:rFonts w:cs="Arial"/>
          <w:szCs w:val="20"/>
        </w:rPr>
        <w:t xml:space="preserve">ter </w:t>
      </w:r>
      <w:r w:rsidRPr="00B148B1">
        <w:rPr>
          <w:rFonts w:cs="Arial"/>
          <w:szCs w:val="20"/>
        </w:rPr>
        <w:t>podatkov iz IJSVO</w:t>
      </w:r>
      <w:r w:rsidR="005C5DCE" w:rsidRPr="00B148B1">
        <w:rPr>
          <w:rFonts w:cs="Arial"/>
          <w:szCs w:val="20"/>
        </w:rPr>
        <w:t xml:space="preserve"> (stanje na presečni datum 31. december 201</w:t>
      </w:r>
      <w:r w:rsidR="0063377E" w:rsidRPr="00B148B1">
        <w:rPr>
          <w:rFonts w:cs="Arial"/>
          <w:szCs w:val="20"/>
        </w:rPr>
        <w:t>8</w:t>
      </w:r>
      <w:r w:rsidR="005C5DCE" w:rsidRPr="00B148B1">
        <w:rPr>
          <w:rFonts w:cs="Arial"/>
          <w:szCs w:val="20"/>
        </w:rPr>
        <w:t xml:space="preserve">) </w:t>
      </w:r>
      <w:r w:rsidR="00C4632A" w:rsidRPr="00B148B1">
        <w:rPr>
          <w:rFonts w:cs="Arial"/>
          <w:szCs w:val="20"/>
        </w:rPr>
        <w:t>ter</w:t>
      </w:r>
      <w:r w:rsidR="005C5DCE" w:rsidRPr="00B148B1">
        <w:rPr>
          <w:rFonts w:cs="Arial"/>
          <w:szCs w:val="20"/>
        </w:rPr>
        <w:t xml:space="preserve"> </w:t>
      </w:r>
      <w:r w:rsidR="00875DE7" w:rsidRPr="00B148B1">
        <w:rPr>
          <w:rFonts w:cs="Arial"/>
          <w:szCs w:val="20"/>
        </w:rPr>
        <w:t>izračunanih</w:t>
      </w:r>
      <w:r w:rsidR="005C5DCE" w:rsidRPr="00B148B1">
        <w:rPr>
          <w:rFonts w:cs="Arial"/>
          <w:szCs w:val="20"/>
        </w:rPr>
        <w:t xml:space="preserve"> </w:t>
      </w:r>
      <w:r w:rsidR="00875766" w:rsidRPr="00B148B1">
        <w:rPr>
          <w:rFonts w:cs="Arial"/>
          <w:szCs w:val="20"/>
        </w:rPr>
        <w:t>stopenj</w:t>
      </w:r>
      <w:r w:rsidR="005C5DCE" w:rsidRPr="00B148B1">
        <w:rPr>
          <w:rFonts w:cs="Arial"/>
          <w:szCs w:val="20"/>
        </w:rPr>
        <w:t xml:space="preserve"> priključenosti na javno kanalizacijsko omrežje in priključenosti na komunalno ali skupno čistilno napravo, namenjeno </w:t>
      </w:r>
      <w:r w:rsidR="00C4632A" w:rsidRPr="00B148B1">
        <w:rPr>
          <w:rFonts w:cs="Arial"/>
          <w:szCs w:val="20"/>
        </w:rPr>
        <w:t xml:space="preserve">za </w:t>
      </w:r>
      <w:r w:rsidR="005C5DCE" w:rsidRPr="00B148B1">
        <w:rPr>
          <w:rFonts w:cs="Arial"/>
          <w:szCs w:val="20"/>
        </w:rPr>
        <w:t>izvajanj</w:t>
      </w:r>
      <w:r w:rsidR="00C4632A" w:rsidRPr="00B148B1">
        <w:rPr>
          <w:rFonts w:cs="Arial"/>
          <w:szCs w:val="20"/>
        </w:rPr>
        <w:t>e</w:t>
      </w:r>
      <w:r w:rsidR="005C5DCE" w:rsidRPr="00B148B1">
        <w:rPr>
          <w:rFonts w:cs="Arial"/>
          <w:szCs w:val="20"/>
        </w:rPr>
        <w:t xml:space="preserve"> javne službe</w:t>
      </w:r>
      <w:r w:rsidR="009403B8" w:rsidRPr="00B148B1">
        <w:rPr>
          <w:rFonts w:cs="Arial"/>
          <w:szCs w:val="20"/>
        </w:rPr>
        <w:t>,</w:t>
      </w:r>
      <w:r w:rsidR="00875DE7" w:rsidRPr="00B148B1">
        <w:rPr>
          <w:rFonts w:cs="Arial"/>
          <w:szCs w:val="20"/>
        </w:rPr>
        <w:t xml:space="preserve"> iz podatkov o stavbah ter obliki odvajanja in čiščenja komunalnih odpadnih in padavinskih voda.</w:t>
      </w:r>
    </w:p>
    <w:p w:rsidR="005C5DCE" w:rsidRPr="00B148B1" w:rsidRDefault="00D774EB" w:rsidP="004E1C1A">
      <w:pPr>
        <w:tabs>
          <w:tab w:val="num" w:pos="360"/>
          <w:tab w:val="left" w:pos="9600"/>
        </w:tabs>
        <w:spacing w:before="120" w:line="280" w:lineRule="atLeast"/>
        <w:rPr>
          <w:rFonts w:cs="Arial"/>
          <w:szCs w:val="20"/>
        </w:rPr>
      </w:pPr>
      <w:r w:rsidRPr="00B148B1">
        <w:rPr>
          <w:rFonts w:cs="Arial"/>
          <w:szCs w:val="20"/>
        </w:rPr>
        <w:t>Razvitost infrastrukture za odvajanje in čiščenje komunalne odpadne vode je prikazana na ravni občin</w:t>
      </w:r>
      <w:r w:rsidRPr="00B148B1">
        <w:rPr>
          <w:rFonts w:cs="Arial"/>
          <w:i/>
          <w:color w:val="FF0000"/>
          <w:szCs w:val="20"/>
        </w:rPr>
        <w:t xml:space="preserve"> </w:t>
      </w:r>
      <w:r w:rsidRPr="00B148B1">
        <w:rPr>
          <w:rFonts w:cs="Arial"/>
          <w:szCs w:val="20"/>
        </w:rPr>
        <w:t>v</w:t>
      </w:r>
      <w:r w:rsidR="00531F16" w:rsidRPr="00B148B1">
        <w:rPr>
          <w:rFonts w:cs="Arial"/>
          <w:szCs w:val="20"/>
        </w:rPr>
        <w:t xml:space="preserve"> </w:t>
      </w:r>
      <w:r w:rsidRPr="00B148B1">
        <w:rPr>
          <w:rFonts w:cs="Arial"/>
          <w:szCs w:val="20"/>
        </w:rPr>
        <w:t>prilogi (</w:t>
      </w:r>
      <w:r w:rsidR="00BB19AC" w:rsidRPr="00B148B1">
        <w:rPr>
          <w:rFonts w:cs="Arial"/>
          <w:szCs w:val="20"/>
        </w:rPr>
        <w:t>PRILOGA</w:t>
      </w:r>
      <w:r w:rsidR="00FD33A2" w:rsidRPr="00B148B1">
        <w:rPr>
          <w:rFonts w:cs="Arial"/>
          <w:szCs w:val="20"/>
        </w:rPr>
        <w:t xml:space="preserve"> </w:t>
      </w:r>
      <w:r w:rsidR="00056CF3" w:rsidRPr="00B148B1">
        <w:rPr>
          <w:rFonts w:cs="Arial"/>
          <w:szCs w:val="20"/>
        </w:rPr>
        <w:t>9</w:t>
      </w:r>
      <w:r w:rsidRPr="00B148B1">
        <w:rPr>
          <w:rFonts w:cs="Arial"/>
          <w:szCs w:val="20"/>
        </w:rPr>
        <w:t>)</w:t>
      </w:r>
      <w:r w:rsidR="005C5DCE" w:rsidRPr="00B148B1">
        <w:rPr>
          <w:rFonts w:cs="Arial"/>
          <w:szCs w:val="20"/>
        </w:rPr>
        <w:t>, ki je sestavni del tega operativnega programa,</w:t>
      </w:r>
      <w:r w:rsidRPr="00B148B1">
        <w:rPr>
          <w:rFonts w:cs="Arial"/>
          <w:szCs w:val="20"/>
        </w:rPr>
        <w:t xml:space="preserve"> z izračunom indeksov, ki prikazujejo primernost infrastrukture za odvajanje in </w:t>
      </w:r>
      <w:r w:rsidR="004E1C1A" w:rsidRPr="00B148B1">
        <w:rPr>
          <w:rFonts w:cs="Arial"/>
          <w:szCs w:val="20"/>
        </w:rPr>
        <w:t>čiščenje komunalne odpadne vode</w:t>
      </w:r>
      <w:r w:rsidRPr="00B148B1">
        <w:rPr>
          <w:rFonts w:cs="Arial"/>
          <w:szCs w:val="20"/>
        </w:rPr>
        <w:t xml:space="preserve"> ločeno za odvajanje komunalne odpadne vode v javno kanalizacijsko omrežje in čiščenje komunalne odpadne vode v komunalnih </w:t>
      </w:r>
      <w:r w:rsidR="005C5DCE" w:rsidRPr="00B148B1">
        <w:rPr>
          <w:rFonts w:cs="Arial"/>
          <w:szCs w:val="20"/>
        </w:rPr>
        <w:t xml:space="preserve">ali skupnih </w:t>
      </w:r>
      <w:r w:rsidRPr="00B148B1">
        <w:rPr>
          <w:rFonts w:cs="Arial"/>
          <w:szCs w:val="20"/>
        </w:rPr>
        <w:t xml:space="preserve">čistilnih napravah. </w:t>
      </w:r>
    </w:p>
    <w:p w:rsidR="00A9429A" w:rsidRPr="00B148B1" w:rsidRDefault="00D774EB" w:rsidP="00D774EB">
      <w:pPr>
        <w:tabs>
          <w:tab w:val="left" w:pos="9600"/>
        </w:tabs>
        <w:spacing w:before="120" w:line="280" w:lineRule="atLeast"/>
        <w:rPr>
          <w:rFonts w:cs="Arial"/>
          <w:szCs w:val="20"/>
        </w:rPr>
      </w:pPr>
      <w:r w:rsidRPr="00B148B1">
        <w:rPr>
          <w:rFonts w:cs="Arial"/>
          <w:szCs w:val="20"/>
        </w:rPr>
        <w:t xml:space="preserve">Podatki so prikazani za skupno </w:t>
      </w:r>
      <w:r w:rsidR="00ED2505" w:rsidRPr="00B148B1">
        <w:rPr>
          <w:rFonts w:cs="Arial"/>
          <w:szCs w:val="20"/>
        </w:rPr>
        <w:t xml:space="preserve">207 </w:t>
      </w:r>
      <w:r w:rsidRPr="00B148B1">
        <w:rPr>
          <w:rFonts w:cs="Arial"/>
          <w:szCs w:val="20"/>
        </w:rPr>
        <w:t>občin, za</w:t>
      </w:r>
      <w:r w:rsidR="00A9429A" w:rsidRPr="00B148B1">
        <w:rPr>
          <w:rFonts w:cs="Arial"/>
          <w:szCs w:val="20"/>
        </w:rPr>
        <w:t xml:space="preserve"> pet</w:t>
      </w:r>
      <w:r w:rsidRPr="00B148B1">
        <w:rPr>
          <w:rFonts w:cs="Arial"/>
          <w:szCs w:val="20"/>
        </w:rPr>
        <w:t xml:space="preserve"> občin (občine Dobje, Hodoš, Solčava, Sveti Andraž v Slove</w:t>
      </w:r>
      <w:r w:rsidR="00A9429A" w:rsidRPr="00B148B1">
        <w:rPr>
          <w:rFonts w:cs="Arial"/>
          <w:szCs w:val="20"/>
        </w:rPr>
        <w:t xml:space="preserve">nskih goricah </w:t>
      </w:r>
      <w:r w:rsidRPr="00B148B1">
        <w:rPr>
          <w:rFonts w:cs="Arial"/>
          <w:szCs w:val="20"/>
        </w:rPr>
        <w:t xml:space="preserve">in Žetale) </w:t>
      </w:r>
      <w:r w:rsidR="005C5DCE" w:rsidRPr="00B148B1">
        <w:rPr>
          <w:rFonts w:cs="Arial"/>
          <w:szCs w:val="20"/>
        </w:rPr>
        <w:t xml:space="preserve">pa </w:t>
      </w:r>
      <w:r w:rsidRPr="00B148B1">
        <w:rPr>
          <w:rFonts w:cs="Arial"/>
          <w:szCs w:val="20"/>
        </w:rPr>
        <w:t xml:space="preserve">podatki niso prikazani, </w:t>
      </w:r>
      <w:r w:rsidR="005C5DCE" w:rsidRPr="00B148B1">
        <w:rPr>
          <w:rFonts w:cs="Arial"/>
          <w:szCs w:val="20"/>
        </w:rPr>
        <w:t>saj</w:t>
      </w:r>
      <w:r w:rsidRPr="00B148B1">
        <w:rPr>
          <w:rFonts w:cs="Arial"/>
          <w:szCs w:val="20"/>
        </w:rPr>
        <w:t xml:space="preserve"> v teh občinah ni </w:t>
      </w:r>
      <w:r w:rsidR="005C5DCE" w:rsidRPr="00B148B1">
        <w:rPr>
          <w:rFonts w:cs="Arial"/>
          <w:szCs w:val="20"/>
        </w:rPr>
        <w:t xml:space="preserve">določenih </w:t>
      </w:r>
      <w:r w:rsidR="0055170B" w:rsidRPr="00B148B1">
        <w:rPr>
          <w:rFonts w:cs="Arial"/>
          <w:szCs w:val="20"/>
        </w:rPr>
        <w:t>veljavnih</w:t>
      </w:r>
      <w:r w:rsidR="00A9429A" w:rsidRPr="00B148B1">
        <w:rPr>
          <w:rFonts w:cs="Arial"/>
          <w:szCs w:val="20"/>
        </w:rPr>
        <w:t xml:space="preserve"> </w:t>
      </w:r>
      <w:r w:rsidRPr="00B148B1">
        <w:rPr>
          <w:rFonts w:cs="Arial"/>
          <w:szCs w:val="20"/>
        </w:rPr>
        <w:t>aglomeracij</w:t>
      </w:r>
      <w:r w:rsidR="005C5DCE" w:rsidRPr="00B148B1">
        <w:rPr>
          <w:rFonts w:cs="Arial"/>
          <w:szCs w:val="20"/>
        </w:rPr>
        <w:t xml:space="preserve"> in torej opremljanje z javno infrastrukturo za odvajanje in čiščenje komunalne odpadne vode ni predpisano</w:t>
      </w:r>
      <w:r w:rsidRPr="00B148B1">
        <w:rPr>
          <w:rFonts w:cs="Arial"/>
          <w:szCs w:val="20"/>
        </w:rPr>
        <w:t xml:space="preserve">. </w:t>
      </w:r>
    </w:p>
    <w:p w:rsidR="00D774EB" w:rsidRPr="00B148B1" w:rsidRDefault="00D774EB" w:rsidP="00D774EB">
      <w:pPr>
        <w:tabs>
          <w:tab w:val="left" w:pos="9600"/>
        </w:tabs>
        <w:spacing w:before="120" w:line="280" w:lineRule="atLeast"/>
        <w:rPr>
          <w:rFonts w:cs="Arial"/>
          <w:color w:val="FF0000"/>
          <w:szCs w:val="20"/>
        </w:rPr>
      </w:pPr>
      <w:r w:rsidRPr="00B148B1">
        <w:rPr>
          <w:rFonts w:cs="Arial"/>
          <w:szCs w:val="20"/>
        </w:rPr>
        <w:t xml:space="preserve">Podatki kažejo, da je infrastruktura za odvajanje komunalne odpadne vode (javno kanalizacijsko omrežje) primerna v </w:t>
      </w:r>
      <w:r w:rsidR="00E425B1" w:rsidRPr="00B148B1">
        <w:rPr>
          <w:rFonts w:cs="Arial"/>
          <w:szCs w:val="20"/>
        </w:rPr>
        <w:t>89</w:t>
      </w:r>
      <w:r w:rsidRPr="00B148B1">
        <w:rPr>
          <w:rFonts w:cs="Arial"/>
          <w:szCs w:val="20"/>
        </w:rPr>
        <w:t xml:space="preserve"> občinah, v 1</w:t>
      </w:r>
      <w:r w:rsidR="00822AA2" w:rsidRPr="00B148B1">
        <w:rPr>
          <w:rFonts w:cs="Arial"/>
          <w:szCs w:val="20"/>
        </w:rPr>
        <w:t>0</w:t>
      </w:r>
      <w:r w:rsidR="00E425B1" w:rsidRPr="00B148B1">
        <w:rPr>
          <w:rFonts w:cs="Arial"/>
          <w:szCs w:val="20"/>
        </w:rPr>
        <w:t>6</w:t>
      </w:r>
      <w:r w:rsidR="00822AA2" w:rsidRPr="00B148B1">
        <w:rPr>
          <w:rFonts w:cs="Arial"/>
          <w:szCs w:val="20"/>
        </w:rPr>
        <w:t xml:space="preserve"> </w:t>
      </w:r>
      <w:r w:rsidRPr="00B148B1">
        <w:rPr>
          <w:rFonts w:cs="Arial"/>
          <w:szCs w:val="20"/>
        </w:rPr>
        <w:t xml:space="preserve">občinah, za katere so podatki prikazani, pa je infrastruktura za odvajanje komunalne odpadne vode manj primerna. Za </w:t>
      </w:r>
      <w:r w:rsidR="00822AA2" w:rsidRPr="00B148B1">
        <w:rPr>
          <w:rFonts w:cs="Arial"/>
          <w:szCs w:val="20"/>
        </w:rPr>
        <w:t>1</w:t>
      </w:r>
      <w:r w:rsidR="00E83531" w:rsidRPr="00B148B1">
        <w:rPr>
          <w:rFonts w:cs="Arial"/>
          <w:szCs w:val="20"/>
        </w:rPr>
        <w:t>2</w:t>
      </w:r>
      <w:r w:rsidRPr="00B148B1">
        <w:rPr>
          <w:rFonts w:cs="Arial"/>
          <w:szCs w:val="20"/>
        </w:rPr>
        <w:t xml:space="preserve"> občin je indeks razvitosti enak nič. Gre za 1</w:t>
      </w:r>
      <w:r w:rsidR="00C308E8" w:rsidRPr="00B148B1">
        <w:rPr>
          <w:rFonts w:cs="Arial"/>
          <w:szCs w:val="20"/>
        </w:rPr>
        <w:t>2</w:t>
      </w:r>
      <w:r w:rsidRPr="00B148B1">
        <w:rPr>
          <w:rFonts w:cs="Arial"/>
          <w:szCs w:val="20"/>
        </w:rPr>
        <w:t xml:space="preserve"> občin, v katerih je </w:t>
      </w:r>
      <w:r w:rsidR="004E1C1A" w:rsidRPr="00B148B1">
        <w:rPr>
          <w:rFonts w:cs="Arial"/>
          <w:szCs w:val="20"/>
        </w:rPr>
        <w:t>po podatkih IJSVO stopnja priključenosti</w:t>
      </w:r>
      <w:r w:rsidRPr="00B148B1">
        <w:rPr>
          <w:rFonts w:cs="Arial"/>
          <w:szCs w:val="20"/>
        </w:rPr>
        <w:t xml:space="preserve"> na javno kanalizacijsko omrežje enaka nič.</w:t>
      </w:r>
      <w:r w:rsidR="004E1C1A" w:rsidRPr="00B148B1">
        <w:rPr>
          <w:rFonts w:cs="Arial"/>
          <w:szCs w:val="20"/>
        </w:rPr>
        <w:t xml:space="preserve"> </w:t>
      </w:r>
    </w:p>
    <w:p w:rsidR="00D774EB" w:rsidRPr="00B148B1" w:rsidRDefault="00D774EB" w:rsidP="00D774EB">
      <w:pPr>
        <w:tabs>
          <w:tab w:val="left" w:pos="9600"/>
        </w:tabs>
        <w:spacing w:before="120" w:line="280" w:lineRule="atLeast"/>
        <w:rPr>
          <w:rFonts w:cs="Arial"/>
          <w:szCs w:val="20"/>
        </w:rPr>
      </w:pPr>
      <w:r w:rsidRPr="00B148B1">
        <w:rPr>
          <w:rFonts w:cs="Arial"/>
          <w:szCs w:val="20"/>
        </w:rPr>
        <w:t>Podatki kažejo</w:t>
      </w:r>
      <w:r w:rsidR="009403B8" w:rsidRPr="00B148B1">
        <w:rPr>
          <w:rFonts w:cs="Arial"/>
          <w:szCs w:val="20"/>
        </w:rPr>
        <w:t xml:space="preserve"> tudi</w:t>
      </w:r>
      <w:r w:rsidRPr="00B148B1">
        <w:rPr>
          <w:rFonts w:cs="Arial"/>
          <w:szCs w:val="20"/>
        </w:rPr>
        <w:t xml:space="preserve">, da je infrastruktura za čiščenje komunalne odpadne vode (čistilne naprave) primerna v </w:t>
      </w:r>
      <w:r w:rsidR="006B530E" w:rsidRPr="00B148B1">
        <w:rPr>
          <w:rFonts w:cs="Arial"/>
          <w:szCs w:val="20"/>
        </w:rPr>
        <w:t>91</w:t>
      </w:r>
      <w:r w:rsidRPr="00B148B1">
        <w:rPr>
          <w:rFonts w:cs="Arial"/>
          <w:szCs w:val="20"/>
        </w:rPr>
        <w:t xml:space="preserve"> občinah, v </w:t>
      </w:r>
      <w:r w:rsidR="006B530E" w:rsidRPr="00B148B1">
        <w:rPr>
          <w:rFonts w:cs="Arial"/>
          <w:szCs w:val="20"/>
        </w:rPr>
        <w:t>98</w:t>
      </w:r>
      <w:r w:rsidR="00E425B1" w:rsidRPr="00B148B1">
        <w:rPr>
          <w:rFonts w:cs="Arial"/>
          <w:szCs w:val="20"/>
        </w:rPr>
        <w:t xml:space="preserve"> </w:t>
      </w:r>
      <w:r w:rsidRPr="00B148B1">
        <w:rPr>
          <w:rFonts w:cs="Arial"/>
          <w:szCs w:val="20"/>
        </w:rPr>
        <w:t xml:space="preserve">občinah, za katere so podatki prikazani, pa je infrastruktura za čiščenje komunalne odpadne vode manj primerna. Za </w:t>
      </w:r>
      <w:r w:rsidR="00B568BA" w:rsidRPr="00B148B1">
        <w:rPr>
          <w:rFonts w:cs="Arial"/>
          <w:szCs w:val="20"/>
        </w:rPr>
        <w:t>1</w:t>
      </w:r>
      <w:r w:rsidR="00E425B1" w:rsidRPr="00B148B1">
        <w:rPr>
          <w:rFonts w:cs="Arial"/>
          <w:szCs w:val="20"/>
        </w:rPr>
        <w:t>8</w:t>
      </w:r>
      <w:r w:rsidRPr="00B148B1">
        <w:rPr>
          <w:rFonts w:cs="Arial"/>
          <w:szCs w:val="20"/>
        </w:rPr>
        <w:t xml:space="preserve"> občin je indeks razvitosti enak nič. Gre za </w:t>
      </w:r>
      <w:r w:rsidR="00B568BA" w:rsidRPr="00B148B1">
        <w:rPr>
          <w:rFonts w:cs="Arial"/>
          <w:szCs w:val="20"/>
        </w:rPr>
        <w:t>1</w:t>
      </w:r>
      <w:r w:rsidR="006B530E" w:rsidRPr="00B148B1">
        <w:rPr>
          <w:rFonts w:cs="Arial"/>
          <w:szCs w:val="20"/>
        </w:rPr>
        <w:t>8</w:t>
      </w:r>
      <w:r w:rsidRPr="00B148B1">
        <w:rPr>
          <w:rFonts w:cs="Arial"/>
          <w:szCs w:val="20"/>
        </w:rPr>
        <w:t xml:space="preserve"> občin, v katerih je </w:t>
      </w:r>
      <w:r w:rsidR="004E1C1A" w:rsidRPr="00B148B1">
        <w:rPr>
          <w:rFonts w:cs="Arial"/>
          <w:szCs w:val="20"/>
        </w:rPr>
        <w:t xml:space="preserve">po podatkih IJSVO stopnja priključenosti </w:t>
      </w:r>
      <w:r w:rsidRPr="00B148B1">
        <w:rPr>
          <w:rFonts w:cs="Arial"/>
          <w:szCs w:val="20"/>
        </w:rPr>
        <w:t>na čistilne naprave enaka nič.</w:t>
      </w:r>
    </w:p>
    <w:p w:rsidR="00D774EB" w:rsidRPr="00B148B1" w:rsidRDefault="00C770E5" w:rsidP="00C63DDA">
      <w:pPr>
        <w:pStyle w:val="Naslov2"/>
      </w:pPr>
      <w:bookmarkStart w:id="111" w:name="_Ref530500616"/>
      <w:bookmarkStart w:id="112" w:name="_Toc50628086"/>
      <w:r w:rsidRPr="00B148B1">
        <w:t>Ocena potrebnih ukrepov</w:t>
      </w:r>
      <w:r w:rsidR="00ED2505" w:rsidRPr="00B148B1">
        <w:t xml:space="preserve"> in roki</w:t>
      </w:r>
      <w:r w:rsidRPr="00B148B1">
        <w:t xml:space="preserve"> za izpolnitev </w:t>
      </w:r>
      <w:r w:rsidR="00ED2505" w:rsidRPr="00B148B1">
        <w:t>vrzeli</w:t>
      </w:r>
      <w:bookmarkEnd w:id="111"/>
      <w:bookmarkEnd w:id="112"/>
    </w:p>
    <w:p w:rsidR="006A2524" w:rsidRPr="00B148B1" w:rsidRDefault="006A2524" w:rsidP="006A2524">
      <w:pPr>
        <w:tabs>
          <w:tab w:val="left" w:pos="9600"/>
        </w:tabs>
        <w:spacing w:before="120" w:line="280" w:lineRule="atLeast"/>
        <w:rPr>
          <w:rFonts w:cs="Arial"/>
          <w:szCs w:val="20"/>
        </w:rPr>
      </w:pPr>
      <w:r w:rsidRPr="00B148B1">
        <w:rPr>
          <w:rFonts w:cs="Arial"/>
          <w:szCs w:val="20"/>
        </w:rPr>
        <w:t>Aglomeracije morajo biti opremljene</w:t>
      </w:r>
      <w:r w:rsidR="00B1274B" w:rsidRPr="00B148B1">
        <w:rPr>
          <w:rFonts w:cs="Arial"/>
          <w:szCs w:val="20"/>
        </w:rPr>
        <w:t xml:space="preserve"> v</w:t>
      </w:r>
      <w:r w:rsidRPr="00B148B1">
        <w:rPr>
          <w:rFonts w:cs="Arial"/>
          <w:szCs w:val="20"/>
        </w:rPr>
        <w:t xml:space="preserve"> sklad</w:t>
      </w:r>
      <w:r w:rsidR="00B1274B" w:rsidRPr="00B148B1">
        <w:rPr>
          <w:rFonts w:cs="Arial"/>
          <w:szCs w:val="20"/>
        </w:rPr>
        <w:t>u</w:t>
      </w:r>
      <w:r w:rsidRPr="00B148B1">
        <w:rPr>
          <w:rFonts w:cs="Arial"/>
          <w:szCs w:val="20"/>
        </w:rPr>
        <w:t xml:space="preserve"> z zahtevami, opisanimi v </w:t>
      </w:r>
      <w:r w:rsidR="00B1274B" w:rsidRPr="00B148B1">
        <w:rPr>
          <w:rFonts w:cs="Arial"/>
          <w:szCs w:val="20"/>
        </w:rPr>
        <w:t>pod</w:t>
      </w:r>
      <w:r w:rsidRPr="00B148B1">
        <w:rPr>
          <w:rFonts w:cs="Arial"/>
          <w:szCs w:val="20"/>
        </w:rPr>
        <w:t xml:space="preserve">poglavju </w:t>
      </w:r>
      <w:r w:rsidR="00B03DD5" w:rsidRPr="00B148B1">
        <w:rPr>
          <w:rFonts w:cs="Arial"/>
          <w:szCs w:val="20"/>
        </w:rPr>
        <w:fldChar w:fldCharType="begin"/>
      </w:r>
      <w:r w:rsidR="00B03DD5" w:rsidRPr="00B148B1">
        <w:rPr>
          <w:rFonts w:cs="Arial"/>
          <w:szCs w:val="20"/>
        </w:rPr>
        <w:instrText xml:space="preserve"> REF _Ref446492789 \r \h  \* MERGEFORMAT </w:instrText>
      </w:r>
      <w:r w:rsidR="00B03DD5" w:rsidRPr="00B148B1">
        <w:rPr>
          <w:rFonts w:cs="Arial"/>
          <w:szCs w:val="20"/>
        </w:rPr>
      </w:r>
      <w:r w:rsidR="00B03DD5" w:rsidRPr="00B148B1">
        <w:rPr>
          <w:rFonts w:cs="Arial"/>
          <w:szCs w:val="20"/>
        </w:rPr>
        <w:fldChar w:fldCharType="separate"/>
      </w:r>
      <w:r w:rsidR="00E92793">
        <w:rPr>
          <w:rFonts w:cs="Arial"/>
          <w:szCs w:val="20"/>
        </w:rPr>
        <w:t>1.3.4</w:t>
      </w:r>
      <w:r w:rsidR="00B03DD5" w:rsidRPr="00B148B1">
        <w:rPr>
          <w:rFonts w:cs="Arial"/>
          <w:szCs w:val="20"/>
        </w:rPr>
        <w:fldChar w:fldCharType="end"/>
      </w:r>
      <w:r w:rsidR="00ED2505" w:rsidRPr="00B148B1">
        <w:rPr>
          <w:rFonts w:cs="Arial"/>
          <w:szCs w:val="20"/>
        </w:rPr>
        <w:t>.</w:t>
      </w:r>
      <w:r w:rsidR="00B03DD5" w:rsidRPr="00B148B1">
        <w:rPr>
          <w:rFonts w:cs="Arial"/>
          <w:szCs w:val="20"/>
        </w:rPr>
        <w:t xml:space="preserve"> </w:t>
      </w:r>
      <w:r w:rsidRPr="00B148B1">
        <w:rPr>
          <w:rFonts w:cs="Arial"/>
          <w:szCs w:val="20"/>
        </w:rPr>
        <w:t xml:space="preserve">in </w:t>
      </w:r>
      <w:r w:rsidR="00AE7EB2" w:rsidRPr="00B148B1">
        <w:rPr>
          <w:rFonts w:cs="Arial"/>
          <w:szCs w:val="20"/>
        </w:rPr>
        <w:t>pod</w:t>
      </w:r>
      <w:r w:rsidRPr="00B148B1">
        <w:rPr>
          <w:rFonts w:cs="Arial"/>
          <w:szCs w:val="20"/>
        </w:rPr>
        <w:t xml:space="preserve">poglavju </w:t>
      </w:r>
      <w:r w:rsidR="00ED2505" w:rsidRPr="00B148B1">
        <w:rPr>
          <w:rFonts w:cs="Arial"/>
          <w:szCs w:val="20"/>
        </w:rPr>
        <w:fldChar w:fldCharType="begin"/>
      </w:r>
      <w:r w:rsidR="00ED2505" w:rsidRPr="00B148B1">
        <w:rPr>
          <w:rFonts w:cs="Arial"/>
          <w:szCs w:val="20"/>
        </w:rPr>
        <w:instrText xml:space="preserve"> REF _Ref45787885 \n \h </w:instrText>
      </w:r>
      <w:r w:rsidR="00B148B1" w:rsidRPr="00B148B1">
        <w:rPr>
          <w:rFonts w:cs="Arial"/>
          <w:szCs w:val="20"/>
        </w:rPr>
        <w:instrText xml:space="preserve"> \* MERGEFORMAT </w:instrText>
      </w:r>
      <w:r w:rsidR="00ED2505" w:rsidRPr="00B148B1">
        <w:rPr>
          <w:rFonts w:cs="Arial"/>
          <w:szCs w:val="20"/>
        </w:rPr>
      </w:r>
      <w:r w:rsidR="00ED2505" w:rsidRPr="00B148B1">
        <w:rPr>
          <w:rFonts w:cs="Arial"/>
          <w:szCs w:val="20"/>
        </w:rPr>
        <w:fldChar w:fldCharType="separate"/>
      </w:r>
      <w:r w:rsidR="00E92793">
        <w:rPr>
          <w:rFonts w:cs="Arial"/>
          <w:szCs w:val="20"/>
        </w:rPr>
        <w:t>1.3.5</w:t>
      </w:r>
      <w:r w:rsidR="00ED2505" w:rsidRPr="00B148B1">
        <w:rPr>
          <w:rFonts w:cs="Arial"/>
          <w:szCs w:val="20"/>
        </w:rPr>
        <w:fldChar w:fldCharType="end"/>
      </w:r>
      <w:r w:rsidR="00ED2505" w:rsidRPr="00B148B1">
        <w:rPr>
          <w:rFonts w:cs="Arial"/>
          <w:szCs w:val="20"/>
        </w:rPr>
        <w:t xml:space="preserve">. </w:t>
      </w:r>
      <w:r w:rsidRPr="00B148B1">
        <w:rPr>
          <w:rFonts w:cs="Arial"/>
          <w:szCs w:val="20"/>
        </w:rPr>
        <w:t xml:space="preserve">tega operativnega programa. </w:t>
      </w:r>
      <w:r w:rsidR="009403B8" w:rsidRPr="00B148B1">
        <w:rPr>
          <w:rFonts w:cs="Arial"/>
          <w:szCs w:val="20"/>
        </w:rPr>
        <w:t xml:space="preserve">V skladu </w:t>
      </w:r>
      <w:r w:rsidRPr="00B148B1">
        <w:rPr>
          <w:rFonts w:cs="Arial"/>
          <w:szCs w:val="20"/>
        </w:rPr>
        <w:t xml:space="preserve">s temi zahtevami bodo morale občine za izpolnjevanje </w:t>
      </w:r>
      <w:r w:rsidR="0019646A" w:rsidRPr="00B148B1">
        <w:rPr>
          <w:rFonts w:cs="Arial"/>
          <w:szCs w:val="20"/>
        </w:rPr>
        <w:t>predpisanih zahtev v zvezi z odvajanjem in čiščenjem komunalne odpadne vode</w:t>
      </w:r>
      <w:r w:rsidRPr="00B148B1">
        <w:rPr>
          <w:rFonts w:cs="Arial"/>
          <w:szCs w:val="20"/>
        </w:rPr>
        <w:t xml:space="preserve"> zagotoviti ustrezno odvajanje in čiščenje komunalne odpadne vode</w:t>
      </w:r>
      <w:r w:rsidR="000E514B" w:rsidRPr="00B148B1">
        <w:rPr>
          <w:rFonts w:cs="Arial"/>
          <w:szCs w:val="20"/>
        </w:rPr>
        <w:t>, ki nastaja v objektih v aglomeracijah,</w:t>
      </w:r>
      <w:r w:rsidRPr="00B148B1">
        <w:rPr>
          <w:rFonts w:cs="Arial"/>
          <w:szCs w:val="20"/>
        </w:rPr>
        <w:t xml:space="preserve"> z:</w:t>
      </w:r>
    </w:p>
    <w:p w:rsidR="006A2524" w:rsidRPr="00B148B1" w:rsidRDefault="000E514B"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 xml:space="preserve">gradnjo </w:t>
      </w:r>
      <w:r w:rsidR="006A2524" w:rsidRPr="00B148B1">
        <w:rPr>
          <w:rFonts w:cs="Arial"/>
          <w:szCs w:val="20"/>
        </w:rPr>
        <w:t>javnega kanalizacijskega omrežja ali rekonstrukcijo obstoječega j</w:t>
      </w:r>
      <w:r w:rsidR="0019646A" w:rsidRPr="00B148B1">
        <w:rPr>
          <w:rFonts w:cs="Arial"/>
          <w:szCs w:val="20"/>
        </w:rPr>
        <w:t>avnega kanalizacijskega omrežja in</w:t>
      </w:r>
    </w:p>
    <w:p w:rsidR="006A2524" w:rsidRPr="00B148B1" w:rsidRDefault="000E514B"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lastRenderedPageBreak/>
        <w:t xml:space="preserve">gradnjo </w:t>
      </w:r>
      <w:r w:rsidR="006A2524" w:rsidRPr="00B148B1">
        <w:rPr>
          <w:rFonts w:cs="Arial"/>
          <w:szCs w:val="20"/>
        </w:rPr>
        <w:t>komunalnih čistilnih naprav z ustrezno stopnjo čiščenja ali rekonstrukcijo obstoječih komunalnih čistilnih naprav, ki zaključujejo javno kanalizacijsko omrežje in so namenjene</w:t>
      </w:r>
      <w:r w:rsidR="009403B8" w:rsidRPr="00B148B1">
        <w:rPr>
          <w:rFonts w:cs="Arial"/>
          <w:szCs w:val="20"/>
        </w:rPr>
        <w:t xml:space="preserve"> za</w:t>
      </w:r>
      <w:r w:rsidR="006A2524" w:rsidRPr="00B148B1">
        <w:rPr>
          <w:rFonts w:cs="Arial"/>
          <w:szCs w:val="20"/>
        </w:rPr>
        <w:t xml:space="preserve"> izvajanj</w:t>
      </w:r>
      <w:r w:rsidR="009403B8" w:rsidRPr="00B148B1">
        <w:rPr>
          <w:rFonts w:cs="Arial"/>
          <w:szCs w:val="20"/>
        </w:rPr>
        <w:t>e</w:t>
      </w:r>
      <w:r w:rsidR="006A2524" w:rsidRPr="00B148B1">
        <w:rPr>
          <w:rFonts w:cs="Arial"/>
          <w:szCs w:val="20"/>
        </w:rPr>
        <w:t xml:space="preserve"> javne službe čiščenja komunalne odpadne vode</w:t>
      </w:r>
      <w:r w:rsidR="0019646A" w:rsidRPr="00B148B1">
        <w:rPr>
          <w:rFonts w:cs="Arial"/>
          <w:szCs w:val="20"/>
        </w:rPr>
        <w:t>.</w:t>
      </w:r>
    </w:p>
    <w:p w:rsidR="006A2524" w:rsidRPr="00B148B1" w:rsidRDefault="0019646A" w:rsidP="0019646A">
      <w:pPr>
        <w:tabs>
          <w:tab w:val="left" w:pos="9600"/>
        </w:tabs>
        <w:spacing w:before="120" w:line="280" w:lineRule="atLeast"/>
        <w:rPr>
          <w:rFonts w:cs="Arial"/>
          <w:szCs w:val="20"/>
        </w:rPr>
      </w:pPr>
      <w:r w:rsidRPr="00B148B1">
        <w:rPr>
          <w:rFonts w:cs="Arial"/>
          <w:szCs w:val="20"/>
        </w:rPr>
        <w:t>Na obm</w:t>
      </w:r>
      <w:r w:rsidR="008F36B7" w:rsidRPr="00B148B1">
        <w:rPr>
          <w:rFonts w:cs="Arial"/>
          <w:szCs w:val="20"/>
        </w:rPr>
        <w:t xml:space="preserve">očjih </w:t>
      </w:r>
      <w:r w:rsidR="008C6D60" w:rsidRPr="00B148B1">
        <w:rPr>
          <w:rFonts w:cs="Arial"/>
          <w:szCs w:val="20"/>
        </w:rPr>
        <w:t>zunaj</w:t>
      </w:r>
      <w:r w:rsidR="008F36B7" w:rsidRPr="00B148B1">
        <w:rPr>
          <w:rFonts w:cs="Arial"/>
          <w:szCs w:val="20"/>
        </w:rPr>
        <w:t xml:space="preserve"> meja aglomeracij oziroma</w:t>
      </w:r>
      <w:r w:rsidRPr="00B148B1">
        <w:rPr>
          <w:rFonts w:cs="Arial"/>
          <w:szCs w:val="20"/>
        </w:rPr>
        <w:t xml:space="preserve"> v aglomeracijah za objekte, kjer je upravičeno uveljavljanje izjeme glede priključitve na javno kanalizacijsko omrežje, bodo morali lastniki objektov </w:t>
      </w:r>
      <w:r w:rsidR="000E514B" w:rsidRPr="00B148B1">
        <w:rPr>
          <w:rFonts w:cs="Arial"/>
          <w:szCs w:val="20"/>
        </w:rPr>
        <w:t xml:space="preserve">oziroma občine </w:t>
      </w:r>
      <w:r w:rsidRPr="00B148B1">
        <w:rPr>
          <w:rFonts w:cs="Arial"/>
          <w:szCs w:val="20"/>
        </w:rPr>
        <w:t xml:space="preserve">zagotoviti </w:t>
      </w:r>
      <w:r w:rsidR="006A2524" w:rsidRPr="00B148B1">
        <w:rPr>
          <w:rFonts w:cs="Arial"/>
          <w:szCs w:val="20"/>
        </w:rPr>
        <w:t>gradnjo malih čistilnih naprav ali drugih individualnih ureditev odvajanja in čiščenja komunalne odpadne vode.</w:t>
      </w:r>
    </w:p>
    <w:p w:rsidR="00FB112C" w:rsidRPr="00B148B1" w:rsidRDefault="00FB112C" w:rsidP="00C770E5">
      <w:pPr>
        <w:pStyle w:val="Naslov3"/>
      </w:pPr>
      <w:bookmarkStart w:id="113" w:name="_Ref530468650"/>
      <w:bookmarkStart w:id="114" w:name="_Toc50628087"/>
      <w:r w:rsidRPr="00B148B1">
        <w:t xml:space="preserve">Ukrepi </w:t>
      </w:r>
      <w:r w:rsidR="00286568" w:rsidRPr="00B148B1">
        <w:t xml:space="preserve">in roki </w:t>
      </w:r>
      <w:r w:rsidRPr="00B148B1">
        <w:t>za zagotavljanje odvajanja komunalne odpadne vode</w:t>
      </w:r>
      <w:bookmarkEnd w:id="113"/>
      <w:bookmarkEnd w:id="114"/>
    </w:p>
    <w:p w:rsidR="0076256E" w:rsidRPr="00B148B1" w:rsidRDefault="00CC5B3D" w:rsidP="00690CD1">
      <w:pPr>
        <w:tabs>
          <w:tab w:val="left" w:pos="9600"/>
        </w:tabs>
        <w:spacing w:before="120" w:line="280" w:lineRule="atLeast"/>
        <w:rPr>
          <w:rFonts w:cs="Arial"/>
          <w:szCs w:val="20"/>
        </w:rPr>
      </w:pPr>
      <w:r w:rsidRPr="00B148B1">
        <w:rPr>
          <w:rFonts w:cs="Arial"/>
          <w:szCs w:val="20"/>
        </w:rPr>
        <w:t xml:space="preserve">Za komunalno odpadno vodo, ki </w:t>
      </w:r>
      <w:r w:rsidR="00690CD1" w:rsidRPr="00B148B1">
        <w:rPr>
          <w:rFonts w:cs="Arial"/>
          <w:szCs w:val="20"/>
        </w:rPr>
        <w:t>nastaja v objektih v aglomeraciji, je treba zagotoviti odvajanje po javnem kanalizacijskem sistemu</w:t>
      </w:r>
      <w:r w:rsidR="0076256E" w:rsidRPr="00B148B1">
        <w:rPr>
          <w:rFonts w:cs="Arial"/>
          <w:szCs w:val="20"/>
        </w:rPr>
        <w:t>, kot to izhaja</w:t>
      </w:r>
      <w:r w:rsidR="008F177A" w:rsidRPr="00B148B1">
        <w:rPr>
          <w:rFonts w:cs="Arial"/>
          <w:szCs w:val="20"/>
        </w:rPr>
        <w:t xml:space="preserve"> </w:t>
      </w:r>
      <w:r w:rsidR="0076256E" w:rsidRPr="00B148B1">
        <w:rPr>
          <w:rFonts w:cs="Arial"/>
          <w:szCs w:val="20"/>
        </w:rPr>
        <w:t xml:space="preserve">iz </w:t>
      </w:r>
      <w:r w:rsidR="008F177A" w:rsidRPr="00B148B1">
        <w:rPr>
          <w:rFonts w:cs="Arial"/>
          <w:szCs w:val="20"/>
        </w:rPr>
        <w:t>3. člen</w:t>
      </w:r>
      <w:r w:rsidR="0076256E" w:rsidRPr="00B148B1">
        <w:rPr>
          <w:rFonts w:cs="Arial"/>
          <w:szCs w:val="20"/>
        </w:rPr>
        <w:t>a</w:t>
      </w:r>
      <w:r w:rsidR="008F177A" w:rsidRPr="00B148B1">
        <w:rPr>
          <w:rFonts w:cs="Arial"/>
          <w:szCs w:val="20"/>
        </w:rPr>
        <w:t xml:space="preserve"> Direktive 91/271/EGS</w:t>
      </w:r>
      <w:r w:rsidR="0076256E" w:rsidRPr="00B148B1">
        <w:rPr>
          <w:rFonts w:cs="Arial"/>
          <w:szCs w:val="20"/>
        </w:rPr>
        <w:t xml:space="preserve"> (zahteve za aglomeracije z obremenitvijo, enako ali večjo od 2.000 PE</w:t>
      </w:r>
      <w:r w:rsidR="0078621F" w:rsidRPr="00B148B1">
        <w:rPr>
          <w:rFonts w:cs="Arial"/>
          <w:szCs w:val="20"/>
        </w:rPr>
        <w:t>)</w:t>
      </w:r>
      <w:r w:rsidR="0076256E" w:rsidRPr="00B148B1">
        <w:rPr>
          <w:rFonts w:cs="Arial"/>
          <w:szCs w:val="20"/>
        </w:rPr>
        <w:t xml:space="preserve"> ter iz zahtev Uredbe o odvajanju in čiščenju komunalne odpadne vode (zahteve za opremljanje aglomeracij)</w:t>
      </w:r>
      <w:r w:rsidR="00ED2505" w:rsidRPr="00B148B1">
        <w:rPr>
          <w:rFonts w:cs="Arial"/>
          <w:szCs w:val="20"/>
        </w:rPr>
        <w:t xml:space="preserve">, kot je podrobneje opisano v </w:t>
      </w:r>
      <w:r w:rsidR="00AE7EB2" w:rsidRPr="00B148B1">
        <w:rPr>
          <w:rFonts w:cs="Arial"/>
          <w:szCs w:val="20"/>
        </w:rPr>
        <w:t>pod</w:t>
      </w:r>
      <w:r w:rsidR="00ED2505" w:rsidRPr="00B148B1">
        <w:rPr>
          <w:rFonts w:cs="Arial"/>
          <w:szCs w:val="20"/>
        </w:rPr>
        <w:t xml:space="preserve">poglavju </w:t>
      </w:r>
      <w:r w:rsidR="00ED2505" w:rsidRPr="00B148B1">
        <w:rPr>
          <w:rFonts w:cs="Arial"/>
          <w:szCs w:val="20"/>
        </w:rPr>
        <w:fldChar w:fldCharType="begin"/>
      </w:r>
      <w:r w:rsidR="00ED2505" w:rsidRPr="00B148B1">
        <w:rPr>
          <w:rFonts w:cs="Arial"/>
          <w:szCs w:val="20"/>
        </w:rPr>
        <w:instrText xml:space="preserve"> REF _Ref45788013 \n \h </w:instrText>
      </w:r>
      <w:r w:rsidR="00B148B1" w:rsidRPr="00B148B1">
        <w:rPr>
          <w:rFonts w:cs="Arial"/>
          <w:szCs w:val="20"/>
        </w:rPr>
        <w:instrText xml:space="preserve"> \* MERGEFORMAT </w:instrText>
      </w:r>
      <w:r w:rsidR="00ED2505" w:rsidRPr="00B148B1">
        <w:rPr>
          <w:rFonts w:cs="Arial"/>
          <w:szCs w:val="20"/>
        </w:rPr>
      </w:r>
      <w:r w:rsidR="00ED2505" w:rsidRPr="00B148B1">
        <w:rPr>
          <w:rFonts w:cs="Arial"/>
          <w:szCs w:val="20"/>
        </w:rPr>
        <w:fldChar w:fldCharType="separate"/>
      </w:r>
      <w:r w:rsidR="00E92793">
        <w:rPr>
          <w:rFonts w:cs="Arial"/>
          <w:szCs w:val="20"/>
        </w:rPr>
        <w:t>1.3.5</w:t>
      </w:r>
      <w:r w:rsidR="00ED2505" w:rsidRPr="00B148B1">
        <w:rPr>
          <w:rFonts w:cs="Arial"/>
          <w:szCs w:val="20"/>
        </w:rPr>
        <w:fldChar w:fldCharType="end"/>
      </w:r>
      <w:r w:rsidR="00ED2505" w:rsidRPr="00B148B1">
        <w:rPr>
          <w:rFonts w:cs="Arial"/>
          <w:szCs w:val="20"/>
        </w:rPr>
        <w:t>.</w:t>
      </w:r>
    </w:p>
    <w:p w:rsidR="00E92793" w:rsidRDefault="00ED2505" w:rsidP="00CD5722">
      <w:pPr>
        <w:tabs>
          <w:tab w:val="left" w:pos="9600"/>
        </w:tabs>
        <w:spacing w:before="120" w:line="280" w:lineRule="atLeast"/>
        <w:rPr>
          <w:rFonts w:cs="Arial"/>
          <w:szCs w:val="20"/>
        </w:rPr>
      </w:pPr>
      <w:r w:rsidRPr="00B148B1">
        <w:rPr>
          <w:rFonts w:cs="Arial"/>
          <w:szCs w:val="20"/>
        </w:rPr>
        <w:t>Vrzel do izpolnjevanja zahtev je ocenjena glede na analizo stanja, ki je podana v preglednici (</w:t>
      </w:r>
      <w:r w:rsidRPr="00B148B1">
        <w:rPr>
          <w:rFonts w:cs="Arial"/>
          <w:szCs w:val="20"/>
        </w:rPr>
        <w:fldChar w:fldCharType="begin"/>
      </w:r>
      <w:r w:rsidRPr="00B148B1">
        <w:rPr>
          <w:rFonts w:cs="Arial"/>
          <w:szCs w:val="20"/>
        </w:rPr>
        <w:instrText xml:space="preserve"> REF _Ref527113585 \h </w:instrText>
      </w:r>
      <w:r w:rsidR="00B148B1" w:rsidRPr="00B148B1">
        <w:rPr>
          <w:rFonts w:cs="Arial"/>
          <w:szCs w:val="20"/>
        </w:rPr>
        <w:instrText xml:space="preserve"> \* MERGEFORMAT </w:instrText>
      </w:r>
      <w:r w:rsidRPr="00B148B1">
        <w:rPr>
          <w:rFonts w:cs="Arial"/>
          <w:szCs w:val="20"/>
        </w:rPr>
      </w:r>
      <w:r w:rsidRPr="00B148B1">
        <w:rPr>
          <w:rFonts w:cs="Arial"/>
          <w:szCs w:val="20"/>
        </w:rPr>
        <w:fldChar w:fldCharType="separate"/>
      </w:r>
    </w:p>
    <w:p w:rsidR="00286568" w:rsidRPr="00B148B1" w:rsidRDefault="00E92793" w:rsidP="008E5C2A">
      <w:pPr>
        <w:tabs>
          <w:tab w:val="left" w:pos="9600"/>
        </w:tabs>
        <w:spacing w:before="120" w:line="280" w:lineRule="atLeast"/>
        <w:rPr>
          <w:rFonts w:cs="Arial"/>
          <w:szCs w:val="20"/>
        </w:rPr>
      </w:pPr>
      <w:r w:rsidRPr="00B148B1">
        <w:rPr>
          <w:rFonts w:cs="Arial"/>
          <w:szCs w:val="20"/>
        </w:rPr>
        <w:t>Preglednica</w:t>
      </w:r>
      <w:r w:rsidRPr="00B148B1">
        <w:rPr>
          <w:rFonts w:cs="Arial"/>
          <w:noProof/>
          <w:szCs w:val="20"/>
        </w:rPr>
        <w:t xml:space="preserve"> </w:t>
      </w:r>
      <w:r>
        <w:rPr>
          <w:rFonts w:cs="Arial"/>
          <w:noProof/>
          <w:szCs w:val="20"/>
        </w:rPr>
        <w:t>10</w:t>
      </w:r>
      <w:r w:rsidR="00ED2505" w:rsidRPr="00B148B1">
        <w:rPr>
          <w:rFonts w:cs="Arial"/>
          <w:szCs w:val="20"/>
        </w:rPr>
        <w:fldChar w:fldCharType="end"/>
      </w:r>
      <w:r w:rsidR="00ED2505" w:rsidRPr="00B148B1">
        <w:rPr>
          <w:rFonts w:cs="Arial"/>
          <w:szCs w:val="20"/>
        </w:rPr>
        <w:t>).</w:t>
      </w:r>
      <w:r w:rsidR="00286568" w:rsidRPr="00B148B1">
        <w:rPr>
          <w:rFonts w:cs="Arial"/>
          <w:szCs w:val="20"/>
        </w:rPr>
        <w:t xml:space="preserve"> </w:t>
      </w:r>
    </w:p>
    <w:p w:rsidR="00002341" w:rsidRPr="00B148B1" w:rsidRDefault="008F177A" w:rsidP="008E5C2A">
      <w:pPr>
        <w:tabs>
          <w:tab w:val="left" w:pos="9600"/>
        </w:tabs>
        <w:spacing w:before="120" w:line="280" w:lineRule="atLeast"/>
        <w:rPr>
          <w:rFonts w:cs="Arial"/>
          <w:szCs w:val="20"/>
        </w:rPr>
      </w:pPr>
      <w:r w:rsidRPr="00B148B1">
        <w:rPr>
          <w:rFonts w:cs="Arial"/>
          <w:szCs w:val="20"/>
        </w:rPr>
        <w:t xml:space="preserve">Analize kažejo, da </w:t>
      </w:r>
      <w:r w:rsidR="008E5C2A" w:rsidRPr="00B148B1">
        <w:rPr>
          <w:rFonts w:cs="Arial"/>
          <w:szCs w:val="20"/>
        </w:rPr>
        <w:t xml:space="preserve">bo </w:t>
      </w:r>
      <w:r w:rsidR="00DF76F1" w:rsidRPr="00B148B1">
        <w:rPr>
          <w:rFonts w:cs="Arial"/>
          <w:szCs w:val="20"/>
        </w:rPr>
        <w:t xml:space="preserve">treba </w:t>
      </w:r>
      <w:r w:rsidRPr="00B148B1">
        <w:rPr>
          <w:rFonts w:cs="Arial"/>
          <w:szCs w:val="20"/>
        </w:rPr>
        <w:t xml:space="preserve">glede na podatke </w:t>
      </w:r>
      <w:r w:rsidR="008E5C2A" w:rsidRPr="00B148B1">
        <w:rPr>
          <w:rFonts w:cs="Arial"/>
          <w:szCs w:val="20"/>
        </w:rPr>
        <w:t>iz IJSVO o načinu izvajanja javne službe odvajanja in čiščenja komunalne odpadne vode na dan 31. decembr</w:t>
      </w:r>
      <w:r w:rsidR="00DF76F1" w:rsidRPr="00B148B1">
        <w:rPr>
          <w:rFonts w:cs="Arial"/>
          <w:szCs w:val="20"/>
        </w:rPr>
        <w:t>a</w:t>
      </w:r>
      <w:r w:rsidR="008E5C2A" w:rsidRPr="00B148B1">
        <w:rPr>
          <w:rFonts w:cs="Arial"/>
          <w:szCs w:val="20"/>
        </w:rPr>
        <w:t xml:space="preserve"> 201</w:t>
      </w:r>
      <w:r w:rsidR="008F748A" w:rsidRPr="00B148B1">
        <w:rPr>
          <w:rFonts w:cs="Arial"/>
          <w:szCs w:val="20"/>
        </w:rPr>
        <w:t>8</w:t>
      </w:r>
      <w:r w:rsidR="008E5C2A" w:rsidRPr="00B148B1">
        <w:rPr>
          <w:rFonts w:cs="Arial"/>
          <w:szCs w:val="20"/>
        </w:rPr>
        <w:t xml:space="preserve"> ustrezni način odvajanja komunalne odpadne vode zagotoviti za približno </w:t>
      </w:r>
      <w:r w:rsidR="00837313" w:rsidRPr="00B148B1">
        <w:rPr>
          <w:rFonts w:cs="Arial"/>
          <w:szCs w:val="20"/>
        </w:rPr>
        <w:t>17,8</w:t>
      </w:r>
      <w:r w:rsidR="00DF3414" w:rsidRPr="00B148B1">
        <w:rPr>
          <w:rFonts w:cs="Arial"/>
          <w:szCs w:val="20"/>
        </w:rPr>
        <w:t xml:space="preserve"> </w:t>
      </w:r>
      <w:r w:rsidR="008E5C2A" w:rsidRPr="00B148B1">
        <w:rPr>
          <w:rFonts w:cs="Arial"/>
          <w:szCs w:val="20"/>
        </w:rPr>
        <w:t>% skupne obremenitve (</w:t>
      </w:r>
      <w:r w:rsidR="00837313" w:rsidRPr="00B148B1">
        <w:rPr>
          <w:rFonts w:cs="Arial"/>
          <w:szCs w:val="20"/>
        </w:rPr>
        <w:t>371</w:t>
      </w:r>
      <w:r w:rsidR="008F748A" w:rsidRPr="00B148B1">
        <w:rPr>
          <w:rFonts w:cs="Arial"/>
          <w:szCs w:val="20"/>
        </w:rPr>
        <w:t>.</w:t>
      </w:r>
      <w:r w:rsidR="00837313" w:rsidRPr="00B148B1">
        <w:rPr>
          <w:rFonts w:cs="Arial"/>
          <w:szCs w:val="20"/>
        </w:rPr>
        <w:t xml:space="preserve">873 </w:t>
      </w:r>
      <w:r w:rsidR="008E5C2A" w:rsidRPr="00B148B1">
        <w:rPr>
          <w:rFonts w:cs="Arial"/>
          <w:szCs w:val="20"/>
        </w:rPr>
        <w:t>PE), ki nastaja v aglomeracijah. Večina te obremenitve nastaja v aglomeracijah s skupno obremenitvijo, manjšo od 2.000 PE (</w:t>
      </w:r>
      <w:r w:rsidR="00837313" w:rsidRPr="00B148B1">
        <w:rPr>
          <w:rFonts w:cs="Arial"/>
          <w:szCs w:val="20"/>
        </w:rPr>
        <w:t>50</w:t>
      </w:r>
      <w:r w:rsidR="00E963BE" w:rsidRPr="00B148B1">
        <w:rPr>
          <w:rFonts w:cs="Arial"/>
          <w:szCs w:val="20"/>
        </w:rPr>
        <w:t xml:space="preserve"> %). </w:t>
      </w:r>
      <w:r w:rsidR="00837313" w:rsidRPr="00B148B1">
        <w:rPr>
          <w:rFonts w:cs="Arial"/>
          <w:szCs w:val="20"/>
        </w:rPr>
        <w:t>V aglomeracijah s skupno obremenitvijo, enako ali večjo od 2.000 PE je treba ustrezni način odvajanja komunalne odpadne vode zagotoviti za približno 8,2 % skupne obremenitve (131.607 PE).</w:t>
      </w:r>
    </w:p>
    <w:p w:rsidR="00C06B48" w:rsidRPr="00B148B1" w:rsidRDefault="00A40593" w:rsidP="008E5C2A">
      <w:pPr>
        <w:tabs>
          <w:tab w:val="left" w:pos="9600"/>
        </w:tabs>
        <w:spacing w:before="120" w:line="280" w:lineRule="atLeast"/>
        <w:rPr>
          <w:rFonts w:cs="Arial"/>
          <w:szCs w:val="20"/>
        </w:rPr>
      </w:pPr>
      <w:r w:rsidRPr="00B148B1">
        <w:rPr>
          <w:rFonts w:cs="Arial"/>
          <w:szCs w:val="20"/>
        </w:rPr>
        <w:t xml:space="preserve">V prilogi (PRILOGA 10) so prikazane </w:t>
      </w:r>
      <w:r w:rsidR="003F6454" w:rsidRPr="00B148B1">
        <w:rPr>
          <w:rFonts w:cs="Arial"/>
          <w:szCs w:val="20"/>
        </w:rPr>
        <w:t xml:space="preserve">veljavne </w:t>
      </w:r>
      <w:r w:rsidRPr="00B148B1">
        <w:rPr>
          <w:rFonts w:cs="Arial"/>
          <w:szCs w:val="20"/>
        </w:rPr>
        <w:t xml:space="preserve">aglomeracije </w:t>
      </w:r>
      <w:r w:rsidR="00F6514A" w:rsidRPr="00B148B1">
        <w:rPr>
          <w:rFonts w:cs="Arial"/>
          <w:szCs w:val="20"/>
        </w:rPr>
        <w:t xml:space="preserve">z </w:t>
      </w:r>
      <w:r w:rsidRPr="00B148B1">
        <w:rPr>
          <w:rFonts w:cs="Arial"/>
          <w:szCs w:val="20"/>
        </w:rPr>
        <w:t>roki za izpolnitev zahtev glede odvajanja komunalne odpadne vode.</w:t>
      </w:r>
    </w:p>
    <w:p w:rsidR="008053CD" w:rsidRPr="00B148B1" w:rsidRDefault="008053CD" w:rsidP="00C770E5">
      <w:pPr>
        <w:pStyle w:val="Naslov3"/>
      </w:pPr>
      <w:bookmarkStart w:id="115" w:name="_Ref43188752"/>
      <w:bookmarkStart w:id="116" w:name="_Toc50628088"/>
      <w:r w:rsidRPr="00B148B1">
        <w:t xml:space="preserve">Ukrepi </w:t>
      </w:r>
      <w:r w:rsidR="0073639F" w:rsidRPr="00B148B1">
        <w:t xml:space="preserve">in roki </w:t>
      </w:r>
      <w:r w:rsidRPr="00B148B1">
        <w:t xml:space="preserve">za zagotavljanje </w:t>
      </w:r>
      <w:r w:rsidR="00750D95" w:rsidRPr="00B148B1">
        <w:t xml:space="preserve">ustreznega </w:t>
      </w:r>
      <w:r w:rsidRPr="00B148B1">
        <w:t>čiščenja komunalne odpadne vode</w:t>
      </w:r>
      <w:bookmarkEnd w:id="115"/>
      <w:bookmarkEnd w:id="116"/>
    </w:p>
    <w:p w:rsidR="008053CD" w:rsidRDefault="00C94EF9" w:rsidP="008053CD">
      <w:pPr>
        <w:tabs>
          <w:tab w:val="left" w:pos="9600"/>
        </w:tabs>
        <w:spacing w:before="120" w:line="280" w:lineRule="atLeast"/>
        <w:rPr>
          <w:rFonts w:cs="Arial"/>
          <w:szCs w:val="20"/>
        </w:rPr>
      </w:pPr>
      <w:r w:rsidRPr="00B148B1">
        <w:rPr>
          <w:rFonts w:cs="Arial"/>
          <w:szCs w:val="20"/>
        </w:rPr>
        <w:t>Č</w:t>
      </w:r>
      <w:r w:rsidR="008053CD" w:rsidRPr="00B148B1">
        <w:rPr>
          <w:rFonts w:cs="Arial"/>
          <w:szCs w:val="20"/>
        </w:rPr>
        <w:t>iščenj</w:t>
      </w:r>
      <w:r w:rsidRPr="00B148B1">
        <w:rPr>
          <w:rFonts w:cs="Arial"/>
          <w:szCs w:val="20"/>
        </w:rPr>
        <w:t>e</w:t>
      </w:r>
      <w:r w:rsidR="008053CD" w:rsidRPr="00B148B1">
        <w:rPr>
          <w:rFonts w:cs="Arial"/>
          <w:szCs w:val="20"/>
        </w:rPr>
        <w:t xml:space="preserve"> komunalne odpadne vode </w:t>
      </w:r>
      <w:r w:rsidRPr="00B148B1">
        <w:rPr>
          <w:rFonts w:cs="Arial"/>
          <w:szCs w:val="20"/>
        </w:rPr>
        <w:t xml:space="preserve">skladno s predpisanimi zahtevami </w:t>
      </w:r>
      <w:r w:rsidR="008053CD" w:rsidRPr="00B148B1">
        <w:rPr>
          <w:rFonts w:cs="Arial"/>
          <w:szCs w:val="20"/>
        </w:rPr>
        <w:t xml:space="preserve">bo na podlagi podatkov iz IJSVO o načinu izvajanja javne službe odvajanja in čiščenja komunalne odpadne vode </w:t>
      </w:r>
      <w:r w:rsidR="0022427E" w:rsidRPr="00B148B1">
        <w:rPr>
          <w:rFonts w:cs="Arial"/>
          <w:szCs w:val="20"/>
        </w:rPr>
        <w:t xml:space="preserve">treba </w:t>
      </w:r>
      <w:r w:rsidR="008053CD" w:rsidRPr="00B148B1">
        <w:rPr>
          <w:rFonts w:cs="Arial"/>
          <w:szCs w:val="20"/>
        </w:rPr>
        <w:t xml:space="preserve">zagotoviti za približno </w:t>
      </w:r>
      <w:r w:rsidR="00233724" w:rsidRPr="00B148B1">
        <w:rPr>
          <w:rFonts w:cs="Arial"/>
          <w:szCs w:val="20"/>
        </w:rPr>
        <w:t>17,6</w:t>
      </w:r>
      <w:r w:rsidR="008053CD" w:rsidRPr="00B148B1">
        <w:rPr>
          <w:rFonts w:cs="Arial"/>
          <w:szCs w:val="20"/>
        </w:rPr>
        <w:t xml:space="preserve"> % skupne obremenitve (</w:t>
      </w:r>
      <w:r w:rsidR="00F43A15" w:rsidRPr="00B148B1">
        <w:rPr>
          <w:rFonts w:cs="Arial"/>
          <w:szCs w:val="20"/>
        </w:rPr>
        <w:t xml:space="preserve">367.648 </w:t>
      </w:r>
      <w:r w:rsidR="008053CD" w:rsidRPr="00B148B1">
        <w:rPr>
          <w:rFonts w:cs="Arial"/>
          <w:szCs w:val="20"/>
        </w:rPr>
        <w:t>PE), ki nastaja v aglomeracijah</w:t>
      </w:r>
      <w:r w:rsidR="00032D4B" w:rsidRPr="00B148B1">
        <w:rPr>
          <w:rFonts w:cs="Arial"/>
          <w:szCs w:val="20"/>
        </w:rPr>
        <w:t xml:space="preserve">. Od tega </w:t>
      </w:r>
      <w:r w:rsidR="005719C2" w:rsidRPr="00B148B1">
        <w:rPr>
          <w:rFonts w:cs="Arial"/>
          <w:szCs w:val="20"/>
        </w:rPr>
        <w:t xml:space="preserve">je za </w:t>
      </w:r>
      <w:r w:rsidR="00032D4B" w:rsidRPr="00B148B1">
        <w:rPr>
          <w:rFonts w:cs="Arial"/>
          <w:szCs w:val="20"/>
        </w:rPr>
        <w:t xml:space="preserve">44.311 PE </w:t>
      </w:r>
      <w:r w:rsidRPr="00B148B1">
        <w:rPr>
          <w:rFonts w:cs="Arial"/>
          <w:szCs w:val="20"/>
        </w:rPr>
        <w:t xml:space="preserve">že </w:t>
      </w:r>
      <w:r w:rsidR="00703CC5" w:rsidRPr="00B148B1">
        <w:rPr>
          <w:rFonts w:cs="Arial"/>
          <w:szCs w:val="20"/>
        </w:rPr>
        <w:t>zagotovljen</w:t>
      </w:r>
      <w:r w:rsidRPr="00B148B1">
        <w:rPr>
          <w:rFonts w:cs="Arial"/>
          <w:szCs w:val="20"/>
        </w:rPr>
        <w:t>o</w:t>
      </w:r>
      <w:r w:rsidR="00703CC5" w:rsidRPr="00B148B1">
        <w:rPr>
          <w:rFonts w:cs="Arial"/>
          <w:szCs w:val="20"/>
        </w:rPr>
        <w:t xml:space="preserve"> </w:t>
      </w:r>
      <w:r w:rsidRPr="00B148B1">
        <w:rPr>
          <w:rFonts w:cs="Arial"/>
          <w:szCs w:val="20"/>
        </w:rPr>
        <w:t xml:space="preserve">odvajanje </w:t>
      </w:r>
      <w:r w:rsidR="009B109F" w:rsidRPr="00B148B1">
        <w:rPr>
          <w:rFonts w:cs="Arial"/>
          <w:szCs w:val="20"/>
        </w:rPr>
        <w:t>komunalne odpadne vode</w:t>
      </w:r>
      <w:r w:rsidR="00032D4B" w:rsidRPr="00B148B1">
        <w:rPr>
          <w:rFonts w:cs="Arial"/>
          <w:szCs w:val="20"/>
        </w:rPr>
        <w:t xml:space="preserve">, </w:t>
      </w:r>
      <w:r w:rsidRPr="00B148B1">
        <w:rPr>
          <w:rFonts w:cs="Arial"/>
          <w:szCs w:val="20"/>
        </w:rPr>
        <w:t>ni pa še zagotovljeno čiščenje</w:t>
      </w:r>
      <w:r w:rsidR="00FC0A94" w:rsidRPr="00B148B1">
        <w:rPr>
          <w:rFonts w:cs="Arial"/>
          <w:szCs w:val="20"/>
        </w:rPr>
        <w:t xml:space="preserve">. </w:t>
      </w:r>
    </w:p>
    <w:p w:rsidR="00B04161" w:rsidRPr="00B148B1" w:rsidRDefault="00B04161" w:rsidP="008053CD">
      <w:pPr>
        <w:tabs>
          <w:tab w:val="left" w:pos="9600"/>
        </w:tabs>
        <w:spacing w:before="120" w:line="280" w:lineRule="atLeast"/>
        <w:rPr>
          <w:rFonts w:cs="Arial"/>
          <w:szCs w:val="20"/>
        </w:rPr>
      </w:pPr>
    </w:p>
    <w:p w:rsidR="00B04161" w:rsidRDefault="001656BF" w:rsidP="00960374">
      <w:pPr>
        <w:pStyle w:val="Naslov4"/>
      </w:pPr>
      <w:bookmarkStart w:id="117" w:name="_Toc50628089"/>
      <w:r w:rsidRPr="00B148B1">
        <w:t xml:space="preserve">4.5.2.1 </w:t>
      </w:r>
      <w:r w:rsidR="00CC5B3D" w:rsidRPr="00B148B1">
        <w:t xml:space="preserve">Ukrepi </w:t>
      </w:r>
      <w:r w:rsidR="00286568" w:rsidRPr="00B148B1">
        <w:t xml:space="preserve">in roki </w:t>
      </w:r>
      <w:r w:rsidR="00CC5B3D" w:rsidRPr="00B148B1">
        <w:t>za zagotavljanje sekundarnega čiščenja komunalne odpadne vode</w:t>
      </w:r>
      <w:bookmarkEnd w:id="117"/>
    </w:p>
    <w:p w:rsidR="00B04161" w:rsidRPr="00B04161" w:rsidRDefault="00B04161" w:rsidP="00B04161"/>
    <w:p w:rsidR="00213089" w:rsidRPr="00B148B1" w:rsidRDefault="00F304DF" w:rsidP="00B803AE">
      <w:pPr>
        <w:autoSpaceDE w:val="0"/>
        <w:autoSpaceDN w:val="0"/>
        <w:adjustRightInd w:val="0"/>
        <w:spacing w:line="276" w:lineRule="auto"/>
        <w:rPr>
          <w:rFonts w:cs="Arial"/>
          <w:szCs w:val="20"/>
        </w:rPr>
      </w:pPr>
      <w:r w:rsidRPr="00B148B1">
        <w:rPr>
          <w:rFonts w:cs="Arial"/>
          <w:szCs w:val="20"/>
        </w:rPr>
        <w:t>Direktiva 91/271/EGS (4. člen) določa, da mora biti komunalna odpadna voda, ki</w:t>
      </w:r>
      <w:r w:rsidRPr="00B148B1">
        <w:rPr>
          <w:rFonts w:eastAsiaTheme="minorHAnsi" w:cs="Arial"/>
          <w:szCs w:val="20"/>
        </w:rPr>
        <w:t xml:space="preserve"> vstopa v kanalizacijske sisteme, pred izpustom obdelana v sekundarnem postopku čiščenja ali primerljivem postopku v aglomeracijah z obremenitvijo, enako ali večjo od 2.000 PE. Uredba o odvajanju in čiščenju komunalne odpadne vode določa, da mora biti pred odvajanjem v vode zagotovljeno sekundarno čiščenje </w:t>
      </w:r>
      <w:r w:rsidRPr="00B148B1">
        <w:rPr>
          <w:rFonts w:cs="Arial"/>
          <w:szCs w:val="20"/>
        </w:rPr>
        <w:t>z</w:t>
      </w:r>
      <w:r w:rsidR="00CC5B3D" w:rsidRPr="00B148B1">
        <w:rPr>
          <w:rFonts w:cs="Arial"/>
          <w:szCs w:val="20"/>
        </w:rPr>
        <w:t>a komunalno odpadno vodo, ki se odvaja po kanalizaciji iz aglomeracije s skupno obremenitvijo, enako ali večjo od 2.000 PE, ali iz komunalne čistilne naprave z zmogljivostjo, enako ali večjo od 2.000 PE, ali za komunalno odpadno vodo, ki se zbira v nepretočni greznici v aglomeraciji s skupno obremenitvijo, enako ali večjo od 2.000 PE</w:t>
      </w:r>
      <w:r w:rsidRPr="00B148B1">
        <w:rPr>
          <w:rFonts w:cs="Arial"/>
          <w:szCs w:val="20"/>
        </w:rPr>
        <w:t>.</w:t>
      </w:r>
      <w:r w:rsidR="00F51847" w:rsidRPr="00B148B1">
        <w:rPr>
          <w:rFonts w:cs="Arial"/>
          <w:szCs w:val="20"/>
        </w:rPr>
        <w:t xml:space="preserve"> </w:t>
      </w:r>
      <w:r w:rsidR="00CC5B3D" w:rsidRPr="00B148B1">
        <w:rPr>
          <w:rFonts w:cs="Arial"/>
          <w:szCs w:val="20"/>
        </w:rPr>
        <w:t>Analize kažejo, da glede na podatke na dan 31. decembr</w:t>
      </w:r>
      <w:r w:rsidR="007B6A90" w:rsidRPr="00B148B1">
        <w:rPr>
          <w:rFonts w:cs="Arial"/>
          <w:szCs w:val="20"/>
        </w:rPr>
        <w:t>a</w:t>
      </w:r>
      <w:r w:rsidR="00CC5B3D" w:rsidRPr="00B148B1">
        <w:rPr>
          <w:rFonts w:cs="Arial"/>
          <w:szCs w:val="20"/>
        </w:rPr>
        <w:t xml:space="preserve"> 201</w:t>
      </w:r>
      <w:r w:rsidR="00213089" w:rsidRPr="00B148B1">
        <w:rPr>
          <w:rFonts w:cs="Arial"/>
          <w:szCs w:val="20"/>
        </w:rPr>
        <w:t>8</w:t>
      </w:r>
      <w:r w:rsidR="00CC5B3D" w:rsidRPr="00B148B1">
        <w:rPr>
          <w:rFonts w:cs="Arial"/>
          <w:szCs w:val="20"/>
        </w:rPr>
        <w:t xml:space="preserve"> vse </w:t>
      </w:r>
      <w:r w:rsidR="00750D95" w:rsidRPr="00B148B1">
        <w:rPr>
          <w:rFonts w:cs="Arial"/>
          <w:szCs w:val="20"/>
        </w:rPr>
        <w:t xml:space="preserve">veljavne </w:t>
      </w:r>
      <w:r w:rsidR="00CC5B3D" w:rsidRPr="00B148B1">
        <w:rPr>
          <w:rFonts w:cs="Arial"/>
          <w:szCs w:val="20"/>
        </w:rPr>
        <w:t>aglomeracije s skupno obremenitvijo, enako ali večjo od 2.</w:t>
      </w:r>
      <w:r w:rsidR="009C6562" w:rsidRPr="00B148B1">
        <w:rPr>
          <w:rFonts w:cs="Arial"/>
          <w:szCs w:val="20"/>
        </w:rPr>
        <w:t xml:space="preserve">000 PE, te zahteve izpolnjujejo, razen </w:t>
      </w:r>
      <w:r w:rsidR="00F107F3" w:rsidRPr="00B148B1">
        <w:rPr>
          <w:rFonts w:cs="Arial"/>
          <w:szCs w:val="20"/>
        </w:rPr>
        <w:t xml:space="preserve">aglomeracija </w:t>
      </w:r>
      <w:r w:rsidR="009C6562" w:rsidRPr="00B148B1">
        <w:rPr>
          <w:rFonts w:cs="Arial"/>
          <w:szCs w:val="20"/>
        </w:rPr>
        <w:t>8136 Prevalje</w:t>
      </w:r>
      <w:r w:rsidR="00F107F3" w:rsidRPr="00B148B1">
        <w:rPr>
          <w:rFonts w:cs="Arial"/>
          <w:szCs w:val="20"/>
        </w:rPr>
        <w:t xml:space="preserve"> 2019. Prav tako zahtev ne izpolnjujejo aglomeracije, kateri</w:t>
      </w:r>
      <w:r w:rsidR="00750D95" w:rsidRPr="00B148B1">
        <w:rPr>
          <w:rFonts w:cs="Arial"/>
          <w:szCs w:val="20"/>
        </w:rPr>
        <w:t>h</w:t>
      </w:r>
      <w:r w:rsidR="00F107F3" w:rsidRPr="00B148B1">
        <w:rPr>
          <w:rFonts w:cs="Arial"/>
          <w:szCs w:val="20"/>
        </w:rPr>
        <w:t xml:space="preserve"> skupna obremenitev </w:t>
      </w:r>
      <w:r w:rsidR="00750D95" w:rsidRPr="00B148B1">
        <w:rPr>
          <w:rFonts w:cs="Arial"/>
          <w:szCs w:val="20"/>
        </w:rPr>
        <w:t xml:space="preserve">se </w:t>
      </w:r>
      <w:r w:rsidR="008302B7" w:rsidRPr="00B148B1">
        <w:rPr>
          <w:rFonts w:cs="Arial"/>
          <w:szCs w:val="20"/>
        </w:rPr>
        <w:t xml:space="preserve">je glede na predhodne aglomeracije </w:t>
      </w:r>
      <w:r w:rsidR="00750D95" w:rsidRPr="00B148B1">
        <w:rPr>
          <w:rFonts w:cs="Arial"/>
          <w:szCs w:val="20"/>
        </w:rPr>
        <w:t xml:space="preserve">znižala </w:t>
      </w:r>
      <w:r w:rsidR="00F107F3" w:rsidRPr="00B148B1">
        <w:rPr>
          <w:rFonts w:cs="Arial"/>
          <w:szCs w:val="20"/>
        </w:rPr>
        <w:lastRenderedPageBreak/>
        <w:t>pod 2.000 PE (1492 Šempeter pri Gorici 2019, 13361 Poljčane</w:t>
      </w:r>
      <w:r w:rsidR="009C6562" w:rsidRPr="00B148B1">
        <w:rPr>
          <w:rFonts w:cs="Arial"/>
          <w:szCs w:val="20"/>
        </w:rPr>
        <w:t xml:space="preserve"> </w:t>
      </w:r>
      <w:r w:rsidR="00F107F3" w:rsidRPr="00B148B1">
        <w:rPr>
          <w:rFonts w:cs="Arial"/>
          <w:szCs w:val="20"/>
        </w:rPr>
        <w:t xml:space="preserve">2019, 16421 Oplotnica 2019, 1518 Renče zahod 2019 in 1596 Šempas 2019). </w:t>
      </w:r>
    </w:p>
    <w:p w:rsidR="00213089" w:rsidRPr="00B148B1" w:rsidRDefault="00B24DFA" w:rsidP="006A2524">
      <w:pPr>
        <w:tabs>
          <w:tab w:val="left" w:pos="9600"/>
        </w:tabs>
        <w:spacing w:before="120" w:line="280" w:lineRule="atLeast"/>
        <w:rPr>
          <w:rFonts w:cs="Arial"/>
          <w:szCs w:val="20"/>
        </w:rPr>
      </w:pPr>
      <w:r w:rsidRPr="00B148B1">
        <w:rPr>
          <w:rFonts w:cs="Arial"/>
          <w:szCs w:val="20"/>
        </w:rPr>
        <w:t xml:space="preserve">V </w:t>
      </w:r>
      <w:r w:rsidR="00750D95" w:rsidRPr="00B148B1">
        <w:rPr>
          <w:rFonts w:cs="Arial"/>
          <w:szCs w:val="20"/>
        </w:rPr>
        <w:t xml:space="preserve">veljavnih </w:t>
      </w:r>
      <w:r w:rsidR="00213089" w:rsidRPr="00B148B1">
        <w:rPr>
          <w:rFonts w:cs="Arial"/>
          <w:szCs w:val="20"/>
        </w:rPr>
        <w:t>aglomeracij</w:t>
      </w:r>
      <w:r w:rsidR="008302B7" w:rsidRPr="00B148B1">
        <w:rPr>
          <w:rFonts w:cs="Arial"/>
          <w:szCs w:val="20"/>
        </w:rPr>
        <w:t>ah</w:t>
      </w:r>
      <w:r w:rsidR="00213089" w:rsidRPr="00B148B1">
        <w:rPr>
          <w:rFonts w:cs="Arial"/>
          <w:szCs w:val="20"/>
        </w:rPr>
        <w:t xml:space="preserve"> 8136 Prevalje</w:t>
      </w:r>
      <w:r w:rsidR="008302B7" w:rsidRPr="00B148B1">
        <w:rPr>
          <w:rFonts w:cs="Arial"/>
          <w:szCs w:val="20"/>
        </w:rPr>
        <w:t>, 1492 Šempeter pri Gorici 2019, 13361 Poljčane 2019, 16421 Oplotnica 2019, 1518 Renče zahod 2019 in 1596 Šempas 2019</w:t>
      </w:r>
      <w:r w:rsidR="00213089" w:rsidRPr="00B148B1">
        <w:rPr>
          <w:rFonts w:cs="Arial"/>
          <w:szCs w:val="20"/>
        </w:rPr>
        <w:t xml:space="preserve"> </w:t>
      </w:r>
      <w:r w:rsidR="00750D95" w:rsidRPr="00B148B1">
        <w:rPr>
          <w:rFonts w:cs="Arial"/>
          <w:szCs w:val="20"/>
        </w:rPr>
        <w:t>bo potrebno zagotoviti ustrezni način čiščenja s sekund</w:t>
      </w:r>
      <w:r w:rsidR="00BE4882" w:rsidRPr="00B148B1">
        <w:rPr>
          <w:rFonts w:cs="Arial"/>
          <w:szCs w:val="20"/>
        </w:rPr>
        <w:t>a</w:t>
      </w:r>
      <w:r w:rsidR="00750D95" w:rsidRPr="00B148B1">
        <w:rPr>
          <w:rFonts w:cs="Arial"/>
          <w:szCs w:val="20"/>
        </w:rPr>
        <w:t>rno stopnjo.</w:t>
      </w:r>
    </w:p>
    <w:p w:rsidR="0093502B" w:rsidRPr="00B148B1" w:rsidRDefault="0093502B" w:rsidP="0093502B">
      <w:pPr>
        <w:tabs>
          <w:tab w:val="left" w:pos="9600"/>
        </w:tabs>
        <w:spacing w:before="120" w:line="280" w:lineRule="atLeast"/>
        <w:rPr>
          <w:rFonts w:cs="Arial"/>
          <w:szCs w:val="20"/>
        </w:rPr>
      </w:pPr>
      <w:r w:rsidRPr="00B148B1">
        <w:rPr>
          <w:rFonts w:cs="Arial"/>
          <w:szCs w:val="20"/>
        </w:rPr>
        <w:t>V prilogi (PRILOGA 11) so prikazane veljavne aglomeracije z roki za izpolnitev zahtev glede sekundarnega čiščenja komunalne odpadne vode.</w:t>
      </w:r>
    </w:p>
    <w:p w:rsidR="0093502B" w:rsidRPr="00B148B1" w:rsidRDefault="0093502B" w:rsidP="00CD7D3E">
      <w:pPr>
        <w:tabs>
          <w:tab w:val="left" w:pos="9600"/>
        </w:tabs>
        <w:spacing w:before="120" w:line="280" w:lineRule="atLeast"/>
        <w:rPr>
          <w:rFonts w:cs="Arial"/>
          <w:szCs w:val="20"/>
        </w:rPr>
      </w:pPr>
    </w:p>
    <w:p w:rsidR="00E50E1E" w:rsidRPr="00B148B1" w:rsidRDefault="001656BF" w:rsidP="00F56DE2">
      <w:pPr>
        <w:pStyle w:val="Naslov4"/>
      </w:pPr>
      <w:bookmarkStart w:id="118" w:name="_Toc50628090"/>
      <w:r w:rsidRPr="00B148B1">
        <w:t xml:space="preserve">4.5.2.2 </w:t>
      </w:r>
      <w:r w:rsidR="00E50E1E" w:rsidRPr="00B148B1">
        <w:t xml:space="preserve">Ukrepi </w:t>
      </w:r>
      <w:r w:rsidR="00EE37C7" w:rsidRPr="00B148B1">
        <w:t xml:space="preserve">in roki </w:t>
      </w:r>
      <w:r w:rsidR="00E50E1E" w:rsidRPr="00B148B1">
        <w:t xml:space="preserve">za zagotavljanje </w:t>
      </w:r>
      <w:r w:rsidR="00017C09" w:rsidRPr="00B148B1">
        <w:t>terciarnega</w:t>
      </w:r>
      <w:r w:rsidR="00E50E1E" w:rsidRPr="00B148B1">
        <w:t xml:space="preserve"> čiščenja komunalne odpadne vode</w:t>
      </w:r>
      <w:bookmarkEnd w:id="118"/>
    </w:p>
    <w:p w:rsidR="00536824" w:rsidRPr="00B148B1" w:rsidRDefault="00536824" w:rsidP="00536824">
      <w:pPr>
        <w:autoSpaceDE w:val="0"/>
        <w:autoSpaceDN w:val="0"/>
        <w:adjustRightInd w:val="0"/>
        <w:spacing w:line="240" w:lineRule="auto"/>
        <w:rPr>
          <w:rFonts w:cs="Arial"/>
          <w:szCs w:val="20"/>
        </w:rPr>
      </w:pPr>
    </w:p>
    <w:p w:rsidR="00536824" w:rsidRPr="00B148B1" w:rsidRDefault="00536824" w:rsidP="00D10A2C">
      <w:pPr>
        <w:autoSpaceDE w:val="0"/>
        <w:autoSpaceDN w:val="0"/>
        <w:adjustRightInd w:val="0"/>
        <w:spacing w:line="276" w:lineRule="auto"/>
        <w:rPr>
          <w:rFonts w:eastAsiaTheme="minorHAnsi" w:cs="Arial"/>
          <w:szCs w:val="20"/>
        </w:rPr>
      </w:pPr>
      <w:r w:rsidRPr="00B148B1">
        <w:rPr>
          <w:rFonts w:cs="Arial"/>
          <w:szCs w:val="20"/>
        </w:rPr>
        <w:t>Direktiva 91/271/EGS (5. člen) določa, da mora biti komunalna odpadna voda, ki</w:t>
      </w:r>
      <w:r w:rsidRPr="00B148B1">
        <w:rPr>
          <w:rFonts w:eastAsiaTheme="minorHAnsi" w:cs="Arial"/>
          <w:szCs w:val="20"/>
        </w:rPr>
        <w:t xml:space="preserve"> vstopa v kanalizacijske sisteme, pred izpustom obdelana v sekundarnem postopku čiščenja ali primerljivem postopku v aglomeracijah z obremenitvijo, enako ali večjo od 2.000 PE. Uredba o odvajanju in čiščenju komunalne odpadne vode določa, da mora biti pred odvajanjem v vode zagotovljeno sekundarno čiščenje</w:t>
      </w:r>
      <w:r w:rsidR="004F1C9E" w:rsidRPr="00B148B1">
        <w:rPr>
          <w:rFonts w:eastAsiaTheme="minorHAnsi" w:cs="Arial"/>
          <w:szCs w:val="20"/>
        </w:rPr>
        <w:t>.</w:t>
      </w:r>
      <w:r w:rsidRPr="00B148B1">
        <w:rPr>
          <w:rFonts w:eastAsiaTheme="minorHAnsi" w:cs="Arial"/>
          <w:szCs w:val="20"/>
        </w:rPr>
        <w:t xml:space="preserve"> </w:t>
      </w:r>
    </w:p>
    <w:p w:rsidR="00183441" w:rsidRPr="00B148B1" w:rsidRDefault="00536824" w:rsidP="00D10A2C">
      <w:pPr>
        <w:tabs>
          <w:tab w:val="left" w:pos="9600"/>
        </w:tabs>
        <w:spacing w:before="120" w:line="276" w:lineRule="auto"/>
        <w:rPr>
          <w:rFonts w:cs="Arial"/>
          <w:szCs w:val="20"/>
        </w:rPr>
      </w:pPr>
      <w:r w:rsidRPr="00B148B1">
        <w:rPr>
          <w:rFonts w:cs="Arial"/>
          <w:szCs w:val="20"/>
        </w:rPr>
        <w:t>Uredba o odvajanju in čiščenju komunale odpadne vode določa</w:t>
      </w:r>
      <w:r w:rsidR="0006053D" w:rsidRPr="00B148B1">
        <w:rPr>
          <w:rFonts w:cs="Arial"/>
          <w:szCs w:val="20"/>
        </w:rPr>
        <w:t>,</w:t>
      </w:r>
      <w:r w:rsidRPr="00B148B1">
        <w:rPr>
          <w:rFonts w:cs="Arial"/>
          <w:szCs w:val="20"/>
        </w:rPr>
        <w:t xml:space="preserve"> </w:t>
      </w:r>
      <w:r w:rsidR="004F1C9E" w:rsidRPr="00B148B1">
        <w:rPr>
          <w:rFonts w:cs="Arial"/>
          <w:szCs w:val="20"/>
        </w:rPr>
        <w:t>da mora biti z</w:t>
      </w:r>
      <w:r w:rsidR="00183441" w:rsidRPr="00B148B1">
        <w:rPr>
          <w:rFonts w:cs="Arial"/>
          <w:szCs w:val="20"/>
        </w:rPr>
        <w:t xml:space="preserve">a komunalno odpadno vodo, ki se odvaja po kanalizaciji iz aglomeracije s skupno obremenitvijo, enako ali večjo od 2.000 PE, ali iz komunalne čistilne naprave z zmogljivostjo, enako ali večjo od 2.000 PE, ali za komunalno odpadno vodo, ki se zbira v nepretočni greznici v aglomeraciji s skupno obremenitvijo, enako ali večjo od 2.000 PE, pred odvajanjem </w:t>
      </w:r>
      <w:r w:rsidR="00881A72" w:rsidRPr="00B148B1">
        <w:rPr>
          <w:rFonts w:cs="Arial"/>
          <w:szCs w:val="20"/>
        </w:rPr>
        <w:t>v</w:t>
      </w:r>
      <w:r w:rsidR="00183441" w:rsidRPr="00B148B1">
        <w:rPr>
          <w:rFonts w:cs="Arial"/>
          <w:szCs w:val="20"/>
        </w:rPr>
        <w:t xml:space="preserve"> vode zagotovljeno terciarno čiščenje (5. člen Direktive 91/271/EGS), če gre za iztok v:</w:t>
      </w:r>
    </w:p>
    <w:p w:rsidR="00183441" w:rsidRPr="00B148B1" w:rsidRDefault="00183441"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vodno telo površinske vode, ki je uvrščeno med občutljiva območja v skladu s predpisom, ki ureja občutljiva območja,</w:t>
      </w:r>
    </w:p>
    <w:p w:rsidR="00183441" w:rsidRPr="00B148B1" w:rsidRDefault="00183441"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ab/>
        <w:t>vodo na prispevnem območju občutljivega območja iz prejšnje alineje ali</w:t>
      </w:r>
    </w:p>
    <w:p w:rsidR="00183441" w:rsidRPr="00B148B1" w:rsidRDefault="00183441"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ab/>
        <w:t>vodotok, ki ni občutljivo območje ali voda na prispevnem območju občutljivega območja in katerega srednji mali pretok na mestu iztoka iz komunalne čistilne naprave je manjši od desetkratnika največjega šesturnega povprečnega pretoka odpadne vode iz komunalne čistilne naprave.</w:t>
      </w:r>
    </w:p>
    <w:p w:rsidR="00E963BE" w:rsidRPr="00B148B1" w:rsidRDefault="00E50E1E" w:rsidP="0080408E">
      <w:pPr>
        <w:tabs>
          <w:tab w:val="left" w:pos="9600"/>
        </w:tabs>
        <w:spacing w:before="120" w:line="280" w:lineRule="atLeast"/>
        <w:rPr>
          <w:rFonts w:cs="Arial"/>
          <w:szCs w:val="20"/>
        </w:rPr>
      </w:pPr>
      <w:r w:rsidRPr="00B148B1">
        <w:rPr>
          <w:rFonts w:cs="Arial"/>
          <w:szCs w:val="20"/>
        </w:rPr>
        <w:t xml:space="preserve">Analize kažejo, da </w:t>
      </w:r>
      <w:r w:rsidR="004344FD" w:rsidRPr="00B148B1">
        <w:rPr>
          <w:rFonts w:cs="Arial"/>
          <w:szCs w:val="20"/>
        </w:rPr>
        <w:t>glede na podatke na dan 31. decembr</w:t>
      </w:r>
      <w:r w:rsidR="005301C3" w:rsidRPr="00B148B1">
        <w:rPr>
          <w:rFonts w:cs="Arial"/>
          <w:szCs w:val="20"/>
        </w:rPr>
        <w:t>a</w:t>
      </w:r>
      <w:r w:rsidR="004344FD" w:rsidRPr="00B148B1">
        <w:rPr>
          <w:rFonts w:cs="Arial"/>
          <w:szCs w:val="20"/>
        </w:rPr>
        <w:t xml:space="preserve"> 201</w:t>
      </w:r>
      <w:r w:rsidR="003E7AA8" w:rsidRPr="00B148B1">
        <w:rPr>
          <w:rFonts w:cs="Arial"/>
          <w:szCs w:val="20"/>
        </w:rPr>
        <w:t xml:space="preserve">8 </w:t>
      </w:r>
      <w:r w:rsidR="00524A6D" w:rsidRPr="00B148B1">
        <w:rPr>
          <w:rFonts w:cs="Arial"/>
          <w:szCs w:val="20"/>
        </w:rPr>
        <w:t>1</w:t>
      </w:r>
      <w:r w:rsidR="005E193A" w:rsidRPr="00B148B1">
        <w:rPr>
          <w:rFonts w:cs="Arial"/>
          <w:szCs w:val="20"/>
        </w:rPr>
        <w:t>2</w:t>
      </w:r>
      <w:r w:rsidR="007B6674" w:rsidRPr="00B148B1">
        <w:rPr>
          <w:rFonts w:cs="Arial"/>
          <w:szCs w:val="20"/>
        </w:rPr>
        <w:t xml:space="preserve"> </w:t>
      </w:r>
      <w:r w:rsidR="00524A6D" w:rsidRPr="00B148B1">
        <w:rPr>
          <w:rFonts w:cs="Arial"/>
          <w:szCs w:val="20"/>
        </w:rPr>
        <w:t xml:space="preserve">komunalnih ali skupnih čistilnih naprav </w:t>
      </w:r>
      <w:r w:rsidR="003830D5" w:rsidRPr="00B148B1">
        <w:rPr>
          <w:rFonts w:cs="Arial"/>
          <w:szCs w:val="20"/>
        </w:rPr>
        <w:t>(</w:t>
      </w:r>
      <w:r w:rsidR="0003176B" w:rsidRPr="00B148B1">
        <w:rPr>
          <w:rFonts w:cs="Arial"/>
          <w:szCs w:val="20"/>
        </w:rPr>
        <w:fldChar w:fldCharType="begin"/>
      </w:r>
      <w:r w:rsidR="0003176B" w:rsidRPr="00B148B1">
        <w:rPr>
          <w:rFonts w:cs="Arial"/>
          <w:szCs w:val="20"/>
        </w:rPr>
        <w:instrText xml:space="preserve"> REF _Ref45114124 \h </w:instrText>
      </w:r>
      <w:r w:rsidR="00B148B1" w:rsidRPr="00B148B1">
        <w:rPr>
          <w:rFonts w:cs="Arial"/>
          <w:szCs w:val="20"/>
        </w:rPr>
        <w:instrText xml:space="preserve"> \* MERGEFORMAT </w:instrText>
      </w:r>
      <w:r w:rsidR="0003176B" w:rsidRPr="00B148B1">
        <w:rPr>
          <w:rFonts w:cs="Arial"/>
          <w:szCs w:val="20"/>
        </w:rPr>
      </w:r>
      <w:r w:rsidR="0003176B" w:rsidRPr="00B148B1">
        <w:rPr>
          <w:rFonts w:cs="Arial"/>
          <w:szCs w:val="20"/>
        </w:rPr>
        <w:fldChar w:fldCharType="separate"/>
      </w:r>
      <w:r w:rsidR="00E92793" w:rsidRPr="00B148B1">
        <w:rPr>
          <w:rFonts w:cs="Arial"/>
        </w:rPr>
        <w:t xml:space="preserve">Preglednica </w:t>
      </w:r>
      <w:r w:rsidR="00E92793">
        <w:rPr>
          <w:rFonts w:cs="Arial"/>
          <w:noProof/>
        </w:rPr>
        <w:t>12</w:t>
      </w:r>
      <w:r w:rsidR="0003176B" w:rsidRPr="00B148B1">
        <w:rPr>
          <w:rFonts w:cs="Arial"/>
          <w:szCs w:val="20"/>
        </w:rPr>
        <w:fldChar w:fldCharType="end"/>
      </w:r>
      <w:r w:rsidR="003830D5" w:rsidRPr="00B148B1">
        <w:rPr>
          <w:rFonts w:cs="Arial"/>
          <w:szCs w:val="20"/>
        </w:rPr>
        <w:t xml:space="preserve">) </w:t>
      </w:r>
      <w:r w:rsidRPr="00B148B1">
        <w:rPr>
          <w:rFonts w:cs="Arial"/>
          <w:szCs w:val="20"/>
        </w:rPr>
        <w:t>ne izpolnjuje navedenih zahtev. Za te bo potrebna nadgradnja trenutne stopnje čiščenja komunalne odpadne vode</w:t>
      </w:r>
      <w:r w:rsidR="006C2E70" w:rsidRPr="00B148B1">
        <w:rPr>
          <w:rFonts w:cs="Arial"/>
          <w:szCs w:val="20"/>
        </w:rPr>
        <w:t>,</w:t>
      </w:r>
      <w:r w:rsidRPr="00B148B1">
        <w:rPr>
          <w:rFonts w:cs="Arial"/>
          <w:szCs w:val="20"/>
        </w:rPr>
        <w:t xml:space="preserve"> in sicer </w:t>
      </w:r>
      <w:r w:rsidR="005301C3" w:rsidRPr="00B148B1">
        <w:rPr>
          <w:rFonts w:cs="Arial"/>
          <w:szCs w:val="20"/>
        </w:rPr>
        <w:t xml:space="preserve">s </w:t>
      </w:r>
      <w:r w:rsidRPr="00B148B1">
        <w:rPr>
          <w:rFonts w:cs="Arial"/>
          <w:szCs w:val="20"/>
        </w:rPr>
        <w:t>sekundarne</w:t>
      </w:r>
      <w:r w:rsidR="006F7EE2" w:rsidRPr="00B148B1">
        <w:rPr>
          <w:rFonts w:cs="Arial"/>
          <w:szCs w:val="20"/>
        </w:rPr>
        <w:t xml:space="preserve"> stopnje</w:t>
      </w:r>
      <w:r w:rsidRPr="00B148B1">
        <w:rPr>
          <w:rFonts w:cs="Arial"/>
          <w:szCs w:val="20"/>
        </w:rPr>
        <w:t xml:space="preserve"> čiščenja na terciarno </w:t>
      </w:r>
      <w:r w:rsidR="006F7EE2" w:rsidRPr="00B148B1">
        <w:rPr>
          <w:rFonts w:cs="Arial"/>
          <w:szCs w:val="20"/>
        </w:rPr>
        <w:t xml:space="preserve">stopnjo </w:t>
      </w:r>
      <w:r w:rsidRPr="00B148B1">
        <w:rPr>
          <w:rFonts w:cs="Arial"/>
          <w:szCs w:val="20"/>
        </w:rPr>
        <w:t>čiščenj</w:t>
      </w:r>
      <w:r w:rsidR="006F7EE2" w:rsidRPr="00B148B1">
        <w:rPr>
          <w:rFonts w:cs="Arial"/>
          <w:szCs w:val="20"/>
        </w:rPr>
        <w:t>a</w:t>
      </w:r>
      <w:r w:rsidRPr="00B148B1">
        <w:rPr>
          <w:rFonts w:cs="Arial"/>
          <w:szCs w:val="20"/>
        </w:rPr>
        <w:t xml:space="preserve">. </w:t>
      </w:r>
    </w:p>
    <w:p w:rsidR="00B04161" w:rsidRPr="00B148B1" w:rsidRDefault="00B04161" w:rsidP="009A553D">
      <w:pPr>
        <w:rPr>
          <w:rFonts w:cs="Arial"/>
        </w:rPr>
      </w:pPr>
      <w:bookmarkStart w:id="119" w:name="_Ref12873946"/>
    </w:p>
    <w:p w:rsidR="004D2063" w:rsidRPr="00B148B1" w:rsidRDefault="003830D5" w:rsidP="009A553D">
      <w:pPr>
        <w:rPr>
          <w:rFonts w:cs="Arial"/>
        </w:rPr>
      </w:pPr>
      <w:bookmarkStart w:id="120" w:name="_Ref45114124"/>
      <w:bookmarkStart w:id="121" w:name="_Toc50626728"/>
      <w:r w:rsidRPr="00B148B1">
        <w:rPr>
          <w:rFonts w:cs="Arial"/>
        </w:rPr>
        <w:t xml:space="preserve">Preglednica </w:t>
      </w:r>
      <w:r w:rsidR="002E3777" w:rsidRPr="00B148B1">
        <w:rPr>
          <w:rFonts w:cs="Arial"/>
        </w:rPr>
        <w:fldChar w:fldCharType="begin"/>
      </w:r>
      <w:r w:rsidR="002E3777" w:rsidRPr="00B148B1">
        <w:rPr>
          <w:rFonts w:cs="Arial"/>
        </w:rPr>
        <w:instrText xml:space="preserve"> SEQ Preglednica \* ARABIC </w:instrText>
      </w:r>
      <w:r w:rsidR="002E3777" w:rsidRPr="00B148B1">
        <w:rPr>
          <w:rFonts w:cs="Arial"/>
        </w:rPr>
        <w:fldChar w:fldCharType="separate"/>
      </w:r>
      <w:r w:rsidR="00E92793">
        <w:rPr>
          <w:rFonts w:cs="Arial"/>
          <w:noProof/>
        </w:rPr>
        <w:t>12</w:t>
      </w:r>
      <w:r w:rsidR="002E3777" w:rsidRPr="00B148B1">
        <w:rPr>
          <w:rFonts w:cs="Arial"/>
          <w:noProof/>
        </w:rPr>
        <w:fldChar w:fldCharType="end"/>
      </w:r>
      <w:bookmarkEnd w:id="119"/>
      <w:bookmarkEnd w:id="120"/>
      <w:r w:rsidRPr="00B148B1">
        <w:rPr>
          <w:rFonts w:cs="Arial"/>
        </w:rPr>
        <w:t xml:space="preserve">: Zahteve </w:t>
      </w:r>
      <w:r w:rsidR="00524A6D" w:rsidRPr="00B148B1">
        <w:rPr>
          <w:rFonts w:cs="Arial"/>
        </w:rPr>
        <w:t xml:space="preserve">komunalnih ali skupnih čistilnih naprav </w:t>
      </w:r>
      <w:r w:rsidRPr="00B148B1">
        <w:rPr>
          <w:rFonts w:cs="Arial"/>
        </w:rPr>
        <w:t>za zagotovitev terciarnega čiščenja z iztokom na občutljiva območja</w:t>
      </w:r>
      <w:bookmarkEnd w:id="121"/>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43"/>
        <w:gridCol w:w="782"/>
        <w:gridCol w:w="2673"/>
        <w:gridCol w:w="1498"/>
        <w:gridCol w:w="3308"/>
      </w:tblGrid>
      <w:tr w:rsidR="00C50F1A" w:rsidRPr="00B148B1" w:rsidTr="00B803AE">
        <w:trPr>
          <w:trHeight w:val="383"/>
          <w:tblHeader/>
        </w:trPr>
        <w:tc>
          <w:tcPr>
            <w:tcW w:w="5000" w:type="pct"/>
            <w:gridSpan w:val="5"/>
            <w:shd w:val="clear" w:color="auto" w:fill="auto"/>
            <w:vAlign w:val="center"/>
          </w:tcPr>
          <w:p w:rsidR="00C50F1A" w:rsidRPr="00B148B1" w:rsidRDefault="00C50F1A" w:rsidP="00B803AE">
            <w:pPr>
              <w:spacing w:line="240" w:lineRule="auto"/>
              <w:jc w:val="center"/>
              <w:rPr>
                <w:rFonts w:cs="Arial"/>
                <w:b/>
                <w:bCs/>
                <w:color w:val="000000"/>
                <w:szCs w:val="20"/>
                <w:lang w:eastAsia="sl-SI"/>
              </w:rPr>
            </w:pPr>
            <w:r w:rsidRPr="00B148B1">
              <w:rPr>
                <w:rFonts w:cs="Arial"/>
                <w:b/>
                <w:bCs/>
                <w:color w:val="000000"/>
                <w:szCs w:val="20"/>
                <w:lang w:eastAsia="sl-SI"/>
              </w:rPr>
              <w:t>KOMUNALNA ALI SKUPNA ČISTILNA NAPRAVA</w:t>
            </w:r>
          </w:p>
        </w:tc>
      </w:tr>
      <w:tr w:rsidR="00555E30" w:rsidRPr="00B148B1" w:rsidTr="00B803AE">
        <w:trPr>
          <w:trHeight w:val="261"/>
          <w:tblHeader/>
        </w:trPr>
        <w:tc>
          <w:tcPr>
            <w:tcW w:w="512" w:type="pct"/>
            <w:vMerge w:val="restart"/>
            <w:shd w:val="clear" w:color="auto" w:fill="auto"/>
            <w:vAlign w:val="center"/>
            <w:hideMark/>
          </w:tcPr>
          <w:p w:rsidR="00555E30" w:rsidRPr="00B148B1" w:rsidRDefault="00555E30" w:rsidP="0003176B">
            <w:pPr>
              <w:spacing w:line="240" w:lineRule="auto"/>
              <w:jc w:val="center"/>
              <w:rPr>
                <w:rFonts w:cs="Arial"/>
                <w:b/>
                <w:bCs/>
                <w:color w:val="000000"/>
                <w:szCs w:val="20"/>
                <w:lang w:eastAsia="sl-SI"/>
              </w:rPr>
            </w:pPr>
            <w:r w:rsidRPr="00B148B1">
              <w:rPr>
                <w:rFonts w:cs="Arial"/>
                <w:b/>
                <w:bCs/>
                <w:color w:val="000000"/>
                <w:szCs w:val="20"/>
                <w:lang w:eastAsia="sl-SI"/>
              </w:rPr>
              <w:t>ZAP. ŠT.</w:t>
            </w:r>
          </w:p>
        </w:tc>
        <w:tc>
          <w:tcPr>
            <w:tcW w:w="425" w:type="pct"/>
            <w:vMerge w:val="restart"/>
            <w:shd w:val="clear" w:color="auto" w:fill="auto"/>
            <w:vAlign w:val="center"/>
            <w:hideMark/>
          </w:tcPr>
          <w:p w:rsidR="00555E30" w:rsidRPr="00B148B1" w:rsidRDefault="00555E30" w:rsidP="0003176B">
            <w:pPr>
              <w:spacing w:line="240" w:lineRule="auto"/>
              <w:jc w:val="right"/>
              <w:rPr>
                <w:rFonts w:cs="Arial"/>
                <w:b/>
                <w:bCs/>
                <w:color w:val="000000"/>
                <w:szCs w:val="20"/>
                <w:lang w:eastAsia="sl-SI"/>
              </w:rPr>
            </w:pPr>
            <w:r w:rsidRPr="00B148B1">
              <w:rPr>
                <w:rFonts w:cs="Arial"/>
                <w:b/>
                <w:bCs/>
                <w:color w:val="000000"/>
                <w:szCs w:val="20"/>
                <w:lang w:eastAsia="sl-SI"/>
              </w:rPr>
              <w:t>ID</w:t>
            </w:r>
          </w:p>
        </w:tc>
        <w:tc>
          <w:tcPr>
            <w:tcW w:w="1452" w:type="pct"/>
            <w:vMerge w:val="restart"/>
            <w:shd w:val="clear" w:color="auto" w:fill="auto"/>
            <w:vAlign w:val="center"/>
            <w:hideMark/>
          </w:tcPr>
          <w:p w:rsidR="00555E30" w:rsidRPr="00B148B1" w:rsidRDefault="00555E30" w:rsidP="0003176B">
            <w:pPr>
              <w:spacing w:line="240" w:lineRule="auto"/>
              <w:rPr>
                <w:rFonts w:cs="Arial"/>
                <w:b/>
                <w:bCs/>
                <w:color w:val="000000"/>
                <w:szCs w:val="20"/>
                <w:lang w:eastAsia="sl-SI"/>
              </w:rPr>
            </w:pPr>
            <w:r w:rsidRPr="00B148B1">
              <w:rPr>
                <w:rFonts w:cs="Arial"/>
                <w:b/>
                <w:bCs/>
                <w:color w:val="000000"/>
                <w:szCs w:val="20"/>
                <w:lang w:eastAsia="sl-SI"/>
              </w:rPr>
              <w:t>IME</w:t>
            </w:r>
          </w:p>
        </w:tc>
        <w:tc>
          <w:tcPr>
            <w:tcW w:w="814" w:type="pct"/>
            <w:shd w:val="clear" w:color="auto" w:fill="auto"/>
            <w:vAlign w:val="center"/>
            <w:hideMark/>
          </w:tcPr>
          <w:p w:rsidR="00555E30" w:rsidRPr="00B148B1" w:rsidRDefault="00555E30" w:rsidP="0003176B">
            <w:pPr>
              <w:spacing w:line="240" w:lineRule="auto"/>
              <w:jc w:val="right"/>
              <w:rPr>
                <w:rFonts w:cs="Arial"/>
                <w:b/>
                <w:bCs/>
                <w:color w:val="000000"/>
                <w:szCs w:val="20"/>
                <w:lang w:eastAsia="sl-SI"/>
              </w:rPr>
            </w:pPr>
            <w:r w:rsidRPr="00B148B1">
              <w:rPr>
                <w:rFonts w:cs="Arial"/>
                <w:b/>
                <w:bCs/>
                <w:color w:val="000000"/>
                <w:szCs w:val="20"/>
                <w:lang w:eastAsia="sl-SI"/>
              </w:rPr>
              <w:t xml:space="preserve">KAPACITETA </w:t>
            </w:r>
          </w:p>
        </w:tc>
        <w:tc>
          <w:tcPr>
            <w:tcW w:w="1797" w:type="pct"/>
            <w:shd w:val="clear" w:color="auto" w:fill="auto"/>
            <w:vAlign w:val="center"/>
            <w:hideMark/>
          </w:tcPr>
          <w:p w:rsidR="00555E30" w:rsidRPr="00B148B1" w:rsidRDefault="00555E30" w:rsidP="0003176B">
            <w:pPr>
              <w:spacing w:line="240" w:lineRule="auto"/>
              <w:jc w:val="right"/>
              <w:rPr>
                <w:rFonts w:cs="Arial"/>
                <w:b/>
                <w:bCs/>
                <w:color w:val="000000"/>
                <w:szCs w:val="20"/>
                <w:lang w:eastAsia="sl-SI"/>
              </w:rPr>
            </w:pPr>
            <w:r w:rsidRPr="00B148B1">
              <w:rPr>
                <w:rFonts w:cs="Arial"/>
                <w:b/>
                <w:bCs/>
                <w:color w:val="000000"/>
                <w:szCs w:val="20"/>
                <w:lang w:eastAsia="sl-SI"/>
              </w:rPr>
              <w:t xml:space="preserve">DEJANSKA OBREMENITEV  </w:t>
            </w:r>
          </w:p>
        </w:tc>
      </w:tr>
      <w:tr w:rsidR="00555E30" w:rsidRPr="00B148B1" w:rsidTr="00B803AE">
        <w:trPr>
          <w:trHeight w:val="125"/>
          <w:tblHeader/>
        </w:trPr>
        <w:tc>
          <w:tcPr>
            <w:tcW w:w="512" w:type="pct"/>
            <w:vMerge/>
            <w:vAlign w:val="center"/>
            <w:hideMark/>
          </w:tcPr>
          <w:p w:rsidR="00555E30" w:rsidRPr="00B148B1" w:rsidRDefault="00555E30" w:rsidP="0003176B">
            <w:pPr>
              <w:spacing w:line="240" w:lineRule="auto"/>
              <w:jc w:val="left"/>
              <w:rPr>
                <w:rFonts w:cs="Arial"/>
                <w:b/>
                <w:bCs/>
                <w:color w:val="000000"/>
                <w:szCs w:val="20"/>
                <w:lang w:eastAsia="sl-SI"/>
              </w:rPr>
            </w:pPr>
          </w:p>
        </w:tc>
        <w:tc>
          <w:tcPr>
            <w:tcW w:w="425" w:type="pct"/>
            <w:vMerge/>
            <w:vAlign w:val="center"/>
            <w:hideMark/>
          </w:tcPr>
          <w:p w:rsidR="00555E30" w:rsidRPr="00B148B1" w:rsidRDefault="00555E30" w:rsidP="0003176B">
            <w:pPr>
              <w:spacing w:line="240" w:lineRule="auto"/>
              <w:jc w:val="left"/>
              <w:rPr>
                <w:rFonts w:cs="Arial"/>
                <w:b/>
                <w:bCs/>
                <w:color w:val="000000"/>
                <w:szCs w:val="20"/>
                <w:lang w:eastAsia="sl-SI"/>
              </w:rPr>
            </w:pPr>
          </w:p>
        </w:tc>
        <w:tc>
          <w:tcPr>
            <w:tcW w:w="1452" w:type="pct"/>
            <w:vMerge/>
            <w:vAlign w:val="center"/>
            <w:hideMark/>
          </w:tcPr>
          <w:p w:rsidR="00555E30" w:rsidRPr="00B148B1" w:rsidRDefault="00555E30" w:rsidP="0003176B">
            <w:pPr>
              <w:spacing w:line="240" w:lineRule="auto"/>
              <w:jc w:val="left"/>
              <w:rPr>
                <w:rFonts w:cs="Arial"/>
                <w:b/>
                <w:bCs/>
                <w:color w:val="000000"/>
                <w:szCs w:val="20"/>
                <w:lang w:eastAsia="sl-SI"/>
              </w:rPr>
            </w:pPr>
          </w:p>
        </w:tc>
        <w:tc>
          <w:tcPr>
            <w:tcW w:w="814" w:type="pct"/>
            <w:shd w:val="clear" w:color="auto" w:fill="auto"/>
            <w:noWrap/>
            <w:vAlign w:val="center"/>
            <w:hideMark/>
          </w:tcPr>
          <w:p w:rsidR="00555E30" w:rsidRPr="00B148B1" w:rsidRDefault="00555E30" w:rsidP="0003176B">
            <w:pPr>
              <w:spacing w:line="240" w:lineRule="auto"/>
              <w:jc w:val="right"/>
              <w:rPr>
                <w:rFonts w:cs="Arial"/>
                <w:b/>
                <w:bCs/>
                <w:color w:val="000000"/>
                <w:szCs w:val="20"/>
                <w:lang w:eastAsia="sl-SI"/>
              </w:rPr>
            </w:pPr>
            <w:r w:rsidRPr="00B148B1">
              <w:rPr>
                <w:rFonts w:cs="Arial"/>
                <w:b/>
                <w:bCs/>
                <w:color w:val="000000"/>
                <w:szCs w:val="20"/>
                <w:lang w:eastAsia="sl-SI"/>
              </w:rPr>
              <w:t>[PE]</w:t>
            </w:r>
          </w:p>
        </w:tc>
        <w:tc>
          <w:tcPr>
            <w:tcW w:w="1797" w:type="pct"/>
            <w:shd w:val="clear" w:color="auto" w:fill="auto"/>
            <w:noWrap/>
            <w:vAlign w:val="center"/>
            <w:hideMark/>
          </w:tcPr>
          <w:p w:rsidR="00555E30" w:rsidRPr="00B148B1" w:rsidRDefault="00555E30" w:rsidP="0003176B">
            <w:pPr>
              <w:spacing w:line="240" w:lineRule="auto"/>
              <w:jc w:val="right"/>
              <w:rPr>
                <w:rFonts w:cs="Arial"/>
                <w:b/>
                <w:bCs/>
                <w:color w:val="000000"/>
                <w:szCs w:val="20"/>
                <w:lang w:eastAsia="sl-SI"/>
              </w:rPr>
            </w:pPr>
            <w:r w:rsidRPr="00B148B1">
              <w:rPr>
                <w:rFonts w:cs="Arial"/>
                <w:b/>
                <w:bCs/>
                <w:color w:val="000000"/>
                <w:szCs w:val="20"/>
                <w:lang w:eastAsia="sl-SI"/>
              </w:rPr>
              <w:t>[PE]</w:t>
            </w:r>
          </w:p>
        </w:tc>
      </w:tr>
      <w:tr w:rsidR="00555E30" w:rsidRPr="00B148B1" w:rsidTr="00B803AE">
        <w:trPr>
          <w:trHeight w:val="315"/>
        </w:trPr>
        <w:tc>
          <w:tcPr>
            <w:tcW w:w="512" w:type="pct"/>
            <w:shd w:val="clear" w:color="auto" w:fill="auto"/>
            <w:noWrap/>
            <w:vAlign w:val="center"/>
            <w:hideMark/>
          </w:tcPr>
          <w:p w:rsidR="00555E30" w:rsidRPr="00B148B1" w:rsidRDefault="00555E30" w:rsidP="0003176B">
            <w:pPr>
              <w:spacing w:line="240" w:lineRule="auto"/>
              <w:jc w:val="center"/>
              <w:rPr>
                <w:rFonts w:cs="Arial"/>
                <w:color w:val="000000"/>
                <w:szCs w:val="20"/>
                <w:lang w:eastAsia="sl-SI"/>
              </w:rPr>
            </w:pPr>
            <w:r w:rsidRPr="00B148B1">
              <w:rPr>
                <w:rFonts w:cs="Arial"/>
                <w:bCs/>
                <w:color w:val="000000"/>
                <w:szCs w:val="20"/>
                <w:lang w:eastAsia="sl-SI"/>
              </w:rPr>
              <w:t>1</w:t>
            </w:r>
          </w:p>
        </w:tc>
        <w:tc>
          <w:tcPr>
            <w:tcW w:w="425" w:type="pct"/>
            <w:shd w:val="clear" w:color="auto" w:fill="auto"/>
            <w:noWrap/>
            <w:vAlign w:val="center"/>
            <w:hideMark/>
          </w:tcPr>
          <w:p w:rsidR="00555E30" w:rsidRPr="00B148B1" w:rsidRDefault="00555E30" w:rsidP="0003176B">
            <w:pPr>
              <w:spacing w:line="240" w:lineRule="auto"/>
              <w:jc w:val="right"/>
              <w:rPr>
                <w:rFonts w:cs="Arial"/>
                <w:color w:val="000000"/>
                <w:szCs w:val="20"/>
                <w:lang w:eastAsia="sl-SI"/>
              </w:rPr>
            </w:pPr>
            <w:r w:rsidRPr="00B148B1">
              <w:rPr>
                <w:rFonts w:cs="Arial"/>
                <w:bCs/>
                <w:color w:val="000000"/>
                <w:szCs w:val="20"/>
                <w:lang w:eastAsia="sl-SI"/>
              </w:rPr>
              <w:t>236</w:t>
            </w:r>
          </w:p>
        </w:tc>
        <w:tc>
          <w:tcPr>
            <w:tcW w:w="1452" w:type="pct"/>
            <w:shd w:val="clear" w:color="auto" w:fill="auto"/>
            <w:noWrap/>
            <w:vAlign w:val="center"/>
            <w:hideMark/>
          </w:tcPr>
          <w:p w:rsidR="00555E30" w:rsidRPr="00B148B1" w:rsidRDefault="00555E30" w:rsidP="0003176B">
            <w:pPr>
              <w:spacing w:line="240" w:lineRule="auto"/>
              <w:rPr>
                <w:rFonts w:cs="Arial"/>
                <w:color w:val="000000"/>
                <w:szCs w:val="20"/>
                <w:lang w:eastAsia="sl-SI"/>
              </w:rPr>
            </w:pPr>
            <w:r w:rsidRPr="00B148B1">
              <w:rPr>
                <w:rFonts w:cs="Arial"/>
                <w:bCs/>
                <w:color w:val="000000"/>
                <w:szCs w:val="20"/>
                <w:lang w:eastAsia="sl-SI"/>
              </w:rPr>
              <w:t xml:space="preserve">RADENCI (ČRNOMELJ) </w:t>
            </w:r>
            <w:r w:rsidRPr="00B148B1">
              <w:rPr>
                <w:rFonts w:cs="Arial"/>
                <w:color w:val="000000"/>
                <w:szCs w:val="20"/>
                <w:vertAlign w:val="superscript"/>
                <w:lang w:eastAsia="sl-SI"/>
              </w:rPr>
              <w:t>(1)</w:t>
            </w:r>
          </w:p>
        </w:tc>
        <w:tc>
          <w:tcPr>
            <w:tcW w:w="814" w:type="pct"/>
            <w:shd w:val="clear" w:color="auto" w:fill="auto"/>
            <w:noWrap/>
            <w:vAlign w:val="center"/>
            <w:hideMark/>
          </w:tcPr>
          <w:p w:rsidR="00555E30" w:rsidRPr="00B148B1" w:rsidRDefault="00555E30" w:rsidP="0003176B">
            <w:pPr>
              <w:spacing w:line="240" w:lineRule="auto"/>
              <w:jc w:val="right"/>
              <w:rPr>
                <w:rFonts w:cs="Arial"/>
                <w:color w:val="000000"/>
                <w:szCs w:val="20"/>
                <w:lang w:eastAsia="sl-SI"/>
              </w:rPr>
            </w:pPr>
            <w:r w:rsidRPr="00B148B1">
              <w:rPr>
                <w:rFonts w:cs="Arial"/>
                <w:bCs/>
                <w:color w:val="000000"/>
                <w:szCs w:val="20"/>
                <w:lang w:eastAsia="sl-SI"/>
              </w:rPr>
              <w:t>150</w:t>
            </w:r>
          </w:p>
        </w:tc>
        <w:tc>
          <w:tcPr>
            <w:tcW w:w="1797" w:type="pct"/>
            <w:shd w:val="clear" w:color="auto" w:fill="auto"/>
            <w:noWrap/>
            <w:vAlign w:val="center"/>
            <w:hideMark/>
          </w:tcPr>
          <w:p w:rsidR="00555E30" w:rsidRPr="00B148B1" w:rsidRDefault="00555E30" w:rsidP="0003176B">
            <w:pPr>
              <w:spacing w:line="240" w:lineRule="auto"/>
              <w:jc w:val="right"/>
              <w:rPr>
                <w:rFonts w:cs="Arial"/>
                <w:color w:val="000000"/>
                <w:szCs w:val="20"/>
                <w:lang w:eastAsia="sl-SI"/>
              </w:rPr>
            </w:pPr>
            <w:r w:rsidRPr="00B148B1">
              <w:rPr>
                <w:rFonts w:cs="Arial"/>
                <w:bCs/>
                <w:color w:val="000000"/>
                <w:szCs w:val="20"/>
                <w:lang w:eastAsia="sl-SI"/>
              </w:rPr>
              <w:t>73</w:t>
            </w:r>
          </w:p>
        </w:tc>
      </w:tr>
      <w:tr w:rsidR="00555E30" w:rsidRPr="00B148B1" w:rsidTr="00B803AE">
        <w:trPr>
          <w:trHeight w:val="315"/>
        </w:trPr>
        <w:tc>
          <w:tcPr>
            <w:tcW w:w="512" w:type="pct"/>
            <w:shd w:val="clear" w:color="auto" w:fill="auto"/>
            <w:noWrap/>
            <w:vAlign w:val="center"/>
            <w:hideMark/>
          </w:tcPr>
          <w:p w:rsidR="00555E30" w:rsidRPr="00B148B1" w:rsidRDefault="00555E30" w:rsidP="0003176B">
            <w:pPr>
              <w:spacing w:line="240" w:lineRule="auto"/>
              <w:jc w:val="center"/>
              <w:rPr>
                <w:rFonts w:cs="Arial"/>
                <w:color w:val="000000"/>
                <w:szCs w:val="20"/>
                <w:lang w:eastAsia="sl-SI"/>
              </w:rPr>
            </w:pPr>
            <w:r w:rsidRPr="00B148B1">
              <w:rPr>
                <w:rFonts w:cs="Arial"/>
                <w:color w:val="000000"/>
                <w:szCs w:val="20"/>
                <w:lang w:eastAsia="sl-SI"/>
              </w:rPr>
              <w:t>2</w:t>
            </w:r>
          </w:p>
        </w:tc>
        <w:tc>
          <w:tcPr>
            <w:tcW w:w="425" w:type="pct"/>
            <w:shd w:val="clear" w:color="auto" w:fill="auto"/>
            <w:noWrap/>
            <w:vAlign w:val="center"/>
            <w:hideMark/>
          </w:tcPr>
          <w:p w:rsidR="00555E30" w:rsidRPr="00B148B1" w:rsidRDefault="00555E30" w:rsidP="0003176B">
            <w:pPr>
              <w:spacing w:line="240" w:lineRule="auto"/>
              <w:jc w:val="right"/>
              <w:rPr>
                <w:rFonts w:cs="Arial"/>
                <w:color w:val="000000"/>
                <w:szCs w:val="20"/>
                <w:lang w:eastAsia="sl-SI"/>
              </w:rPr>
            </w:pPr>
            <w:r w:rsidRPr="00B148B1">
              <w:rPr>
                <w:rFonts w:cs="Arial"/>
                <w:color w:val="000000"/>
                <w:szCs w:val="20"/>
                <w:lang w:eastAsia="sl-SI"/>
              </w:rPr>
              <w:t>2519</w:t>
            </w:r>
          </w:p>
        </w:tc>
        <w:tc>
          <w:tcPr>
            <w:tcW w:w="1452" w:type="pct"/>
            <w:shd w:val="clear" w:color="auto" w:fill="auto"/>
            <w:noWrap/>
            <w:vAlign w:val="center"/>
            <w:hideMark/>
          </w:tcPr>
          <w:p w:rsidR="00555E30" w:rsidRPr="00B148B1" w:rsidRDefault="00555E30" w:rsidP="0003176B">
            <w:pPr>
              <w:spacing w:line="240" w:lineRule="auto"/>
              <w:rPr>
                <w:rFonts w:cs="Arial"/>
                <w:color w:val="000000"/>
                <w:szCs w:val="20"/>
                <w:lang w:eastAsia="sl-SI"/>
              </w:rPr>
            </w:pPr>
            <w:r w:rsidRPr="00B148B1">
              <w:rPr>
                <w:rFonts w:cs="Arial"/>
                <w:color w:val="000000"/>
                <w:szCs w:val="20"/>
                <w:lang w:eastAsia="sl-SI"/>
              </w:rPr>
              <w:t xml:space="preserve">SODRAŽICA </w:t>
            </w:r>
            <w:r w:rsidRPr="00B148B1">
              <w:rPr>
                <w:rFonts w:cs="Arial"/>
                <w:color w:val="000000"/>
                <w:szCs w:val="20"/>
                <w:vertAlign w:val="superscript"/>
                <w:lang w:eastAsia="sl-SI"/>
              </w:rPr>
              <w:t>(1)</w:t>
            </w:r>
          </w:p>
        </w:tc>
        <w:tc>
          <w:tcPr>
            <w:tcW w:w="814" w:type="pct"/>
            <w:shd w:val="clear" w:color="auto" w:fill="auto"/>
            <w:noWrap/>
            <w:vAlign w:val="center"/>
            <w:hideMark/>
          </w:tcPr>
          <w:p w:rsidR="00555E30" w:rsidRPr="00B148B1" w:rsidRDefault="00555E30" w:rsidP="0003176B">
            <w:pPr>
              <w:spacing w:line="240" w:lineRule="auto"/>
              <w:jc w:val="right"/>
              <w:rPr>
                <w:rFonts w:cs="Arial"/>
                <w:color w:val="000000"/>
                <w:szCs w:val="20"/>
                <w:lang w:eastAsia="sl-SI"/>
              </w:rPr>
            </w:pPr>
            <w:r w:rsidRPr="00B148B1">
              <w:rPr>
                <w:rFonts w:cs="Arial"/>
                <w:color w:val="000000"/>
                <w:szCs w:val="20"/>
                <w:lang w:eastAsia="sl-SI"/>
              </w:rPr>
              <w:t>1.950</w:t>
            </w:r>
          </w:p>
        </w:tc>
        <w:tc>
          <w:tcPr>
            <w:tcW w:w="1797" w:type="pct"/>
            <w:shd w:val="clear" w:color="auto" w:fill="auto"/>
            <w:noWrap/>
            <w:vAlign w:val="center"/>
            <w:hideMark/>
          </w:tcPr>
          <w:p w:rsidR="00555E30" w:rsidRPr="00B148B1" w:rsidRDefault="00555E30" w:rsidP="0003176B">
            <w:pPr>
              <w:spacing w:line="240" w:lineRule="auto"/>
              <w:jc w:val="right"/>
              <w:rPr>
                <w:rFonts w:cs="Arial"/>
                <w:color w:val="000000"/>
                <w:szCs w:val="20"/>
                <w:lang w:eastAsia="sl-SI"/>
              </w:rPr>
            </w:pPr>
            <w:r w:rsidRPr="00B148B1">
              <w:rPr>
                <w:rFonts w:cs="Arial"/>
                <w:color w:val="000000"/>
                <w:szCs w:val="20"/>
                <w:lang w:eastAsia="sl-SI"/>
              </w:rPr>
              <w:t>302</w:t>
            </w:r>
          </w:p>
        </w:tc>
      </w:tr>
      <w:tr w:rsidR="00555E30" w:rsidRPr="00B148B1" w:rsidTr="00B803AE">
        <w:trPr>
          <w:trHeight w:val="315"/>
        </w:trPr>
        <w:tc>
          <w:tcPr>
            <w:tcW w:w="512" w:type="pct"/>
            <w:shd w:val="clear" w:color="auto" w:fill="auto"/>
            <w:noWrap/>
            <w:vAlign w:val="center"/>
            <w:hideMark/>
          </w:tcPr>
          <w:p w:rsidR="00555E30" w:rsidRPr="00B148B1" w:rsidRDefault="00555E30" w:rsidP="0003176B">
            <w:pPr>
              <w:spacing w:line="240" w:lineRule="auto"/>
              <w:jc w:val="center"/>
              <w:rPr>
                <w:rFonts w:cs="Arial"/>
                <w:color w:val="000000"/>
                <w:szCs w:val="20"/>
                <w:lang w:eastAsia="sl-SI"/>
              </w:rPr>
            </w:pPr>
            <w:r w:rsidRPr="00B148B1">
              <w:rPr>
                <w:rFonts w:cs="Arial"/>
                <w:color w:val="000000"/>
                <w:szCs w:val="20"/>
                <w:lang w:eastAsia="sl-SI"/>
              </w:rPr>
              <w:t>3</w:t>
            </w:r>
          </w:p>
        </w:tc>
        <w:tc>
          <w:tcPr>
            <w:tcW w:w="425" w:type="pct"/>
            <w:shd w:val="clear" w:color="auto" w:fill="auto"/>
            <w:noWrap/>
            <w:vAlign w:val="center"/>
            <w:hideMark/>
          </w:tcPr>
          <w:p w:rsidR="00555E30" w:rsidRPr="00B148B1" w:rsidRDefault="00555E30" w:rsidP="0003176B">
            <w:pPr>
              <w:spacing w:line="240" w:lineRule="auto"/>
              <w:jc w:val="right"/>
              <w:rPr>
                <w:rFonts w:cs="Arial"/>
                <w:color w:val="000000"/>
                <w:szCs w:val="20"/>
                <w:lang w:eastAsia="sl-SI"/>
              </w:rPr>
            </w:pPr>
            <w:r w:rsidRPr="00B148B1">
              <w:rPr>
                <w:rFonts w:cs="Arial"/>
                <w:color w:val="000000"/>
                <w:szCs w:val="20"/>
                <w:lang w:eastAsia="sl-SI"/>
              </w:rPr>
              <w:t>276</w:t>
            </w:r>
          </w:p>
        </w:tc>
        <w:tc>
          <w:tcPr>
            <w:tcW w:w="1452" w:type="pct"/>
            <w:shd w:val="clear" w:color="auto" w:fill="auto"/>
            <w:noWrap/>
            <w:vAlign w:val="center"/>
            <w:hideMark/>
          </w:tcPr>
          <w:p w:rsidR="00555E30" w:rsidRPr="00B148B1" w:rsidRDefault="00555E30" w:rsidP="0003176B">
            <w:pPr>
              <w:spacing w:line="240" w:lineRule="auto"/>
              <w:rPr>
                <w:rFonts w:cs="Arial"/>
                <w:color w:val="000000"/>
                <w:szCs w:val="20"/>
                <w:lang w:eastAsia="sl-SI"/>
              </w:rPr>
            </w:pPr>
            <w:r w:rsidRPr="00B148B1">
              <w:rPr>
                <w:rFonts w:cs="Arial"/>
                <w:color w:val="000000"/>
                <w:szCs w:val="20"/>
                <w:lang w:eastAsia="sl-SI"/>
              </w:rPr>
              <w:t xml:space="preserve">LOG POD MANGARTOM </w:t>
            </w:r>
            <w:r w:rsidRPr="00B148B1">
              <w:rPr>
                <w:rFonts w:cs="Arial"/>
                <w:color w:val="000000"/>
                <w:szCs w:val="20"/>
                <w:vertAlign w:val="superscript"/>
                <w:lang w:eastAsia="sl-SI"/>
              </w:rPr>
              <w:t>(1)</w:t>
            </w:r>
          </w:p>
        </w:tc>
        <w:tc>
          <w:tcPr>
            <w:tcW w:w="814" w:type="pct"/>
            <w:shd w:val="clear" w:color="auto" w:fill="auto"/>
            <w:noWrap/>
            <w:vAlign w:val="center"/>
            <w:hideMark/>
          </w:tcPr>
          <w:p w:rsidR="00555E30" w:rsidRPr="00B148B1" w:rsidRDefault="00555E30" w:rsidP="0003176B">
            <w:pPr>
              <w:spacing w:line="240" w:lineRule="auto"/>
              <w:jc w:val="right"/>
              <w:rPr>
                <w:rFonts w:cs="Arial"/>
                <w:color w:val="000000"/>
                <w:szCs w:val="20"/>
                <w:lang w:eastAsia="sl-SI"/>
              </w:rPr>
            </w:pPr>
            <w:r w:rsidRPr="00B148B1">
              <w:rPr>
                <w:rFonts w:cs="Arial"/>
                <w:color w:val="000000"/>
                <w:szCs w:val="20"/>
                <w:lang w:eastAsia="sl-SI"/>
              </w:rPr>
              <w:t>300</w:t>
            </w:r>
          </w:p>
        </w:tc>
        <w:tc>
          <w:tcPr>
            <w:tcW w:w="1797" w:type="pct"/>
            <w:shd w:val="clear" w:color="auto" w:fill="auto"/>
            <w:noWrap/>
            <w:vAlign w:val="center"/>
            <w:hideMark/>
          </w:tcPr>
          <w:p w:rsidR="00555E30" w:rsidRPr="00B148B1" w:rsidRDefault="00555E30" w:rsidP="0003176B">
            <w:pPr>
              <w:spacing w:line="240" w:lineRule="auto"/>
              <w:jc w:val="right"/>
              <w:rPr>
                <w:rFonts w:cs="Arial"/>
                <w:color w:val="000000"/>
                <w:szCs w:val="20"/>
                <w:lang w:eastAsia="sl-SI"/>
              </w:rPr>
            </w:pPr>
            <w:r w:rsidRPr="00B148B1">
              <w:rPr>
                <w:rFonts w:cs="Arial"/>
                <w:color w:val="000000"/>
                <w:szCs w:val="20"/>
                <w:lang w:eastAsia="sl-SI"/>
              </w:rPr>
              <w:t>165</w:t>
            </w:r>
          </w:p>
        </w:tc>
      </w:tr>
      <w:tr w:rsidR="00555E30" w:rsidRPr="00B148B1" w:rsidTr="00B803AE">
        <w:trPr>
          <w:trHeight w:val="315"/>
        </w:trPr>
        <w:tc>
          <w:tcPr>
            <w:tcW w:w="512" w:type="pct"/>
            <w:shd w:val="clear" w:color="auto" w:fill="auto"/>
            <w:noWrap/>
            <w:vAlign w:val="center"/>
            <w:hideMark/>
          </w:tcPr>
          <w:p w:rsidR="00555E30" w:rsidRPr="00B148B1" w:rsidRDefault="00555E30" w:rsidP="0003176B">
            <w:pPr>
              <w:spacing w:line="240" w:lineRule="auto"/>
              <w:jc w:val="center"/>
              <w:rPr>
                <w:rFonts w:cs="Arial"/>
                <w:color w:val="000000"/>
                <w:szCs w:val="20"/>
                <w:lang w:eastAsia="sl-SI"/>
              </w:rPr>
            </w:pPr>
            <w:r w:rsidRPr="00B148B1">
              <w:rPr>
                <w:rFonts w:cs="Arial"/>
                <w:color w:val="000000"/>
                <w:szCs w:val="20"/>
                <w:lang w:eastAsia="sl-SI"/>
              </w:rPr>
              <w:t>4</w:t>
            </w:r>
          </w:p>
        </w:tc>
        <w:tc>
          <w:tcPr>
            <w:tcW w:w="425" w:type="pct"/>
            <w:shd w:val="clear" w:color="auto" w:fill="auto"/>
            <w:noWrap/>
            <w:vAlign w:val="center"/>
            <w:hideMark/>
          </w:tcPr>
          <w:p w:rsidR="00555E30" w:rsidRPr="00B148B1" w:rsidRDefault="00555E30" w:rsidP="0003176B">
            <w:pPr>
              <w:spacing w:line="240" w:lineRule="auto"/>
              <w:jc w:val="right"/>
              <w:rPr>
                <w:rFonts w:cs="Arial"/>
                <w:color w:val="000000"/>
                <w:szCs w:val="20"/>
                <w:lang w:eastAsia="sl-SI"/>
              </w:rPr>
            </w:pPr>
            <w:r w:rsidRPr="00B148B1">
              <w:rPr>
                <w:rFonts w:cs="Arial"/>
                <w:color w:val="000000"/>
                <w:szCs w:val="20"/>
                <w:lang w:eastAsia="sl-SI"/>
              </w:rPr>
              <w:t>1</w:t>
            </w:r>
          </w:p>
        </w:tc>
        <w:tc>
          <w:tcPr>
            <w:tcW w:w="1452" w:type="pct"/>
            <w:shd w:val="clear" w:color="auto" w:fill="auto"/>
            <w:noWrap/>
            <w:vAlign w:val="center"/>
            <w:hideMark/>
          </w:tcPr>
          <w:p w:rsidR="00555E30" w:rsidRPr="00B148B1" w:rsidRDefault="00555E30" w:rsidP="0003176B">
            <w:pPr>
              <w:spacing w:line="240" w:lineRule="auto"/>
              <w:rPr>
                <w:rFonts w:cs="Arial"/>
                <w:color w:val="000000"/>
                <w:szCs w:val="20"/>
                <w:lang w:eastAsia="sl-SI"/>
              </w:rPr>
            </w:pPr>
            <w:r w:rsidRPr="00B148B1">
              <w:rPr>
                <w:rFonts w:cs="Arial"/>
                <w:color w:val="000000"/>
                <w:szCs w:val="20"/>
                <w:lang w:eastAsia="sl-SI"/>
              </w:rPr>
              <w:t>ČRENŠOVCI</w:t>
            </w:r>
          </w:p>
        </w:tc>
        <w:tc>
          <w:tcPr>
            <w:tcW w:w="814" w:type="pct"/>
            <w:shd w:val="clear" w:color="auto" w:fill="auto"/>
            <w:noWrap/>
            <w:vAlign w:val="center"/>
            <w:hideMark/>
          </w:tcPr>
          <w:p w:rsidR="00555E30" w:rsidRPr="00B148B1" w:rsidRDefault="00555E30" w:rsidP="0003176B">
            <w:pPr>
              <w:spacing w:line="240" w:lineRule="auto"/>
              <w:jc w:val="right"/>
              <w:rPr>
                <w:rFonts w:cs="Arial"/>
                <w:color w:val="000000"/>
                <w:szCs w:val="20"/>
                <w:lang w:eastAsia="sl-SI"/>
              </w:rPr>
            </w:pPr>
            <w:r w:rsidRPr="00B148B1">
              <w:rPr>
                <w:rFonts w:cs="Arial"/>
                <w:color w:val="000000"/>
                <w:szCs w:val="20"/>
                <w:lang w:eastAsia="sl-SI"/>
              </w:rPr>
              <w:t>3.500</w:t>
            </w:r>
          </w:p>
        </w:tc>
        <w:tc>
          <w:tcPr>
            <w:tcW w:w="1797" w:type="pct"/>
            <w:shd w:val="clear" w:color="auto" w:fill="auto"/>
            <w:noWrap/>
            <w:vAlign w:val="center"/>
            <w:hideMark/>
          </w:tcPr>
          <w:p w:rsidR="00555E30" w:rsidRPr="00B148B1" w:rsidRDefault="00555E30" w:rsidP="0003176B">
            <w:pPr>
              <w:spacing w:line="240" w:lineRule="auto"/>
              <w:jc w:val="right"/>
              <w:rPr>
                <w:rFonts w:cs="Arial"/>
                <w:color w:val="000000"/>
                <w:szCs w:val="20"/>
                <w:lang w:eastAsia="sl-SI"/>
              </w:rPr>
            </w:pPr>
            <w:r w:rsidRPr="00B148B1">
              <w:rPr>
                <w:rFonts w:cs="Arial"/>
                <w:color w:val="000000"/>
                <w:szCs w:val="20"/>
                <w:lang w:eastAsia="sl-SI"/>
              </w:rPr>
              <w:t>568</w:t>
            </w:r>
          </w:p>
        </w:tc>
      </w:tr>
      <w:tr w:rsidR="00555E30" w:rsidRPr="00B148B1" w:rsidTr="00B803AE">
        <w:trPr>
          <w:trHeight w:val="315"/>
        </w:trPr>
        <w:tc>
          <w:tcPr>
            <w:tcW w:w="512" w:type="pct"/>
            <w:shd w:val="clear" w:color="auto" w:fill="auto"/>
            <w:noWrap/>
            <w:vAlign w:val="center"/>
            <w:hideMark/>
          </w:tcPr>
          <w:p w:rsidR="00555E30" w:rsidRPr="00B148B1" w:rsidRDefault="00555E30" w:rsidP="0003176B">
            <w:pPr>
              <w:spacing w:line="240" w:lineRule="auto"/>
              <w:jc w:val="center"/>
              <w:rPr>
                <w:rFonts w:cs="Arial"/>
                <w:color w:val="000000"/>
                <w:szCs w:val="20"/>
                <w:lang w:eastAsia="sl-SI"/>
              </w:rPr>
            </w:pPr>
            <w:r w:rsidRPr="00B148B1">
              <w:rPr>
                <w:rFonts w:cs="Arial"/>
                <w:color w:val="000000"/>
                <w:szCs w:val="20"/>
                <w:lang w:eastAsia="sl-SI"/>
              </w:rPr>
              <w:t>5</w:t>
            </w:r>
          </w:p>
        </w:tc>
        <w:tc>
          <w:tcPr>
            <w:tcW w:w="425" w:type="pct"/>
            <w:shd w:val="clear" w:color="auto" w:fill="auto"/>
            <w:noWrap/>
            <w:vAlign w:val="center"/>
            <w:hideMark/>
          </w:tcPr>
          <w:p w:rsidR="00555E30" w:rsidRPr="00B148B1" w:rsidRDefault="00555E30" w:rsidP="0003176B">
            <w:pPr>
              <w:spacing w:line="240" w:lineRule="auto"/>
              <w:jc w:val="right"/>
              <w:rPr>
                <w:rFonts w:cs="Arial"/>
                <w:color w:val="000000"/>
                <w:szCs w:val="20"/>
                <w:lang w:eastAsia="sl-SI"/>
              </w:rPr>
            </w:pPr>
            <w:r w:rsidRPr="00B148B1">
              <w:rPr>
                <w:rFonts w:cs="Arial"/>
                <w:color w:val="000000"/>
                <w:szCs w:val="20"/>
                <w:lang w:eastAsia="sl-SI"/>
              </w:rPr>
              <w:t>28</w:t>
            </w:r>
          </w:p>
        </w:tc>
        <w:tc>
          <w:tcPr>
            <w:tcW w:w="1452" w:type="pct"/>
            <w:shd w:val="clear" w:color="auto" w:fill="auto"/>
            <w:noWrap/>
            <w:vAlign w:val="center"/>
            <w:hideMark/>
          </w:tcPr>
          <w:p w:rsidR="00555E30" w:rsidRPr="00B148B1" w:rsidRDefault="00555E30" w:rsidP="0003176B">
            <w:pPr>
              <w:spacing w:line="240" w:lineRule="auto"/>
              <w:rPr>
                <w:rFonts w:cs="Arial"/>
                <w:color w:val="000000"/>
                <w:szCs w:val="20"/>
                <w:lang w:eastAsia="sl-SI"/>
              </w:rPr>
            </w:pPr>
            <w:r w:rsidRPr="00B148B1">
              <w:rPr>
                <w:rFonts w:cs="Arial"/>
                <w:color w:val="000000"/>
                <w:szCs w:val="20"/>
                <w:lang w:eastAsia="sl-SI"/>
              </w:rPr>
              <w:t xml:space="preserve">ŠKOFIJE </w:t>
            </w:r>
            <w:r w:rsidRPr="00B148B1">
              <w:rPr>
                <w:rFonts w:cs="Arial"/>
                <w:color w:val="000000"/>
                <w:szCs w:val="20"/>
                <w:vertAlign w:val="superscript"/>
                <w:lang w:eastAsia="sl-SI"/>
              </w:rPr>
              <w:t>(1)</w:t>
            </w:r>
          </w:p>
        </w:tc>
        <w:tc>
          <w:tcPr>
            <w:tcW w:w="814" w:type="pct"/>
            <w:shd w:val="clear" w:color="auto" w:fill="auto"/>
            <w:noWrap/>
            <w:vAlign w:val="center"/>
            <w:hideMark/>
          </w:tcPr>
          <w:p w:rsidR="00555E30" w:rsidRPr="00B148B1" w:rsidRDefault="00555E30" w:rsidP="0003176B">
            <w:pPr>
              <w:spacing w:line="240" w:lineRule="auto"/>
              <w:jc w:val="right"/>
              <w:rPr>
                <w:rFonts w:cs="Arial"/>
                <w:color w:val="000000"/>
                <w:szCs w:val="20"/>
                <w:lang w:eastAsia="sl-SI"/>
              </w:rPr>
            </w:pPr>
            <w:r w:rsidRPr="00B148B1">
              <w:rPr>
                <w:rFonts w:cs="Arial"/>
                <w:color w:val="000000"/>
                <w:szCs w:val="20"/>
                <w:lang w:eastAsia="sl-SI"/>
              </w:rPr>
              <w:t>265</w:t>
            </w:r>
          </w:p>
        </w:tc>
        <w:tc>
          <w:tcPr>
            <w:tcW w:w="1797" w:type="pct"/>
            <w:shd w:val="clear" w:color="auto" w:fill="auto"/>
            <w:noWrap/>
            <w:vAlign w:val="center"/>
            <w:hideMark/>
          </w:tcPr>
          <w:p w:rsidR="00555E30" w:rsidRPr="00B148B1" w:rsidRDefault="00555E30" w:rsidP="0003176B">
            <w:pPr>
              <w:spacing w:line="240" w:lineRule="auto"/>
              <w:jc w:val="right"/>
              <w:rPr>
                <w:rFonts w:cs="Arial"/>
                <w:color w:val="000000"/>
                <w:szCs w:val="20"/>
                <w:lang w:eastAsia="sl-SI"/>
              </w:rPr>
            </w:pPr>
            <w:r w:rsidRPr="00B148B1">
              <w:rPr>
                <w:rFonts w:cs="Arial"/>
                <w:color w:val="000000"/>
                <w:szCs w:val="20"/>
                <w:lang w:eastAsia="sl-SI"/>
              </w:rPr>
              <w:t>237</w:t>
            </w:r>
          </w:p>
        </w:tc>
      </w:tr>
      <w:tr w:rsidR="00555E30" w:rsidRPr="00B148B1" w:rsidTr="00B803AE">
        <w:trPr>
          <w:trHeight w:val="315"/>
        </w:trPr>
        <w:tc>
          <w:tcPr>
            <w:tcW w:w="512" w:type="pct"/>
            <w:shd w:val="clear" w:color="auto" w:fill="auto"/>
            <w:noWrap/>
            <w:vAlign w:val="center"/>
            <w:hideMark/>
          </w:tcPr>
          <w:p w:rsidR="00555E30" w:rsidRPr="00B148B1" w:rsidRDefault="00555E30" w:rsidP="0003176B">
            <w:pPr>
              <w:spacing w:line="240" w:lineRule="auto"/>
              <w:jc w:val="center"/>
              <w:rPr>
                <w:rFonts w:cs="Arial"/>
                <w:color w:val="000000"/>
                <w:szCs w:val="20"/>
                <w:lang w:eastAsia="sl-SI"/>
              </w:rPr>
            </w:pPr>
            <w:r w:rsidRPr="00B148B1">
              <w:rPr>
                <w:rFonts w:cs="Arial"/>
                <w:color w:val="000000"/>
                <w:szCs w:val="20"/>
                <w:lang w:eastAsia="sl-SI"/>
              </w:rPr>
              <w:t>6</w:t>
            </w:r>
          </w:p>
        </w:tc>
        <w:tc>
          <w:tcPr>
            <w:tcW w:w="425" w:type="pct"/>
            <w:shd w:val="clear" w:color="auto" w:fill="auto"/>
            <w:noWrap/>
            <w:vAlign w:val="center"/>
            <w:hideMark/>
          </w:tcPr>
          <w:p w:rsidR="00555E30" w:rsidRPr="00B148B1" w:rsidRDefault="00555E30" w:rsidP="0003176B">
            <w:pPr>
              <w:spacing w:line="240" w:lineRule="auto"/>
              <w:jc w:val="right"/>
              <w:rPr>
                <w:rFonts w:cs="Arial"/>
                <w:color w:val="000000"/>
                <w:szCs w:val="20"/>
                <w:lang w:eastAsia="sl-SI"/>
              </w:rPr>
            </w:pPr>
            <w:r w:rsidRPr="00B148B1">
              <w:rPr>
                <w:rFonts w:cs="Arial"/>
                <w:color w:val="000000"/>
                <w:szCs w:val="20"/>
                <w:lang w:eastAsia="sl-SI"/>
              </w:rPr>
              <w:t>75</w:t>
            </w:r>
          </w:p>
        </w:tc>
        <w:tc>
          <w:tcPr>
            <w:tcW w:w="1452" w:type="pct"/>
            <w:shd w:val="clear" w:color="auto" w:fill="auto"/>
            <w:noWrap/>
            <w:vAlign w:val="center"/>
            <w:hideMark/>
          </w:tcPr>
          <w:p w:rsidR="00555E30" w:rsidRPr="00B148B1" w:rsidRDefault="00555E30" w:rsidP="0003176B">
            <w:pPr>
              <w:spacing w:line="240" w:lineRule="auto"/>
              <w:rPr>
                <w:rFonts w:cs="Arial"/>
                <w:color w:val="000000"/>
                <w:szCs w:val="20"/>
                <w:lang w:eastAsia="sl-SI"/>
              </w:rPr>
            </w:pPr>
            <w:r w:rsidRPr="00B148B1">
              <w:rPr>
                <w:rFonts w:cs="Arial"/>
                <w:color w:val="000000"/>
                <w:szCs w:val="20"/>
                <w:lang w:eastAsia="sl-SI"/>
              </w:rPr>
              <w:t>ŠENTILJ - MEJA</w:t>
            </w:r>
          </w:p>
        </w:tc>
        <w:tc>
          <w:tcPr>
            <w:tcW w:w="814" w:type="pct"/>
            <w:shd w:val="clear" w:color="auto" w:fill="auto"/>
            <w:noWrap/>
            <w:vAlign w:val="center"/>
            <w:hideMark/>
          </w:tcPr>
          <w:p w:rsidR="00555E30" w:rsidRPr="00B148B1" w:rsidRDefault="00555E30" w:rsidP="0003176B">
            <w:pPr>
              <w:spacing w:line="240" w:lineRule="auto"/>
              <w:jc w:val="right"/>
              <w:rPr>
                <w:rFonts w:cs="Arial"/>
                <w:color w:val="000000"/>
                <w:szCs w:val="20"/>
                <w:lang w:eastAsia="sl-SI"/>
              </w:rPr>
            </w:pPr>
            <w:r w:rsidRPr="00B148B1">
              <w:rPr>
                <w:rFonts w:cs="Arial"/>
                <w:color w:val="000000"/>
                <w:szCs w:val="20"/>
                <w:lang w:eastAsia="sl-SI"/>
              </w:rPr>
              <w:t>3.000</w:t>
            </w:r>
          </w:p>
        </w:tc>
        <w:tc>
          <w:tcPr>
            <w:tcW w:w="1797" w:type="pct"/>
            <w:shd w:val="clear" w:color="auto" w:fill="auto"/>
            <w:noWrap/>
            <w:vAlign w:val="center"/>
            <w:hideMark/>
          </w:tcPr>
          <w:p w:rsidR="00555E30" w:rsidRPr="00B148B1" w:rsidRDefault="00555E30" w:rsidP="0003176B">
            <w:pPr>
              <w:spacing w:line="240" w:lineRule="auto"/>
              <w:jc w:val="right"/>
              <w:rPr>
                <w:rFonts w:cs="Arial"/>
                <w:color w:val="000000"/>
                <w:szCs w:val="20"/>
                <w:lang w:eastAsia="sl-SI"/>
              </w:rPr>
            </w:pPr>
            <w:r w:rsidRPr="00B148B1">
              <w:rPr>
                <w:rFonts w:cs="Arial"/>
                <w:color w:val="000000"/>
                <w:szCs w:val="20"/>
                <w:lang w:eastAsia="sl-SI"/>
              </w:rPr>
              <w:t>893</w:t>
            </w:r>
          </w:p>
        </w:tc>
      </w:tr>
      <w:tr w:rsidR="00555E30" w:rsidRPr="00B148B1" w:rsidTr="00B803AE">
        <w:trPr>
          <w:trHeight w:val="315"/>
        </w:trPr>
        <w:tc>
          <w:tcPr>
            <w:tcW w:w="512" w:type="pct"/>
            <w:shd w:val="clear" w:color="auto" w:fill="auto"/>
            <w:noWrap/>
            <w:vAlign w:val="center"/>
            <w:hideMark/>
          </w:tcPr>
          <w:p w:rsidR="00555E30" w:rsidRPr="00B148B1" w:rsidRDefault="00555E30" w:rsidP="0003176B">
            <w:pPr>
              <w:spacing w:line="240" w:lineRule="auto"/>
              <w:jc w:val="center"/>
              <w:rPr>
                <w:rFonts w:cs="Arial"/>
                <w:color w:val="000000"/>
                <w:szCs w:val="20"/>
                <w:lang w:eastAsia="sl-SI"/>
              </w:rPr>
            </w:pPr>
            <w:r w:rsidRPr="00B148B1">
              <w:rPr>
                <w:rFonts w:cs="Arial"/>
                <w:color w:val="000000"/>
                <w:szCs w:val="20"/>
                <w:lang w:eastAsia="sl-SI"/>
              </w:rPr>
              <w:t>7</w:t>
            </w:r>
          </w:p>
        </w:tc>
        <w:tc>
          <w:tcPr>
            <w:tcW w:w="425" w:type="pct"/>
            <w:shd w:val="clear" w:color="auto" w:fill="auto"/>
            <w:noWrap/>
            <w:vAlign w:val="center"/>
            <w:hideMark/>
          </w:tcPr>
          <w:p w:rsidR="00555E30" w:rsidRPr="00B148B1" w:rsidRDefault="00555E30" w:rsidP="0003176B">
            <w:pPr>
              <w:spacing w:line="240" w:lineRule="auto"/>
              <w:jc w:val="right"/>
              <w:rPr>
                <w:rFonts w:cs="Arial"/>
                <w:color w:val="000000"/>
                <w:szCs w:val="20"/>
                <w:lang w:eastAsia="sl-SI"/>
              </w:rPr>
            </w:pPr>
            <w:r w:rsidRPr="00B148B1">
              <w:rPr>
                <w:rFonts w:cs="Arial"/>
                <w:color w:val="000000"/>
                <w:szCs w:val="20"/>
                <w:lang w:eastAsia="sl-SI"/>
              </w:rPr>
              <w:t>283</w:t>
            </w:r>
          </w:p>
        </w:tc>
        <w:tc>
          <w:tcPr>
            <w:tcW w:w="1452" w:type="pct"/>
            <w:shd w:val="clear" w:color="auto" w:fill="auto"/>
            <w:noWrap/>
            <w:vAlign w:val="center"/>
            <w:hideMark/>
          </w:tcPr>
          <w:p w:rsidR="00555E30" w:rsidRPr="00B148B1" w:rsidRDefault="00555E30" w:rsidP="0003176B">
            <w:pPr>
              <w:spacing w:line="240" w:lineRule="auto"/>
              <w:rPr>
                <w:rFonts w:cs="Arial"/>
                <w:color w:val="000000"/>
                <w:szCs w:val="20"/>
                <w:lang w:eastAsia="sl-SI"/>
              </w:rPr>
            </w:pPr>
            <w:r w:rsidRPr="00B148B1">
              <w:rPr>
                <w:rFonts w:cs="Arial"/>
                <w:color w:val="000000"/>
                <w:szCs w:val="20"/>
                <w:lang w:eastAsia="sl-SI"/>
              </w:rPr>
              <w:t xml:space="preserve">ŠENTILJ </w:t>
            </w:r>
            <w:r w:rsidR="004F6FD5" w:rsidRPr="00B148B1">
              <w:rPr>
                <w:rFonts w:cs="Arial"/>
                <w:color w:val="000000"/>
                <w:szCs w:val="20"/>
                <w:lang w:eastAsia="sl-SI"/>
              </w:rPr>
              <w:t>-</w:t>
            </w:r>
            <w:r w:rsidRPr="00B148B1">
              <w:rPr>
                <w:rFonts w:cs="Arial"/>
                <w:color w:val="000000"/>
                <w:szCs w:val="20"/>
                <w:lang w:eastAsia="sl-SI"/>
              </w:rPr>
              <w:t xml:space="preserve"> JUG </w:t>
            </w:r>
            <w:r w:rsidRPr="00B148B1">
              <w:rPr>
                <w:rFonts w:cs="Arial"/>
                <w:color w:val="000000"/>
                <w:szCs w:val="20"/>
                <w:vertAlign w:val="superscript"/>
                <w:lang w:eastAsia="sl-SI"/>
              </w:rPr>
              <w:t>(1)</w:t>
            </w:r>
          </w:p>
        </w:tc>
        <w:tc>
          <w:tcPr>
            <w:tcW w:w="814" w:type="pct"/>
            <w:shd w:val="clear" w:color="auto" w:fill="auto"/>
            <w:noWrap/>
            <w:vAlign w:val="center"/>
            <w:hideMark/>
          </w:tcPr>
          <w:p w:rsidR="00555E30" w:rsidRPr="00B148B1" w:rsidRDefault="00555E30" w:rsidP="0003176B">
            <w:pPr>
              <w:spacing w:line="240" w:lineRule="auto"/>
              <w:jc w:val="right"/>
              <w:rPr>
                <w:rFonts w:cs="Arial"/>
                <w:color w:val="000000"/>
                <w:szCs w:val="20"/>
                <w:lang w:eastAsia="sl-SI"/>
              </w:rPr>
            </w:pPr>
            <w:r w:rsidRPr="00B148B1">
              <w:rPr>
                <w:rFonts w:cs="Arial"/>
                <w:color w:val="000000"/>
                <w:szCs w:val="20"/>
                <w:lang w:eastAsia="sl-SI"/>
              </w:rPr>
              <w:t>1.000</w:t>
            </w:r>
          </w:p>
        </w:tc>
        <w:tc>
          <w:tcPr>
            <w:tcW w:w="1797" w:type="pct"/>
            <w:shd w:val="clear" w:color="auto" w:fill="auto"/>
            <w:noWrap/>
            <w:vAlign w:val="center"/>
            <w:hideMark/>
          </w:tcPr>
          <w:p w:rsidR="00555E30" w:rsidRPr="00B148B1" w:rsidRDefault="00555E30" w:rsidP="0003176B">
            <w:pPr>
              <w:spacing w:line="240" w:lineRule="auto"/>
              <w:jc w:val="right"/>
              <w:rPr>
                <w:rFonts w:cs="Arial"/>
                <w:color w:val="000000"/>
                <w:szCs w:val="20"/>
                <w:lang w:eastAsia="sl-SI"/>
              </w:rPr>
            </w:pPr>
            <w:r w:rsidRPr="00B148B1">
              <w:rPr>
                <w:rFonts w:cs="Arial"/>
                <w:color w:val="000000"/>
                <w:szCs w:val="20"/>
                <w:lang w:eastAsia="sl-SI"/>
              </w:rPr>
              <w:t>138</w:t>
            </w:r>
          </w:p>
        </w:tc>
      </w:tr>
      <w:tr w:rsidR="00555E30" w:rsidRPr="00B148B1" w:rsidTr="00B803AE">
        <w:trPr>
          <w:trHeight w:val="315"/>
        </w:trPr>
        <w:tc>
          <w:tcPr>
            <w:tcW w:w="512" w:type="pct"/>
            <w:shd w:val="clear" w:color="auto" w:fill="auto"/>
            <w:noWrap/>
            <w:vAlign w:val="center"/>
            <w:hideMark/>
          </w:tcPr>
          <w:p w:rsidR="00555E30" w:rsidRPr="00B148B1" w:rsidRDefault="00555E30" w:rsidP="0003176B">
            <w:pPr>
              <w:spacing w:line="240" w:lineRule="auto"/>
              <w:jc w:val="center"/>
              <w:rPr>
                <w:rFonts w:cs="Arial"/>
                <w:color w:val="000000"/>
                <w:szCs w:val="20"/>
                <w:lang w:eastAsia="sl-SI"/>
              </w:rPr>
            </w:pPr>
            <w:r w:rsidRPr="00B148B1">
              <w:rPr>
                <w:rFonts w:cs="Arial"/>
                <w:color w:val="000000"/>
                <w:szCs w:val="20"/>
                <w:lang w:eastAsia="sl-SI"/>
              </w:rPr>
              <w:lastRenderedPageBreak/>
              <w:t>8</w:t>
            </w:r>
          </w:p>
        </w:tc>
        <w:tc>
          <w:tcPr>
            <w:tcW w:w="425" w:type="pct"/>
            <w:shd w:val="clear" w:color="auto" w:fill="auto"/>
            <w:noWrap/>
            <w:vAlign w:val="center"/>
            <w:hideMark/>
          </w:tcPr>
          <w:p w:rsidR="00555E30" w:rsidRPr="00B148B1" w:rsidRDefault="00555E30" w:rsidP="0003176B">
            <w:pPr>
              <w:spacing w:line="240" w:lineRule="auto"/>
              <w:jc w:val="right"/>
              <w:rPr>
                <w:rFonts w:cs="Arial"/>
                <w:color w:val="000000"/>
                <w:szCs w:val="20"/>
                <w:lang w:eastAsia="sl-SI"/>
              </w:rPr>
            </w:pPr>
            <w:r w:rsidRPr="00B148B1">
              <w:rPr>
                <w:rFonts w:cs="Arial"/>
                <w:color w:val="000000"/>
                <w:szCs w:val="20"/>
                <w:lang w:eastAsia="sl-SI"/>
              </w:rPr>
              <w:t>6</w:t>
            </w:r>
          </w:p>
        </w:tc>
        <w:tc>
          <w:tcPr>
            <w:tcW w:w="1452" w:type="pct"/>
            <w:shd w:val="clear" w:color="auto" w:fill="auto"/>
            <w:noWrap/>
            <w:vAlign w:val="center"/>
            <w:hideMark/>
          </w:tcPr>
          <w:p w:rsidR="00555E30" w:rsidRPr="00B148B1" w:rsidRDefault="00555E30" w:rsidP="0003176B">
            <w:pPr>
              <w:spacing w:line="240" w:lineRule="auto"/>
              <w:rPr>
                <w:rFonts w:cs="Arial"/>
                <w:color w:val="000000"/>
                <w:szCs w:val="20"/>
                <w:lang w:eastAsia="sl-SI"/>
              </w:rPr>
            </w:pPr>
            <w:r w:rsidRPr="00B148B1">
              <w:rPr>
                <w:rFonts w:cs="Arial"/>
                <w:color w:val="000000"/>
                <w:szCs w:val="20"/>
                <w:lang w:eastAsia="sl-SI"/>
              </w:rPr>
              <w:t xml:space="preserve">STARI TRG (LOŽ) </w:t>
            </w:r>
            <w:r w:rsidRPr="00B148B1">
              <w:rPr>
                <w:rFonts w:cs="Arial"/>
                <w:color w:val="000000"/>
                <w:szCs w:val="20"/>
                <w:vertAlign w:val="superscript"/>
                <w:lang w:eastAsia="sl-SI"/>
              </w:rPr>
              <w:t>(1)</w:t>
            </w:r>
          </w:p>
        </w:tc>
        <w:tc>
          <w:tcPr>
            <w:tcW w:w="814" w:type="pct"/>
            <w:shd w:val="clear" w:color="auto" w:fill="auto"/>
            <w:noWrap/>
            <w:vAlign w:val="center"/>
            <w:hideMark/>
          </w:tcPr>
          <w:p w:rsidR="00555E30" w:rsidRPr="00B148B1" w:rsidRDefault="00555E30" w:rsidP="0003176B">
            <w:pPr>
              <w:spacing w:line="240" w:lineRule="auto"/>
              <w:jc w:val="right"/>
              <w:rPr>
                <w:rFonts w:cs="Arial"/>
                <w:color w:val="000000"/>
                <w:szCs w:val="20"/>
                <w:lang w:eastAsia="sl-SI"/>
              </w:rPr>
            </w:pPr>
            <w:r w:rsidRPr="00B148B1">
              <w:rPr>
                <w:rFonts w:cs="Arial"/>
                <w:color w:val="000000"/>
                <w:szCs w:val="20"/>
                <w:lang w:eastAsia="sl-SI"/>
              </w:rPr>
              <w:t>1.950</w:t>
            </w:r>
          </w:p>
        </w:tc>
        <w:tc>
          <w:tcPr>
            <w:tcW w:w="1797" w:type="pct"/>
            <w:shd w:val="clear" w:color="auto" w:fill="auto"/>
            <w:noWrap/>
            <w:vAlign w:val="center"/>
            <w:hideMark/>
          </w:tcPr>
          <w:p w:rsidR="00555E30" w:rsidRPr="00B148B1" w:rsidRDefault="00555E30" w:rsidP="0003176B">
            <w:pPr>
              <w:spacing w:line="240" w:lineRule="auto"/>
              <w:jc w:val="right"/>
              <w:rPr>
                <w:rFonts w:cs="Arial"/>
                <w:color w:val="000000"/>
                <w:szCs w:val="20"/>
                <w:lang w:eastAsia="sl-SI"/>
              </w:rPr>
            </w:pPr>
            <w:r w:rsidRPr="00B148B1">
              <w:rPr>
                <w:rFonts w:cs="Arial"/>
                <w:color w:val="000000"/>
                <w:szCs w:val="20"/>
                <w:lang w:eastAsia="sl-SI"/>
              </w:rPr>
              <w:t>2.666</w:t>
            </w:r>
          </w:p>
        </w:tc>
      </w:tr>
      <w:tr w:rsidR="00555E30" w:rsidRPr="00B148B1" w:rsidTr="00B803AE">
        <w:trPr>
          <w:trHeight w:val="315"/>
        </w:trPr>
        <w:tc>
          <w:tcPr>
            <w:tcW w:w="512" w:type="pct"/>
            <w:shd w:val="clear" w:color="auto" w:fill="auto"/>
            <w:noWrap/>
            <w:vAlign w:val="center"/>
            <w:hideMark/>
          </w:tcPr>
          <w:p w:rsidR="00555E30" w:rsidRPr="00B148B1" w:rsidRDefault="00555E30" w:rsidP="0003176B">
            <w:pPr>
              <w:spacing w:line="240" w:lineRule="auto"/>
              <w:jc w:val="center"/>
              <w:rPr>
                <w:rFonts w:cs="Arial"/>
                <w:color w:val="000000"/>
                <w:szCs w:val="20"/>
                <w:lang w:eastAsia="sl-SI"/>
              </w:rPr>
            </w:pPr>
            <w:r w:rsidRPr="00B148B1">
              <w:rPr>
                <w:rFonts w:cs="Arial"/>
                <w:color w:val="000000"/>
                <w:szCs w:val="20"/>
                <w:lang w:eastAsia="sl-SI"/>
              </w:rPr>
              <w:t>9</w:t>
            </w:r>
          </w:p>
        </w:tc>
        <w:tc>
          <w:tcPr>
            <w:tcW w:w="425" w:type="pct"/>
            <w:shd w:val="clear" w:color="auto" w:fill="auto"/>
            <w:noWrap/>
            <w:vAlign w:val="center"/>
            <w:hideMark/>
          </w:tcPr>
          <w:p w:rsidR="00555E30" w:rsidRPr="00B148B1" w:rsidRDefault="00555E30" w:rsidP="0003176B">
            <w:pPr>
              <w:spacing w:line="240" w:lineRule="auto"/>
              <w:jc w:val="right"/>
              <w:rPr>
                <w:rFonts w:cs="Arial"/>
                <w:color w:val="000000"/>
                <w:szCs w:val="20"/>
                <w:lang w:eastAsia="sl-SI"/>
              </w:rPr>
            </w:pPr>
            <w:r w:rsidRPr="00B148B1">
              <w:rPr>
                <w:rFonts w:cs="Arial"/>
                <w:color w:val="000000"/>
                <w:szCs w:val="20"/>
                <w:lang w:eastAsia="sl-SI"/>
              </w:rPr>
              <w:t>38</w:t>
            </w:r>
          </w:p>
        </w:tc>
        <w:tc>
          <w:tcPr>
            <w:tcW w:w="1452" w:type="pct"/>
            <w:shd w:val="clear" w:color="auto" w:fill="auto"/>
            <w:noWrap/>
            <w:vAlign w:val="center"/>
            <w:hideMark/>
          </w:tcPr>
          <w:p w:rsidR="00555E30" w:rsidRPr="00B148B1" w:rsidRDefault="00555E30" w:rsidP="0003176B">
            <w:pPr>
              <w:spacing w:line="240" w:lineRule="auto"/>
              <w:rPr>
                <w:rFonts w:cs="Arial"/>
                <w:color w:val="000000"/>
                <w:szCs w:val="20"/>
                <w:lang w:eastAsia="sl-SI"/>
              </w:rPr>
            </w:pPr>
            <w:r w:rsidRPr="00B148B1">
              <w:rPr>
                <w:rFonts w:cs="Arial"/>
                <w:color w:val="000000"/>
                <w:szCs w:val="20"/>
                <w:lang w:eastAsia="sl-SI"/>
              </w:rPr>
              <w:t>DOLENJSKE TOPLICE</w:t>
            </w:r>
          </w:p>
        </w:tc>
        <w:tc>
          <w:tcPr>
            <w:tcW w:w="814" w:type="pct"/>
            <w:shd w:val="clear" w:color="auto" w:fill="auto"/>
            <w:noWrap/>
            <w:vAlign w:val="center"/>
            <w:hideMark/>
          </w:tcPr>
          <w:p w:rsidR="00555E30" w:rsidRPr="00B148B1" w:rsidRDefault="00555E30" w:rsidP="0003176B">
            <w:pPr>
              <w:spacing w:line="240" w:lineRule="auto"/>
              <w:jc w:val="right"/>
              <w:rPr>
                <w:rFonts w:cs="Arial"/>
                <w:color w:val="000000"/>
                <w:szCs w:val="20"/>
                <w:lang w:eastAsia="sl-SI"/>
              </w:rPr>
            </w:pPr>
            <w:r w:rsidRPr="00B148B1">
              <w:rPr>
                <w:rFonts w:cs="Arial"/>
                <w:color w:val="000000"/>
                <w:szCs w:val="20"/>
                <w:lang w:eastAsia="sl-SI"/>
              </w:rPr>
              <w:t>2.000</w:t>
            </w:r>
          </w:p>
        </w:tc>
        <w:tc>
          <w:tcPr>
            <w:tcW w:w="1797" w:type="pct"/>
            <w:shd w:val="clear" w:color="auto" w:fill="auto"/>
            <w:noWrap/>
            <w:vAlign w:val="center"/>
            <w:hideMark/>
          </w:tcPr>
          <w:p w:rsidR="00555E30" w:rsidRPr="00B148B1" w:rsidRDefault="00555E30" w:rsidP="0003176B">
            <w:pPr>
              <w:spacing w:line="240" w:lineRule="auto"/>
              <w:jc w:val="right"/>
              <w:rPr>
                <w:rFonts w:cs="Arial"/>
                <w:color w:val="000000"/>
                <w:szCs w:val="20"/>
                <w:lang w:eastAsia="sl-SI"/>
              </w:rPr>
            </w:pPr>
            <w:r w:rsidRPr="00B148B1">
              <w:rPr>
                <w:rFonts w:cs="Arial"/>
                <w:color w:val="000000"/>
                <w:szCs w:val="20"/>
                <w:lang w:eastAsia="sl-SI"/>
              </w:rPr>
              <w:t>649</w:t>
            </w:r>
          </w:p>
        </w:tc>
      </w:tr>
      <w:tr w:rsidR="00555E30" w:rsidRPr="00B148B1" w:rsidTr="00B803AE">
        <w:trPr>
          <w:trHeight w:val="315"/>
        </w:trPr>
        <w:tc>
          <w:tcPr>
            <w:tcW w:w="512" w:type="pct"/>
            <w:shd w:val="clear" w:color="auto" w:fill="auto"/>
            <w:noWrap/>
            <w:vAlign w:val="center"/>
            <w:hideMark/>
          </w:tcPr>
          <w:p w:rsidR="00555E30" w:rsidRPr="00B148B1" w:rsidRDefault="00555E30" w:rsidP="0003176B">
            <w:pPr>
              <w:spacing w:line="240" w:lineRule="auto"/>
              <w:jc w:val="center"/>
              <w:rPr>
                <w:rFonts w:cs="Arial"/>
                <w:color w:val="000000"/>
                <w:szCs w:val="20"/>
                <w:lang w:eastAsia="sl-SI"/>
              </w:rPr>
            </w:pPr>
            <w:r w:rsidRPr="00B148B1">
              <w:rPr>
                <w:rFonts w:cs="Arial"/>
                <w:color w:val="000000"/>
                <w:szCs w:val="20"/>
                <w:lang w:eastAsia="sl-SI"/>
              </w:rPr>
              <w:t>10</w:t>
            </w:r>
          </w:p>
        </w:tc>
        <w:tc>
          <w:tcPr>
            <w:tcW w:w="425" w:type="pct"/>
            <w:shd w:val="clear" w:color="auto" w:fill="auto"/>
            <w:noWrap/>
            <w:vAlign w:val="center"/>
            <w:hideMark/>
          </w:tcPr>
          <w:p w:rsidR="00555E30" w:rsidRPr="00B148B1" w:rsidRDefault="00555E30" w:rsidP="0003176B">
            <w:pPr>
              <w:spacing w:line="240" w:lineRule="auto"/>
              <w:jc w:val="right"/>
              <w:rPr>
                <w:rFonts w:cs="Arial"/>
                <w:color w:val="000000"/>
                <w:szCs w:val="20"/>
                <w:lang w:eastAsia="sl-SI"/>
              </w:rPr>
            </w:pPr>
            <w:r w:rsidRPr="00B148B1">
              <w:rPr>
                <w:rFonts w:cs="Arial"/>
                <w:color w:val="000000"/>
                <w:szCs w:val="20"/>
                <w:lang w:eastAsia="sl-SI"/>
              </w:rPr>
              <w:t>285</w:t>
            </w:r>
          </w:p>
        </w:tc>
        <w:tc>
          <w:tcPr>
            <w:tcW w:w="1452" w:type="pct"/>
            <w:shd w:val="clear" w:color="auto" w:fill="auto"/>
            <w:noWrap/>
            <w:vAlign w:val="center"/>
            <w:hideMark/>
          </w:tcPr>
          <w:p w:rsidR="00555E30" w:rsidRPr="00B148B1" w:rsidRDefault="00555E30" w:rsidP="0003176B">
            <w:pPr>
              <w:spacing w:line="240" w:lineRule="auto"/>
              <w:rPr>
                <w:rFonts w:cs="Arial"/>
                <w:color w:val="000000"/>
                <w:szCs w:val="20"/>
                <w:lang w:eastAsia="sl-SI"/>
              </w:rPr>
            </w:pPr>
            <w:r w:rsidRPr="00B148B1">
              <w:rPr>
                <w:rFonts w:cs="Arial"/>
                <w:color w:val="000000"/>
                <w:szCs w:val="20"/>
                <w:lang w:eastAsia="sl-SI"/>
              </w:rPr>
              <w:t>KANAL</w:t>
            </w:r>
          </w:p>
        </w:tc>
        <w:tc>
          <w:tcPr>
            <w:tcW w:w="814" w:type="pct"/>
            <w:shd w:val="clear" w:color="auto" w:fill="auto"/>
            <w:noWrap/>
            <w:vAlign w:val="center"/>
            <w:hideMark/>
          </w:tcPr>
          <w:p w:rsidR="00555E30" w:rsidRPr="00B148B1" w:rsidRDefault="00555E30" w:rsidP="0003176B">
            <w:pPr>
              <w:spacing w:line="240" w:lineRule="auto"/>
              <w:jc w:val="right"/>
              <w:rPr>
                <w:rFonts w:cs="Arial"/>
                <w:color w:val="000000"/>
                <w:szCs w:val="20"/>
                <w:lang w:eastAsia="sl-SI"/>
              </w:rPr>
            </w:pPr>
            <w:r w:rsidRPr="00B148B1">
              <w:rPr>
                <w:rFonts w:cs="Arial"/>
                <w:color w:val="000000"/>
                <w:szCs w:val="20"/>
                <w:lang w:eastAsia="sl-SI"/>
              </w:rPr>
              <w:t>2.000</w:t>
            </w:r>
          </w:p>
        </w:tc>
        <w:tc>
          <w:tcPr>
            <w:tcW w:w="1797" w:type="pct"/>
            <w:shd w:val="clear" w:color="auto" w:fill="auto"/>
            <w:noWrap/>
            <w:vAlign w:val="center"/>
            <w:hideMark/>
          </w:tcPr>
          <w:p w:rsidR="00555E30" w:rsidRPr="00B148B1" w:rsidRDefault="00555E30" w:rsidP="0003176B">
            <w:pPr>
              <w:spacing w:line="240" w:lineRule="auto"/>
              <w:jc w:val="right"/>
              <w:rPr>
                <w:rFonts w:cs="Arial"/>
                <w:color w:val="000000"/>
                <w:szCs w:val="20"/>
                <w:lang w:eastAsia="sl-SI"/>
              </w:rPr>
            </w:pPr>
            <w:r w:rsidRPr="00B148B1">
              <w:rPr>
                <w:rFonts w:cs="Arial"/>
                <w:color w:val="000000"/>
                <w:szCs w:val="20"/>
                <w:lang w:eastAsia="sl-SI"/>
              </w:rPr>
              <w:t>651</w:t>
            </w:r>
          </w:p>
        </w:tc>
      </w:tr>
      <w:tr w:rsidR="00555E30" w:rsidRPr="00B148B1" w:rsidTr="00B803AE">
        <w:trPr>
          <w:trHeight w:val="315"/>
        </w:trPr>
        <w:tc>
          <w:tcPr>
            <w:tcW w:w="512" w:type="pct"/>
            <w:shd w:val="clear" w:color="auto" w:fill="auto"/>
            <w:noWrap/>
            <w:vAlign w:val="center"/>
            <w:hideMark/>
          </w:tcPr>
          <w:p w:rsidR="00555E30" w:rsidRPr="00B148B1" w:rsidRDefault="00555E30" w:rsidP="0003176B">
            <w:pPr>
              <w:spacing w:line="240" w:lineRule="auto"/>
              <w:jc w:val="center"/>
              <w:rPr>
                <w:rFonts w:cs="Arial"/>
                <w:color w:val="000000"/>
                <w:szCs w:val="20"/>
                <w:lang w:eastAsia="sl-SI"/>
              </w:rPr>
            </w:pPr>
            <w:r w:rsidRPr="00B148B1">
              <w:rPr>
                <w:rFonts w:cs="Arial"/>
                <w:color w:val="000000"/>
                <w:szCs w:val="20"/>
                <w:lang w:eastAsia="sl-SI"/>
              </w:rPr>
              <w:t>11</w:t>
            </w:r>
          </w:p>
        </w:tc>
        <w:tc>
          <w:tcPr>
            <w:tcW w:w="425" w:type="pct"/>
            <w:shd w:val="clear" w:color="auto" w:fill="auto"/>
            <w:noWrap/>
            <w:vAlign w:val="center"/>
            <w:hideMark/>
          </w:tcPr>
          <w:p w:rsidR="00555E30" w:rsidRPr="00B148B1" w:rsidRDefault="00555E30" w:rsidP="0003176B">
            <w:pPr>
              <w:spacing w:line="240" w:lineRule="auto"/>
              <w:jc w:val="right"/>
              <w:rPr>
                <w:rFonts w:cs="Arial"/>
                <w:color w:val="000000"/>
                <w:szCs w:val="20"/>
                <w:lang w:eastAsia="sl-SI"/>
              </w:rPr>
            </w:pPr>
            <w:r w:rsidRPr="00B148B1">
              <w:rPr>
                <w:rFonts w:cs="Arial"/>
                <w:color w:val="000000"/>
                <w:szCs w:val="20"/>
                <w:lang w:eastAsia="sl-SI"/>
              </w:rPr>
              <w:t>304</w:t>
            </w:r>
          </w:p>
        </w:tc>
        <w:tc>
          <w:tcPr>
            <w:tcW w:w="1452" w:type="pct"/>
            <w:shd w:val="clear" w:color="auto" w:fill="auto"/>
            <w:noWrap/>
            <w:vAlign w:val="center"/>
            <w:hideMark/>
          </w:tcPr>
          <w:p w:rsidR="00555E30" w:rsidRPr="00B148B1" w:rsidRDefault="00555E30" w:rsidP="0003176B">
            <w:pPr>
              <w:spacing w:line="240" w:lineRule="auto"/>
              <w:rPr>
                <w:rFonts w:cs="Arial"/>
                <w:color w:val="000000"/>
                <w:szCs w:val="20"/>
                <w:lang w:eastAsia="sl-SI"/>
              </w:rPr>
            </w:pPr>
            <w:r w:rsidRPr="00B148B1">
              <w:rPr>
                <w:rFonts w:cs="Arial"/>
                <w:color w:val="000000"/>
                <w:szCs w:val="20"/>
                <w:lang w:eastAsia="sl-SI"/>
              </w:rPr>
              <w:t>VELIKA POLANA</w:t>
            </w:r>
          </w:p>
        </w:tc>
        <w:tc>
          <w:tcPr>
            <w:tcW w:w="814" w:type="pct"/>
            <w:shd w:val="clear" w:color="auto" w:fill="auto"/>
            <w:noWrap/>
            <w:vAlign w:val="center"/>
            <w:hideMark/>
          </w:tcPr>
          <w:p w:rsidR="00555E30" w:rsidRPr="00B148B1" w:rsidRDefault="00555E30" w:rsidP="0003176B">
            <w:pPr>
              <w:spacing w:line="240" w:lineRule="auto"/>
              <w:jc w:val="right"/>
              <w:rPr>
                <w:rFonts w:cs="Arial"/>
                <w:color w:val="000000"/>
                <w:szCs w:val="20"/>
                <w:lang w:eastAsia="sl-SI"/>
              </w:rPr>
            </w:pPr>
            <w:r w:rsidRPr="00B148B1">
              <w:rPr>
                <w:rFonts w:cs="Arial"/>
                <w:color w:val="000000"/>
                <w:szCs w:val="20"/>
                <w:lang w:eastAsia="sl-SI"/>
              </w:rPr>
              <w:t>2.500</w:t>
            </w:r>
          </w:p>
        </w:tc>
        <w:tc>
          <w:tcPr>
            <w:tcW w:w="1797" w:type="pct"/>
            <w:shd w:val="clear" w:color="auto" w:fill="auto"/>
            <w:noWrap/>
            <w:vAlign w:val="center"/>
            <w:hideMark/>
          </w:tcPr>
          <w:p w:rsidR="00555E30" w:rsidRPr="00B148B1" w:rsidRDefault="00555E30" w:rsidP="0003176B">
            <w:pPr>
              <w:spacing w:line="240" w:lineRule="auto"/>
              <w:jc w:val="right"/>
              <w:rPr>
                <w:rFonts w:cs="Arial"/>
                <w:color w:val="000000"/>
                <w:szCs w:val="20"/>
                <w:lang w:eastAsia="sl-SI"/>
              </w:rPr>
            </w:pPr>
            <w:r w:rsidRPr="00B148B1">
              <w:rPr>
                <w:rFonts w:cs="Arial"/>
                <w:color w:val="000000"/>
                <w:szCs w:val="20"/>
                <w:lang w:eastAsia="sl-SI"/>
              </w:rPr>
              <w:t>919</w:t>
            </w:r>
          </w:p>
        </w:tc>
      </w:tr>
      <w:tr w:rsidR="00555E30" w:rsidRPr="00B148B1" w:rsidTr="00B803AE">
        <w:trPr>
          <w:trHeight w:val="315"/>
        </w:trPr>
        <w:tc>
          <w:tcPr>
            <w:tcW w:w="512" w:type="pct"/>
            <w:shd w:val="clear" w:color="auto" w:fill="auto"/>
            <w:noWrap/>
            <w:vAlign w:val="center"/>
            <w:hideMark/>
          </w:tcPr>
          <w:p w:rsidR="00555E30" w:rsidRPr="00B148B1" w:rsidRDefault="00555E30" w:rsidP="0003176B">
            <w:pPr>
              <w:spacing w:line="240" w:lineRule="auto"/>
              <w:jc w:val="center"/>
              <w:rPr>
                <w:rFonts w:cs="Arial"/>
                <w:color w:val="000000"/>
                <w:szCs w:val="20"/>
                <w:lang w:eastAsia="sl-SI"/>
              </w:rPr>
            </w:pPr>
            <w:r w:rsidRPr="00B148B1">
              <w:rPr>
                <w:rFonts w:cs="Arial"/>
                <w:color w:val="000000"/>
                <w:szCs w:val="20"/>
                <w:lang w:eastAsia="sl-SI"/>
              </w:rPr>
              <w:t>12</w:t>
            </w:r>
          </w:p>
        </w:tc>
        <w:tc>
          <w:tcPr>
            <w:tcW w:w="425" w:type="pct"/>
            <w:shd w:val="clear" w:color="auto" w:fill="auto"/>
            <w:noWrap/>
            <w:vAlign w:val="center"/>
            <w:hideMark/>
          </w:tcPr>
          <w:p w:rsidR="00555E30" w:rsidRPr="00B148B1" w:rsidRDefault="00555E30" w:rsidP="0003176B">
            <w:pPr>
              <w:spacing w:line="240" w:lineRule="auto"/>
              <w:jc w:val="right"/>
              <w:rPr>
                <w:rFonts w:cs="Arial"/>
                <w:color w:val="000000"/>
                <w:szCs w:val="20"/>
                <w:lang w:eastAsia="sl-SI"/>
              </w:rPr>
            </w:pPr>
            <w:r w:rsidRPr="00B148B1">
              <w:rPr>
                <w:rFonts w:cs="Arial"/>
                <w:color w:val="000000"/>
                <w:szCs w:val="20"/>
                <w:lang w:eastAsia="sl-SI"/>
              </w:rPr>
              <w:t>126</w:t>
            </w:r>
          </w:p>
        </w:tc>
        <w:tc>
          <w:tcPr>
            <w:tcW w:w="1452" w:type="pct"/>
            <w:shd w:val="clear" w:color="auto" w:fill="auto"/>
            <w:noWrap/>
            <w:vAlign w:val="center"/>
            <w:hideMark/>
          </w:tcPr>
          <w:p w:rsidR="00555E30" w:rsidRPr="00B148B1" w:rsidRDefault="00555E30" w:rsidP="0003176B">
            <w:pPr>
              <w:spacing w:line="240" w:lineRule="auto"/>
              <w:rPr>
                <w:rFonts w:cs="Arial"/>
                <w:color w:val="000000"/>
                <w:szCs w:val="20"/>
                <w:lang w:eastAsia="sl-SI"/>
              </w:rPr>
            </w:pPr>
            <w:r w:rsidRPr="00B148B1">
              <w:rPr>
                <w:rFonts w:cs="Arial"/>
                <w:color w:val="000000"/>
                <w:szCs w:val="20"/>
                <w:lang w:eastAsia="sl-SI"/>
              </w:rPr>
              <w:t>LUKAČEVCI</w:t>
            </w:r>
          </w:p>
        </w:tc>
        <w:tc>
          <w:tcPr>
            <w:tcW w:w="814" w:type="pct"/>
            <w:shd w:val="clear" w:color="auto" w:fill="auto"/>
            <w:noWrap/>
            <w:vAlign w:val="center"/>
            <w:hideMark/>
          </w:tcPr>
          <w:p w:rsidR="00555E30" w:rsidRPr="00B148B1" w:rsidRDefault="00555E30" w:rsidP="0003176B">
            <w:pPr>
              <w:spacing w:line="240" w:lineRule="auto"/>
              <w:jc w:val="right"/>
              <w:rPr>
                <w:rFonts w:cs="Arial"/>
                <w:color w:val="000000"/>
                <w:szCs w:val="20"/>
                <w:lang w:eastAsia="sl-SI"/>
              </w:rPr>
            </w:pPr>
            <w:r w:rsidRPr="00B148B1">
              <w:rPr>
                <w:rFonts w:cs="Arial"/>
                <w:color w:val="000000"/>
                <w:szCs w:val="20"/>
                <w:lang w:eastAsia="sl-SI"/>
              </w:rPr>
              <w:t>4.500</w:t>
            </w:r>
          </w:p>
        </w:tc>
        <w:tc>
          <w:tcPr>
            <w:tcW w:w="1797" w:type="pct"/>
            <w:shd w:val="clear" w:color="auto" w:fill="auto"/>
            <w:noWrap/>
            <w:vAlign w:val="center"/>
            <w:hideMark/>
          </w:tcPr>
          <w:p w:rsidR="00555E30" w:rsidRPr="00B148B1" w:rsidRDefault="00555E30" w:rsidP="0003176B">
            <w:pPr>
              <w:spacing w:line="240" w:lineRule="auto"/>
              <w:jc w:val="right"/>
              <w:rPr>
                <w:rFonts w:cs="Arial"/>
                <w:color w:val="000000"/>
                <w:szCs w:val="20"/>
                <w:lang w:eastAsia="sl-SI"/>
              </w:rPr>
            </w:pPr>
            <w:r w:rsidRPr="00B148B1">
              <w:rPr>
                <w:rFonts w:cs="Arial"/>
                <w:color w:val="000000"/>
                <w:szCs w:val="20"/>
                <w:lang w:eastAsia="sl-SI"/>
              </w:rPr>
              <w:t>4.093</w:t>
            </w:r>
          </w:p>
        </w:tc>
      </w:tr>
    </w:tbl>
    <w:p w:rsidR="003D5873" w:rsidRPr="00B148B1" w:rsidRDefault="004F4F3A" w:rsidP="004F4F3A">
      <w:pPr>
        <w:rPr>
          <w:rFonts w:cs="Arial"/>
          <w:sz w:val="18"/>
          <w:szCs w:val="18"/>
        </w:rPr>
      </w:pPr>
      <w:r w:rsidRPr="00B148B1">
        <w:rPr>
          <w:rFonts w:cs="Arial"/>
          <w:sz w:val="18"/>
          <w:szCs w:val="18"/>
          <w:vertAlign w:val="superscript"/>
        </w:rPr>
        <w:t>(1)</w:t>
      </w:r>
      <w:r w:rsidR="005301C3" w:rsidRPr="00B148B1">
        <w:rPr>
          <w:rFonts w:cs="Arial"/>
          <w:sz w:val="18"/>
          <w:szCs w:val="18"/>
        </w:rPr>
        <w:t xml:space="preserve"> </w:t>
      </w:r>
      <w:r w:rsidRPr="00B148B1">
        <w:rPr>
          <w:rFonts w:cs="Arial"/>
          <w:sz w:val="18"/>
          <w:szCs w:val="18"/>
        </w:rPr>
        <w:t>Komunalna čistilna naprava z zmogljivostjo</w:t>
      </w:r>
      <w:r w:rsidR="00DE7FCC">
        <w:rPr>
          <w:rFonts w:cs="Arial"/>
          <w:sz w:val="18"/>
          <w:szCs w:val="18"/>
        </w:rPr>
        <w:t>,</w:t>
      </w:r>
      <w:r w:rsidRPr="00B148B1">
        <w:rPr>
          <w:rFonts w:cs="Arial"/>
          <w:sz w:val="18"/>
          <w:szCs w:val="18"/>
        </w:rPr>
        <w:t xml:space="preserve"> manjšo od 2.000 PE čisti tudi komunalno odpadno vodo iz aglomeracije s skupno obremenitvijo</w:t>
      </w:r>
      <w:r w:rsidR="003B2A76" w:rsidRPr="00B148B1">
        <w:rPr>
          <w:rFonts w:cs="Arial"/>
          <w:sz w:val="18"/>
          <w:szCs w:val="18"/>
        </w:rPr>
        <w:t>,</w:t>
      </w:r>
      <w:r w:rsidRPr="00B148B1">
        <w:rPr>
          <w:rFonts w:cs="Arial"/>
          <w:sz w:val="18"/>
          <w:szCs w:val="18"/>
        </w:rPr>
        <w:t xml:space="preserve"> enako ali večjo od 2.000 PE.</w:t>
      </w:r>
    </w:p>
    <w:p w:rsidR="004D2063" w:rsidRPr="00B148B1" w:rsidRDefault="00DD66A9" w:rsidP="00017C09">
      <w:pPr>
        <w:tabs>
          <w:tab w:val="left" w:pos="9600"/>
        </w:tabs>
        <w:spacing w:before="120" w:line="280" w:lineRule="atLeast"/>
        <w:rPr>
          <w:rFonts w:cs="Arial"/>
          <w:szCs w:val="20"/>
        </w:rPr>
      </w:pPr>
      <w:r w:rsidRPr="00B148B1">
        <w:rPr>
          <w:rFonts w:cs="Arial"/>
          <w:szCs w:val="20"/>
        </w:rPr>
        <w:t>Terciarno čiščenje mora biti pred odvajanjem v vode zagotovljeno tudi z</w:t>
      </w:r>
      <w:r w:rsidR="007637BE" w:rsidRPr="00B148B1">
        <w:rPr>
          <w:rFonts w:cs="Arial"/>
          <w:szCs w:val="20"/>
        </w:rPr>
        <w:t xml:space="preserve">a komunalno odpadno vodo, ki se odvaja po javni kanalizaciji iz aglomeracije s skupno obremenitvijo, enako ali večjo od 10.000 PE, ali iz komunalne čistilne naprave z zmogljivostjo, enako ali večjo od 10.000 PE, ali za komunalno odpadno vodo, ki se zbira v nepretočni greznici v aglomeraciji s skupno obremenitvijo, enako ali večjo od 10.000 PE, če gre za iztok v vodo na vodnem območju Donave, ki ni občutljivo območje ali voda na prispevnem območju občutljivega območja. </w:t>
      </w:r>
    </w:p>
    <w:p w:rsidR="00E50E1E" w:rsidRPr="00B148B1" w:rsidRDefault="007637BE" w:rsidP="00017C09">
      <w:pPr>
        <w:tabs>
          <w:tab w:val="left" w:pos="9600"/>
        </w:tabs>
        <w:spacing w:before="120" w:line="280" w:lineRule="atLeast"/>
        <w:rPr>
          <w:rFonts w:cs="Arial"/>
          <w:szCs w:val="20"/>
        </w:rPr>
      </w:pPr>
      <w:r w:rsidRPr="00B148B1">
        <w:rPr>
          <w:rFonts w:cs="Arial"/>
          <w:szCs w:val="20"/>
        </w:rPr>
        <w:t xml:space="preserve">Analize kažejo, da </w:t>
      </w:r>
      <w:r w:rsidR="004344FD" w:rsidRPr="00B148B1">
        <w:rPr>
          <w:rFonts w:cs="Arial"/>
          <w:szCs w:val="20"/>
        </w:rPr>
        <w:t>glede na podatke na dan 31. decembr</w:t>
      </w:r>
      <w:r w:rsidR="005301C3" w:rsidRPr="00B148B1">
        <w:rPr>
          <w:rFonts w:cs="Arial"/>
          <w:szCs w:val="20"/>
        </w:rPr>
        <w:t>a</w:t>
      </w:r>
      <w:r w:rsidR="004344FD" w:rsidRPr="00B148B1">
        <w:rPr>
          <w:rFonts w:cs="Arial"/>
          <w:szCs w:val="20"/>
        </w:rPr>
        <w:t xml:space="preserve"> 201</w:t>
      </w:r>
      <w:r w:rsidR="00AA46ED" w:rsidRPr="00B148B1">
        <w:rPr>
          <w:rFonts w:cs="Arial"/>
          <w:szCs w:val="20"/>
        </w:rPr>
        <w:t>8</w:t>
      </w:r>
      <w:r w:rsidR="004344FD" w:rsidRPr="00B148B1">
        <w:rPr>
          <w:rFonts w:cs="Arial"/>
          <w:szCs w:val="20"/>
        </w:rPr>
        <w:t xml:space="preserve"> </w:t>
      </w:r>
      <w:r w:rsidR="00176AF2" w:rsidRPr="00B148B1">
        <w:rPr>
          <w:rFonts w:cs="Arial"/>
          <w:szCs w:val="20"/>
        </w:rPr>
        <w:t xml:space="preserve">devet </w:t>
      </w:r>
      <w:r w:rsidR="00A17058" w:rsidRPr="00B148B1">
        <w:rPr>
          <w:rFonts w:cs="Arial"/>
          <w:szCs w:val="20"/>
        </w:rPr>
        <w:t xml:space="preserve">komunalnih ali skupnih čistilnih naprav </w:t>
      </w:r>
      <w:r w:rsidR="001329E1" w:rsidRPr="00B148B1">
        <w:rPr>
          <w:rFonts w:cs="Arial"/>
          <w:szCs w:val="20"/>
        </w:rPr>
        <w:t>(</w:t>
      </w:r>
      <w:r w:rsidR="001329E1" w:rsidRPr="00B148B1">
        <w:rPr>
          <w:rFonts w:cs="Arial"/>
          <w:szCs w:val="20"/>
        </w:rPr>
        <w:fldChar w:fldCharType="begin"/>
      </w:r>
      <w:r w:rsidR="001329E1" w:rsidRPr="00B148B1">
        <w:rPr>
          <w:rFonts w:cs="Arial"/>
          <w:szCs w:val="20"/>
        </w:rPr>
        <w:instrText xml:space="preserve"> REF _Ref12873987 \h  \* MERGEFORMAT </w:instrText>
      </w:r>
      <w:r w:rsidR="001329E1" w:rsidRPr="00B148B1">
        <w:rPr>
          <w:rFonts w:cs="Arial"/>
          <w:szCs w:val="20"/>
        </w:rPr>
      </w:r>
      <w:r w:rsidR="001329E1" w:rsidRPr="00B148B1">
        <w:rPr>
          <w:rFonts w:cs="Arial"/>
          <w:szCs w:val="20"/>
        </w:rPr>
        <w:fldChar w:fldCharType="separate"/>
      </w:r>
      <w:r w:rsidR="00E92793" w:rsidRPr="00B148B1">
        <w:rPr>
          <w:rFonts w:cs="Arial"/>
        </w:rPr>
        <w:t xml:space="preserve">Preglednica </w:t>
      </w:r>
      <w:r w:rsidR="00E92793">
        <w:rPr>
          <w:rFonts w:cs="Arial"/>
          <w:noProof/>
        </w:rPr>
        <w:t>13</w:t>
      </w:r>
      <w:r w:rsidR="001329E1" w:rsidRPr="00B148B1">
        <w:rPr>
          <w:rFonts w:cs="Arial"/>
          <w:szCs w:val="20"/>
        </w:rPr>
        <w:fldChar w:fldCharType="end"/>
      </w:r>
      <w:r w:rsidR="001329E1" w:rsidRPr="00B148B1">
        <w:rPr>
          <w:rFonts w:cs="Arial"/>
          <w:szCs w:val="20"/>
        </w:rPr>
        <w:t xml:space="preserve">) </w:t>
      </w:r>
      <w:r w:rsidRPr="00B148B1">
        <w:rPr>
          <w:rFonts w:cs="Arial"/>
          <w:szCs w:val="20"/>
        </w:rPr>
        <w:t xml:space="preserve">ne izpolnjuje zgornjih zahtev. Za te bo potrebna nadgradnja stopnje čiščenja iz sekundarne v terciarno. </w:t>
      </w:r>
    </w:p>
    <w:p w:rsidR="00002341" w:rsidRPr="00B148B1" w:rsidRDefault="001329E1" w:rsidP="00A85818">
      <w:pPr>
        <w:keepNext/>
        <w:tabs>
          <w:tab w:val="left" w:pos="9600"/>
        </w:tabs>
        <w:spacing w:before="120" w:line="280" w:lineRule="atLeast"/>
        <w:rPr>
          <w:rFonts w:cs="Arial"/>
        </w:rPr>
      </w:pPr>
      <w:bookmarkStart w:id="122" w:name="_Ref12873987"/>
      <w:bookmarkStart w:id="123" w:name="_Toc50626729"/>
      <w:r w:rsidRPr="00B148B1">
        <w:rPr>
          <w:rFonts w:cs="Arial"/>
        </w:rPr>
        <w:t xml:space="preserve">Preglednica </w:t>
      </w:r>
      <w:r w:rsidR="002E3777" w:rsidRPr="00B148B1">
        <w:rPr>
          <w:rFonts w:cs="Arial"/>
        </w:rPr>
        <w:fldChar w:fldCharType="begin"/>
      </w:r>
      <w:r w:rsidR="002E3777" w:rsidRPr="00B148B1">
        <w:rPr>
          <w:rFonts w:cs="Arial"/>
        </w:rPr>
        <w:instrText xml:space="preserve"> SEQ Preglednica \* ARABIC </w:instrText>
      </w:r>
      <w:r w:rsidR="002E3777" w:rsidRPr="00B148B1">
        <w:rPr>
          <w:rFonts w:cs="Arial"/>
        </w:rPr>
        <w:fldChar w:fldCharType="separate"/>
      </w:r>
      <w:r w:rsidR="00E92793">
        <w:rPr>
          <w:rFonts w:cs="Arial"/>
          <w:noProof/>
        </w:rPr>
        <w:t>13</w:t>
      </w:r>
      <w:r w:rsidR="002E3777" w:rsidRPr="00B148B1">
        <w:rPr>
          <w:rFonts w:cs="Arial"/>
          <w:noProof/>
        </w:rPr>
        <w:fldChar w:fldCharType="end"/>
      </w:r>
      <w:bookmarkEnd w:id="122"/>
      <w:r w:rsidR="00744E13" w:rsidRPr="00B148B1">
        <w:rPr>
          <w:rFonts w:cs="Arial"/>
        </w:rPr>
        <w:t xml:space="preserve">: </w:t>
      </w:r>
      <w:r w:rsidR="0080408E" w:rsidRPr="00B148B1">
        <w:rPr>
          <w:rFonts w:cs="Arial"/>
        </w:rPr>
        <w:t>Zahteve komunalnih ali skupnih čistilnih naprav</w:t>
      </w:r>
      <w:r w:rsidR="0080408E" w:rsidRPr="00B148B1" w:rsidDel="0080408E">
        <w:rPr>
          <w:rFonts w:cs="Arial"/>
        </w:rPr>
        <w:t xml:space="preserve"> </w:t>
      </w:r>
      <w:r w:rsidRPr="00B148B1">
        <w:rPr>
          <w:rFonts w:cs="Arial"/>
        </w:rPr>
        <w:t>za zagotovitev terciarnega čiščenja z iztokom na vodnem območju Donava</w:t>
      </w:r>
      <w:r w:rsidR="00480505" w:rsidRPr="00B148B1">
        <w:rPr>
          <w:rFonts w:cs="Arial"/>
        </w:rPr>
        <w:t>,</w:t>
      </w:r>
      <w:r w:rsidRPr="00B148B1">
        <w:rPr>
          <w:rFonts w:cs="Arial"/>
        </w:rPr>
        <w:t xml:space="preserve"> </w:t>
      </w:r>
      <w:r w:rsidR="00172A1B" w:rsidRPr="00B148B1">
        <w:rPr>
          <w:rFonts w:cs="Arial"/>
        </w:rPr>
        <w:t>ki</w:t>
      </w:r>
      <w:r w:rsidR="00C94646" w:rsidRPr="00B148B1">
        <w:rPr>
          <w:rFonts w:cs="Arial"/>
        </w:rPr>
        <w:t xml:space="preserve"> ni občutljivo območje</w:t>
      </w:r>
      <w:bookmarkEnd w:id="123"/>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862"/>
        <w:gridCol w:w="784"/>
        <w:gridCol w:w="2980"/>
        <w:gridCol w:w="1725"/>
        <w:gridCol w:w="2853"/>
      </w:tblGrid>
      <w:tr w:rsidR="00C50F1A" w:rsidRPr="00B148B1" w:rsidTr="00B803AE">
        <w:trPr>
          <w:trHeight w:val="307"/>
          <w:tblHeader/>
        </w:trPr>
        <w:tc>
          <w:tcPr>
            <w:tcW w:w="5000" w:type="pct"/>
            <w:gridSpan w:val="5"/>
            <w:shd w:val="clear" w:color="auto" w:fill="auto"/>
            <w:vAlign w:val="center"/>
          </w:tcPr>
          <w:p w:rsidR="00C50F1A" w:rsidRPr="00B148B1" w:rsidRDefault="00C50F1A" w:rsidP="00B803AE">
            <w:pPr>
              <w:spacing w:line="240" w:lineRule="auto"/>
              <w:jc w:val="center"/>
              <w:rPr>
                <w:rFonts w:cs="Arial"/>
                <w:b/>
                <w:bCs/>
                <w:color w:val="000000"/>
                <w:szCs w:val="20"/>
                <w:lang w:eastAsia="sl-SI"/>
              </w:rPr>
            </w:pPr>
            <w:r w:rsidRPr="00B148B1">
              <w:rPr>
                <w:rFonts w:cs="Arial"/>
                <w:b/>
                <w:bCs/>
                <w:color w:val="000000"/>
                <w:szCs w:val="20"/>
                <w:lang w:eastAsia="sl-SI"/>
              </w:rPr>
              <w:t>KOMUNALNA ALI SKUPNA ČISTILNA NAPRAVA</w:t>
            </w:r>
          </w:p>
        </w:tc>
      </w:tr>
      <w:tr w:rsidR="0003176B" w:rsidRPr="00B148B1" w:rsidTr="00B803AE">
        <w:trPr>
          <w:trHeight w:val="313"/>
          <w:tblHeader/>
        </w:trPr>
        <w:tc>
          <w:tcPr>
            <w:tcW w:w="468" w:type="pct"/>
            <w:vMerge w:val="restart"/>
            <w:shd w:val="clear" w:color="auto" w:fill="auto"/>
            <w:vAlign w:val="center"/>
            <w:hideMark/>
          </w:tcPr>
          <w:p w:rsidR="00555E30" w:rsidRPr="00B148B1" w:rsidRDefault="00555E30" w:rsidP="0003176B">
            <w:pPr>
              <w:spacing w:line="240" w:lineRule="auto"/>
              <w:jc w:val="center"/>
              <w:rPr>
                <w:rFonts w:cs="Arial"/>
                <w:b/>
                <w:bCs/>
                <w:color w:val="000000"/>
                <w:szCs w:val="20"/>
                <w:lang w:eastAsia="sl-SI"/>
              </w:rPr>
            </w:pPr>
            <w:r w:rsidRPr="00B148B1">
              <w:rPr>
                <w:rFonts w:cs="Arial"/>
                <w:b/>
                <w:bCs/>
                <w:color w:val="000000"/>
                <w:szCs w:val="20"/>
                <w:lang w:eastAsia="sl-SI"/>
              </w:rPr>
              <w:t>ZAP. ŠT.</w:t>
            </w:r>
          </w:p>
        </w:tc>
        <w:tc>
          <w:tcPr>
            <w:tcW w:w="426" w:type="pct"/>
            <w:vMerge w:val="restart"/>
            <w:shd w:val="clear" w:color="auto" w:fill="auto"/>
            <w:vAlign w:val="center"/>
            <w:hideMark/>
          </w:tcPr>
          <w:p w:rsidR="00555E30" w:rsidRPr="00B148B1" w:rsidRDefault="00555E30" w:rsidP="0003176B">
            <w:pPr>
              <w:spacing w:line="240" w:lineRule="auto"/>
              <w:jc w:val="right"/>
              <w:rPr>
                <w:rFonts w:cs="Arial"/>
                <w:b/>
                <w:bCs/>
                <w:color w:val="000000"/>
                <w:szCs w:val="20"/>
                <w:lang w:eastAsia="sl-SI"/>
              </w:rPr>
            </w:pPr>
            <w:r w:rsidRPr="00B148B1">
              <w:rPr>
                <w:rFonts w:cs="Arial"/>
                <w:b/>
                <w:bCs/>
                <w:color w:val="000000"/>
                <w:szCs w:val="20"/>
                <w:lang w:eastAsia="sl-SI"/>
              </w:rPr>
              <w:t>ID</w:t>
            </w:r>
          </w:p>
        </w:tc>
        <w:tc>
          <w:tcPr>
            <w:tcW w:w="1619" w:type="pct"/>
            <w:vMerge w:val="restart"/>
            <w:shd w:val="clear" w:color="auto" w:fill="auto"/>
            <w:vAlign w:val="center"/>
            <w:hideMark/>
          </w:tcPr>
          <w:p w:rsidR="00555E30" w:rsidRPr="00B148B1" w:rsidRDefault="00555E30" w:rsidP="0003176B">
            <w:pPr>
              <w:spacing w:line="240" w:lineRule="auto"/>
              <w:rPr>
                <w:rFonts w:cs="Arial"/>
                <w:b/>
                <w:bCs/>
                <w:color w:val="000000"/>
                <w:szCs w:val="20"/>
                <w:lang w:eastAsia="sl-SI"/>
              </w:rPr>
            </w:pPr>
            <w:r w:rsidRPr="00B148B1">
              <w:rPr>
                <w:rFonts w:cs="Arial"/>
                <w:b/>
                <w:bCs/>
                <w:color w:val="000000"/>
                <w:szCs w:val="20"/>
                <w:lang w:eastAsia="sl-SI"/>
              </w:rPr>
              <w:t>IME</w:t>
            </w:r>
          </w:p>
        </w:tc>
        <w:tc>
          <w:tcPr>
            <w:tcW w:w="937" w:type="pct"/>
            <w:shd w:val="clear" w:color="auto" w:fill="auto"/>
            <w:vAlign w:val="center"/>
            <w:hideMark/>
          </w:tcPr>
          <w:p w:rsidR="00555E30" w:rsidRPr="00B148B1" w:rsidRDefault="00555E30" w:rsidP="0003176B">
            <w:pPr>
              <w:spacing w:line="240" w:lineRule="auto"/>
              <w:jc w:val="right"/>
              <w:rPr>
                <w:rFonts w:cs="Arial"/>
                <w:b/>
                <w:bCs/>
                <w:color w:val="000000"/>
                <w:szCs w:val="20"/>
                <w:lang w:eastAsia="sl-SI"/>
              </w:rPr>
            </w:pPr>
            <w:r w:rsidRPr="00B148B1">
              <w:rPr>
                <w:rFonts w:cs="Arial"/>
                <w:b/>
                <w:bCs/>
                <w:color w:val="000000"/>
                <w:szCs w:val="20"/>
                <w:lang w:eastAsia="sl-SI"/>
              </w:rPr>
              <w:t xml:space="preserve">KAPACITETA </w:t>
            </w:r>
          </w:p>
        </w:tc>
        <w:tc>
          <w:tcPr>
            <w:tcW w:w="1549" w:type="pct"/>
            <w:shd w:val="clear" w:color="auto" w:fill="auto"/>
            <w:vAlign w:val="center"/>
            <w:hideMark/>
          </w:tcPr>
          <w:p w:rsidR="00555E30" w:rsidRPr="00B148B1" w:rsidRDefault="00555E30" w:rsidP="0003176B">
            <w:pPr>
              <w:spacing w:line="240" w:lineRule="auto"/>
              <w:jc w:val="right"/>
              <w:rPr>
                <w:rFonts w:cs="Arial"/>
                <w:b/>
                <w:bCs/>
                <w:color w:val="000000"/>
                <w:szCs w:val="20"/>
                <w:lang w:eastAsia="sl-SI"/>
              </w:rPr>
            </w:pPr>
            <w:r w:rsidRPr="00B148B1">
              <w:rPr>
                <w:rFonts w:cs="Arial"/>
                <w:b/>
                <w:bCs/>
                <w:color w:val="000000"/>
                <w:szCs w:val="20"/>
                <w:lang w:eastAsia="sl-SI"/>
              </w:rPr>
              <w:t>DEJANSKA OBREMENITEV</w:t>
            </w:r>
          </w:p>
        </w:tc>
      </w:tr>
      <w:tr w:rsidR="0003176B" w:rsidRPr="00B148B1" w:rsidTr="00B803AE">
        <w:trPr>
          <w:trHeight w:val="163"/>
          <w:tblHeader/>
        </w:trPr>
        <w:tc>
          <w:tcPr>
            <w:tcW w:w="468" w:type="pct"/>
            <w:vMerge/>
            <w:vAlign w:val="center"/>
            <w:hideMark/>
          </w:tcPr>
          <w:p w:rsidR="00555E30" w:rsidRPr="00B148B1" w:rsidRDefault="00555E30" w:rsidP="0003176B">
            <w:pPr>
              <w:spacing w:line="240" w:lineRule="auto"/>
              <w:jc w:val="left"/>
              <w:rPr>
                <w:rFonts w:cs="Arial"/>
                <w:b/>
                <w:bCs/>
                <w:color w:val="000000"/>
                <w:szCs w:val="20"/>
                <w:lang w:eastAsia="sl-SI"/>
              </w:rPr>
            </w:pPr>
          </w:p>
        </w:tc>
        <w:tc>
          <w:tcPr>
            <w:tcW w:w="426" w:type="pct"/>
            <w:vMerge/>
            <w:vAlign w:val="center"/>
            <w:hideMark/>
          </w:tcPr>
          <w:p w:rsidR="00555E30" w:rsidRPr="00B148B1" w:rsidRDefault="00555E30" w:rsidP="0003176B">
            <w:pPr>
              <w:spacing w:line="240" w:lineRule="auto"/>
              <w:jc w:val="left"/>
              <w:rPr>
                <w:rFonts w:cs="Arial"/>
                <w:b/>
                <w:bCs/>
                <w:color w:val="000000"/>
                <w:szCs w:val="20"/>
                <w:lang w:eastAsia="sl-SI"/>
              </w:rPr>
            </w:pPr>
          </w:p>
        </w:tc>
        <w:tc>
          <w:tcPr>
            <w:tcW w:w="1619" w:type="pct"/>
            <w:vMerge/>
            <w:vAlign w:val="center"/>
            <w:hideMark/>
          </w:tcPr>
          <w:p w:rsidR="00555E30" w:rsidRPr="00B148B1" w:rsidRDefault="00555E30" w:rsidP="0003176B">
            <w:pPr>
              <w:spacing w:line="240" w:lineRule="auto"/>
              <w:jc w:val="left"/>
              <w:rPr>
                <w:rFonts w:cs="Arial"/>
                <w:b/>
                <w:bCs/>
                <w:color w:val="000000"/>
                <w:szCs w:val="20"/>
                <w:lang w:eastAsia="sl-SI"/>
              </w:rPr>
            </w:pPr>
          </w:p>
        </w:tc>
        <w:tc>
          <w:tcPr>
            <w:tcW w:w="937" w:type="pct"/>
            <w:shd w:val="clear" w:color="auto" w:fill="auto"/>
            <w:noWrap/>
            <w:vAlign w:val="center"/>
            <w:hideMark/>
          </w:tcPr>
          <w:p w:rsidR="00555E30" w:rsidRPr="00B148B1" w:rsidRDefault="00555E30" w:rsidP="0003176B">
            <w:pPr>
              <w:spacing w:line="240" w:lineRule="auto"/>
              <w:jc w:val="right"/>
              <w:rPr>
                <w:rFonts w:cs="Arial"/>
                <w:b/>
                <w:bCs/>
                <w:color w:val="000000"/>
                <w:szCs w:val="20"/>
                <w:lang w:eastAsia="sl-SI"/>
              </w:rPr>
            </w:pPr>
            <w:r w:rsidRPr="00B148B1">
              <w:rPr>
                <w:rFonts w:cs="Arial"/>
                <w:b/>
                <w:bCs/>
                <w:color w:val="000000"/>
                <w:szCs w:val="20"/>
                <w:lang w:eastAsia="sl-SI"/>
              </w:rPr>
              <w:t>[PE]</w:t>
            </w:r>
          </w:p>
        </w:tc>
        <w:tc>
          <w:tcPr>
            <w:tcW w:w="1549" w:type="pct"/>
            <w:shd w:val="clear" w:color="auto" w:fill="auto"/>
            <w:noWrap/>
            <w:vAlign w:val="center"/>
            <w:hideMark/>
          </w:tcPr>
          <w:p w:rsidR="00555E30" w:rsidRPr="00B148B1" w:rsidRDefault="00555E30" w:rsidP="0003176B">
            <w:pPr>
              <w:spacing w:line="240" w:lineRule="auto"/>
              <w:jc w:val="right"/>
              <w:rPr>
                <w:rFonts w:cs="Arial"/>
                <w:b/>
                <w:bCs/>
                <w:color w:val="000000"/>
                <w:szCs w:val="20"/>
                <w:lang w:eastAsia="sl-SI"/>
              </w:rPr>
            </w:pPr>
            <w:r w:rsidRPr="00B148B1">
              <w:rPr>
                <w:rFonts w:cs="Arial"/>
                <w:b/>
                <w:bCs/>
                <w:color w:val="000000"/>
                <w:szCs w:val="20"/>
                <w:lang w:eastAsia="sl-SI"/>
              </w:rPr>
              <w:t>[PE]</w:t>
            </w:r>
          </w:p>
        </w:tc>
      </w:tr>
      <w:tr w:rsidR="0003176B" w:rsidRPr="00B148B1" w:rsidTr="00B803AE">
        <w:trPr>
          <w:trHeight w:val="315"/>
        </w:trPr>
        <w:tc>
          <w:tcPr>
            <w:tcW w:w="468" w:type="pct"/>
            <w:shd w:val="clear" w:color="auto" w:fill="auto"/>
            <w:vAlign w:val="center"/>
            <w:hideMark/>
          </w:tcPr>
          <w:p w:rsidR="00555E30" w:rsidRPr="00B148B1" w:rsidRDefault="00555E30" w:rsidP="0003176B">
            <w:pPr>
              <w:spacing w:line="240" w:lineRule="auto"/>
              <w:jc w:val="center"/>
              <w:rPr>
                <w:rFonts w:cs="Arial"/>
                <w:color w:val="000000"/>
                <w:szCs w:val="20"/>
                <w:lang w:eastAsia="sl-SI"/>
              </w:rPr>
            </w:pPr>
            <w:r w:rsidRPr="00B148B1">
              <w:rPr>
                <w:rFonts w:cs="Arial"/>
                <w:bCs/>
                <w:color w:val="000000"/>
                <w:szCs w:val="20"/>
                <w:lang w:eastAsia="sl-SI"/>
              </w:rPr>
              <w:t>1</w:t>
            </w:r>
          </w:p>
        </w:tc>
        <w:tc>
          <w:tcPr>
            <w:tcW w:w="426" w:type="pct"/>
            <w:shd w:val="clear" w:color="auto" w:fill="auto"/>
            <w:noWrap/>
            <w:vAlign w:val="center"/>
            <w:hideMark/>
          </w:tcPr>
          <w:p w:rsidR="00555E30" w:rsidRPr="00B148B1" w:rsidRDefault="00555E30" w:rsidP="0003176B">
            <w:pPr>
              <w:spacing w:line="240" w:lineRule="auto"/>
              <w:jc w:val="right"/>
              <w:rPr>
                <w:rFonts w:cs="Arial"/>
                <w:color w:val="000000"/>
                <w:szCs w:val="20"/>
                <w:lang w:eastAsia="sl-SI"/>
              </w:rPr>
            </w:pPr>
            <w:r w:rsidRPr="00B148B1">
              <w:rPr>
                <w:rFonts w:cs="Arial"/>
                <w:color w:val="000000"/>
                <w:szCs w:val="20"/>
                <w:lang w:eastAsia="sl-SI"/>
              </w:rPr>
              <w:t>85</w:t>
            </w:r>
          </w:p>
        </w:tc>
        <w:tc>
          <w:tcPr>
            <w:tcW w:w="1619" w:type="pct"/>
            <w:shd w:val="clear" w:color="auto" w:fill="auto"/>
            <w:noWrap/>
            <w:vAlign w:val="center"/>
            <w:hideMark/>
          </w:tcPr>
          <w:p w:rsidR="00555E30" w:rsidRPr="00B148B1" w:rsidRDefault="00555E30" w:rsidP="0003176B">
            <w:pPr>
              <w:spacing w:line="240" w:lineRule="auto"/>
              <w:rPr>
                <w:rFonts w:cs="Arial"/>
                <w:color w:val="000000"/>
                <w:szCs w:val="20"/>
                <w:lang w:eastAsia="sl-SI"/>
              </w:rPr>
            </w:pPr>
            <w:r w:rsidRPr="00B148B1">
              <w:rPr>
                <w:rFonts w:cs="Arial"/>
                <w:color w:val="000000"/>
                <w:szCs w:val="20"/>
                <w:lang w:eastAsia="sl-SI"/>
              </w:rPr>
              <w:t xml:space="preserve">BROD </w:t>
            </w:r>
            <w:r w:rsidRPr="00B148B1">
              <w:rPr>
                <w:rFonts w:cs="Arial"/>
                <w:color w:val="000000"/>
                <w:szCs w:val="20"/>
                <w:vertAlign w:val="superscript"/>
                <w:lang w:eastAsia="sl-SI"/>
              </w:rPr>
              <w:t>(2)</w:t>
            </w:r>
          </w:p>
        </w:tc>
        <w:tc>
          <w:tcPr>
            <w:tcW w:w="937" w:type="pct"/>
            <w:shd w:val="clear" w:color="auto" w:fill="auto"/>
            <w:noWrap/>
            <w:vAlign w:val="center"/>
            <w:hideMark/>
          </w:tcPr>
          <w:p w:rsidR="00555E30" w:rsidRPr="00B148B1" w:rsidRDefault="00555E30" w:rsidP="0003176B">
            <w:pPr>
              <w:spacing w:line="240" w:lineRule="auto"/>
              <w:jc w:val="right"/>
              <w:rPr>
                <w:rFonts w:cs="Arial"/>
                <w:color w:val="000000"/>
                <w:szCs w:val="20"/>
                <w:lang w:eastAsia="sl-SI"/>
              </w:rPr>
            </w:pPr>
            <w:r w:rsidRPr="00B148B1">
              <w:rPr>
                <w:rFonts w:cs="Arial"/>
                <w:color w:val="000000"/>
                <w:szCs w:val="20"/>
                <w:lang w:eastAsia="sl-SI"/>
              </w:rPr>
              <w:t>5.800</w:t>
            </w:r>
          </w:p>
        </w:tc>
        <w:tc>
          <w:tcPr>
            <w:tcW w:w="1549" w:type="pct"/>
            <w:shd w:val="clear" w:color="auto" w:fill="auto"/>
            <w:noWrap/>
            <w:vAlign w:val="center"/>
            <w:hideMark/>
          </w:tcPr>
          <w:p w:rsidR="00555E30" w:rsidRPr="00B148B1" w:rsidRDefault="00555E30" w:rsidP="0003176B">
            <w:pPr>
              <w:spacing w:line="240" w:lineRule="auto"/>
              <w:jc w:val="right"/>
              <w:rPr>
                <w:rFonts w:cs="Arial"/>
                <w:color w:val="000000"/>
                <w:szCs w:val="20"/>
                <w:lang w:eastAsia="sl-SI"/>
              </w:rPr>
            </w:pPr>
            <w:r w:rsidRPr="00B148B1">
              <w:rPr>
                <w:rFonts w:cs="Arial"/>
                <w:color w:val="000000"/>
                <w:szCs w:val="20"/>
                <w:lang w:eastAsia="sl-SI"/>
              </w:rPr>
              <w:t>8.483</w:t>
            </w:r>
          </w:p>
        </w:tc>
      </w:tr>
      <w:tr w:rsidR="0003176B" w:rsidRPr="00B148B1" w:rsidTr="00B803AE">
        <w:trPr>
          <w:trHeight w:val="315"/>
        </w:trPr>
        <w:tc>
          <w:tcPr>
            <w:tcW w:w="468" w:type="pct"/>
            <w:shd w:val="clear" w:color="auto" w:fill="auto"/>
            <w:vAlign w:val="center"/>
            <w:hideMark/>
          </w:tcPr>
          <w:p w:rsidR="00555E30" w:rsidRPr="00B148B1" w:rsidRDefault="00555E30" w:rsidP="0003176B">
            <w:pPr>
              <w:spacing w:line="240" w:lineRule="auto"/>
              <w:jc w:val="center"/>
              <w:rPr>
                <w:rFonts w:cs="Arial"/>
                <w:color w:val="000000"/>
                <w:szCs w:val="20"/>
                <w:lang w:eastAsia="sl-SI"/>
              </w:rPr>
            </w:pPr>
            <w:r w:rsidRPr="00B148B1">
              <w:rPr>
                <w:rFonts w:cs="Arial"/>
                <w:bCs/>
                <w:color w:val="000000"/>
                <w:szCs w:val="20"/>
                <w:lang w:eastAsia="sl-SI"/>
              </w:rPr>
              <w:t>2</w:t>
            </w:r>
          </w:p>
        </w:tc>
        <w:tc>
          <w:tcPr>
            <w:tcW w:w="426" w:type="pct"/>
            <w:shd w:val="clear" w:color="auto" w:fill="auto"/>
            <w:noWrap/>
            <w:vAlign w:val="center"/>
            <w:hideMark/>
          </w:tcPr>
          <w:p w:rsidR="00555E30" w:rsidRPr="00B148B1" w:rsidRDefault="00555E30" w:rsidP="0003176B">
            <w:pPr>
              <w:spacing w:line="240" w:lineRule="auto"/>
              <w:jc w:val="right"/>
              <w:rPr>
                <w:rFonts w:cs="Arial"/>
                <w:color w:val="000000"/>
                <w:szCs w:val="20"/>
                <w:lang w:eastAsia="sl-SI"/>
              </w:rPr>
            </w:pPr>
            <w:r w:rsidRPr="00B148B1">
              <w:rPr>
                <w:rFonts w:cs="Arial"/>
                <w:color w:val="000000"/>
                <w:szCs w:val="20"/>
                <w:lang w:eastAsia="sl-SI"/>
              </w:rPr>
              <w:t>97</w:t>
            </w:r>
          </w:p>
        </w:tc>
        <w:tc>
          <w:tcPr>
            <w:tcW w:w="1619" w:type="pct"/>
            <w:shd w:val="clear" w:color="auto" w:fill="auto"/>
            <w:noWrap/>
            <w:vAlign w:val="center"/>
            <w:hideMark/>
          </w:tcPr>
          <w:p w:rsidR="00555E30" w:rsidRPr="00B148B1" w:rsidRDefault="00555E30" w:rsidP="0003176B">
            <w:pPr>
              <w:spacing w:line="240" w:lineRule="auto"/>
              <w:rPr>
                <w:rFonts w:cs="Arial"/>
                <w:color w:val="000000"/>
                <w:szCs w:val="20"/>
                <w:lang w:eastAsia="sl-SI"/>
              </w:rPr>
            </w:pPr>
            <w:r w:rsidRPr="00B148B1">
              <w:rPr>
                <w:rFonts w:cs="Arial"/>
                <w:color w:val="000000"/>
                <w:szCs w:val="20"/>
                <w:lang w:eastAsia="sl-SI"/>
              </w:rPr>
              <w:t xml:space="preserve">PIRNIČE </w:t>
            </w:r>
            <w:r w:rsidRPr="00B148B1">
              <w:rPr>
                <w:rFonts w:cs="Arial"/>
                <w:color w:val="000000"/>
                <w:szCs w:val="20"/>
                <w:vertAlign w:val="superscript"/>
                <w:lang w:eastAsia="sl-SI"/>
              </w:rPr>
              <w:t>(1)</w:t>
            </w:r>
          </w:p>
        </w:tc>
        <w:tc>
          <w:tcPr>
            <w:tcW w:w="937" w:type="pct"/>
            <w:shd w:val="clear" w:color="auto" w:fill="auto"/>
            <w:noWrap/>
            <w:vAlign w:val="center"/>
            <w:hideMark/>
          </w:tcPr>
          <w:p w:rsidR="00555E30" w:rsidRPr="00B148B1" w:rsidRDefault="00555E30" w:rsidP="0003176B">
            <w:pPr>
              <w:spacing w:line="240" w:lineRule="auto"/>
              <w:jc w:val="right"/>
              <w:rPr>
                <w:rFonts w:cs="Arial"/>
                <w:color w:val="000000"/>
                <w:szCs w:val="20"/>
                <w:lang w:eastAsia="sl-SI"/>
              </w:rPr>
            </w:pPr>
            <w:r w:rsidRPr="00B148B1">
              <w:rPr>
                <w:rFonts w:cs="Arial"/>
                <w:color w:val="000000"/>
                <w:szCs w:val="20"/>
                <w:lang w:eastAsia="sl-SI"/>
              </w:rPr>
              <w:t>100</w:t>
            </w:r>
          </w:p>
        </w:tc>
        <w:tc>
          <w:tcPr>
            <w:tcW w:w="1549" w:type="pct"/>
            <w:shd w:val="clear" w:color="auto" w:fill="auto"/>
            <w:noWrap/>
            <w:vAlign w:val="center"/>
            <w:hideMark/>
          </w:tcPr>
          <w:p w:rsidR="00555E30" w:rsidRPr="00B148B1" w:rsidRDefault="00555E30" w:rsidP="0003176B">
            <w:pPr>
              <w:spacing w:line="240" w:lineRule="auto"/>
              <w:jc w:val="right"/>
              <w:rPr>
                <w:rFonts w:cs="Arial"/>
                <w:color w:val="000000"/>
                <w:szCs w:val="20"/>
                <w:lang w:eastAsia="sl-SI"/>
              </w:rPr>
            </w:pPr>
            <w:r w:rsidRPr="00B148B1">
              <w:rPr>
                <w:rFonts w:cs="Arial"/>
                <w:color w:val="000000"/>
                <w:szCs w:val="20"/>
                <w:lang w:eastAsia="sl-SI"/>
              </w:rPr>
              <w:t>502</w:t>
            </w:r>
          </w:p>
        </w:tc>
      </w:tr>
      <w:tr w:rsidR="0003176B" w:rsidRPr="00B148B1" w:rsidTr="00B803AE">
        <w:trPr>
          <w:trHeight w:val="315"/>
        </w:trPr>
        <w:tc>
          <w:tcPr>
            <w:tcW w:w="468" w:type="pct"/>
            <w:shd w:val="clear" w:color="auto" w:fill="auto"/>
            <w:vAlign w:val="center"/>
            <w:hideMark/>
          </w:tcPr>
          <w:p w:rsidR="00555E30" w:rsidRPr="00B148B1" w:rsidRDefault="00555E30" w:rsidP="0003176B">
            <w:pPr>
              <w:spacing w:line="240" w:lineRule="auto"/>
              <w:jc w:val="center"/>
              <w:rPr>
                <w:rFonts w:cs="Arial"/>
                <w:color w:val="000000"/>
                <w:szCs w:val="20"/>
                <w:lang w:eastAsia="sl-SI"/>
              </w:rPr>
            </w:pPr>
            <w:r w:rsidRPr="00B148B1">
              <w:rPr>
                <w:rFonts w:cs="Arial"/>
                <w:bCs/>
                <w:color w:val="000000"/>
                <w:szCs w:val="20"/>
                <w:lang w:eastAsia="sl-SI"/>
              </w:rPr>
              <w:t>3</w:t>
            </w:r>
          </w:p>
        </w:tc>
        <w:tc>
          <w:tcPr>
            <w:tcW w:w="426" w:type="pct"/>
            <w:shd w:val="clear" w:color="auto" w:fill="auto"/>
            <w:noWrap/>
            <w:vAlign w:val="center"/>
            <w:hideMark/>
          </w:tcPr>
          <w:p w:rsidR="00555E30" w:rsidRPr="00B148B1" w:rsidRDefault="00555E30" w:rsidP="0003176B">
            <w:pPr>
              <w:spacing w:line="240" w:lineRule="auto"/>
              <w:jc w:val="right"/>
              <w:rPr>
                <w:rFonts w:cs="Arial"/>
                <w:color w:val="000000"/>
                <w:szCs w:val="20"/>
                <w:lang w:eastAsia="sl-SI"/>
              </w:rPr>
            </w:pPr>
            <w:r w:rsidRPr="00B148B1">
              <w:rPr>
                <w:rFonts w:cs="Arial"/>
                <w:color w:val="000000"/>
                <w:szCs w:val="20"/>
                <w:lang w:eastAsia="sl-SI"/>
              </w:rPr>
              <w:t>98</w:t>
            </w:r>
          </w:p>
        </w:tc>
        <w:tc>
          <w:tcPr>
            <w:tcW w:w="1619" w:type="pct"/>
            <w:shd w:val="clear" w:color="auto" w:fill="auto"/>
            <w:noWrap/>
            <w:vAlign w:val="center"/>
            <w:hideMark/>
          </w:tcPr>
          <w:p w:rsidR="00555E30" w:rsidRPr="00B148B1" w:rsidRDefault="00555E30" w:rsidP="0003176B">
            <w:pPr>
              <w:spacing w:line="240" w:lineRule="auto"/>
              <w:rPr>
                <w:rFonts w:cs="Arial"/>
                <w:color w:val="000000"/>
                <w:szCs w:val="20"/>
                <w:lang w:eastAsia="sl-SI"/>
              </w:rPr>
            </w:pPr>
            <w:r w:rsidRPr="00B148B1">
              <w:rPr>
                <w:rFonts w:cs="Arial"/>
                <w:color w:val="000000"/>
                <w:szCs w:val="20"/>
                <w:lang w:eastAsia="sl-SI"/>
              </w:rPr>
              <w:t xml:space="preserve">LJUBLJANA (ZALOG) </w:t>
            </w:r>
            <w:r w:rsidRPr="00B148B1">
              <w:rPr>
                <w:rFonts w:cs="Arial"/>
                <w:color w:val="000000"/>
                <w:szCs w:val="20"/>
                <w:vertAlign w:val="superscript"/>
                <w:lang w:eastAsia="sl-SI"/>
              </w:rPr>
              <w:t>(2)</w:t>
            </w:r>
          </w:p>
        </w:tc>
        <w:tc>
          <w:tcPr>
            <w:tcW w:w="937" w:type="pct"/>
            <w:shd w:val="clear" w:color="auto" w:fill="auto"/>
            <w:noWrap/>
            <w:vAlign w:val="center"/>
            <w:hideMark/>
          </w:tcPr>
          <w:p w:rsidR="00555E30" w:rsidRPr="00B148B1" w:rsidRDefault="00555E30" w:rsidP="0003176B">
            <w:pPr>
              <w:spacing w:line="240" w:lineRule="auto"/>
              <w:jc w:val="right"/>
              <w:rPr>
                <w:rFonts w:cs="Arial"/>
                <w:color w:val="000000"/>
                <w:szCs w:val="20"/>
                <w:lang w:eastAsia="sl-SI"/>
              </w:rPr>
            </w:pPr>
            <w:r w:rsidRPr="00B148B1">
              <w:rPr>
                <w:rFonts w:cs="Arial"/>
                <w:color w:val="000000"/>
                <w:szCs w:val="20"/>
                <w:lang w:eastAsia="sl-SI"/>
              </w:rPr>
              <w:t>360.000</w:t>
            </w:r>
          </w:p>
        </w:tc>
        <w:tc>
          <w:tcPr>
            <w:tcW w:w="1549" w:type="pct"/>
            <w:shd w:val="clear" w:color="auto" w:fill="auto"/>
            <w:noWrap/>
            <w:vAlign w:val="center"/>
            <w:hideMark/>
          </w:tcPr>
          <w:p w:rsidR="00555E30" w:rsidRPr="00B148B1" w:rsidRDefault="00555E30" w:rsidP="0003176B">
            <w:pPr>
              <w:spacing w:line="240" w:lineRule="auto"/>
              <w:jc w:val="right"/>
              <w:rPr>
                <w:rFonts w:cs="Arial"/>
                <w:color w:val="000000"/>
                <w:szCs w:val="20"/>
                <w:lang w:eastAsia="sl-SI"/>
              </w:rPr>
            </w:pPr>
            <w:r w:rsidRPr="00B148B1">
              <w:rPr>
                <w:rFonts w:cs="Arial"/>
                <w:color w:val="000000"/>
                <w:szCs w:val="20"/>
                <w:lang w:eastAsia="sl-SI"/>
              </w:rPr>
              <w:t>424.239</w:t>
            </w:r>
          </w:p>
        </w:tc>
      </w:tr>
      <w:tr w:rsidR="0003176B" w:rsidRPr="00B148B1" w:rsidTr="00B803AE">
        <w:trPr>
          <w:trHeight w:val="315"/>
        </w:trPr>
        <w:tc>
          <w:tcPr>
            <w:tcW w:w="468" w:type="pct"/>
            <w:shd w:val="clear" w:color="auto" w:fill="auto"/>
            <w:vAlign w:val="center"/>
            <w:hideMark/>
          </w:tcPr>
          <w:p w:rsidR="00555E30" w:rsidRPr="00B148B1" w:rsidRDefault="00555E30" w:rsidP="0003176B">
            <w:pPr>
              <w:spacing w:line="240" w:lineRule="auto"/>
              <w:jc w:val="center"/>
              <w:rPr>
                <w:rFonts w:cs="Arial"/>
                <w:color w:val="000000"/>
                <w:szCs w:val="20"/>
                <w:lang w:eastAsia="sl-SI"/>
              </w:rPr>
            </w:pPr>
            <w:r w:rsidRPr="00B148B1">
              <w:rPr>
                <w:rFonts w:cs="Arial"/>
                <w:bCs/>
                <w:color w:val="000000"/>
                <w:szCs w:val="20"/>
                <w:lang w:eastAsia="sl-SI"/>
              </w:rPr>
              <w:t>4</w:t>
            </w:r>
          </w:p>
        </w:tc>
        <w:tc>
          <w:tcPr>
            <w:tcW w:w="426" w:type="pct"/>
            <w:shd w:val="clear" w:color="auto" w:fill="auto"/>
            <w:noWrap/>
            <w:vAlign w:val="center"/>
            <w:hideMark/>
          </w:tcPr>
          <w:p w:rsidR="00555E30" w:rsidRPr="00B148B1" w:rsidRDefault="00555E30" w:rsidP="0003176B">
            <w:pPr>
              <w:spacing w:line="240" w:lineRule="auto"/>
              <w:jc w:val="right"/>
              <w:rPr>
                <w:rFonts w:cs="Arial"/>
                <w:color w:val="000000"/>
                <w:szCs w:val="20"/>
                <w:lang w:eastAsia="sl-SI"/>
              </w:rPr>
            </w:pPr>
            <w:r w:rsidRPr="00B148B1">
              <w:rPr>
                <w:rFonts w:cs="Arial"/>
                <w:color w:val="000000"/>
                <w:szCs w:val="20"/>
                <w:lang w:eastAsia="sl-SI"/>
              </w:rPr>
              <w:t>112</w:t>
            </w:r>
          </w:p>
        </w:tc>
        <w:tc>
          <w:tcPr>
            <w:tcW w:w="1619" w:type="pct"/>
            <w:shd w:val="clear" w:color="auto" w:fill="auto"/>
            <w:noWrap/>
            <w:vAlign w:val="center"/>
            <w:hideMark/>
          </w:tcPr>
          <w:p w:rsidR="00555E30" w:rsidRPr="00B148B1" w:rsidRDefault="00555E30" w:rsidP="0003176B">
            <w:pPr>
              <w:spacing w:line="240" w:lineRule="auto"/>
              <w:rPr>
                <w:rFonts w:cs="Arial"/>
                <w:color w:val="000000"/>
                <w:szCs w:val="20"/>
                <w:lang w:eastAsia="sl-SI"/>
              </w:rPr>
            </w:pPr>
            <w:r w:rsidRPr="00B148B1">
              <w:rPr>
                <w:rFonts w:cs="Arial"/>
                <w:color w:val="000000"/>
                <w:szCs w:val="20"/>
                <w:lang w:eastAsia="sl-SI"/>
              </w:rPr>
              <w:t xml:space="preserve">SMODINOVEC </w:t>
            </w:r>
            <w:r w:rsidRPr="00B148B1">
              <w:rPr>
                <w:rFonts w:cs="Arial"/>
                <w:color w:val="000000"/>
                <w:szCs w:val="20"/>
                <w:vertAlign w:val="superscript"/>
                <w:lang w:eastAsia="sl-SI"/>
              </w:rPr>
              <w:t>(1)</w:t>
            </w:r>
          </w:p>
        </w:tc>
        <w:tc>
          <w:tcPr>
            <w:tcW w:w="937" w:type="pct"/>
            <w:shd w:val="clear" w:color="auto" w:fill="auto"/>
            <w:noWrap/>
            <w:vAlign w:val="center"/>
            <w:hideMark/>
          </w:tcPr>
          <w:p w:rsidR="00555E30" w:rsidRPr="00B148B1" w:rsidRDefault="00555E30" w:rsidP="0003176B">
            <w:pPr>
              <w:spacing w:line="240" w:lineRule="auto"/>
              <w:jc w:val="right"/>
              <w:rPr>
                <w:rFonts w:cs="Arial"/>
                <w:color w:val="000000"/>
                <w:szCs w:val="20"/>
                <w:lang w:eastAsia="sl-SI"/>
              </w:rPr>
            </w:pPr>
            <w:r w:rsidRPr="00B148B1">
              <w:rPr>
                <w:rFonts w:cs="Arial"/>
                <w:color w:val="000000"/>
                <w:szCs w:val="20"/>
                <w:lang w:eastAsia="sl-SI"/>
              </w:rPr>
              <w:t>70</w:t>
            </w:r>
          </w:p>
        </w:tc>
        <w:tc>
          <w:tcPr>
            <w:tcW w:w="1549" w:type="pct"/>
            <w:shd w:val="clear" w:color="auto" w:fill="auto"/>
            <w:noWrap/>
            <w:vAlign w:val="center"/>
            <w:hideMark/>
          </w:tcPr>
          <w:p w:rsidR="00555E30" w:rsidRPr="00B148B1" w:rsidRDefault="00555E30" w:rsidP="0003176B">
            <w:pPr>
              <w:spacing w:line="240" w:lineRule="auto"/>
              <w:jc w:val="right"/>
              <w:rPr>
                <w:rFonts w:cs="Arial"/>
                <w:color w:val="000000"/>
                <w:szCs w:val="20"/>
                <w:lang w:eastAsia="sl-SI"/>
              </w:rPr>
            </w:pPr>
            <w:r w:rsidRPr="00B148B1">
              <w:rPr>
                <w:rFonts w:cs="Arial"/>
                <w:color w:val="000000"/>
                <w:szCs w:val="20"/>
                <w:lang w:eastAsia="sl-SI"/>
              </w:rPr>
              <w:t>351</w:t>
            </w:r>
          </w:p>
        </w:tc>
      </w:tr>
      <w:tr w:rsidR="0003176B" w:rsidRPr="00B148B1" w:rsidTr="00B803AE">
        <w:trPr>
          <w:trHeight w:val="315"/>
        </w:trPr>
        <w:tc>
          <w:tcPr>
            <w:tcW w:w="468" w:type="pct"/>
            <w:shd w:val="clear" w:color="auto" w:fill="auto"/>
            <w:vAlign w:val="center"/>
            <w:hideMark/>
          </w:tcPr>
          <w:p w:rsidR="00555E30" w:rsidRPr="00B148B1" w:rsidRDefault="00555E30" w:rsidP="0003176B">
            <w:pPr>
              <w:spacing w:line="240" w:lineRule="auto"/>
              <w:jc w:val="center"/>
              <w:rPr>
                <w:rFonts w:cs="Arial"/>
                <w:color w:val="000000"/>
                <w:szCs w:val="20"/>
                <w:lang w:eastAsia="sl-SI"/>
              </w:rPr>
            </w:pPr>
            <w:r w:rsidRPr="00B148B1">
              <w:rPr>
                <w:rFonts w:cs="Arial"/>
                <w:bCs/>
                <w:color w:val="000000"/>
                <w:szCs w:val="20"/>
                <w:lang w:eastAsia="sl-SI"/>
              </w:rPr>
              <w:t>5</w:t>
            </w:r>
          </w:p>
        </w:tc>
        <w:tc>
          <w:tcPr>
            <w:tcW w:w="426" w:type="pct"/>
            <w:shd w:val="clear" w:color="auto" w:fill="auto"/>
            <w:noWrap/>
            <w:vAlign w:val="center"/>
            <w:hideMark/>
          </w:tcPr>
          <w:p w:rsidR="00555E30" w:rsidRPr="00B148B1" w:rsidRDefault="00555E30" w:rsidP="0003176B">
            <w:pPr>
              <w:spacing w:line="240" w:lineRule="auto"/>
              <w:jc w:val="right"/>
              <w:rPr>
                <w:rFonts w:cs="Arial"/>
                <w:color w:val="000000"/>
                <w:szCs w:val="20"/>
                <w:lang w:eastAsia="sl-SI"/>
              </w:rPr>
            </w:pPr>
            <w:r w:rsidRPr="00B148B1">
              <w:rPr>
                <w:rFonts w:cs="Arial"/>
                <w:color w:val="000000"/>
                <w:szCs w:val="20"/>
                <w:lang w:eastAsia="sl-SI"/>
              </w:rPr>
              <w:t>220</w:t>
            </w:r>
          </w:p>
        </w:tc>
        <w:tc>
          <w:tcPr>
            <w:tcW w:w="1619" w:type="pct"/>
            <w:shd w:val="clear" w:color="auto" w:fill="auto"/>
            <w:noWrap/>
            <w:vAlign w:val="center"/>
            <w:hideMark/>
          </w:tcPr>
          <w:p w:rsidR="00555E30" w:rsidRPr="00B148B1" w:rsidRDefault="00555E30" w:rsidP="0003176B">
            <w:pPr>
              <w:spacing w:line="240" w:lineRule="auto"/>
              <w:rPr>
                <w:rFonts w:cs="Arial"/>
                <w:color w:val="000000"/>
                <w:szCs w:val="20"/>
                <w:lang w:eastAsia="sl-SI"/>
              </w:rPr>
            </w:pPr>
            <w:r w:rsidRPr="00B148B1">
              <w:rPr>
                <w:rFonts w:cs="Arial"/>
                <w:color w:val="000000"/>
                <w:szCs w:val="20"/>
                <w:lang w:eastAsia="sl-SI"/>
              </w:rPr>
              <w:t xml:space="preserve">ŽABNICA </w:t>
            </w:r>
            <w:r w:rsidRPr="00B148B1">
              <w:rPr>
                <w:rFonts w:cs="Arial"/>
                <w:color w:val="000000"/>
                <w:szCs w:val="20"/>
                <w:vertAlign w:val="superscript"/>
                <w:lang w:eastAsia="sl-SI"/>
              </w:rPr>
              <w:t>(1)</w:t>
            </w:r>
          </w:p>
        </w:tc>
        <w:tc>
          <w:tcPr>
            <w:tcW w:w="937" w:type="pct"/>
            <w:shd w:val="clear" w:color="auto" w:fill="auto"/>
            <w:noWrap/>
            <w:vAlign w:val="center"/>
            <w:hideMark/>
          </w:tcPr>
          <w:p w:rsidR="00555E30" w:rsidRPr="00B148B1" w:rsidRDefault="00555E30" w:rsidP="0003176B">
            <w:pPr>
              <w:spacing w:line="240" w:lineRule="auto"/>
              <w:jc w:val="right"/>
              <w:rPr>
                <w:rFonts w:cs="Arial"/>
                <w:color w:val="000000"/>
                <w:szCs w:val="20"/>
                <w:lang w:eastAsia="sl-SI"/>
              </w:rPr>
            </w:pPr>
            <w:r w:rsidRPr="00B148B1">
              <w:rPr>
                <w:rFonts w:cs="Arial"/>
                <w:color w:val="000000"/>
                <w:szCs w:val="20"/>
                <w:lang w:eastAsia="sl-SI"/>
              </w:rPr>
              <w:t>100</w:t>
            </w:r>
          </w:p>
        </w:tc>
        <w:tc>
          <w:tcPr>
            <w:tcW w:w="1549" w:type="pct"/>
            <w:shd w:val="clear" w:color="auto" w:fill="auto"/>
            <w:noWrap/>
            <w:vAlign w:val="center"/>
            <w:hideMark/>
          </w:tcPr>
          <w:p w:rsidR="00555E30" w:rsidRPr="00B148B1" w:rsidRDefault="00555E30" w:rsidP="0003176B">
            <w:pPr>
              <w:spacing w:line="240" w:lineRule="auto"/>
              <w:jc w:val="right"/>
              <w:rPr>
                <w:rFonts w:cs="Arial"/>
                <w:color w:val="000000"/>
                <w:szCs w:val="20"/>
                <w:lang w:eastAsia="sl-SI"/>
              </w:rPr>
            </w:pPr>
            <w:r w:rsidRPr="00B148B1">
              <w:rPr>
                <w:rFonts w:cs="Arial"/>
                <w:color w:val="000000"/>
                <w:szCs w:val="20"/>
                <w:lang w:eastAsia="sl-SI"/>
              </w:rPr>
              <w:t>0</w:t>
            </w:r>
          </w:p>
        </w:tc>
      </w:tr>
      <w:tr w:rsidR="0003176B" w:rsidRPr="00B148B1" w:rsidTr="00B803AE">
        <w:trPr>
          <w:trHeight w:val="315"/>
        </w:trPr>
        <w:tc>
          <w:tcPr>
            <w:tcW w:w="468" w:type="pct"/>
            <w:shd w:val="clear" w:color="auto" w:fill="auto"/>
            <w:vAlign w:val="center"/>
            <w:hideMark/>
          </w:tcPr>
          <w:p w:rsidR="00555E30" w:rsidRPr="00B148B1" w:rsidRDefault="00555E30" w:rsidP="0003176B">
            <w:pPr>
              <w:spacing w:line="240" w:lineRule="auto"/>
              <w:jc w:val="center"/>
              <w:rPr>
                <w:rFonts w:cs="Arial"/>
                <w:color w:val="000000"/>
                <w:szCs w:val="20"/>
                <w:lang w:eastAsia="sl-SI"/>
              </w:rPr>
            </w:pPr>
            <w:r w:rsidRPr="00B148B1">
              <w:rPr>
                <w:rFonts w:cs="Arial"/>
                <w:bCs/>
                <w:color w:val="000000"/>
                <w:szCs w:val="20"/>
                <w:lang w:eastAsia="sl-SI"/>
              </w:rPr>
              <w:t>6</w:t>
            </w:r>
          </w:p>
        </w:tc>
        <w:tc>
          <w:tcPr>
            <w:tcW w:w="426" w:type="pct"/>
            <w:shd w:val="clear" w:color="auto" w:fill="auto"/>
            <w:noWrap/>
            <w:vAlign w:val="center"/>
            <w:hideMark/>
          </w:tcPr>
          <w:p w:rsidR="00555E30" w:rsidRPr="00B148B1" w:rsidRDefault="00555E30" w:rsidP="0003176B">
            <w:pPr>
              <w:spacing w:line="240" w:lineRule="auto"/>
              <w:jc w:val="right"/>
              <w:rPr>
                <w:rFonts w:cs="Arial"/>
                <w:color w:val="000000"/>
                <w:szCs w:val="20"/>
                <w:lang w:eastAsia="sl-SI"/>
              </w:rPr>
            </w:pPr>
            <w:r w:rsidRPr="00B148B1">
              <w:rPr>
                <w:rFonts w:cs="Arial"/>
                <w:color w:val="000000"/>
                <w:szCs w:val="20"/>
                <w:lang w:eastAsia="sl-SI"/>
              </w:rPr>
              <w:t>3304</w:t>
            </w:r>
          </w:p>
        </w:tc>
        <w:tc>
          <w:tcPr>
            <w:tcW w:w="1619" w:type="pct"/>
            <w:shd w:val="clear" w:color="auto" w:fill="auto"/>
            <w:noWrap/>
            <w:vAlign w:val="center"/>
            <w:hideMark/>
          </w:tcPr>
          <w:p w:rsidR="00555E30" w:rsidRPr="00B148B1" w:rsidRDefault="00555E30" w:rsidP="0003176B">
            <w:pPr>
              <w:spacing w:line="240" w:lineRule="auto"/>
              <w:rPr>
                <w:rFonts w:cs="Arial"/>
                <w:color w:val="000000"/>
                <w:szCs w:val="20"/>
                <w:lang w:eastAsia="sl-SI"/>
              </w:rPr>
            </w:pPr>
            <w:r w:rsidRPr="00B148B1">
              <w:rPr>
                <w:rFonts w:cs="Arial"/>
                <w:color w:val="000000"/>
                <w:szCs w:val="20"/>
                <w:lang w:eastAsia="sl-SI"/>
              </w:rPr>
              <w:t xml:space="preserve">RAKOVA JELŠA </w:t>
            </w:r>
            <w:r w:rsidRPr="00B148B1">
              <w:rPr>
                <w:rFonts w:cs="Arial"/>
                <w:color w:val="000000"/>
                <w:szCs w:val="20"/>
                <w:vertAlign w:val="superscript"/>
                <w:lang w:eastAsia="sl-SI"/>
              </w:rPr>
              <w:t>(1) (2)</w:t>
            </w:r>
          </w:p>
        </w:tc>
        <w:tc>
          <w:tcPr>
            <w:tcW w:w="937" w:type="pct"/>
            <w:shd w:val="clear" w:color="auto" w:fill="auto"/>
            <w:noWrap/>
            <w:vAlign w:val="center"/>
            <w:hideMark/>
          </w:tcPr>
          <w:p w:rsidR="00555E30" w:rsidRPr="00B148B1" w:rsidRDefault="00555E30" w:rsidP="0003176B">
            <w:pPr>
              <w:spacing w:line="240" w:lineRule="auto"/>
              <w:jc w:val="right"/>
              <w:rPr>
                <w:rFonts w:cs="Arial"/>
                <w:color w:val="000000"/>
                <w:szCs w:val="20"/>
                <w:lang w:eastAsia="sl-SI"/>
              </w:rPr>
            </w:pPr>
            <w:r w:rsidRPr="00B148B1">
              <w:rPr>
                <w:rFonts w:cs="Arial"/>
                <w:color w:val="000000"/>
                <w:szCs w:val="20"/>
                <w:lang w:eastAsia="sl-SI"/>
              </w:rPr>
              <w:t>300</w:t>
            </w:r>
          </w:p>
        </w:tc>
        <w:tc>
          <w:tcPr>
            <w:tcW w:w="1549" w:type="pct"/>
            <w:shd w:val="clear" w:color="auto" w:fill="auto"/>
            <w:noWrap/>
            <w:vAlign w:val="center"/>
            <w:hideMark/>
          </w:tcPr>
          <w:p w:rsidR="00555E30" w:rsidRPr="00B148B1" w:rsidRDefault="00555E30" w:rsidP="0003176B">
            <w:pPr>
              <w:spacing w:line="240" w:lineRule="auto"/>
              <w:jc w:val="right"/>
              <w:rPr>
                <w:rFonts w:cs="Arial"/>
                <w:color w:val="000000"/>
                <w:szCs w:val="20"/>
                <w:lang w:eastAsia="sl-SI"/>
              </w:rPr>
            </w:pPr>
            <w:r w:rsidRPr="00B148B1">
              <w:rPr>
                <w:rFonts w:cs="Arial"/>
                <w:color w:val="000000"/>
                <w:szCs w:val="20"/>
                <w:lang w:eastAsia="sl-SI"/>
              </w:rPr>
              <w:t>659</w:t>
            </w:r>
          </w:p>
        </w:tc>
      </w:tr>
      <w:tr w:rsidR="0003176B" w:rsidRPr="00B148B1" w:rsidTr="00B803AE">
        <w:trPr>
          <w:trHeight w:val="315"/>
        </w:trPr>
        <w:tc>
          <w:tcPr>
            <w:tcW w:w="468" w:type="pct"/>
            <w:shd w:val="clear" w:color="auto" w:fill="auto"/>
            <w:vAlign w:val="center"/>
            <w:hideMark/>
          </w:tcPr>
          <w:p w:rsidR="00555E30" w:rsidRPr="00B148B1" w:rsidRDefault="00555E30" w:rsidP="0003176B">
            <w:pPr>
              <w:spacing w:line="240" w:lineRule="auto"/>
              <w:jc w:val="center"/>
              <w:rPr>
                <w:rFonts w:cs="Arial"/>
                <w:color w:val="000000"/>
                <w:szCs w:val="20"/>
                <w:lang w:eastAsia="sl-SI"/>
              </w:rPr>
            </w:pPr>
            <w:r w:rsidRPr="00B148B1">
              <w:rPr>
                <w:rFonts w:cs="Arial"/>
                <w:bCs/>
                <w:color w:val="000000"/>
                <w:szCs w:val="20"/>
                <w:lang w:eastAsia="sl-SI"/>
              </w:rPr>
              <w:t>7</w:t>
            </w:r>
          </w:p>
        </w:tc>
        <w:tc>
          <w:tcPr>
            <w:tcW w:w="426" w:type="pct"/>
            <w:shd w:val="clear" w:color="auto" w:fill="auto"/>
            <w:noWrap/>
            <w:vAlign w:val="center"/>
            <w:hideMark/>
          </w:tcPr>
          <w:p w:rsidR="00555E30" w:rsidRPr="00B148B1" w:rsidRDefault="00555E30" w:rsidP="0003176B">
            <w:pPr>
              <w:spacing w:line="240" w:lineRule="auto"/>
              <w:jc w:val="right"/>
              <w:rPr>
                <w:rFonts w:cs="Arial"/>
                <w:color w:val="000000"/>
                <w:szCs w:val="20"/>
                <w:lang w:eastAsia="sl-SI"/>
              </w:rPr>
            </w:pPr>
            <w:r w:rsidRPr="00B148B1">
              <w:rPr>
                <w:rFonts w:cs="Arial"/>
                <w:color w:val="000000"/>
                <w:szCs w:val="20"/>
                <w:lang w:eastAsia="sl-SI"/>
              </w:rPr>
              <w:t>4601</w:t>
            </w:r>
          </w:p>
        </w:tc>
        <w:tc>
          <w:tcPr>
            <w:tcW w:w="1619" w:type="pct"/>
            <w:shd w:val="clear" w:color="auto" w:fill="auto"/>
            <w:noWrap/>
            <w:vAlign w:val="center"/>
            <w:hideMark/>
          </w:tcPr>
          <w:p w:rsidR="00555E30" w:rsidRPr="00B148B1" w:rsidRDefault="00555E30" w:rsidP="0003176B">
            <w:pPr>
              <w:spacing w:line="240" w:lineRule="auto"/>
              <w:rPr>
                <w:rFonts w:cs="Arial"/>
                <w:color w:val="000000"/>
                <w:szCs w:val="20"/>
                <w:lang w:eastAsia="sl-SI"/>
              </w:rPr>
            </w:pPr>
            <w:r w:rsidRPr="00B148B1">
              <w:rPr>
                <w:rFonts w:cs="Arial"/>
                <w:color w:val="000000"/>
                <w:szCs w:val="20"/>
                <w:lang w:eastAsia="sl-SI"/>
              </w:rPr>
              <w:t>VNANJE GORICE</w:t>
            </w:r>
          </w:p>
        </w:tc>
        <w:tc>
          <w:tcPr>
            <w:tcW w:w="937" w:type="pct"/>
            <w:shd w:val="clear" w:color="auto" w:fill="auto"/>
            <w:noWrap/>
            <w:vAlign w:val="center"/>
            <w:hideMark/>
          </w:tcPr>
          <w:p w:rsidR="00555E30" w:rsidRPr="00B148B1" w:rsidRDefault="00555E30" w:rsidP="0003176B">
            <w:pPr>
              <w:spacing w:line="240" w:lineRule="auto"/>
              <w:jc w:val="right"/>
              <w:rPr>
                <w:rFonts w:cs="Arial"/>
                <w:color w:val="000000"/>
                <w:szCs w:val="20"/>
                <w:lang w:eastAsia="sl-SI"/>
              </w:rPr>
            </w:pPr>
            <w:r w:rsidRPr="00B148B1">
              <w:rPr>
                <w:rFonts w:cs="Arial"/>
                <w:color w:val="000000"/>
                <w:szCs w:val="20"/>
                <w:lang w:eastAsia="sl-SI"/>
              </w:rPr>
              <w:t>4.300</w:t>
            </w:r>
          </w:p>
        </w:tc>
        <w:tc>
          <w:tcPr>
            <w:tcW w:w="1549" w:type="pct"/>
            <w:shd w:val="clear" w:color="auto" w:fill="auto"/>
            <w:noWrap/>
            <w:vAlign w:val="center"/>
            <w:hideMark/>
          </w:tcPr>
          <w:p w:rsidR="00555E30" w:rsidRPr="00B148B1" w:rsidRDefault="00555E30" w:rsidP="0003176B">
            <w:pPr>
              <w:spacing w:line="240" w:lineRule="auto"/>
              <w:jc w:val="right"/>
              <w:rPr>
                <w:rFonts w:cs="Arial"/>
                <w:color w:val="000000"/>
                <w:szCs w:val="20"/>
                <w:lang w:eastAsia="sl-SI"/>
              </w:rPr>
            </w:pPr>
            <w:r w:rsidRPr="00B148B1">
              <w:rPr>
                <w:rFonts w:cs="Arial"/>
                <w:color w:val="000000"/>
                <w:szCs w:val="20"/>
                <w:lang w:eastAsia="sl-SI"/>
              </w:rPr>
              <w:t>4.071</w:t>
            </w:r>
          </w:p>
        </w:tc>
      </w:tr>
      <w:tr w:rsidR="0003176B" w:rsidRPr="00B148B1" w:rsidTr="00B803AE">
        <w:trPr>
          <w:trHeight w:val="315"/>
        </w:trPr>
        <w:tc>
          <w:tcPr>
            <w:tcW w:w="468" w:type="pct"/>
            <w:shd w:val="clear" w:color="auto" w:fill="auto"/>
            <w:vAlign w:val="center"/>
            <w:hideMark/>
          </w:tcPr>
          <w:p w:rsidR="00555E30" w:rsidRPr="00B148B1" w:rsidRDefault="00555E30" w:rsidP="0003176B">
            <w:pPr>
              <w:spacing w:line="240" w:lineRule="auto"/>
              <w:jc w:val="center"/>
              <w:rPr>
                <w:rFonts w:cs="Arial"/>
                <w:color w:val="000000"/>
                <w:szCs w:val="20"/>
                <w:lang w:eastAsia="sl-SI"/>
              </w:rPr>
            </w:pPr>
            <w:r w:rsidRPr="00B148B1">
              <w:rPr>
                <w:rFonts w:cs="Arial"/>
                <w:bCs/>
                <w:color w:val="000000"/>
                <w:szCs w:val="20"/>
                <w:lang w:eastAsia="sl-SI"/>
              </w:rPr>
              <w:t>8</w:t>
            </w:r>
          </w:p>
        </w:tc>
        <w:tc>
          <w:tcPr>
            <w:tcW w:w="426" w:type="pct"/>
            <w:shd w:val="clear" w:color="auto" w:fill="auto"/>
            <w:noWrap/>
            <w:vAlign w:val="center"/>
            <w:hideMark/>
          </w:tcPr>
          <w:p w:rsidR="00555E30" w:rsidRPr="00B148B1" w:rsidRDefault="00555E30" w:rsidP="0003176B">
            <w:pPr>
              <w:spacing w:line="240" w:lineRule="auto"/>
              <w:jc w:val="right"/>
              <w:rPr>
                <w:rFonts w:cs="Arial"/>
                <w:color w:val="000000"/>
                <w:szCs w:val="20"/>
                <w:lang w:eastAsia="sl-SI"/>
              </w:rPr>
            </w:pPr>
            <w:r w:rsidRPr="00B148B1">
              <w:rPr>
                <w:rFonts w:cs="Arial"/>
                <w:color w:val="000000"/>
                <w:szCs w:val="20"/>
                <w:lang w:eastAsia="sl-SI"/>
              </w:rPr>
              <w:t>556</w:t>
            </w:r>
          </w:p>
        </w:tc>
        <w:tc>
          <w:tcPr>
            <w:tcW w:w="1619" w:type="pct"/>
            <w:shd w:val="clear" w:color="auto" w:fill="auto"/>
            <w:noWrap/>
            <w:vAlign w:val="center"/>
            <w:hideMark/>
          </w:tcPr>
          <w:p w:rsidR="00555E30" w:rsidRPr="00B148B1" w:rsidRDefault="00555E30" w:rsidP="0003176B">
            <w:pPr>
              <w:spacing w:line="240" w:lineRule="auto"/>
              <w:rPr>
                <w:rFonts w:cs="Arial"/>
                <w:color w:val="000000"/>
                <w:szCs w:val="20"/>
                <w:lang w:eastAsia="sl-SI"/>
              </w:rPr>
            </w:pPr>
            <w:r w:rsidRPr="00B148B1">
              <w:rPr>
                <w:rFonts w:cs="Arial"/>
                <w:color w:val="000000"/>
                <w:szCs w:val="20"/>
                <w:lang w:eastAsia="sl-SI"/>
              </w:rPr>
              <w:t>PREDDVOR</w:t>
            </w:r>
          </w:p>
        </w:tc>
        <w:tc>
          <w:tcPr>
            <w:tcW w:w="937" w:type="pct"/>
            <w:shd w:val="clear" w:color="auto" w:fill="auto"/>
            <w:noWrap/>
            <w:vAlign w:val="center"/>
            <w:hideMark/>
          </w:tcPr>
          <w:p w:rsidR="00555E30" w:rsidRPr="00B148B1" w:rsidRDefault="00555E30" w:rsidP="0003176B">
            <w:pPr>
              <w:spacing w:line="240" w:lineRule="auto"/>
              <w:jc w:val="right"/>
              <w:rPr>
                <w:rFonts w:cs="Arial"/>
                <w:color w:val="000000"/>
                <w:szCs w:val="20"/>
                <w:lang w:eastAsia="sl-SI"/>
              </w:rPr>
            </w:pPr>
            <w:r w:rsidRPr="00B148B1">
              <w:rPr>
                <w:rFonts w:cs="Arial"/>
                <w:color w:val="000000"/>
                <w:szCs w:val="20"/>
                <w:lang w:eastAsia="sl-SI"/>
              </w:rPr>
              <w:t>4.000</w:t>
            </w:r>
          </w:p>
        </w:tc>
        <w:tc>
          <w:tcPr>
            <w:tcW w:w="1549" w:type="pct"/>
            <w:shd w:val="clear" w:color="auto" w:fill="auto"/>
            <w:noWrap/>
            <w:vAlign w:val="center"/>
            <w:hideMark/>
          </w:tcPr>
          <w:p w:rsidR="00555E30" w:rsidRPr="00B148B1" w:rsidRDefault="00555E30" w:rsidP="0003176B">
            <w:pPr>
              <w:spacing w:line="240" w:lineRule="auto"/>
              <w:jc w:val="right"/>
              <w:rPr>
                <w:rFonts w:cs="Arial"/>
                <w:color w:val="000000"/>
                <w:szCs w:val="20"/>
                <w:lang w:eastAsia="sl-SI"/>
              </w:rPr>
            </w:pPr>
            <w:r w:rsidRPr="00B148B1">
              <w:rPr>
                <w:rFonts w:cs="Arial"/>
                <w:color w:val="000000"/>
                <w:szCs w:val="20"/>
                <w:lang w:eastAsia="sl-SI"/>
              </w:rPr>
              <w:t>1.464</w:t>
            </w:r>
          </w:p>
        </w:tc>
      </w:tr>
      <w:tr w:rsidR="0003176B" w:rsidRPr="00B148B1" w:rsidTr="00B803AE">
        <w:trPr>
          <w:trHeight w:val="315"/>
        </w:trPr>
        <w:tc>
          <w:tcPr>
            <w:tcW w:w="468" w:type="pct"/>
            <w:shd w:val="clear" w:color="auto" w:fill="auto"/>
            <w:vAlign w:val="center"/>
            <w:hideMark/>
          </w:tcPr>
          <w:p w:rsidR="00555E30" w:rsidRPr="00B148B1" w:rsidRDefault="00555E30" w:rsidP="0003176B">
            <w:pPr>
              <w:spacing w:line="240" w:lineRule="auto"/>
              <w:jc w:val="center"/>
              <w:rPr>
                <w:rFonts w:cs="Arial"/>
                <w:color w:val="000000"/>
                <w:szCs w:val="20"/>
                <w:lang w:eastAsia="sl-SI"/>
              </w:rPr>
            </w:pPr>
            <w:r w:rsidRPr="00B148B1">
              <w:rPr>
                <w:rFonts w:cs="Arial"/>
                <w:bCs/>
                <w:color w:val="000000"/>
                <w:szCs w:val="20"/>
                <w:lang w:eastAsia="sl-SI"/>
              </w:rPr>
              <w:t>9</w:t>
            </w:r>
          </w:p>
        </w:tc>
        <w:tc>
          <w:tcPr>
            <w:tcW w:w="426" w:type="pct"/>
            <w:shd w:val="clear" w:color="auto" w:fill="auto"/>
            <w:noWrap/>
            <w:vAlign w:val="center"/>
            <w:hideMark/>
          </w:tcPr>
          <w:p w:rsidR="00555E30" w:rsidRPr="00B148B1" w:rsidRDefault="00555E30" w:rsidP="0003176B">
            <w:pPr>
              <w:spacing w:line="240" w:lineRule="auto"/>
              <w:jc w:val="right"/>
              <w:rPr>
                <w:rFonts w:cs="Arial"/>
                <w:color w:val="000000"/>
                <w:szCs w:val="20"/>
                <w:lang w:eastAsia="sl-SI"/>
              </w:rPr>
            </w:pPr>
            <w:r w:rsidRPr="00B148B1">
              <w:rPr>
                <w:rFonts w:cs="Arial"/>
                <w:color w:val="000000"/>
                <w:szCs w:val="20"/>
                <w:lang w:eastAsia="sl-SI"/>
              </w:rPr>
              <w:t>83</w:t>
            </w:r>
          </w:p>
        </w:tc>
        <w:tc>
          <w:tcPr>
            <w:tcW w:w="1619" w:type="pct"/>
            <w:shd w:val="clear" w:color="auto" w:fill="auto"/>
            <w:noWrap/>
            <w:vAlign w:val="center"/>
            <w:hideMark/>
          </w:tcPr>
          <w:p w:rsidR="00555E30" w:rsidRPr="00B148B1" w:rsidRDefault="00555E30" w:rsidP="0003176B">
            <w:pPr>
              <w:spacing w:line="240" w:lineRule="auto"/>
              <w:rPr>
                <w:rFonts w:cs="Arial"/>
                <w:color w:val="000000"/>
                <w:szCs w:val="20"/>
                <w:lang w:eastAsia="sl-SI"/>
              </w:rPr>
            </w:pPr>
            <w:r w:rsidRPr="00B148B1">
              <w:rPr>
                <w:rFonts w:cs="Arial"/>
                <w:color w:val="000000"/>
                <w:szCs w:val="20"/>
                <w:lang w:eastAsia="sl-SI"/>
              </w:rPr>
              <w:t xml:space="preserve">KAVČE </w:t>
            </w:r>
            <w:r w:rsidRPr="00B148B1">
              <w:rPr>
                <w:rFonts w:cs="Arial"/>
                <w:color w:val="000000"/>
                <w:szCs w:val="20"/>
                <w:vertAlign w:val="superscript"/>
                <w:lang w:eastAsia="sl-SI"/>
              </w:rPr>
              <w:t>(1)</w:t>
            </w:r>
          </w:p>
        </w:tc>
        <w:tc>
          <w:tcPr>
            <w:tcW w:w="937" w:type="pct"/>
            <w:shd w:val="clear" w:color="auto" w:fill="auto"/>
            <w:noWrap/>
            <w:vAlign w:val="center"/>
            <w:hideMark/>
          </w:tcPr>
          <w:p w:rsidR="00555E30" w:rsidRPr="00B148B1" w:rsidRDefault="00555E30" w:rsidP="0003176B">
            <w:pPr>
              <w:spacing w:line="240" w:lineRule="auto"/>
              <w:jc w:val="right"/>
              <w:rPr>
                <w:rFonts w:cs="Arial"/>
                <w:color w:val="000000"/>
                <w:szCs w:val="20"/>
                <w:lang w:eastAsia="sl-SI"/>
              </w:rPr>
            </w:pPr>
            <w:r w:rsidRPr="00B148B1">
              <w:rPr>
                <w:rFonts w:cs="Arial"/>
                <w:color w:val="000000"/>
                <w:szCs w:val="20"/>
                <w:lang w:eastAsia="sl-SI"/>
              </w:rPr>
              <w:t>500</w:t>
            </w:r>
          </w:p>
        </w:tc>
        <w:tc>
          <w:tcPr>
            <w:tcW w:w="1549" w:type="pct"/>
            <w:shd w:val="clear" w:color="auto" w:fill="auto"/>
            <w:noWrap/>
            <w:vAlign w:val="center"/>
            <w:hideMark/>
          </w:tcPr>
          <w:p w:rsidR="00555E30" w:rsidRPr="00B148B1" w:rsidRDefault="00555E30" w:rsidP="0003176B">
            <w:pPr>
              <w:spacing w:line="240" w:lineRule="auto"/>
              <w:jc w:val="right"/>
              <w:rPr>
                <w:rFonts w:cs="Arial"/>
                <w:color w:val="000000"/>
                <w:szCs w:val="20"/>
                <w:lang w:eastAsia="sl-SI"/>
              </w:rPr>
            </w:pPr>
            <w:r w:rsidRPr="00B148B1">
              <w:rPr>
                <w:rFonts w:cs="Arial"/>
                <w:color w:val="000000"/>
                <w:szCs w:val="20"/>
                <w:lang w:eastAsia="sl-SI"/>
              </w:rPr>
              <w:t>249</w:t>
            </w:r>
          </w:p>
        </w:tc>
      </w:tr>
    </w:tbl>
    <w:p w:rsidR="00DC660E" w:rsidRPr="00B148B1" w:rsidRDefault="00CA7AB9" w:rsidP="00A85818">
      <w:pPr>
        <w:keepNext/>
        <w:tabs>
          <w:tab w:val="left" w:pos="9600"/>
        </w:tabs>
        <w:spacing w:before="120" w:line="280" w:lineRule="atLeast"/>
        <w:rPr>
          <w:rFonts w:cs="Arial"/>
          <w:sz w:val="18"/>
          <w:szCs w:val="18"/>
        </w:rPr>
      </w:pPr>
      <w:r w:rsidRPr="00B148B1">
        <w:rPr>
          <w:rFonts w:cs="Arial"/>
          <w:sz w:val="18"/>
          <w:szCs w:val="18"/>
          <w:vertAlign w:val="superscript"/>
        </w:rPr>
        <w:t>(1)</w:t>
      </w:r>
      <w:r w:rsidR="005301C3" w:rsidRPr="00B148B1">
        <w:rPr>
          <w:rFonts w:cs="Arial"/>
          <w:sz w:val="18"/>
          <w:szCs w:val="18"/>
        </w:rPr>
        <w:t xml:space="preserve"> </w:t>
      </w:r>
      <w:r w:rsidRPr="00B148B1">
        <w:rPr>
          <w:rFonts w:cs="Arial"/>
          <w:sz w:val="18"/>
          <w:szCs w:val="18"/>
        </w:rPr>
        <w:t>Komunalna čistilna naprava z zmogljivostjo</w:t>
      </w:r>
      <w:r w:rsidR="00E30FEA" w:rsidRPr="00B148B1">
        <w:rPr>
          <w:rFonts w:cs="Arial"/>
          <w:sz w:val="18"/>
          <w:szCs w:val="18"/>
        </w:rPr>
        <w:t>,</w:t>
      </w:r>
      <w:r w:rsidRPr="00B148B1">
        <w:rPr>
          <w:rFonts w:cs="Arial"/>
          <w:sz w:val="18"/>
          <w:szCs w:val="18"/>
        </w:rPr>
        <w:t xml:space="preserve"> manjšo od 2.000 PE čisti komunalno odpadno vodo iz aglomeracije s skupno obremenitvijo</w:t>
      </w:r>
      <w:r w:rsidR="005301C3" w:rsidRPr="00B148B1">
        <w:rPr>
          <w:rFonts w:cs="Arial"/>
          <w:sz w:val="18"/>
          <w:szCs w:val="18"/>
        </w:rPr>
        <w:t>,</w:t>
      </w:r>
      <w:r w:rsidRPr="00B148B1">
        <w:rPr>
          <w:rFonts w:cs="Arial"/>
          <w:sz w:val="18"/>
          <w:szCs w:val="18"/>
        </w:rPr>
        <w:t xml:space="preserve"> enako ali večjo od 2.000 PE.</w:t>
      </w:r>
    </w:p>
    <w:p w:rsidR="00DC660E" w:rsidRPr="00B148B1" w:rsidRDefault="00DC660E" w:rsidP="00A85818">
      <w:pPr>
        <w:keepNext/>
        <w:tabs>
          <w:tab w:val="left" w:pos="9600"/>
        </w:tabs>
        <w:spacing w:before="120" w:line="280" w:lineRule="atLeast"/>
        <w:rPr>
          <w:rFonts w:cs="Arial"/>
          <w:sz w:val="18"/>
          <w:szCs w:val="18"/>
        </w:rPr>
      </w:pPr>
      <w:r w:rsidRPr="00B148B1">
        <w:rPr>
          <w:rFonts w:cs="Arial"/>
          <w:sz w:val="18"/>
          <w:szCs w:val="18"/>
          <w:vertAlign w:val="superscript"/>
        </w:rPr>
        <w:t>(2)</w:t>
      </w:r>
      <w:r w:rsidRPr="00B148B1">
        <w:rPr>
          <w:rFonts w:cs="Arial"/>
          <w:sz w:val="18"/>
          <w:szCs w:val="18"/>
        </w:rPr>
        <w:t xml:space="preserve"> Nadgradnja komunalne čistilne naprave za zagotovitev terciarnega čiščenja se že rešuje s projektom »Odvajanje in čiščenje odpadne vode na območju vodonosnika Ljubljanskega polja</w:t>
      </w:r>
      <w:r w:rsidR="005301C3" w:rsidRPr="00B148B1">
        <w:rPr>
          <w:rFonts w:cs="Arial"/>
          <w:sz w:val="18"/>
          <w:szCs w:val="18"/>
        </w:rPr>
        <w:t>«</w:t>
      </w:r>
      <w:r w:rsidRPr="00B148B1">
        <w:rPr>
          <w:rFonts w:cs="Arial"/>
          <w:sz w:val="18"/>
          <w:szCs w:val="18"/>
        </w:rPr>
        <w:t xml:space="preserve">. </w:t>
      </w:r>
    </w:p>
    <w:p w:rsidR="00A17058" w:rsidRPr="00B148B1" w:rsidRDefault="00C01B13" w:rsidP="00C01B13">
      <w:pPr>
        <w:tabs>
          <w:tab w:val="left" w:pos="9600"/>
        </w:tabs>
        <w:spacing w:before="120" w:line="280" w:lineRule="atLeast"/>
        <w:rPr>
          <w:rFonts w:cs="Arial"/>
          <w:szCs w:val="20"/>
        </w:rPr>
      </w:pPr>
      <w:r w:rsidRPr="00B148B1">
        <w:rPr>
          <w:rFonts w:cs="Arial"/>
          <w:szCs w:val="20"/>
        </w:rPr>
        <w:t>V prilogi (PRILOGA 12) so prikazane veljavne aglomeracije z roki za izpolnitev zahtev glede</w:t>
      </w:r>
      <w:r w:rsidR="0080779C" w:rsidRPr="00B148B1">
        <w:rPr>
          <w:rFonts w:cs="Arial"/>
          <w:szCs w:val="20"/>
        </w:rPr>
        <w:t xml:space="preserve"> sekundarnega in</w:t>
      </w:r>
      <w:r w:rsidRPr="00B148B1">
        <w:rPr>
          <w:rFonts w:cs="Arial"/>
          <w:szCs w:val="20"/>
        </w:rPr>
        <w:t xml:space="preserve"> terciarnega čiščenja komunalne</w:t>
      </w:r>
      <w:r w:rsidR="00296C49" w:rsidRPr="00B148B1">
        <w:rPr>
          <w:rFonts w:cs="Arial"/>
          <w:szCs w:val="20"/>
        </w:rPr>
        <w:t xml:space="preserve"> </w:t>
      </w:r>
      <w:r w:rsidRPr="00B148B1">
        <w:rPr>
          <w:rFonts w:cs="Arial"/>
          <w:szCs w:val="20"/>
        </w:rPr>
        <w:t>odpadne vode.</w:t>
      </w:r>
    </w:p>
    <w:p w:rsidR="00B04161" w:rsidRDefault="00B04161">
      <w:pPr>
        <w:spacing w:after="200" w:line="276" w:lineRule="auto"/>
        <w:jc w:val="left"/>
      </w:pPr>
      <w:r>
        <w:br w:type="page"/>
      </w:r>
    </w:p>
    <w:p w:rsidR="008D33B5" w:rsidRPr="00B148B1" w:rsidRDefault="008D33B5" w:rsidP="00F56DE2">
      <w:pPr>
        <w:pStyle w:val="Naslov4"/>
      </w:pPr>
      <w:bookmarkStart w:id="124" w:name="_Toc50628091"/>
      <w:r w:rsidRPr="00B148B1">
        <w:lastRenderedPageBreak/>
        <w:t xml:space="preserve">4.5.2.3 Ukrepi </w:t>
      </w:r>
      <w:r w:rsidR="0073639F" w:rsidRPr="00B148B1">
        <w:t xml:space="preserve">in roki </w:t>
      </w:r>
      <w:r w:rsidRPr="00B148B1">
        <w:t>za zagotavljanje primernega čiščenja komunalne odpadne vode</w:t>
      </w:r>
      <w:bookmarkEnd w:id="124"/>
    </w:p>
    <w:p w:rsidR="00B04161" w:rsidRDefault="00B04161" w:rsidP="00B04161"/>
    <w:p w:rsidR="008D33B5" w:rsidRPr="00B148B1" w:rsidRDefault="008D33B5" w:rsidP="00B04161">
      <w:r w:rsidRPr="00B148B1">
        <w:t xml:space="preserve">Za komunalno odpadno vodo, ki se odvaja po kanalizaciji iz aglomeracije s skupno obremenitvijo, manjšo od 2.000 PE, ali iz komunalne čistilne naprave z zmogljivostjo, manjšo od 2.000 PE, ali za komunalno odpadno vodo, ki se zbira v nepretočni greznici v aglomeraciji s skupno obremenitvijo, manjšo od 2.000 PE, mora biti pred odvajanjem v vode zagotovljeno primerno čiščenje, če se komunalna odpadna voda odvaja po kanalizacijskem omrežju (7. člen Direktive 91/271/EGS). </w:t>
      </w:r>
    </w:p>
    <w:p w:rsidR="008D33B5" w:rsidRPr="00B148B1" w:rsidRDefault="008D33B5" w:rsidP="008D33B5">
      <w:pPr>
        <w:tabs>
          <w:tab w:val="left" w:pos="9600"/>
        </w:tabs>
        <w:spacing w:before="120" w:line="280" w:lineRule="atLeast"/>
        <w:rPr>
          <w:rFonts w:cs="Arial"/>
          <w:szCs w:val="20"/>
        </w:rPr>
      </w:pPr>
      <w:r w:rsidRPr="00B148B1">
        <w:rPr>
          <w:rFonts w:cs="Arial"/>
          <w:szCs w:val="20"/>
        </w:rPr>
        <w:t>Predpisi za komunalno odpadno vodo, ki nastaja v aglomeracijah s skupno obremenitvijo, manjšo od 2.000 PE, določajo obveznosti v zvezi z odvajanjem</w:t>
      </w:r>
      <w:r w:rsidR="005301C3" w:rsidRPr="00B148B1">
        <w:rPr>
          <w:rFonts w:cs="Arial"/>
          <w:szCs w:val="20"/>
        </w:rPr>
        <w:t>,</w:t>
      </w:r>
      <w:r w:rsidRPr="00B148B1">
        <w:rPr>
          <w:rFonts w:cs="Arial"/>
          <w:szCs w:val="20"/>
        </w:rPr>
        <w:t xml:space="preserve"> kot </w:t>
      </w:r>
      <w:r w:rsidR="005301C3" w:rsidRPr="00B148B1">
        <w:rPr>
          <w:rFonts w:cs="Arial"/>
          <w:szCs w:val="20"/>
        </w:rPr>
        <w:t xml:space="preserve">je </w:t>
      </w:r>
      <w:r w:rsidRPr="00B148B1">
        <w:rPr>
          <w:rFonts w:cs="Arial"/>
          <w:szCs w:val="20"/>
        </w:rPr>
        <w:t xml:space="preserve">navedeno v </w:t>
      </w:r>
      <w:r w:rsidR="005301C3" w:rsidRPr="00B148B1">
        <w:rPr>
          <w:rFonts w:cs="Arial"/>
          <w:szCs w:val="20"/>
        </w:rPr>
        <w:t>pod</w:t>
      </w:r>
      <w:r w:rsidRPr="00B148B1">
        <w:rPr>
          <w:rFonts w:cs="Arial"/>
          <w:szCs w:val="20"/>
        </w:rPr>
        <w:t>poglavj</w:t>
      </w:r>
      <w:r w:rsidR="00DE6084" w:rsidRPr="00B148B1">
        <w:rPr>
          <w:rFonts w:cs="Arial"/>
          <w:szCs w:val="20"/>
        </w:rPr>
        <w:t>ih</w:t>
      </w:r>
      <w:r w:rsidRPr="00B148B1">
        <w:rPr>
          <w:rFonts w:cs="Arial"/>
          <w:szCs w:val="20"/>
        </w:rPr>
        <w:t xml:space="preserve"> </w:t>
      </w:r>
      <w:r w:rsidRPr="00B148B1">
        <w:rPr>
          <w:rFonts w:cs="Arial"/>
          <w:szCs w:val="20"/>
        </w:rPr>
        <w:fldChar w:fldCharType="begin"/>
      </w:r>
      <w:r w:rsidRPr="00B148B1">
        <w:rPr>
          <w:rFonts w:cs="Arial"/>
          <w:szCs w:val="20"/>
        </w:rPr>
        <w:instrText xml:space="preserve"> REF _Ref446492789 \r \h  \* MERGEFORMAT </w:instrText>
      </w:r>
      <w:r w:rsidRPr="00B148B1">
        <w:rPr>
          <w:rFonts w:cs="Arial"/>
          <w:szCs w:val="20"/>
        </w:rPr>
      </w:r>
      <w:r w:rsidRPr="00B148B1">
        <w:rPr>
          <w:rFonts w:cs="Arial"/>
          <w:szCs w:val="20"/>
        </w:rPr>
        <w:fldChar w:fldCharType="separate"/>
      </w:r>
      <w:r w:rsidR="00E92793">
        <w:rPr>
          <w:rFonts w:cs="Arial"/>
          <w:szCs w:val="20"/>
        </w:rPr>
        <w:t>1.3.4</w:t>
      </w:r>
      <w:r w:rsidRPr="00B148B1">
        <w:rPr>
          <w:rFonts w:cs="Arial"/>
          <w:szCs w:val="20"/>
        </w:rPr>
        <w:fldChar w:fldCharType="end"/>
      </w:r>
      <w:r w:rsidR="004A6385" w:rsidRPr="00B148B1">
        <w:rPr>
          <w:rFonts w:cs="Arial"/>
          <w:szCs w:val="20"/>
        </w:rPr>
        <w:t>.</w:t>
      </w:r>
      <w:r w:rsidR="00DE6084" w:rsidRPr="00B148B1">
        <w:rPr>
          <w:rFonts w:cs="Arial"/>
          <w:szCs w:val="20"/>
        </w:rPr>
        <w:t xml:space="preserve"> </w:t>
      </w:r>
      <w:r w:rsidR="00625885" w:rsidRPr="00B148B1">
        <w:rPr>
          <w:rFonts w:cs="Arial"/>
          <w:szCs w:val="20"/>
        </w:rPr>
        <w:t>in</w:t>
      </w:r>
      <w:r w:rsidR="009727B7" w:rsidRPr="00B148B1">
        <w:rPr>
          <w:rFonts w:cs="Arial"/>
          <w:szCs w:val="20"/>
        </w:rPr>
        <w:t xml:space="preserve"> </w:t>
      </w:r>
      <w:r w:rsidR="009727B7" w:rsidRPr="00B148B1">
        <w:rPr>
          <w:rFonts w:cs="Arial"/>
          <w:szCs w:val="20"/>
        </w:rPr>
        <w:fldChar w:fldCharType="begin"/>
      </w:r>
      <w:r w:rsidR="009727B7" w:rsidRPr="00B148B1">
        <w:rPr>
          <w:rFonts w:cs="Arial"/>
          <w:szCs w:val="20"/>
        </w:rPr>
        <w:instrText xml:space="preserve"> REF _Ref45802686 \n \h </w:instrText>
      </w:r>
      <w:r w:rsidR="00B148B1" w:rsidRPr="00B148B1">
        <w:rPr>
          <w:rFonts w:cs="Arial"/>
          <w:szCs w:val="20"/>
        </w:rPr>
        <w:instrText xml:space="preserve"> \* MERGEFORMAT </w:instrText>
      </w:r>
      <w:r w:rsidR="009727B7" w:rsidRPr="00B148B1">
        <w:rPr>
          <w:rFonts w:cs="Arial"/>
          <w:szCs w:val="20"/>
        </w:rPr>
      </w:r>
      <w:r w:rsidR="009727B7" w:rsidRPr="00B148B1">
        <w:rPr>
          <w:rFonts w:cs="Arial"/>
          <w:szCs w:val="20"/>
        </w:rPr>
        <w:fldChar w:fldCharType="separate"/>
      </w:r>
      <w:r w:rsidR="00E92793">
        <w:rPr>
          <w:rFonts w:cs="Arial"/>
          <w:szCs w:val="20"/>
        </w:rPr>
        <w:t>1.3.5</w:t>
      </w:r>
      <w:r w:rsidR="009727B7" w:rsidRPr="00B148B1">
        <w:rPr>
          <w:rFonts w:cs="Arial"/>
          <w:szCs w:val="20"/>
        </w:rPr>
        <w:fldChar w:fldCharType="end"/>
      </w:r>
      <w:r w:rsidR="009727B7" w:rsidRPr="00B148B1">
        <w:rPr>
          <w:rFonts w:cs="Arial"/>
          <w:szCs w:val="20"/>
        </w:rPr>
        <w:t>.</w:t>
      </w:r>
    </w:p>
    <w:p w:rsidR="00930609" w:rsidRPr="00B148B1" w:rsidRDefault="00930609" w:rsidP="00930609">
      <w:pPr>
        <w:tabs>
          <w:tab w:val="left" w:pos="9600"/>
        </w:tabs>
        <w:spacing w:before="120" w:line="280" w:lineRule="atLeast"/>
        <w:rPr>
          <w:rFonts w:cs="Arial"/>
          <w:szCs w:val="20"/>
        </w:rPr>
      </w:pPr>
      <w:r w:rsidRPr="00B148B1">
        <w:rPr>
          <w:rFonts w:cs="Arial"/>
          <w:szCs w:val="20"/>
        </w:rPr>
        <w:t>V prilogi (PRILOGA 13) so prikazane veljavne aglomeracije s skupno obremenitvijo</w:t>
      </w:r>
      <w:r w:rsidR="005301C3" w:rsidRPr="00B148B1">
        <w:rPr>
          <w:rFonts w:cs="Arial"/>
          <w:szCs w:val="20"/>
        </w:rPr>
        <w:t>,</w:t>
      </w:r>
      <w:r w:rsidRPr="00B148B1">
        <w:rPr>
          <w:rFonts w:cs="Arial"/>
          <w:szCs w:val="20"/>
        </w:rPr>
        <w:t xml:space="preserve"> manjšo od 2.000 PE z roki za izpolnitev zahtev glede primernega čiščenja komunalne odpadne vode.</w:t>
      </w:r>
    </w:p>
    <w:p w:rsidR="00930609" w:rsidRPr="00B148B1" w:rsidRDefault="00930609" w:rsidP="008D33B5">
      <w:pPr>
        <w:tabs>
          <w:tab w:val="left" w:pos="9600"/>
        </w:tabs>
        <w:spacing w:before="120" w:line="280" w:lineRule="atLeast"/>
        <w:rPr>
          <w:rFonts w:cs="Arial"/>
          <w:szCs w:val="20"/>
        </w:rPr>
      </w:pPr>
    </w:p>
    <w:p w:rsidR="00017C09" w:rsidRPr="00B148B1" w:rsidRDefault="001656BF" w:rsidP="00F56DE2">
      <w:pPr>
        <w:pStyle w:val="Naslov4"/>
      </w:pPr>
      <w:bookmarkStart w:id="125" w:name="_Toc50628092"/>
      <w:r w:rsidRPr="00B148B1">
        <w:t xml:space="preserve">4.5.2.4 </w:t>
      </w:r>
      <w:r w:rsidR="00017C09" w:rsidRPr="00B148B1">
        <w:t>Ukrepi za zagotavljanje dodatne obdelave komunalne odpadne vode</w:t>
      </w:r>
      <w:bookmarkEnd w:id="125"/>
    </w:p>
    <w:p w:rsidR="00C50F1A" w:rsidRPr="00B148B1" w:rsidRDefault="00C50F1A" w:rsidP="00881A72"/>
    <w:p w:rsidR="004512B6" w:rsidRPr="00B148B1" w:rsidRDefault="00D2157B" w:rsidP="00B04161">
      <w:r w:rsidRPr="00B148B1">
        <w:t>Za komunalno odpadno vodo mora biti pred odvajanjem v vode zagotovljena</w:t>
      </w:r>
      <w:r w:rsidR="004512B6" w:rsidRPr="00B148B1">
        <w:t xml:space="preserve"> tudi</w:t>
      </w:r>
      <w:r w:rsidRPr="00B148B1">
        <w:t xml:space="preserve"> dodatna obdelava tako, da mikrobiološki parametri ne presegajo </w:t>
      </w:r>
      <w:r w:rsidR="004512B6" w:rsidRPr="00B148B1">
        <w:t xml:space="preserve">predpisanih </w:t>
      </w:r>
      <w:r w:rsidRPr="00B148B1">
        <w:t>mejnih vrednosti za dodatno obdelavo</w:t>
      </w:r>
      <w:r w:rsidR="008F177A" w:rsidRPr="00B148B1">
        <w:t xml:space="preserve"> (5. člen Direktive 91/271/EGS)</w:t>
      </w:r>
      <w:r w:rsidR="004512B6" w:rsidRPr="00B148B1">
        <w:t xml:space="preserve">, </w:t>
      </w:r>
      <w:r w:rsidRPr="00B148B1">
        <w:t>če</w:t>
      </w:r>
      <w:r w:rsidR="004512B6" w:rsidRPr="00B148B1">
        <w:t>:</w:t>
      </w:r>
    </w:p>
    <w:p w:rsidR="004512B6" w:rsidRPr="00B148B1" w:rsidRDefault="00D2157B"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gre za iztok neposredno v površinsko vodo ali posredno v podzemno vodo na vplivnem območju kopalnih voda v času kopalne sezone in gre za komunalno odpadno vodo iz aglomeracije s skupno obremenitvijo, enako ali večjo od 500 PE, ali iz komunalne čistilne naprave z zmogljivostjo, enako ali večjo od 500 PE, ali za komunalno odpadno vodo, ki se zbira v nepretočni greznici v aglomeraciji s skupno obremenit</w:t>
      </w:r>
      <w:r w:rsidR="004512B6" w:rsidRPr="00B148B1">
        <w:rPr>
          <w:rFonts w:cs="Arial"/>
          <w:szCs w:val="20"/>
        </w:rPr>
        <w:t>vijo, enako ali večjo od 500 PE, ali</w:t>
      </w:r>
    </w:p>
    <w:p w:rsidR="004512B6" w:rsidRPr="00B148B1" w:rsidRDefault="004512B6" w:rsidP="004C2581">
      <w:pPr>
        <w:numPr>
          <w:ilvl w:val="0"/>
          <w:numId w:val="6"/>
        </w:numPr>
        <w:tabs>
          <w:tab w:val="num" w:pos="360"/>
          <w:tab w:val="left" w:pos="9600"/>
        </w:tabs>
        <w:spacing w:before="120" w:line="280" w:lineRule="atLeast"/>
        <w:ind w:left="357" w:hanging="357"/>
        <w:rPr>
          <w:rFonts w:cs="Arial"/>
          <w:szCs w:val="20"/>
        </w:rPr>
      </w:pPr>
      <w:r w:rsidRPr="00B148B1">
        <w:rPr>
          <w:rFonts w:cs="Arial"/>
          <w:szCs w:val="20"/>
        </w:rPr>
        <w:t xml:space="preserve">gre za iztok posredno v podzemno vodo na območju </w:t>
      </w:r>
      <w:proofErr w:type="spellStart"/>
      <w:r w:rsidRPr="00B148B1">
        <w:rPr>
          <w:rFonts w:cs="Arial"/>
          <w:szCs w:val="20"/>
        </w:rPr>
        <w:t>razpoklinskih</w:t>
      </w:r>
      <w:proofErr w:type="spellEnd"/>
      <w:r w:rsidRPr="00B148B1">
        <w:rPr>
          <w:rFonts w:cs="Arial"/>
          <w:szCs w:val="20"/>
        </w:rPr>
        <w:t xml:space="preserve"> vodonosnikov, vključno s kraškimi, če je iztok na zakraselem območju oziroma na mestu iztoka pri najvišji gladini podzemne vode ni mogoče zagotoviti odvajanja </w:t>
      </w:r>
      <w:r w:rsidR="00521E84" w:rsidRPr="00B148B1">
        <w:rPr>
          <w:rFonts w:cs="Arial"/>
          <w:szCs w:val="20"/>
        </w:rPr>
        <w:t xml:space="preserve">čez </w:t>
      </w:r>
      <w:r w:rsidRPr="00B148B1">
        <w:rPr>
          <w:rFonts w:cs="Arial"/>
          <w:szCs w:val="20"/>
        </w:rPr>
        <w:t>zadostn</w:t>
      </w:r>
      <w:r w:rsidR="00521E84" w:rsidRPr="00B148B1">
        <w:rPr>
          <w:rFonts w:cs="Arial"/>
          <w:szCs w:val="20"/>
        </w:rPr>
        <w:t>o</w:t>
      </w:r>
      <w:r w:rsidRPr="00B148B1">
        <w:rPr>
          <w:rFonts w:cs="Arial"/>
          <w:szCs w:val="20"/>
        </w:rPr>
        <w:t xml:space="preserve"> plast </w:t>
      </w:r>
      <w:proofErr w:type="spellStart"/>
      <w:r w:rsidRPr="00B148B1">
        <w:rPr>
          <w:rFonts w:cs="Arial"/>
          <w:szCs w:val="20"/>
        </w:rPr>
        <w:t>nezasičene</w:t>
      </w:r>
      <w:proofErr w:type="spellEnd"/>
      <w:r w:rsidRPr="00B148B1">
        <w:rPr>
          <w:rFonts w:cs="Arial"/>
          <w:szCs w:val="20"/>
        </w:rPr>
        <w:t xml:space="preserve"> cone vodonosnika, kjer zadrževalne sposobnosti </w:t>
      </w:r>
      <w:proofErr w:type="spellStart"/>
      <w:r w:rsidRPr="00B148B1">
        <w:rPr>
          <w:rFonts w:cs="Arial"/>
          <w:szCs w:val="20"/>
        </w:rPr>
        <w:t>neomočenih</w:t>
      </w:r>
      <w:proofErr w:type="spellEnd"/>
      <w:r w:rsidRPr="00B148B1">
        <w:rPr>
          <w:rFonts w:cs="Arial"/>
          <w:szCs w:val="20"/>
        </w:rPr>
        <w:t xml:space="preserve"> sedimentov ali zemljin preprečujejo vnos onesnaževal v podzemno vodo, in gre za komunalno odpadno vodo iz aglomeracije s skupno obremenitvijo, enako ali večjo od 2.000 PE, ali iz komunalne čistilne naprave z zmogljivostjo, enako ali večjo od 2.000 PE, ali za komunalno odpadno vodo, ki se zbira v nepretočni greznici v aglomeraciji s skupno obremenitvijo, enako ali večjo od 2.000 PE.</w:t>
      </w:r>
    </w:p>
    <w:p w:rsidR="007637BE" w:rsidRPr="00B148B1" w:rsidRDefault="00D2157B" w:rsidP="00D2157B">
      <w:pPr>
        <w:tabs>
          <w:tab w:val="left" w:pos="9600"/>
        </w:tabs>
        <w:spacing w:before="120" w:line="280" w:lineRule="atLeast"/>
        <w:rPr>
          <w:rFonts w:cs="Arial"/>
          <w:szCs w:val="20"/>
        </w:rPr>
      </w:pPr>
      <w:r w:rsidRPr="00B148B1">
        <w:rPr>
          <w:rFonts w:cs="Arial"/>
          <w:szCs w:val="20"/>
        </w:rPr>
        <w:t xml:space="preserve">Analize kažejo, da bo </w:t>
      </w:r>
      <w:r w:rsidR="00B74C8B" w:rsidRPr="00B148B1">
        <w:rPr>
          <w:rFonts w:cs="Arial"/>
          <w:szCs w:val="20"/>
        </w:rPr>
        <w:t xml:space="preserve">treba </w:t>
      </w:r>
      <w:r w:rsidR="004344FD" w:rsidRPr="00B148B1">
        <w:rPr>
          <w:rFonts w:cs="Arial"/>
          <w:szCs w:val="20"/>
        </w:rPr>
        <w:t>glede na podatke na dan 31. decembr</w:t>
      </w:r>
      <w:r w:rsidR="00B74C8B" w:rsidRPr="00B148B1">
        <w:rPr>
          <w:rFonts w:cs="Arial"/>
          <w:szCs w:val="20"/>
        </w:rPr>
        <w:t>a</w:t>
      </w:r>
      <w:r w:rsidR="004344FD" w:rsidRPr="00B148B1">
        <w:rPr>
          <w:rFonts w:cs="Arial"/>
          <w:szCs w:val="20"/>
        </w:rPr>
        <w:t xml:space="preserve"> 201</w:t>
      </w:r>
      <w:r w:rsidR="008125F2" w:rsidRPr="00B148B1">
        <w:rPr>
          <w:rFonts w:cs="Arial"/>
          <w:szCs w:val="20"/>
        </w:rPr>
        <w:t>8</w:t>
      </w:r>
      <w:r w:rsidR="004344FD" w:rsidRPr="00B148B1">
        <w:rPr>
          <w:rFonts w:cs="Arial"/>
          <w:szCs w:val="20"/>
        </w:rPr>
        <w:t xml:space="preserve"> </w:t>
      </w:r>
      <w:r w:rsidR="00E336F2" w:rsidRPr="00B148B1">
        <w:rPr>
          <w:rFonts w:cs="Arial"/>
          <w:szCs w:val="20"/>
        </w:rPr>
        <w:t xml:space="preserve">na komunalni čistilni napravi 107-Dragonja </w:t>
      </w:r>
      <w:r w:rsidRPr="00B148B1">
        <w:rPr>
          <w:rFonts w:cs="Arial"/>
          <w:szCs w:val="20"/>
        </w:rPr>
        <w:t xml:space="preserve">pred odvajanjem komunalne odpadne vode v vode </w:t>
      </w:r>
      <w:r w:rsidR="004512B6" w:rsidRPr="00B148B1">
        <w:rPr>
          <w:rFonts w:cs="Arial"/>
          <w:szCs w:val="20"/>
        </w:rPr>
        <w:t xml:space="preserve">na vplivnem območju kopalnih voda </w:t>
      </w:r>
      <w:r w:rsidRPr="00B148B1">
        <w:rPr>
          <w:rFonts w:cs="Arial"/>
          <w:szCs w:val="20"/>
        </w:rPr>
        <w:t xml:space="preserve">zagotoviti dodatno obdelavo. </w:t>
      </w:r>
      <w:r w:rsidR="00CA1416" w:rsidRPr="00B148B1">
        <w:rPr>
          <w:rFonts w:cs="Arial"/>
          <w:szCs w:val="20"/>
        </w:rPr>
        <w:t xml:space="preserve">Projektirana zmogljivost naprave je 1.000 PE, obremenitev </w:t>
      </w:r>
      <w:r w:rsidR="0078510E" w:rsidRPr="00B148B1">
        <w:rPr>
          <w:rFonts w:cs="Arial"/>
          <w:szCs w:val="20"/>
        </w:rPr>
        <w:t xml:space="preserve">naprave </w:t>
      </w:r>
      <w:r w:rsidR="00CA1416" w:rsidRPr="00B148B1">
        <w:rPr>
          <w:rFonts w:cs="Arial"/>
          <w:szCs w:val="20"/>
        </w:rPr>
        <w:t xml:space="preserve">iz podatkov o obratovalnem </w:t>
      </w:r>
      <w:proofErr w:type="spellStart"/>
      <w:r w:rsidR="00CA1416" w:rsidRPr="00B148B1">
        <w:rPr>
          <w:rFonts w:cs="Arial"/>
          <w:szCs w:val="20"/>
        </w:rPr>
        <w:t>monitoringu</w:t>
      </w:r>
      <w:proofErr w:type="spellEnd"/>
      <w:r w:rsidR="00CA1416" w:rsidRPr="00B148B1">
        <w:rPr>
          <w:rFonts w:cs="Arial"/>
          <w:szCs w:val="20"/>
        </w:rPr>
        <w:t xml:space="preserve"> za leto 2018 znaša 146 PE. </w:t>
      </w:r>
      <w:r w:rsidR="00E336F2" w:rsidRPr="00B148B1">
        <w:rPr>
          <w:rFonts w:cs="Arial"/>
          <w:szCs w:val="20"/>
        </w:rPr>
        <w:t>Vse preostale komunalne ali skupne čistilne naprave te zahteve že izpolnjujejo.</w:t>
      </w:r>
    </w:p>
    <w:p w:rsidR="004512B6" w:rsidRPr="00B148B1" w:rsidRDefault="004512B6" w:rsidP="00137598">
      <w:pPr>
        <w:tabs>
          <w:tab w:val="left" w:pos="9600"/>
        </w:tabs>
        <w:spacing w:before="120" w:line="280" w:lineRule="atLeast"/>
        <w:rPr>
          <w:rFonts w:cs="Arial"/>
          <w:szCs w:val="20"/>
        </w:rPr>
      </w:pPr>
      <w:r w:rsidRPr="00B148B1">
        <w:rPr>
          <w:rFonts w:cs="Arial"/>
          <w:szCs w:val="20"/>
        </w:rPr>
        <w:t>Analize nadalje kažejo, da bo</w:t>
      </w:r>
      <w:r w:rsidR="004344FD" w:rsidRPr="00B148B1">
        <w:rPr>
          <w:rFonts w:cs="Arial"/>
          <w:szCs w:val="20"/>
        </w:rPr>
        <w:t xml:space="preserve"> glede na podatke na dan 31. decembr</w:t>
      </w:r>
      <w:r w:rsidR="00D21583" w:rsidRPr="00B148B1">
        <w:rPr>
          <w:rFonts w:cs="Arial"/>
          <w:szCs w:val="20"/>
        </w:rPr>
        <w:t>a</w:t>
      </w:r>
      <w:r w:rsidR="004344FD" w:rsidRPr="00B148B1">
        <w:rPr>
          <w:rFonts w:cs="Arial"/>
          <w:szCs w:val="20"/>
        </w:rPr>
        <w:t xml:space="preserve"> 201</w:t>
      </w:r>
      <w:r w:rsidR="00512D39" w:rsidRPr="00B148B1">
        <w:rPr>
          <w:rFonts w:cs="Arial"/>
          <w:szCs w:val="20"/>
        </w:rPr>
        <w:t>8</w:t>
      </w:r>
      <w:r w:rsidR="004344FD" w:rsidRPr="00B148B1">
        <w:rPr>
          <w:rFonts w:cs="Arial"/>
          <w:szCs w:val="20"/>
        </w:rPr>
        <w:t xml:space="preserve"> </w:t>
      </w:r>
      <w:r w:rsidRPr="00B148B1">
        <w:rPr>
          <w:rFonts w:cs="Arial"/>
          <w:szCs w:val="20"/>
        </w:rPr>
        <w:t xml:space="preserve">treba </w:t>
      </w:r>
      <w:r w:rsidR="00047A98" w:rsidRPr="00B148B1">
        <w:rPr>
          <w:rFonts w:cs="Arial"/>
          <w:szCs w:val="20"/>
        </w:rPr>
        <w:t>za 13 komunalnih ali skupnih čistilnih naprav</w:t>
      </w:r>
      <w:r w:rsidR="00137598" w:rsidRPr="00B148B1">
        <w:rPr>
          <w:rFonts w:cs="Arial"/>
          <w:szCs w:val="20"/>
        </w:rPr>
        <w:t xml:space="preserve"> (</w:t>
      </w:r>
      <w:r w:rsidR="00137598" w:rsidRPr="00B148B1">
        <w:rPr>
          <w:rFonts w:cs="Arial"/>
          <w:szCs w:val="20"/>
        </w:rPr>
        <w:fldChar w:fldCharType="begin"/>
      </w:r>
      <w:r w:rsidR="00137598" w:rsidRPr="00B148B1">
        <w:rPr>
          <w:rFonts w:cs="Arial"/>
          <w:szCs w:val="20"/>
        </w:rPr>
        <w:instrText xml:space="preserve"> REF _Ref45789225 \h </w:instrText>
      </w:r>
      <w:r w:rsidR="00B148B1" w:rsidRPr="00B148B1">
        <w:rPr>
          <w:rFonts w:cs="Arial"/>
          <w:szCs w:val="20"/>
        </w:rPr>
        <w:instrText xml:space="preserve"> \* MERGEFORMAT </w:instrText>
      </w:r>
      <w:r w:rsidR="00137598" w:rsidRPr="00B148B1">
        <w:rPr>
          <w:rFonts w:cs="Arial"/>
          <w:szCs w:val="20"/>
        </w:rPr>
      </w:r>
      <w:r w:rsidR="00137598" w:rsidRPr="00B148B1">
        <w:rPr>
          <w:rFonts w:cs="Arial"/>
          <w:szCs w:val="20"/>
        </w:rPr>
        <w:fldChar w:fldCharType="separate"/>
      </w:r>
      <w:r w:rsidR="00E92793" w:rsidRPr="00B148B1">
        <w:rPr>
          <w:rFonts w:cs="Arial"/>
          <w:szCs w:val="20"/>
        </w:rPr>
        <w:t xml:space="preserve">Preglednica </w:t>
      </w:r>
      <w:r w:rsidR="00E92793">
        <w:rPr>
          <w:rFonts w:cs="Arial"/>
          <w:noProof/>
          <w:szCs w:val="20"/>
        </w:rPr>
        <w:t>14</w:t>
      </w:r>
      <w:r w:rsidR="00137598" w:rsidRPr="00B148B1">
        <w:rPr>
          <w:rFonts w:cs="Arial"/>
          <w:szCs w:val="20"/>
        </w:rPr>
        <w:fldChar w:fldCharType="end"/>
      </w:r>
      <w:r w:rsidR="00137598" w:rsidRPr="00B148B1">
        <w:rPr>
          <w:rFonts w:cs="Arial"/>
          <w:szCs w:val="20"/>
        </w:rPr>
        <w:t xml:space="preserve">) </w:t>
      </w:r>
      <w:r w:rsidRPr="00B148B1">
        <w:rPr>
          <w:rFonts w:cs="Arial"/>
          <w:szCs w:val="20"/>
        </w:rPr>
        <w:t xml:space="preserve">pred odvajanjem komunalne odpadne vode v vode na območju </w:t>
      </w:r>
      <w:proofErr w:type="spellStart"/>
      <w:r w:rsidR="00512D39" w:rsidRPr="00B148B1">
        <w:rPr>
          <w:rFonts w:cs="Arial"/>
          <w:szCs w:val="20"/>
        </w:rPr>
        <w:t>razpoklinskih</w:t>
      </w:r>
      <w:proofErr w:type="spellEnd"/>
      <w:r w:rsidR="00512D39" w:rsidRPr="00B148B1">
        <w:rPr>
          <w:rFonts w:cs="Arial"/>
          <w:szCs w:val="20"/>
        </w:rPr>
        <w:t xml:space="preserve"> vodonosnikov, vključno s kraškimi</w:t>
      </w:r>
      <w:r w:rsidR="008A1905" w:rsidRPr="00B148B1">
        <w:rPr>
          <w:rFonts w:cs="Arial"/>
          <w:szCs w:val="20"/>
        </w:rPr>
        <w:t xml:space="preserve">, </w:t>
      </w:r>
      <w:r w:rsidR="001F0FF5" w:rsidRPr="00B148B1">
        <w:rPr>
          <w:rFonts w:cs="Arial"/>
          <w:szCs w:val="20"/>
        </w:rPr>
        <w:t xml:space="preserve">v postopku pridobivanja predpisanih dovoljenj </w:t>
      </w:r>
      <w:r w:rsidR="008A1905" w:rsidRPr="00B148B1">
        <w:rPr>
          <w:rFonts w:cs="Arial"/>
          <w:szCs w:val="20"/>
        </w:rPr>
        <w:t>natančneje preveriti</w:t>
      </w:r>
      <w:r w:rsidR="001F0FF5" w:rsidRPr="00B148B1">
        <w:rPr>
          <w:rFonts w:cs="Arial"/>
          <w:szCs w:val="20"/>
        </w:rPr>
        <w:t xml:space="preserve">, ali je treba </w:t>
      </w:r>
      <w:r w:rsidRPr="00B148B1">
        <w:rPr>
          <w:rFonts w:cs="Arial"/>
          <w:szCs w:val="20"/>
        </w:rPr>
        <w:t xml:space="preserve">zagotoviti </w:t>
      </w:r>
      <w:r w:rsidR="001F0FF5" w:rsidRPr="00B148B1">
        <w:rPr>
          <w:rFonts w:cs="Arial"/>
          <w:szCs w:val="20"/>
        </w:rPr>
        <w:t xml:space="preserve">tudi </w:t>
      </w:r>
      <w:r w:rsidRPr="00B148B1">
        <w:rPr>
          <w:rFonts w:cs="Arial"/>
          <w:szCs w:val="20"/>
        </w:rPr>
        <w:t xml:space="preserve">dodatno obdelavo. </w:t>
      </w:r>
      <w:r w:rsidR="001F0FF5" w:rsidRPr="00B148B1">
        <w:rPr>
          <w:rFonts w:cs="Arial"/>
          <w:szCs w:val="20"/>
        </w:rPr>
        <w:t xml:space="preserve">Dodatno obdelavo bo treba zagotoviti, če bo pri posrednem odvajanju v podzemno vodo na območju </w:t>
      </w:r>
      <w:proofErr w:type="spellStart"/>
      <w:r w:rsidR="001F0FF5" w:rsidRPr="00B148B1">
        <w:rPr>
          <w:rFonts w:cs="Arial"/>
          <w:szCs w:val="20"/>
        </w:rPr>
        <w:t>razpoklinskih</w:t>
      </w:r>
      <w:proofErr w:type="spellEnd"/>
      <w:r w:rsidR="001F0FF5" w:rsidRPr="00B148B1">
        <w:rPr>
          <w:rFonts w:cs="Arial"/>
          <w:szCs w:val="20"/>
        </w:rPr>
        <w:t xml:space="preserve"> vodonosnikov, vključno s kraškimi, iztok načrtovan na zakraselem območju oziroma na mestu iztoka pri najvišji gladini podzemne vode </w:t>
      </w:r>
      <w:r w:rsidR="003D5873" w:rsidRPr="00B148B1">
        <w:rPr>
          <w:rFonts w:cs="Arial"/>
          <w:szCs w:val="20"/>
        </w:rPr>
        <w:t>ne bo</w:t>
      </w:r>
      <w:r w:rsidR="001F0FF5" w:rsidRPr="00B148B1">
        <w:rPr>
          <w:rFonts w:cs="Arial"/>
          <w:szCs w:val="20"/>
        </w:rPr>
        <w:t xml:space="preserve"> mogoče zagotoviti odvajanja prek zadostne plasti </w:t>
      </w:r>
      <w:proofErr w:type="spellStart"/>
      <w:r w:rsidR="001F0FF5" w:rsidRPr="00B148B1">
        <w:rPr>
          <w:rFonts w:cs="Arial"/>
          <w:szCs w:val="20"/>
        </w:rPr>
        <w:t>nezasičene</w:t>
      </w:r>
      <w:proofErr w:type="spellEnd"/>
      <w:r w:rsidR="001F0FF5" w:rsidRPr="00B148B1">
        <w:rPr>
          <w:rFonts w:cs="Arial"/>
          <w:szCs w:val="20"/>
        </w:rPr>
        <w:t xml:space="preserve"> cone vodonosnika, kjer zadrževalne sposobnosti </w:t>
      </w:r>
      <w:proofErr w:type="spellStart"/>
      <w:r w:rsidR="001F0FF5" w:rsidRPr="00B148B1">
        <w:rPr>
          <w:rFonts w:cs="Arial"/>
          <w:szCs w:val="20"/>
        </w:rPr>
        <w:t>neomočenih</w:t>
      </w:r>
      <w:proofErr w:type="spellEnd"/>
      <w:r w:rsidR="001F0FF5" w:rsidRPr="00B148B1">
        <w:rPr>
          <w:rFonts w:cs="Arial"/>
          <w:szCs w:val="20"/>
        </w:rPr>
        <w:t xml:space="preserve"> sedimentov ali zemljin preprečujejo vnos onesnaževal v podzemno vodo</w:t>
      </w:r>
      <w:r w:rsidR="003D5873" w:rsidRPr="00B148B1">
        <w:rPr>
          <w:rFonts w:cs="Arial"/>
          <w:szCs w:val="20"/>
        </w:rPr>
        <w:t>.</w:t>
      </w:r>
    </w:p>
    <w:p w:rsidR="003C4B73" w:rsidRDefault="003C4B73" w:rsidP="0044485F">
      <w:pPr>
        <w:rPr>
          <w:rFonts w:cs="Arial"/>
          <w:szCs w:val="20"/>
        </w:rPr>
      </w:pPr>
      <w:bookmarkStart w:id="126" w:name="_Ref12874068"/>
    </w:p>
    <w:p w:rsidR="00555247" w:rsidRPr="00B148B1" w:rsidRDefault="00555247" w:rsidP="0044485F">
      <w:pPr>
        <w:rPr>
          <w:rFonts w:cs="Arial"/>
          <w:szCs w:val="20"/>
        </w:rPr>
      </w:pPr>
    </w:p>
    <w:p w:rsidR="00C50F1A" w:rsidRPr="00B148B1" w:rsidRDefault="00E132A3" w:rsidP="0044485F">
      <w:pPr>
        <w:rPr>
          <w:rFonts w:cs="Arial"/>
          <w:szCs w:val="20"/>
        </w:rPr>
      </w:pPr>
      <w:bookmarkStart w:id="127" w:name="_Ref45789225"/>
      <w:bookmarkStart w:id="128" w:name="_Toc50626730"/>
      <w:r w:rsidRPr="00B148B1">
        <w:rPr>
          <w:rFonts w:cs="Arial"/>
          <w:szCs w:val="20"/>
        </w:rPr>
        <w:lastRenderedPageBreak/>
        <w:t xml:space="preserve">Preglednica </w:t>
      </w:r>
      <w:bookmarkEnd w:id="126"/>
      <w:r w:rsidR="00E336F2" w:rsidRPr="00B148B1">
        <w:rPr>
          <w:rFonts w:cs="Arial"/>
          <w:szCs w:val="20"/>
        </w:rPr>
        <w:fldChar w:fldCharType="begin"/>
      </w:r>
      <w:r w:rsidR="00E336F2" w:rsidRPr="00B148B1">
        <w:rPr>
          <w:rFonts w:cs="Arial"/>
          <w:szCs w:val="20"/>
        </w:rPr>
        <w:instrText xml:space="preserve"> SEQ Preglednica \* ARABIC </w:instrText>
      </w:r>
      <w:r w:rsidR="00E336F2" w:rsidRPr="00B148B1">
        <w:rPr>
          <w:rFonts w:cs="Arial"/>
          <w:szCs w:val="20"/>
        </w:rPr>
        <w:fldChar w:fldCharType="separate"/>
      </w:r>
      <w:r w:rsidR="00E92793">
        <w:rPr>
          <w:rFonts w:cs="Arial"/>
          <w:noProof/>
          <w:szCs w:val="20"/>
        </w:rPr>
        <w:t>14</w:t>
      </w:r>
      <w:r w:rsidR="00E336F2" w:rsidRPr="00B148B1">
        <w:rPr>
          <w:rFonts w:cs="Arial"/>
          <w:szCs w:val="20"/>
        </w:rPr>
        <w:fldChar w:fldCharType="end"/>
      </w:r>
      <w:bookmarkEnd w:id="127"/>
      <w:r w:rsidRPr="00B148B1">
        <w:rPr>
          <w:rFonts w:cs="Arial"/>
          <w:szCs w:val="20"/>
        </w:rPr>
        <w:t xml:space="preserve">: Zahteve </w:t>
      </w:r>
      <w:r w:rsidR="00047A98" w:rsidRPr="00B148B1">
        <w:rPr>
          <w:rFonts w:cs="Arial"/>
          <w:szCs w:val="20"/>
        </w:rPr>
        <w:t xml:space="preserve">komunalnih ali skupnih čistilnih naprav </w:t>
      </w:r>
      <w:r w:rsidRPr="00B148B1">
        <w:rPr>
          <w:rFonts w:cs="Arial"/>
          <w:szCs w:val="20"/>
        </w:rPr>
        <w:t xml:space="preserve">za zagotovitev dodatne obdelave na območju </w:t>
      </w:r>
      <w:proofErr w:type="spellStart"/>
      <w:r w:rsidRPr="00B148B1">
        <w:rPr>
          <w:rFonts w:cs="Arial"/>
          <w:szCs w:val="20"/>
        </w:rPr>
        <w:t>razpoklinskih</w:t>
      </w:r>
      <w:proofErr w:type="spellEnd"/>
      <w:r w:rsidRPr="00B148B1">
        <w:rPr>
          <w:rFonts w:cs="Arial"/>
          <w:szCs w:val="20"/>
        </w:rPr>
        <w:t xml:space="preserve"> vodonosnikov, vključno s kraškimi</w:t>
      </w:r>
      <w:bookmarkEnd w:id="128"/>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18"/>
        <w:gridCol w:w="847"/>
        <w:gridCol w:w="2689"/>
        <w:gridCol w:w="1429"/>
        <w:gridCol w:w="3321"/>
      </w:tblGrid>
      <w:tr w:rsidR="001E37F4" w:rsidRPr="00B148B1" w:rsidTr="00B803AE">
        <w:trPr>
          <w:trHeight w:val="367"/>
          <w:tblHeader/>
        </w:trPr>
        <w:tc>
          <w:tcPr>
            <w:tcW w:w="5000" w:type="pct"/>
            <w:gridSpan w:val="5"/>
            <w:shd w:val="clear" w:color="auto" w:fill="auto"/>
            <w:vAlign w:val="center"/>
          </w:tcPr>
          <w:p w:rsidR="001E37F4" w:rsidRPr="00B148B1" w:rsidRDefault="001E37F4" w:rsidP="001E37F4">
            <w:pPr>
              <w:spacing w:line="240" w:lineRule="auto"/>
              <w:jc w:val="center"/>
              <w:rPr>
                <w:rFonts w:cs="Arial"/>
                <w:b/>
                <w:bCs/>
                <w:color w:val="000000"/>
                <w:szCs w:val="20"/>
                <w:lang w:eastAsia="sl-SI"/>
              </w:rPr>
            </w:pPr>
            <w:r w:rsidRPr="00B148B1">
              <w:rPr>
                <w:rFonts w:cs="Arial"/>
                <w:b/>
                <w:bCs/>
                <w:color w:val="000000"/>
                <w:szCs w:val="20"/>
                <w:lang w:eastAsia="sl-SI"/>
              </w:rPr>
              <w:t>KOMUNALNA ALI SKUPNA ČISTILNA NAPRAVA</w:t>
            </w:r>
          </w:p>
        </w:tc>
      </w:tr>
      <w:tr w:rsidR="001E37F4" w:rsidRPr="00B148B1" w:rsidTr="00B803AE">
        <w:trPr>
          <w:trHeight w:val="495"/>
          <w:tblHeader/>
        </w:trPr>
        <w:tc>
          <w:tcPr>
            <w:tcW w:w="499" w:type="pct"/>
            <w:vMerge w:val="restart"/>
            <w:shd w:val="clear" w:color="auto" w:fill="auto"/>
            <w:vAlign w:val="center"/>
            <w:hideMark/>
          </w:tcPr>
          <w:p w:rsidR="001E37F4" w:rsidRPr="00B148B1" w:rsidRDefault="001E37F4" w:rsidP="001E37F4">
            <w:pPr>
              <w:spacing w:line="240" w:lineRule="auto"/>
              <w:jc w:val="center"/>
              <w:rPr>
                <w:rFonts w:cs="Arial"/>
                <w:b/>
                <w:bCs/>
                <w:color w:val="000000"/>
                <w:szCs w:val="20"/>
                <w:lang w:eastAsia="sl-SI"/>
              </w:rPr>
            </w:pPr>
            <w:r w:rsidRPr="00B148B1">
              <w:rPr>
                <w:rFonts w:cs="Arial"/>
                <w:b/>
                <w:bCs/>
                <w:color w:val="000000"/>
                <w:szCs w:val="20"/>
                <w:lang w:eastAsia="sl-SI"/>
              </w:rPr>
              <w:t>ZAP. ŠT.</w:t>
            </w:r>
          </w:p>
        </w:tc>
        <w:tc>
          <w:tcPr>
            <w:tcW w:w="460" w:type="pct"/>
            <w:vMerge w:val="restart"/>
            <w:shd w:val="clear" w:color="auto" w:fill="auto"/>
            <w:vAlign w:val="center"/>
            <w:hideMark/>
          </w:tcPr>
          <w:p w:rsidR="001E37F4" w:rsidRPr="00B148B1" w:rsidRDefault="001E37F4" w:rsidP="001E37F4">
            <w:pPr>
              <w:spacing w:line="240" w:lineRule="auto"/>
              <w:jc w:val="right"/>
              <w:rPr>
                <w:rFonts w:cs="Arial"/>
                <w:b/>
                <w:bCs/>
                <w:color w:val="000000"/>
                <w:szCs w:val="20"/>
                <w:lang w:eastAsia="sl-SI"/>
              </w:rPr>
            </w:pPr>
            <w:r w:rsidRPr="00B148B1">
              <w:rPr>
                <w:rFonts w:cs="Arial"/>
                <w:b/>
                <w:bCs/>
                <w:color w:val="000000"/>
                <w:szCs w:val="20"/>
                <w:lang w:eastAsia="sl-SI"/>
              </w:rPr>
              <w:t>ID</w:t>
            </w:r>
          </w:p>
        </w:tc>
        <w:tc>
          <w:tcPr>
            <w:tcW w:w="1461" w:type="pct"/>
            <w:vMerge w:val="restart"/>
            <w:shd w:val="clear" w:color="auto" w:fill="auto"/>
            <w:vAlign w:val="center"/>
            <w:hideMark/>
          </w:tcPr>
          <w:p w:rsidR="001E37F4" w:rsidRPr="00B148B1" w:rsidRDefault="001E37F4" w:rsidP="001E37F4">
            <w:pPr>
              <w:spacing w:line="240" w:lineRule="auto"/>
              <w:rPr>
                <w:rFonts w:cs="Arial"/>
                <w:b/>
                <w:bCs/>
                <w:color w:val="000000"/>
                <w:szCs w:val="20"/>
                <w:lang w:eastAsia="sl-SI"/>
              </w:rPr>
            </w:pPr>
            <w:r w:rsidRPr="00B148B1">
              <w:rPr>
                <w:rFonts w:cs="Arial"/>
                <w:b/>
                <w:bCs/>
                <w:color w:val="000000"/>
                <w:szCs w:val="20"/>
                <w:lang w:eastAsia="sl-SI"/>
              </w:rPr>
              <w:t>IME</w:t>
            </w:r>
          </w:p>
        </w:tc>
        <w:tc>
          <w:tcPr>
            <w:tcW w:w="776" w:type="pct"/>
            <w:shd w:val="clear" w:color="auto" w:fill="auto"/>
            <w:vAlign w:val="center"/>
            <w:hideMark/>
          </w:tcPr>
          <w:p w:rsidR="001E37F4" w:rsidRPr="00B148B1" w:rsidRDefault="001E37F4" w:rsidP="001E37F4">
            <w:pPr>
              <w:spacing w:line="240" w:lineRule="auto"/>
              <w:jc w:val="right"/>
              <w:rPr>
                <w:rFonts w:cs="Arial"/>
                <w:b/>
                <w:bCs/>
                <w:color w:val="000000"/>
                <w:szCs w:val="20"/>
                <w:lang w:eastAsia="sl-SI"/>
              </w:rPr>
            </w:pPr>
            <w:r w:rsidRPr="00B148B1">
              <w:rPr>
                <w:rFonts w:cs="Arial"/>
                <w:b/>
                <w:bCs/>
                <w:color w:val="000000"/>
                <w:szCs w:val="20"/>
                <w:lang w:eastAsia="sl-SI"/>
              </w:rPr>
              <w:t xml:space="preserve">KAPACITETA </w:t>
            </w:r>
          </w:p>
        </w:tc>
        <w:tc>
          <w:tcPr>
            <w:tcW w:w="1804" w:type="pct"/>
            <w:shd w:val="clear" w:color="auto" w:fill="auto"/>
            <w:vAlign w:val="center"/>
            <w:hideMark/>
          </w:tcPr>
          <w:p w:rsidR="001E37F4" w:rsidRPr="00B148B1" w:rsidRDefault="001E37F4" w:rsidP="001E37F4">
            <w:pPr>
              <w:spacing w:line="240" w:lineRule="auto"/>
              <w:jc w:val="right"/>
              <w:rPr>
                <w:rFonts w:cs="Arial"/>
                <w:b/>
                <w:bCs/>
                <w:color w:val="000000"/>
                <w:szCs w:val="20"/>
                <w:lang w:eastAsia="sl-SI"/>
              </w:rPr>
            </w:pPr>
            <w:r w:rsidRPr="00B148B1">
              <w:rPr>
                <w:rFonts w:cs="Arial"/>
                <w:b/>
                <w:bCs/>
                <w:color w:val="000000"/>
                <w:szCs w:val="20"/>
                <w:lang w:eastAsia="sl-SI"/>
              </w:rPr>
              <w:t>DEJANSKA OBREMENITEV</w:t>
            </w:r>
          </w:p>
        </w:tc>
      </w:tr>
      <w:tr w:rsidR="001E37F4" w:rsidRPr="00B148B1" w:rsidTr="00B803AE">
        <w:trPr>
          <w:trHeight w:val="315"/>
          <w:tblHeader/>
        </w:trPr>
        <w:tc>
          <w:tcPr>
            <w:tcW w:w="499" w:type="pct"/>
            <w:vMerge/>
            <w:vAlign w:val="center"/>
            <w:hideMark/>
          </w:tcPr>
          <w:p w:rsidR="001E37F4" w:rsidRPr="00B148B1" w:rsidRDefault="001E37F4" w:rsidP="001E37F4">
            <w:pPr>
              <w:spacing w:line="240" w:lineRule="auto"/>
              <w:jc w:val="left"/>
              <w:rPr>
                <w:rFonts w:cs="Arial"/>
                <w:b/>
                <w:bCs/>
                <w:color w:val="000000"/>
                <w:szCs w:val="20"/>
                <w:lang w:eastAsia="sl-SI"/>
              </w:rPr>
            </w:pPr>
          </w:p>
        </w:tc>
        <w:tc>
          <w:tcPr>
            <w:tcW w:w="460" w:type="pct"/>
            <w:vMerge/>
            <w:vAlign w:val="center"/>
            <w:hideMark/>
          </w:tcPr>
          <w:p w:rsidR="001E37F4" w:rsidRPr="00B148B1" w:rsidRDefault="001E37F4" w:rsidP="001E37F4">
            <w:pPr>
              <w:spacing w:line="240" w:lineRule="auto"/>
              <w:jc w:val="left"/>
              <w:rPr>
                <w:rFonts w:cs="Arial"/>
                <w:b/>
                <w:bCs/>
                <w:color w:val="000000"/>
                <w:szCs w:val="20"/>
                <w:lang w:eastAsia="sl-SI"/>
              </w:rPr>
            </w:pPr>
          </w:p>
        </w:tc>
        <w:tc>
          <w:tcPr>
            <w:tcW w:w="1461" w:type="pct"/>
            <w:vMerge/>
            <w:vAlign w:val="center"/>
            <w:hideMark/>
          </w:tcPr>
          <w:p w:rsidR="001E37F4" w:rsidRPr="00B148B1" w:rsidRDefault="001E37F4" w:rsidP="001E37F4">
            <w:pPr>
              <w:spacing w:line="240" w:lineRule="auto"/>
              <w:jc w:val="left"/>
              <w:rPr>
                <w:rFonts w:cs="Arial"/>
                <w:b/>
                <w:bCs/>
                <w:color w:val="000000"/>
                <w:szCs w:val="20"/>
                <w:lang w:eastAsia="sl-SI"/>
              </w:rPr>
            </w:pPr>
          </w:p>
        </w:tc>
        <w:tc>
          <w:tcPr>
            <w:tcW w:w="776" w:type="pct"/>
            <w:shd w:val="clear" w:color="auto" w:fill="auto"/>
            <w:noWrap/>
            <w:vAlign w:val="center"/>
            <w:hideMark/>
          </w:tcPr>
          <w:p w:rsidR="001E37F4" w:rsidRPr="00B148B1" w:rsidRDefault="001E37F4" w:rsidP="001E37F4">
            <w:pPr>
              <w:spacing w:line="240" w:lineRule="auto"/>
              <w:jc w:val="right"/>
              <w:rPr>
                <w:rFonts w:cs="Arial"/>
                <w:b/>
                <w:bCs/>
                <w:color w:val="000000"/>
                <w:szCs w:val="20"/>
                <w:lang w:eastAsia="sl-SI"/>
              </w:rPr>
            </w:pPr>
            <w:r w:rsidRPr="00B148B1">
              <w:rPr>
                <w:rFonts w:cs="Arial"/>
                <w:b/>
                <w:bCs/>
                <w:color w:val="000000"/>
                <w:szCs w:val="20"/>
                <w:lang w:eastAsia="sl-SI"/>
              </w:rPr>
              <w:t>[PE]</w:t>
            </w:r>
          </w:p>
        </w:tc>
        <w:tc>
          <w:tcPr>
            <w:tcW w:w="1804" w:type="pct"/>
            <w:shd w:val="clear" w:color="auto" w:fill="auto"/>
            <w:noWrap/>
            <w:vAlign w:val="center"/>
            <w:hideMark/>
          </w:tcPr>
          <w:p w:rsidR="001E37F4" w:rsidRPr="00B148B1" w:rsidRDefault="001E37F4" w:rsidP="001E37F4">
            <w:pPr>
              <w:spacing w:line="240" w:lineRule="auto"/>
              <w:jc w:val="right"/>
              <w:rPr>
                <w:rFonts w:cs="Arial"/>
                <w:b/>
                <w:bCs/>
                <w:color w:val="000000"/>
                <w:szCs w:val="20"/>
                <w:lang w:eastAsia="sl-SI"/>
              </w:rPr>
            </w:pPr>
            <w:r w:rsidRPr="00B148B1">
              <w:rPr>
                <w:rFonts w:cs="Arial"/>
                <w:b/>
                <w:bCs/>
                <w:color w:val="000000"/>
                <w:szCs w:val="20"/>
                <w:lang w:eastAsia="sl-SI"/>
              </w:rPr>
              <w:t>[PE]</w:t>
            </w:r>
          </w:p>
        </w:tc>
      </w:tr>
      <w:tr w:rsidR="001E37F4" w:rsidRPr="00B148B1" w:rsidTr="00B803AE">
        <w:trPr>
          <w:trHeight w:val="315"/>
        </w:trPr>
        <w:tc>
          <w:tcPr>
            <w:tcW w:w="499" w:type="pct"/>
            <w:shd w:val="clear" w:color="auto" w:fill="auto"/>
            <w:vAlign w:val="center"/>
            <w:hideMark/>
          </w:tcPr>
          <w:p w:rsidR="001E37F4" w:rsidRPr="00B148B1" w:rsidRDefault="001E37F4" w:rsidP="001E37F4">
            <w:pPr>
              <w:spacing w:line="240" w:lineRule="auto"/>
              <w:jc w:val="center"/>
              <w:rPr>
                <w:rFonts w:cs="Arial"/>
                <w:color w:val="000000"/>
                <w:szCs w:val="20"/>
                <w:lang w:eastAsia="sl-SI"/>
              </w:rPr>
            </w:pPr>
            <w:r w:rsidRPr="00B148B1">
              <w:rPr>
                <w:rFonts w:cs="Arial"/>
                <w:bCs/>
                <w:color w:val="000000"/>
                <w:szCs w:val="20"/>
                <w:lang w:eastAsia="sl-SI"/>
              </w:rPr>
              <w:t>1</w:t>
            </w:r>
          </w:p>
        </w:tc>
        <w:tc>
          <w:tcPr>
            <w:tcW w:w="460" w:type="pct"/>
            <w:shd w:val="clear" w:color="auto" w:fill="auto"/>
            <w:noWrap/>
            <w:vAlign w:val="center"/>
            <w:hideMark/>
          </w:tcPr>
          <w:p w:rsidR="001E37F4" w:rsidRPr="00B148B1" w:rsidRDefault="001E37F4" w:rsidP="001E37F4">
            <w:pPr>
              <w:spacing w:line="240" w:lineRule="auto"/>
              <w:jc w:val="right"/>
              <w:rPr>
                <w:rFonts w:cs="Arial"/>
                <w:color w:val="000000"/>
                <w:szCs w:val="20"/>
                <w:lang w:eastAsia="sl-SI"/>
              </w:rPr>
            </w:pPr>
            <w:r w:rsidRPr="00B148B1">
              <w:rPr>
                <w:rFonts w:cs="Arial"/>
                <w:color w:val="000000"/>
                <w:szCs w:val="20"/>
              </w:rPr>
              <w:t>39</w:t>
            </w:r>
          </w:p>
        </w:tc>
        <w:tc>
          <w:tcPr>
            <w:tcW w:w="1461" w:type="pct"/>
            <w:shd w:val="clear" w:color="auto" w:fill="auto"/>
            <w:noWrap/>
            <w:vAlign w:val="center"/>
            <w:hideMark/>
          </w:tcPr>
          <w:p w:rsidR="001E37F4" w:rsidRPr="00B148B1" w:rsidRDefault="001E37F4" w:rsidP="001E37F4">
            <w:pPr>
              <w:spacing w:line="240" w:lineRule="auto"/>
              <w:rPr>
                <w:rFonts w:cs="Arial"/>
                <w:color w:val="000000"/>
                <w:szCs w:val="20"/>
                <w:lang w:eastAsia="sl-SI"/>
              </w:rPr>
            </w:pPr>
            <w:r w:rsidRPr="00B148B1">
              <w:rPr>
                <w:rFonts w:cs="Arial"/>
                <w:color w:val="000000"/>
                <w:szCs w:val="20"/>
              </w:rPr>
              <w:t>NOVO MESTO (LOČNA)</w:t>
            </w:r>
          </w:p>
        </w:tc>
        <w:tc>
          <w:tcPr>
            <w:tcW w:w="776" w:type="pct"/>
            <w:shd w:val="clear" w:color="auto" w:fill="auto"/>
            <w:noWrap/>
            <w:vAlign w:val="center"/>
            <w:hideMark/>
          </w:tcPr>
          <w:p w:rsidR="001E37F4" w:rsidRPr="00B148B1" w:rsidRDefault="001E37F4" w:rsidP="001E37F4">
            <w:pPr>
              <w:spacing w:line="240" w:lineRule="auto"/>
              <w:jc w:val="right"/>
              <w:rPr>
                <w:rFonts w:cs="Arial"/>
                <w:color w:val="000000"/>
                <w:szCs w:val="20"/>
                <w:lang w:eastAsia="sl-SI"/>
              </w:rPr>
            </w:pPr>
            <w:r w:rsidRPr="00B148B1">
              <w:rPr>
                <w:rFonts w:cs="Arial"/>
                <w:color w:val="000000"/>
                <w:szCs w:val="20"/>
              </w:rPr>
              <w:t>55.000</w:t>
            </w:r>
          </w:p>
        </w:tc>
        <w:tc>
          <w:tcPr>
            <w:tcW w:w="1804" w:type="pct"/>
            <w:shd w:val="clear" w:color="auto" w:fill="auto"/>
            <w:noWrap/>
            <w:vAlign w:val="center"/>
            <w:hideMark/>
          </w:tcPr>
          <w:p w:rsidR="001E37F4" w:rsidRPr="00B148B1" w:rsidRDefault="001E37F4" w:rsidP="001E37F4">
            <w:pPr>
              <w:spacing w:line="240" w:lineRule="auto"/>
              <w:jc w:val="right"/>
              <w:rPr>
                <w:rFonts w:cs="Arial"/>
                <w:color w:val="000000"/>
                <w:szCs w:val="20"/>
                <w:lang w:eastAsia="sl-SI"/>
              </w:rPr>
            </w:pPr>
            <w:r w:rsidRPr="00B148B1">
              <w:rPr>
                <w:rFonts w:cs="Arial"/>
                <w:color w:val="000000"/>
                <w:szCs w:val="20"/>
              </w:rPr>
              <w:t>29.853</w:t>
            </w:r>
          </w:p>
        </w:tc>
      </w:tr>
      <w:tr w:rsidR="001E37F4" w:rsidRPr="00B148B1" w:rsidTr="00B803AE">
        <w:trPr>
          <w:trHeight w:val="315"/>
        </w:trPr>
        <w:tc>
          <w:tcPr>
            <w:tcW w:w="499" w:type="pct"/>
            <w:shd w:val="clear" w:color="auto" w:fill="auto"/>
            <w:vAlign w:val="center"/>
            <w:hideMark/>
          </w:tcPr>
          <w:p w:rsidR="001E37F4" w:rsidRPr="00B148B1" w:rsidRDefault="001E37F4" w:rsidP="001E37F4">
            <w:pPr>
              <w:spacing w:line="240" w:lineRule="auto"/>
              <w:jc w:val="center"/>
              <w:rPr>
                <w:rFonts w:cs="Arial"/>
                <w:color w:val="000000"/>
                <w:szCs w:val="20"/>
                <w:lang w:eastAsia="sl-SI"/>
              </w:rPr>
            </w:pPr>
            <w:r w:rsidRPr="00B148B1">
              <w:rPr>
                <w:rFonts w:cs="Arial"/>
                <w:bCs/>
                <w:color w:val="000000"/>
                <w:szCs w:val="20"/>
                <w:lang w:eastAsia="sl-SI"/>
              </w:rPr>
              <w:t>2</w:t>
            </w:r>
          </w:p>
        </w:tc>
        <w:tc>
          <w:tcPr>
            <w:tcW w:w="460" w:type="pct"/>
            <w:shd w:val="clear" w:color="auto" w:fill="auto"/>
            <w:noWrap/>
            <w:vAlign w:val="center"/>
            <w:hideMark/>
          </w:tcPr>
          <w:p w:rsidR="001E37F4" w:rsidRPr="00B148B1" w:rsidRDefault="001E37F4" w:rsidP="001E37F4">
            <w:pPr>
              <w:spacing w:line="240" w:lineRule="auto"/>
              <w:jc w:val="right"/>
              <w:rPr>
                <w:rFonts w:cs="Arial"/>
                <w:color w:val="000000"/>
                <w:szCs w:val="20"/>
                <w:lang w:eastAsia="sl-SI"/>
              </w:rPr>
            </w:pPr>
            <w:r w:rsidRPr="00B148B1">
              <w:rPr>
                <w:rFonts w:cs="Arial"/>
                <w:color w:val="000000"/>
                <w:szCs w:val="20"/>
              </w:rPr>
              <w:t>269</w:t>
            </w:r>
          </w:p>
        </w:tc>
        <w:tc>
          <w:tcPr>
            <w:tcW w:w="1461" w:type="pct"/>
            <w:shd w:val="clear" w:color="auto" w:fill="auto"/>
            <w:noWrap/>
            <w:vAlign w:val="center"/>
            <w:hideMark/>
          </w:tcPr>
          <w:p w:rsidR="001E37F4" w:rsidRPr="00B148B1" w:rsidRDefault="001E37F4" w:rsidP="001E37F4">
            <w:pPr>
              <w:spacing w:line="240" w:lineRule="auto"/>
              <w:rPr>
                <w:rFonts w:cs="Arial"/>
                <w:color w:val="000000"/>
                <w:szCs w:val="20"/>
                <w:lang w:eastAsia="sl-SI"/>
              </w:rPr>
            </w:pPr>
            <w:r w:rsidRPr="00B148B1">
              <w:rPr>
                <w:rFonts w:cs="Arial"/>
                <w:color w:val="000000"/>
                <w:szCs w:val="20"/>
              </w:rPr>
              <w:t>TRBOVLJE</w:t>
            </w:r>
          </w:p>
        </w:tc>
        <w:tc>
          <w:tcPr>
            <w:tcW w:w="776" w:type="pct"/>
            <w:shd w:val="clear" w:color="auto" w:fill="auto"/>
            <w:noWrap/>
            <w:vAlign w:val="center"/>
            <w:hideMark/>
          </w:tcPr>
          <w:p w:rsidR="001E37F4" w:rsidRPr="00B148B1" w:rsidRDefault="001E37F4" w:rsidP="001E37F4">
            <w:pPr>
              <w:spacing w:line="240" w:lineRule="auto"/>
              <w:jc w:val="right"/>
              <w:rPr>
                <w:rFonts w:cs="Arial"/>
                <w:color w:val="000000"/>
                <w:szCs w:val="20"/>
                <w:lang w:eastAsia="sl-SI"/>
              </w:rPr>
            </w:pPr>
            <w:r w:rsidRPr="00B148B1">
              <w:rPr>
                <w:rFonts w:cs="Arial"/>
                <w:color w:val="000000"/>
                <w:szCs w:val="20"/>
              </w:rPr>
              <w:t>19.000</w:t>
            </w:r>
          </w:p>
        </w:tc>
        <w:tc>
          <w:tcPr>
            <w:tcW w:w="1804" w:type="pct"/>
            <w:shd w:val="clear" w:color="auto" w:fill="auto"/>
            <w:noWrap/>
            <w:vAlign w:val="center"/>
            <w:hideMark/>
          </w:tcPr>
          <w:p w:rsidR="001E37F4" w:rsidRPr="00B148B1" w:rsidRDefault="001E37F4" w:rsidP="001E37F4">
            <w:pPr>
              <w:spacing w:line="240" w:lineRule="auto"/>
              <w:jc w:val="right"/>
              <w:rPr>
                <w:rFonts w:cs="Arial"/>
                <w:color w:val="000000"/>
                <w:szCs w:val="20"/>
                <w:lang w:eastAsia="sl-SI"/>
              </w:rPr>
            </w:pPr>
            <w:r w:rsidRPr="00B148B1">
              <w:rPr>
                <w:rFonts w:cs="Arial"/>
                <w:color w:val="000000"/>
                <w:szCs w:val="20"/>
              </w:rPr>
              <w:t>7.325</w:t>
            </w:r>
          </w:p>
        </w:tc>
      </w:tr>
      <w:tr w:rsidR="001E37F4" w:rsidRPr="00B148B1" w:rsidTr="00B803AE">
        <w:trPr>
          <w:trHeight w:val="315"/>
        </w:trPr>
        <w:tc>
          <w:tcPr>
            <w:tcW w:w="499" w:type="pct"/>
            <w:shd w:val="clear" w:color="auto" w:fill="auto"/>
            <w:vAlign w:val="center"/>
            <w:hideMark/>
          </w:tcPr>
          <w:p w:rsidR="001E37F4" w:rsidRPr="00B148B1" w:rsidRDefault="001E37F4" w:rsidP="001E37F4">
            <w:pPr>
              <w:spacing w:line="240" w:lineRule="auto"/>
              <w:jc w:val="center"/>
              <w:rPr>
                <w:rFonts w:cs="Arial"/>
                <w:color w:val="000000"/>
                <w:szCs w:val="20"/>
                <w:lang w:eastAsia="sl-SI"/>
              </w:rPr>
            </w:pPr>
            <w:r w:rsidRPr="00B148B1">
              <w:rPr>
                <w:rFonts w:cs="Arial"/>
                <w:bCs/>
                <w:color w:val="000000"/>
                <w:szCs w:val="20"/>
                <w:lang w:eastAsia="sl-SI"/>
              </w:rPr>
              <w:t>3</w:t>
            </w:r>
          </w:p>
        </w:tc>
        <w:tc>
          <w:tcPr>
            <w:tcW w:w="460" w:type="pct"/>
            <w:shd w:val="clear" w:color="auto" w:fill="auto"/>
            <w:noWrap/>
            <w:vAlign w:val="center"/>
            <w:hideMark/>
          </w:tcPr>
          <w:p w:rsidR="001E37F4" w:rsidRPr="00B148B1" w:rsidRDefault="001E37F4" w:rsidP="001E37F4">
            <w:pPr>
              <w:spacing w:line="240" w:lineRule="auto"/>
              <w:jc w:val="right"/>
              <w:rPr>
                <w:rFonts w:cs="Arial"/>
                <w:color w:val="000000"/>
                <w:szCs w:val="20"/>
                <w:lang w:eastAsia="sl-SI"/>
              </w:rPr>
            </w:pPr>
            <w:r w:rsidRPr="00B148B1">
              <w:rPr>
                <w:rFonts w:cs="Arial"/>
                <w:color w:val="000000"/>
                <w:szCs w:val="20"/>
              </w:rPr>
              <w:t>167</w:t>
            </w:r>
          </w:p>
        </w:tc>
        <w:tc>
          <w:tcPr>
            <w:tcW w:w="1461" w:type="pct"/>
            <w:shd w:val="clear" w:color="auto" w:fill="auto"/>
            <w:noWrap/>
            <w:vAlign w:val="center"/>
            <w:hideMark/>
          </w:tcPr>
          <w:p w:rsidR="001E37F4" w:rsidRPr="00B148B1" w:rsidRDefault="001E37F4" w:rsidP="001E37F4">
            <w:pPr>
              <w:spacing w:line="240" w:lineRule="auto"/>
              <w:rPr>
                <w:rFonts w:cs="Arial"/>
                <w:color w:val="000000"/>
                <w:szCs w:val="20"/>
                <w:lang w:eastAsia="sl-SI"/>
              </w:rPr>
            </w:pPr>
            <w:r w:rsidRPr="00B148B1">
              <w:rPr>
                <w:rFonts w:cs="Arial"/>
                <w:color w:val="000000"/>
                <w:szCs w:val="20"/>
              </w:rPr>
              <w:t>HRASTNIK</w:t>
            </w:r>
          </w:p>
        </w:tc>
        <w:tc>
          <w:tcPr>
            <w:tcW w:w="776" w:type="pct"/>
            <w:shd w:val="clear" w:color="auto" w:fill="auto"/>
            <w:noWrap/>
            <w:vAlign w:val="center"/>
            <w:hideMark/>
          </w:tcPr>
          <w:p w:rsidR="001E37F4" w:rsidRPr="00B148B1" w:rsidRDefault="001E37F4" w:rsidP="001E37F4">
            <w:pPr>
              <w:spacing w:line="240" w:lineRule="auto"/>
              <w:jc w:val="right"/>
              <w:rPr>
                <w:rFonts w:cs="Arial"/>
                <w:color w:val="000000"/>
                <w:szCs w:val="20"/>
                <w:lang w:eastAsia="sl-SI"/>
              </w:rPr>
            </w:pPr>
            <w:r w:rsidRPr="00B148B1">
              <w:rPr>
                <w:rFonts w:cs="Arial"/>
                <w:color w:val="000000"/>
                <w:szCs w:val="20"/>
              </w:rPr>
              <w:t>11.000</w:t>
            </w:r>
          </w:p>
        </w:tc>
        <w:tc>
          <w:tcPr>
            <w:tcW w:w="1804" w:type="pct"/>
            <w:shd w:val="clear" w:color="auto" w:fill="auto"/>
            <w:noWrap/>
            <w:vAlign w:val="center"/>
            <w:hideMark/>
          </w:tcPr>
          <w:p w:rsidR="001E37F4" w:rsidRPr="00B148B1" w:rsidRDefault="001E37F4" w:rsidP="001E37F4">
            <w:pPr>
              <w:spacing w:line="240" w:lineRule="auto"/>
              <w:jc w:val="right"/>
              <w:rPr>
                <w:rFonts w:cs="Arial"/>
                <w:color w:val="000000"/>
                <w:szCs w:val="20"/>
                <w:lang w:eastAsia="sl-SI"/>
              </w:rPr>
            </w:pPr>
            <w:r w:rsidRPr="00B148B1">
              <w:rPr>
                <w:rFonts w:cs="Arial"/>
                <w:color w:val="000000"/>
                <w:szCs w:val="20"/>
              </w:rPr>
              <w:t>2.726</w:t>
            </w:r>
          </w:p>
        </w:tc>
      </w:tr>
      <w:tr w:rsidR="001E37F4" w:rsidRPr="00B148B1" w:rsidTr="00B803AE">
        <w:trPr>
          <w:trHeight w:val="315"/>
        </w:trPr>
        <w:tc>
          <w:tcPr>
            <w:tcW w:w="499" w:type="pct"/>
            <w:shd w:val="clear" w:color="auto" w:fill="auto"/>
            <w:vAlign w:val="center"/>
            <w:hideMark/>
          </w:tcPr>
          <w:p w:rsidR="001E37F4" w:rsidRPr="00B148B1" w:rsidRDefault="001E37F4" w:rsidP="001E37F4">
            <w:pPr>
              <w:spacing w:line="240" w:lineRule="auto"/>
              <w:jc w:val="center"/>
              <w:rPr>
                <w:rFonts w:cs="Arial"/>
                <w:color w:val="000000"/>
                <w:szCs w:val="20"/>
                <w:lang w:eastAsia="sl-SI"/>
              </w:rPr>
            </w:pPr>
            <w:r w:rsidRPr="00B148B1">
              <w:rPr>
                <w:rFonts w:cs="Arial"/>
                <w:bCs/>
                <w:color w:val="000000"/>
                <w:szCs w:val="20"/>
                <w:lang w:eastAsia="sl-SI"/>
              </w:rPr>
              <w:t>4</w:t>
            </w:r>
          </w:p>
        </w:tc>
        <w:tc>
          <w:tcPr>
            <w:tcW w:w="460" w:type="pct"/>
            <w:shd w:val="clear" w:color="auto" w:fill="auto"/>
            <w:noWrap/>
            <w:vAlign w:val="center"/>
            <w:hideMark/>
          </w:tcPr>
          <w:p w:rsidR="001E37F4" w:rsidRPr="00B148B1" w:rsidRDefault="001E37F4" w:rsidP="001E37F4">
            <w:pPr>
              <w:spacing w:line="240" w:lineRule="auto"/>
              <w:jc w:val="right"/>
              <w:rPr>
                <w:rFonts w:cs="Arial"/>
                <w:color w:val="000000"/>
                <w:szCs w:val="20"/>
                <w:lang w:eastAsia="sl-SI"/>
              </w:rPr>
            </w:pPr>
            <w:r w:rsidRPr="00B148B1">
              <w:rPr>
                <w:rFonts w:cs="Arial"/>
                <w:color w:val="000000"/>
                <w:szCs w:val="20"/>
              </w:rPr>
              <w:t>272</w:t>
            </w:r>
          </w:p>
        </w:tc>
        <w:tc>
          <w:tcPr>
            <w:tcW w:w="1461" w:type="pct"/>
            <w:shd w:val="clear" w:color="auto" w:fill="auto"/>
            <w:noWrap/>
            <w:vAlign w:val="center"/>
            <w:hideMark/>
          </w:tcPr>
          <w:p w:rsidR="001E37F4" w:rsidRPr="00B148B1" w:rsidRDefault="001E37F4" w:rsidP="001E37F4">
            <w:pPr>
              <w:spacing w:line="240" w:lineRule="auto"/>
              <w:rPr>
                <w:rFonts w:cs="Arial"/>
                <w:color w:val="000000"/>
                <w:szCs w:val="20"/>
                <w:lang w:eastAsia="sl-SI"/>
              </w:rPr>
            </w:pPr>
            <w:r w:rsidRPr="00B148B1">
              <w:rPr>
                <w:rFonts w:cs="Arial"/>
                <w:color w:val="000000"/>
                <w:szCs w:val="20"/>
              </w:rPr>
              <w:t>ZAGORJE OB SAVI</w:t>
            </w:r>
          </w:p>
        </w:tc>
        <w:tc>
          <w:tcPr>
            <w:tcW w:w="776" w:type="pct"/>
            <w:shd w:val="clear" w:color="auto" w:fill="auto"/>
            <w:noWrap/>
            <w:vAlign w:val="center"/>
            <w:hideMark/>
          </w:tcPr>
          <w:p w:rsidR="001E37F4" w:rsidRPr="00B148B1" w:rsidRDefault="001E37F4" w:rsidP="001E37F4">
            <w:pPr>
              <w:spacing w:line="240" w:lineRule="auto"/>
              <w:jc w:val="right"/>
              <w:rPr>
                <w:rFonts w:cs="Arial"/>
                <w:color w:val="000000"/>
                <w:szCs w:val="20"/>
                <w:lang w:eastAsia="sl-SI"/>
              </w:rPr>
            </w:pPr>
            <w:r w:rsidRPr="00B148B1">
              <w:rPr>
                <w:rFonts w:cs="Arial"/>
                <w:color w:val="000000"/>
                <w:szCs w:val="20"/>
              </w:rPr>
              <w:t>11.000</w:t>
            </w:r>
          </w:p>
        </w:tc>
        <w:tc>
          <w:tcPr>
            <w:tcW w:w="1804" w:type="pct"/>
            <w:shd w:val="clear" w:color="auto" w:fill="auto"/>
            <w:noWrap/>
            <w:vAlign w:val="center"/>
            <w:hideMark/>
          </w:tcPr>
          <w:p w:rsidR="001E37F4" w:rsidRPr="00B148B1" w:rsidRDefault="001E37F4" w:rsidP="001E37F4">
            <w:pPr>
              <w:spacing w:line="240" w:lineRule="auto"/>
              <w:jc w:val="right"/>
              <w:rPr>
                <w:rFonts w:cs="Arial"/>
                <w:color w:val="000000"/>
                <w:szCs w:val="20"/>
                <w:lang w:eastAsia="sl-SI"/>
              </w:rPr>
            </w:pPr>
            <w:r w:rsidRPr="00B148B1">
              <w:rPr>
                <w:rFonts w:cs="Arial"/>
                <w:color w:val="000000"/>
                <w:szCs w:val="20"/>
              </w:rPr>
              <w:t>4.549</w:t>
            </w:r>
          </w:p>
        </w:tc>
      </w:tr>
      <w:tr w:rsidR="001E37F4" w:rsidRPr="00B148B1" w:rsidTr="00B803AE">
        <w:trPr>
          <w:trHeight w:val="315"/>
        </w:trPr>
        <w:tc>
          <w:tcPr>
            <w:tcW w:w="499" w:type="pct"/>
            <w:shd w:val="clear" w:color="auto" w:fill="auto"/>
            <w:vAlign w:val="center"/>
            <w:hideMark/>
          </w:tcPr>
          <w:p w:rsidR="001E37F4" w:rsidRPr="00B148B1" w:rsidRDefault="001E37F4" w:rsidP="001E37F4">
            <w:pPr>
              <w:spacing w:line="240" w:lineRule="auto"/>
              <w:jc w:val="center"/>
              <w:rPr>
                <w:rFonts w:cs="Arial"/>
                <w:color w:val="000000"/>
                <w:szCs w:val="20"/>
                <w:lang w:eastAsia="sl-SI"/>
              </w:rPr>
            </w:pPr>
            <w:r w:rsidRPr="00B148B1">
              <w:rPr>
                <w:rFonts w:cs="Arial"/>
                <w:bCs/>
                <w:color w:val="000000"/>
                <w:szCs w:val="20"/>
                <w:lang w:eastAsia="sl-SI"/>
              </w:rPr>
              <w:t>5</w:t>
            </w:r>
          </w:p>
        </w:tc>
        <w:tc>
          <w:tcPr>
            <w:tcW w:w="460" w:type="pct"/>
            <w:shd w:val="clear" w:color="auto" w:fill="auto"/>
            <w:noWrap/>
            <w:vAlign w:val="center"/>
            <w:hideMark/>
          </w:tcPr>
          <w:p w:rsidR="001E37F4" w:rsidRPr="00B148B1" w:rsidRDefault="001E37F4" w:rsidP="001E37F4">
            <w:pPr>
              <w:spacing w:line="240" w:lineRule="auto"/>
              <w:jc w:val="right"/>
              <w:rPr>
                <w:rFonts w:cs="Arial"/>
                <w:color w:val="000000"/>
                <w:szCs w:val="20"/>
                <w:lang w:eastAsia="sl-SI"/>
              </w:rPr>
            </w:pPr>
            <w:r w:rsidRPr="00B148B1">
              <w:rPr>
                <w:rFonts w:cs="Arial"/>
                <w:color w:val="000000"/>
                <w:szCs w:val="20"/>
              </w:rPr>
              <w:t>2492</w:t>
            </w:r>
          </w:p>
        </w:tc>
        <w:tc>
          <w:tcPr>
            <w:tcW w:w="1461" w:type="pct"/>
            <w:shd w:val="clear" w:color="auto" w:fill="auto"/>
            <w:noWrap/>
            <w:vAlign w:val="center"/>
            <w:hideMark/>
          </w:tcPr>
          <w:p w:rsidR="001E37F4" w:rsidRPr="00B148B1" w:rsidRDefault="001E37F4" w:rsidP="001E37F4">
            <w:pPr>
              <w:spacing w:line="240" w:lineRule="auto"/>
              <w:rPr>
                <w:rFonts w:cs="Arial"/>
                <w:color w:val="000000"/>
                <w:szCs w:val="20"/>
                <w:lang w:eastAsia="sl-SI"/>
              </w:rPr>
            </w:pPr>
            <w:r w:rsidRPr="00B148B1">
              <w:rPr>
                <w:rFonts w:cs="Arial"/>
                <w:color w:val="000000"/>
                <w:szCs w:val="20"/>
              </w:rPr>
              <w:t>IDRIJA</w:t>
            </w:r>
          </w:p>
        </w:tc>
        <w:tc>
          <w:tcPr>
            <w:tcW w:w="776" w:type="pct"/>
            <w:shd w:val="clear" w:color="auto" w:fill="auto"/>
            <w:noWrap/>
            <w:vAlign w:val="center"/>
            <w:hideMark/>
          </w:tcPr>
          <w:p w:rsidR="001E37F4" w:rsidRPr="00B148B1" w:rsidRDefault="001E37F4" w:rsidP="001E37F4">
            <w:pPr>
              <w:spacing w:line="240" w:lineRule="auto"/>
              <w:jc w:val="right"/>
              <w:rPr>
                <w:rFonts w:cs="Arial"/>
                <w:color w:val="000000"/>
                <w:szCs w:val="20"/>
                <w:lang w:eastAsia="sl-SI"/>
              </w:rPr>
            </w:pPr>
            <w:r w:rsidRPr="00B148B1">
              <w:rPr>
                <w:rFonts w:cs="Arial"/>
                <w:color w:val="000000"/>
                <w:szCs w:val="20"/>
              </w:rPr>
              <w:t>9.000</w:t>
            </w:r>
          </w:p>
        </w:tc>
        <w:tc>
          <w:tcPr>
            <w:tcW w:w="1804" w:type="pct"/>
            <w:shd w:val="clear" w:color="auto" w:fill="auto"/>
            <w:noWrap/>
            <w:vAlign w:val="center"/>
            <w:hideMark/>
          </w:tcPr>
          <w:p w:rsidR="001E37F4" w:rsidRPr="00B148B1" w:rsidRDefault="001E37F4" w:rsidP="001E37F4">
            <w:pPr>
              <w:spacing w:line="240" w:lineRule="auto"/>
              <w:jc w:val="right"/>
              <w:rPr>
                <w:rFonts w:cs="Arial"/>
                <w:color w:val="000000"/>
                <w:szCs w:val="20"/>
                <w:lang w:eastAsia="sl-SI"/>
              </w:rPr>
            </w:pPr>
            <w:r w:rsidRPr="00B148B1">
              <w:rPr>
                <w:rFonts w:cs="Arial"/>
                <w:color w:val="000000"/>
                <w:szCs w:val="20"/>
              </w:rPr>
              <w:t>3.480</w:t>
            </w:r>
          </w:p>
        </w:tc>
      </w:tr>
      <w:tr w:rsidR="001E37F4" w:rsidRPr="00B148B1" w:rsidTr="00B803AE">
        <w:trPr>
          <w:trHeight w:val="315"/>
        </w:trPr>
        <w:tc>
          <w:tcPr>
            <w:tcW w:w="499" w:type="pct"/>
            <w:shd w:val="clear" w:color="auto" w:fill="auto"/>
            <w:vAlign w:val="center"/>
            <w:hideMark/>
          </w:tcPr>
          <w:p w:rsidR="001E37F4" w:rsidRPr="00B148B1" w:rsidRDefault="001E37F4" w:rsidP="001E37F4">
            <w:pPr>
              <w:spacing w:line="240" w:lineRule="auto"/>
              <w:jc w:val="center"/>
              <w:rPr>
                <w:rFonts w:cs="Arial"/>
                <w:color w:val="000000"/>
                <w:szCs w:val="20"/>
                <w:lang w:eastAsia="sl-SI"/>
              </w:rPr>
            </w:pPr>
            <w:r w:rsidRPr="00B148B1">
              <w:rPr>
                <w:rFonts w:cs="Arial"/>
                <w:bCs/>
                <w:color w:val="000000"/>
                <w:szCs w:val="20"/>
                <w:lang w:eastAsia="sl-SI"/>
              </w:rPr>
              <w:t>6</w:t>
            </w:r>
          </w:p>
        </w:tc>
        <w:tc>
          <w:tcPr>
            <w:tcW w:w="460" w:type="pct"/>
            <w:shd w:val="clear" w:color="auto" w:fill="auto"/>
            <w:noWrap/>
            <w:vAlign w:val="center"/>
            <w:hideMark/>
          </w:tcPr>
          <w:p w:rsidR="001E37F4" w:rsidRPr="00B148B1" w:rsidRDefault="001E37F4" w:rsidP="001E37F4">
            <w:pPr>
              <w:spacing w:line="240" w:lineRule="auto"/>
              <w:jc w:val="right"/>
              <w:rPr>
                <w:rFonts w:cs="Arial"/>
                <w:color w:val="000000"/>
                <w:szCs w:val="20"/>
                <w:lang w:eastAsia="sl-SI"/>
              </w:rPr>
            </w:pPr>
            <w:r w:rsidRPr="00B148B1">
              <w:rPr>
                <w:rFonts w:cs="Arial"/>
                <w:color w:val="000000"/>
                <w:szCs w:val="20"/>
              </w:rPr>
              <w:t>236</w:t>
            </w:r>
          </w:p>
        </w:tc>
        <w:tc>
          <w:tcPr>
            <w:tcW w:w="1461" w:type="pct"/>
            <w:shd w:val="clear" w:color="auto" w:fill="auto"/>
            <w:noWrap/>
            <w:vAlign w:val="center"/>
            <w:hideMark/>
          </w:tcPr>
          <w:p w:rsidR="001E37F4" w:rsidRPr="00B148B1" w:rsidRDefault="001E37F4" w:rsidP="001E37F4">
            <w:pPr>
              <w:spacing w:line="240" w:lineRule="auto"/>
              <w:rPr>
                <w:rFonts w:cs="Arial"/>
                <w:color w:val="000000"/>
                <w:szCs w:val="20"/>
                <w:lang w:eastAsia="sl-SI"/>
              </w:rPr>
            </w:pPr>
            <w:r w:rsidRPr="00B148B1">
              <w:rPr>
                <w:rFonts w:cs="Arial"/>
                <w:color w:val="000000"/>
                <w:szCs w:val="20"/>
              </w:rPr>
              <w:t xml:space="preserve">RADENCI (ČRNOMELJ) </w:t>
            </w:r>
            <w:r w:rsidRPr="00B148B1">
              <w:rPr>
                <w:rFonts w:cs="Arial"/>
                <w:color w:val="000000"/>
                <w:szCs w:val="20"/>
                <w:vertAlign w:val="superscript"/>
              </w:rPr>
              <w:t>(1)</w:t>
            </w:r>
          </w:p>
        </w:tc>
        <w:tc>
          <w:tcPr>
            <w:tcW w:w="776" w:type="pct"/>
            <w:shd w:val="clear" w:color="auto" w:fill="auto"/>
            <w:noWrap/>
            <w:vAlign w:val="center"/>
            <w:hideMark/>
          </w:tcPr>
          <w:p w:rsidR="001E37F4" w:rsidRPr="00B148B1" w:rsidRDefault="001E37F4" w:rsidP="001E37F4">
            <w:pPr>
              <w:spacing w:line="240" w:lineRule="auto"/>
              <w:jc w:val="right"/>
              <w:rPr>
                <w:rFonts w:cs="Arial"/>
                <w:color w:val="000000"/>
                <w:szCs w:val="20"/>
                <w:lang w:eastAsia="sl-SI"/>
              </w:rPr>
            </w:pPr>
            <w:r w:rsidRPr="00B148B1">
              <w:rPr>
                <w:rFonts w:cs="Arial"/>
                <w:color w:val="000000"/>
                <w:szCs w:val="20"/>
              </w:rPr>
              <w:t>150</w:t>
            </w:r>
          </w:p>
        </w:tc>
        <w:tc>
          <w:tcPr>
            <w:tcW w:w="1804" w:type="pct"/>
            <w:shd w:val="clear" w:color="auto" w:fill="auto"/>
            <w:noWrap/>
            <w:vAlign w:val="center"/>
            <w:hideMark/>
          </w:tcPr>
          <w:p w:rsidR="001E37F4" w:rsidRPr="00B148B1" w:rsidRDefault="001E37F4" w:rsidP="001E37F4">
            <w:pPr>
              <w:spacing w:line="240" w:lineRule="auto"/>
              <w:jc w:val="right"/>
              <w:rPr>
                <w:rFonts w:cs="Arial"/>
                <w:color w:val="000000"/>
                <w:szCs w:val="20"/>
                <w:lang w:eastAsia="sl-SI"/>
              </w:rPr>
            </w:pPr>
            <w:r w:rsidRPr="00B148B1">
              <w:rPr>
                <w:rFonts w:cs="Arial"/>
                <w:color w:val="000000"/>
                <w:szCs w:val="20"/>
              </w:rPr>
              <w:t>73</w:t>
            </w:r>
          </w:p>
        </w:tc>
      </w:tr>
      <w:tr w:rsidR="001E37F4" w:rsidRPr="00B148B1" w:rsidTr="00B803AE">
        <w:trPr>
          <w:trHeight w:val="315"/>
        </w:trPr>
        <w:tc>
          <w:tcPr>
            <w:tcW w:w="499" w:type="pct"/>
            <w:shd w:val="clear" w:color="auto" w:fill="auto"/>
            <w:vAlign w:val="center"/>
            <w:hideMark/>
          </w:tcPr>
          <w:p w:rsidR="001E37F4" w:rsidRPr="00B148B1" w:rsidRDefault="001E37F4" w:rsidP="001E37F4">
            <w:pPr>
              <w:spacing w:line="240" w:lineRule="auto"/>
              <w:jc w:val="center"/>
              <w:rPr>
                <w:rFonts w:cs="Arial"/>
                <w:color w:val="000000"/>
                <w:szCs w:val="20"/>
                <w:lang w:eastAsia="sl-SI"/>
              </w:rPr>
            </w:pPr>
            <w:r w:rsidRPr="00B148B1">
              <w:rPr>
                <w:rFonts w:cs="Arial"/>
                <w:bCs/>
                <w:color w:val="000000"/>
                <w:szCs w:val="20"/>
                <w:lang w:eastAsia="sl-SI"/>
              </w:rPr>
              <w:t>7</w:t>
            </w:r>
          </w:p>
        </w:tc>
        <w:tc>
          <w:tcPr>
            <w:tcW w:w="460" w:type="pct"/>
            <w:shd w:val="clear" w:color="auto" w:fill="auto"/>
            <w:noWrap/>
            <w:vAlign w:val="center"/>
            <w:hideMark/>
          </w:tcPr>
          <w:p w:rsidR="001E37F4" w:rsidRPr="00B148B1" w:rsidRDefault="001E37F4" w:rsidP="001E37F4">
            <w:pPr>
              <w:spacing w:line="240" w:lineRule="auto"/>
              <w:jc w:val="right"/>
              <w:rPr>
                <w:rFonts w:cs="Arial"/>
                <w:color w:val="000000"/>
                <w:szCs w:val="20"/>
                <w:lang w:eastAsia="sl-SI"/>
              </w:rPr>
            </w:pPr>
            <w:r w:rsidRPr="00B148B1">
              <w:rPr>
                <w:rFonts w:cs="Arial"/>
                <w:color w:val="000000"/>
                <w:szCs w:val="20"/>
              </w:rPr>
              <w:t>2505</w:t>
            </w:r>
          </w:p>
        </w:tc>
        <w:tc>
          <w:tcPr>
            <w:tcW w:w="1461" w:type="pct"/>
            <w:shd w:val="clear" w:color="auto" w:fill="auto"/>
            <w:noWrap/>
            <w:vAlign w:val="center"/>
            <w:hideMark/>
          </w:tcPr>
          <w:p w:rsidR="001E37F4" w:rsidRPr="00B148B1" w:rsidRDefault="001E37F4" w:rsidP="001E37F4">
            <w:pPr>
              <w:spacing w:line="240" w:lineRule="auto"/>
              <w:rPr>
                <w:rFonts w:cs="Arial"/>
                <w:color w:val="000000"/>
                <w:szCs w:val="20"/>
                <w:lang w:eastAsia="sl-SI"/>
              </w:rPr>
            </w:pPr>
            <w:r w:rsidRPr="00B148B1">
              <w:rPr>
                <w:rFonts w:cs="Arial"/>
                <w:color w:val="000000"/>
                <w:szCs w:val="20"/>
              </w:rPr>
              <w:t>VOJNA VAS (ČRNOMELJ)</w:t>
            </w:r>
          </w:p>
        </w:tc>
        <w:tc>
          <w:tcPr>
            <w:tcW w:w="776" w:type="pct"/>
            <w:shd w:val="clear" w:color="auto" w:fill="auto"/>
            <w:noWrap/>
            <w:vAlign w:val="center"/>
            <w:hideMark/>
          </w:tcPr>
          <w:p w:rsidR="001E37F4" w:rsidRPr="00B148B1" w:rsidRDefault="001E37F4" w:rsidP="001E37F4">
            <w:pPr>
              <w:spacing w:line="240" w:lineRule="auto"/>
              <w:jc w:val="right"/>
              <w:rPr>
                <w:rFonts w:cs="Arial"/>
                <w:color w:val="000000"/>
                <w:szCs w:val="20"/>
                <w:lang w:eastAsia="sl-SI"/>
              </w:rPr>
            </w:pPr>
            <w:r w:rsidRPr="00B148B1">
              <w:rPr>
                <w:rFonts w:cs="Arial"/>
                <w:color w:val="000000"/>
                <w:szCs w:val="20"/>
              </w:rPr>
              <w:t>9.600</w:t>
            </w:r>
          </w:p>
        </w:tc>
        <w:tc>
          <w:tcPr>
            <w:tcW w:w="1804" w:type="pct"/>
            <w:shd w:val="clear" w:color="auto" w:fill="auto"/>
            <w:noWrap/>
            <w:vAlign w:val="center"/>
            <w:hideMark/>
          </w:tcPr>
          <w:p w:rsidR="001E37F4" w:rsidRPr="00B148B1" w:rsidRDefault="001E37F4" w:rsidP="001E37F4">
            <w:pPr>
              <w:spacing w:line="240" w:lineRule="auto"/>
              <w:jc w:val="right"/>
              <w:rPr>
                <w:rFonts w:cs="Arial"/>
                <w:color w:val="000000"/>
                <w:szCs w:val="20"/>
                <w:lang w:eastAsia="sl-SI"/>
              </w:rPr>
            </w:pPr>
            <w:r w:rsidRPr="00B148B1">
              <w:rPr>
                <w:rFonts w:cs="Arial"/>
                <w:color w:val="000000"/>
                <w:szCs w:val="20"/>
              </w:rPr>
              <w:t>5.054</w:t>
            </w:r>
          </w:p>
        </w:tc>
      </w:tr>
      <w:tr w:rsidR="001E37F4" w:rsidRPr="00B148B1" w:rsidTr="00B803AE">
        <w:trPr>
          <w:trHeight w:val="315"/>
        </w:trPr>
        <w:tc>
          <w:tcPr>
            <w:tcW w:w="499" w:type="pct"/>
            <w:shd w:val="clear" w:color="auto" w:fill="auto"/>
            <w:vAlign w:val="center"/>
            <w:hideMark/>
          </w:tcPr>
          <w:p w:rsidR="001E37F4" w:rsidRPr="00B148B1" w:rsidRDefault="001E37F4" w:rsidP="001E37F4">
            <w:pPr>
              <w:spacing w:line="240" w:lineRule="auto"/>
              <w:jc w:val="center"/>
              <w:rPr>
                <w:rFonts w:cs="Arial"/>
                <w:color w:val="000000"/>
                <w:szCs w:val="20"/>
                <w:lang w:eastAsia="sl-SI"/>
              </w:rPr>
            </w:pPr>
            <w:r w:rsidRPr="00B148B1">
              <w:rPr>
                <w:rFonts w:cs="Arial"/>
                <w:bCs/>
                <w:color w:val="000000"/>
                <w:szCs w:val="20"/>
                <w:lang w:eastAsia="sl-SI"/>
              </w:rPr>
              <w:t>8</w:t>
            </w:r>
          </w:p>
        </w:tc>
        <w:tc>
          <w:tcPr>
            <w:tcW w:w="460" w:type="pct"/>
            <w:shd w:val="clear" w:color="auto" w:fill="auto"/>
            <w:noWrap/>
            <w:vAlign w:val="center"/>
            <w:hideMark/>
          </w:tcPr>
          <w:p w:rsidR="001E37F4" w:rsidRPr="00B148B1" w:rsidRDefault="001E37F4" w:rsidP="001E37F4">
            <w:pPr>
              <w:spacing w:line="240" w:lineRule="auto"/>
              <w:jc w:val="right"/>
              <w:rPr>
                <w:rFonts w:cs="Arial"/>
                <w:color w:val="000000"/>
                <w:szCs w:val="20"/>
                <w:lang w:eastAsia="sl-SI"/>
              </w:rPr>
            </w:pPr>
            <w:r w:rsidRPr="00B148B1">
              <w:rPr>
                <w:rFonts w:cs="Arial"/>
                <w:color w:val="000000"/>
                <w:szCs w:val="20"/>
              </w:rPr>
              <w:t>281</w:t>
            </w:r>
          </w:p>
        </w:tc>
        <w:tc>
          <w:tcPr>
            <w:tcW w:w="1461" w:type="pct"/>
            <w:shd w:val="clear" w:color="auto" w:fill="auto"/>
            <w:noWrap/>
            <w:vAlign w:val="center"/>
            <w:hideMark/>
          </w:tcPr>
          <w:p w:rsidR="001E37F4" w:rsidRPr="00B148B1" w:rsidRDefault="001E37F4" w:rsidP="001E37F4">
            <w:pPr>
              <w:spacing w:line="240" w:lineRule="auto"/>
              <w:rPr>
                <w:rFonts w:cs="Arial"/>
                <w:color w:val="000000"/>
                <w:szCs w:val="20"/>
                <w:lang w:eastAsia="sl-SI"/>
              </w:rPr>
            </w:pPr>
            <w:r w:rsidRPr="00B148B1">
              <w:rPr>
                <w:rFonts w:cs="Arial"/>
                <w:color w:val="000000"/>
                <w:szCs w:val="20"/>
              </w:rPr>
              <w:t>BRESTANICA</w:t>
            </w:r>
          </w:p>
        </w:tc>
        <w:tc>
          <w:tcPr>
            <w:tcW w:w="776" w:type="pct"/>
            <w:shd w:val="clear" w:color="auto" w:fill="auto"/>
            <w:noWrap/>
            <w:vAlign w:val="center"/>
            <w:hideMark/>
          </w:tcPr>
          <w:p w:rsidR="001E37F4" w:rsidRPr="00B148B1" w:rsidRDefault="001E37F4" w:rsidP="001E37F4">
            <w:pPr>
              <w:spacing w:line="240" w:lineRule="auto"/>
              <w:jc w:val="right"/>
              <w:rPr>
                <w:rFonts w:cs="Arial"/>
                <w:color w:val="000000"/>
                <w:szCs w:val="20"/>
                <w:lang w:eastAsia="sl-SI"/>
              </w:rPr>
            </w:pPr>
            <w:r w:rsidRPr="00B148B1">
              <w:rPr>
                <w:rFonts w:cs="Arial"/>
                <w:color w:val="000000"/>
                <w:szCs w:val="20"/>
              </w:rPr>
              <w:t>4.800</w:t>
            </w:r>
          </w:p>
        </w:tc>
        <w:tc>
          <w:tcPr>
            <w:tcW w:w="1804" w:type="pct"/>
            <w:shd w:val="clear" w:color="auto" w:fill="auto"/>
            <w:noWrap/>
            <w:vAlign w:val="center"/>
            <w:hideMark/>
          </w:tcPr>
          <w:p w:rsidR="001E37F4" w:rsidRPr="00B148B1" w:rsidRDefault="001E37F4" w:rsidP="001E37F4">
            <w:pPr>
              <w:spacing w:line="240" w:lineRule="auto"/>
              <w:jc w:val="right"/>
              <w:rPr>
                <w:rFonts w:cs="Arial"/>
                <w:color w:val="000000"/>
                <w:szCs w:val="20"/>
                <w:lang w:eastAsia="sl-SI"/>
              </w:rPr>
            </w:pPr>
            <w:r w:rsidRPr="00B148B1">
              <w:rPr>
                <w:rFonts w:cs="Arial"/>
                <w:color w:val="000000"/>
                <w:szCs w:val="20"/>
              </w:rPr>
              <w:t>1.515</w:t>
            </w:r>
          </w:p>
        </w:tc>
      </w:tr>
      <w:tr w:rsidR="001E37F4" w:rsidRPr="00B148B1" w:rsidTr="00B803AE">
        <w:trPr>
          <w:trHeight w:val="315"/>
        </w:trPr>
        <w:tc>
          <w:tcPr>
            <w:tcW w:w="499" w:type="pct"/>
            <w:shd w:val="clear" w:color="auto" w:fill="auto"/>
            <w:vAlign w:val="center"/>
            <w:hideMark/>
          </w:tcPr>
          <w:p w:rsidR="001E37F4" w:rsidRPr="00B148B1" w:rsidRDefault="001E37F4" w:rsidP="001E37F4">
            <w:pPr>
              <w:spacing w:line="240" w:lineRule="auto"/>
              <w:jc w:val="center"/>
              <w:rPr>
                <w:rFonts w:cs="Arial"/>
                <w:color w:val="000000"/>
                <w:szCs w:val="20"/>
                <w:lang w:eastAsia="sl-SI"/>
              </w:rPr>
            </w:pPr>
            <w:r w:rsidRPr="00B148B1">
              <w:rPr>
                <w:rFonts w:cs="Arial"/>
                <w:bCs/>
                <w:color w:val="000000"/>
                <w:szCs w:val="20"/>
                <w:lang w:eastAsia="sl-SI"/>
              </w:rPr>
              <w:t>9</w:t>
            </w:r>
          </w:p>
        </w:tc>
        <w:tc>
          <w:tcPr>
            <w:tcW w:w="460" w:type="pct"/>
            <w:shd w:val="clear" w:color="auto" w:fill="auto"/>
            <w:noWrap/>
            <w:vAlign w:val="center"/>
            <w:hideMark/>
          </w:tcPr>
          <w:p w:rsidR="001E37F4" w:rsidRPr="00B148B1" w:rsidRDefault="001E37F4" w:rsidP="001E37F4">
            <w:pPr>
              <w:spacing w:line="240" w:lineRule="auto"/>
              <w:jc w:val="right"/>
              <w:rPr>
                <w:rFonts w:cs="Arial"/>
                <w:color w:val="000000"/>
                <w:szCs w:val="20"/>
                <w:lang w:eastAsia="sl-SI"/>
              </w:rPr>
            </w:pPr>
            <w:r w:rsidRPr="00B148B1">
              <w:rPr>
                <w:rFonts w:cs="Arial"/>
                <w:color w:val="000000"/>
                <w:szCs w:val="20"/>
              </w:rPr>
              <w:t>71</w:t>
            </w:r>
          </w:p>
        </w:tc>
        <w:tc>
          <w:tcPr>
            <w:tcW w:w="1461" w:type="pct"/>
            <w:shd w:val="clear" w:color="auto" w:fill="auto"/>
            <w:noWrap/>
            <w:vAlign w:val="center"/>
            <w:hideMark/>
          </w:tcPr>
          <w:p w:rsidR="001E37F4" w:rsidRPr="00B148B1" w:rsidRDefault="001E37F4" w:rsidP="001E37F4">
            <w:pPr>
              <w:spacing w:line="240" w:lineRule="auto"/>
              <w:rPr>
                <w:rFonts w:cs="Arial"/>
                <w:color w:val="000000"/>
                <w:szCs w:val="20"/>
                <w:lang w:eastAsia="sl-SI"/>
              </w:rPr>
            </w:pPr>
            <w:r w:rsidRPr="00B148B1">
              <w:rPr>
                <w:rFonts w:cs="Arial"/>
                <w:color w:val="000000"/>
                <w:szCs w:val="20"/>
              </w:rPr>
              <w:t>ČRNA NA KOROŠKEM</w:t>
            </w:r>
          </w:p>
        </w:tc>
        <w:tc>
          <w:tcPr>
            <w:tcW w:w="776" w:type="pct"/>
            <w:shd w:val="clear" w:color="auto" w:fill="auto"/>
            <w:noWrap/>
            <w:vAlign w:val="center"/>
            <w:hideMark/>
          </w:tcPr>
          <w:p w:rsidR="001E37F4" w:rsidRPr="00B148B1" w:rsidRDefault="001E37F4" w:rsidP="001E37F4">
            <w:pPr>
              <w:spacing w:line="240" w:lineRule="auto"/>
              <w:jc w:val="right"/>
              <w:rPr>
                <w:rFonts w:cs="Arial"/>
                <w:color w:val="000000"/>
                <w:szCs w:val="20"/>
                <w:lang w:eastAsia="sl-SI"/>
              </w:rPr>
            </w:pPr>
            <w:r w:rsidRPr="00B148B1">
              <w:rPr>
                <w:rFonts w:cs="Arial"/>
                <w:color w:val="000000"/>
                <w:szCs w:val="20"/>
              </w:rPr>
              <w:t>3.200</w:t>
            </w:r>
          </w:p>
        </w:tc>
        <w:tc>
          <w:tcPr>
            <w:tcW w:w="1804" w:type="pct"/>
            <w:shd w:val="clear" w:color="auto" w:fill="auto"/>
            <w:noWrap/>
            <w:vAlign w:val="center"/>
            <w:hideMark/>
          </w:tcPr>
          <w:p w:rsidR="001E37F4" w:rsidRPr="00B148B1" w:rsidRDefault="001E37F4" w:rsidP="001E37F4">
            <w:pPr>
              <w:spacing w:line="240" w:lineRule="auto"/>
              <w:jc w:val="right"/>
              <w:rPr>
                <w:rFonts w:cs="Arial"/>
                <w:color w:val="000000"/>
                <w:szCs w:val="20"/>
                <w:lang w:eastAsia="sl-SI"/>
              </w:rPr>
            </w:pPr>
            <w:r w:rsidRPr="00B148B1">
              <w:rPr>
                <w:rFonts w:cs="Arial"/>
                <w:color w:val="000000"/>
                <w:szCs w:val="20"/>
              </w:rPr>
              <w:t>1.751</w:t>
            </w:r>
          </w:p>
        </w:tc>
      </w:tr>
      <w:tr w:rsidR="001E37F4" w:rsidRPr="00B148B1" w:rsidTr="00B803AE">
        <w:trPr>
          <w:trHeight w:val="315"/>
        </w:trPr>
        <w:tc>
          <w:tcPr>
            <w:tcW w:w="499" w:type="pct"/>
            <w:shd w:val="clear" w:color="auto" w:fill="auto"/>
            <w:vAlign w:val="center"/>
          </w:tcPr>
          <w:p w:rsidR="001E37F4" w:rsidRPr="00B148B1" w:rsidRDefault="001E37F4" w:rsidP="001E37F4">
            <w:pPr>
              <w:spacing w:line="240" w:lineRule="auto"/>
              <w:jc w:val="center"/>
              <w:rPr>
                <w:rFonts w:cs="Arial"/>
                <w:bCs/>
                <w:color w:val="000000"/>
                <w:szCs w:val="20"/>
                <w:lang w:eastAsia="sl-SI"/>
              </w:rPr>
            </w:pPr>
            <w:r w:rsidRPr="00B148B1">
              <w:rPr>
                <w:rFonts w:cs="Arial"/>
                <w:bCs/>
                <w:color w:val="000000"/>
                <w:szCs w:val="20"/>
                <w:lang w:eastAsia="sl-SI"/>
              </w:rPr>
              <w:t>10</w:t>
            </w:r>
          </w:p>
        </w:tc>
        <w:tc>
          <w:tcPr>
            <w:tcW w:w="460" w:type="pct"/>
            <w:shd w:val="clear" w:color="auto" w:fill="auto"/>
            <w:noWrap/>
            <w:vAlign w:val="center"/>
          </w:tcPr>
          <w:p w:rsidR="001E37F4" w:rsidRPr="00B148B1" w:rsidRDefault="001E37F4" w:rsidP="001E37F4">
            <w:pPr>
              <w:spacing w:line="240" w:lineRule="auto"/>
              <w:jc w:val="right"/>
              <w:rPr>
                <w:rFonts w:cs="Arial"/>
                <w:color w:val="000000"/>
                <w:szCs w:val="20"/>
                <w:lang w:eastAsia="sl-SI"/>
              </w:rPr>
            </w:pPr>
            <w:r w:rsidRPr="00B148B1">
              <w:rPr>
                <w:rFonts w:cs="Arial"/>
                <w:color w:val="000000"/>
                <w:szCs w:val="20"/>
              </w:rPr>
              <w:t>302</w:t>
            </w:r>
          </w:p>
        </w:tc>
        <w:tc>
          <w:tcPr>
            <w:tcW w:w="1461" w:type="pct"/>
            <w:shd w:val="clear" w:color="auto" w:fill="auto"/>
            <w:noWrap/>
            <w:vAlign w:val="center"/>
          </w:tcPr>
          <w:p w:rsidR="001E37F4" w:rsidRPr="00B148B1" w:rsidRDefault="001E37F4" w:rsidP="001E37F4">
            <w:pPr>
              <w:spacing w:line="240" w:lineRule="auto"/>
              <w:rPr>
                <w:rFonts w:cs="Arial"/>
                <w:color w:val="000000"/>
                <w:szCs w:val="20"/>
                <w:lang w:eastAsia="sl-SI"/>
              </w:rPr>
            </w:pPr>
            <w:r w:rsidRPr="00B148B1">
              <w:rPr>
                <w:rFonts w:cs="Arial"/>
                <w:color w:val="000000"/>
                <w:szCs w:val="20"/>
              </w:rPr>
              <w:t>SPODNJA IDRIJA</w:t>
            </w:r>
          </w:p>
        </w:tc>
        <w:tc>
          <w:tcPr>
            <w:tcW w:w="776" w:type="pct"/>
            <w:shd w:val="clear" w:color="auto" w:fill="auto"/>
            <w:noWrap/>
            <w:vAlign w:val="center"/>
          </w:tcPr>
          <w:p w:rsidR="001E37F4" w:rsidRPr="00B148B1" w:rsidRDefault="001E37F4" w:rsidP="001E37F4">
            <w:pPr>
              <w:spacing w:line="240" w:lineRule="auto"/>
              <w:jc w:val="right"/>
              <w:rPr>
                <w:rFonts w:cs="Arial"/>
                <w:color w:val="000000"/>
                <w:szCs w:val="20"/>
                <w:lang w:eastAsia="sl-SI"/>
              </w:rPr>
            </w:pPr>
            <w:r w:rsidRPr="00B148B1">
              <w:rPr>
                <w:rFonts w:cs="Arial"/>
                <w:color w:val="000000"/>
                <w:szCs w:val="20"/>
              </w:rPr>
              <w:t>2.000</w:t>
            </w:r>
          </w:p>
        </w:tc>
        <w:tc>
          <w:tcPr>
            <w:tcW w:w="1804" w:type="pct"/>
            <w:shd w:val="clear" w:color="auto" w:fill="auto"/>
            <w:noWrap/>
            <w:vAlign w:val="center"/>
          </w:tcPr>
          <w:p w:rsidR="001E37F4" w:rsidRPr="00B148B1" w:rsidRDefault="001E37F4" w:rsidP="001E37F4">
            <w:pPr>
              <w:spacing w:line="240" w:lineRule="auto"/>
              <w:jc w:val="right"/>
              <w:rPr>
                <w:rFonts w:cs="Arial"/>
                <w:color w:val="000000"/>
                <w:szCs w:val="20"/>
                <w:lang w:eastAsia="sl-SI"/>
              </w:rPr>
            </w:pPr>
            <w:r w:rsidRPr="00B148B1">
              <w:rPr>
                <w:rFonts w:cs="Arial"/>
                <w:color w:val="000000"/>
                <w:szCs w:val="20"/>
              </w:rPr>
              <w:t>1.052</w:t>
            </w:r>
          </w:p>
        </w:tc>
      </w:tr>
      <w:tr w:rsidR="001E37F4" w:rsidRPr="00B148B1" w:rsidTr="00B803AE">
        <w:trPr>
          <w:trHeight w:val="315"/>
        </w:trPr>
        <w:tc>
          <w:tcPr>
            <w:tcW w:w="499" w:type="pct"/>
            <w:shd w:val="clear" w:color="auto" w:fill="auto"/>
            <w:vAlign w:val="center"/>
          </w:tcPr>
          <w:p w:rsidR="001E37F4" w:rsidRPr="00B148B1" w:rsidRDefault="001E37F4" w:rsidP="001E37F4">
            <w:pPr>
              <w:spacing w:line="240" w:lineRule="auto"/>
              <w:jc w:val="center"/>
              <w:rPr>
                <w:rFonts w:cs="Arial"/>
                <w:bCs/>
                <w:color w:val="000000"/>
                <w:szCs w:val="20"/>
                <w:lang w:eastAsia="sl-SI"/>
              </w:rPr>
            </w:pPr>
            <w:r w:rsidRPr="00B148B1">
              <w:rPr>
                <w:rFonts w:cs="Arial"/>
                <w:bCs/>
                <w:color w:val="000000"/>
                <w:szCs w:val="20"/>
                <w:lang w:eastAsia="sl-SI"/>
              </w:rPr>
              <w:t>11</w:t>
            </w:r>
          </w:p>
        </w:tc>
        <w:tc>
          <w:tcPr>
            <w:tcW w:w="460" w:type="pct"/>
            <w:shd w:val="clear" w:color="auto" w:fill="auto"/>
            <w:noWrap/>
            <w:vAlign w:val="center"/>
          </w:tcPr>
          <w:p w:rsidR="001E37F4" w:rsidRPr="00B148B1" w:rsidRDefault="001E37F4" w:rsidP="001E37F4">
            <w:pPr>
              <w:spacing w:line="240" w:lineRule="auto"/>
              <w:jc w:val="right"/>
              <w:rPr>
                <w:rFonts w:cs="Arial"/>
                <w:color w:val="000000"/>
                <w:szCs w:val="20"/>
                <w:lang w:eastAsia="sl-SI"/>
              </w:rPr>
            </w:pPr>
            <w:r w:rsidRPr="00B148B1">
              <w:rPr>
                <w:rFonts w:cs="Arial"/>
                <w:color w:val="000000"/>
                <w:szCs w:val="20"/>
              </w:rPr>
              <w:t>16</w:t>
            </w:r>
          </w:p>
        </w:tc>
        <w:tc>
          <w:tcPr>
            <w:tcW w:w="1461" w:type="pct"/>
            <w:shd w:val="clear" w:color="auto" w:fill="auto"/>
            <w:noWrap/>
            <w:vAlign w:val="center"/>
          </w:tcPr>
          <w:p w:rsidR="001E37F4" w:rsidRPr="00B148B1" w:rsidRDefault="001E37F4" w:rsidP="001E37F4">
            <w:pPr>
              <w:spacing w:line="240" w:lineRule="auto"/>
              <w:rPr>
                <w:rFonts w:cs="Arial"/>
                <w:color w:val="000000"/>
                <w:szCs w:val="20"/>
                <w:lang w:eastAsia="sl-SI"/>
              </w:rPr>
            </w:pPr>
            <w:r w:rsidRPr="00B148B1">
              <w:rPr>
                <w:rFonts w:cs="Arial"/>
                <w:color w:val="000000"/>
                <w:szCs w:val="20"/>
              </w:rPr>
              <w:t>CERKNO</w:t>
            </w:r>
          </w:p>
        </w:tc>
        <w:tc>
          <w:tcPr>
            <w:tcW w:w="776" w:type="pct"/>
            <w:shd w:val="clear" w:color="auto" w:fill="auto"/>
            <w:noWrap/>
            <w:vAlign w:val="center"/>
          </w:tcPr>
          <w:p w:rsidR="001E37F4" w:rsidRPr="00B148B1" w:rsidRDefault="001E37F4" w:rsidP="001E37F4">
            <w:pPr>
              <w:spacing w:line="240" w:lineRule="auto"/>
              <w:jc w:val="right"/>
              <w:rPr>
                <w:rFonts w:cs="Arial"/>
                <w:color w:val="000000"/>
                <w:szCs w:val="20"/>
                <w:lang w:eastAsia="sl-SI"/>
              </w:rPr>
            </w:pPr>
            <w:r w:rsidRPr="00B148B1">
              <w:rPr>
                <w:rFonts w:cs="Arial"/>
                <w:color w:val="000000"/>
                <w:szCs w:val="20"/>
              </w:rPr>
              <w:t>5.000</w:t>
            </w:r>
          </w:p>
        </w:tc>
        <w:tc>
          <w:tcPr>
            <w:tcW w:w="1804" w:type="pct"/>
            <w:shd w:val="clear" w:color="auto" w:fill="auto"/>
            <w:noWrap/>
            <w:vAlign w:val="center"/>
          </w:tcPr>
          <w:p w:rsidR="001E37F4" w:rsidRPr="00B148B1" w:rsidRDefault="001E37F4" w:rsidP="001E37F4">
            <w:pPr>
              <w:spacing w:line="240" w:lineRule="auto"/>
              <w:jc w:val="right"/>
              <w:rPr>
                <w:rFonts w:cs="Arial"/>
                <w:color w:val="000000"/>
                <w:szCs w:val="20"/>
                <w:lang w:eastAsia="sl-SI"/>
              </w:rPr>
            </w:pPr>
            <w:r w:rsidRPr="00B148B1">
              <w:rPr>
                <w:rFonts w:cs="Arial"/>
                <w:color w:val="000000"/>
                <w:szCs w:val="20"/>
              </w:rPr>
              <w:t>914</w:t>
            </w:r>
          </w:p>
        </w:tc>
      </w:tr>
      <w:tr w:rsidR="001E37F4" w:rsidRPr="00B148B1" w:rsidTr="00B803AE">
        <w:trPr>
          <w:trHeight w:val="315"/>
        </w:trPr>
        <w:tc>
          <w:tcPr>
            <w:tcW w:w="499" w:type="pct"/>
            <w:shd w:val="clear" w:color="auto" w:fill="auto"/>
            <w:vAlign w:val="center"/>
          </w:tcPr>
          <w:p w:rsidR="001E37F4" w:rsidRPr="00B148B1" w:rsidRDefault="001E37F4" w:rsidP="001E37F4">
            <w:pPr>
              <w:spacing w:line="240" w:lineRule="auto"/>
              <w:jc w:val="center"/>
              <w:rPr>
                <w:rFonts w:cs="Arial"/>
                <w:bCs/>
                <w:color w:val="000000"/>
                <w:szCs w:val="20"/>
                <w:lang w:eastAsia="sl-SI"/>
              </w:rPr>
            </w:pPr>
            <w:r w:rsidRPr="00B148B1">
              <w:rPr>
                <w:rFonts w:cs="Arial"/>
                <w:bCs/>
                <w:color w:val="000000"/>
                <w:szCs w:val="20"/>
                <w:lang w:eastAsia="sl-SI"/>
              </w:rPr>
              <w:t>12</w:t>
            </w:r>
          </w:p>
        </w:tc>
        <w:tc>
          <w:tcPr>
            <w:tcW w:w="460" w:type="pct"/>
            <w:shd w:val="clear" w:color="auto" w:fill="auto"/>
            <w:noWrap/>
            <w:vAlign w:val="center"/>
          </w:tcPr>
          <w:p w:rsidR="001E37F4" w:rsidRPr="00B148B1" w:rsidRDefault="001E37F4" w:rsidP="001E37F4">
            <w:pPr>
              <w:spacing w:line="240" w:lineRule="auto"/>
              <w:jc w:val="right"/>
              <w:rPr>
                <w:rFonts w:cs="Arial"/>
                <w:color w:val="000000"/>
                <w:szCs w:val="20"/>
                <w:lang w:eastAsia="sl-SI"/>
              </w:rPr>
            </w:pPr>
            <w:r w:rsidRPr="00B148B1">
              <w:rPr>
                <w:rFonts w:cs="Arial"/>
                <w:color w:val="000000"/>
                <w:szCs w:val="20"/>
              </w:rPr>
              <w:t>285</w:t>
            </w:r>
          </w:p>
        </w:tc>
        <w:tc>
          <w:tcPr>
            <w:tcW w:w="1461" w:type="pct"/>
            <w:shd w:val="clear" w:color="auto" w:fill="auto"/>
            <w:noWrap/>
            <w:vAlign w:val="center"/>
          </w:tcPr>
          <w:p w:rsidR="001E37F4" w:rsidRPr="00B148B1" w:rsidRDefault="001E37F4" w:rsidP="001E37F4">
            <w:pPr>
              <w:spacing w:line="240" w:lineRule="auto"/>
              <w:rPr>
                <w:rFonts w:cs="Arial"/>
                <w:color w:val="000000"/>
                <w:szCs w:val="20"/>
                <w:lang w:eastAsia="sl-SI"/>
              </w:rPr>
            </w:pPr>
            <w:r w:rsidRPr="00B148B1">
              <w:rPr>
                <w:rFonts w:cs="Arial"/>
                <w:color w:val="000000"/>
                <w:szCs w:val="20"/>
              </w:rPr>
              <w:t>KANAL</w:t>
            </w:r>
          </w:p>
        </w:tc>
        <w:tc>
          <w:tcPr>
            <w:tcW w:w="776" w:type="pct"/>
            <w:shd w:val="clear" w:color="auto" w:fill="auto"/>
            <w:noWrap/>
            <w:vAlign w:val="center"/>
          </w:tcPr>
          <w:p w:rsidR="001E37F4" w:rsidRPr="00B148B1" w:rsidRDefault="001E37F4" w:rsidP="001E37F4">
            <w:pPr>
              <w:spacing w:line="240" w:lineRule="auto"/>
              <w:jc w:val="right"/>
              <w:rPr>
                <w:rFonts w:cs="Arial"/>
                <w:color w:val="000000"/>
                <w:szCs w:val="20"/>
                <w:lang w:eastAsia="sl-SI"/>
              </w:rPr>
            </w:pPr>
            <w:r w:rsidRPr="00B148B1">
              <w:rPr>
                <w:rFonts w:cs="Arial"/>
                <w:color w:val="000000"/>
                <w:szCs w:val="20"/>
              </w:rPr>
              <w:t>2.000</w:t>
            </w:r>
          </w:p>
        </w:tc>
        <w:tc>
          <w:tcPr>
            <w:tcW w:w="1804" w:type="pct"/>
            <w:shd w:val="clear" w:color="auto" w:fill="auto"/>
            <w:noWrap/>
            <w:vAlign w:val="center"/>
          </w:tcPr>
          <w:p w:rsidR="001E37F4" w:rsidRPr="00B148B1" w:rsidRDefault="001E37F4" w:rsidP="001E37F4">
            <w:pPr>
              <w:spacing w:line="240" w:lineRule="auto"/>
              <w:jc w:val="right"/>
              <w:rPr>
                <w:rFonts w:cs="Arial"/>
                <w:color w:val="000000"/>
                <w:szCs w:val="20"/>
                <w:lang w:eastAsia="sl-SI"/>
              </w:rPr>
            </w:pPr>
            <w:r w:rsidRPr="00B148B1">
              <w:rPr>
                <w:rFonts w:cs="Arial"/>
                <w:color w:val="000000"/>
                <w:szCs w:val="20"/>
              </w:rPr>
              <w:t>651</w:t>
            </w:r>
          </w:p>
        </w:tc>
      </w:tr>
      <w:tr w:rsidR="001E37F4" w:rsidRPr="00B148B1" w:rsidTr="00B803AE">
        <w:trPr>
          <w:trHeight w:val="315"/>
        </w:trPr>
        <w:tc>
          <w:tcPr>
            <w:tcW w:w="499" w:type="pct"/>
            <w:shd w:val="clear" w:color="auto" w:fill="auto"/>
            <w:vAlign w:val="center"/>
          </w:tcPr>
          <w:p w:rsidR="001E37F4" w:rsidRPr="00B148B1" w:rsidRDefault="001E37F4" w:rsidP="001E37F4">
            <w:pPr>
              <w:spacing w:line="240" w:lineRule="auto"/>
              <w:jc w:val="center"/>
              <w:rPr>
                <w:rFonts w:cs="Arial"/>
                <w:bCs/>
                <w:color w:val="000000"/>
                <w:szCs w:val="20"/>
                <w:lang w:eastAsia="sl-SI"/>
              </w:rPr>
            </w:pPr>
            <w:r w:rsidRPr="00B148B1">
              <w:rPr>
                <w:rFonts w:cs="Arial"/>
                <w:bCs/>
                <w:color w:val="000000"/>
                <w:szCs w:val="20"/>
                <w:lang w:eastAsia="sl-SI"/>
              </w:rPr>
              <w:t>13</w:t>
            </w:r>
          </w:p>
        </w:tc>
        <w:tc>
          <w:tcPr>
            <w:tcW w:w="460" w:type="pct"/>
            <w:shd w:val="clear" w:color="auto" w:fill="auto"/>
            <w:noWrap/>
            <w:vAlign w:val="center"/>
          </w:tcPr>
          <w:p w:rsidR="001E37F4" w:rsidRPr="00B148B1" w:rsidRDefault="001E37F4" w:rsidP="001E37F4">
            <w:pPr>
              <w:spacing w:line="240" w:lineRule="auto"/>
              <w:jc w:val="right"/>
              <w:rPr>
                <w:rFonts w:cs="Arial"/>
                <w:color w:val="000000"/>
                <w:szCs w:val="20"/>
                <w:lang w:eastAsia="sl-SI"/>
              </w:rPr>
            </w:pPr>
            <w:r w:rsidRPr="00B148B1">
              <w:rPr>
                <w:rFonts w:cs="Arial"/>
                <w:color w:val="000000"/>
                <w:szCs w:val="20"/>
              </w:rPr>
              <w:t>563</w:t>
            </w:r>
          </w:p>
        </w:tc>
        <w:tc>
          <w:tcPr>
            <w:tcW w:w="1461" w:type="pct"/>
            <w:shd w:val="clear" w:color="auto" w:fill="auto"/>
            <w:noWrap/>
            <w:vAlign w:val="center"/>
          </w:tcPr>
          <w:p w:rsidR="001E37F4" w:rsidRPr="00B148B1" w:rsidRDefault="001E37F4" w:rsidP="001E37F4">
            <w:pPr>
              <w:spacing w:line="240" w:lineRule="auto"/>
              <w:rPr>
                <w:rFonts w:cs="Arial"/>
                <w:color w:val="000000"/>
                <w:szCs w:val="20"/>
                <w:lang w:eastAsia="sl-SI"/>
              </w:rPr>
            </w:pPr>
            <w:r w:rsidRPr="00B148B1">
              <w:rPr>
                <w:rFonts w:cs="Arial"/>
                <w:color w:val="000000"/>
                <w:szCs w:val="20"/>
              </w:rPr>
              <w:t>ŽUŽEMBERK</w:t>
            </w:r>
          </w:p>
        </w:tc>
        <w:tc>
          <w:tcPr>
            <w:tcW w:w="776" w:type="pct"/>
            <w:shd w:val="clear" w:color="auto" w:fill="auto"/>
            <w:noWrap/>
            <w:vAlign w:val="center"/>
          </w:tcPr>
          <w:p w:rsidR="001E37F4" w:rsidRPr="00B148B1" w:rsidRDefault="001E37F4" w:rsidP="001E37F4">
            <w:pPr>
              <w:spacing w:line="240" w:lineRule="auto"/>
              <w:jc w:val="right"/>
              <w:rPr>
                <w:rFonts w:cs="Arial"/>
                <w:color w:val="000000"/>
                <w:szCs w:val="20"/>
                <w:lang w:eastAsia="sl-SI"/>
              </w:rPr>
            </w:pPr>
            <w:r w:rsidRPr="00B148B1">
              <w:rPr>
                <w:rFonts w:cs="Arial"/>
                <w:color w:val="000000"/>
                <w:szCs w:val="20"/>
              </w:rPr>
              <w:t>3.000</w:t>
            </w:r>
          </w:p>
        </w:tc>
        <w:tc>
          <w:tcPr>
            <w:tcW w:w="1804" w:type="pct"/>
            <w:shd w:val="clear" w:color="auto" w:fill="auto"/>
            <w:noWrap/>
            <w:vAlign w:val="center"/>
          </w:tcPr>
          <w:p w:rsidR="001E37F4" w:rsidRPr="00B148B1" w:rsidRDefault="001E37F4" w:rsidP="001E37F4">
            <w:pPr>
              <w:spacing w:line="240" w:lineRule="auto"/>
              <w:jc w:val="right"/>
              <w:rPr>
                <w:rFonts w:cs="Arial"/>
                <w:color w:val="000000"/>
                <w:szCs w:val="20"/>
                <w:lang w:eastAsia="sl-SI"/>
              </w:rPr>
            </w:pPr>
            <w:r w:rsidRPr="00B148B1">
              <w:rPr>
                <w:rFonts w:cs="Arial"/>
                <w:color w:val="000000"/>
                <w:szCs w:val="20"/>
              </w:rPr>
              <w:t>704</w:t>
            </w:r>
          </w:p>
        </w:tc>
      </w:tr>
    </w:tbl>
    <w:p w:rsidR="00B77E72" w:rsidRPr="00B148B1" w:rsidRDefault="00047A98">
      <w:pPr>
        <w:rPr>
          <w:rFonts w:cs="Arial"/>
          <w:szCs w:val="20"/>
        </w:rPr>
      </w:pPr>
      <w:r w:rsidRPr="00B148B1">
        <w:rPr>
          <w:rFonts w:cs="Arial"/>
          <w:sz w:val="18"/>
          <w:szCs w:val="18"/>
          <w:vertAlign w:val="superscript"/>
        </w:rPr>
        <w:t>(1)</w:t>
      </w:r>
      <w:r w:rsidR="00D21583" w:rsidRPr="00B148B1">
        <w:rPr>
          <w:rFonts w:cs="Arial"/>
          <w:sz w:val="18"/>
          <w:szCs w:val="18"/>
        </w:rPr>
        <w:t xml:space="preserve"> </w:t>
      </w:r>
      <w:r w:rsidRPr="00B148B1">
        <w:rPr>
          <w:rFonts w:cs="Arial"/>
          <w:sz w:val="18"/>
          <w:szCs w:val="18"/>
        </w:rPr>
        <w:t>Komunalna čistilna naprava z zmogljivostjo</w:t>
      </w:r>
      <w:r w:rsidR="00D21583" w:rsidRPr="00B148B1">
        <w:rPr>
          <w:rFonts w:cs="Arial"/>
          <w:sz w:val="18"/>
          <w:szCs w:val="18"/>
        </w:rPr>
        <w:t>,</w:t>
      </w:r>
      <w:r w:rsidRPr="00B148B1">
        <w:rPr>
          <w:rFonts w:cs="Arial"/>
          <w:sz w:val="18"/>
          <w:szCs w:val="18"/>
        </w:rPr>
        <w:t xml:space="preserve"> manjšo od 2.000 PE čisti komunalno odpadno vodo iz aglomeracije s skupno obremenitvijo</w:t>
      </w:r>
      <w:r w:rsidR="00D21583" w:rsidRPr="00B148B1">
        <w:rPr>
          <w:rFonts w:cs="Arial"/>
          <w:sz w:val="18"/>
          <w:szCs w:val="18"/>
        </w:rPr>
        <w:t>,</w:t>
      </w:r>
      <w:r w:rsidRPr="00B148B1">
        <w:rPr>
          <w:rFonts w:cs="Arial"/>
          <w:sz w:val="18"/>
          <w:szCs w:val="18"/>
        </w:rPr>
        <w:t xml:space="preserve"> enako ali večjo od 2.000 PE.</w:t>
      </w:r>
      <w:r w:rsidR="00B77E72" w:rsidRPr="00B148B1">
        <w:rPr>
          <w:rFonts w:cs="Arial"/>
          <w:szCs w:val="20"/>
        </w:rPr>
        <w:t xml:space="preserve"> </w:t>
      </w:r>
    </w:p>
    <w:p w:rsidR="004E7710" w:rsidRPr="00B148B1" w:rsidRDefault="004E7710" w:rsidP="00C770E5">
      <w:pPr>
        <w:pStyle w:val="Naslov3"/>
      </w:pPr>
      <w:bookmarkStart w:id="129" w:name="_Toc50628093"/>
      <w:r w:rsidRPr="00B148B1">
        <w:t xml:space="preserve">Ukrepi </w:t>
      </w:r>
      <w:r w:rsidR="00B64F1C" w:rsidRPr="00B148B1">
        <w:t>za padavinsko odpadno vodo</w:t>
      </w:r>
      <w:bookmarkEnd w:id="129"/>
    </w:p>
    <w:p w:rsidR="004E7710" w:rsidRPr="00B148B1" w:rsidRDefault="004E7710" w:rsidP="00437A85">
      <w:pPr>
        <w:tabs>
          <w:tab w:val="left" w:pos="9600"/>
        </w:tabs>
        <w:spacing w:before="120" w:line="280" w:lineRule="atLeast"/>
        <w:rPr>
          <w:rFonts w:cs="Arial"/>
          <w:szCs w:val="20"/>
        </w:rPr>
      </w:pPr>
      <w:r w:rsidRPr="00B148B1">
        <w:rPr>
          <w:rFonts w:cs="Arial"/>
          <w:szCs w:val="20"/>
        </w:rPr>
        <w:t>V aglomeracijah je treba izvajati tudi ukrepe za padavinsko odpadno vodo, in sicer je treba zagotoviti izvajanje ukrepov za zmanjševanje količin</w:t>
      </w:r>
      <w:r w:rsidR="00D21583" w:rsidRPr="00B148B1">
        <w:rPr>
          <w:rFonts w:cs="Arial"/>
          <w:szCs w:val="20"/>
        </w:rPr>
        <w:t>e</w:t>
      </w:r>
      <w:r w:rsidRPr="00B148B1">
        <w:rPr>
          <w:rFonts w:cs="Arial"/>
          <w:szCs w:val="20"/>
        </w:rPr>
        <w:t xml:space="preserve"> padavinske odpadne vode, ki se odvaja v javno kanalizacijo, zlasti tiste, ki se odvaja s streh. V postopkih načrtovanja javnih kanalizacijskih omrežij je torej treba preučiti možne ukrepe za zmanjšanje količine padavinske odpadne vode, ki se odvaja v javno kanalizacijo, in ukrepe za zadrževanje prvega naliva padavinske odpadne vode v primeru mešanih kanalizacijskih sistemov ter pri načrtovanih rešitvah upoštevati </w:t>
      </w:r>
      <w:r w:rsidR="00137598" w:rsidRPr="00B148B1">
        <w:rPr>
          <w:rFonts w:cs="Arial"/>
          <w:szCs w:val="20"/>
        </w:rPr>
        <w:t xml:space="preserve">finančno, </w:t>
      </w:r>
      <w:r w:rsidRPr="00B148B1">
        <w:rPr>
          <w:rFonts w:cs="Arial"/>
          <w:szCs w:val="20"/>
        </w:rPr>
        <w:t xml:space="preserve">tehnično, okoljsko in družbeno sprejemljivost. </w:t>
      </w:r>
    </w:p>
    <w:p w:rsidR="00D774EB" w:rsidRPr="007D6927" w:rsidRDefault="00D774EB" w:rsidP="00C63DDA">
      <w:pPr>
        <w:pStyle w:val="Naslov2"/>
      </w:pPr>
      <w:bookmarkStart w:id="130" w:name="_Toc50628094"/>
      <w:r w:rsidRPr="007D6927">
        <w:t xml:space="preserve">Ukrepi za zagotavljanje predpisane opremljenosti </w:t>
      </w:r>
      <w:r w:rsidR="0019056F" w:rsidRPr="007D6927">
        <w:t xml:space="preserve">na območju </w:t>
      </w:r>
      <w:r w:rsidR="008C6D60" w:rsidRPr="007D6927">
        <w:t>zunaj</w:t>
      </w:r>
      <w:r w:rsidRPr="007D6927">
        <w:t xml:space="preserve"> meja aglomeracij</w:t>
      </w:r>
      <w:bookmarkEnd w:id="130"/>
    </w:p>
    <w:p w:rsidR="00AF1473" w:rsidRPr="00B148B1" w:rsidRDefault="00B61C9E" w:rsidP="00007664">
      <w:pPr>
        <w:tabs>
          <w:tab w:val="left" w:pos="9600"/>
        </w:tabs>
        <w:spacing w:before="120" w:line="280" w:lineRule="atLeast"/>
        <w:rPr>
          <w:rFonts w:cs="Arial"/>
          <w:szCs w:val="20"/>
        </w:rPr>
      </w:pPr>
      <w:r w:rsidRPr="00B148B1">
        <w:rPr>
          <w:rFonts w:cs="Arial"/>
          <w:szCs w:val="20"/>
        </w:rPr>
        <w:t>Za objekte, v katerih nastaja komunalna odpadna voda, je treba zagotoviti odvajanje in čiščenje komunalne odpadne vode</w:t>
      </w:r>
      <w:r w:rsidR="00123AEA" w:rsidRPr="00B148B1">
        <w:rPr>
          <w:rFonts w:cs="Arial"/>
          <w:szCs w:val="20"/>
        </w:rPr>
        <w:t xml:space="preserve"> </w:t>
      </w:r>
      <w:r w:rsidR="00725FB9" w:rsidRPr="00B148B1">
        <w:rPr>
          <w:rFonts w:cs="Arial"/>
          <w:szCs w:val="20"/>
        </w:rPr>
        <w:t xml:space="preserve">v </w:t>
      </w:r>
      <w:r w:rsidR="00123AEA" w:rsidRPr="00B148B1">
        <w:rPr>
          <w:rFonts w:cs="Arial"/>
          <w:szCs w:val="20"/>
        </w:rPr>
        <w:t>sklad</w:t>
      </w:r>
      <w:r w:rsidR="00725FB9" w:rsidRPr="00B148B1">
        <w:rPr>
          <w:rFonts w:cs="Arial"/>
          <w:szCs w:val="20"/>
        </w:rPr>
        <w:t>u</w:t>
      </w:r>
      <w:r w:rsidR="00123AEA" w:rsidRPr="00B148B1">
        <w:rPr>
          <w:rFonts w:cs="Arial"/>
          <w:szCs w:val="20"/>
        </w:rPr>
        <w:t xml:space="preserve"> z zahtevami, opisanimi v </w:t>
      </w:r>
      <w:r w:rsidR="00AE7EB2" w:rsidRPr="00B148B1">
        <w:rPr>
          <w:rFonts w:cs="Arial"/>
          <w:szCs w:val="20"/>
        </w:rPr>
        <w:t>pod</w:t>
      </w:r>
      <w:r w:rsidR="00123AEA" w:rsidRPr="00B148B1">
        <w:rPr>
          <w:rFonts w:cs="Arial"/>
          <w:szCs w:val="20"/>
        </w:rPr>
        <w:t xml:space="preserve">poglavju </w:t>
      </w:r>
      <w:r w:rsidR="00EF1823" w:rsidRPr="00B148B1">
        <w:rPr>
          <w:rFonts w:cs="Arial"/>
          <w:szCs w:val="20"/>
        </w:rPr>
        <w:fldChar w:fldCharType="begin"/>
      </w:r>
      <w:r w:rsidR="00EF1823" w:rsidRPr="00B148B1">
        <w:rPr>
          <w:rFonts w:cs="Arial"/>
          <w:szCs w:val="20"/>
        </w:rPr>
        <w:instrText xml:space="preserve"> REF _Ref444004263 \r \h  \* MERGEFORMAT </w:instrText>
      </w:r>
      <w:r w:rsidR="00EF1823" w:rsidRPr="00B148B1">
        <w:rPr>
          <w:rFonts w:cs="Arial"/>
          <w:szCs w:val="20"/>
        </w:rPr>
      </w:r>
      <w:r w:rsidR="00EF1823" w:rsidRPr="00B148B1">
        <w:rPr>
          <w:rFonts w:cs="Arial"/>
          <w:szCs w:val="20"/>
        </w:rPr>
        <w:fldChar w:fldCharType="separate"/>
      </w:r>
      <w:r w:rsidR="00E92793">
        <w:rPr>
          <w:rFonts w:cs="Arial"/>
          <w:szCs w:val="20"/>
        </w:rPr>
        <w:t>1.3.6</w:t>
      </w:r>
      <w:r w:rsidR="00EF1823" w:rsidRPr="00B148B1">
        <w:rPr>
          <w:rFonts w:cs="Arial"/>
          <w:szCs w:val="20"/>
        </w:rPr>
        <w:fldChar w:fldCharType="end"/>
      </w:r>
      <w:r w:rsidR="006366A3" w:rsidRPr="00B148B1">
        <w:rPr>
          <w:rFonts w:cs="Arial"/>
          <w:szCs w:val="20"/>
        </w:rPr>
        <w:t>.</w:t>
      </w:r>
      <w:r w:rsidR="00EF1823" w:rsidRPr="00B148B1">
        <w:rPr>
          <w:rFonts w:cs="Arial"/>
          <w:szCs w:val="20"/>
        </w:rPr>
        <w:t xml:space="preserve"> </w:t>
      </w:r>
      <w:r w:rsidR="00123AEA" w:rsidRPr="00B148B1">
        <w:rPr>
          <w:rFonts w:cs="Arial"/>
          <w:szCs w:val="20"/>
        </w:rPr>
        <w:t xml:space="preserve">tega operativnega programa. </w:t>
      </w:r>
      <w:r w:rsidR="00233C6D" w:rsidRPr="00B148B1">
        <w:rPr>
          <w:rFonts w:cs="Arial"/>
          <w:szCs w:val="20"/>
        </w:rPr>
        <w:t xml:space="preserve">V skladu </w:t>
      </w:r>
      <w:r w:rsidR="00123AEA" w:rsidRPr="00B148B1">
        <w:rPr>
          <w:rFonts w:cs="Arial"/>
          <w:szCs w:val="20"/>
        </w:rPr>
        <w:t xml:space="preserve">s temi zahtevami </w:t>
      </w:r>
      <w:r w:rsidR="00E66B23" w:rsidRPr="00B148B1">
        <w:rPr>
          <w:rFonts w:cs="Arial"/>
          <w:szCs w:val="20"/>
        </w:rPr>
        <w:t xml:space="preserve">morajo lastniki objektov na območju </w:t>
      </w:r>
      <w:r w:rsidR="008C6D60" w:rsidRPr="00B148B1">
        <w:rPr>
          <w:rFonts w:cs="Arial"/>
          <w:szCs w:val="20"/>
        </w:rPr>
        <w:t>zunaj</w:t>
      </w:r>
      <w:r w:rsidR="00E66B23" w:rsidRPr="00B148B1">
        <w:rPr>
          <w:rFonts w:cs="Arial"/>
          <w:szCs w:val="20"/>
        </w:rPr>
        <w:t xml:space="preserve"> meja aglomeracij </w:t>
      </w:r>
      <w:r w:rsidR="008D6023" w:rsidRPr="00B148B1">
        <w:rPr>
          <w:rFonts w:cs="Arial"/>
          <w:szCs w:val="20"/>
        </w:rPr>
        <w:t>praviloma s</w:t>
      </w:r>
      <w:r w:rsidR="00E66B23" w:rsidRPr="00B148B1">
        <w:rPr>
          <w:rFonts w:cs="Arial"/>
          <w:szCs w:val="20"/>
        </w:rPr>
        <w:t xml:space="preserve">ami zagotoviti opremljenost </w:t>
      </w:r>
      <w:r w:rsidR="00480505" w:rsidRPr="00B148B1">
        <w:rPr>
          <w:rFonts w:cs="Arial"/>
          <w:szCs w:val="20"/>
        </w:rPr>
        <w:t>z ustrezno ureditvijo za odvajanje in čiščenje komunalne odpadne vode</w:t>
      </w:r>
      <w:r w:rsidR="00AF1473" w:rsidRPr="00B148B1">
        <w:rPr>
          <w:rFonts w:cs="Arial"/>
          <w:szCs w:val="20"/>
        </w:rPr>
        <w:t>.</w:t>
      </w:r>
    </w:p>
    <w:p w:rsidR="008624CB" w:rsidRPr="00B148B1" w:rsidRDefault="00AF1473" w:rsidP="00AF1473">
      <w:pPr>
        <w:tabs>
          <w:tab w:val="left" w:pos="9600"/>
        </w:tabs>
        <w:spacing w:before="120" w:line="280" w:lineRule="atLeast"/>
      </w:pPr>
      <w:r w:rsidRPr="00B148B1">
        <w:rPr>
          <w:rFonts w:cs="Arial"/>
          <w:szCs w:val="20"/>
        </w:rPr>
        <w:t xml:space="preserve">Analize kažejo, da bo </w:t>
      </w:r>
      <w:r w:rsidR="00233C6D" w:rsidRPr="00B148B1">
        <w:rPr>
          <w:rFonts w:cs="Arial"/>
          <w:szCs w:val="20"/>
        </w:rPr>
        <w:t xml:space="preserve">treba </w:t>
      </w:r>
      <w:r w:rsidRPr="00B148B1">
        <w:rPr>
          <w:rFonts w:cs="Arial"/>
          <w:szCs w:val="20"/>
        </w:rPr>
        <w:t>glede na podatke na dan 31. decembr</w:t>
      </w:r>
      <w:r w:rsidR="00233C6D" w:rsidRPr="00B148B1">
        <w:rPr>
          <w:rFonts w:cs="Arial"/>
          <w:szCs w:val="20"/>
        </w:rPr>
        <w:t>a</w:t>
      </w:r>
      <w:r w:rsidRPr="00B148B1">
        <w:rPr>
          <w:rFonts w:cs="Arial"/>
          <w:szCs w:val="20"/>
        </w:rPr>
        <w:t xml:space="preserve"> 201</w:t>
      </w:r>
      <w:r w:rsidR="00891322" w:rsidRPr="00B148B1">
        <w:rPr>
          <w:rFonts w:cs="Arial"/>
          <w:szCs w:val="20"/>
        </w:rPr>
        <w:t>8</w:t>
      </w:r>
      <w:r w:rsidRPr="00B148B1">
        <w:rPr>
          <w:rFonts w:cs="Arial"/>
          <w:szCs w:val="20"/>
        </w:rPr>
        <w:t xml:space="preserve"> treba ustrezni način odvajanja in čiščenja komunalne odpadne vode </w:t>
      </w:r>
      <w:r w:rsidR="008C6D60" w:rsidRPr="00B148B1">
        <w:rPr>
          <w:rFonts w:cs="Arial"/>
          <w:szCs w:val="20"/>
        </w:rPr>
        <w:t>zunaj</w:t>
      </w:r>
      <w:r w:rsidRPr="00B148B1">
        <w:rPr>
          <w:rFonts w:cs="Arial"/>
          <w:szCs w:val="20"/>
        </w:rPr>
        <w:t xml:space="preserve"> meja aglomeracij zagotoviti za približno </w:t>
      </w:r>
      <w:r w:rsidR="008C0233" w:rsidRPr="00B148B1">
        <w:rPr>
          <w:rFonts w:cs="Arial"/>
          <w:szCs w:val="20"/>
        </w:rPr>
        <w:t xml:space="preserve">70 </w:t>
      </w:r>
      <w:r w:rsidRPr="00B148B1">
        <w:rPr>
          <w:rFonts w:cs="Arial"/>
          <w:szCs w:val="20"/>
        </w:rPr>
        <w:t xml:space="preserve">% skupne </w:t>
      </w:r>
      <w:r w:rsidRPr="00B148B1">
        <w:t>obremenitve</w:t>
      </w:r>
      <w:r w:rsidR="00BB3FF9" w:rsidRPr="00B148B1">
        <w:t xml:space="preserve"> (t.</w:t>
      </w:r>
      <w:r w:rsidR="006C5A85" w:rsidRPr="00B148B1">
        <w:t xml:space="preserve"> </w:t>
      </w:r>
      <w:r w:rsidR="00BB3FF9" w:rsidRPr="00B148B1">
        <w:t xml:space="preserve">j. </w:t>
      </w:r>
      <w:r w:rsidR="008C0233" w:rsidRPr="00B148B1">
        <w:t>309.795</w:t>
      </w:r>
      <w:r w:rsidR="00BB3FF9" w:rsidRPr="00B148B1">
        <w:t xml:space="preserve"> PE)</w:t>
      </w:r>
      <w:r w:rsidRPr="00B148B1">
        <w:t xml:space="preserve">, ki nastaja </w:t>
      </w:r>
      <w:r w:rsidR="008C6D60" w:rsidRPr="00B148B1">
        <w:t>zunaj</w:t>
      </w:r>
      <w:r w:rsidRPr="00B148B1">
        <w:t xml:space="preserve"> meja aglomeracij.</w:t>
      </w:r>
      <w:r w:rsidR="00994015" w:rsidRPr="00B148B1">
        <w:t xml:space="preserve"> </w:t>
      </w:r>
    </w:p>
    <w:p w:rsidR="00AF1473" w:rsidRPr="00B148B1" w:rsidRDefault="00EB6245" w:rsidP="00AF1473">
      <w:pPr>
        <w:tabs>
          <w:tab w:val="left" w:pos="9600"/>
        </w:tabs>
        <w:spacing w:before="120" w:line="280" w:lineRule="atLeast"/>
        <w:rPr>
          <w:rFonts w:cs="Arial"/>
          <w:szCs w:val="20"/>
        </w:rPr>
      </w:pPr>
      <w:r w:rsidRPr="00B148B1">
        <w:t xml:space="preserve">Podatki </w:t>
      </w:r>
      <w:r w:rsidR="00400D19" w:rsidRPr="00B148B1">
        <w:t xml:space="preserve">o obremenitvi, izraženi v PE glede na obremenitev </w:t>
      </w:r>
      <w:r w:rsidR="008C6D60" w:rsidRPr="00B148B1">
        <w:t xml:space="preserve">zunaj </w:t>
      </w:r>
      <w:r w:rsidR="00400D19" w:rsidRPr="00B148B1">
        <w:t>meja aglomeracij v posamezni občini, za katero je treba zagotoviti predpisano ureditev za odvajanje in čiščenje</w:t>
      </w:r>
      <w:r w:rsidR="00400D19" w:rsidRPr="00B148B1">
        <w:rPr>
          <w:rFonts w:cs="Arial"/>
          <w:szCs w:val="20"/>
        </w:rPr>
        <w:t xml:space="preserve"> komunalne odpadne </w:t>
      </w:r>
      <w:r w:rsidR="00400D19" w:rsidRPr="00B148B1">
        <w:rPr>
          <w:rFonts w:cs="Arial"/>
          <w:szCs w:val="20"/>
        </w:rPr>
        <w:lastRenderedPageBreak/>
        <w:t xml:space="preserve">vode, so </w:t>
      </w:r>
      <w:r w:rsidRPr="00B148B1">
        <w:rPr>
          <w:rFonts w:cs="Arial"/>
          <w:szCs w:val="20"/>
        </w:rPr>
        <w:t xml:space="preserve">po posameznih občinah prikazani v prilogi </w:t>
      </w:r>
      <w:r w:rsidR="00400D19" w:rsidRPr="00B148B1">
        <w:rPr>
          <w:rFonts w:cs="Arial"/>
          <w:szCs w:val="20"/>
        </w:rPr>
        <w:t xml:space="preserve">(PRILOGA </w:t>
      </w:r>
      <w:r w:rsidR="008C0233" w:rsidRPr="00B148B1">
        <w:rPr>
          <w:rFonts w:cs="Arial"/>
          <w:szCs w:val="20"/>
        </w:rPr>
        <w:t>14</w:t>
      </w:r>
      <w:r w:rsidRPr="00B148B1">
        <w:rPr>
          <w:rFonts w:cs="Arial"/>
          <w:szCs w:val="20"/>
        </w:rPr>
        <w:t>), ki je sestavni del tega operativnega programa.</w:t>
      </w:r>
    </w:p>
    <w:p w:rsidR="006C7916" w:rsidRPr="00B148B1" w:rsidRDefault="006C7916" w:rsidP="00C63DDA">
      <w:pPr>
        <w:pStyle w:val="Naslov2"/>
      </w:pPr>
      <w:bookmarkStart w:id="131" w:name="_Toc50628095"/>
      <w:r w:rsidRPr="00B148B1">
        <w:t>Prednostni vrstni red izvajanja ukrepov</w:t>
      </w:r>
      <w:bookmarkEnd w:id="131"/>
      <w:r w:rsidRPr="00B148B1">
        <w:t xml:space="preserve"> </w:t>
      </w:r>
    </w:p>
    <w:p w:rsidR="006C7916" w:rsidRPr="00B148B1" w:rsidRDefault="006C7916" w:rsidP="006C7916">
      <w:pPr>
        <w:tabs>
          <w:tab w:val="left" w:pos="9600"/>
        </w:tabs>
        <w:spacing w:before="120" w:line="280" w:lineRule="atLeast"/>
        <w:rPr>
          <w:rFonts w:cs="Arial"/>
          <w:szCs w:val="20"/>
        </w:rPr>
      </w:pPr>
      <w:r w:rsidRPr="00B148B1">
        <w:rPr>
          <w:rFonts w:cs="Arial"/>
          <w:szCs w:val="20"/>
        </w:rPr>
        <w:t xml:space="preserve">Prednostni vrstni red izvajanja ukrepov tega operativnega programa izhaja iz zahtev v zvezi z opremljanjem z infrastrukturo za odvajanje in čiščenje komunalne odpadne vode in rokov za zagotovitev opremljenosti, ki so prikazani v </w:t>
      </w:r>
      <w:r w:rsidR="00AE7EB2" w:rsidRPr="00B148B1">
        <w:rPr>
          <w:rFonts w:cs="Arial"/>
          <w:szCs w:val="20"/>
        </w:rPr>
        <w:t>pod</w:t>
      </w:r>
      <w:r w:rsidRPr="00B148B1">
        <w:rPr>
          <w:rFonts w:cs="Arial"/>
          <w:szCs w:val="20"/>
        </w:rPr>
        <w:t>poglavj</w:t>
      </w:r>
      <w:r w:rsidR="000A5E01" w:rsidRPr="00B148B1">
        <w:rPr>
          <w:rFonts w:cs="Arial"/>
          <w:szCs w:val="20"/>
        </w:rPr>
        <w:t>ih</w:t>
      </w:r>
      <w:r w:rsidRPr="00B148B1">
        <w:rPr>
          <w:rFonts w:cs="Arial"/>
          <w:szCs w:val="20"/>
        </w:rPr>
        <w:t xml:space="preserve"> </w:t>
      </w:r>
      <w:r w:rsidRPr="00B148B1">
        <w:rPr>
          <w:rFonts w:cs="Arial"/>
          <w:szCs w:val="20"/>
        </w:rPr>
        <w:fldChar w:fldCharType="begin"/>
      </w:r>
      <w:r w:rsidRPr="00B148B1">
        <w:rPr>
          <w:rFonts w:cs="Arial"/>
          <w:szCs w:val="20"/>
        </w:rPr>
        <w:instrText xml:space="preserve"> REF _Ref446492789 \r \h  \* MERGEFORMAT </w:instrText>
      </w:r>
      <w:r w:rsidRPr="00B148B1">
        <w:rPr>
          <w:rFonts w:cs="Arial"/>
          <w:szCs w:val="20"/>
        </w:rPr>
      </w:r>
      <w:r w:rsidRPr="00B148B1">
        <w:rPr>
          <w:rFonts w:cs="Arial"/>
          <w:szCs w:val="20"/>
        </w:rPr>
        <w:fldChar w:fldCharType="separate"/>
      </w:r>
      <w:r w:rsidR="00E92793">
        <w:rPr>
          <w:rFonts w:cs="Arial"/>
          <w:szCs w:val="20"/>
        </w:rPr>
        <w:t>1.3.4</w:t>
      </w:r>
      <w:r w:rsidRPr="00B148B1">
        <w:rPr>
          <w:rFonts w:cs="Arial"/>
          <w:szCs w:val="20"/>
        </w:rPr>
        <w:fldChar w:fldCharType="end"/>
      </w:r>
      <w:r w:rsidR="006366A3" w:rsidRPr="00B148B1">
        <w:rPr>
          <w:rFonts w:cs="Arial"/>
          <w:szCs w:val="20"/>
        </w:rPr>
        <w:t>.</w:t>
      </w:r>
      <w:r w:rsidRPr="00B148B1">
        <w:rPr>
          <w:rFonts w:cs="Arial"/>
          <w:szCs w:val="20"/>
        </w:rPr>
        <w:t xml:space="preserve"> in </w:t>
      </w:r>
      <w:r w:rsidR="005621AE" w:rsidRPr="00B148B1">
        <w:rPr>
          <w:rFonts w:cs="Arial"/>
          <w:szCs w:val="20"/>
        </w:rPr>
        <w:fldChar w:fldCharType="begin"/>
      </w:r>
      <w:r w:rsidR="005621AE" w:rsidRPr="00B148B1">
        <w:rPr>
          <w:rFonts w:cs="Arial"/>
          <w:szCs w:val="20"/>
        </w:rPr>
        <w:instrText xml:space="preserve"> REF _Ref41483121 \r \h </w:instrText>
      </w:r>
      <w:r w:rsidR="00B148B1" w:rsidRPr="00B148B1">
        <w:rPr>
          <w:rFonts w:cs="Arial"/>
          <w:szCs w:val="20"/>
        </w:rPr>
        <w:instrText xml:space="preserve"> \* MERGEFORMAT </w:instrText>
      </w:r>
      <w:r w:rsidR="005621AE" w:rsidRPr="00B148B1">
        <w:rPr>
          <w:rFonts w:cs="Arial"/>
          <w:szCs w:val="20"/>
        </w:rPr>
      </w:r>
      <w:r w:rsidR="005621AE" w:rsidRPr="00B148B1">
        <w:rPr>
          <w:rFonts w:cs="Arial"/>
          <w:szCs w:val="20"/>
        </w:rPr>
        <w:fldChar w:fldCharType="separate"/>
      </w:r>
      <w:r w:rsidR="00E92793">
        <w:rPr>
          <w:rFonts w:cs="Arial"/>
          <w:szCs w:val="20"/>
        </w:rPr>
        <w:t>1.3.5</w:t>
      </w:r>
      <w:r w:rsidR="005621AE" w:rsidRPr="00B148B1">
        <w:rPr>
          <w:rFonts w:cs="Arial"/>
          <w:szCs w:val="20"/>
        </w:rPr>
        <w:fldChar w:fldCharType="end"/>
      </w:r>
      <w:r w:rsidR="006366A3" w:rsidRPr="00B148B1">
        <w:rPr>
          <w:rFonts w:cs="Arial"/>
          <w:szCs w:val="20"/>
        </w:rPr>
        <w:t>.</w:t>
      </w:r>
      <w:r w:rsidRPr="00B148B1">
        <w:rPr>
          <w:rFonts w:cs="Arial"/>
          <w:szCs w:val="20"/>
        </w:rPr>
        <w:t xml:space="preserve"> tega operativnega programa</w:t>
      </w:r>
      <w:r w:rsidR="007F5207" w:rsidRPr="00B148B1">
        <w:rPr>
          <w:rFonts w:cs="Arial"/>
          <w:szCs w:val="20"/>
        </w:rPr>
        <w:t>.</w:t>
      </w:r>
      <w:r w:rsidRPr="00B148B1">
        <w:rPr>
          <w:rFonts w:cs="Arial"/>
          <w:szCs w:val="20"/>
        </w:rPr>
        <w:t xml:space="preserve"> </w:t>
      </w:r>
    </w:p>
    <w:p w:rsidR="006C7916" w:rsidRDefault="006C7916" w:rsidP="006C7916">
      <w:pPr>
        <w:tabs>
          <w:tab w:val="left" w:pos="9600"/>
        </w:tabs>
        <w:spacing w:before="120" w:line="280" w:lineRule="atLeast"/>
        <w:rPr>
          <w:rFonts w:cs="Arial"/>
          <w:szCs w:val="20"/>
        </w:rPr>
      </w:pPr>
      <w:r w:rsidRPr="00B148B1">
        <w:rPr>
          <w:rFonts w:cs="Arial"/>
          <w:szCs w:val="20"/>
        </w:rPr>
        <w:t>Ukrepe iz tega operativnega programa je treba načrtovati in izvajati glede na naslednji prednostni vrstni red investicij:</w:t>
      </w:r>
      <w:r w:rsidR="00BB3FF9" w:rsidRPr="00B148B1">
        <w:rPr>
          <w:rFonts w:cs="Arial"/>
          <w:szCs w:val="20"/>
        </w:rPr>
        <w:t xml:space="preserve"> </w:t>
      </w:r>
    </w:p>
    <w:p w:rsidR="0031491A" w:rsidRPr="00B148B1" w:rsidRDefault="0031491A" w:rsidP="006C7916">
      <w:pPr>
        <w:tabs>
          <w:tab w:val="left" w:pos="9600"/>
        </w:tabs>
        <w:spacing w:before="120" w:line="280" w:lineRule="atLeast"/>
        <w:rPr>
          <w:rFonts w:cs="Arial"/>
          <w:szCs w:val="20"/>
        </w:rPr>
      </w:pPr>
      <w:r>
        <w:rPr>
          <w:rFonts w:cs="Arial"/>
          <w:szCs w:val="20"/>
        </w:rPr>
        <w:t xml:space="preserve">Prva prioriteta: Ukrepi za zagotovitev skladnosti glede na zahteve </w:t>
      </w:r>
      <w:r w:rsidRPr="00B148B1">
        <w:rPr>
          <w:rFonts w:cs="Arial"/>
          <w:szCs w:val="20"/>
        </w:rPr>
        <w:t>Direktive 91/271/EGS</w:t>
      </w:r>
    </w:p>
    <w:p w:rsidR="00F24558" w:rsidRPr="00B148B1" w:rsidRDefault="00A13C59" w:rsidP="0031491A">
      <w:pPr>
        <w:numPr>
          <w:ilvl w:val="0"/>
          <w:numId w:val="26"/>
        </w:numPr>
        <w:tabs>
          <w:tab w:val="left" w:pos="9600"/>
        </w:tabs>
        <w:spacing w:before="120" w:line="280" w:lineRule="atLeast"/>
        <w:rPr>
          <w:rFonts w:cs="Arial"/>
          <w:szCs w:val="20"/>
        </w:rPr>
      </w:pPr>
      <w:r w:rsidRPr="00B148B1">
        <w:rPr>
          <w:rFonts w:cs="Arial"/>
          <w:szCs w:val="20"/>
        </w:rPr>
        <w:t>i</w:t>
      </w:r>
      <w:r w:rsidR="00906747" w:rsidRPr="00B148B1">
        <w:rPr>
          <w:rFonts w:cs="Arial"/>
          <w:szCs w:val="20"/>
        </w:rPr>
        <w:t>nvesticija v javno kanalizacijsko omrežje, v aglomeraciji s skupno obremenitvijo, enako ali večjo od 2.000 PE</w:t>
      </w:r>
      <w:r w:rsidR="008E43CE" w:rsidRPr="00B148B1">
        <w:rPr>
          <w:rFonts w:cs="Arial"/>
          <w:szCs w:val="20"/>
        </w:rPr>
        <w:t>,</w:t>
      </w:r>
      <w:r w:rsidR="00803157" w:rsidRPr="00B148B1">
        <w:rPr>
          <w:rFonts w:cs="Arial"/>
          <w:szCs w:val="20"/>
        </w:rPr>
        <w:t xml:space="preserve"> (</w:t>
      </w:r>
      <w:r w:rsidR="008624CB" w:rsidRPr="00B148B1">
        <w:rPr>
          <w:rFonts w:cs="Arial"/>
          <w:szCs w:val="20"/>
        </w:rPr>
        <w:fldChar w:fldCharType="begin"/>
      </w:r>
      <w:r w:rsidR="008624CB" w:rsidRPr="00B148B1">
        <w:rPr>
          <w:rFonts w:cs="Arial"/>
          <w:szCs w:val="20"/>
        </w:rPr>
        <w:instrText xml:space="preserve"> REF _Ref45789543 \h </w:instrText>
      </w:r>
      <w:r w:rsidR="00B148B1" w:rsidRPr="00B148B1">
        <w:rPr>
          <w:rFonts w:cs="Arial"/>
          <w:szCs w:val="20"/>
        </w:rPr>
        <w:instrText xml:space="preserve"> \* MERGEFORMAT </w:instrText>
      </w:r>
      <w:r w:rsidR="008624CB" w:rsidRPr="00B148B1">
        <w:rPr>
          <w:rFonts w:cs="Arial"/>
          <w:szCs w:val="20"/>
        </w:rPr>
      </w:r>
      <w:r w:rsidR="008624CB" w:rsidRPr="00B148B1">
        <w:rPr>
          <w:rFonts w:cs="Arial"/>
          <w:szCs w:val="20"/>
        </w:rPr>
        <w:fldChar w:fldCharType="separate"/>
      </w:r>
      <w:r w:rsidR="00E92793" w:rsidRPr="00B148B1">
        <w:t xml:space="preserve">Preglednica </w:t>
      </w:r>
      <w:r w:rsidR="00E92793">
        <w:rPr>
          <w:noProof/>
        </w:rPr>
        <w:t>15</w:t>
      </w:r>
      <w:r w:rsidR="008624CB" w:rsidRPr="00B148B1">
        <w:rPr>
          <w:rFonts w:cs="Arial"/>
          <w:szCs w:val="20"/>
        </w:rPr>
        <w:fldChar w:fldCharType="end"/>
      </w:r>
      <w:r w:rsidR="00803157" w:rsidRPr="00B148B1">
        <w:rPr>
          <w:rFonts w:cs="Arial"/>
          <w:szCs w:val="20"/>
        </w:rPr>
        <w:t>)</w:t>
      </w:r>
      <w:r w:rsidR="00906747" w:rsidRPr="00B148B1">
        <w:rPr>
          <w:rFonts w:cs="Arial"/>
          <w:szCs w:val="20"/>
        </w:rPr>
        <w:t>, ki je na podlagi preliminarne ocene skladnosti iz poglavja</w:t>
      </w:r>
      <w:r w:rsidR="004D2063" w:rsidRPr="00B148B1">
        <w:rPr>
          <w:rFonts w:cs="Arial"/>
          <w:szCs w:val="20"/>
        </w:rPr>
        <w:t xml:space="preserve"> </w:t>
      </w:r>
      <w:r w:rsidR="004D2063" w:rsidRPr="00B148B1">
        <w:rPr>
          <w:rFonts w:cs="Arial"/>
          <w:szCs w:val="20"/>
        </w:rPr>
        <w:fldChar w:fldCharType="begin"/>
      </w:r>
      <w:r w:rsidR="004D2063" w:rsidRPr="00B148B1">
        <w:rPr>
          <w:rFonts w:cs="Arial"/>
          <w:szCs w:val="20"/>
        </w:rPr>
        <w:instrText xml:space="preserve"> REF _Ref43708880 \r \h </w:instrText>
      </w:r>
      <w:r w:rsidR="00E82CA7" w:rsidRPr="00B148B1">
        <w:rPr>
          <w:rFonts w:cs="Arial"/>
          <w:szCs w:val="20"/>
        </w:rPr>
        <w:instrText xml:space="preserve"> \* MERGEFORMAT </w:instrText>
      </w:r>
      <w:r w:rsidR="004D2063" w:rsidRPr="00B148B1">
        <w:rPr>
          <w:rFonts w:cs="Arial"/>
          <w:szCs w:val="20"/>
        </w:rPr>
      </w:r>
      <w:r w:rsidR="004D2063" w:rsidRPr="00B148B1">
        <w:rPr>
          <w:rFonts w:cs="Arial"/>
          <w:szCs w:val="20"/>
        </w:rPr>
        <w:fldChar w:fldCharType="separate"/>
      </w:r>
      <w:r w:rsidR="00E92793">
        <w:rPr>
          <w:rFonts w:cs="Arial"/>
          <w:szCs w:val="20"/>
        </w:rPr>
        <w:t>4.2</w:t>
      </w:r>
      <w:r w:rsidR="004D2063" w:rsidRPr="00B148B1">
        <w:rPr>
          <w:rFonts w:cs="Arial"/>
          <w:szCs w:val="20"/>
        </w:rPr>
        <w:fldChar w:fldCharType="end"/>
      </w:r>
      <w:r w:rsidR="00906747" w:rsidRPr="00B148B1">
        <w:rPr>
          <w:rFonts w:cs="Arial"/>
          <w:szCs w:val="20"/>
        </w:rPr>
        <w:t>. ocenjena kot neskladna s 3. členom Direktive 91/271/EGS</w:t>
      </w:r>
      <w:r w:rsidR="009727B7" w:rsidRPr="00B148B1">
        <w:rPr>
          <w:rFonts w:cs="Arial"/>
          <w:szCs w:val="20"/>
        </w:rPr>
        <w:t>,</w:t>
      </w:r>
    </w:p>
    <w:p w:rsidR="00803157" w:rsidRPr="00B148B1" w:rsidRDefault="00F24558" w:rsidP="00F24558">
      <w:pPr>
        <w:tabs>
          <w:tab w:val="left" w:pos="9600"/>
        </w:tabs>
        <w:spacing w:before="120" w:line="280" w:lineRule="atLeast"/>
        <w:rPr>
          <w:rFonts w:cs="Arial"/>
          <w:szCs w:val="20"/>
        </w:rPr>
      </w:pPr>
      <w:bookmarkStart w:id="132" w:name="_Ref45182334"/>
      <w:bookmarkStart w:id="133" w:name="_Ref45789543"/>
      <w:bookmarkStart w:id="134" w:name="_Toc50626731"/>
      <w:r w:rsidRPr="00B148B1">
        <w:t xml:space="preserve">Preglednica </w:t>
      </w:r>
      <w:bookmarkEnd w:id="132"/>
      <w:r w:rsidR="003C4B73" w:rsidRPr="00B148B1">
        <w:fldChar w:fldCharType="begin"/>
      </w:r>
      <w:r w:rsidR="003C4B73" w:rsidRPr="00B148B1">
        <w:instrText xml:space="preserve"> SEQ Preglednica \* ARABIC </w:instrText>
      </w:r>
      <w:r w:rsidR="003C4B73" w:rsidRPr="00B148B1">
        <w:fldChar w:fldCharType="separate"/>
      </w:r>
      <w:r w:rsidR="00E92793">
        <w:rPr>
          <w:noProof/>
        </w:rPr>
        <w:t>15</w:t>
      </w:r>
      <w:r w:rsidR="003C4B73" w:rsidRPr="00B148B1">
        <w:rPr>
          <w:noProof/>
        </w:rPr>
        <w:fldChar w:fldCharType="end"/>
      </w:r>
      <w:bookmarkEnd w:id="133"/>
      <w:r w:rsidRPr="00B148B1">
        <w:rPr>
          <w:rFonts w:cs="Arial"/>
          <w:b/>
        </w:rPr>
        <w:t xml:space="preserve">: </w:t>
      </w:r>
      <w:r w:rsidRPr="00B148B1">
        <w:rPr>
          <w:rFonts w:cs="Arial"/>
        </w:rPr>
        <w:t xml:space="preserve">Veljavne aglomeracije, ki so na podlagi </w:t>
      </w:r>
      <w:r w:rsidRPr="00B148B1">
        <w:rPr>
          <w:rFonts w:cs="Arial"/>
          <w:szCs w:val="20"/>
        </w:rPr>
        <w:t>preliminarne ocene skladnosti</w:t>
      </w:r>
      <w:r w:rsidRPr="00B148B1">
        <w:rPr>
          <w:rFonts w:cs="Arial"/>
        </w:rPr>
        <w:t xml:space="preserve"> </w:t>
      </w:r>
      <w:r w:rsidRPr="00B148B1">
        <w:rPr>
          <w:rFonts w:cs="Arial"/>
          <w:szCs w:val="20"/>
        </w:rPr>
        <w:t>ocenjene kot neskladne s 3. členom Direktive 91/271/EGS</w:t>
      </w:r>
      <w:bookmarkEnd w:id="134"/>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63"/>
        <w:gridCol w:w="769"/>
        <w:gridCol w:w="4545"/>
        <w:gridCol w:w="2827"/>
      </w:tblGrid>
      <w:tr w:rsidR="00803157" w:rsidRPr="00B148B1" w:rsidTr="00B803AE">
        <w:trPr>
          <w:trHeight w:val="453"/>
          <w:tblHeader/>
        </w:trPr>
        <w:tc>
          <w:tcPr>
            <w:tcW w:w="5000" w:type="pct"/>
            <w:gridSpan w:val="4"/>
            <w:shd w:val="clear" w:color="auto" w:fill="auto"/>
            <w:vAlign w:val="center"/>
            <w:hideMark/>
          </w:tcPr>
          <w:p w:rsidR="00803157" w:rsidRPr="00B148B1" w:rsidRDefault="00803157" w:rsidP="00803157">
            <w:pPr>
              <w:spacing w:line="240" w:lineRule="auto"/>
              <w:jc w:val="center"/>
              <w:rPr>
                <w:rFonts w:cs="Arial"/>
                <w:b/>
                <w:bCs/>
                <w:color w:val="000000"/>
                <w:szCs w:val="20"/>
                <w:lang w:eastAsia="sl-SI"/>
              </w:rPr>
            </w:pPr>
            <w:r w:rsidRPr="00B148B1">
              <w:rPr>
                <w:rFonts w:cs="Arial"/>
                <w:b/>
                <w:bCs/>
                <w:color w:val="000000"/>
                <w:szCs w:val="20"/>
                <w:lang w:eastAsia="sl-SI"/>
              </w:rPr>
              <w:t>Veljavne aglomeracije</w:t>
            </w:r>
          </w:p>
        </w:tc>
      </w:tr>
      <w:tr w:rsidR="00803157" w:rsidRPr="00B148B1" w:rsidTr="00B803AE">
        <w:trPr>
          <w:trHeight w:val="300"/>
          <w:tblHeader/>
        </w:trPr>
        <w:tc>
          <w:tcPr>
            <w:tcW w:w="577" w:type="pct"/>
            <w:vMerge w:val="restart"/>
            <w:shd w:val="clear" w:color="auto" w:fill="auto"/>
            <w:vAlign w:val="center"/>
            <w:hideMark/>
          </w:tcPr>
          <w:p w:rsidR="00803157" w:rsidRPr="00B148B1" w:rsidRDefault="00803157" w:rsidP="00B803AE">
            <w:pPr>
              <w:spacing w:line="240" w:lineRule="auto"/>
              <w:jc w:val="center"/>
              <w:rPr>
                <w:rFonts w:cs="Arial"/>
                <w:b/>
                <w:bCs/>
                <w:color w:val="000000"/>
                <w:szCs w:val="20"/>
                <w:lang w:eastAsia="sl-SI"/>
              </w:rPr>
            </w:pPr>
            <w:r w:rsidRPr="00B148B1">
              <w:rPr>
                <w:rFonts w:cs="Arial"/>
                <w:b/>
                <w:bCs/>
                <w:color w:val="000000"/>
                <w:szCs w:val="20"/>
                <w:lang w:eastAsia="sl-SI"/>
              </w:rPr>
              <w:t>ZAP. ŠT.</w:t>
            </w:r>
          </w:p>
        </w:tc>
        <w:tc>
          <w:tcPr>
            <w:tcW w:w="418" w:type="pct"/>
            <w:vMerge w:val="restart"/>
            <w:shd w:val="clear" w:color="auto" w:fill="auto"/>
            <w:vAlign w:val="center"/>
            <w:hideMark/>
          </w:tcPr>
          <w:p w:rsidR="00803157" w:rsidRPr="00B148B1" w:rsidRDefault="00803157" w:rsidP="00803157">
            <w:pPr>
              <w:spacing w:line="240" w:lineRule="auto"/>
              <w:jc w:val="right"/>
              <w:rPr>
                <w:rFonts w:cs="Arial"/>
                <w:b/>
                <w:bCs/>
                <w:color w:val="000000"/>
                <w:szCs w:val="20"/>
                <w:lang w:eastAsia="sl-SI"/>
              </w:rPr>
            </w:pPr>
            <w:r w:rsidRPr="00B148B1">
              <w:rPr>
                <w:rFonts w:cs="Arial"/>
                <w:b/>
                <w:bCs/>
                <w:color w:val="000000"/>
                <w:szCs w:val="20"/>
                <w:lang w:eastAsia="sl-SI"/>
              </w:rPr>
              <w:t>ID</w:t>
            </w:r>
          </w:p>
        </w:tc>
        <w:tc>
          <w:tcPr>
            <w:tcW w:w="2469" w:type="pct"/>
            <w:vMerge w:val="restart"/>
            <w:shd w:val="clear" w:color="auto" w:fill="auto"/>
            <w:vAlign w:val="center"/>
            <w:hideMark/>
          </w:tcPr>
          <w:p w:rsidR="00803157" w:rsidRPr="00B148B1" w:rsidRDefault="00803157" w:rsidP="00803157">
            <w:pPr>
              <w:spacing w:line="240" w:lineRule="auto"/>
              <w:jc w:val="left"/>
              <w:rPr>
                <w:rFonts w:cs="Arial"/>
                <w:b/>
                <w:bCs/>
                <w:color w:val="000000"/>
                <w:szCs w:val="20"/>
                <w:lang w:eastAsia="sl-SI"/>
              </w:rPr>
            </w:pPr>
            <w:r w:rsidRPr="00B148B1">
              <w:rPr>
                <w:rFonts w:cs="Arial"/>
                <w:b/>
                <w:bCs/>
                <w:color w:val="000000"/>
                <w:szCs w:val="20"/>
                <w:lang w:eastAsia="sl-SI"/>
              </w:rPr>
              <w:t>IME</w:t>
            </w:r>
          </w:p>
        </w:tc>
        <w:tc>
          <w:tcPr>
            <w:tcW w:w="1536" w:type="pct"/>
            <w:vMerge w:val="restart"/>
            <w:shd w:val="clear" w:color="auto" w:fill="auto"/>
            <w:vAlign w:val="center"/>
            <w:hideMark/>
          </w:tcPr>
          <w:p w:rsidR="00803157" w:rsidRPr="00B148B1" w:rsidRDefault="00803157" w:rsidP="00803157">
            <w:pPr>
              <w:spacing w:line="240" w:lineRule="auto"/>
              <w:jc w:val="center"/>
              <w:rPr>
                <w:rFonts w:cs="Arial"/>
                <w:b/>
                <w:bCs/>
                <w:color w:val="000000"/>
                <w:szCs w:val="20"/>
                <w:lang w:eastAsia="sl-SI"/>
              </w:rPr>
            </w:pPr>
            <w:r w:rsidRPr="00B148B1">
              <w:rPr>
                <w:rFonts w:cs="Arial"/>
                <w:b/>
                <w:bCs/>
                <w:color w:val="000000"/>
                <w:szCs w:val="20"/>
                <w:lang w:eastAsia="sl-SI"/>
              </w:rPr>
              <w:t>Skupna obremenitev [PE]</w:t>
            </w:r>
          </w:p>
        </w:tc>
      </w:tr>
      <w:tr w:rsidR="00803157" w:rsidRPr="00B148B1" w:rsidTr="00B803AE">
        <w:trPr>
          <w:trHeight w:val="230"/>
        </w:trPr>
        <w:tc>
          <w:tcPr>
            <w:tcW w:w="577" w:type="pct"/>
            <w:vMerge/>
            <w:vAlign w:val="center"/>
            <w:hideMark/>
          </w:tcPr>
          <w:p w:rsidR="00803157" w:rsidRPr="00B148B1" w:rsidRDefault="00803157" w:rsidP="00B803AE">
            <w:pPr>
              <w:spacing w:line="240" w:lineRule="auto"/>
              <w:jc w:val="center"/>
              <w:rPr>
                <w:rFonts w:cs="Arial"/>
                <w:b/>
                <w:bCs/>
                <w:color w:val="000000"/>
                <w:szCs w:val="20"/>
                <w:lang w:eastAsia="sl-SI"/>
              </w:rPr>
            </w:pPr>
          </w:p>
        </w:tc>
        <w:tc>
          <w:tcPr>
            <w:tcW w:w="418" w:type="pct"/>
            <w:vMerge/>
            <w:vAlign w:val="center"/>
            <w:hideMark/>
          </w:tcPr>
          <w:p w:rsidR="00803157" w:rsidRPr="00B148B1" w:rsidRDefault="00803157" w:rsidP="00803157">
            <w:pPr>
              <w:spacing w:line="240" w:lineRule="auto"/>
              <w:jc w:val="left"/>
              <w:rPr>
                <w:rFonts w:cs="Arial"/>
                <w:b/>
                <w:bCs/>
                <w:color w:val="000000"/>
                <w:szCs w:val="20"/>
                <w:lang w:eastAsia="sl-SI"/>
              </w:rPr>
            </w:pPr>
          </w:p>
        </w:tc>
        <w:tc>
          <w:tcPr>
            <w:tcW w:w="2469" w:type="pct"/>
            <w:vMerge/>
            <w:vAlign w:val="center"/>
            <w:hideMark/>
          </w:tcPr>
          <w:p w:rsidR="00803157" w:rsidRPr="00B148B1" w:rsidRDefault="00803157" w:rsidP="00803157">
            <w:pPr>
              <w:spacing w:line="240" w:lineRule="auto"/>
              <w:jc w:val="left"/>
              <w:rPr>
                <w:rFonts w:cs="Arial"/>
                <w:b/>
                <w:bCs/>
                <w:color w:val="000000"/>
                <w:szCs w:val="20"/>
                <w:lang w:eastAsia="sl-SI"/>
              </w:rPr>
            </w:pPr>
          </w:p>
        </w:tc>
        <w:tc>
          <w:tcPr>
            <w:tcW w:w="1536" w:type="pct"/>
            <w:vMerge/>
            <w:vAlign w:val="center"/>
            <w:hideMark/>
          </w:tcPr>
          <w:p w:rsidR="00803157" w:rsidRPr="00B148B1" w:rsidRDefault="00803157" w:rsidP="00803157">
            <w:pPr>
              <w:spacing w:line="240" w:lineRule="auto"/>
              <w:jc w:val="left"/>
              <w:rPr>
                <w:rFonts w:cs="Arial"/>
                <w:b/>
                <w:bCs/>
                <w:color w:val="000000"/>
                <w:szCs w:val="20"/>
                <w:lang w:eastAsia="sl-SI"/>
              </w:rPr>
            </w:pPr>
          </w:p>
        </w:tc>
      </w:tr>
      <w:tr w:rsidR="00803157" w:rsidRPr="00B148B1" w:rsidTr="00B803AE">
        <w:trPr>
          <w:trHeight w:val="315"/>
        </w:trPr>
        <w:tc>
          <w:tcPr>
            <w:tcW w:w="577" w:type="pct"/>
            <w:shd w:val="clear" w:color="auto" w:fill="auto"/>
            <w:noWrap/>
            <w:vAlign w:val="center"/>
            <w:hideMark/>
          </w:tcPr>
          <w:p w:rsidR="00803157" w:rsidRPr="00B148B1" w:rsidRDefault="00803157" w:rsidP="00B803AE">
            <w:pPr>
              <w:spacing w:line="240" w:lineRule="auto"/>
              <w:jc w:val="center"/>
              <w:rPr>
                <w:rFonts w:cs="Arial"/>
                <w:color w:val="000000"/>
                <w:szCs w:val="20"/>
                <w:lang w:eastAsia="sl-SI"/>
              </w:rPr>
            </w:pPr>
            <w:r w:rsidRPr="00B148B1">
              <w:rPr>
                <w:rFonts w:cs="Arial"/>
                <w:color w:val="000000"/>
                <w:szCs w:val="20"/>
                <w:lang w:eastAsia="sl-SI"/>
              </w:rPr>
              <w:t>1</w:t>
            </w:r>
          </w:p>
        </w:tc>
        <w:tc>
          <w:tcPr>
            <w:tcW w:w="418" w:type="pct"/>
            <w:shd w:val="clear" w:color="auto" w:fill="auto"/>
            <w:noWrap/>
            <w:vAlign w:val="center"/>
            <w:hideMark/>
          </w:tcPr>
          <w:p w:rsidR="00803157" w:rsidRPr="00B148B1" w:rsidRDefault="00803157" w:rsidP="00803157">
            <w:pPr>
              <w:spacing w:line="240" w:lineRule="auto"/>
              <w:jc w:val="right"/>
              <w:rPr>
                <w:rFonts w:cs="Arial"/>
                <w:color w:val="000000"/>
                <w:szCs w:val="20"/>
                <w:lang w:eastAsia="sl-SI"/>
              </w:rPr>
            </w:pPr>
            <w:r w:rsidRPr="00B148B1">
              <w:rPr>
                <w:rFonts w:cs="Arial"/>
                <w:color w:val="000000"/>
                <w:szCs w:val="20"/>
                <w:lang w:eastAsia="sl-SI"/>
              </w:rPr>
              <w:t>6115</w:t>
            </w:r>
          </w:p>
        </w:tc>
        <w:tc>
          <w:tcPr>
            <w:tcW w:w="2469" w:type="pct"/>
            <w:shd w:val="clear" w:color="auto" w:fill="auto"/>
            <w:noWrap/>
            <w:vAlign w:val="center"/>
            <w:hideMark/>
          </w:tcPr>
          <w:p w:rsidR="00803157" w:rsidRPr="00B148B1" w:rsidRDefault="00803157" w:rsidP="00803157">
            <w:pPr>
              <w:spacing w:line="240" w:lineRule="auto"/>
              <w:jc w:val="left"/>
              <w:rPr>
                <w:rFonts w:cs="Arial"/>
                <w:color w:val="000000"/>
                <w:szCs w:val="20"/>
                <w:lang w:eastAsia="sl-SI"/>
              </w:rPr>
            </w:pPr>
            <w:r w:rsidRPr="00B148B1">
              <w:rPr>
                <w:rFonts w:cs="Arial"/>
                <w:color w:val="000000"/>
                <w:szCs w:val="20"/>
                <w:lang w:eastAsia="sl-SI"/>
              </w:rPr>
              <w:t>Novo mesto 2019</w:t>
            </w:r>
          </w:p>
        </w:tc>
        <w:tc>
          <w:tcPr>
            <w:tcW w:w="1536" w:type="pct"/>
            <w:shd w:val="clear" w:color="auto" w:fill="auto"/>
            <w:noWrap/>
            <w:vAlign w:val="center"/>
            <w:hideMark/>
          </w:tcPr>
          <w:p w:rsidR="00803157" w:rsidRPr="00B148B1" w:rsidRDefault="00803157" w:rsidP="00803157">
            <w:pPr>
              <w:spacing w:line="240" w:lineRule="auto"/>
              <w:jc w:val="center"/>
              <w:rPr>
                <w:rFonts w:cs="Arial"/>
                <w:color w:val="000000"/>
                <w:szCs w:val="20"/>
                <w:lang w:eastAsia="sl-SI"/>
              </w:rPr>
            </w:pPr>
            <w:r w:rsidRPr="00B148B1">
              <w:rPr>
                <w:rFonts w:cs="Arial"/>
                <w:color w:val="000000"/>
                <w:szCs w:val="20"/>
                <w:lang w:eastAsia="sl-SI"/>
              </w:rPr>
              <w:t>41.039</w:t>
            </w:r>
          </w:p>
        </w:tc>
      </w:tr>
      <w:tr w:rsidR="00803157" w:rsidRPr="00B148B1" w:rsidTr="00B803AE">
        <w:trPr>
          <w:trHeight w:val="315"/>
        </w:trPr>
        <w:tc>
          <w:tcPr>
            <w:tcW w:w="577" w:type="pct"/>
            <w:shd w:val="clear" w:color="auto" w:fill="auto"/>
            <w:noWrap/>
            <w:vAlign w:val="center"/>
            <w:hideMark/>
          </w:tcPr>
          <w:p w:rsidR="00803157" w:rsidRPr="00B148B1" w:rsidRDefault="00803157" w:rsidP="00B803AE">
            <w:pPr>
              <w:spacing w:line="240" w:lineRule="auto"/>
              <w:jc w:val="center"/>
              <w:rPr>
                <w:rFonts w:cs="Arial"/>
                <w:color w:val="000000"/>
                <w:szCs w:val="20"/>
                <w:lang w:eastAsia="sl-SI"/>
              </w:rPr>
            </w:pPr>
            <w:r w:rsidRPr="00B148B1">
              <w:rPr>
                <w:rFonts w:cs="Arial"/>
                <w:color w:val="000000"/>
                <w:szCs w:val="20"/>
                <w:lang w:eastAsia="sl-SI"/>
              </w:rPr>
              <w:t>2</w:t>
            </w:r>
          </w:p>
        </w:tc>
        <w:tc>
          <w:tcPr>
            <w:tcW w:w="418" w:type="pct"/>
            <w:shd w:val="clear" w:color="auto" w:fill="auto"/>
            <w:noWrap/>
            <w:vAlign w:val="center"/>
            <w:hideMark/>
          </w:tcPr>
          <w:p w:rsidR="00803157" w:rsidRPr="00B148B1" w:rsidRDefault="00803157" w:rsidP="00803157">
            <w:pPr>
              <w:spacing w:line="240" w:lineRule="auto"/>
              <w:jc w:val="right"/>
              <w:rPr>
                <w:rFonts w:cs="Arial"/>
                <w:color w:val="000000"/>
                <w:szCs w:val="20"/>
                <w:lang w:eastAsia="sl-SI"/>
              </w:rPr>
            </w:pPr>
            <w:r w:rsidRPr="00B148B1">
              <w:rPr>
                <w:rFonts w:cs="Arial"/>
                <w:color w:val="000000"/>
                <w:szCs w:val="20"/>
                <w:lang w:eastAsia="sl-SI"/>
              </w:rPr>
              <w:t>3556</w:t>
            </w:r>
          </w:p>
        </w:tc>
        <w:tc>
          <w:tcPr>
            <w:tcW w:w="2469" w:type="pct"/>
            <w:shd w:val="clear" w:color="auto" w:fill="auto"/>
            <w:noWrap/>
            <w:vAlign w:val="center"/>
            <w:hideMark/>
          </w:tcPr>
          <w:p w:rsidR="00803157" w:rsidRPr="00B148B1" w:rsidRDefault="00803157" w:rsidP="00803157">
            <w:pPr>
              <w:spacing w:line="240" w:lineRule="auto"/>
              <w:jc w:val="left"/>
              <w:rPr>
                <w:rFonts w:cs="Arial"/>
                <w:color w:val="000000"/>
                <w:szCs w:val="20"/>
                <w:lang w:eastAsia="sl-SI"/>
              </w:rPr>
            </w:pPr>
            <w:r w:rsidRPr="00B148B1">
              <w:rPr>
                <w:rFonts w:cs="Arial"/>
                <w:color w:val="000000"/>
                <w:szCs w:val="20"/>
                <w:lang w:eastAsia="sl-SI"/>
              </w:rPr>
              <w:t>Jesenice 2019</w:t>
            </w:r>
          </w:p>
        </w:tc>
        <w:tc>
          <w:tcPr>
            <w:tcW w:w="1536" w:type="pct"/>
            <w:shd w:val="clear" w:color="auto" w:fill="auto"/>
            <w:noWrap/>
            <w:vAlign w:val="center"/>
            <w:hideMark/>
          </w:tcPr>
          <w:p w:rsidR="00803157" w:rsidRPr="00B148B1" w:rsidRDefault="00803157" w:rsidP="00803157">
            <w:pPr>
              <w:spacing w:line="240" w:lineRule="auto"/>
              <w:jc w:val="center"/>
              <w:rPr>
                <w:rFonts w:cs="Arial"/>
                <w:color w:val="000000"/>
                <w:szCs w:val="20"/>
                <w:lang w:eastAsia="sl-SI"/>
              </w:rPr>
            </w:pPr>
            <w:r w:rsidRPr="00B148B1">
              <w:rPr>
                <w:rFonts w:cs="Arial"/>
                <w:color w:val="000000"/>
                <w:szCs w:val="20"/>
                <w:lang w:eastAsia="sl-SI"/>
              </w:rPr>
              <w:t>22.021</w:t>
            </w:r>
          </w:p>
        </w:tc>
      </w:tr>
      <w:tr w:rsidR="00803157" w:rsidRPr="00B148B1" w:rsidTr="00B803AE">
        <w:trPr>
          <w:trHeight w:val="315"/>
        </w:trPr>
        <w:tc>
          <w:tcPr>
            <w:tcW w:w="577" w:type="pct"/>
            <w:shd w:val="clear" w:color="auto" w:fill="auto"/>
            <w:noWrap/>
            <w:vAlign w:val="center"/>
            <w:hideMark/>
          </w:tcPr>
          <w:p w:rsidR="00803157" w:rsidRPr="00B148B1" w:rsidRDefault="00803157" w:rsidP="00B803AE">
            <w:pPr>
              <w:spacing w:line="240" w:lineRule="auto"/>
              <w:jc w:val="center"/>
              <w:rPr>
                <w:rFonts w:cs="Arial"/>
                <w:color w:val="000000"/>
                <w:szCs w:val="20"/>
                <w:lang w:eastAsia="sl-SI"/>
              </w:rPr>
            </w:pPr>
            <w:r w:rsidRPr="00B148B1">
              <w:rPr>
                <w:rFonts w:cs="Arial"/>
                <w:color w:val="000000"/>
                <w:szCs w:val="20"/>
                <w:lang w:eastAsia="sl-SI"/>
              </w:rPr>
              <w:t>3</w:t>
            </w:r>
          </w:p>
        </w:tc>
        <w:tc>
          <w:tcPr>
            <w:tcW w:w="418" w:type="pct"/>
            <w:shd w:val="clear" w:color="auto" w:fill="auto"/>
            <w:noWrap/>
            <w:vAlign w:val="center"/>
            <w:hideMark/>
          </w:tcPr>
          <w:p w:rsidR="00803157" w:rsidRPr="00B148B1" w:rsidRDefault="00803157" w:rsidP="00803157">
            <w:pPr>
              <w:spacing w:line="240" w:lineRule="auto"/>
              <w:jc w:val="right"/>
              <w:rPr>
                <w:rFonts w:cs="Arial"/>
                <w:color w:val="000000"/>
                <w:szCs w:val="20"/>
                <w:lang w:eastAsia="sl-SI"/>
              </w:rPr>
            </w:pPr>
            <w:r w:rsidRPr="00B148B1">
              <w:rPr>
                <w:rFonts w:cs="Arial"/>
                <w:color w:val="000000"/>
                <w:szCs w:val="20"/>
                <w:lang w:eastAsia="sl-SI"/>
              </w:rPr>
              <w:t>7540</w:t>
            </w:r>
          </w:p>
        </w:tc>
        <w:tc>
          <w:tcPr>
            <w:tcW w:w="2469" w:type="pct"/>
            <w:shd w:val="clear" w:color="auto" w:fill="auto"/>
            <w:noWrap/>
            <w:vAlign w:val="center"/>
            <w:hideMark/>
          </w:tcPr>
          <w:p w:rsidR="00803157" w:rsidRPr="00B148B1" w:rsidRDefault="00803157" w:rsidP="00803157">
            <w:pPr>
              <w:spacing w:line="240" w:lineRule="auto"/>
              <w:jc w:val="left"/>
              <w:rPr>
                <w:rFonts w:cs="Arial"/>
                <w:color w:val="000000"/>
                <w:szCs w:val="20"/>
                <w:lang w:eastAsia="sl-SI"/>
              </w:rPr>
            </w:pPr>
            <w:r w:rsidRPr="00B148B1">
              <w:rPr>
                <w:rFonts w:cs="Arial"/>
                <w:color w:val="000000"/>
                <w:szCs w:val="20"/>
                <w:lang w:eastAsia="sl-SI"/>
              </w:rPr>
              <w:t>Trbovlje 2019</w:t>
            </w:r>
          </w:p>
        </w:tc>
        <w:tc>
          <w:tcPr>
            <w:tcW w:w="1536" w:type="pct"/>
            <w:shd w:val="clear" w:color="auto" w:fill="auto"/>
            <w:noWrap/>
            <w:vAlign w:val="center"/>
            <w:hideMark/>
          </w:tcPr>
          <w:p w:rsidR="00803157" w:rsidRPr="00B148B1" w:rsidRDefault="00803157" w:rsidP="00803157">
            <w:pPr>
              <w:spacing w:line="240" w:lineRule="auto"/>
              <w:jc w:val="center"/>
              <w:rPr>
                <w:rFonts w:cs="Arial"/>
                <w:color w:val="000000"/>
                <w:szCs w:val="20"/>
                <w:lang w:eastAsia="sl-SI"/>
              </w:rPr>
            </w:pPr>
            <w:r w:rsidRPr="00B148B1">
              <w:rPr>
                <w:rFonts w:cs="Arial"/>
                <w:color w:val="000000"/>
                <w:szCs w:val="20"/>
                <w:lang w:eastAsia="sl-SI"/>
              </w:rPr>
              <w:t>16.523</w:t>
            </w:r>
          </w:p>
        </w:tc>
      </w:tr>
      <w:tr w:rsidR="00803157" w:rsidRPr="00B148B1" w:rsidTr="00B803AE">
        <w:trPr>
          <w:trHeight w:val="315"/>
        </w:trPr>
        <w:tc>
          <w:tcPr>
            <w:tcW w:w="577" w:type="pct"/>
            <w:shd w:val="clear" w:color="auto" w:fill="auto"/>
            <w:noWrap/>
            <w:vAlign w:val="center"/>
            <w:hideMark/>
          </w:tcPr>
          <w:p w:rsidR="00803157" w:rsidRPr="00B148B1" w:rsidRDefault="00803157" w:rsidP="00B803AE">
            <w:pPr>
              <w:spacing w:line="240" w:lineRule="auto"/>
              <w:jc w:val="center"/>
              <w:rPr>
                <w:rFonts w:cs="Arial"/>
                <w:color w:val="000000"/>
                <w:szCs w:val="20"/>
                <w:lang w:eastAsia="sl-SI"/>
              </w:rPr>
            </w:pPr>
            <w:r w:rsidRPr="00B148B1">
              <w:rPr>
                <w:rFonts w:cs="Arial"/>
                <w:color w:val="000000"/>
                <w:szCs w:val="20"/>
                <w:lang w:eastAsia="sl-SI"/>
              </w:rPr>
              <w:t>4</w:t>
            </w:r>
          </w:p>
        </w:tc>
        <w:tc>
          <w:tcPr>
            <w:tcW w:w="418" w:type="pct"/>
            <w:shd w:val="clear" w:color="auto" w:fill="auto"/>
            <w:noWrap/>
            <w:vAlign w:val="center"/>
            <w:hideMark/>
          </w:tcPr>
          <w:p w:rsidR="00803157" w:rsidRPr="00B148B1" w:rsidRDefault="00803157" w:rsidP="00803157">
            <w:pPr>
              <w:spacing w:line="240" w:lineRule="auto"/>
              <w:jc w:val="right"/>
              <w:rPr>
                <w:rFonts w:cs="Arial"/>
                <w:color w:val="000000"/>
                <w:szCs w:val="20"/>
                <w:lang w:eastAsia="sl-SI"/>
              </w:rPr>
            </w:pPr>
            <w:r w:rsidRPr="00B148B1">
              <w:rPr>
                <w:rFonts w:cs="Arial"/>
                <w:color w:val="000000"/>
                <w:szCs w:val="20"/>
                <w:lang w:eastAsia="sl-SI"/>
              </w:rPr>
              <w:t>20004</w:t>
            </w:r>
          </w:p>
        </w:tc>
        <w:tc>
          <w:tcPr>
            <w:tcW w:w="2469" w:type="pct"/>
            <w:shd w:val="clear" w:color="auto" w:fill="auto"/>
            <w:noWrap/>
            <w:vAlign w:val="center"/>
            <w:hideMark/>
          </w:tcPr>
          <w:p w:rsidR="00803157" w:rsidRPr="00B148B1" w:rsidRDefault="00803157" w:rsidP="00803157">
            <w:pPr>
              <w:spacing w:line="240" w:lineRule="auto"/>
              <w:jc w:val="left"/>
              <w:rPr>
                <w:rFonts w:cs="Arial"/>
                <w:color w:val="000000"/>
                <w:szCs w:val="20"/>
                <w:lang w:eastAsia="sl-SI"/>
              </w:rPr>
            </w:pPr>
            <w:r w:rsidRPr="00B148B1">
              <w:rPr>
                <w:rFonts w:cs="Arial"/>
                <w:color w:val="000000"/>
                <w:szCs w:val="20"/>
                <w:lang w:eastAsia="sl-SI"/>
              </w:rPr>
              <w:t>Mengeš 2019</w:t>
            </w:r>
          </w:p>
        </w:tc>
        <w:tc>
          <w:tcPr>
            <w:tcW w:w="1536" w:type="pct"/>
            <w:shd w:val="clear" w:color="auto" w:fill="auto"/>
            <w:noWrap/>
            <w:vAlign w:val="center"/>
            <w:hideMark/>
          </w:tcPr>
          <w:p w:rsidR="00803157" w:rsidRPr="00B148B1" w:rsidRDefault="00803157" w:rsidP="00803157">
            <w:pPr>
              <w:spacing w:line="240" w:lineRule="auto"/>
              <w:jc w:val="center"/>
              <w:rPr>
                <w:rFonts w:cs="Arial"/>
                <w:color w:val="000000"/>
                <w:szCs w:val="20"/>
                <w:lang w:eastAsia="sl-SI"/>
              </w:rPr>
            </w:pPr>
            <w:r w:rsidRPr="00B148B1">
              <w:rPr>
                <w:rFonts w:cs="Arial"/>
                <w:color w:val="000000"/>
                <w:szCs w:val="20"/>
                <w:lang w:eastAsia="sl-SI"/>
              </w:rPr>
              <w:t>16.286</w:t>
            </w:r>
          </w:p>
        </w:tc>
      </w:tr>
      <w:tr w:rsidR="00803157" w:rsidRPr="00B148B1" w:rsidTr="00B803AE">
        <w:trPr>
          <w:trHeight w:val="315"/>
        </w:trPr>
        <w:tc>
          <w:tcPr>
            <w:tcW w:w="577" w:type="pct"/>
            <w:shd w:val="clear" w:color="auto" w:fill="auto"/>
            <w:noWrap/>
            <w:vAlign w:val="center"/>
            <w:hideMark/>
          </w:tcPr>
          <w:p w:rsidR="00803157" w:rsidRPr="00B148B1" w:rsidRDefault="00803157" w:rsidP="00B803AE">
            <w:pPr>
              <w:spacing w:line="240" w:lineRule="auto"/>
              <w:jc w:val="center"/>
              <w:rPr>
                <w:rFonts w:cs="Arial"/>
                <w:color w:val="000000"/>
                <w:szCs w:val="20"/>
                <w:lang w:eastAsia="sl-SI"/>
              </w:rPr>
            </w:pPr>
            <w:r w:rsidRPr="00B148B1">
              <w:rPr>
                <w:rFonts w:cs="Arial"/>
                <w:color w:val="000000"/>
                <w:szCs w:val="20"/>
                <w:lang w:eastAsia="sl-SI"/>
              </w:rPr>
              <w:t>5</w:t>
            </w:r>
          </w:p>
        </w:tc>
        <w:tc>
          <w:tcPr>
            <w:tcW w:w="418" w:type="pct"/>
            <w:shd w:val="clear" w:color="auto" w:fill="auto"/>
            <w:noWrap/>
            <w:vAlign w:val="center"/>
            <w:hideMark/>
          </w:tcPr>
          <w:p w:rsidR="00803157" w:rsidRPr="00B148B1" w:rsidRDefault="00803157" w:rsidP="00803157">
            <w:pPr>
              <w:spacing w:line="240" w:lineRule="auto"/>
              <w:jc w:val="right"/>
              <w:rPr>
                <w:rFonts w:cs="Arial"/>
                <w:color w:val="000000"/>
                <w:szCs w:val="20"/>
                <w:lang w:eastAsia="sl-SI"/>
              </w:rPr>
            </w:pPr>
            <w:r w:rsidRPr="00B148B1">
              <w:rPr>
                <w:rFonts w:cs="Arial"/>
                <w:color w:val="000000"/>
                <w:szCs w:val="20"/>
                <w:lang w:eastAsia="sl-SI"/>
              </w:rPr>
              <w:t>3753</w:t>
            </w:r>
          </w:p>
        </w:tc>
        <w:tc>
          <w:tcPr>
            <w:tcW w:w="2469" w:type="pct"/>
            <w:shd w:val="clear" w:color="auto" w:fill="auto"/>
            <w:noWrap/>
            <w:vAlign w:val="center"/>
            <w:hideMark/>
          </w:tcPr>
          <w:p w:rsidR="00803157" w:rsidRPr="00B148B1" w:rsidRDefault="00803157" w:rsidP="00803157">
            <w:pPr>
              <w:spacing w:line="240" w:lineRule="auto"/>
              <w:jc w:val="left"/>
              <w:rPr>
                <w:rFonts w:cs="Arial"/>
                <w:color w:val="000000"/>
                <w:szCs w:val="20"/>
                <w:lang w:eastAsia="sl-SI"/>
              </w:rPr>
            </w:pPr>
            <w:r w:rsidRPr="00B148B1">
              <w:rPr>
                <w:rFonts w:cs="Arial"/>
                <w:color w:val="000000"/>
                <w:szCs w:val="20"/>
                <w:lang w:eastAsia="sl-SI"/>
              </w:rPr>
              <w:t>Radovljica 2019</w:t>
            </w:r>
          </w:p>
        </w:tc>
        <w:tc>
          <w:tcPr>
            <w:tcW w:w="1536" w:type="pct"/>
            <w:shd w:val="clear" w:color="auto" w:fill="auto"/>
            <w:noWrap/>
            <w:vAlign w:val="center"/>
            <w:hideMark/>
          </w:tcPr>
          <w:p w:rsidR="00803157" w:rsidRPr="00B148B1" w:rsidRDefault="00803157" w:rsidP="00803157">
            <w:pPr>
              <w:spacing w:line="240" w:lineRule="auto"/>
              <w:jc w:val="center"/>
              <w:rPr>
                <w:rFonts w:cs="Arial"/>
                <w:color w:val="000000"/>
                <w:szCs w:val="20"/>
                <w:lang w:eastAsia="sl-SI"/>
              </w:rPr>
            </w:pPr>
            <w:r w:rsidRPr="00B148B1">
              <w:rPr>
                <w:rFonts w:cs="Arial"/>
                <w:color w:val="000000"/>
                <w:szCs w:val="20"/>
                <w:lang w:eastAsia="sl-SI"/>
              </w:rPr>
              <w:t>10.970</w:t>
            </w:r>
          </w:p>
        </w:tc>
      </w:tr>
      <w:tr w:rsidR="00803157" w:rsidRPr="00B148B1" w:rsidTr="00B803AE">
        <w:trPr>
          <w:trHeight w:val="315"/>
        </w:trPr>
        <w:tc>
          <w:tcPr>
            <w:tcW w:w="577" w:type="pct"/>
            <w:shd w:val="clear" w:color="auto" w:fill="auto"/>
            <w:noWrap/>
            <w:vAlign w:val="center"/>
            <w:hideMark/>
          </w:tcPr>
          <w:p w:rsidR="00803157" w:rsidRPr="00B148B1" w:rsidRDefault="00803157" w:rsidP="00B803AE">
            <w:pPr>
              <w:spacing w:line="240" w:lineRule="auto"/>
              <w:jc w:val="center"/>
              <w:rPr>
                <w:rFonts w:cs="Arial"/>
                <w:color w:val="000000"/>
                <w:szCs w:val="20"/>
                <w:lang w:eastAsia="sl-SI"/>
              </w:rPr>
            </w:pPr>
            <w:r w:rsidRPr="00B148B1">
              <w:rPr>
                <w:rFonts w:cs="Arial"/>
                <w:color w:val="000000"/>
                <w:szCs w:val="20"/>
                <w:lang w:eastAsia="sl-SI"/>
              </w:rPr>
              <w:t>6</w:t>
            </w:r>
          </w:p>
        </w:tc>
        <w:tc>
          <w:tcPr>
            <w:tcW w:w="418" w:type="pct"/>
            <w:shd w:val="clear" w:color="auto" w:fill="auto"/>
            <w:noWrap/>
            <w:vAlign w:val="center"/>
            <w:hideMark/>
          </w:tcPr>
          <w:p w:rsidR="00803157" w:rsidRPr="00B148B1" w:rsidRDefault="00803157" w:rsidP="00803157">
            <w:pPr>
              <w:spacing w:line="240" w:lineRule="auto"/>
              <w:jc w:val="right"/>
              <w:rPr>
                <w:rFonts w:cs="Arial"/>
                <w:color w:val="000000"/>
                <w:szCs w:val="20"/>
                <w:lang w:eastAsia="sl-SI"/>
              </w:rPr>
            </w:pPr>
            <w:r w:rsidRPr="00B148B1">
              <w:rPr>
                <w:rFonts w:cs="Arial"/>
                <w:color w:val="000000"/>
                <w:szCs w:val="20"/>
                <w:lang w:eastAsia="sl-SI"/>
              </w:rPr>
              <w:t>8235</w:t>
            </w:r>
          </w:p>
        </w:tc>
        <w:tc>
          <w:tcPr>
            <w:tcW w:w="2469" w:type="pct"/>
            <w:shd w:val="clear" w:color="auto" w:fill="auto"/>
            <w:noWrap/>
            <w:vAlign w:val="center"/>
            <w:hideMark/>
          </w:tcPr>
          <w:p w:rsidR="00803157" w:rsidRPr="00B148B1" w:rsidRDefault="00803157" w:rsidP="00803157">
            <w:pPr>
              <w:spacing w:line="240" w:lineRule="auto"/>
              <w:jc w:val="left"/>
              <w:rPr>
                <w:rFonts w:cs="Arial"/>
                <w:color w:val="000000"/>
                <w:szCs w:val="20"/>
                <w:lang w:eastAsia="sl-SI"/>
              </w:rPr>
            </w:pPr>
            <w:r w:rsidRPr="00B148B1">
              <w:rPr>
                <w:rFonts w:cs="Arial"/>
                <w:color w:val="000000"/>
                <w:szCs w:val="20"/>
                <w:lang w:eastAsia="sl-SI"/>
              </w:rPr>
              <w:t>Polzela 2019</w:t>
            </w:r>
          </w:p>
        </w:tc>
        <w:tc>
          <w:tcPr>
            <w:tcW w:w="1536" w:type="pct"/>
            <w:shd w:val="clear" w:color="auto" w:fill="auto"/>
            <w:noWrap/>
            <w:vAlign w:val="center"/>
            <w:hideMark/>
          </w:tcPr>
          <w:p w:rsidR="00803157" w:rsidRPr="00B148B1" w:rsidRDefault="00803157" w:rsidP="00803157">
            <w:pPr>
              <w:spacing w:line="240" w:lineRule="auto"/>
              <w:jc w:val="center"/>
              <w:rPr>
                <w:rFonts w:cs="Arial"/>
                <w:color w:val="000000"/>
                <w:szCs w:val="20"/>
                <w:lang w:eastAsia="sl-SI"/>
              </w:rPr>
            </w:pPr>
            <w:r w:rsidRPr="00B148B1">
              <w:rPr>
                <w:rFonts w:cs="Arial"/>
                <w:color w:val="000000"/>
                <w:szCs w:val="20"/>
                <w:lang w:eastAsia="sl-SI"/>
              </w:rPr>
              <w:t>10.243</w:t>
            </w:r>
          </w:p>
        </w:tc>
      </w:tr>
      <w:tr w:rsidR="00803157" w:rsidRPr="00B148B1" w:rsidTr="00B803AE">
        <w:trPr>
          <w:trHeight w:val="315"/>
        </w:trPr>
        <w:tc>
          <w:tcPr>
            <w:tcW w:w="577" w:type="pct"/>
            <w:shd w:val="clear" w:color="auto" w:fill="auto"/>
            <w:noWrap/>
            <w:vAlign w:val="center"/>
            <w:hideMark/>
          </w:tcPr>
          <w:p w:rsidR="00803157" w:rsidRPr="00B148B1" w:rsidRDefault="00803157" w:rsidP="00B803AE">
            <w:pPr>
              <w:spacing w:line="240" w:lineRule="auto"/>
              <w:jc w:val="center"/>
              <w:rPr>
                <w:rFonts w:cs="Arial"/>
                <w:color w:val="000000"/>
                <w:szCs w:val="20"/>
                <w:lang w:eastAsia="sl-SI"/>
              </w:rPr>
            </w:pPr>
            <w:r w:rsidRPr="00B148B1">
              <w:rPr>
                <w:rFonts w:cs="Arial"/>
                <w:color w:val="000000"/>
                <w:szCs w:val="20"/>
                <w:lang w:eastAsia="sl-SI"/>
              </w:rPr>
              <w:t>7</w:t>
            </w:r>
          </w:p>
        </w:tc>
        <w:tc>
          <w:tcPr>
            <w:tcW w:w="418" w:type="pct"/>
            <w:shd w:val="clear" w:color="auto" w:fill="auto"/>
            <w:noWrap/>
            <w:vAlign w:val="center"/>
            <w:hideMark/>
          </w:tcPr>
          <w:p w:rsidR="00803157" w:rsidRPr="00B148B1" w:rsidRDefault="00803157" w:rsidP="00803157">
            <w:pPr>
              <w:spacing w:line="240" w:lineRule="auto"/>
              <w:jc w:val="right"/>
              <w:rPr>
                <w:rFonts w:cs="Arial"/>
                <w:color w:val="000000"/>
                <w:szCs w:val="20"/>
                <w:lang w:eastAsia="sl-SI"/>
              </w:rPr>
            </w:pPr>
            <w:r w:rsidRPr="00B148B1">
              <w:rPr>
                <w:rFonts w:cs="Arial"/>
                <w:color w:val="000000"/>
                <w:szCs w:val="20"/>
                <w:lang w:eastAsia="sl-SI"/>
              </w:rPr>
              <w:t>20009</w:t>
            </w:r>
          </w:p>
        </w:tc>
        <w:tc>
          <w:tcPr>
            <w:tcW w:w="2469" w:type="pct"/>
            <w:shd w:val="clear" w:color="auto" w:fill="auto"/>
            <w:noWrap/>
            <w:vAlign w:val="center"/>
            <w:hideMark/>
          </w:tcPr>
          <w:p w:rsidR="00803157" w:rsidRPr="00B148B1" w:rsidRDefault="00803157" w:rsidP="00803157">
            <w:pPr>
              <w:spacing w:line="240" w:lineRule="auto"/>
              <w:jc w:val="left"/>
              <w:rPr>
                <w:rFonts w:cs="Arial"/>
                <w:color w:val="000000"/>
                <w:szCs w:val="20"/>
                <w:lang w:eastAsia="sl-SI"/>
              </w:rPr>
            </w:pPr>
            <w:r w:rsidRPr="00B148B1">
              <w:rPr>
                <w:rFonts w:cs="Arial"/>
                <w:color w:val="000000"/>
                <w:szCs w:val="20"/>
                <w:lang w:eastAsia="sl-SI"/>
              </w:rPr>
              <w:t>Slovenska Bistrica 2019</w:t>
            </w:r>
          </w:p>
        </w:tc>
        <w:tc>
          <w:tcPr>
            <w:tcW w:w="1536" w:type="pct"/>
            <w:shd w:val="clear" w:color="auto" w:fill="auto"/>
            <w:noWrap/>
            <w:vAlign w:val="center"/>
            <w:hideMark/>
          </w:tcPr>
          <w:p w:rsidR="00803157" w:rsidRPr="00B148B1" w:rsidRDefault="00803157" w:rsidP="00803157">
            <w:pPr>
              <w:spacing w:line="240" w:lineRule="auto"/>
              <w:jc w:val="center"/>
              <w:rPr>
                <w:rFonts w:cs="Arial"/>
                <w:color w:val="000000"/>
                <w:szCs w:val="20"/>
                <w:lang w:eastAsia="sl-SI"/>
              </w:rPr>
            </w:pPr>
            <w:r w:rsidRPr="00B148B1">
              <w:rPr>
                <w:rFonts w:cs="Arial"/>
                <w:color w:val="000000"/>
                <w:szCs w:val="20"/>
                <w:lang w:eastAsia="sl-SI"/>
              </w:rPr>
              <w:t>9.979</w:t>
            </w:r>
          </w:p>
        </w:tc>
      </w:tr>
      <w:tr w:rsidR="00803157" w:rsidRPr="00B148B1" w:rsidTr="00B803AE">
        <w:trPr>
          <w:trHeight w:val="315"/>
        </w:trPr>
        <w:tc>
          <w:tcPr>
            <w:tcW w:w="577" w:type="pct"/>
            <w:shd w:val="clear" w:color="auto" w:fill="auto"/>
            <w:noWrap/>
            <w:vAlign w:val="center"/>
            <w:hideMark/>
          </w:tcPr>
          <w:p w:rsidR="00803157" w:rsidRPr="00B148B1" w:rsidRDefault="00803157" w:rsidP="00B803AE">
            <w:pPr>
              <w:spacing w:line="240" w:lineRule="auto"/>
              <w:jc w:val="center"/>
              <w:rPr>
                <w:rFonts w:cs="Arial"/>
                <w:color w:val="000000"/>
                <w:szCs w:val="20"/>
                <w:lang w:eastAsia="sl-SI"/>
              </w:rPr>
            </w:pPr>
            <w:r w:rsidRPr="00B148B1">
              <w:rPr>
                <w:rFonts w:cs="Arial"/>
                <w:color w:val="000000"/>
                <w:szCs w:val="20"/>
                <w:lang w:eastAsia="sl-SI"/>
              </w:rPr>
              <w:t>8</w:t>
            </w:r>
          </w:p>
        </w:tc>
        <w:tc>
          <w:tcPr>
            <w:tcW w:w="418" w:type="pct"/>
            <w:shd w:val="clear" w:color="auto" w:fill="auto"/>
            <w:noWrap/>
            <w:vAlign w:val="center"/>
            <w:hideMark/>
          </w:tcPr>
          <w:p w:rsidR="00803157" w:rsidRPr="00B148B1" w:rsidRDefault="00803157" w:rsidP="00803157">
            <w:pPr>
              <w:spacing w:line="240" w:lineRule="auto"/>
              <w:jc w:val="right"/>
              <w:rPr>
                <w:rFonts w:cs="Arial"/>
                <w:color w:val="000000"/>
                <w:szCs w:val="20"/>
                <w:lang w:eastAsia="sl-SI"/>
              </w:rPr>
            </w:pPr>
            <w:r w:rsidRPr="00B148B1">
              <w:rPr>
                <w:rFonts w:cs="Arial"/>
                <w:color w:val="000000"/>
                <w:szCs w:val="20"/>
                <w:lang w:eastAsia="sl-SI"/>
              </w:rPr>
              <w:t>9800</w:t>
            </w:r>
          </w:p>
        </w:tc>
        <w:tc>
          <w:tcPr>
            <w:tcW w:w="2469" w:type="pct"/>
            <w:shd w:val="clear" w:color="auto" w:fill="auto"/>
            <w:noWrap/>
            <w:vAlign w:val="center"/>
            <w:hideMark/>
          </w:tcPr>
          <w:p w:rsidR="00803157" w:rsidRPr="00B148B1" w:rsidRDefault="00803157" w:rsidP="00803157">
            <w:pPr>
              <w:spacing w:line="240" w:lineRule="auto"/>
              <w:jc w:val="left"/>
              <w:rPr>
                <w:rFonts w:cs="Arial"/>
                <w:color w:val="000000"/>
                <w:szCs w:val="20"/>
                <w:lang w:eastAsia="sl-SI"/>
              </w:rPr>
            </w:pPr>
            <w:r w:rsidRPr="00B148B1">
              <w:rPr>
                <w:rFonts w:cs="Arial"/>
                <w:color w:val="000000"/>
                <w:szCs w:val="20"/>
                <w:lang w:eastAsia="sl-SI"/>
              </w:rPr>
              <w:t>Vešenik 2019</w:t>
            </w:r>
          </w:p>
        </w:tc>
        <w:tc>
          <w:tcPr>
            <w:tcW w:w="1536" w:type="pct"/>
            <w:shd w:val="clear" w:color="auto" w:fill="auto"/>
            <w:noWrap/>
            <w:vAlign w:val="center"/>
            <w:hideMark/>
          </w:tcPr>
          <w:p w:rsidR="00803157" w:rsidRPr="00B148B1" w:rsidRDefault="00803157" w:rsidP="00803157">
            <w:pPr>
              <w:spacing w:line="240" w:lineRule="auto"/>
              <w:jc w:val="center"/>
              <w:rPr>
                <w:rFonts w:cs="Arial"/>
                <w:color w:val="000000"/>
                <w:szCs w:val="20"/>
                <w:lang w:eastAsia="sl-SI"/>
              </w:rPr>
            </w:pPr>
            <w:r w:rsidRPr="00B148B1">
              <w:rPr>
                <w:rFonts w:cs="Arial"/>
                <w:color w:val="000000"/>
                <w:szCs w:val="20"/>
                <w:lang w:eastAsia="sl-SI"/>
              </w:rPr>
              <w:t>9.065</w:t>
            </w:r>
          </w:p>
        </w:tc>
      </w:tr>
      <w:tr w:rsidR="00803157" w:rsidRPr="00B148B1" w:rsidTr="00B803AE">
        <w:trPr>
          <w:trHeight w:val="315"/>
        </w:trPr>
        <w:tc>
          <w:tcPr>
            <w:tcW w:w="577" w:type="pct"/>
            <w:shd w:val="clear" w:color="auto" w:fill="auto"/>
            <w:noWrap/>
            <w:vAlign w:val="center"/>
            <w:hideMark/>
          </w:tcPr>
          <w:p w:rsidR="00803157" w:rsidRPr="00B148B1" w:rsidRDefault="00803157" w:rsidP="00B803AE">
            <w:pPr>
              <w:spacing w:line="240" w:lineRule="auto"/>
              <w:jc w:val="center"/>
              <w:rPr>
                <w:rFonts w:cs="Arial"/>
                <w:color w:val="000000"/>
                <w:szCs w:val="20"/>
                <w:lang w:eastAsia="sl-SI"/>
              </w:rPr>
            </w:pPr>
            <w:r w:rsidRPr="00B148B1">
              <w:rPr>
                <w:rFonts w:cs="Arial"/>
                <w:color w:val="000000"/>
                <w:szCs w:val="20"/>
                <w:lang w:eastAsia="sl-SI"/>
              </w:rPr>
              <w:t>9</w:t>
            </w:r>
          </w:p>
        </w:tc>
        <w:tc>
          <w:tcPr>
            <w:tcW w:w="418" w:type="pct"/>
            <w:shd w:val="clear" w:color="auto" w:fill="auto"/>
            <w:noWrap/>
            <w:vAlign w:val="center"/>
            <w:hideMark/>
          </w:tcPr>
          <w:p w:rsidR="00803157" w:rsidRPr="00B148B1" w:rsidRDefault="00803157" w:rsidP="00803157">
            <w:pPr>
              <w:spacing w:line="240" w:lineRule="auto"/>
              <w:jc w:val="right"/>
              <w:rPr>
                <w:rFonts w:cs="Arial"/>
                <w:color w:val="000000"/>
                <w:szCs w:val="20"/>
                <w:lang w:eastAsia="sl-SI"/>
              </w:rPr>
            </w:pPr>
            <w:r w:rsidRPr="00B148B1">
              <w:rPr>
                <w:rFonts w:cs="Arial"/>
                <w:color w:val="000000"/>
                <w:szCs w:val="20"/>
                <w:lang w:eastAsia="sl-SI"/>
              </w:rPr>
              <w:t>9429</w:t>
            </w:r>
          </w:p>
        </w:tc>
        <w:tc>
          <w:tcPr>
            <w:tcW w:w="2469" w:type="pct"/>
            <w:shd w:val="clear" w:color="auto" w:fill="auto"/>
            <w:noWrap/>
            <w:vAlign w:val="center"/>
            <w:hideMark/>
          </w:tcPr>
          <w:p w:rsidR="00803157" w:rsidRPr="00B148B1" w:rsidRDefault="00803157" w:rsidP="00803157">
            <w:pPr>
              <w:spacing w:line="240" w:lineRule="auto"/>
              <w:jc w:val="left"/>
              <w:rPr>
                <w:rFonts w:cs="Arial"/>
                <w:color w:val="000000"/>
                <w:szCs w:val="20"/>
                <w:lang w:eastAsia="sl-SI"/>
              </w:rPr>
            </w:pPr>
            <w:r w:rsidRPr="00B148B1">
              <w:rPr>
                <w:rFonts w:cs="Arial"/>
                <w:color w:val="000000"/>
                <w:szCs w:val="20"/>
                <w:lang w:eastAsia="sl-SI"/>
              </w:rPr>
              <w:t>Žalec 2019</w:t>
            </w:r>
          </w:p>
        </w:tc>
        <w:tc>
          <w:tcPr>
            <w:tcW w:w="1536" w:type="pct"/>
            <w:shd w:val="clear" w:color="auto" w:fill="auto"/>
            <w:noWrap/>
            <w:vAlign w:val="center"/>
            <w:hideMark/>
          </w:tcPr>
          <w:p w:rsidR="00803157" w:rsidRPr="00B148B1" w:rsidRDefault="00803157" w:rsidP="00803157">
            <w:pPr>
              <w:spacing w:line="240" w:lineRule="auto"/>
              <w:jc w:val="center"/>
              <w:rPr>
                <w:rFonts w:cs="Arial"/>
                <w:color w:val="000000"/>
                <w:szCs w:val="20"/>
                <w:lang w:eastAsia="sl-SI"/>
              </w:rPr>
            </w:pPr>
            <w:r w:rsidRPr="00B148B1">
              <w:rPr>
                <w:rFonts w:cs="Arial"/>
                <w:color w:val="000000"/>
                <w:szCs w:val="20"/>
                <w:lang w:eastAsia="sl-SI"/>
              </w:rPr>
              <w:t>8.636</w:t>
            </w:r>
          </w:p>
        </w:tc>
      </w:tr>
      <w:tr w:rsidR="00803157" w:rsidRPr="00B148B1" w:rsidTr="00B803AE">
        <w:trPr>
          <w:trHeight w:val="315"/>
        </w:trPr>
        <w:tc>
          <w:tcPr>
            <w:tcW w:w="577" w:type="pct"/>
            <w:shd w:val="clear" w:color="auto" w:fill="auto"/>
            <w:noWrap/>
            <w:vAlign w:val="center"/>
            <w:hideMark/>
          </w:tcPr>
          <w:p w:rsidR="00803157" w:rsidRPr="00B148B1" w:rsidRDefault="00803157" w:rsidP="00B803AE">
            <w:pPr>
              <w:spacing w:line="240" w:lineRule="auto"/>
              <w:jc w:val="center"/>
              <w:rPr>
                <w:rFonts w:cs="Arial"/>
                <w:color w:val="000000"/>
                <w:szCs w:val="20"/>
                <w:lang w:eastAsia="sl-SI"/>
              </w:rPr>
            </w:pPr>
            <w:r w:rsidRPr="00B148B1">
              <w:rPr>
                <w:rFonts w:cs="Arial"/>
                <w:color w:val="000000"/>
                <w:szCs w:val="20"/>
                <w:lang w:eastAsia="sl-SI"/>
              </w:rPr>
              <w:t>10</w:t>
            </w:r>
          </w:p>
        </w:tc>
        <w:tc>
          <w:tcPr>
            <w:tcW w:w="418" w:type="pct"/>
            <w:shd w:val="clear" w:color="auto" w:fill="auto"/>
            <w:noWrap/>
            <w:vAlign w:val="center"/>
            <w:hideMark/>
          </w:tcPr>
          <w:p w:rsidR="00803157" w:rsidRPr="00B148B1" w:rsidRDefault="00803157" w:rsidP="00803157">
            <w:pPr>
              <w:spacing w:line="240" w:lineRule="auto"/>
              <w:jc w:val="right"/>
              <w:rPr>
                <w:rFonts w:cs="Arial"/>
                <w:color w:val="000000"/>
                <w:szCs w:val="20"/>
                <w:lang w:eastAsia="sl-SI"/>
              </w:rPr>
            </w:pPr>
            <w:r w:rsidRPr="00B148B1">
              <w:rPr>
                <w:rFonts w:cs="Arial"/>
                <w:color w:val="000000"/>
                <w:szCs w:val="20"/>
                <w:lang w:eastAsia="sl-SI"/>
              </w:rPr>
              <w:t>11509</w:t>
            </w:r>
          </w:p>
        </w:tc>
        <w:tc>
          <w:tcPr>
            <w:tcW w:w="2469" w:type="pct"/>
            <w:shd w:val="clear" w:color="auto" w:fill="auto"/>
            <w:noWrap/>
            <w:vAlign w:val="center"/>
            <w:hideMark/>
          </w:tcPr>
          <w:p w:rsidR="00803157" w:rsidRPr="00B148B1" w:rsidRDefault="00803157" w:rsidP="00803157">
            <w:pPr>
              <w:spacing w:line="240" w:lineRule="auto"/>
              <w:jc w:val="left"/>
              <w:rPr>
                <w:rFonts w:cs="Arial"/>
                <w:color w:val="000000"/>
                <w:szCs w:val="20"/>
                <w:lang w:eastAsia="sl-SI"/>
              </w:rPr>
            </w:pPr>
            <w:r w:rsidRPr="00B148B1">
              <w:rPr>
                <w:rFonts w:cs="Arial"/>
                <w:color w:val="000000"/>
                <w:szCs w:val="20"/>
                <w:lang w:eastAsia="sl-SI"/>
              </w:rPr>
              <w:t>Sevnica 2019</w:t>
            </w:r>
          </w:p>
        </w:tc>
        <w:tc>
          <w:tcPr>
            <w:tcW w:w="1536" w:type="pct"/>
            <w:shd w:val="clear" w:color="auto" w:fill="auto"/>
            <w:noWrap/>
            <w:vAlign w:val="center"/>
            <w:hideMark/>
          </w:tcPr>
          <w:p w:rsidR="00803157" w:rsidRPr="00B148B1" w:rsidRDefault="00803157" w:rsidP="00803157">
            <w:pPr>
              <w:spacing w:line="240" w:lineRule="auto"/>
              <w:jc w:val="center"/>
              <w:rPr>
                <w:rFonts w:cs="Arial"/>
                <w:color w:val="000000"/>
                <w:szCs w:val="20"/>
                <w:lang w:eastAsia="sl-SI"/>
              </w:rPr>
            </w:pPr>
            <w:r w:rsidRPr="00B148B1">
              <w:rPr>
                <w:rFonts w:cs="Arial"/>
                <w:color w:val="000000"/>
                <w:szCs w:val="20"/>
                <w:lang w:eastAsia="sl-SI"/>
              </w:rPr>
              <w:t>6.510</w:t>
            </w:r>
          </w:p>
        </w:tc>
      </w:tr>
      <w:tr w:rsidR="00803157" w:rsidRPr="00B148B1" w:rsidTr="00B803AE">
        <w:trPr>
          <w:trHeight w:val="315"/>
        </w:trPr>
        <w:tc>
          <w:tcPr>
            <w:tcW w:w="577" w:type="pct"/>
            <w:shd w:val="clear" w:color="auto" w:fill="auto"/>
            <w:noWrap/>
            <w:vAlign w:val="center"/>
            <w:hideMark/>
          </w:tcPr>
          <w:p w:rsidR="00803157" w:rsidRPr="00B148B1" w:rsidRDefault="00803157" w:rsidP="00B803AE">
            <w:pPr>
              <w:spacing w:line="240" w:lineRule="auto"/>
              <w:jc w:val="center"/>
              <w:rPr>
                <w:rFonts w:cs="Arial"/>
                <w:color w:val="000000"/>
                <w:szCs w:val="20"/>
                <w:lang w:eastAsia="sl-SI"/>
              </w:rPr>
            </w:pPr>
            <w:r w:rsidRPr="00B148B1">
              <w:rPr>
                <w:rFonts w:cs="Arial"/>
                <w:color w:val="000000"/>
                <w:szCs w:val="20"/>
                <w:lang w:eastAsia="sl-SI"/>
              </w:rPr>
              <w:t>11</w:t>
            </w:r>
          </w:p>
        </w:tc>
        <w:tc>
          <w:tcPr>
            <w:tcW w:w="418" w:type="pct"/>
            <w:shd w:val="clear" w:color="auto" w:fill="auto"/>
            <w:noWrap/>
            <w:vAlign w:val="center"/>
            <w:hideMark/>
          </w:tcPr>
          <w:p w:rsidR="00803157" w:rsidRPr="00B148B1" w:rsidRDefault="00803157" w:rsidP="00803157">
            <w:pPr>
              <w:spacing w:line="240" w:lineRule="auto"/>
              <w:jc w:val="right"/>
              <w:rPr>
                <w:rFonts w:cs="Arial"/>
                <w:color w:val="000000"/>
                <w:szCs w:val="20"/>
                <w:lang w:eastAsia="sl-SI"/>
              </w:rPr>
            </w:pPr>
            <w:r w:rsidRPr="00B148B1">
              <w:rPr>
                <w:rFonts w:cs="Arial"/>
                <w:color w:val="000000"/>
                <w:szCs w:val="20"/>
                <w:lang w:eastAsia="sl-SI"/>
              </w:rPr>
              <w:t>4386</w:t>
            </w:r>
          </w:p>
        </w:tc>
        <w:tc>
          <w:tcPr>
            <w:tcW w:w="2469" w:type="pct"/>
            <w:shd w:val="clear" w:color="auto" w:fill="auto"/>
            <w:noWrap/>
            <w:vAlign w:val="center"/>
            <w:hideMark/>
          </w:tcPr>
          <w:p w:rsidR="00803157" w:rsidRPr="00B148B1" w:rsidRDefault="00803157" w:rsidP="003338DA">
            <w:pPr>
              <w:spacing w:line="240" w:lineRule="auto"/>
              <w:jc w:val="left"/>
              <w:rPr>
                <w:rFonts w:cs="Arial"/>
                <w:color w:val="000000"/>
                <w:szCs w:val="20"/>
                <w:lang w:eastAsia="sl-SI"/>
              </w:rPr>
            </w:pPr>
            <w:r w:rsidRPr="00B148B1">
              <w:rPr>
                <w:rFonts w:cs="Arial"/>
                <w:color w:val="000000"/>
                <w:szCs w:val="20"/>
                <w:lang w:eastAsia="sl-SI"/>
              </w:rPr>
              <w:t xml:space="preserve">Lendava </w:t>
            </w:r>
            <w:r w:rsidR="0096271E" w:rsidRPr="00B148B1">
              <w:rPr>
                <w:rFonts w:cs="Arial"/>
                <w:color w:val="202122"/>
                <w:sz w:val="21"/>
                <w:szCs w:val="21"/>
                <w:shd w:val="clear" w:color="auto" w:fill="FFFFFF"/>
              </w:rPr>
              <w:t>–</w:t>
            </w:r>
            <w:r w:rsidRPr="00B148B1">
              <w:rPr>
                <w:rFonts w:cs="Arial"/>
                <w:color w:val="000000"/>
                <w:szCs w:val="20"/>
                <w:lang w:eastAsia="sl-SI"/>
              </w:rPr>
              <w:t xml:space="preserve"> Dolga vas 2019</w:t>
            </w:r>
          </w:p>
        </w:tc>
        <w:tc>
          <w:tcPr>
            <w:tcW w:w="1536" w:type="pct"/>
            <w:shd w:val="clear" w:color="auto" w:fill="auto"/>
            <w:noWrap/>
            <w:vAlign w:val="center"/>
            <w:hideMark/>
          </w:tcPr>
          <w:p w:rsidR="00803157" w:rsidRPr="00B148B1" w:rsidRDefault="00803157" w:rsidP="00803157">
            <w:pPr>
              <w:spacing w:line="240" w:lineRule="auto"/>
              <w:jc w:val="center"/>
              <w:rPr>
                <w:rFonts w:cs="Arial"/>
                <w:color w:val="000000"/>
                <w:szCs w:val="20"/>
                <w:lang w:eastAsia="sl-SI"/>
              </w:rPr>
            </w:pPr>
            <w:r w:rsidRPr="00B148B1">
              <w:rPr>
                <w:rFonts w:cs="Arial"/>
                <w:color w:val="000000"/>
                <w:szCs w:val="20"/>
                <w:lang w:eastAsia="sl-SI"/>
              </w:rPr>
              <w:t>5.695</w:t>
            </w:r>
          </w:p>
        </w:tc>
      </w:tr>
      <w:tr w:rsidR="00803157" w:rsidRPr="00B148B1" w:rsidTr="00B803AE">
        <w:trPr>
          <w:trHeight w:val="315"/>
        </w:trPr>
        <w:tc>
          <w:tcPr>
            <w:tcW w:w="577" w:type="pct"/>
            <w:shd w:val="clear" w:color="auto" w:fill="auto"/>
            <w:noWrap/>
            <w:vAlign w:val="center"/>
            <w:hideMark/>
          </w:tcPr>
          <w:p w:rsidR="00803157" w:rsidRPr="00B148B1" w:rsidRDefault="00803157" w:rsidP="00B803AE">
            <w:pPr>
              <w:spacing w:line="240" w:lineRule="auto"/>
              <w:jc w:val="center"/>
              <w:rPr>
                <w:rFonts w:cs="Arial"/>
                <w:color w:val="000000"/>
                <w:szCs w:val="20"/>
                <w:lang w:eastAsia="sl-SI"/>
              </w:rPr>
            </w:pPr>
            <w:r w:rsidRPr="00B148B1">
              <w:rPr>
                <w:rFonts w:cs="Arial"/>
                <w:color w:val="000000"/>
                <w:szCs w:val="20"/>
                <w:lang w:eastAsia="sl-SI"/>
              </w:rPr>
              <w:t>12</w:t>
            </w:r>
          </w:p>
        </w:tc>
        <w:tc>
          <w:tcPr>
            <w:tcW w:w="418" w:type="pct"/>
            <w:shd w:val="clear" w:color="auto" w:fill="auto"/>
            <w:noWrap/>
            <w:vAlign w:val="center"/>
            <w:hideMark/>
          </w:tcPr>
          <w:p w:rsidR="00803157" w:rsidRPr="00B148B1" w:rsidRDefault="00803157" w:rsidP="00803157">
            <w:pPr>
              <w:spacing w:line="240" w:lineRule="auto"/>
              <w:jc w:val="right"/>
              <w:rPr>
                <w:rFonts w:cs="Arial"/>
                <w:color w:val="000000"/>
                <w:szCs w:val="20"/>
                <w:lang w:eastAsia="sl-SI"/>
              </w:rPr>
            </w:pPr>
            <w:r w:rsidRPr="00B148B1">
              <w:rPr>
                <w:rFonts w:cs="Arial"/>
                <w:color w:val="000000"/>
                <w:szCs w:val="20"/>
                <w:lang w:eastAsia="sl-SI"/>
              </w:rPr>
              <w:t>10872</w:t>
            </w:r>
          </w:p>
        </w:tc>
        <w:tc>
          <w:tcPr>
            <w:tcW w:w="2469" w:type="pct"/>
            <w:shd w:val="clear" w:color="auto" w:fill="auto"/>
            <w:noWrap/>
            <w:vAlign w:val="center"/>
            <w:hideMark/>
          </w:tcPr>
          <w:p w:rsidR="00803157" w:rsidRPr="00B148B1" w:rsidRDefault="00803157" w:rsidP="00803157">
            <w:pPr>
              <w:spacing w:line="240" w:lineRule="auto"/>
              <w:jc w:val="left"/>
              <w:rPr>
                <w:rFonts w:cs="Arial"/>
                <w:color w:val="000000"/>
                <w:szCs w:val="20"/>
                <w:lang w:eastAsia="sl-SI"/>
              </w:rPr>
            </w:pPr>
            <w:r w:rsidRPr="00B148B1">
              <w:rPr>
                <w:rFonts w:cs="Arial"/>
                <w:color w:val="000000"/>
                <w:szCs w:val="20"/>
                <w:lang w:eastAsia="sl-SI"/>
              </w:rPr>
              <w:t>Vič 2019</w:t>
            </w:r>
          </w:p>
        </w:tc>
        <w:tc>
          <w:tcPr>
            <w:tcW w:w="1536" w:type="pct"/>
            <w:shd w:val="clear" w:color="auto" w:fill="auto"/>
            <w:noWrap/>
            <w:vAlign w:val="center"/>
            <w:hideMark/>
          </w:tcPr>
          <w:p w:rsidR="00803157" w:rsidRPr="00B148B1" w:rsidRDefault="00803157" w:rsidP="00803157">
            <w:pPr>
              <w:spacing w:line="240" w:lineRule="auto"/>
              <w:jc w:val="center"/>
              <w:rPr>
                <w:rFonts w:cs="Arial"/>
                <w:color w:val="000000"/>
                <w:szCs w:val="20"/>
                <w:lang w:eastAsia="sl-SI"/>
              </w:rPr>
            </w:pPr>
            <w:r w:rsidRPr="00B148B1">
              <w:rPr>
                <w:rFonts w:cs="Arial"/>
                <w:color w:val="000000"/>
                <w:szCs w:val="20"/>
                <w:lang w:eastAsia="sl-SI"/>
              </w:rPr>
              <w:t>5.389</w:t>
            </w:r>
          </w:p>
        </w:tc>
      </w:tr>
      <w:tr w:rsidR="00803157" w:rsidRPr="00B148B1" w:rsidTr="00B803AE">
        <w:trPr>
          <w:trHeight w:val="315"/>
        </w:trPr>
        <w:tc>
          <w:tcPr>
            <w:tcW w:w="577" w:type="pct"/>
            <w:shd w:val="clear" w:color="auto" w:fill="auto"/>
            <w:noWrap/>
            <w:vAlign w:val="center"/>
            <w:hideMark/>
          </w:tcPr>
          <w:p w:rsidR="00803157" w:rsidRPr="00B148B1" w:rsidRDefault="00803157" w:rsidP="00B803AE">
            <w:pPr>
              <w:spacing w:line="240" w:lineRule="auto"/>
              <w:jc w:val="center"/>
              <w:rPr>
                <w:rFonts w:cs="Arial"/>
                <w:color w:val="000000"/>
                <w:szCs w:val="20"/>
                <w:lang w:eastAsia="sl-SI"/>
              </w:rPr>
            </w:pPr>
            <w:r w:rsidRPr="00B148B1">
              <w:rPr>
                <w:rFonts w:cs="Arial"/>
                <w:color w:val="000000"/>
                <w:szCs w:val="20"/>
                <w:lang w:eastAsia="sl-SI"/>
              </w:rPr>
              <w:t>13</w:t>
            </w:r>
          </w:p>
        </w:tc>
        <w:tc>
          <w:tcPr>
            <w:tcW w:w="418" w:type="pct"/>
            <w:shd w:val="clear" w:color="auto" w:fill="auto"/>
            <w:noWrap/>
            <w:vAlign w:val="center"/>
            <w:hideMark/>
          </w:tcPr>
          <w:p w:rsidR="00803157" w:rsidRPr="00B148B1" w:rsidRDefault="00803157" w:rsidP="00803157">
            <w:pPr>
              <w:spacing w:line="240" w:lineRule="auto"/>
              <w:jc w:val="right"/>
              <w:rPr>
                <w:rFonts w:cs="Arial"/>
                <w:color w:val="000000"/>
                <w:szCs w:val="20"/>
                <w:lang w:eastAsia="sl-SI"/>
              </w:rPr>
            </w:pPr>
            <w:r w:rsidRPr="00B148B1">
              <w:rPr>
                <w:rFonts w:cs="Arial"/>
                <w:color w:val="000000"/>
                <w:szCs w:val="20"/>
                <w:lang w:eastAsia="sl-SI"/>
              </w:rPr>
              <w:t>5286</w:t>
            </w:r>
          </w:p>
        </w:tc>
        <w:tc>
          <w:tcPr>
            <w:tcW w:w="2469" w:type="pct"/>
            <w:shd w:val="clear" w:color="auto" w:fill="auto"/>
            <w:noWrap/>
            <w:vAlign w:val="center"/>
            <w:hideMark/>
          </w:tcPr>
          <w:p w:rsidR="00803157" w:rsidRPr="00B148B1" w:rsidRDefault="00803157" w:rsidP="00803157">
            <w:pPr>
              <w:spacing w:line="240" w:lineRule="auto"/>
              <w:jc w:val="left"/>
              <w:rPr>
                <w:rFonts w:cs="Arial"/>
                <w:color w:val="000000"/>
                <w:szCs w:val="20"/>
                <w:lang w:eastAsia="sl-SI"/>
              </w:rPr>
            </w:pPr>
            <w:r w:rsidRPr="00B148B1">
              <w:rPr>
                <w:rFonts w:cs="Arial"/>
                <w:color w:val="000000"/>
                <w:szCs w:val="20"/>
                <w:lang w:eastAsia="sl-SI"/>
              </w:rPr>
              <w:t>Cerknica 2019</w:t>
            </w:r>
          </w:p>
        </w:tc>
        <w:tc>
          <w:tcPr>
            <w:tcW w:w="1536" w:type="pct"/>
            <w:shd w:val="clear" w:color="auto" w:fill="auto"/>
            <w:noWrap/>
            <w:vAlign w:val="center"/>
            <w:hideMark/>
          </w:tcPr>
          <w:p w:rsidR="00803157" w:rsidRPr="00B148B1" w:rsidRDefault="00803157" w:rsidP="00803157">
            <w:pPr>
              <w:spacing w:line="240" w:lineRule="auto"/>
              <w:jc w:val="center"/>
              <w:rPr>
                <w:rFonts w:cs="Arial"/>
                <w:color w:val="000000"/>
                <w:szCs w:val="20"/>
                <w:lang w:eastAsia="sl-SI"/>
              </w:rPr>
            </w:pPr>
            <w:r w:rsidRPr="00B148B1">
              <w:rPr>
                <w:rFonts w:cs="Arial"/>
                <w:color w:val="000000"/>
                <w:szCs w:val="20"/>
                <w:lang w:eastAsia="sl-SI"/>
              </w:rPr>
              <w:t>4.703</w:t>
            </w:r>
          </w:p>
        </w:tc>
      </w:tr>
      <w:tr w:rsidR="00803157" w:rsidRPr="00B148B1" w:rsidTr="00B803AE">
        <w:trPr>
          <w:trHeight w:val="315"/>
        </w:trPr>
        <w:tc>
          <w:tcPr>
            <w:tcW w:w="577" w:type="pct"/>
            <w:shd w:val="clear" w:color="auto" w:fill="auto"/>
            <w:noWrap/>
            <w:vAlign w:val="center"/>
            <w:hideMark/>
          </w:tcPr>
          <w:p w:rsidR="00803157" w:rsidRPr="00B148B1" w:rsidRDefault="00803157" w:rsidP="00B803AE">
            <w:pPr>
              <w:spacing w:line="240" w:lineRule="auto"/>
              <w:jc w:val="center"/>
              <w:rPr>
                <w:rFonts w:cs="Arial"/>
                <w:color w:val="000000"/>
                <w:szCs w:val="20"/>
                <w:lang w:eastAsia="sl-SI"/>
              </w:rPr>
            </w:pPr>
            <w:r w:rsidRPr="00B148B1">
              <w:rPr>
                <w:rFonts w:cs="Arial"/>
                <w:color w:val="000000"/>
                <w:szCs w:val="20"/>
                <w:lang w:eastAsia="sl-SI"/>
              </w:rPr>
              <w:t>14</w:t>
            </w:r>
          </w:p>
        </w:tc>
        <w:tc>
          <w:tcPr>
            <w:tcW w:w="418" w:type="pct"/>
            <w:shd w:val="clear" w:color="auto" w:fill="auto"/>
            <w:noWrap/>
            <w:vAlign w:val="center"/>
            <w:hideMark/>
          </w:tcPr>
          <w:p w:rsidR="00803157" w:rsidRPr="00B148B1" w:rsidRDefault="00803157" w:rsidP="00803157">
            <w:pPr>
              <w:spacing w:line="240" w:lineRule="auto"/>
              <w:jc w:val="right"/>
              <w:rPr>
                <w:rFonts w:cs="Arial"/>
                <w:color w:val="000000"/>
                <w:szCs w:val="20"/>
                <w:lang w:eastAsia="sl-SI"/>
              </w:rPr>
            </w:pPr>
            <w:r w:rsidRPr="00B148B1">
              <w:rPr>
                <w:rFonts w:cs="Arial"/>
                <w:color w:val="000000"/>
                <w:szCs w:val="20"/>
                <w:lang w:eastAsia="sl-SI"/>
              </w:rPr>
              <w:t>2536</w:t>
            </w:r>
          </w:p>
        </w:tc>
        <w:tc>
          <w:tcPr>
            <w:tcW w:w="2469" w:type="pct"/>
            <w:shd w:val="clear" w:color="auto" w:fill="auto"/>
            <w:noWrap/>
            <w:vAlign w:val="center"/>
            <w:hideMark/>
          </w:tcPr>
          <w:p w:rsidR="00803157" w:rsidRPr="00B148B1" w:rsidRDefault="00803157" w:rsidP="00803157">
            <w:pPr>
              <w:spacing w:line="240" w:lineRule="auto"/>
              <w:jc w:val="left"/>
              <w:rPr>
                <w:rFonts w:cs="Arial"/>
                <w:color w:val="000000"/>
                <w:szCs w:val="20"/>
                <w:lang w:eastAsia="sl-SI"/>
              </w:rPr>
            </w:pPr>
            <w:r w:rsidRPr="00B148B1">
              <w:rPr>
                <w:rFonts w:cs="Arial"/>
                <w:color w:val="000000"/>
                <w:szCs w:val="20"/>
                <w:lang w:eastAsia="sl-SI"/>
              </w:rPr>
              <w:t>Žiri 2019</w:t>
            </w:r>
          </w:p>
        </w:tc>
        <w:tc>
          <w:tcPr>
            <w:tcW w:w="1536" w:type="pct"/>
            <w:shd w:val="clear" w:color="auto" w:fill="auto"/>
            <w:noWrap/>
            <w:vAlign w:val="center"/>
            <w:hideMark/>
          </w:tcPr>
          <w:p w:rsidR="00803157" w:rsidRPr="00B148B1" w:rsidRDefault="00803157" w:rsidP="00803157">
            <w:pPr>
              <w:spacing w:line="240" w:lineRule="auto"/>
              <w:jc w:val="center"/>
              <w:rPr>
                <w:rFonts w:cs="Arial"/>
                <w:color w:val="000000"/>
                <w:szCs w:val="20"/>
                <w:lang w:eastAsia="sl-SI"/>
              </w:rPr>
            </w:pPr>
            <w:r w:rsidRPr="00B148B1">
              <w:rPr>
                <w:rFonts w:cs="Arial"/>
                <w:color w:val="000000"/>
                <w:szCs w:val="20"/>
                <w:lang w:eastAsia="sl-SI"/>
              </w:rPr>
              <w:t>4.669</w:t>
            </w:r>
          </w:p>
        </w:tc>
      </w:tr>
      <w:tr w:rsidR="00803157" w:rsidRPr="00B148B1" w:rsidTr="00B803AE">
        <w:trPr>
          <w:trHeight w:val="315"/>
        </w:trPr>
        <w:tc>
          <w:tcPr>
            <w:tcW w:w="577" w:type="pct"/>
            <w:shd w:val="clear" w:color="auto" w:fill="auto"/>
            <w:noWrap/>
            <w:vAlign w:val="center"/>
            <w:hideMark/>
          </w:tcPr>
          <w:p w:rsidR="00803157" w:rsidRPr="00B148B1" w:rsidRDefault="00803157" w:rsidP="00B803AE">
            <w:pPr>
              <w:spacing w:line="240" w:lineRule="auto"/>
              <w:jc w:val="center"/>
              <w:rPr>
                <w:rFonts w:cs="Arial"/>
                <w:color w:val="000000"/>
                <w:szCs w:val="20"/>
                <w:lang w:eastAsia="sl-SI"/>
              </w:rPr>
            </w:pPr>
            <w:r w:rsidRPr="00B148B1">
              <w:rPr>
                <w:rFonts w:cs="Arial"/>
                <w:color w:val="000000"/>
                <w:szCs w:val="20"/>
                <w:lang w:eastAsia="sl-SI"/>
              </w:rPr>
              <w:t>15</w:t>
            </w:r>
          </w:p>
        </w:tc>
        <w:tc>
          <w:tcPr>
            <w:tcW w:w="418" w:type="pct"/>
            <w:shd w:val="clear" w:color="auto" w:fill="auto"/>
            <w:noWrap/>
            <w:vAlign w:val="center"/>
            <w:hideMark/>
          </w:tcPr>
          <w:p w:rsidR="00803157" w:rsidRPr="00B148B1" w:rsidRDefault="00803157" w:rsidP="00803157">
            <w:pPr>
              <w:spacing w:line="240" w:lineRule="auto"/>
              <w:jc w:val="right"/>
              <w:rPr>
                <w:rFonts w:cs="Arial"/>
                <w:color w:val="000000"/>
                <w:szCs w:val="20"/>
                <w:lang w:eastAsia="sl-SI"/>
              </w:rPr>
            </w:pPr>
            <w:r w:rsidRPr="00B148B1">
              <w:rPr>
                <w:rFonts w:cs="Arial"/>
                <w:color w:val="000000"/>
                <w:szCs w:val="20"/>
                <w:lang w:eastAsia="sl-SI"/>
              </w:rPr>
              <w:t>16494</w:t>
            </w:r>
          </w:p>
        </w:tc>
        <w:tc>
          <w:tcPr>
            <w:tcW w:w="2469" w:type="pct"/>
            <w:shd w:val="clear" w:color="auto" w:fill="auto"/>
            <w:noWrap/>
            <w:vAlign w:val="center"/>
            <w:hideMark/>
          </w:tcPr>
          <w:p w:rsidR="00803157" w:rsidRPr="00B148B1" w:rsidRDefault="00803157" w:rsidP="00803157">
            <w:pPr>
              <w:spacing w:line="240" w:lineRule="auto"/>
              <w:jc w:val="left"/>
              <w:rPr>
                <w:rFonts w:cs="Arial"/>
                <w:color w:val="000000"/>
                <w:szCs w:val="20"/>
                <w:lang w:eastAsia="sl-SI"/>
              </w:rPr>
            </w:pPr>
            <w:r w:rsidRPr="00B148B1">
              <w:rPr>
                <w:rFonts w:cs="Arial"/>
                <w:color w:val="000000"/>
                <w:szCs w:val="20"/>
                <w:lang w:eastAsia="sl-SI"/>
              </w:rPr>
              <w:t>Rače 2019</w:t>
            </w:r>
          </w:p>
        </w:tc>
        <w:tc>
          <w:tcPr>
            <w:tcW w:w="1536" w:type="pct"/>
            <w:shd w:val="clear" w:color="auto" w:fill="auto"/>
            <w:noWrap/>
            <w:vAlign w:val="center"/>
            <w:hideMark/>
          </w:tcPr>
          <w:p w:rsidR="00803157" w:rsidRPr="00B148B1" w:rsidRDefault="00803157" w:rsidP="00803157">
            <w:pPr>
              <w:spacing w:line="240" w:lineRule="auto"/>
              <w:jc w:val="center"/>
              <w:rPr>
                <w:rFonts w:cs="Arial"/>
                <w:color w:val="000000"/>
                <w:szCs w:val="20"/>
                <w:lang w:eastAsia="sl-SI"/>
              </w:rPr>
            </w:pPr>
            <w:r w:rsidRPr="00B148B1">
              <w:rPr>
                <w:rFonts w:cs="Arial"/>
                <w:color w:val="000000"/>
                <w:szCs w:val="20"/>
                <w:lang w:eastAsia="sl-SI"/>
              </w:rPr>
              <w:t>4.540</w:t>
            </w:r>
          </w:p>
        </w:tc>
      </w:tr>
      <w:tr w:rsidR="00803157" w:rsidRPr="00B148B1" w:rsidTr="00B803AE">
        <w:trPr>
          <w:trHeight w:val="315"/>
        </w:trPr>
        <w:tc>
          <w:tcPr>
            <w:tcW w:w="577" w:type="pct"/>
            <w:shd w:val="clear" w:color="auto" w:fill="auto"/>
            <w:noWrap/>
            <w:vAlign w:val="center"/>
            <w:hideMark/>
          </w:tcPr>
          <w:p w:rsidR="00803157" w:rsidRPr="00B148B1" w:rsidRDefault="00803157" w:rsidP="00B803AE">
            <w:pPr>
              <w:spacing w:line="240" w:lineRule="auto"/>
              <w:jc w:val="center"/>
              <w:rPr>
                <w:rFonts w:cs="Arial"/>
                <w:color w:val="000000"/>
                <w:szCs w:val="20"/>
                <w:lang w:eastAsia="sl-SI"/>
              </w:rPr>
            </w:pPr>
            <w:r w:rsidRPr="00B148B1">
              <w:rPr>
                <w:rFonts w:cs="Arial"/>
                <w:color w:val="000000"/>
                <w:szCs w:val="20"/>
                <w:lang w:eastAsia="sl-SI"/>
              </w:rPr>
              <w:t>16</w:t>
            </w:r>
          </w:p>
        </w:tc>
        <w:tc>
          <w:tcPr>
            <w:tcW w:w="418" w:type="pct"/>
            <w:shd w:val="clear" w:color="auto" w:fill="auto"/>
            <w:noWrap/>
            <w:vAlign w:val="center"/>
            <w:hideMark/>
          </w:tcPr>
          <w:p w:rsidR="00803157" w:rsidRPr="00B148B1" w:rsidRDefault="00803157" w:rsidP="00803157">
            <w:pPr>
              <w:spacing w:line="240" w:lineRule="auto"/>
              <w:jc w:val="right"/>
              <w:rPr>
                <w:rFonts w:cs="Arial"/>
                <w:color w:val="000000"/>
                <w:szCs w:val="20"/>
                <w:lang w:eastAsia="sl-SI"/>
              </w:rPr>
            </w:pPr>
            <w:r w:rsidRPr="00B148B1">
              <w:rPr>
                <w:rFonts w:cs="Arial"/>
                <w:color w:val="000000"/>
                <w:szCs w:val="20"/>
                <w:lang w:eastAsia="sl-SI"/>
              </w:rPr>
              <w:t>6810</w:t>
            </w:r>
          </w:p>
        </w:tc>
        <w:tc>
          <w:tcPr>
            <w:tcW w:w="2469" w:type="pct"/>
            <w:shd w:val="clear" w:color="auto" w:fill="auto"/>
            <w:noWrap/>
            <w:vAlign w:val="center"/>
            <w:hideMark/>
          </w:tcPr>
          <w:p w:rsidR="00803157" w:rsidRPr="00B148B1" w:rsidRDefault="00803157" w:rsidP="00803157">
            <w:pPr>
              <w:spacing w:line="240" w:lineRule="auto"/>
              <w:jc w:val="left"/>
              <w:rPr>
                <w:rFonts w:cs="Arial"/>
                <w:color w:val="000000"/>
                <w:szCs w:val="20"/>
                <w:lang w:eastAsia="sl-SI"/>
              </w:rPr>
            </w:pPr>
            <w:r w:rsidRPr="00B148B1">
              <w:rPr>
                <w:rFonts w:cs="Arial"/>
                <w:color w:val="000000"/>
                <w:szCs w:val="20"/>
                <w:lang w:eastAsia="sl-SI"/>
              </w:rPr>
              <w:t>Trebnje 2019</w:t>
            </w:r>
          </w:p>
        </w:tc>
        <w:tc>
          <w:tcPr>
            <w:tcW w:w="1536" w:type="pct"/>
            <w:shd w:val="clear" w:color="auto" w:fill="auto"/>
            <w:noWrap/>
            <w:vAlign w:val="center"/>
            <w:hideMark/>
          </w:tcPr>
          <w:p w:rsidR="00803157" w:rsidRPr="00B148B1" w:rsidRDefault="00803157" w:rsidP="00803157">
            <w:pPr>
              <w:spacing w:line="240" w:lineRule="auto"/>
              <w:jc w:val="center"/>
              <w:rPr>
                <w:rFonts w:cs="Arial"/>
                <w:color w:val="000000"/>
                <w:szCs w:val="20"/>
                <w:lang w:eastAsia="sl-SI"/>
              </w:rPr>
            </w:pPr>
            <w:r w:rsidRPr="00B148B1">
              <w:rPr>
                <w:rFonts w:cs="Arial"/>
                <w:color w:val="000000"/>
                <w:szCs w:val="20"/>
                <w:lang w:eastAsia="sl-SI"/>
              </w:rPr>
              <w:t>4.397</w:t>
            </w:r>
          </w:p>
        </w:tc>
      </w:tr>
      <w:tr w:rsidR="00803157" w:rsidRPr="00B148B1" w:rsidTr="00B803AE">
        <w:trPr>
          <w:trHeight w:val="315"/>
        </w:trPr>
        <w:tc>
          <w:tcPr>
            <w:tcW w:w="577" w:type="pct"/>
            <w:shd w:val="clear" w:color="auto" w:fill="auto"/>
            <w:noWrap/>
            <w:vAlign w:val="center"/>
            <w:hideMark/>
          </w:tcPr>
          <w:p w:rsidR="00803157" w:rsidRPr="00B148B1" w:rsidRDefault="00803157" w:rsidP="00B803AE">
            <w:pPr>
              <w:spacing w:line="240" w:lineRule="auto"/>
              <w:jc w:val="center"/>
              <w:rPr>
                <w:rFonts w:cs="Arial"/>
                <w:color w:val="000000"/>
                <w:szCs w:val="20"/>
                <w:lang w:eastAsia="sl-SI"/>
              </w:rPr>
            </w:pPr>
            <w:r w:rsidRPr="00B148B1">
              <w:rPr>
                <w:rFonts w:cs="Arial"/>
                <w:color w:val="000000"/>
                <w:szCs w:val="20"/>
                <w:lang w:eastAsia="sl-SI"/>
              </w:rPr>
              <w:t>17</w:t>
            </w:r>
          </w:p>
        </w:tc>
        <w:tc>
          <w:tcPr>
            <w:tcW w:w="418" w:type="pct"/>
            <w:shd w:val="clear" w:color="auto" w:fill="auto"/>
            <w:noWrap/>
            <w:vAlign w:val="center"/>
            <w:hideMark/>
          </w:tcPr>
          <w:p w:rsidR="00803157" w:rsidRPr="00B148B1" w:rsidRDefault="00803157" w:rsidP="00803157">
            <w:pPr>
              <w:spacing w:line="240" w:lineRule="auto"/>
              <w:jc w:val="right"/>
              <w:rPr>
                <w:rFonts w:cs="Arial"/>
                <w:color w:val="000000"/>
                <w:szCs w:val="20"/>
                <w:lang w:eastAsia="sl-SI"/>
              </w:rPr>
            </w:pPr>
            <w:r w:rsidRPr="00B148B1">
              <w:rPr>
                <w:rFonts w:cs="Arial"/>
                <w:color w:val="000000"/>
                <w:szCs w:val="20"/>
                <w:lang w:eastAsia="sl-SI"/>
              </w:rPr>
              <w:t>16497</w:t>
            </w:r>
          </w:p>
        </w:tc>
        <w:tc>
          <w:tcPr>
            <w:tcW w:w="2469" w:type="pct"/>
            <w:shd w:val="clear" w:color="auto" w:fill="auto"/>
            <w:noWrap/>
            <w:vAlign w:val="center"/>
            <w:hideMark/>
          </w:tcPr>
          <w:p w:rsidR="00803157" w:rsidRPr="00B148B1" w:rsidRDefault="00803157" w:rsidP="00803157">
            <w:pPr>
              <w:spacing w:line="240" w:lineRule="auto"/>
              <w:jc w:val="left"/>
              <w:rPr>
                <w:rFonts w:cs="Arial"/>
                <w:color w:val="000000"/>
                <w:szCs w:val="20"/>
                <w:lang w:eastAsia="sl-SI"/>
              </w:rPr>
            </w:pPr>
            <w:r w:rsidRPr="00B148B1">
              <w:rPr>
                <w:rFonts w:cs="Arial"/>
                <w:color w:val="000000"/>
                <w:szCs w:val="20"/>
                <w:lang w:eastAsia="sl-SI"/>
              </w:rPr>
              <w:t>Žirovnica 2019</w:t>
            </w:r>
          </w:p>
        </w:tc>
        <w:tc>
          <w:tcPr>
            <w:tcW w:w="1536" w:type="pct"/>
            <w:shd w:val="clear" w:color="auto" w:fill="auto"/>
            <w:noWrap/>
            <w:vAlign w:val="center"/>
            <w:hideMark/>
          </w:tcPr>
          <w:p w:rsidR="00803157" w:rsidRPr="00B148B1" w:rsidRDefault="00803157" w:rsidP="00803157">
            <w:pPr>
              <w:spacing w:line="240" w:lineRule="auto"/>
              <w:jc w:val="center"/>
              <w:rPr>
                <w:rFonts w:cs="Arial"/>
                <w:color w:val="000000"/>
                <w:szCs w:val="20"/>
                <w:lang w:eastAsia="sl-SI"/>
              </w:rPr>
            </w:pPr>
            <w:r w:rsidRPr="00B148B1">
              <w:rPr>
                <w:rFonts w:cs="Arial"/>
                <w:color w:val="000000"/>
                <w:szCs w:val="20"/>
                <w:lang w:eastAsia="sl-SI"/>
              </w:rPr>
              <w:t>3.681</w:t>
            </w:r>
          </w:p>
        </w:tc>
      </w:tr>
      <w:tr w:rsidR="00803157" w:rsidRPr="00B148B1" w:rsidTr="00B803AE">
        <w:trPr>
          <w:trHeight w:val="315"/>
        </w:trPr>
        <w:tc>
          <w:tcPr>
            <w:tcW w:w="577" w:type="pct"/>
            <w:shd w:val="clear" w:color="auto" w:fill="auto"/>
            <w:noWrap/>
            <w:vAlign w:val="center"/>
            <w:hideMark/>
          </w:tcPr>
          <w:p w:rsidR="00803157" w:rsidRPr="00B148B1" w:rsidRDefault="00803157" w:rsidP="00B803AE">
            <w:pPr>
              <w:spacing w:line="240" w:lineRule="auto"/>
              <w:jc w:val="center"/>
              <w:rPr>
                <w:rFonts w:cs="Arial"/>
                <w:color w:val="000000"/>
                <w:szCs w:val="20"/>
                <w:lang w:eastAsia="sl-SI"/>
              </w:rPr>
            </w:pPr>
            <w:r w:rsidRPr="00B148B1">
              <w:rPr>
                <w:rFonts w:cs="Arial"/>
                <w:color w:val="000000"/>
                <w:szCs w:val="20"/>
                <w:lang w:eastAsia="sl-SI"/>
              </w:rPr>
              <w:t>18</w:t>
            </w:r>
          </w:p>
        </w:tc>
        <w:tc>
          <w:tcPr>
            <w:tcW w:w="418" w:type="pct"/>
            <w:shd w:val="clear" w:color="auto" w:fill="auto"/>
            <w:noWrap/>
            <w:vAlign w:val="center"/>
            <w:hideMark/>
          </w:tcPr>
          <w:p w:rsidR="00803157" w:rsidRPr="00B148B1" w:rsidRDefault="00803157" w:rsidP="00803157">
            <w:pPr>
              <w:spacing w:line="240" w:lineRule="auto"/>
              <w:jc w:val="right"/>
              <w:rPr>
                <w:rFonts w:cs="Arial"/>
                <w:color w:val="000000"/>
                <w:szCs w:val="20"/>
                <w:lang w:eastAsia="sl-SI"/>
              </w:rPr>
            </w:pPr>
            <w:r w:rsidRPr="00B148B1">
              <w:rPr>
                <w:rFonts w:cs="Arial"/>
                <w:color w:val="000000"/>
                <w:szCs w:val="20"/>
                <w:lang w:eastAsia="sl-SI"/>
              </w:rPr>
              <w:t>13582</w:t>
            </w:r>
          </w:p>
        </w:tc>
        <w:tc>
          <w:tcPr>
            <w:tcW w:w="2469" w:type="pct"/>
            <w:shd w:val="clear" w:color="auto" w:fill="auto"/>
            <w:noWrap/>
            <w:vAlign w:val="center"/>
            <w:hideMark/>
          </w:tcPr>
          <w:p w:rsidR="00803157" w:rsidRPr="00B148B1" w:rsidRDefault="00803157" w:rsidP="00803157">
            <w:pPr>
              <w:spacing w:line="240" w:lineRule="auto"/>
              <w:jc w:val="left"/>
              <w:rPr>
                <w:rFonts w:cs="Arial"/>
                <w:color w:val="000000"/>
                <w:szCs w:val="20"/>
                <w:lang w:eastAsia="sl-SI"/>
              </w:rPr>
            </w:pPr>
            <w:r w:rsidRPr="00B148B1">
              <w:rPr>
                <w:rFonts w:cs="Arial"/>
                <w:color w:val="000000"/>
                <w:szCs w:val="20"/>
                <w:lang w:eastAsia="sl-SI"/>
              </w:rPr>
              <w:t>Zgornja Polskava 2019</w:t>
            </w:r>
          </w:p>
        </w:tc>
        <w:tc>
          <w:tcPr>
            <w:tcW w:w="1536" w:type="pct"/>
            <w:shd w:val="clear" w:color="auto" w:fill="auto"/>
            <w:noWrap/>
            <w:vAlign w:val="center"/>
            <w:hideMark/>
          </w:tcPr>
          <w:p w:rsidR="00803157" w:rsidRPr="00B148B1" w:rsidRDefault="00803157" w:rsidP="00803157">
            <w:pPr>
              <w:spacing w:line="240" w:lineRule="auto"/>
              <w:jc w:val="center"/>
              <w:rPr>
                <w:rFonts w:cs="Arial"/>
                <w:color w:val="000000"/>
                <w:szCs w:val="20"/>
                <w:lang w:eastAsia="sl-SI"/>
              </w:rPr>
            </w:pPr>
            <w:r w:rsidRPr="00B148B1">
              <w:rPr>
                <w:rFonts w:cs="Arial"/>
                <w:color w:val="000000"/>
                <w:szCs w:val="20"/>
                <w:lang w:eastAsia="sl-SI"/>
              </w:rPr>
              <w:t>3.263</w:t>
            </w:r>
          </w:p>
        </w:tc>
      </w:tr>
      <w:tr w:rsidR="00803157" w:rsidRPr="00B148B1" w:rsidTr="00B803AE">
        <w:trPr>
          <w:trHeight w:val="315"/>
        </w:trPr>
        <w:tc>
          <w:tcPr>
            <w:tcW w:w="577" w:type="pct"/>
            <w:shd w:val="clear" w:color="auto" w:fill="auto"/>
            <w:noWrap/>
            <w:vAlign w:val="center"/>
            <w:hideMark/>
          </w:tcPr>
          <w:p w:rsidR="00803157" w:rsidRPr="00B148B1" w:rsidRDefault="00803157" w:rsidP="00B803AE">
            <w:pPr>
              <w:spacing w:line="240" w:lineRule="auto"/>
              <w:jc w:val="center"/>
              <w:rPr>
                <w:rFonts w:cs="Arial"/>
                <w:color w:val="000000"/>
                <w:szCs w:val="20"/>
                <w:lang w:eastAsia="sl-SI"/>
              </w:rPr>
            </w:pPr>
            <w:r w:rsidRPr="00B148B1">
              <w:rPr>
                <w:rFonts w:cs="Arial"/>
                <w:color w:val="000000"/>
                <w:szCs w:val="20"/>
                <w:lang w:eastAsia="sl-SI"/>
              </w:rPr>
              <w:t>19</w:t>
            </w:r>
          </w:p>
        </w:tc>
        <w:tc>
          <w:tcPr>
            <w:tcW w:w="418" w:type="pct"/>
            <w:shd w:val="clear" w:color="auto" w:fill="auto"/>
            <w:noWrap/>
            <w:vAlign w:val="center"/>
            <w:hideMark/>
          </w:tcPr>
          <w:p w:rsidR="00803157" w:rsidRPr="00B148B1" w:rsidRDefault="00803157" w:rsidP="00803157">
            <w:pPr>
              <w:spacing w:line="240" w:lineRule="auto"/>
              <w:jc w:val="right"/>
              <w:rPr>
                <w:rFonts w:cs="Arial"/>
                <w:color w:val="000000"/>
                <w:szCs w:val="20"/>
                <w:lang w:eastAsia="sl-SI"/>
              </w:rPr>
            </w:pPr>
            <w:r w:rsidRPr="00B148B1">
              <w:rPr>
                <w:rFonts w:cs="Arial"/>
                <w:color w:val="000000"/>
                <w:szCs w:val="20"/>
                <w:lang w:eastAsia="sl-SI"/>
              </w:rPr>
              <w:t>10345</w:t>
            </w:r>
          </w:p>
        </w:tc>
        <w:tc>
          <w:tcPr>
            <w:tcW w:w="2469" w:type="pct"/>
            <w:shd w:val="clear" w:color="auto" w:fill="auto"/>
            <w:noWrap/>
            <w:vAlign w:val="center"/>
            <w:hideMark/>
          </w:tcPr>
          <w:p w:rsidR="00803157" w:rsidRPr="00B148B1" w:rsidRDefault="00803157" w:rsidP="00803157">
            <w:pPr>
              <w:spacing w:line="240" w:lineRule="auto"/>
              <w:jc w:val="left"/>
              <w:rPr>
                <w:rFonts w:cs="Arial"/>
                <w:color w:val="000000"/>
                <w:szCs w:val="20"/>
                <w:lang w:eastAsia="sl-SI"/>
              </w:rPr>
            </w:pPr>
            <w:r w:rsidRPr="00B148B1">
              <w:rPr>
                <w:rFonts w:cs="Arial"/>
                <w:color w:val="000000"/>
                <w:szCs w:val="20"/>
                <w:lang w:eastAsia="sl-SI"/>
              </w:rPr>
              <w:t>Zreče 2019</w:t>
            </w:r>
          </w:p>
        </w:tc>
        <w:tc>
          <w:tcPr>
            <w:tcW w:w="1536" w:type="pct"/>
            <w:shd w:val="clear" w:color="auto" w:fill="auto"/>
            <w:noWrap/>
            <w:vAlign w:val="center"/>
            <w:hideMark/>
          </w:tcPr>
          <w:p w:rsidR="00803157" w:rsidRPr="00B148B1" w:rsidRDefault="00803157" w:rsidP="00803157">
            <w:pPr>
              <w:spacing w:line="240" w:lineRule="auto"/>
              <w:jc w:val="center"/>
              <w:rPr>
                <w:rFonts w:cs="Arial"/>
                <w:color w:val="000000"/>
                <w:szCs w:val="20"/>
                <w:lang w:eastAsia="sl-SI"/>
              </w:rPr>
            </w:pPr>
            <w:r w:rsidRPr="00B148B1">
              <w:rPr>
                <w:rFonts w:cs="Arial"/>
                <w:color w:val="000000"/>
                <w:szCs w:val="20"/>
                <w:lang w:eastAsia="sl-SI"/>
              </w:rPr>
              <w:t>3.251</w:t>
            </w:r>
          </w:p>
        </w:tc>
      </w:tr>
      <w:tr w:rsidR="00803157" w:rsidRPr="00B148B1" w:rsidTr="00B803AE">
        <w:trPr>
          <w:trHeight w:val="315"/>
        </w:trPr>
        <w:tc>
          <w:tcPr>
            <w:tcW w:w="577" w:type="pct"/>
            <w:shd w:val="clear" w:color="auto" w:fill="auto"/>
            <w:noWrap/>
            <w:vAlign w:val="center"/>
            <w:hideMark/>
          </w:tcPr>
          <w:p w:rsidR="00803157" w:rsidRPr="00B148B1" w:rsidRDefault="00803157" w:rsidP="00B803AE">
            <w:pPr>
              <w:spacing w:line="240" w:lineRule="auto"/>
              <w:jc w:val="center"/>
              <w:rPr>
                <w:rFonts w:cs="Arial"/>
                <w:color w:val="000000"/>
                <w:szCs w:val="20"/>
                <w:lang w:eastAsia="sl-SI"/>
              </w:rPr>
            </w:pPr>
            <w:r w:rsidRPr="00B148B1">
              <w:rPr>
                <w:rFonts w:cs="Arial"/>
                <w:color w:val="000000"/>
                <w:szCs w:val="20"/>
                <w:lang w:eastAsia="sl-SI"/>
              </w:rPr>
              <w:t>20</w:t>
            </w:r>
          </w:p>
        </w:tc>
        <w:tc>
          <w:tcPr>
            <w:tcW w:w="418" w:type="pct"/>
            <w:shd w:val="clear" w:color="auto" w:fill="auto"/>
            <w:noWrap/>
            <w:vAlign w:val="center"/>
            <w:hideMark/>
          </w:tcPr>
          <w:p w:rsidR="00803157" w:rsidRPr="00B148B1" w:rsidRDefault="00803157" w:rsidP="00803157">
            <w:pPr>
              <w:spacing w:line="240" w:lineRule="auto"/>
              <w:jc w:val="right"/>
              <w:rPr>
                <w:rFonts w:cs="Arial"/>
                <w:color w:val="000000"/>
                <w:szCs w:val="20"/>
                <w:lang w:eastAsia="sl-SI"/>
              </w:rPr>
            </w:pPr>
            <w:r w:rsidRPr="00B148B1">
              <w:rPr>
                <w:rFonts w:cs="Arial"/>
                <w:color w:val="000000"/>
                <w:szCs w:val="20"/>
                <w:lang w:eastAsia="sl-SI"/>
              </w:rPr>
              <w:t>5283</w:t>
            </w:r>
          </w:p>
        </w:tc>
        <w:tc>
          <w:tcPr>
            <w:tcW w:w="2469" w:type="pct"/>
            <w:shd w:val="clear" w:color="auto" w:fill="auto"/>
            <w:noWrap/>
            <w:vAlign w:val="center"/>
            <w:hideMark/>
          </w:tcPr>
          <w:p w:rsidR="00803157" w:rsidRPr="00B148B1" w:rsidRDefault="00803157" w:rsidP="00803157">
            <w:pPr>
              <w:spacing w:line="240" w:lineRule="auto"/>
              <w:jc w:val="left"/>
              <w:rPr>
                <w:rFonts w:cs="Arial"/>
                <w:color w:val="000000"/>
                <w:szCs w:val="20"/>
                <w:lang w:eastAsia="sl-SI"/>
              </w:rPr>
            </w:pPr>
            <w:r w:rsidRPr="00B148B1">
              <w:rPr>
                <w:rFonts w:cs="Arial"/>
                <w:color w:val="000000"/>
                <w:szCs w:val="20"/>
                <w:lang w:eastAsia="sl-SI"/>
              </w:rPr>
              <w:t>Rakek 2019</w:t>
            </w:r>
          </w:p>
        </w:tc>
        <w:tc>
          <w:tcPr>
            <w:tcW w:w="1536" w:type="pct"/>
            <w:shd w:val="clear" w:color="auto" w:fill="auto"/>
            <w:noWrap/>
            <w:vAlign w:val="center"/>
            <w:hideMark/>
          </w:tcPr>
          <w:p w:rsidR="00803157" w:rsidRPr="00B148B1" w:rsidRDefault="00803157" w:rsidP="00803157">
            <w:pPr>
              <w:spacing w:line="240" w:lineRule="auto"/>
              <w:jc w:val="center"/>
              <w:rPr>
                <w:rFonts w:cs="Arial"/>
                <w:color w:val="000000"/>
                <w:szCs w:val="20"/>
                <w:lang w:eastAsia="sl-SI"/>
              </w:rPr>
            </w:pPr>
            <w:r w:rsidRPr="00B148B1">
              <w:rPr>
                <w:rFonts w:cs="Arial"/>
                <w:color w:val="000000"/>
                <w:szCs w:val="20"/>
                <w:lang w:eastAsia="sl-SI"/>
              </w:rPr>
              <w:t>3.067</w:t>
            </w:r>
          </w:p>
        </w:tc>
      </w:tr>
      <w:tr w:rsidR="00803157" w:rsidRPr="00B148B1" w:rsidTr="00B803AE">
        <w:trPr>
          <w:trHeight w:val="315"/>
        </w:trPr>
        <w:tc>
          <w:tcPr>
            <w:tcW w:w="577" w:type="pct"/>
            <w:shd w:val="clear" w:color="auto" w:fill="auto"/>
            <w:noWrap/>
            <w:vAlign w:val="center"/>
            <w:hideMark/>
          </w:tcPr>
          <w:p w:rsidR="00803157" w:rsidRPr="00B148B1" w:rsidRDefault="00803157" w:rsidP="00B803AE">
            <w:pPr>
              <w:spacing w:line="240" w:lineRule="auto"/>
              <w:jc w:val="center"/>
              <w:rPr>
                <w:rFonts w:cs="Arial"/>
                <w:color w:val="000000"/>
                <w:szCs w:val="20"/>
                <w:lang w:eastAsia="sl-SI"/>
              </w:rPr>
            </w:pPr>
            <w:r w:rsidRPr="00B148B1">
              <w:rPr>
                <w:rFonts w:cs="Arial"/>
                <w:color w:val="000000"/>
                <w:szCs w:val="20"/>
                <w:lang w:eastAsia="sl-SI"/>
              </w:rPr>
              <w:t>21</w:t>
            </w:r>
          </w:p>
        </w:tc>
        <w:tc>
          <w:tcPr>
            <w:tcW w:w="418" w:type="pct"/>
            <w:shd w:val="clear" w:color="auto" w:fill="auto"/>
            <w:noWrap/>
            <w:vAlign w:val="center"/>
            <w:hideMark/>
          </w:tcPr>
          <w:p w:rsidR="00803157" w:rsidRPr="00B148B1" w:rsidRDefault="00803157" w:rsidP="00803157">
            <w:pPr>
              <w:spacing w:line="240" w:lineRule="auto"/>
              <w:jc w:val="right"/>
              <w:rPr>
                <w:rFonts w:cs="Arial"/>
                <w:color w:val="000000"/>
                <w:szCs w:val="20"/>
                <w:lang w:eastAsia="sl-SI"/>
              </w:rPr>
            </w:pPr>
            <w:r w:rsidRPr="00B148B1">
              <w:rPr>
                <w:rFonts w:cs="Arial"/>
                <w:color w:val="000000"/>
                <w:szCs w:val="20"/>
                <w:lang w:eastAsia="sl-SI"/>
              </w:rPr>
              <w:t>6074</w:t>
            </w:r>
          </w:p>
        </w:tc>
        <w:tc>
          <w:tcPr>
            <w:tcW w:w="2469" w:type="pct"/>
            <w:shd w:val="clear" w:color="auto" w:fill="auto"/>
            <w:noWrap/>
            <w:vAlign w:val="center"/>
            <w:hideMark/>
          </w:tcPr>
          <w:p w:rsidR="00803157" w:rsidRPr="00B148B1" w:rsidRDefault="00803157" w:rsidP="00803157">
            <w:pPr>
              <w:spacing w:line="240" w:lineRule="auto"/>
              <w:jc w:val="left"/>
              <w:rPr>
                <w:rFonts w:cs="Arial"/>
                <w:color w:val="000000"/>
                <w:szCs w:val="20"/>
                <w:lang w:eastAsia="sl-SI"/>
              </w:rPr>
            </w:pPr>
            <w:r w:rsidRPr="00B148B1">
              <w:rPr>
                <w:rFonts w:cs="Arial"/>
                <w:color w:val="000000"/>
                <w:szCs w:val="20"/>
                <w:lang w:eastAsia="sl-SI"/>
              </w:rPr>
              <w:t>Vavta vas 2019</w:t>
            </w:r>
          </w:p>
        </w:tc>
        <w:tc>
          <w:tcPr>
            <w:tcW w:w="1536" w:type="pct"/>
            <w:shd w:val="clear" w:color="auto" w:fill="auto"/>
            <w:noWrap/>
            <w:vAlign w:val="center"/>
            <w:hideMark/>
          </w:tcPr>
          <w:p w:rsidR="00803157" w:rsidRPr="00B148B1" w:rsidRDefault="00803157" w:rsidP="00803157">
            <w:pPr>
              <w:spacing w:line="240" w:lineRule="auto"/>
              <w:jc w:val="center"/>
              <w:rPr>
                <w:rFonts w:cs="Arial"/>
                <w:color w:val="000000"/>
                <w:szCs w:val="20"/>
                <w:lang w:eastAsia="sl-SI"/>
              </w:rPr>
            </w:pPr>
            <w:r w:rsidRPr="00B148B1">
              <w:rPr>
                <w:rFonts w:cs="Arial"/>
                <w:color w:val="000000"/>
                <w:szCs w:val="20"/>
                <w:lang w:eastAsia="sl-SI"/>
              </w:rPr>
              <w:t>2.996</w:t>
            </w:r>
          </w:p>
        </w:tc>
      </w:tr>
      <w:tr w:rsidR="00803157" w:rsidRPr="00B148B1" w:rsidTr="00B803AE">
        <w:trPr>
          <w:trHeight w:val="315"/>
        </w:trPr>
        <w:tc>
          <w:tcPr>
            <w:tcW w:w="577" w:type="pct"/>
            <w:shd w:val="clear" w:color="auto" w:fill="auto"/>
            <w:noWrap/>
            <w:vAlign w:val="center"/>
            <w:hideMark/>
          </w:tcPr>
          <w:p w:rsidR="00803157" w:rsidRPr="00B148B1" w:rsidRDefault="00803157" w:rsidP="00B803AE">
            <w:pPr>
              <w:spacing w:line="240" w:lineRule="auto"/>
              <w:jc w:val="center"/>
              <w:rPr>
                <w:rFonts w:cs="Arial"/>
                <w:color w:val="000000"/>
                <w:szCs w:val="20"/>
                <w:lang w:eastAsia="sl-SI"/>
              </w:rPr>
            </w:pPr>
            <w:r w:rsidRPr="00B148B1">
              <w:rPr>
                <w:rFonts w:cs="Arial"/>
                <w:color w:val="000000"/>
                <w:szCs w:val="20"/>
                <w:lang w:eastAsia="sl-SI"/>
              </w:rPr>
              <w:t>22</w:t>
            </w:r>
          </w:p>
        </w:tc>
        <w:tc>
          <w:tcPr>
            <w:tcW w:w="418" w:type="pct"/>
            <w:shd w:val="clear" w:color="auto" w:fill="auto"/>
            <w:noWrap/>
            <w:vAlign w:val="center"/>
            <w:hideMark/>
          </w:tcPr>
          <w:p w:rsidR="00803157" w:rsidRPr="00B148B1" w:rsidRDefault="00803157" w:rsidP="00803157">
            <w:pPr>
              <w:spacing w:line="240" w:lineRule="auto"/>
              <w:jc w:val="right"/>
              <w:rPr>
                <w:rFonts w:cs="Arial"/>
                <w:color w:val="000000"/>
                <w:szCs w:val="20"/>
                <w:lang w:eastAsia="sl-SI"/>
              </w:rPr>
            </w:pPr>
            <w:r w:rsidRPr="00B148B1">
              <w:rPr>
                <w:rFonts w:cs="Arial"/>
                <w:color w:val="000000"/>
                <w:szCs w:val="20"/>
                <w:lang w:eastAsia="sl-SI"/>
              </w:rPr>
              <w:t>14402</w:t>
            </w:r>
          </w:p>
        </w:tc>
        <w:tc>
          <w:tcPr>
            <w:tcW w:w="2469" w:type="pct"/>
            <w:shd w:val="clear" w:color="auto" w:fill="auto"/>
            <w:noWrap/>
            <w:vAlign w:val="center"/>
            <w:hideMark/>
          </w:tcPr>
          <w:p w:rsidR="00803157" w:rsidRPr="00B148B1" w:rsidRDefault="00803157" w:rsidP="00803157">
            <w:pPr>
              <w:spacing w:line="240" w:lineRule="auto"/>
              <w:jc w:val="left"/>
              <w:rPr>
                <w:rFonts w:cs="Arial"/>
                <w:color w:val="000000"/>
                <w:szCs w:val="20"/>
                <w:lang w:eastAsia="sl-SI"/>
              </w:rPr>
            </w:pPr>
            <w:r w:rsidRPr="00B148B1">
              <w:rPr>
                <w:rFonts w:cs="Arial"/>
                <w:color w:val="000000"/>
                <w:szCs w:val="20"/>
                <w:lang w:eastAsia="sl-SI"/>
              </w:rPr>
              <w:t>Apače 2019</w:t>
            </w:r>
          </w:p>
        </w:tc>
        <w:tc>
          <w:tcPr>
            <w:tcW w:w="1536" w:type="pct"/>
            <w:shd w:val="clear" w:color="auto" w:fill="auto"/>
            <w:noWrap/>
            <w:vAlign w:val="center"/>
            <w:hideMark/>
          </w:tcPr>
          <w:p w:rsidR="00803157" w:rsidRPr="00B148B1" w:rsidRDefault="00803157" w:rsidP="00803157">
            <w:pPr>
              <w:spacing w:line="240" w:lineRule="auto"/>
              <w:jc w:val="center"/>
              <w:rPr>
                <w:rFonts w:cs="Arial"/>
                <w:color w:val="000000"/>
                <w:szCs w:val="20"/>
                <w:lang w:eastAsia="sl-SI"/>
              </w:rPr>
            </w:pPr>
            <w:r w:rsidRPr="00B148B1">
              <w:rPr>
                <w:rFonts w:cs="Arial"/>
                <w:color w:val="000000"/>
                <w:szCs w:val="20"/>
                <w:lang w:eastAsia="sl-SI"/>
              </w:rPr>
              <w:t>2.952</w:t>
            </w:r>
          </w:p>
        </w:tc>
      </w:tr>
      <w:tr w:rsidR="00803157" w:rsidRPr="00B148B1" w:rsidTr="00B803AE">
        <w:trPr>
          <w:trHeight w:val="315"/>
        </w:trPr>
        <w:tc>
          <w:tcPr>
            <w:tcW w:w="577" w:type="pct"/>
            <w:shd w:val="clear" w:color="auto" w:fill="auto"/>
            <w:noWrap/>
            <w:vAlign w:val="center"/>
            <w:hideMark/>
          </w:tcPr>
          <w:p w:rsidR="00803157" w:rsidRPr="00B148B1" w:rsidRDefault="00803157" w:rsidP="00B803AE">
            <w:pPr>
              <w:spacing w:line="240" w:lineRule="auto"/>
              <w:jc w:val="center"/>
              <w:rPr>
                <w:rFonts w:cs="Arial"/>
                <w:color w:val="000000"/>
                <w:szCs w:val="20"/>
                <w:lang w:eastAsia="sl-SI"/>
              </w:rPr>
            </w:pPr>
            <w:r w:rsidRPr="00B148B1">
              <w:rPr>
                <w:rFonts w:cs="Arial"/>
                <w:color w:val="000000"/>
                <w:szCs w:val="20"/>
                <w:lang w:eastAsia="sl-SI"/>
              </w:rPr>
              <w:t>23</w:t>
            </w:r>
          </w:p>
        </w:tc>
        <w:tc>
          <w:tcPr>
            <w:tcW w:w="418" w:type="pct"/>
            <w:shd w:val="clear" w:color="auto" w:fill="auto"/>
            <w:noWrap/>
            <w:vAlign w:val="center"/>
            <w:hideMark/>
          </w:tcPr>
          <w:p w:rsidR="00803157" w:rsidRPr="00B148B1" w:rsidRDefault="00803157" w:rsidP="00803157">
            <w:pPr>
              <w:spacing w:line="240" w:lineRule="auto"/>
              <w:jc w:val="right"/>
              <w:rPr>
                <w:rFonts w:cs="Arial"/>
                <w:color w:val="000000"/>
                <w:szCs w:val="20"/>
                <w:lang w:eastAsia="sl-SI"/>
              </w:rPr>
            </w:pPr>
            <w:r w:rsidRPr="00B148B1">
              <w:rPr>
                <w:rFonts w:cs="Arial"/>
                <w:color w:val="000000"/>
                <w:szCs w:val="20"/>
                <w:lang w:eastAsia="sl-SI"/>
              </w:rPr>
              <w:t>14870</w:t>
            </w:r>
          </w:p>
        </w:tc>
        <w:tc>
          <w:tcPr>
            <w:tcW w:w="2469" w:type="pct"/>
            <w:shd w:val="clear" w:color="auto" w:fill="auto"/>
            <w:noWrap/>
            <w:vAlign w:val="center"/>
            <w:hideMark/>
          </w:tcPr>
          <w:p w:rsidR="00803157" w:rsidRPr="00B148B1" w:rsidRDefault="00803157" w:rsidP="00803157">
            <w:pPr>
              <w:spacing w:line="240" w:lineRule="auto"/>
              <w:jc w:val="left"/>
              <w:rPr>
                <w:rFonts w:cs="Arial"/>
                <w:color w:val="000000"/>
                <w:szCs w:val="20"/>
                <w:lang w:eastAsia="sl-SI"/>
              </w:rPr>
            </w:pPr>
            <w:r w:rsidRPr="00B148B1">
              <w:rPr>
                <w:rFonts w:cs="Arial"/>
                <w:color w:val="000000"/>
                <w:szCs w:val="20"/>
                <w:lang w:eastAsia="sl-SI"/>
              </w:rPr>
              <w:t>Stojnci 2019</w:t>
            </w:r>
          </w:p>
        </w:tc>
        <w:tc>
          <w:tcPr>
            <w:tcW w:w="1536" w:type="pct"/>
            <w:shd w:val="clear" w:color="auto" w:fill="auto"/>
            <w:noWrap/>
            <w:vAlign w:val="center"/>
            <w:hideMark/>
          </w:tcPr>
          <w:p w:rsidR="00803157" w:rsidRPr="00B148B1" w:rsidRDefault="00803157" w:rsidP="00803157">
            <w:pPr>
              <w:spacing w:line="240" w:lineRule="auto"/>
              <w:jc w:val="center"/>
              <w:rPr>
                <w:rFonts w:cs="Arial"/>
                <w:color w:val="000000"/>
                <w:szCs w:val="20"/>
                <w:lang w:eastAsia="sl-SI"/>
              </w:rPr>
            </w:pPr>
            <w:r w:rsidRPr="00B148B1">
              <w:rPr>
                <w:rFonts w:cs="Arial"/>
                <w:color w:val="000000"/>
                <w:szCs w:val="20"/>
                <w:lang w:eastAsia="sl-SI"/>
              </w:rPr>
              <w:t>2.952</w:t>
            </w:r>
          </w:p>
        </w:tc>
      </w:tr>
      <w:tr w:rsidR="00803157" w:rsidRPr="00B148B1" w:rsidTr="00B803AE">
        <w:trPr>
          <w:trHeight w:val="315"/>
        </w:trPr>
        <w:tc>
          <w:tcPr>
            <w:tcW w:w="577" w:type="pct"/>
            <w:shd w:val="clear" w:color="auto" w:fill="auto"/>
            <w:noWrap/>
            <w:vAlign w:val="center"/>
            <w:hideMark/>
          </w:tcPr>
          <w:p w:rsidR="00803157" w:rsidRPr="00B148B1" w:rsidRDefault="00803157" w:rsidP="00B803AE">
            <w:pPr>
              <w:spacing w:line="240" w:lineRule="auto"/>
              <w:jc w:val="center"/>
              <w:rPr>
                <w:rFonts w:cs="Arial"/>
                <w:color w:val="000000"/>
                <w:szCs w:val="20"/>
                <w:lang w:eastAsia="sl-SI"/>
              </w:rPr>
            </w:pPr>
            <w:r w:rsidRPr="00B148B1">
              <w:rPr>
                <w:rFonts w:cs="Arial"/>
                <w:color w:val="000000"/>
                <w:szCs w:val="20"/>
                <w:lang w:eastAsia="sl-SI"/>
              </w:rPr>
              <w:lastRenderedPageBreak/>
              <w:t>24</w:t>
            </w:r>
          </w:p>
        </w:tc>
        <w:tc>
          <w:tcPr>
            <w:tcW w:w="418" w:type="pct"/>
            <w:shd w:val="clear" w:color="auto" w:fill="auto"/>
            <w:noWrap/>
            <w:vAlign w:val="center"/>
            <w:hideMark/>
          </w:tcPr>
          <w:p w:rsidR="00803157" w:rsidRPr="00B148B1" w:rsidRDefault="00803157" w:rsidP="00803157">
            <w:pPr>
              <w:spacing w:line="240" w:lineRule="auto"/>
              <w:jc w:val="right"/>
              <w:rPr>
                <w:rFonts w:cs="Arial"/>
                <w:color w:val="000000"/>
                <w:szCs w:val="20"/>
                <w:lang w:eastAsia="sl-SI"/>
              </w:rPr>
            </w:pPr>
            <w:r w:rsidRPr="00B148B1">
              <w:rPr>
                <w:rFonts w:cs="Arial"/>
                <w:color w:val="000000"/>
                <w:szCs w:val="20"/>
                <w:lang w:eastAsia="sl-SI"/>
              </w:rPr>
              <w:t>5208</w:t>
            </w:r>
          </w:p>
        </w:tc>
        <w:tc>
          <w:tcPr>
            <w:tcW w:w="2469" w:type="pct"/>
            <w:shd w:val="clear" w:color="auto" w:fill="auto"/>
            <w:noWrap/>
            <w:vAlign w:val="center"/>
            <w:hideMark/>
          </w:tcPr>
          <w:p w:rsidR="00803157" w:rsidRPr="00B148B1" w:rsidRDefault="00803157" w:rsidP="00803157">
            <w:pPr>
              <w:spacing w:line="240" w:lineRule="auto"/>
              <w:jc w:val="left"/>
              <w:rPr>
                <w:rFonts w:cs="Arial"/>
                <w:color w:val="000000"/>
                <w:szCs w:val="20"/>
                <w:lang w:eastAsia="sl-SI"/>
              </w:rPr>
            </w:pPr>
            <w:r w:rsidRPr="00B148B1">
              <w:rPr>
                <w:rFonts w:cs="Arial"/>
                <w:color w:val="000000"/>
                <w:szCs w:val="20"/>
                <w:lang w:eastAsia="sl-SI"/>
              </w:rPr>
              <w:t>Ig 2019</w:t>
            </w:r>
          </w:p>
        </w:tc>
        <w:tc>
          <w:tcPr>
            <w:tcW w:w="1536" w:type="pct"/>
            <w:shd w:val="clear" w:color="auto" w:fill="auto"/>
            <w:noWrap/>
            <w:vAlign w:val="center"/>
            <w:hideMark/>
          </w:tcPr>
          <w:p w:rsidR="00803157" w:rsidRPr="00B148B1" w:rsidRDefault="00803157" w:rsidP="00803157">
            <w:pPr>
              <w:spacing w:line="240" w:lineRule="auto"/>
              <w:jc w:val="center"/>
              <w:rPr>
                <w:rFonts w:cs="Arial"/>
                <w:color w:val="000000"/>
                <w:szCs w:val="20"/>
                <w:lang w:eastAsia="sl-SI"/>
              </w:rPr>
            </w:pPr>
            <w:r w:rsidRPr="00B148B1">
              <w:rPr>
                <w:rFonts w:cs="Arial"/>
                <w:color w:val="000000"/>
                <w:szCs w:val="20"/>
                <w:lang w:eastAsia="sl-SI"/>
              </w:rPr>
              <w:t>2.795</w:t>
            </w:r>
          </w:p>
        </w:tc>
      </w:tr>
      <w:tr w:rsidR="00803157" w:rsidRPr="00B148B1" w:rsidTr="00B803AE">
        <w:trPr>
          <w:trHeight w:val="315"/>
        </w:trPr>
        <w:tc>
          <w:tcPr>
            <w:tcW w:w="577" w:type="pct"/>
            <w:shd w:val="clear" w:color="auto" w:fill="auto"/>
            <w:noWrap/>
            <w:vAlign w:val="center"/>
            <w:hideMark/>
          </w:tcPr>
          <w:p w:rsidR="00803157" w:rsidRPr="00B148B1" w:rsidRDefault="00803157" w:rsidP="00B803AE">
            <w:pPr>
              <w:spacing w:line="240" w:lineRule="auto"/>
              <w:jc w:val="center"/>
              <w:rPr>
                <w:rFonts w:cs="Arial"/>
                <w:color w:val="000000"/>
                <w:szCs w:val="20"/>
                <w:lang w:eastAsia="sl-SI"/>
              </w:rPr>
            </w:pPr>
            <w:r w:rsidRPr="00B148B1">
              <w:rPr>
                <w:rFonts w:cs="Arial"/>
                <w:color w:val="000000"/>
                <w:szCs w:val="20"/>
                <w:lang w:eastAsia="sl-SI"/>
              </w:rPr>
              <w:t>25</w:t>
            </w:r>
          </w:p>
        </w:tc>
        <w:tc>
          <w:tcPr>
            <w:tcW w:w="418" w:type="pct"/>
            <w:shd w:val="clear" w:color="auto" w:fill="auto"/>
            <w:noWrap/>
            <w:vAlign w:val="center"/>
            <w:hideMark/>
          </w:tcPr>
          <w:p w:rsidR="00803157" w:rsidRPr="00B148B1" w:rsidRDefault="00803157" w:rsidP="00803157">
            <w:pPr>
              <w:spacing w:line="240" w:lineRule="auto"/>
              <w:jc w:val="right"/>
              <w:rPr>
                <w:rFonts w:cs="Arial"/>
                <w:color w:val="000000"/>
                <w:szCs w:val="20"/>
                <w:lang w:eastAsia="sl-SI"/>
              </w:rPr>
            </w:pPr>
            <w:r w:rsidRPr="00B148B1">
              <w:rPr>
                <w:rFonts w:cs="Arial"/>
                <w:color w:val="000000"/>
                <w:szCs w:val="20"/>
                <w:lang w:eastAsia="sl-SI"/>
              </w:rPr>
              <w:t>7835</w:t>
            </w:r>
          </w:p>
        </w:tc>
        <w:tc>
          <w:tcPr>
            <w:tcW w:w="2469" w:type="pct"/>
            <w:shd w:val="clear" w:color="auto" w:fill="auto"/>
            <w:noWrap/>
            <w:vAlign w:val="center"/>
            <w:hideMark/>
          </w:tcPr>
          <w:p w:rsidR="00803157" w:rsidRPr="00B148B1" w:rsidRDefault="00803157" w:rsidP="00803157">
            <w:pPr>
              <w:spacing w:line="240" w:lineRule="auto"/>
              <w:jc w:val="left"/>
              <w:rPr>
                <w:rFonts w:cs="Arial"/>
                <w:color w:val="000000"/>
                <w:szCs w:val="20"/>
                <w:lang w:eastAsia="sl-SI"/>
              </w:rPr>
            </w:pPr>
            <w:r w:rsidRPr="00B148B1">
              <w:rPr>
                <w:rFonts w:cs="Arial"/>
                <w:color w:val="000000"/>
                <w:szCs w:val="20"/>
                <w:lang w:eastAsia="sl-SI"/>
              </w:rPr>
              <w:t>Prebold 2019</w:t>
            </w:r>
          </w:p>
        </w:tc>
        <w:tc>
          <w:tcPr>
            <w:tcW w:w="1536" w:type="pct"/>
            <w:shd w:val="clear" w:color="auto" w:fill="auto"/>
            <w:noWrap/>
            <w:vAlign w:val="center"/>
            <w:hideMark/>
          </w:tcPr>
          <w:p w:rsidR="00803157" w:rsidRPr="00B148B1" w:rsidRDefault="00803157" w:rsidP="00803157">
            <w:pPr>
              <w:spacing w:line="240" w:lineRule="auto"/>
              <w:jc w:val="center"/>
              <w:rPr>
                <w:rFonts w:cs="Arial"/>
                <w:color w:val="000000"/>
                <w:szCs w:val="20"/>
                <w:lang w:eastAsia="sl-SI"/>
              </w:rPr>
            </w:pPr>
            <w:r w:rsidRPr="00B148B1">
              <w:rPr>
                <w:rFonts w:cs="Arial"/>
                <w:color w:val="000000"/>
                <w:szCs w:val="20"/>
                <w:lang w:eastAsia="sl-SI"/>
              </w:rPr>
              <w:t>2.620</w:t>
            </w:r>
          </w:p>
        </w:tc>
      </w:tr>
      <w:tr w:rsidR="00803157" w:rsidRPr="00B148B1" w:rsidTr="00B803AE">
        <w:trPr>
          <w:trHeight w:val="315"/>
        </w:trPr>
        <w:tc>
          <w:tcPr>
            <w:tcW w:w="577" w:type="pct"/>
            <w:shd w:val="clear" w:color="auto" w:fill="auto"/>
            <w:noWrap/>
            <w:vAlign w:val="center"/>
            <w:hideMark/>
          </w:tcPr>
          <w:p w:rsidR="00803157" w:rsidRPr="00B148B1" w:rsidRDefault="00803157" w:rsidP="00B803AE">
            <w:pPr>
              <w:spacing w:line="240" w:lineRule="auto"/>
              <w:jc w:val="center"/>
              <w:rPr>
                <w:rFonts w:cs="Arial"/>
                <w:color w:val="000000"/>
                <w:szCs w:val="20"/>
                <w:lang w:eastAsia="sl-SI"/>
              </w:rPr>
            </w:pPr>
            <w:r w:rsidRPr="00B148B1">
              <w:rPr>
                <w:rFonts w:cs="Arial"/>
                <w:color w:val="000000"/>
                <w:szCs w:val="20"/>
                <w:lang w:eastAsia="sl-SI"/>
              </w:rPr>
              <w:t>26</w:t>
            </w:r>
          </w:p>
        </w:tc>
        <w:tc>
          <w:tcPr>
            <w:tcW w:w="418" w:type="pct"/>
            <w:shd w:val="clear" w:color="auto" w:fill="auto"/>
            <w:noWrap/>
            <w:vAlign w:val="center"/>
            <w:hideMark/>
          </w:tcPr>
          <w:p w:rsidR="00803157" w:rsidRPr="00B148B1" w:rsidRDefault="00803157" w:rsidP="00803157">
            <w:pPr>
              <w:spacing w:line="240" w:lineRule="auto"/>
              <w:jc w:val="right"/>
              <w:rPr>
                <w:rFonts w:cs="Arial"/>
                <w:color w:val="000000"/>
                <w:szCs w:val="20"/>
                <w:lang w:eastAsia="sl-SI"/>
              </w:rPr>
            </w:pPr>
            <w:r w:rsidRPr="00B148B1">
              <w:rPr>
                <w:rFonts w:cs="Arial"/>
                <w:color w:val="000000"/>
                <w:szCs w:val="20"/>
                <w:lang w:eastAsia="sl-SI"/>
              </w:rPr>
              <w:t>16374</w:t>
            </w:r>
          </w:p>
        </w:tc>
        <w:tc>
          <w:tcPr>
            <w:tcW w:w="2469" w:type="pct"/>
            <w:shd w:val="clear" w:color="auto" w:fill="auto"/>
            <w:noWrap/>
            <w:vAlign w:val="center"/>
            <w:hideMark/>
          </w:tcPr>
          <w:p w:rsidR="00803157" w:rsidRPr="00B148B1" w:rsidRDefault="00803157" w:rsidP="00803157">
            <w:pPr>
              <w:spacing w:line="240" w:lineRule="auto"/>
              <w:jc w:val="left"/>
              <w:rPr>
                <w:rFonts w:cs="Arial"/>
                <w:color w:val="000000"/>
                <w:szCs w:val="20"/>
                <w:lang w:eastAsia="sl-SI"/>
              </w:rPr>
            </w:pPr>
            <w:r w:rsidRPr="00B148B1">
              <w:rPr>
                <w:rFonts w:cs="Arial"/>
                <w:color w:val="000000"/>
                <w:szCs w:val="20"/>
                <w:lang w:eastAsia="sl-SI"/>
              </w:rPr>
              <w:t>Šentilj v Slovenskih goricah 2019</w:t>
            </w:r>
          </w:p>
        </w:tc>
        <w:tc>
          <w:tcPr>
            <w:tcW w:w="1536" w:type="pct"/>
            <w:shd w:val="clear" w:color="auto" w:fill="auto"/>
            <w:noWrap/>
            <w:vAlign w:val="center"/>
            <w:hideMark/>
          </w:tcPr>
          <w:p w:rsidR="00803157" w:rsidRPr="00B148B1" w:rsidRDefault="00803157" w:rsidP="00803157">
            <w:pPr>
              <w:spacing w:line="240" w:lineRule="auto"/>
              <w:jc w:val="center"/>
              <w:rPr>
                <w:rFonts w:cs="Arial"/>
                <w:color w:val="000000"/>
                <w:szCs w:val="20"/>
                <w:lang w:eastAsia="sl-SI"/>
              </w:rPr>
            </w:pPr>
            <w:r w:rsidRPr="00B148B1">
              <w:rPr>
                <w:rFonts w:cs="Arial"/>
                <w:color w:val="000000"/>
                <w:szCs w:val="20"/>
                <w:lang w:eastAsia="sl-SI"/>
              </w:rPr>
              <w:t>2.534</w:t>
            </w:r>
          </w:p>
        </w:tc>
      </w:tr>
      <w:tr w:rsidR="00803157" w:rsidRPr="00B148B1" w:rsidTr="00B803AE">
        <w:trPr>
          <w:trHeight w:val="315"/>
        </w:trPr>
        <w:tc>
          <w:tcPr>
            <w:tcW w:w="577" w:type="pct"/>
            <w:shd w:val="clear" w:color="auto" w:fill="auto"/>
            <w:noWrap/>
            <w:vAlign w:val="center"/>
            <w:hideMark/>
          </w:tcPr>
          <w:p w:rsidR="00803157" w:rsidRPr="00B148B1" w:rsidRDefault="00803157" w:rsidP="00B803AE">
            <w:pPr>
              <w:spacing w:line="240" w:lineRule="auto"/>
              <w:jc w:val="center"/>
              <w:rPr>
                <w:rFonts w:cs="Arial"/>
                <w:color w:val="000000"/>
                <w:szCs w:val="20"/>
                <w:lang w:eastAsia="sl-SI"/>
              </w:rPr>
            </w:pPr>
            <w:r w:rsidRPr="00B148B1">
              <w:rPr>
                <w:rFonts w:cs="Arial"/>
                <w:color w:val="000000"/>
                <w:szCs w:val="20"/>
                <w:lang w:eastAsia="sl-SI"/>
              </w:rPr>
              <w:t>27</w:t>
            </w:r>
          </w:p>
        </w:tc>
        <w:tc>
          <w:tcPr>
            <w:tcW w:w="418" w:type="pct"/>
            <w:shd w:val="clear" w:color="auto" w:fill="auto"/>
            <w:noWrap/>
            <w:vAlign w:val="center"/>
            <w:hideMark/>
          </w:tcPr>
          <w:p w:rsidR="00803157" w:rsidRPr="00B148B1" w:rsidRDefault="00803157" w:rsidP="00803157">
            <w:pPr>
              <w:spacing w:line="240" w:lineRule="auto"/>
              <w:jc w:val="right"/>
              <w:rPr>
                <w:rFonts w:cs="Arial"/>
                <w:color w:val="000000"/>
                <w:szCs w:val="20"/>
                <w:lang w:eastAsia="sl-SI"/>
              </w:rPr>
            </w:pPr>
            <w:r w:rsidRPr="00B148B1">
              <w:rPr>
                <w:rFonts w:cs="Arial"/>
                <w:color w:val="000000"/>
                <w:szCs w:val="20"/>
                <w:lang w:eastAsia="sl-SI"/>
              </w:rPr>
              <w:t>13493</w:t>
            </w:r>
          </w:p>
        </w:tc>
        <w:tc>
          <w:tcPr>
            <w:tcW w:w="2469" w:type="pct"/>
            <w:shd w:val="clear" w:color="auto" w:fill="auto"/>
            <w:noWrap/>
            <w:vAlign w:val="center"/>
            <w:hideMark/>
          </w:tcPr>
          <w:p w:rsidR="00803157" w:rsidRPr="00B148B1" w:rsidRDefault="00803157" w:rsidP="00803157">
            <w:pPr>
              <w:spacing w:line="240" w:lineRule="auto"/>
              <w:jc w:val="left"/>
              <w:rPr>
                <w:rFonts w:cs="Arial"/>
                <w:color w:val="000000"/>
                <w:szCs w:val="20"/>
                <w:lang w:eastAsia="sl-SI"/>
              </w:rPr>
            </w:pPr>
            <w:r w:rsidRPr="00B148B1">
              <w:rPr>
                <w:rFonts w:cs="Arial"/>
                <w:color w:val="000000"/>
                <w:szCs w:val="20"/>
                <w:lang w:eastAsia="sl-SI"/>
              </w:rPr>
              <w:t>Lovrenc 2019</w:t>
            </w:r>
          </w:p>
        </w:tc>
        <w:tc>
          <w:tcPr>
            <w:tcW w:w="1536" w:type="pct"/>
            <w:shd w:val="clear" w:color="auto" w:fill="auto"/>
            <w:noWrap/>
            <w:vAlign w:val="center"/>
            <w:hideMark/>
          </w:tcPr>
          <w:p w:rsidR="00803157" w:rsidRPr="00B148B1" w:rsidRDefault="00803157" w:rsidP="00803157">
            <w:pPr>
              <w:spacing w:line="240" w:lineRule="auto"/>
              <w:jc w:val="center"/>
              <w:rPr>
                <w:rFonts w:cs="Arial"/>
                <w:color w:val="000000"/>
                <w:szCs w:val="20"/>
                <w:lang w:eastAsia="sl-SI"/>
              </w:rPr>
            </w:pPr>
            <w:r w:rsidRPr="00B148B1">
              <w:rPr>
                <w:rFonts w:cs="Arial"/>
                <w:color w:val="000000"/>
                <w:szCs w:val="20"/>
                <w:lang w:eastAsia="sl-SI"/>
              </w:rPr>
              <w:t>2.204</w:t>
            </w:r>
          </w:p>
        </w:tc>
      </w:tr>
      <w:tr w:rsidR="00803157" w:rsidRPr="00B148B1" w:rsidTr="00B803AE">
        <w:trPr>
          <w:trHeight w:val="315"/>
        </w:trPr>
        <w:tc>
          <w:tcPr>
            <w:tcW w:w="577" w:type="pct"/>
            <w:shd w:val="clear" w:color="auto" w:fill="auto"/>
            <w:noWrap/>
            <w:vAlign w:val="center"/>
            <w:hideMark/>
          </w:tcPr>
          <w:p w:rsidR="00803157" w:rsidRPr="00B148B1" w:rsidRDefault="00803157" w:rsidP="00B803AE">
            <w:pPr>
              <w:spacing w:line="240" w:lineRule="auto"/>
              <w:jc w:val="center"/>
              <w:rPr>
                <w:rFonts w:cs="Arial"/>
                <w:color w:val="000000"/>
                <w:szCs w:val="20"/>
                <w:lang w:eastAsia="sl-SI"/>
              </w:rPr>
            </w:pPr>
            <w:r w:rsidRPr="00B148B1">
              <w:rPr>
                <w:rFonts w:cs="Arial"/>
                <w:color w:val="000000"/>
                <w:szCs w:val="20"/>
                <w:lang w:eastAsia="sl-SI"/>
              </w:rPr>
              <w:t>28</w:t>
            </w:r>
          </w:p>
        </w:tc>
        <w:tc>
          <w:tcPr>
            <w:tcW w:w="418" w:type="pct"/>
            <w:shd w:val="clear" w:color="auto" w:fill="auto"/>
            <w:noWrap/>
            <w:vAlign w:val="center"/>
            <w:hideMark/>
          </w:tcPr>
          <w:p w:rsidR="00803157" w:rsidRPr="00B148B1" w:rsidRDefault="00803157" w:rsidP="00803157">
            <w:pPr>
              <w:spacing w:line="240" w:lineRule="auto"/>
              <w:jc w:val="right"/>
              <w:rPr>
                <w:rFonts w:cs="Arial"/>
                <w:color w:val="000000"/>
                <w:szCs w:val="20"/>
                <w:lang w:eastAsia="sl-SI"/>
              </w:rPr>
            </w:pPr>
            <w:r w:rsidRPr="00B148B1">
              <w:rPr>
                <w:rFonts w:cs="Arial"/>
                <w:color w:val="000000"/>
                <w:szCs w:val="20"/>
                <w:lang w:eastAsia="sl-SI"/>
              </w:rPr>
              <w:t>16491</w:t>
            </w:r>
          </w:p>
        </w:tc>
        <w:tc>
          <w:tcPr>
            <w:tcW w:w="2469" w:type="pct"/>
            <w:shd w:val="clear" w:color="auto" w:fill="auto"/>
            <w:noWrap/>
            <w:vAlign w:val="center"/>
            <w:hideMark/>
          </w:tcPr>
          <w:p w:rsidR="00803157" w:rsidRPr="00B148B1" w:rsidRDefault="00803157" w:rsidP="003338DA">
            <w:pPr>
              <w:spacing w:line="240" w:lineRule="auto"/>
              <w:jc w:val="left"/>
              <w:rPr>
                <w:rFonts w:cs="Arial"/>
                <w:color w:val="000000"/>
                <w:szCs w:val="20"/>
                <w:lang w:eastAsia="sl-SI"/>
              </w:rPr>
            </w:pPr>
            <w:r w:rsidRPr="00B148B1">
              <w:rPr>
                <w:rFonts w:cs="Arial"/>
                <w:color w:val="000000"/>
                <w:szCs w:val="20"/>
                <w:lang w:eastAsia="sl-SI"/>
              </w:rPr>
              <w:t xml:space="preserve">Fram </w:t>
            </w:r>
            <w:r w:rsidR="0096271E" w:rsidRPr="00B148B1">
              <w:rPr>
                <w:rFonts w:cs="Arial"/>
                <w:color w:val="202122"/>
                <w:sz w:val="21"/>
                <w:szCs w:val="21"/>
                <w:shd w:val="clear" w:color="auto" w:fill="FFFFFF"/>
              </w:rPr>
              <w:t>–</w:t>
            </w:r>
            <w:r w:rsidRPr="00B148B1">
              <w:rPr>
                <w:rFonts w:cs="Arial"/>
                <w:color w:val="000000"/>
                <w:szCs w:val="20"/>
                <w:lang w:eastAsia="sl-SI"/>
              </w:rPr>
              <w:t xml:space="preserve"> Morje 2019</w:t>
            </w:r>
          </w:p>
        </w:tc>
        <w:tc>
          <w:tcPr>
            <w:tcW w:w="1536" w:type="pct"/>
            <w:shd w:val="clear" w:color="auto" w:fill="auto"/>
            <w:noWrap/>
            <w:vAlign w:val="center"/>
            <w:hideMark/>
          </w:tcPr>
          <w:p w:rsidR="00803157" w:rsidRPr="00B148B1" w:rsidRDefault="00803157" w:rsidP="00803157">
            <w:pPr>
              <w:spacing w:line="240" w:lineRule="auto"/>
              <w:jc w:val="center"/>
              <w:rPr>
                <w:rFonts w:cs="Arial"/>
                <w:color w:val="000000"/>
                <w:szCs w:val="20"/>
                <w:lang w:eastAsia="sl-SI"/>
              </w:rPr>
            </w:pPr>
            <w:r w:rsidRPr="00B148B1">
              <w:rPr>
                <w:rFonts w:cs="Arial"/>
                <w:color w:val="000000"/>
                <w:szCs w:val="20"/>
                <w:lang w:eastAsia="sl-SI"/>
              </w:rPr>
              <w:t>2.144</w:t>
            </w:r>
          </w:p>
        </w:tc>
      </w:tr>
      <w:tr w:rsidR="00803157" w:rsidRPr="00B148B1" w:rsidTr="00B803AE">
        <w:trPr>
          <w:trHeight w:val="315"/>
        </w:trPr>
        <w:tc>
          <w:tcPr>
            <w:tcW w:w="577" w:type="pct"/>
            <w:shd w:val="clear" w:color="auto" w:fill="auto"/>
            <w:noWrap/>
            <w:vAlign w:val="center"/>
            <w:hideMark/>
          </w:tcPr>
          <w:p w:rsidR="00803157" w:rsidRPr="00B148B1" w:rsidRDefault="00803157" w:rsidP="00B803AE">
            <w:pPr>
              <w:spacing w:line="240" w:lineRule="auto"/>
              <w:jc w:val="center"/>
              <w:rPr>
                <w:rFonts w:cs="Arial"/>
                <w:color w:val="000000"/>
                <w:szCs w:val="20"/>
                <w:lang w:eastAsia="sl-SI"/>
              </w:rPr>
            </w:pPr>
            <w:r w:rsidRPr="00B148B1">
              <w:rPr>
                <w:rFonts w:cs="Arial"/>
                <w:color w:val="000000"/>
                <w:szCs w:val="20"/>
                <w:lang w:eastAsia="sl-SI"/>
              </w:rPr>
              <w:t>29</w:t>
            </w:r>
          </w:p>
        </w:tc>
        <w:tc>
          <w:tcPr>
            <w:tcW w:w="418" w:type="pct"/>
            <w:shd w:val="clear" w:color="auto" w:fill="auto"/>
            <w:noWrap/>
            <w:vAlign w:val="center"/>
            <w:hideMark/>
          </w:tcPr>
          <w:p w:rsidR="00803157" w:rsidRPr="00B148B1" w:rsidRDefault="00803157" w:rsidP="00803157">
            <w:pPr>
              <w:spacing w:line="240" w:lineRule="auto"/>
              <w:jc w:val="right"/>
              <w:rPr>
                <w:rFonts w:cs="Arial"/>
                <w:color w:val="000000"/>
                <w:szCs w:val="20"/>
                <w:lang w:eastAsia="sl-SI"/>
              </w:rPr>
            </w:pPr>
            <w:r w:rsidRPr="00B148B1">
              <w:rPr>
                <w:rFonts w:cs="Arial"/>
                <w:color w:val="000000"/>
                <w:szCs w:val="20"/>
                <w:lang w:eastAsia="sl-SI"/>
              </w:rPr>
              <w:t>9362</w:t>
            </w:r>
          </w:p>
        </w:tc>
        <w:tc>
          <w:tcPr>
            <w:tcW w:w="2469" w:type="pct"/>
            <w:shd w:val="clear" w:color="auto" w:fill="auto"/>
            <w:noWrap/>
            <w:vAlign w:val="center"/>
            <w:hideMark/>
          </w:tcPr>
          <w:p w:rsidR="00803157" w:rsidRPr="00B148B1" w:rsidRDefault="00803157" w:rsidP="00803157">
            <w:pPr>
              <w:spacing w:line="240" w:lineRule="auto"/>
              <w:jc w:val="left"/>
              <w:rPr>
                <w:rFonts w:cs="Arial"/>
                <w:color w:val="000000"/>
                <w:szCs w:val="20"/>
                <w:lang w:eastAsia="sl-SI"/>
              </w:rPr>
            </w:pPr>
            <w:r w:rsidRPr="00B148B1">
              <w:rPr>
                <w:rFonts w:cs="Arial"/>
                <w:color w:val="000000"/>
                <w:szCs w:val="20"/>
                <w:lang w:eastAsia="sl-SI"/>
              </w:rPr>
              <w:t>Zabukovica 2019</w:t>
            </w:r>
          </w:p>
        </w:tc>
        <w:tc>
          <w:tcPr>
            <w:tcW w:w="1536" w:type="pct"/>
            <w:shd w:val="clear" w:color="auto" w:fill="auto"/>
            <w:noWrap/>
            <w:vAlign w:val="center"/>
            <w:hideMark/>
          </w:tcPr>
          <w:p w:rsidR="00803157" w:rsidRPr="00B148B1" w:rsidRDefault="00803157" w:rsidP="00803157">
            <w:pPr>
              <w:spacing w:line="240" w:lineRule="auto"/>
              <w:jc w:val="center"/>
              <w:rPr>
                <w:rFonts w:cs="Arial"/>
                <w:color w:val="000000"/>
                <w:szCs w:val="20"/>
                <w:lang w:eastAsia="sl-SI"/>
              </w:rPr>
            </w:pPr>
            <w:r w:rsidRPr="00B148B1">
              <w:rPr>
                <w:rFonts w:cs="Arial"/>
                <w:color w:val="000000"/>
                <w:szCs w:val="20"/>
                <w:lang w:eastAsia="sl-SI"/>
              </w:rPr>
              <w:t>2.108</w:t>
            </w:r>
          </w:p>
        </w:tc>
      </w:tr>
      <w:tr w:rsidR="00803157" w:rsidRPr="00B148B1" w:rsidTr="00B803AE">
        <w:trPr>
          <w:trHeight w:val="315"/>
        </w:trPr>
        <w:tc>
          <w:tcPr>
            <w:tcW w:w="577" w:type="pct"/>
            <w:shd w:val="clear" w:color="auto" w:fill="auto"/>
            <w:noWrap/>
            <w:vAlign w:val="center"/>
            <w:hideMark/>
          </w:tcPr>
          <w:p w:rsidR="00803157" w:rsidRPr="00B148B1" w:rsidRDefault="00803157" w:rsidP="00B803AE">
            <w:pPr>
              <w:spacing w:line="240" w:lineRule="auto"/>
              <w:jc w:val="center"/>
              <w:rPr>
                <w:rFonts w:cs="Arial"/>
                <w:color w:val="000000"/>
                <w:szCs w:val="20"/>
                <w:lang w:eastAsia="sl-SI"/>
              </w:rPr>
            </w:pPr>
            <w:r w:rsidRPr="00B148B1">
              <w:rPr>
                <w:rFonts w:cs="Arial"/>
                <w:color w:val="000000"/>
                <w:szCs w:val="20"/>
                <w:lang w:eastAsia="sl-SI"/>
              </w:rPr>
              <w:t>30</w:t>
            </w:r>
          </w:p>
        </w:tc>
        <w:tc>
          <w:tcPr>
            <w:tcW w:w="418" w:type="pct"/>
            <w:shd w:val="clear" w:color="auto" w:fill="auto"/>
            <w:noWrap/>
            <w:vAlign w:val="center"/>
            <w:hideMark/>
          </w:tcPr>
          <w:p w:rsidR="00803157" w:rsidRPr="00B148B1" w:rsidRDefault="00803157" w:rsidP="00803157">
            <w:pPr>
              <w:spacing w:line="240" w:lineRule="auto"/>
              <w:jc w:val="right"/>
              <w:rPr>
                <w:rFonts w:cs="Arial"/>
                <w:color w:val="000000"/>
                <w:szCs w:val="20"/>
                <w:lang w:eastAsia="sl-SI"/>
              </w:rPr>
            </w:pPr>
            <w:r w:rsidRPr="00B148B1">
              <w:rPr>
                <w:rFonts w:cs="Arial"/>
                <w:color w:val="000000"/>
                <w:szCs w:val="20"/>
                <w:lang w:eastAsia="sl-SI"/>
              </w:rPr>
              <w:t>955</w:t>
            </w:r>
          </w:p>
        </w:tc>
        <w:tc>
          <w:tcPr>
            <w:tcW w:w="2469" w:type="pct"/>
            <w:shd w:val="clear" w:color="auto" w:fill="auto"/>
            <w:noWrap/>
            <w:vAlign w:val="center"/>
            <w:hideMark/>
          </w:tcPr>
          <w:p w:rsidR="00803157" w:rsidRPr="00B148B1" w:rsidRDefault="00803157" w:rsidP="00803157">
            <w:pPr>
              <w:spacing w:line="240" w:lineRule="auto"/>
              <w:jc w:val="left"/>
              <w:rPr>
                <w:rFonts w:cs="Arial"/>
                <w:color w:val="000000"/>
                <w:szCs w:val="20"/>
                <w:lang w:eastAsia="sl-SI"/>
              </w:rPr>
            </w:pPr>
            <w:r w:rsidRPr="00B148B1">
              <w:rPr>
                <w:rFonts w:cs="Arial"/>
                <w:color w:val="000000"/>
                <w:szCs w:val="20"/>
                <w:lang w:eastAsia="sl-SI"/>
              </w:rPr>
              <w:t>Kozina 2019</w:t>
            </w:r>
          </w:p>
        </w:tc>
        <w:tc>
          <w:tcPr>
            <w:tcW w:w="1536" w:type="pct"/>
            <w:shd w:val="clear" w:color="auto" w:fill="auto"/>
            <w:noWrap/>
            <w:vAlign w:val="center"/>
            <w:hideMark/>
          </w:tcPr>
          <w:p w:rsidR="00803157" w:rsidRPr="00B148B1" w:rsidRDefault="00803157" w:rsidP="00803157">
            <w:pPr>
              <w:spacing w:line="240" w:lineRule="auto"/>
              <w:jc w:val="center"/>
              <w:rPr>
                <w:rFonts w:cs="Arial"/>
                <w:color w:val="000000"/>
                <w:szCs w:val="20"/>
                <w:lang w:eastAsia="sl-SI"/>
              </w:rPr>
            </w:pPr>
            <w:r w:rsidRPr="00B148B1">
              <w:rPr>
                <w:rFonts w:cs="Arial"/>
                <w:color w:val="000000"/>
                <w:szCs w:val="20"/>
                <w:lang w:eastAsia="sl-SI"/>
              </w:rPr>
              <w:t>2.099</w:t>
            </w:r>
          </w:p>
        </w:tc>
      </w:tr>
      <w:tr w:rsidR="00803157" w:rsidRPr="00B148B1" w:rsidTr="00B803AE">
        <w:trPr>
          <w:trHeight w:val="315"/>
        </w:trPr>
        <w:tc>
          <w:tcPr>
            <w:tcW w:w="577" w:type="pct"/>
            <w:shd w:val="clear" w:color="auto" w:fill="auto"/>
            <w:noWrap/>
            <w:vAlign w:val="center"/>
            <w:hideMark/>
          </w:tcPr>
          <w:p w:rsidR="00803157" w:rsidRPr="00B148B1" w:rsidRDefault="00803157" w:rsidP="00B803AE">
            <w:pPr>
              <w:spacing w:line="240" w:lineRule="auto"/>
              <w:jc w:val="center"/>
              <w:rPr>
                <w:rFonts w:cs="Arial"/>
                <w:color w:val="000000"/>
                <w:szCs w:val="20"/>
                <w:lang w:eastAsia="sl-SI"/>
              </w:rPr>
            </w:pPr>
            <w:r w:rsidRPr="00B148B1">
              <w:rPr>
                <w:rFonts w:cs="Arial"/>
                <w:color w:val="000000"/>
                <w:szCs w:val="20"/>
                <w:lang w:eastAsia="sl-SI"/>
              </w:rPr>
              <w:t>31</w:t>
            </w:r>
          </w:p>
        </w:tc>
        <w:tc>
          <w:tcPr>
            <w:tcW w:w="418" w:type="pct"/>
            <w:shd w:val="clear" w:color="auto" w:fill="auto"/>
            <w:noWrap/>
            <w:vAlign w:val="center"/>
            <w:hideMark/>
          </w:tcPr>
          <w:p w:rsidR="00803157" w:rsidRPr="00B148B1" w:rsidRDefault="00803157" w:rsidP="00803157">
            <w:pPr>
              <w:spacing w:line="240" w:lineRule="auto"/>
              <w:jc w:val="right"/>
              <w:rPr>
                <w:rFonts w:cs="Arial"/>
                <w:color w:val="000000"/>
                <w:szCs w:val="20"/>
                <w:lang w:eastAsia="sl-SI"/>
              </w:rPr>
            </w:pPr>
            <w:r w:rsidRPr="00B148B1">
              <w:rPr>
                <w:rFonts w:cs="Arial"/>
                <w:color w:val="000000"/>
                <w:szCs w:val="20"/>
                <w:lang w:eastAsia="sl-SI"/>
              </w:rPr>
              <w:t>13061</w:t>
            </w:r>
          </w:p>
        </w:tc>
        <w:tc>
          <w:tcPr>
            <w:tcW w:w="2469" w:type="pct"/>
            <w:shd w:val="clear" w:color="auto" w:fill="auto"/>
            <w:noWrap/>
            <w:vAlign w:val="center"/>
            <w:hideMark/>
          </w:tcPr>
          <w:p w:rsidR="00803157" w:rsidRPr="00B148B1" w:rsidRDefault="00803157" w:rsidP="00803157">
            <w:pPr>
              <w:spacing w:line="240" w:lineRule="auto"/>
              <w:jc w:val="left"/>
              <w:rPr>
                <w:rFonts w:cs="Arial"/>
                <w:color w:val="000000"/>
                <w:szCs w:val="20"/>
                <w:lang w:eastAsia="sl-SI"/>
              </w:rPr>
            </w:pPr>
            <w:r w:rsidRPr="00B148B1">
              <w:rPr>
                <w:rFonts w:cs="Arial"/>
                <w:color w:val="000000"/>
                <w:szCs w:val="20"/>
                <w:lang w:eastAsia="sl-SI"/>
              </w:rPr>
              <w:t xml:space="preserve">Petanjci </w:t>
            </w:r>
            <w:r w:rsidR="0096271E" w:rsidRPr="00B148B1">
              <w:rPr>
                <w:rFonts w:cs="Arial"/>
                <w:color w:val="202122"/>
                <w:sz w:val="21"/>
                <w:szCs w:val="21"/>
                <w:shd w:val="clear" w:color="auto" w:fill="FFFFFF"/>
              </w:rPr>
              <w:t>–</w:t>
            </w:r>
            <w:r w:rsidRPr="00B148B1">
              <w:rPr>
                <w:rFonts w:cs="Arial"/>
                <w:color w:val="000000"/>
                <w:szCs w:val="20"/>
                <w:lang w:eastAsia="sl-SI"/>
              </w:rPr>
              <w:t xml:space="preserve"> Tišina </w:t>
            </w:r>
            <w:r w:rsidR="0096271E" w:rsidRPr="00B148B1">
              <w:rPr>
                <w:rFonts w:cs="Arial"/>
                <w:color w:val="202122"/>
                <w:sz w:val="21"/>
                <w:szCs w:val="21"/>
                <w:shd w:val="clear" w:color="auto" w:fill="FFFFFF"/>
              </w:rPr>
              <w:t>–</w:t>
            </w:r>
            <w:r w:rsidRPr="00B148B1">
              <w:rPr>
                <w:rFonts w:cs="Arial"/>
                <w:color w:val="000000"/>
                <w:szCs w:val="20"/>
                <w:lang w:eastAsia="sl-SI"/>
              </w:rPr>
              <w:t xml:space="preserve"> Tropovci </w:t>
            </w:r>
            <w:r w:rsidR="0096271E" w:rsidRPr="00B148B1">
              <w:rPr>
                <w:rFonts w:cs="Arial"/>
                <w:color w:val="202122"/>
                <w:sz w:val="21"/>
                <w:szCs w:val="21"/>
                <w:shd w:val="clear" w:color="auto" w:fill="FFFFFF"/>
              </w:rPr>
              <w:t>–</w:t>
            </w:r>
            <w:r w:rsidR="003338DA" w:rsidRPr="00B148B1">
              <w:rPr>
                <w:rFonts w:cs="Arial"/>
                <w:color w:val="000000"/>
                <w:szCs w:val="20"/>
                <w:lang w:eastAsia="sl-SI"/>
              </w:rPr>
              <w:t xml:space="preserve"> </w:t>
            </w:r>
            <w:r w:rsidRPr="00B148B1">
              <w:rPr>
                <w:rFonts w:cs="Arial"/>
                <w:color w:val="000000"/>
                <w:szCs w:val="20"/>
                <w:lang w:eastAsia="sl-SI"/>
              </w:rPr>
              <w:t>Gradišče 2019</w:t>
            </w:r>
          </w:p>
        </w:tc>
        <w:tc>
          <w:tcPr>
            <w:tcW w:w="1536" w:type="pct"/>
            <w:shd w:val="clear" w:color="auto" w:fill="auto"/>
            <w:noWrap/>
            <w:vAlign w:val="center"/>
            <w:hideMark/>
          </w:tcPr>
          <w:p w:rsidR="00803157" w:rsidRPr="00B148B1" w:rsidRDefault="00803157" w:rsidP="00803157">
            <w:pPr>
              <w:spacing w:line="240" w:lineRule="auto"/>
              <w:jc w:val="center"/>
              <w:rPr>
                <w:rFonts w:cs="Arial"/>
                <w:color w:val="000000"/>
                <w:szCs w:val="20"/>
                <w:lang w:eastAsia="sl-SI"/>
              </w:rPr>
            </w:pPr>
            <w:r w:rsidRPr="00B148B1">
              <w:rPr>
                <w:rFonts w:cs="Arial"/>
                <w:color w:val="000000"/>
                <w:szCs w:val="20"/>
                <w:lang w:eastAsia="sl-SI"/>
              </w:rPr>
              <w:t>2.038</w:t>
            </w:r>
          </w:p>
        </w:tc>
      </w:tr>
    </w:tbl>
    <w:p w:rsidR="00906747" w:rsidRPr="00B148B1" w:rsidRDefault="00A13C59" w:rsidP="0031491A">
      <w:pPr>
        <w:numPr>
          <w:ilvl w:val="0"/>
          <w:numId w:val="27"/>
        </w:numPr>
        <w:tabs>
          <w:tab w:val="left" w:pos="9600"/>
        </w:tabs>
        <w:spacing w:before="120" w:line="280" w:lineRule="atLeast"/>
        <w:rPr>
          <w:rFonts w:cs="Arial"/>
          <w:szCs w:val="20"/>
        </w:rPr>
      </w:pPr>
      <w:r w:rsidRPr="00B148B1">
        <w:rPr>
          <w:rFonts w:cs="Arial"/>
          <w:szCs w:val="20"/>
        </w:rPr>
        <w:t>i</w:t>
      </w:r>
      <w:r w:rsidR="006C7916" w:rsidRPr="00B148B1">
        <w:rPr>
          <w:rFonts w:cs="Arial"/>
          <w:szCs w:val="20"/>
        </w:rPr>
        <w:t>nvesticija v čistilno napravo, ki zaključuje obstoječe javno kanalizacijsko omrežje v aglomeraciji s skupno obremenitvijo, enako ali večjo od 2.000 PE</w:t>
      </w:r>
      <w:r w:rsidRPr="00B148B1">
        <w:rPr>
          <w:rFonts w:cs="Arial"/>
          <w:szCs w:val="20"/>
        </w:rPr>
        <w:t xml:space="preserve"> (</w:t>
      </w:r>
      <w:r w:rsidR="008624CB" w:rsidRPr="00B148B1">
        <w:rPr>
          <w:rFonts w:cs="Arial"/>
          <w:szCs w:val="20"/>
        </w:rPr>
        <w:fldChar w:fldCharType="begin"/>
      </w:r>
      <w:r w:rsidR="008624CB" w:rsidRPr="00B148B1">
        <w:rPr>
          <w:rFonts w:cs="Arial"/>
          <w:szCs w:val="20"/>
        </w:rPr>
        <w:instrText xml:space="preserve"> REF _Ref45789593 \h </w:instrText>
      </w:r>
      <w:r w:rsidR="00B148B1" w:rsidRPr="00B148B1">
        <w:rPr>
          <w:rFonts w:cs="Arial"/>
          <w:szCs w:val="20"/>
        </w:rPr>
        <w:instrText xml:space="preserve"> \* MERGEFORMAT </w:instrText>
      </w:r>
      <w:r w:rsidR="008624CB" w:rsidRPr="00B148B1">
        <w:rPr>
          <w:rFonts w:cs="Arial"/>
          <w:szCs w:val="20"/>
        </w:rPr>
      </w:r>
      <w:r w:rsidR="008624CB" w:rsidRPr="00B148B1">
        <w:rPr>
          <w:rFonts w:cs="Arial"/>
          <w:szCs w:val="20"/>
        </w:rPr>
        <w:fldChar w:fldCharType="separate"/>
      </w:r>
      <w:r w:rsidR="00E92793" w:rsidRPr="00B148B1">
        <w:t xml:space="preserve">Preglednica </w:t>
      </w:r>
      <w:r w:rsidR="00E92793">
        <w:rPr>
          <w:noProof/>
        </w:rPr>
        <w:t>16</w:t>
      </w:r>
      <w:r w:rsidR="008624CB" w:rsidRPr="00B148B1">
        <w:rPr>
          <w:rFonts w:cs="Arial"/>
          <w:szCs w:val="20"/>
        </w:rPr>
        <w:fldChar w:fldCharType="end"/>
      </w:r>
      <w:r w:rsidRPr="00B148B1">
        <w:rPr>
          <w:rFonts w:cs="Arial"/>
          <w:szCs w:val="20"/>
        </w:rPr>
        <w:t>)</w:t>
      </w:r>
      <w:r w:rsidR="006C7916" w:rsidRPr="00B148B1">
        <w:rPr>
          <w:rFonts w:cs="Arial"/>
          <w:szCs w:val="20"/>
        </w:rPr>
        <w:t xml:space="preserve">, </w:t>
      </w:r>
      <w:r w:rsidR="00906747" w:rsidRPr="00B148B1">
        <w:rPr>
          <w:rFonts w:cs="Arial"/>
          <w:szCs w:val="20"/>
        </w:rPr>
        <w:t>ki je na podlagi preliminarne ocene skladnosti iz poglavja</w:t>
      </w:r>
      <w:r w:rsidR="00BC40C6" w:rsidRPr="00B148B1">
        <w:rPr>
          <w:rFonts w:cs="Arial"/>
          <w:szCs w:val="20"/>
        </w:rPr>
        <w:t xml:space="preserve"> </w:t>
      </w:r>
      <w:r w:rsidR="00BC40C6" w:rsidRPr="00B148B1">
        <w:rPr>
          <w:rFonts w:cs="Arial"/>
          <w:szCs w:val="20"/>
        </w:rPr>
        <w:fldChar w:fldCharType="begin"/>
      </w:r>
      <w:r w:rsidR="00BC40C6" w:rsidRPr="00B148B1">
        <w:rPr>
          <w:rFonts w:cs="Arial"/>
          <w:szCs w:val="20"/>
        </w:rPr>
        <w:instrText xml:space="preserve"> REF _Ref43721629 \r \h </w:instrText>
      </w:r>
      <w:r w:rsidR="001C7B76" w:rsidRPr="00B148B1">
        <w:rPr>
          <w:rFonts w:cs="Arial"/>
          <w:szCs w:val="20"/>
        </w:rPr>
        <w:instrText xml:space="preserve"> \* MERGEFORMAT </w:instrText>
      </w:r>
      <w:r w:rsidR="00BC40C6" w:rsidRPr="00B148B1">
        <w:rPr>
          <w:rFonts w:cs="Arial"/>
          <w:szCs w:val="20"/>
        </w:rPr>
      </w:r>
      <w:r w:rsidR="00BC40C6" w:rsidRPr="00B148B1">
        <w:rPr>
          <w:rFonts w:cs="Arial"/>
          <w:szCs w:val="20"/>
        </w:rPr>
        <w:fldChar w:fldCharType="separate"/>
      </w:r>
      <w:r w:rsidR="00E92793">
        <w:rPr>
          <w:rFonts w:cs="Arial"/>
          <w:szCs w:val="20"/>
        </w:rPr>
        <w:t>4.2</w:t>
      </w:r>
      <w:r w:rsidR="00BC40C6" w:rsidRPr="00B148B1">
        <w:rPr>
          <w:rFonts w:cs="Arial"/>
          <w:szCs w:val="20"/>
        </w:rPr>
        <w:fldChar w:fldCharType="end"/>
      </w:r>
      <w:r w:rsidR="006366A3" w:rsidRPr="00B148B1">
        <w:rPr>
          <w:rFonts w:cs="Arial"/>
          <w:szCs w:val="20"/>
        </w:rPr>
        <w:t>.</w:t>
      </w:r>
      <w:r w:rsidR="00BC40C6" w:rsidRPr="00B148B1">
        <w:rPr>
          <w:rFonts w:cs="Arial"/>
          <w:szCs w:val="20"/>
        </w:rPr>
        <w:t xml:space="preserve"> </w:t>
      </w:r>
      <w:r w:rsidR="00906747" w:rsidRPr="00B148B1">
        <w:rPr>
          <w:rFonts w:cs="Arial"/>
          <w:szCs w:val="20"/>
        </w:rPr>
        <w:t>ocenjena kot neskladna s 4. in 5. členom Direktive 91/271/EGS</w:t>
      </w:r>
      <w:r w:rsidR="009727B7" w:rsidRPr="00B148B1">
        <w:rPr>
          <w:rFonts w:cs="Arial"/>
          <w:szCs w:val="20"/>
        </w:rPr>
        <w:t>,</w:t>
      </w:r>
      <w:r w:rsidR="008624CB" w:rsidRPr="00B148B1">
        <w:rPr>
          <w:rFonts w:cs="Arial"/>
          <w:szCs w:val="20"/>
        </w:rPr>
        <w:t xml:space="preserve"> </w:t>
      </w:r>
    </w:p>
    <w:p w:rsidR="00F24558" w:rsidRPr="00B148B1" w:rsidRDefault="00F24558" w:rsidP="00F24558">
      <w:pPr>
        <w:tabs>
          <w:tab w:val="left" w:pos="9600"/>
        </w:tabs>
        <w:spacing w:before="120" w:line="280" w:lineRule="atLeast"/>
        <w:rPr>
          <w:rFonts w:cs="Arial"/>
          <w:szCs w:val="20"/>
        </w:rPr>
      </w:pPr>
      <w:bookmarkStart w:id="135" w:name="_Ref45183138"/>
      <w:bookmarkStart w:id="136" w:name="_Ref45789593"/>
      <w:bookmarkStart w:id="137" w:name="_Toc50626732"/>
      <w:r w:rsidRPr="00B148B1">
        <w:t xml:space="preserve">Preglednica </w:t>
      </w:r>
      <w:bookmarkEnd w:id="135"/>
      <w:r w:rsidR="00F41AD0" w:rsidRPr="00B148B1">
        <w:fldChar w:fldCharType="begin"/>
      </w:r>
      <w:r w:rsidR="00F41AD0" w:rsidRPr="00B148B1">
        <w:instrText xml:space="preserve"> SEQ Preglednica \* ARABIC </w:instrText>
      </w:r>
      <w:r w:rsidR="00F41AD0" w:rsidRPr="00B148B1">
        <w:fldChar w:fldCharType="separate"/>
      </w:r>
      <w:r w:rsidR="00E92793">
        <w:rPr>
          <w:noProof/>
        </w:rPr>
        <w:t>16</w:t>
      </w:r>
      <w:r w:rsidR="00F41AD0" w:rsidRPr="00B148B1">
        <w:rPr>
          <w:noProof/>
        </w:rPr>
        <w:fldChar w:fldCharType="end"/>
      </w:r>
      <w:bookmarkEnd w:id="136"/>
      <w:r w:rsidRPr="00B148B1">
        <w:t xml:space="preserve">: </w:t>
      </w:r>
      <w:r w:rsidRPr="00B148B1">
        <w:rPr>
          <w:rFonts w:cs="Arial"/>
        </w:rPr>
        <w:t xml:space="preserve">Veljavne aglomeracije, ki so na podlagi </w:t>
      </w:r>
      <w:r w:rsidRPr="00B148B1">
        <w:rPr>
          <w:rFonts w:cs="Arial"/>
          <w:szCs w:val="20"/>
        </w:rPr>
        <w:t>preliminarne ocene skladnosti</w:t>
      </w:r>
      <w:r w:rsidRPr="00B148B1">
        <w:rPr>
          <w:rFonts w:cs="Arial"/>
        </w:rPr>
        <w:t xml:space="preserve"> </w:t>
      </w:r>
      <w:r w:rsidRPr="00B148B1">
        <w:rPr>
          <w:rFonts w:cs="Arial"/>
          <w:szCs w:val="20"/>
        </w:rPr>
        <w:t>ocenjene kot neskladne s 4. in 5. členom Direktive 91/271/EGS</w:t>
      </w:r>
      <w:bookmarkEnd w:id="137"/>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189"/>
        <w:gridCol w:w="1189"/>
        <w:gridCol w:w="4085"/>
        <w:gridCol w:w="2741"/>
      </w:tblGrid>
      <w:tr w:rsidR="00803157" w:rsidRPr="00B148B1" w:rsidTr="008338BB">
        <w:trPr>
          <w:trHeight w:val="315"/>
          <w:tblHeader/>
        </w:trPr>
        <w:tc>
          <w:tcPr>
            <w:tcW w:w="5000" w:type="pct"/>
            <w:gridSpan w:val="4"/>
            <w:shd w:val="clear" w:color="auto" w:fill="auto"/>
            <w:vAlign w:val="center"/>
            <w:hideMark/>
          </w:tcPr>
          <w:p w:rsidR="00803157" w:rsidRPr="00B148B1" w:rsidRDefault="00803157" w:rsidP="00803157">
            <w:pPr>
              <w:spacing w:line="240" w:lineRule="auto"/>
              <w:jc w:val="center"/>
              <w:rPr>
                <w:rFonts w:cs="Arial"/>
                <w:b/>
                <w:bCs/>
                <w:color w:val="000000"/>
                <w:szCs w:val="20"/>
                <w:lang w:eastAsia="sl-SI"/>
              </w:rPr>
            </w:pPr>
            <w:r w:rsidRPr="00B148B1">
              <w:rPr>
                <w:rFonts w:cs="Arial"/>
                <w:b/>
                <w:bCs/>
                <w:color w:val="000000"/>
                <w:szCs w:val="20"/>
                <w:lang w:eastAsia="sl-SI"/>
              </w:rPr>
              <w:t>Veljavne aglomeracije</w:t>
            </w:r>
          </w:p>
        </w:tc>
      </w:tr>
      <w:tr w:rsidR="00803157" w:rsidRPr="00B148B1" w:rsidTr="008338BB">
        <w:trPr>
          <w:trHeight w:val="300"/>
          <w:tblHeader/>
        </w:trPr>
        <w:tc>
          <w:tcPr>
            <w:tcW w:w="646" w:type="pct"/>
            <w:vMerge w:val="restart"/>
            <w:shd w:val="clear" w:color="auto" w:fill="auto"/>
            <w:vAlign w:val="center"/>
            <w:hideMark/>
          </w:tcPr>
          <w:p w:rsidR="00803157" w:rsidRPr="00B148B1" w:rsidRDefault="00803157" w:rsidP="00B803AE">
            <w:pPr>
              <w:spacing w:line="240" w:lineRule="auto"/>
              <w:jc w:val="center"/>
              <w:rPr>
                <w:rFonts w:cs="Arial"/>
                <w:b/>
                <w:bCs/>
                <w:color w:val="000000"/>
                <w:szCs w:val="20"/>
                <w:lang w:eastAsia="sl-SI"/>
              </w:rPr>
            </w:pPr>
            <w:r w:rsidRPr="00B148B1">
              <w:rPr>
                <w:rFonts w:cs="Arial"/>
                <w:b/>
                <w:bCs/>
                <w:color w:val="000000"/>
                <w:szCs w:val="20"/>
                <w:lang w:eastAsia="sl-SI"/>
              </w:rPr>
              <w:t>ZAP. ŠT.</w:t>
            </w:r>
          </w:p>
        </w:tc>
        <w:tc>
          <w:tcPr>
            <w:tcW w:w="646" w:type="pct"/>
            <w:vMerge w:val="restart"/>
            <w:shd w:val="clear" w:color="auto" w:fill="auto"/>
            <w:vAlign w:val="center"/>
            <w:hideMark/>
          </w:tcPr>
          <w:p w:rsidR="00803157" w:rsidRPr="00B148B1" w:rsidRDefault="00803157" w:rsidP="00803157">
            <w:pPr>
              <w:spacing w:line="240" w:lineRule="auto"/>
              <w:jc w:val="right"/>
              <w:rPr>
                <w:rFonts w:cs="Arial"/>
                <w:b/>
                <w:bCs/>
                <w:color w:val="000000"/>
                <w:szCs w:val="20"/>
                <w:lang w:eastAsia="sl-SI"/>
              </w:rPr>
            </w:pPr>
            <w:r w:rsidRPr="00B148B1">
              <w:rPr>
                <w:rFonts w:cs="Arial"/>
                <w:b/>
                <w:bCs/>
                <w:color w:val="000000"/>
                <w:szCs w:val="20"/>
                <w:lang w:eastAsia="sl-SI"/>
              </w:rPr>
              <w:t>ID</w:t>
            </w:r>
          </w:p>
        </w:tc>
        <w:tc>
          <w:tcPr>
            <w:tcW w:w="2219" w:type="pct"/>
            <w:vMerge w:val="restart"/>
            <w:shd w:val="clear" w:color="auto" w:fill="auto"/>
            <w:vAlign w:val="center"/>
            <w:hideMark/>
          </w:tcPr>
          <w:p w:rsidR="00803157" w:rsidRPr="00B148B1" w:rsidRDefault="00803157" w:rsidP="00803157">
            <w:pPr>
              <w:spacing w:line="240" w:lineRule="auto"/>
              <w:jc w:val="left"/>
              <w:rPr>
                <w:rFonts w:cs="Arial"/>
                <w:b/>
                <w:bCs/>
                <w:color w:val="000000"/>
                <w:szCs w:val="20"/>
                <w:lang w:eastAsia="sl-SI"/>
              </w:rPr>
            </w:pPr>
            <w:r w:rsidRPr="00B148B1">
              <w:rPr>
                <w:rFonts w:cs="Arial"/>
                <w:b/>
                <w:bCs/>
                <w:color w:val="000000"/>
                <w:szCs w:val="20"/>
                <w:lang w:eastAsia="sl-SI"/>
              </w:rPr>
              <w:t>IME</w:t>
            </w:r>
          </w:p>
        </w:tc>
        <w:tc>
          <w:tcPr>
            <w:tcW w:w="1489" w:type="pct"/>
            <w:vMerge w:val="restart"/>
            <w:shd w:val="clear" w:color="auto" w:fill="auto"/>
            <w:vAlign w:val="center"/>
            <w:hideMark/>
          </w:tcPr>
          <w:p w:rsidR="00803157" w:rsidRPr="00B148B1" w:rsidRDefault="00803157" w:rsidP="00A13C59">
            <w:pPr>
              <w:spacing w:line="240" w:lineRule="auto"/>
              <w:jc w:val="center"/>
              <w:rPr>
                <w:rFonts w:cs="Arial"/>
                <w:b/>
                <w:bCs/>
                <w:color w:val="000000"/>
                <w:szCs w:val="20"/>
                <w:lang w:eastAsia="sl-SI"/>
              </w:rPr>
            </w:pPr>
            <w:r w:rsidRPr="00B148B1">
              <w:rPr>
                <w:rFonts w:cs="Arial"/>
                <w:b/>
                <w:bCs/>
                <w:color w:val="000000"/>
                <w:szCs w:val="20"/>
                <w:lang w:eastAsia="sl-SI"/>
              </w:rPr>
              <w:t>Skupna obremenitev [PE]</w:t>
            </w:r>
          </w:p>
        </w:tc>
      </w:tr>
      <w:tr w:rsidR="00803157" w:rsidRPr="00B148B1" w:rsidTr="008338BB">
        <w:trPr>
          <w:trHeight w:val="230"/>
          <w:tblHeader/>
        </w:trPr>
        <w:tc>
          <w:tcPr>
            <w:tcW w:w="646" w:type="pct"/>
            <w:vMerge/>
            <w:vAlign w:val="center"/>
            <w:hideMark/>
          </w:tcPr>
          <w:p w:rsidR="00803157" w:rsidRPr="00B148B1" w:rsidRDefault="00803157" w:rsidP="00B803AE">
            <w:pPr>
              <w:spacing w:line="240" w:lineRule="auto"/>
              <w:jc w:val="center"/>
              <w:rPr>
                <w:rFonts w:cs="Arial"/>
                <w:b/>
                <w:bCs/>
                <w:color w:val="000000"/>
                <w:szCs w:val="20"/>
                <w:lang w:eastAsia="sl-SI"/>
              </w:rPr>
            </w:pPr>
          </w:p>
        </w:tc>
        <w:tc>
          <w:tcPr>
            <w:tcW w:w="646" w:type="pct"/>
            <w:vMerge/>
            <w:vAlign w:val="center"/>
            <w:hideMark/>
          </w:tcPr>
          <w:p w:rsidR="00803157" w:rsidRPr="00B148B1" w:rsidRDefault="00803157" w:rsidP="00803157">
            <w:pPr>
              <w:spacing w:line="240" w:lineRule="auto"/>
              <w:jc w:val="left"/>
              <w:rPr>
                <w:rFonts w:cs="Arial"/>
                <w:b/>
                <w:bCs/>
                <w:color w:val="000000"/>
                <w:szCs w:val="20"/>
                <w:lang w:eastAsia="sl-SI"/>
              </w:rPr>
            </w:pPr>
          </w:p>
        </w:tc>
        <w:tc>
          <w:tcPr>
            <w:tcW w:w="2219" w:type="pct"/>
            <w:vMerge/>
            <w:vAlign w:val="center"/>
            <w:hideMark/>
          </w:tcPr>
          <w:p w:rsidR="00803157" w:rsidRPr="00B148B1" w:rsidRDefault="00803157" w:rsidP="00803157">
            <w:pPr>
              <w:spacing w:line="240" w:lineRule="auto"/>
              <w:jc w:val="left"/>
              <w:rPr>
                <w:rFonts w:cs="Arial"/>
                <w:b/>
                <w:bCs/>
                <w:color w:val="000000"/>
                <w:szCs w:val="20"/>
                <w:lang w:eastAsia="sl-SI"/>
              </w:rPr>
            </w:pPr>
          </w:p>
        </w:tc>
        <w:tc>
          <w:tcPr>
            <w:tcW w:w="1489" w:type="pct"/>
            <w:vMerge/>
            <w:vAlign w:val="center"/>
            <w:hideMark/>
          </w:tcPr>
          <w:p w:rsidR="00803157" w:rsidRPr="00B148B1" w:rsidRDefault="00803157" w:rsidP="00A13C59">
            <w:pPr>
              <w:spacing w:line="240" w:lineRule="auto"/>
              <w:jc w:val="center"/>
              <w:rPr>
                <w:rFonts w:cs="Arial"/>
                <w:b/>
                <w:bCs/>
                <w:color w:val="000000"/>
                <w:szCs w:val="20"/>
                <w:lang w:eastAsia="sl-SI"/>
              </w:rPr>
            </w:pPr>
          </w:p>
        </w:tc>
      </w:tr>
      <w:tr w:rsidR="00803157" w:rsidRPr="00B148B1" w:rsidTr="008338BB">
        <w:trPr>
          <w:trHeight w:val="315"/>
        </w:trPr>
        <w:tc>
          <w:tcPr>
            <w:tcW w:w="646" w:type="pct"/>
            <w:shd w:val="clear" w:color="auto" w:fill="auto"/>
            <w:noWrap/>
            <w:vAlign w:val="center"/>
            <w:hideMark/>
          </w:tcPr>
          <w:p w:rsidR="00803157" w:rsidRPr="00B148B1" w:rsidRDefault="00803157" w:rsidP="00B803AE">
            <w:pPr>
              <w:spacing w:line="240" w:lineRule="auto"/>
              <w:jc w:val="center"/>
              <w:rPr>
                <w:rFonts w:cs="Arial"/>
                <w:color w:val="000000"/>
                <w:szCs w:val="20"/>
                <w:lang w:eastAsia="sl-SI"/>
              </w:rPr>
            </w:pPr>
            <w:r w:rsidRPr="00B148B1">
              <w:rPr>
                <w:rFonts w:cs="Arial"/>
                <w:color w:val="000000"/>
                <w:szCs w:val="20"/>
                <w:lang w:eastAsia="sl-SI"/>
              </w:rPr>
              <w:t>1</w:t>
            </w:r>
          </w:p>
        </w:tc>
        <w:tc>
          <w:tcPr>
            <w:tcW w:w="646" w:type="pct"/>
            <w:shd w:val="clear" w:color="auto" w:fill="auto"/>
            <w:noWrap/>
            <w:vAlign w:val="center"/>
            <w:hideMark/>
          </w:tcPr>
          <w:p w:rsidR="00803157" w:rsidRPr="00B148B1" w:rsidRDefault="00803157" w:rsidP="00803157">
            <w:pPr>
              <w:spacing w:line="240" w:lineRule="auto"/>
              <w:jc w:val="right"/>
              <w:rPr>
                <w:rFonts w:cs="Arial"/>
                <w:color w:val="000000"/>
                <w:szCs w:val="20"/>
                <w:lang w:eastAsia="sl-SI"/>
              </w:rPr>
            </w:pPr>
            <w:r w:rsidRPr="00B148B1">
              <w:rPr>
                <w:rFonts w:cs="Arial"/>
                <w:color w:val="000000"/>
                <w:szCs w:val="20"/>
                <w:lang w:eastAsia="sl-SI"/>
              </w:rPr>
              <w:t>16481</w:t>
            </w:r>
          </w:p>
        </w:tc>
        <w:tc>
          <w:tcPr>
            <w:tcW w:w="2219" w:type="pct"/>
            <w:shd w:val="clear" w:color="auto" w:fill="auto"/>
            <w:noWrap/>
            <w:vAlign w:val="center"/>
            <w:hideMark/>
          </w:tcPr>
          <w:p w:rsidR="00803157" w:rsidRPr="00B148B1" w:rsidRDefault="00803157" w:rsidP="00803157">
            <w:pPr>
              <w:spacing w:line="240" w:lineRule="auto"/>
              <w:jc w:val="left"/>
              <w:rPr>
                <w:rFonts w:cs="Arial"/>
                <w:color w:val="000000"/>
                <w:szCs w:val="20"/>
                <w:lang w:eastAsia="sl-SI"/>
              </w:rPr>
            </w:pPr>
            <w:r w:rsidRPr="00B148B1">
              <w:rPr>
                <w:rFonts w:cs="Arial"/>
                <w:color w:val="000000"/>
                <w:szCs w:val="20"/>
                <w:lang w:eastAsia="sl-SI"/>
              </w:rPr>
              <w:t>Ljubljana 2019</w:t>
            </w:r>
          </w:p>
        </w:tc>
        <w:tc>
          <w:tcPr>
            <w:tcW w:w="1489" w:type="pct"/>
            <w:shd w:val="clear" w:color="auto" w:fill="auto"/>
            <w:noWrap/>
            <w:vAlign w:val="center"/>
            <w:hideMark/>
          </w:tcPr>
          <w:p w:rsidR="00803157" w:rsidRPr="00B148B1" w:rsidRDefault="00803157" w:rsidP="00A13C59">
            <w:pPr>
              <w:spacing w:line="240" w:lineRule="auto"/>
              <w:jc w:val="center"/>
              <w:rPr>
                <w:rFonts w:cs="Arial"/>
                <w:color w:val="000000"/>
                <w:szCs w:val="20"/>
                <w:lang w:eastAsia="sl-SI"/>
              </w:rPr>
            </w:pPr>
            <w:r w:rsidRPr="00B148B1">
              <w:rPr>
                <w:rFonts w:cs="Arial"/>
                <w:color w:val="000000"/>
                <w:szCs w:val="20"/>
                <w:lang w:eastAsia="sl-SI"/>
              </w:rPr>
              <w:t>416.808</w:t>
            </w:r>
          </w:p>
        </w:tc>
      </w:tr>
      <w:tr w:rsidR="00803157" w:rsidRPr="00B148B1" w:rsidTr="008338BB">
        <w:trPr>
          <w:trHeight w:val="315"/>
        </w:trPr>
        <w:tc>
          <w:tcPr>
            <w:tcW w:w="646" w:type="pct"/>
            <w:shd w:val="clear" w:color="auto" w:fill="auto"/>
            <w:noWrap/>
            <w:vAlign w:val="center"/>
            <w:hideMark/>
          </w:tcPr>
          <w:p w:rsidR="00803157" w:rsidRPr="00B148B1" w:rsidRDefault="00803157" w:rsidP="00B803AE">
            <w:pPr>
              <w:spacing w:line="240" w:lineRule="auto"/>
              <w:jc w:val="center"/>
              <w:rPr>
                <w:rFonts w:cs="Arial"/>
                <w:color w:val="000000"/>
                <w:szCs w:val="20"/>
                <w:lang w:eastAsia="sl-SI"/>
              </w:rPr>
            </w:pPr>
            <w:r w:rsidRPr="00B148B1">
              <w:rPr>
                <w:rFonts w:cs="Arial"/>
                <w:color w:val="000000"/>
                <w:szCs w:val="20"/>
                <w:lang w:eastAsia="sl-SI"/>
              </w:rPr>
              <w:t>2</w:t>
            </w:r>
          </w:p>
        </w:tc>
        <w:tc>
          <w:tcPr>
            <w:tcW w:w="646" w:type="pct"/>
            <w:shd w:val="clear" w:color="auto" w:fill="auto"/>
            <w:noWrap/>
            <w:vAlign w:val="center"/>
            <w:hideMark/>
          </w:tcPr>
          <w:p w:rsidR="00803157" w:rsidRPr="00B148B1" w:rsidRDefault="00803157" w:rsidP="00803157">
            <w:pPr>
              <w:spacing w:line="240" w:lineRule="auto"/>
              <w:jc w:val="right"/>
              <w:rPr>
                <w:rFonts w:cs="Arial"/>
                <w:color w:val="000000"/>
                <w:szCs w:val="20"/>
                <w:lang w:eastAsia="sl-SI"/>
              </w:rPr>
            </w:pPr>
            <w:r w:rsidRPr="00B148B1">
              <w:rPr>
                <w:rFonts w:cs="Arial"/>
                <w:color w:val="000000"/>
                <w:szCs w:val="20"/>
                <w:lang w:eastAsia="sl-SI"/>
              </w:rPr>
              <w:t>29</w:t>
            </w:r>
          </w:p>
        </w:tc>
        <w:tc>
          <w:tcPr>
            <w:tcW w:w="2219" w:type="pct"/>
            <w:shd w:val="clear" w:color="auto" w:fill="auto"/>
            <w:noWrap/>
            <w:vAlign w:val="center"/>
            <w:hideMark/>
          </w:tcPr>
          <w:p w:rsidR="00803157" w:rsidRPr="00B148B1" w:rsidRDefault="00803157" w:rsidP="00803157">
            <w:pPr>
              <w:spacing w:line="240" w:lineRule="auto"/>
              <w:jc w:val="left"/>
              <w:rPr>
                <w:rFonts w:cs="Arial"/>
                <w:color w:val="000000"/>
                <w:szCs w:val="20"/>
                <w:lang w:eastAsia="sl-SI"/>
              </w:rPr>
            </w:pPr>
            <w:r w:rsidRPr="00B148B1">
              <w:rPr>
                <w:rFonts w:cs="Arial"/>
                <w:color w:val="000000"/>
                <w:szCs w:val="20"/>
                <w:lang w:eastAsia="sl-SI"/>
              </w:rPr>
              <w:t>Maribor 2019</w:t>
            </w:r>
          </w:p>
        </w:tc>
        <w:tc>
          <w:tcPr>
            <w:tcW w:w="1489" w:type="pct"/>
            <w:shd w:val="clear" w:color="auto" w:fill="auto"/>
            <w:noWrap/>
            <w:vAlign w:val="center"/>
            <w:hideMark/>
          </w:tcPr>
          <w:p w:rsidR="00803157" w:rsidRPr="00B148B1" w:rsidRDefault="00803157" w:rsidP="00A13C59">
            <w:pPr>
              <w:spacing w:line="240" w:lineRule="auto"/>
              <w:jc w:val="center"/>
              <w:rPr>
                <w:rFonts w:cs="Arial"/>
                <w:color w:val="000000"/>
                <w:szCs w:val="20"/>
                <w:lang w:eastAsia="sl-SI"/>
              </w:rPr>
            </w:pPr>
            <w:r w:rsidRPr="00B148B1">
              <w:rPr>
                <w:rFonts w:cs="Arial"/>
                <w:color w:val="000000"/>
                <w:szCs w:val="20"/>
                <w:lang w:eastAsia="sl-SI"/>
              </w:rPr>
              <w:t>136.133</w:t>
            </w:r>
          </w:p>
        </w:tc>
      </w:tr>
      <w:tr w:rsidR="00803157" w:rsidRPr="00B148B1" w:rsidTr="008338BB">
        <w:trPr>
          <w:trHeight w:val="315"/>
        </w:trPr>
        <w:tc>
          <w:tcPr>
            <w:tcW w:w="646" w:type="pct"/>
            <w:shd w:val="clear" w:color="auto" w:fill="auto"/>
            <w:noWrap/>
            <w:vAlign w:val="center"/>
            <w:hideMark/>
          </w:tcPr>
          <w:p w:rsidR="00803157" w:rsidRPr="00B148B1" w:rsidRDefault="00803157" w:rsidP="00B803AE">
            <w:pPr>
              <w:spacing w:line="240" w:lineRule="auto"/>
              <w:jc w:val="center"/>
              <w:rPr>
                <w:rFonts w:cs="Arial"/>
                <w:color w:val="000000"/>
                <w:szCs w:val="20"/>
                <w:lang w:eastAsia="sl-SI"/>
              </w:rPr>
            </w:pPr>
            <w:r w:rsidRPr="00B148B1">
              <w:rPr>
                <w:rFonts w:cs="Arial"/>
                <w:color w:val="000000"/>
                <w:szCs w:val="20"/>
                <w:lang w:eastAsia="sl-SI"/>
              </w:rPr>
              <w:t>3</w:t>
            </w:r>
          </w:p>
        </w:tc>
        <w:tc>
          <w:tcPr>
            <w:tcW w:w="646" w:type="pct"/>
            <w:shd w:val="clear" w:color="auto" w:fill="auto"/>
            <w:noWrap/>
            <w:vAlign w:val="center"/>
            <w:hideMark/>
          </w:tcPr>
          <w:p w:rsidR="00803157" w:rsidRPr="00B148B1" w:rsidRDefault="00803157" w:rsidP="00803157">
            <w:pPr>
              <w:spacing w:line="240" w:lineRule="auto"/>
              <w:jc w:val="right"/>
              <w:rPr>
                <w:rFonts w:cs="Arial"/>
                <w:color w:val="000000"/>
                <w:szCs w:val="20"/>
                <w:lang w:eastAsia="sl-SI"/>
              </w:rPr>
            </w:pPr>
            <w:r w:rsidRPr="00B148B1">
              <w:rPr>
                <w:rFonts w:cs="Arial"/>
                <w:color w:val="000000"/>
                <w:szCs w:val="20"/>
                <w:lang w:eastAsia="sl-SI"/>
              </w:rPr>
              <w:t>20543</w:t>
            </w:r>
          </w:p>
        </w:tc>
        <w:tc>
          <w:tcPr>
            <w:tcW w:w="2219" w:type="pct"/>
            <w:shd w:val="clear" w:color="auto" w:fill="auto"/>
            <w:noWrap/>
            <w:vAlign w:val="center"/>
            <w:hideMark/>
          </w:tcPr>
          <w:p w:rsidR="00803157" w:rsidRPr="00B148B1" w:rsidRDefault="00803157" w:rsidP="00803157">
            <w:pPr>
              <w:spacing w:line="240" w:lineRule="auto"/>
              <w:jc w:val="left"/>
              <w:rPr>
                <w:rFonts w:cs="Arial"/>
                <w:color w:val="000000"/>
                <w:szCs w:val="20"/>
                <w:lang w:eastAsia="sl-SI"/>
              </w:rPr>
            </w:pPr>
            <w:r w:rsidRPr="00B148B1">
              <w:rPr>
                <w:rFonts w:cs="Arial"/>
                <w:color w:val="000000"/>
                <w:szCs w:val="20"/>
                <w:lang w:eastAsia="sl-SI"/>
              </w:rPr>
              <w:t>Celje 2019</w:t>
            </w:r>
          </w:p>
        </w:tc>
        <w:tc>
          <w:tcPr>
            <w:tcW w:w="1489" w:type="pct"/>
            <w:shd w:val="clear" w:color="auto" w:fill="auto"/>
            <w:noWrap/>
            <w:vAlign w:val="center"/>
            <w:hideMark/>
          </w:tcPr>
          <w:p w:rsidR="00803157" w:rsidRPr="00B148B1" w:rsidRDefault="00803157" w:rsidP="00A13C59">
            <w:pPr>
              <w:spacing w:line="240" w:lineRule="auto"/>
              <w:jc w:val="center"/>
              <w:rPr>
                <w:rFonts w:cs="Arial"/>
                <w:color w:val="000000"/>
                <w:szCs w:val="20"/>
                <w:lang w:eastAsia="sl-SI"/>
              </w:rPr>
            </w:pPr>
            <w:r w:rsidRPr="00B148B1">
              <w:rPr>
                <w:rFonts w:cs="Arial"/>
                <w:color w:val="000000"/>
                <w:szCs w:val="20"/>
                <w:lang w:eastAsia="sl-SI"/>
              </w:rPr>
              <w:t>76.307</w:t>
            </w:r>
          </w:p>
        </w:tc>
      </w:tr>
      <w:tr w:rsidR="00803157" w:rsidRPr="00B148B1" w:rsidTr="008338BB">
        <w:trPr>
          <w:trHeight w:val="315"/>
        </w:trPr>
        <w:tc>
          <w:tcPr>
            <w:tcW w:w="646" w:type="pct"/>
            <w:shd w:val="clear" w:color="auto" w:fill="auto"/>
            <w:noWrap/>
            <w:vAlign w:val="center"/>
            <w:hideMark/>
          </w:tcPr>
          <w:p w:rsidR="00803157" w:rsidRPr="00B148B1" w:rsidRDefault="00803157" w:rsidP="00B803AE">
            <w:pPr>
              <w:spacing w:line="240" w:lineRule="auto"/>
              <w:jc w:val="center"/>
              <w:rPr>
                <w:rFonts w:cs="Arial"/>
                <w:color w:val="000000"/>
                <w:szCs w:val="20"/>
                <w:lang w:eastAsia="sl-SI"/>
              </w:rPr>
            </w:pPr>
            <w:r w:rsidRPr="00B148B1">
              <w:rPr>
                <w:rFonts w:cs="Arial"/>
                <w:color w:val="000000"/>
                <w:szCs w:val="20"/>
                <w:lang w:eastAsia="sl-SI"/>
              </w:rPr>
              <w:t>4</w:t>
            </w:r>
          </w:p>
        </w:tc>
        <w:tc>
          <w:tcPr>
            <w:tcW w:w="646" w:type="pct"/>
            <w:shd w:val="clear" w:color="auto" w:fill="auto"/>
            <w:noWrap/>
            <w:vAlign w:val="center"/>
            <w:hideMark/>
          </w:tcPr>
          <w:p w:rsidR="00803157" w:rsidRPr="00B148B1" w:rsidRDefault="00803157" w:rsidP="00803157">
            <w:pPr>
              <w:spacing w:line="240" w:lineRule="auto"/>
              <w:jc w:val="right"/>
              <w:rPr>
                <w:rFonts w:cs="Arial"/>
                <w:color w:val="000000"/>
                <w:szCs w:val="20"/>
                <w:lang w:eastAsia="sl-SI"/>
              </w:rPr>
            </w:pPr>
            <w:r w:rsidRPr="00B148B1">
              <w:rPr>
                <w:rFonts w:cs="Arial"/>
                <w:color w:val="000000"/>
                <w:szCs w:val="20"/>
                <w:lang w:eastAsia="sl-SI"/>
              </w:rPr>
              <w:t>15065</w:t>
            </w:r>
          </w:p>
        </w:tc>
        <w:tc>
          <w:tcPr>
            <w:tcW w:w="2219" w:type="pct"/>
            <w:shd w:val="clear" w:color="auto" w:fill="auto"/>
            <w:noWrap/>
            <w:vAlign w:val="center"/>
            <w:hideMark/>
          </w:tcPr>
          <w:p w:rsidR="00803157" w:rsidRPr="00B148B1" w:rsidRDefault="00803157" w:rsidP="00803157">
            <w:pPr>
              <w:spacing w:line="240" w:lineRule="auto"/>
              <w:jc w:val="left"/>
              <w:rPr>
                <w:rFonts w:cs="Arial"/>
                <w:color w:val="000000"/>
                <w:szCs w:val="20"/>
                <w:lang w:eastAsia="sl-SI"/>
              </w:rPr>
            </w:pPr>
            <w:r w:rsidRPr="00B148B1">
              <w:rPr>
                <w:rFonts w:cs="Arial"/>
                <w:color w:val="000000"/>
                <w:szCs w:val="20"/>
                <w:lang w:eastAsia="sl-SI"/>
              </w:rPr>
              <w:t>Ptuj 2019</w:t>
            </w:r>
          </w:p>
        </w:tc>
        <w:tc>
          <w:tcPr>
            <w:tcW w:w="1489" w:type="pct"/>
            <w:shd w:val="clear" w:color="auto" w:fill="auto"/>
            <w:noWrap/>
            <w:vAlign w:val="center"/>
            <w:hideMark/>
          </w:tcPr>
          <w:p w:rsidR="00803157" w:rsidRPr="00B148B1" w:rsidRDefault="00803157" w:rsidP="00A13C59">
            <w:pPr>
              <w:spacing w:line="240" w:lineRule="auto"/>
              <w:jc w:val="center"/>
              <w:rPr>
                <w:rFonts w:cs="Arial"/>
                <w:color w:val="000000"/>
                <w:szCs w:val="20"/>
                <w:lang w:eastAsia="sl-SI"/>
              </w:rPr>
            </w:pPr>
            <w:r w:rsidRPr="00B148B1">
              <w:rPr>
                <w:rFonts w:cs="Arial"/>
                <w:color w:val="000000"/>
                <w:szCs w:val="20"/>
                <w:lang w:eastAsia="sl-SI"/>
              </w:rPr>
              <w:t>25.455</w:t>
            </w:r>
          </w:p>
        </w:tc>
      </w:tr>
      <w:tr w:rsidR="00803157" w:rsidRPr="00B148B1" w:rsidTr="008338BB">
        <w:trPr>
          <w:trHeight w:val="315"/>
        </w:trPr>
        <w:tc>
          <w:tcPr>
            <w:tcW w:w="646" w:type="pct"/>
            <w:shd w:val="clear" w:color="auto" w:fill="auto"/>
            <w:noWrap/>
            <w:vAlign w:val="center"/>
            <w:hideMark/>
          </w:tcPr>
          <w:p w:rsidR="00803157" w:rsidRPr="00B148B1" w:rsidRDefault="00803157" w:rsidP="00B803AE">
            <w:pPr>
              <w:spacing w:line="240" w:lineRule="auto"/>
              <w:jc w:val="center"/>
              <w:rPr>
                <w:rFonts w:cs="Arial"/>
                <w:color w:val="000000"/>
                <w:szCs w:val="20"/>
                <w:lang w:eastAsia="sl-SI"/>
              </w:rPr>
            </w:pPr>
            <w:r w:rsidRPr="00B148B1">
              <w:rPr>
                <w:rFonts w:cs="Arial"/>
                <w:color w:val="000000"/>
                <w:szCs w:val="20"/>
                <w:lang w:eastAsia="sl-SI"/>
              </w:rPr>
              <w:t>5</w:t>
            </w:r>
          </w:p>
        </w:tc>
        <w:tc>
          <w:tcPr>
            <w:tcW w:w="646" w:type="pct"/>
            <w:shd w:val="clear" w:color="auto" w:fill="auto"/>
            <w:noWrap/>
            <w:vAlign w:val="center"/>
            <w:hideMark/>
          </w:tcPr>
          <w:p w:rsidR="00803157" w:rsidRPr="00B148B1" w:rsidRDefault="00803157" w:rsidP="00803157">
            <w:pPr>
              <w:spacing w:line="240" w:lineRule="auto"/>
              <w:jc w:val="right"/>
              <w:rPr>
                <w:rFonts w:cs="Arial"/>
                <w:color w:val="000000"/>
                <w:szCs w:val="20"/>
                <w:lang w:eastAsia="sl-SI"/>
              </w:rPr>
            </w:pPr>
            <w:r w:rsidRPr="00B148B1">
              <w:rPr>
                <w:rFonts w:cs="Arial"/>
                <w:color w:val="000000"/>
                <w:szCs w:val="20"/>
                <w:lang w:eastAsia="sl-SI"/>
              </w:rPr>
              <w:t>1449</w:t>
            </w:r>
          </w:p>
        </w:tc>
        <w:tc>
          <w:tcPr>
            <w:tcW w:w="2219" w:type="pct"/>
            <w:shd w:val="clear" w:color="auto" w:fill="auto"/>
            <w:noWrap/>
            <w:vAlign w:val="center"/>
            <w:hideMark/>
          </w:tcPr>
          <w:p w:rsidR="00803157" w:rsidRPr="00B148B1" w:rsidRDefault="00803157" w:rsidP="00803157">
            <w:pPr>
              <w:spacing w:line="240" w:lineRule="auto"/>
              <w:jc w:val="left"/>
              <w:rPr>
                <w:rFonts w:cs="Arial"/>
                <w:color w:val="000000"/>
                <w:szCs w:val="20"/>
                <w:lang w:eastAsia="sl-SI"/>
              </w:rPr>
            </w:pPr>
            <w:r w:rsidRPr="00B148B1">
              <w:rPr>
                <w:rFonts w:cs="Arial"/>
                <w:color w:val="000000"/>
                <w:szCs w:val="20"/>
                <w:lang w:eastAsia="sl-SI"/>
              </w:rPr>
              <w:t>Postojna 2019</w:t>
            </w:r>
          </w:p>
        </w:tc>
        <w:tc>
          <w:tcPr>
            <w:tcW w:w="1489" w:type="pct"/>
            <w:shd w:val="clear" w:color="auto" w:fill="auto"/>
            <w:noWrap/>
            <w:vAlign w:val="center"/>
            <w:hideMark/>
          </w:tcPr>
          <w:p w:rsidR="00803157" w:rsidRPr="00B148B1" w:rsidRDefault="00803157" w:rsidP="00A13C59">
            <w:pPr>
              <w:spacing w:line="240" w:lineRule="auto"/>
              <w:jc w:val="center"/>
              <w:rPr>
                <w:rFonts w:cs="Arial"/>
                <w:color w:val="000000"/>
                <w:szCs w:val="20"/>
                <w:lang w:eastAsia="sl-SI"/>
              </w:rPr>
            </w:pPr>
            <w:r w:rsidRPr="00B148B1">
              <w:rPr>
                <w:rFonts w:cs="Arial"/>
                <w:color w:val="000000"/>
                <w:szCs w:val="20"/>
                <w:lang w:eastAsia="sl-SI"/>
              </w:rPr>
              <w:t>11.378</w:t>
            </w:r>
          </w:p>
        </w:tc>
      </w:tr>
      <w:tr w:rsidR="00803157" w:rsidRPr="00B148B1" w:rsidTr="008338BB">
        <w:trPr>
          <w:trHeight w:val="315"/>
        </w:trPr>
        <w:tc>
          <w:tcPr>
            <w:tcW w:w="646" w:type="pct"/>
            <w:shd w:val="clear" w:color="auto" w:fill="auto"/>
            <w:noWrap/>
            <w:vAlign w:val="center"/>
            <w:hideMark/>
          </w:tcPr>
          <w:p w:rsidR="00803157" w:rsidRPr="00B148B1" w:rsidRDefault="00803157" w:rsidP="00B803AE">
            <w:pPr>
              <w:spacing w:line="240" w:lineRule="auto"/>
              <w:jc w:val="center"/>
              <w:rPr>
                <w:rFonts w:cs="Arial"/>
                <w:color w:val="000000"/>
                <w:szCs w:val="20"/>
                <w:lang w:eastAsia="sl-SI"/>
              </w:rPr>
            </w:pPr>
            <w:r w:rsidRPr="00B148B1">
              <w:rPr>
                <w:rFonts w:cs="Arial"/>
                <w:color w:val="000000"/>
                <w:szCs w:val="20"/>
                <w:lang w:eastAsia="sl-SI"/>
              </w:rPr>
              <w:t>6</w:t>
            </w:r>
          </w:p>
        </w:tc>
        <w:tc>
          <w:tcPr>
            <w:tcW w:w="646" w:type="pct"/>
            <w:shd w:val="clear" w:color="auto" w:fill="auto"/>
            <w:noWrap/>
            <w:vAlign w:val="center"/>
            <w:hideMark/>
          </w:tcPr>
          <w:p w:rsidR="00803157" w:rsidRPr="00B148B1" w:rsidRDefault="00803157" w:rsidP="00803157">
            <w:pPr>
              <w:spacing w:line="240" w:lineRule="auto"/>
              <w:jc w:val="right"/>
              <w:rPr>
                <w:rFonts w:cs="Arial"/>
                <w:color w:val="000000"/>
                <w:szCs w:val="20"/>
                <w:lang w:eastAsia="sl-SI"/>
              </w:rPr>
            </w:pPr>
            <w:r w:rsidRPr="00B148B1">
              <w:rPr>
                <w:rFonts w:cs="Arial"/>
                <w:color w:val="000000"/>
                <w:szCs w:val="20"/>
                <w:lang w:eastAsia="sl-SI"/>
              </w:rPr>
              <w:t>4079</w:t>
            </w:r>
          </w:p>
        </w:tc>
        <w:tc>
          <w:tcPr>
            <w:tcW w:w="2219" w:type="pct"/>
            <w:shd w:val="clear" w:color="auto" w:fill="auto"/>
            <w:noWrap/>
            <w:vAlign w:val="center"/>
            <w:hideMark/>
          </w:tcPr>
          <w:p w:rsidR="00803157" w:rsidRPr="00B148B1" w:rsidRDefault="00803157" w:rsidP="00803157">
            <w:pPr>
              <w:spacing w:line="240" w:lineRule="auto"/>
              <w:jc w:val="left"/>
              <w:rPr>
                <w:rFonts w:cs="Arial"/>
                <w:color w:val="000000"/>
                <w:szCs w:val="20"/>
                <w:lang w:eastAsia="sl-SI"/>
              </w:rPr>
            </w:pPr>
            <w:r w:rsidRPr="00B148B1">
              <w:rPr>
                <w:rFonts w:cs="Arial"/>
                <w:color w:val="000000"/>
                <w:szCs w:val="20"/>
                <w:lang w:eastAsia="sl-SI"/>
              </w:rPr>
              <w:t>Komenda 2019</w:t>
            </w:r>
          </w:p>
        </w:tc>
        <w:tc>
          <w:tcPr>
            <w:tcW w:w="1489" w:type="pct"/>
            <w:shd w:val="clear" w:color="auto" w:fill="auto"/>
            <w:noWrap/>
            <w:vAlign w:val="center"/>
            <w:hideMark/>
          </w:tcPr>
          <w:p w:rsidR="00803157" w:rsidRPr="00B148B1" w:rsidRDefault="00803157" w:rsidP="00A13C59">
            <w:pPr>
              <w:spacing w:line="240" w:lineRule="auto"/>
              <w:jc w:val="center"/>
              <w:rPr>
                <w:rFonts w:cs="Arial"/>
                <w:color w:val="000000"/>
                <w:szCs w:val="20"/>
                <w:lang w:eastAsia="sl-SI"/>
              </w:rPr>
            </w:pPr>
            <w:r w:rsidRPr="00B148B1">
              <w:rPr>
                <w:rFonts w:cs="Arial"/>
                <w:color w:val="000000"/>
                <w:szCs w:val="20"/>
                <w:lang w:eastAsia="sl-SI"/>
              </w:rPr>
              <w:t>9.057</w:t>
            </w:r>
          </w:p>
        </w:tc>
      </w:tr>
      <w:tr w:rsidR="00803157" w:rsidRPr="00B148B1" w:rsidTr="008338BB">
        <w:trPr>
          <w:trHeight w:val="315"/>
        </w:trPr>
        <w:tc>
          <w:tcPr>
            <w:tcW w:w="646" w:type="pct"/>
            <w:shd w:val="clear" w:color="auto" w:fill="auto"/>
            <w:noWrap/>
            <w:vAlign w:val="center"/>
            <w:hideMark/>
          </w:tcPr>
          <w:p w:rsidR="00803157" w:rsidRPr="00B148B1" w:rsidRDefault="00803157" w:rsidP="00B803AE">
            <w:pPr>
              <w:spacing w:line="240" w:lineRule="auto"/>
              <w:jc w:val="center"/>
              <w:rPr>
                <w:rFonts w:cs="Arial"/>
                <w:color w:val="000000"/>
                <w:szCs w:val="20"/>
                <w:lang w:eastAsia="sl-SI"/>
              </w:rPr>
            </w:pPr>
            <w:r w:rsidRPr="00B148B1">
              <w:rPr>
                <w:rFonts w:cs="Arial"/>
                <w:color w:val="000000"/>
                <w:szCs w:val="20"/>
                <w:lang w:eastAsia="sl-SI"/>
              </w:rPr>
              <w:t>7</w:t>
            </w:r>
          </w:p>
        </w:tc>
        <w:tc>
          <w:tcPr>
            <w:tcW w:w="646" w:type="pct"/>
            <w:shd w:val="clear" w:color="auto" w:fill="auto"/>
            <w:noWrap/>
            <w:vAlign w:val="center"/>
            <w:hideMark/>
          </w:tcPr>
          <w:p w:rsidR="00803157" w:rsidRPr="00B148B1" w:rsidRDefault="00803157" w:rsidP="00803157">
            <w:pPr>
              <w:spacing w:line="240" w:lineRule="auto"/>
              <w:jc w:val="right"/>
              <w:rPr>
                <w:rFonts w:cs="Arial"/>
                <w:color w:val="000000"/>
                <w:szCs w:val="20"/>
                <w:lang w:eastAsia="sl-SI"/>
              </w:rPr>
            </w:pPr>
            <w:r w:rsidRPr="00B148B1">
              <w:rPr>
                <w:rFonts w:cs="Arial"/>
                <w:color w:val="000000"/>
                <w:szCs w:val="20"/>
                <w:lang w:eastAsia="sl-SI"/>
              </w:rPr>
              <w:t>8203</w:t>
            </w:r>
          </w:p>
        </w:tc>
        <w:tc>
          <w:tcPr>
            <w:tcW w:w="2219" w:type="pct"/>
            <w:shd w:val="clear" w:color="auto" w:fill="auto"/>
            <w:noWrap/>
            <w:vAlign w:val="center"/>
            <w:hideMark/>
          </w:tcPr>
          <w:p w:rsidR="00803157" w:rsidRPr="00B148B1" w:rsidRDefault="00803157" w:rsidP="00803157">
            <w:pPr>
              <w:spacing w:line="240" w:lineRule="auto"/>
              <w:jc w:val="left"/>
              <w:rPr>
                <w:rFonts w:cs="Arial"/>
                <w:color w:val="000000"/>
                <w:szCs w:val="20"/>
                <w:lang w:eastAsia="sl-SI"/>
              </w:rPr>
            </w:pPr>
            <w:r w:rsidRPr="00B148B1">
              <w:rPr>
                <w:rFonts w:cs="Arial"/>
                <w:color w:val="000000"/>
                <w:szCs w:val="20"/>
                <w:lang w:eastAsia="sl-SI"/>
              </w:rPr>
              <w:t>Ravne na Koroškem 2019</w:t>
            </w:r>
          </w:p>
        </w:tc>
        <w:tc>
          <w:tcPr>
            <w:tcW w:w="1489" w:type="pct"/>
            <w:shd w:val="clear" w:color="auto" w:fill="auto"/>
            <w:noWrap/>
            <w:vAlign w:val="center"/>
            <w:hideMark/>
          </w:tcPr>
          <w:p w:rsidR="00803157" w:rsidRPr="00B148B1" w:rsidRDefault="00803157" w:rsidP="00A13C59">
            <w:pPr>
              <w:spacing w:line="240" w:lineRule="auto"/>
              <w:jc w:val="center"/>
              <w:rPr>
                <w:rFonts w:cs="Arial"/>
                <w:color w:val="000000"/>
                <w:szCs w:val="20"/>
                <w:lang w:eastAsia="sl-SI"/>
              </w:rPr>
            </w:pPr>
            <w:r w:rsidRPr="00B148B1">
              <w:rPr>
                <w:rFonts w:cs="Arial"/>
                <w:color w:val="000000"/>
                <w:szCs w:val="20"/>
                <w:lang w:eastAsia="sl-SI"/>
              </w:rPr>
              <w:t>8.792</w:t>
            </w:r>
          </w:p>
        </w:tc>
      </w:tr>
      <w:tr w:rsidR="00803157" w:rsidRPr="00B148B1" w:rsidTr="008338BB">
        <w:trPr>
          <w:trHeight w:val="315"/>
        </w:trPr>
        <w:tc>
          <w:tcPr>
            <w:tcW w:w="646" w:type="pct"/>
            <w:shd w:val="clear" w:color="auto" w:fill="auto"/>
            <w:noWrap/>
            <w:vAlign w:val="center"/>
            <w:hideMark/>
          </w:tcPr>
          <w:p w:rsidR="00803157" w:rsidRPr="00B148B1" w:rsidRDefault="00803157" w:rsidP="00B803AE">
            <w:pPr>
              <w:spacing w:line="240" w:lineRule="auto"/>
              <w:jc w:val="center"/>
              <w:rPr>
                <w:rFonts w:cs="Arial"/>
                <w:color w:val="000000"/>
                <w:szCs w:val="20"/>
                <w:lang w:eastAsia="sl-SI"/>
              </w:rPr>
            </w:pPr>
            <w:r w:rsidRPr="00B148B1">
              <w:rPr>
                <w:rFonts w:cs="Arial"/>
                <w:color w:val="000000"/>
                <w:szCs w:val="20"/>
                <w:lang w:eastAsia="sl-SI"/>
              </w:rPr>
              <w:t>8</w:t>
            </w:r>
          </w:p>
        </w:tc>
        <w:tc>
          <w:tcPr>
            <w:tcW w:w="646" w:type="pct"/>
            <w:shd w:val="clear" w:color="auto" w:fill="auto"/>
            <w:noWrap/>
            <w:vAlign w:val="center"/>
            <w:hideMark/>
          </w:tcPr>
          <w:p w:rsidR="00803157" w:rsidRPr="00B148B1" w:rsidRDefault="00803157" w:rsidP="00803157">
            <w:pPr>
              <w:spacing w:line="240" w:lineRule="auto"/>
              <w:jc w:val="right"/>
              <w:rPr>
                <w:rFonts w:cs="Arial"/>
                <w:color w:val="000000"/>
                <w:szCs w:val="20"/>
                <w:lang w:eastAsia="sl-SI"/>
              </w:rPr>
            </w:pPr>
            <w:r w:rsidRPr="00B148B1">
              <w:rPr>
                <w:rFonts w:cs="Arial"/>
                <w:color w:val="000000"/>
                <w:szCs w:val="20"/>
                <w:lang w:eastAsia="sl-SI"/>
              </w:rPr>
              <w:t>11870</w:t>
            </w:r>
          </w:p>
        </w:tc>
        <w:tc>
          <w:tcPr>
            <w:tcW w:w="2219" w:type="pct"/>
            <w:shd w:val="clear" w:color="auto" w:fill="auto"/>
            <w:noWrap/>
            <w:vAlign w:val="center"/>
            <w:hideMark/>
          </w:tcPr>
          <w:p w:rsidR="00803157" w:rsidRPr="00B148B1" w:rsidRDefault="00803157" w:rsidP="008E43CE">
            <w:pPr>
              <w:spacing w:line="240" w:lineRule="auto"/>
              <w:jc w:val="left"/>
              <w:rPr>
                <w:rFonts w:cs="Arial"/>
                <w:color w:val="000000"/>
                <w:szCs w:val="20"/>
                <w:lang w:eastAsia="sl-SI"/>
              </w:rPr>
            </w:pPr>
            <w:r w:rsidRPr="00B148B1">
              <w:rPr>
                <w:rFonts w:cs="Arial"/>
                <w:color w:val="000000"/>
                <w:szCs w:val="20"/>
                <w:lang w:eastAsia="sl-SI"/>
              </w:rPr>
              <w:t xml:space="preserve">Krško desni breg </w:t>
            </w:r>
            <w:r w:rsidR="0096271E" w:rsidRPr="00B148B1">
              <w:rPr>
                <w:rFonts w:cs="Arial"/>
                <w:color w:val="202122"/>
                <w:sz w:val="21"/>
                <w:szCs w:val="21"/>
                <w:shd w:val="clear" w:color="auto" w:fill="FFFFFF"/>
              </w:rPr>
              <w:t>–</w:t>
            </w:r>
            <w:r w:rsidR="008E43CE" w:rsidRPr="00B148B1">
              <w:rPr>
                <w:rFonts w:cs="Arial"/>
                <w:color w:val="000000"/>
                <w:szCs w:val="20"/>
                <w:lang w:eastAsia="sl-SI"/>
              </w:rPr>
              <w:t xml:space="preserve"> </w:t>
            </w:r>
            <w:r w:rsidRPr="00B148B1">
              <w:rPr>
                <w:rFonts w:cs="Arial"/>
                <w:color w:val="000000"/>
                <w:szCs w:val="20"/>
                <w:lang w:eastAsia="sl-SI"/>
              </w:rPr>
              <w:t>Leskovec 2019</w:t>
            </w:r>
          </w:p>
        </w:tc>
        <w:tc>
          <w:tcPr>
            <w:tcW w:w="1489" w:type="pct"/>
            <w:shd w:val="clear" w:color="auto" w:fill="auto"/>
            <w:noWrap/>
            <w:vAlign w:val="center"/>
            <w:hideMark/>
          </w:tcPr>
          <w:p w:rsidR="00803157" w:rsidRPr="00B148B1" w:rsidRDefault="00803157" w:rsidP="00A13C59">
            <w:pPr>
              <w:spacing w:line="240" w:lineRule="auto"/>
              <w:jc w:val="center"/>
              <w:rPr>
                <w:rFonts w:cs="Arial"/>
                <w:color w:val="000000"/>
                <w:szCs w:val="20"/>
                <w:lang w:eastAsia="sl-SI"/>
              </w:rPr>
            </w:pPr>
            <w:r w:rsidRPr="00B148B1">
              <w:rPr>
                <w:rFonts w:cs="Arial"/>
                <w:color w:val="000000"/>
                <w:szCs w:val="20"/>
                <w:lang w:eastAsia="sl-SI"/>
              </w:rPr>
              <w:t>8.355</w:t>
            </w:r>
          </w:p>
        </w:tc>
      </w:tr>
      <w:tr w:rsidR="00803157" w:rsidRPr="00B148B1" w:rsidTr="008338BB">
        <w:trPr>
          <w:trHeight w:val="315"/>
        </w:trPr>
        <w:tc>
          <w:tcPr>
            <w:tcW w:w="646" w:type="pct"/>
            <w:shd w:val="clear" w:color="auto" w:fill="auto"/>
            <w:noWrap/>
            <w:vAlign w:val="center"/>
            <w:hideMark/>
          </w:tcPr>
          <w:p w:rsidR="00803157" w:rsidRPr="00B148B1" w:rsidRDefault="00803157" w:rsidP="00B803AE">
            <w:pPr>
              <w:spacing w:line="240" w:lineRule="auto"/>
              <w:jc w:val="center"/>
              <w:rPr>
                <w:rFonts w:cs="Arial"/>
                <w:color w:val="000000"/>
                <w:szCs w:val="20"/>
                <w:lang w:eastAsia="sl-SI"/>
              </w:rPr>
            </w:pPr>
            <w:r w:rsidRPr="00B148B1">
              <w:rPr>
                <w:rFonts w:cs="Arial"/>
                <w:color w:val="000000"/>
                <w:szCs w:val="20"/>
                <w:lang w:eastAsia="sl-SI"/>
              </w:rPr>
              <w:t>9</w:t>
            </w:r>
          </w:p>
        </w:tc>
        <w:tc>
          <w:tcPr>
            <w:tcW w:w="646" w:type="pct"/>
            <w:shd w:val="clear" w:color="auto" w:fill="auto"/>
            <w:noWrap/>
            <w:vAlign w:val="center"/>
            <w:hideMark/>
          </w:tcPr>
          <w:p w:rsidR="00803157" w:rsidRPr="00B148B1" w:rsidRDefault="00803157" w:rsidP="00803157">
            <w:pPr>
              <w:spacing w:line="240" w:lineRule="auto"/>
              <w:jc w:val="right"/>
              <w:rPr>
                <w:rFonts w:cs="Arial"/>
                <w:color w:val="000000"/>
                <w:szCs w:val="20"/>
                <w:lang w:eastAsia="sl-SI"/>
              </w:rPr>
            </w:pPr>
            <w:r w:rsidRPr="00B148B1">
              <w:rPr>
                <w:rFonts w:cs="Arial"/>
                <w:color w:val="000000"/>
                <w:szCs w:val="20"/>
                <w:lang w:eastAsia="sl-SI"/>
              </w:rPr>
              <w:t>9101</w:t>
            </w:r>
          </w:p>
        </w:tc>
        <w:tc>
          <w:tcPr>
            <w:tcW w:w="2219" w:type="pct"/>
            <w:shd w:val="clear" w:color="auto" w:fill="auto"/>
            <w:noWrap/>
            <w:vAlign w:val="center"/>
            <w:hideMark/>
          </w:tcPr>
          <w:p w:rsidR="00803157" w:rsidRPr="00B148B1" w:rsidRDefault="00803157" w:rsidP="00803157">
            <w:pPr>
              <w:spacing w:line="240" w:lineRule="auto"/>
              <w:jc w:val="left"/>
              <w:rPr>
                <w:rFonts w:cs="Arial"/>
                <w:color w:val="000000"/>
                <w:szCs w:val="20"/>
                <w:lang w:eastAsia="sl-SI"/>
              </w:rPr>
            </w:pPr>
            <w:r w:rsidRPr="00B148B1">
              <w:rPr>
                <w:rFonts w:cs="Arial"/>
                <w:color w:val="000000"/>
                <w:szCs w:val="20"/>
                <w:lang w:eastAsia="sl-SI"/>
              </w:rPr>
              <w:t>Šentjur 2019</w:t>
            </w:r>
          </w:p>
        </w:tc>
        <w:tc>
          <w:tcPr>
            <w:tcW w:w="1489" w:type="pct"/>
            <w:shd w:val="clear" w:color="auto" w:fill="auto"/>
            <w:noWrap/>
            <w:vAlign w:val="center"/>
            <w:hideMark/>
          </w:tcPr>
          <w:p w:rsidR="00803157" w:rsidRPr="00B148B1" w:rsidRDefault="00803157" w:rsidP="00A13C59">
            <w:pPr>
              <w:spacing w:line="240" w:lineRule="auto"/>
              <w:jc w:val="center"/>
              <w:rPr>
                <w:rFonts w:cs="Arial"/>
                <w:color w:val="000000"/>
                <w:szCs w:val="20"/>
                <w:lang w:eastAsia="sl-SI"/>
              </w:rPr>
            </w:pPr>
            <w:r w:rsidRPr="00B148B1">
              <w:rPr>
                <w:rFonts w:cs="Arial"/>
                <w:color w:val="000000"/>
                <w:szCs w:val="20"/>
                <w:lang w:eastAsia="sl-SI"/>
              </w:rPr>
              <w:t>7.681</w:t>
            </w:r>
          </w:p>
        </w:tc>
      </w:tr>
      <w:tr w:rsidR="00803157" w:rsidRPr="00B148B1" w:rsidTr="008338BB">
        <w:trPr>
          <w:trHeight w:val="315"/>
        </w:trPr>
        <w:tc>
          <w:tcPr>
            <w:tcW w:w="646" w:type="pct"/>
            <w:shd w:val="clear" w:color="auto" w:fill="auto"/>
            <w:noWrap/>
            <w:vAlign w:val="center"/>
            <w:hideMark/>
          </w:tcPr>
          <w:p w:rsidR="00803157" w:rsidRPr="00B148B1" w:rsidRDefault="00803157" w:rsidP="00B803AE">
            <w:pPr>
              <w:spacing w:line="240" w:lineRule="auto"/>
              <w:jc w:val="center"/>
              <w:rPr>
                <w:rFonts w:cs="Arial"/>
                <w:color w:val="000000"/>
                <w:szCs w:val="20"/>
                <w:lang w:eastAsia="sl-SI"/>
              </w:rPr>
            </w:pPr>
            <w:r w:rsidRPr="00B148B1">
              <w:rPr>
                <w:rFonts w:cs="Arial"/>
                <w:color w:val="000000"/>
                <w:szCs w:val="20"/>
                <w:lang w:eastAsia="sl-SI"/>
              </w:rPr>
              <w:t>10</w:t>
            </w:r>
          </w:p>
        </w:tc>
        <w:tc>
          <w:tcPr>
            <w:tcW w:w="646" w:type="pct"/>
            <w:shd w:val="clear" w:color="auto" w:fill="auto"/>
            <w:noWrap/>
            <w:vAlign w:val="center"/>
            <w:hideMark/>
          </w:tcPr>
          <w:p w:rsidR="00803157" w:rsidRPr="00B148B1" w:rsidRDefault="00803157" w:rsidP="00803157">
            <w:pPr>
              <w:spacing w:line="240" w:lineRule="auto"/>
              <w:jc w:val="right"/>
              <w:rPr>
                <w:rFonts w:cs="Arial"/>
                <w:color w:val="000000"/>
                <w:szCs w:val="20"/>
                <w:lang w:eastAsia="sl-SI"/>
              </w:rPr>
            </w:pPr>
            <w:r w:rsidRPr="00B148B1">
              <w:rPr>
                <w:rFonts w:cs="Arial"/>
                <w:color w:val="000000"/>
                <w:szCs w:val="20"/>
                <w:lang w:eastAsia="sl-SI"/>
              </w:rPr>
              <w:t>20911</w:t>
            </w:r>
          </w:p>
        </w:tc>
        <w:tc>
          <w:tcPr>
            <w:tcW w:w="2219" w:type="pct"/>
            <w:shd w:val="clear" w:color="auto" w:fill="auto"/>
            <w:noWrap/>
            <w:vAlign w:val="center"/>
            <w:hideMark/>
          </w:tcPr>
          <w:p w:rsidR="00803157" w:rsidRPr="00B148B1" w:rsidRDefault="00803157" w:rsidP="00803157">
            <w:pPr>
              <w:spacing w:line="240" w:lineRule="auto"/>
              <w:jc w:val="left"/>
              <w:rPr>
                <w:rFonts w:cs="Arial"/>
                <w:color w:val="000000"/>
                <w:szCs w:val="20"/>
                <w:lang w:eastAsia="sl-SI"/>
              </w:rPr>
            </w:pPr>
            <w:r w:rsidRPr="00B148B1">
              <w:rPr>
                <w:rFonts w:cs="Arial"/>
                <w:color w:val="000000"/>
                <w:szCs w:val="20"/>
                <w:lang w:eastAsia="sl-SI"/>
              </w:rPr>
              <w:t>Škofljica 2019</w:t>
            </w:r>
          </w:p>
        </w:tc>
        <w:tc>
          <w:tcPr>
            <w:tcW w:w="1489" w:type="pct"/>
            <w:shd w:val="clear" w:color="auto" w:fill="auto"/>
            <w:noWrap/>
            <w:vAlign w:val="center"/>
            <w:hideMark/>
          </w:tcPr>
          <w:p w:rsidR="00803157" w:rsidRPr="00B148B1" w:rsidRDefault="00803157" w:rsidP="00A13C59">
            <w:pPr>
              <w:spacing w:line="240" w:lineRule="auto"/>
              <w:jc w:val="center"/>
              <w:rPr>
                <w:rFonts w:cs="Arial"/>
                <w:color w:val="000000"/>
                <w:szCs w:val="20"/>
                <w:lang w:eastAsia="sl-SI"/>
              </w:rPr>
            </w:pPr>
            <w:r w:rsidRPr="00B148B1">
              <w:rPr>
                <w:rFonts w:cs="Arial"/>
                <w:color w:val="000000"/>
                <w:szCs w:val="20"/>
                <w:lang w:eastAsia="sl-SI"/>
              </w:rPr>
              <w:t>6.855</w:t>
            </w:r>
          </w:p>
        </w:tc>
      </w:tr>
      <w:tr w:rsidR="00803157" w:rsidRPr="00B148B1" w:rsidTr="008338BB">
        <w:trPr>
          <w:trHeight w:val="315"/>
        </w:trPr>
        <w:tc>
          <w:tcPr>
            <w:tcW w:w="646" w:type="pct"/>
            <w:shd w:val="clear" w:color="auto" w:fill="auto"/>
            <w:noWrap/>
            <w:vAlign w:val="center"/>
            <w:hideMark/>
          </w:tcPr>
          <w:p w:rsidR="00803157" w:rsidRPr="00B148B1" w:rsidRDefault="00803157" w:rsidP="00B803AE">
            <w:pPr>
              <w:spacing w:line="240" w:lineRule="auto"/>
              <w:jc w:val="center"/>
              <w:rPr>
                <w:rFonts w:cs="Arial"/>
                <w:color w:val="000000"/>
                <w:szCs w:val="20"/>
                <w:lang w:eastAsia="sl-SI"/>
              </w:rPr>
            </w:pPr>
            <w:r w:rsidRPr="00B148B1">
              <w:rPr>
                <w:rFonts w:cs="Arial"/>
                <w:color w:val="000000"/>
                <w:szCs w:val="20"/>
                <w:lang w:eastAsia="sl-SI"/>
              </w:rPr>
              <w:t>11</w:t>
            </w:r>
          </w:p>
        </w:tc>
        <w:tc>
          <w:tcPr>
            <w:tcW w:w="646" w:type="pct"/>
            <w:shd w:val="clear" w:color="auto" w:fill="auto"/>
            <w:noWrap/>
            <w:vAlign w:val="center"/>
            <w:hideMark/>
          </w:tcPr>
          <w:p w:rsidR="00803157" w:rsidRPr="00B148B1" w:rsidRDefault="00803157" w:rsidP="00803157">
            <w:pPr>
              <w:spacing w:line="240" w:lineRule="auto"/>
              <w:jc w:val="right"/>
              <w:rPr>
                <w:rFonts w:cs="Arial"/>
                <w:color w:val="000000"/>
                <w:szCs w:val="20"/>
                <w:lang w:eastAsia="sl-SI"/>
              </w:rPr>
            </w:pPr>
            <w:r w:rsidRPr="00B148B1">
              <w:rPr>
                <w:rFonts w:cs="Arial"/>
                <w:color w:val="000000"/>
                <w:szCs w:val="20"/>
                <w:lang w:eastAsia="sl-SI"/>
              </w:rPr>
              <w:t>3095</w:t>
            </w:r>
          </w:p>
        </w:tc>
        <w:tc>
          <w:tcPr>
            <w:tcW w:w="2219" w:type="pct"/>
            <w:shd w:val="clear" w:color="auto" w:fill="auto"/>
            <w:noWrap/>
            <w:vAlign w:val="center"/>
            <w:hideMark/>
          </w:tcPr>
          <w:p w:rsidR="00803157" w:rsidRPr="00B148B1" w:rsidRDefault="00803157" w:rsidP="00803157">
            <w:pPr>
              <w:spacing w:line="240" w:lineRule="auto"/>
              <w:jc w:val="left"/>
              <w:rPr>
                <w:rFonts w:cs="Arial"/>
                <w:color w:val="000000"/>
                <w:szCs w:val="20"/>
                <w:lang w:eastAsia="sl-SI"/>
              </w:rPr>
            </w:pPr>
            <w:r w:rsidRPr="00B148B1">
              <w:rPr>
                <w:rFonts w:cs="Arial"/>
                <w:color w:val="000000"/>
                <w:szCs w:val="20"/>
                <w:lang w:eastAsia="sl-SI"/>
              </w:rPr>
              <w:t>Rihtarovci 2019</w:t>
            </w:r>
          </w:p>
        </w:tc>
        <w:tc>
          <w:tcPr>
            <w:tcW w:w="1489" w:type="pct"/>
            <w:shd w:val="clear" w:color="auto" w:fill="auto"/>
            <w:noWrap/>
            <w:vAlign w:val="center"/>
            <w:hideMark/>
          </w:tcPr>
          <w:p w:rsidR="00803157" w:rsidRPr="00B148B1" w:rsidRDefault="00803157" w:rsidP="00A13C59">
            <w:pPr>
              <w:spacing w:line="240" w:lineRule="auto"/>
              <w:jc w:val="center"/>
              <w:rPr>
                <w:rFonts w:cs="Arial"/>
                <w:color w:val="000000"/>
                <w:szCs w:val="20"/>
                <w:lang w:eastAsia="sl-SI"/>
              </w:rPr>
            </w:pPr>
            <w:r w:rsidRPr="00B148B1">
              <w:rPr>
                <w:rFonts w:cs="Arial"/>
                <w:color w:val="000000"/>
                <w:szCs w:val="20"/>
                <w:lang w:eastAsia="sl-SI"/>
              </w:rPr>
              <w:t>5.984</w:t>
            </w:r>
          </w:p>
        </w:tc>
      </w:tr>
      <w:tr w:rsidR="00803157" w:rsidRPr="00B148B1" w:rsidTr="008338BB">
        <w:trPr>
          <w:trHeight w:val="315"/>
        </w:trPr>
        <w:tc>
          <w:tcPr>
            <w:tcW w:w="646" w:type="pct"/>
            <w:shd w:val="clear" w:color="auto" w:fill="auto"/>
            <w:noWrap/>
            <w:vAlign w:val="center"/>
            <w:hideMark/>
          </w:tcPr>
          <w:p w:rsidR="00803157" w:rsidRPr="00B148B1" w:rsidRDefault="00803157" w:rsidP="00B803AE">
            <w:pPr>
              <w:spacing w:line="240" w:lineRule="auto"/>
              <w:jc w:val="center"/>
              <w:rPr>
                <w:rFonts w:cs="Arial"/>
                <w:color w:val="000000"/>
                <w:szCs w:val="20"/>
                <w:lang w:eastAsia="sl-SI"/>
              </w:rPr>
            </w:pPr>
            <w:r w:rsidRPr="00B148B1">
              <w:rPr>
                <w:rFonts w:cs="Arial"/>
                <w:color w:val="000000"/>
                <w:szCs w:val="20"/>
                <w:lang w:eastAsia="sl-SI"/>
              </w:rPr>
              <w:t>12</w:t>
            </w:r>
          </w:p>
        </w:tc>
        <w:tc>
          <w:tcPr>
            <w:tcW w:w="646" w:type="pct"/>
            <w:shd w:val="clear" w:color="auto" w:fill="auto"/>
            <w:noWrap/>
            <w:vAlign w:val="center"/>
            <w:hideMark/>
          </w:tcPr>
          <w:p w:rsidR="00803157" w:rsidRPr="00B148B1" w:rsidRDefault="00803157" w:rsidP="00803157">
            <w:pPr>
              <w:spacing w:line="240" w:lineRule="auto"/>
              <w:jc w:val="right"/>
              <w:rPr>
                <w:rFonts w:cs="Arial"/>
                <w:color w:val="000000"/>
                <w:szCs w:val="20"/>
                <w:lang w:eastAsia="sl-SI"/>
              </w:rPr>
            </w:pPr>
            <w:r w:rsidRPr="00B148B1">
              <w:rPr>
                <w:rFonts w:cs="Arial"/>
                <w:color w:val="000000"/>
                <w:szCs w:val="20"/>
                <w:lang w:eastAsia="sl-SI"/>
              </w:rPr>
              <w:t>13652</w:t>
            </w:r>
          </w:p>
        </w:tc>
        <w:tc>
          <w:tcPr>
            <w:tcW w:w="2219" w:type="pct"/>
            <w:shd w:val="clear" w:color="auto" w:fill="auto"/>
            <w:noWrap/>
            <w:vAlign w:val="center"/>
            <w:hideMark/>
          </w:tcPr>
          <w:p w:rsidR="00803157" w:rsidRPr="00B148B1" w:rsidRDefault="00803157" w:rsidP="00803157">
            <w:pPr>
              <w:spacing w:line="240" w:lineRule="auto"/>
              <w:jc w:val="left"/>
              <w:rPr>
                <w:rFonts w:cs="Arial"/>
                <w:color w:val="000000"/>
                <w:szCs w:val="20"/>
                <w:lang w:eastAsia="sl-SI"/>
              </w:rPr>
            </w:pPr>
            <w:r w:rsidRPr="00B148B1">
              <w:rPr>
                <w:rFonts w:cs="Arial"/>
                <w:color w:val="000000"/>
                <w:szCs w:val="20"/>
                <w:lang w:eastAsia="sl-SI"/>
              </w:rPr>
              <w:t>Ruše 2019</w:t>
            </w:r>
          </w:p>
        </w:tc>
        <w:tc>
          <w:tcPr>
            <w:tcW w:w="1489" w:type="pct"/>
            <w:shd w:val="clear" w:color="auto" w:fill="auto"/>
            <w:noWrap/>
            <w:vAlign w:val="center"/>
            <w:hideMark/>
          </w:tcPr>
          <w:p w:rsidR="00803157" w:rsidRPr="00B148B1" w:rsidRDefault="00803157" w:rsidP="00A13C59">
            <w:pPr>
              <w:spacing w:line="240" w:lineRule="auto"/>
              <w:jc w:val="center"/>
              <w:rPr>
                <w:rFonts w:cs="Arial"/>
                <w:color w:val="000000"/>
                <w:szCs w:val="20"/>
                <w:lang w:eastAsia="sl-SI"/>
              </w:rPr>
            </w:pPr>
            <w:r w:rsidRPr="00B148B1">
              <w:rPr>
                <w:rFonts w:cs="Arial"/>
                <w:color w:val="000000"/>
                <w:szCs w:val="20"/>
                <w:lang w:eastAsia="sl-SI"/>
              </w:rPr>
              <w:t>5.700</w:t>
            </w:r>
          </w:p>
        </w:tc>
      </w:tr>
      <w:tr w:rsidR="00803157" w:rsidRPr="00B148B1" w:rsidTr="008338BB">
        <w:trPr>
          <w:trHeight w:val="315"/>
        </w:trPr>
        <w:tc>
          <w:tcPr>
            <w:tcW w:w="646" w:type="pct"/>
            <w:shd w:val="clear" w:color="auto" w:fill="auto"/>
            <w:noWrap/>
            <w:vAlign w:val="center"/>
            <w:hideMark/>
          </w:tcPr>
          <w:p w:rsidR="00803157" w:rsidRPr="00B148B1" w:rsidRDefault="00803157" w:rsidP="00B803AE">
            <w:pPr>
              <w:spacing w:line="240" w:lineRule="auto"/>
              <w:jc w:val="center"/>
              <w:rPr>
                <w:rFonts w:cs="Arial"/>
                <w:color w:val="000000"/>
                <w:szCs w:val="20"/>
                <w:lang w:eastAsia="sl-SI"/>
              </w:rPr>
            </w:pPr>
            <w:r w:rsidRPr="00B148B1">
              <w:rPr>
                <w:rFonts w:cs="Arial"/>
                <w:color w:val="000000"/>
                <w:szCs w:val="20"/>
                <w:lang w:eastAsia="sl-SI"/>
              </w:rPr>
              <w:t>13</w:t>
            </w:r>
          </w:p>
        </w:tc>
        <w:tc>
          <w:tcPr>
            <w:tcW w:w="646" w:type="pct"/>
            <w:shd w:val="clear" w:color="auto" w:fill="auto"/>
            <w:noWrap/>
            <w:vAlign w:val="center"/>
            <w:hideMark/>
          </w:tcPr>
          <w:p w:rsidR="00803157" w:rsidRPr="00B148B1" w:rsidRDefault="00803157" w:rsidP="00803157">
            <w:pPr>
              <w:spacing w:line="240" w:lineRule="auto"/>
              <w:jc w:val="right"/>
              <w:rPr>
                <w:rFonts w:cs="Arial"/>
                <w:color w:val="000000"/>
                <w:szCs w:val="20"/>
                <w:lang w:eastAsia="sl-SI"/>
              </w:rPr>
            </w:pPr>
            <w:r w:rsidRPr="00B148B1">
              <w:rPr>
                <w:rFonts w:cs="Arial"/>
                <w:color w:val="000000"/>
                <w:szCs w:val="20"/>
                <w:lang w:eastAsia="sl-SI"/>
              </w:rPr>
              <w:t>8136</w:t>
            </w:r>
          </w:p>
        </w:tc>
        <w:tc>
          <w:tcPr>
            <w:tcW w:w="2219" w:type="pct"/>
            <w:shd w:val="clear" w:color="auto" w:fill="auto"/>
            <w:noWrap/>
            <w:vAlign w:val="center"/>
            <w:hideMark/>
          </w:tcPr>
          <w:p w:rsidR="00803157" w:rsidRPr="00B148B1" w:rsidRDefault="00803157" w:rsidP="00803157">
            <w:pPr>
              <w:spacing w:line="240" w:lineRule="auto"/>
              <w:jc w:val="left"/>
              <w:rPr>
                <w:rFonts w:cs="Arial"/>
                <w:color w:val="000000"/>
                <w:szCs w:val="20"/>
                <w:lang w:eastAsia="sl-SI"/>
              </w:rPr>
            </w:pPr>
            <w:r w:rsidRPr="00B148B1">
              <w:rPr>
                <w:rFonts w:cs="Arial"/>
                <w:color w:val="000000"/>
                <w:szCs w:val="20"/>
                <w:lang w:eastAsia="sl-SI"/>
              </w:rPr>
              <w:t>Prevalje 2019</w:t>
            </w:r>
          </w:p>
        </w:tc>
        <w:tc>
          <w:tcPr>
            <w:tcW w:w="1489" w:type="pct"/>
            <w:shd w:val="clear" w:color="auto" w:fill="auto"/>
            <w:noWrap/>
            <w:vAlign w:val="center"/>
            <w:hideMark/>
          </w:tcPr>
          <w:p w:rsidR="00803157" w:rsidRPr="00B148B1" w:rsidRDefault="00803157" w:rsidP="00A13C59">
            <w:pPr>
              <w:spacing w:line="240" w:lineRule="auto"/>
              <w:jc w:val="center"/>
              <w:rPr>
                <w:rFonts w:cs="Arial"/>
                <w:color w:val="000000"/>
                <w:szCs w:val="20"/>
                <w:lang w:eastAsia="sl-SI"/>
              </w:rPr>
            </w:pPr>
            <w:r w:rsidRPr="00B148B1">
              <w:rPr>
                <w:rFonts w:cs="Arial"/>
                <w:color w:val="000000"/>
                <w:szCs w:val="20"/>
                <w:lang w:eastAsia="sl-SI"/>
              </w:rPr>
              <w:t>5.360</w:t>
            </w:r>
          </w:p>
        </w:tc>
      </w:tr>
      <w:tr w:rsidR="00803157" w:rsidRPr="00B148B1" w:rsidTr="008338BB">
        <w:trPr>
          <w:trHeight w:val="315"/>
        </w:trPr>
        <w:tc>
          <w:tcPr>
            <w:tcW w:w="646" w:type="pct"/>
            <w:shd w:val="clear" w:color="auto" w:fill="auto"/>
            <w:noWrap/>
            <w:vAlign w:val="center"/>
            <w:hideMark/>
          </w:tcPr>
          <w:p w:rsidR="00803157" w:rsidRPr="00B148B1" w:rsidRDefault="00803157" w:rsidP="00B803AE">
            <w:pPr>
              <w:spacing w:line="240" w:lineRule="auto"/>
              <w:jc w:val="center"/>
              <w:rPr>
                <w:rFonts w:cs="Arial"/>
                <w:color w:val="000000"/>
                <w:szCs w:val="20"/>
                <w:lang w:eastAsia="sl-SI"/>
              </w:rPr>
            </w:pPr>
            <w:r w:rsidRPr="00B148B1">
              <w:rPr>
                <w:rFonts w:cs="Arial"/>
                <w:color w:val="000000"/>
                <w:szCs w:val="20"/>
                <w:lang w:eastAsia="sl-SI"/>
              </w:rPr>
              <w:t>14</w:t>
            </w:r>
          </w:p>
        </w:tc>
        <w:tc>
          <w:tcPr>
            <w:tcW w:w="646" w:type="pct"/>
            <w:shd w:val="clear" w:color="auto" w:fill="auto"/>
            <w:noWrap/>
            <w:vAlign w:val="center"/>
            <w:hideMark/>
          </w:tcPr>
          <w:p w:rsidR="00803157" w:rsidRPr="00B148B1" w:rsidRDefault="00803157" w:rsidP="00803157">
            <w:pPr>
              <w:spacing w:line="240" w:lineRule="auto"/>
              <w:jc w:val="right"/>
              <w:rPr>
                <w:rFonts w:cs="Arial"/>
                <w:color w:val="000000"/>
                <w:szCs w:val="20"/>
                <w:lang w:eastAsia="sl-SI"/>
              </w:rPr>
            </w:pPr>
            <w:r w:rsidRPr="00B148B1">
              <w:rPr>
                <w:rFonts w:cs="Arial"/>
                <w:color w:val="000000"/>
                <w:szCs w:val="20"/>
                <w:lang w:eastAsia="sl-SI"/>
              </w:rPr>
              <w:t>1210</w:t>
            </w:r>
          </w:p>
        </w:tc>
        <w:tc>
          <w:tcPr>
            <w:tcW w:w="2219" w:type="pct"/>
            <w:shd w:val="clear" w:color="auto" w:fill="auto"/>
            <w:noWrap/>
            <w:vAlign w:val="center"/>
            <w:hideMark/>
          </w:tcPr>
          <w:p w:rsidR="00803157" w:rsidRPr="00B148B1" w:rsidRDefault="00803157" w:rsidP="00803157">
            <w:pPr>
              <w:spacing w:line="240" w:lineRule="auto"/>
              <w:jc w:val="left"/>
              <w:rPr>
                <w:rFonts w:cs="Arial"/>
                <w:color w:val="000000"/>
                <w:szCs w:val="20"/>
                <w:lang w:eastAsia="sl-SI"/>
              </w:rPr>
            </w:pPr>
            <w:r w:rsidRPr="00B148B1">
              <w:rPr>
                <w:rFonts w:cs="Arial"/>
                <w:color w:val="000000"/>
                <w:szCs w:val="20"/>
                <w:lang w:eastAsia="sl-SI"/>
              </w:rPr>
              <w:t>Ilirska Bistrica 2019</w:t>
            </w:r>
          </w:p>
        </w:tc>
        <w:tc>
          <w:tcPr>
            <w:tcW w:w="1489" w:type="pct"/>
            <w:shd w:val="clear" w:color="auto" w:fill="auto"/>
            <w:noWrap/>
            <w:vAlign w:val="center"/>
            <w:hideMark/>
          </w:tcPr>
          <w:p w:rsidR="00803157" w:rsidRPr="00B148B1" w:rsidRDefault="00803157" w:rsidP="00A13C59">
            <w:pPr>
              <w:spacing w:line="240" w:lineRule="auto"/>
              <w:jc w:val="center"/>
              <w:rPr>
                <w:rFonts w:cs="Arial"/>
                <w:color w:val="000000"/>
                <w:szCs w:val="20"/>
                <w:lang w:eastAsia="sl-SI"/>
              </w:rPr>
            </w:pPr>
            <w:r w:rsidRPr="00B148B1">
              <w:rPr>
                <w:rFonts w:cs="Arial"/>
                <w:color w:val="000000"/>
                <w:szCs w:val="20"/>
                <w:lang w:eastAsia="sl-SI"/>
              </w:rPr>
              <w:t>5.176</w:t>
            </w:r>
          </w:p>
        </w:tc>
      </w:tr>
      <w:tr w:rsidR="00803157" w:rsidRPr="00B148B1" w:rsidTr="008338BB">
        <w:trPr>
          <w:trHeight w:val="315"/>
        </w:trPr>
        <w:tc>
          <w:tcPr>
            <w:tcW w:w="646" w:type="pct"/>
            <w:shd w:val="clear" w:color="auto" w:fill="auto"/>
            <w:noWrap/>
            <w:vAlign w:val="center"/>
            <w:hideMark/>
          </w:tcPr>
          <w:p w:rsidR="00803157" w:rsidRPr="00B148B1" w:rsidRDefault="00803157" w:rsidP="00B803AE">
            <w:pPr>
              <w:spacing w:line="240" w:lineRule="auto"/>
              <w:jc w:val="center"/>
              <w:rPr>
                <w:rFonts w:cs="Arial"/>
                <w:color w:val="000000"/>
                <w:szCs w:val="20"/>
                <w:lang w:eastAsia="sl-SI"/>
              </w:rPr>
            </w:pPr>
            <w:r w:rsidRPr="00B148B1">
              <w:rPr>
                <w:rFonts w:cs="Arial"/>
                <w:color w:val="000000"/>
                <w:szCs w:val="20"/>
                <w:lang w:eastAsia="sl-SI"/>
              </w:rPr>
              <w:t>15</w:t>
            </w:r>
          </w:p>
        </w:tc>
        <w:tc>
          <w:tcPr>
            <w:tcW w:w="646" w:type="pct"/>
            <w:shd w:val="clear" w:color="auto" w:fill="auto"/>
            <w:noWrap/>
            <w:vAlign w:val="center"/>
            <w:hideMark/>
          </w:tcPr>
          <w:p w:rsidR="00803157" w:rsidRPr="00B148B1" w:rsidRDefault="00803157" w:rsidP="00803157">
            <w:pPr>
              <w:spacing w:line="240" w:lineRule="auto"/>
              <w:jc w:val="right"/>
              <w:rPr>
                <w:rFonts w:cs="Arial"/>
                <w:color w:val="000000"/>
                <w:szCs w:val="20"/>
                <w:lang w:eastAsia="sl-SI"/>
              </w:rPr>
            </w:pPr>
            <w:r w:rsidRPr="00B148B1">
              <w:rPr>
                <w:rFonts w:cs="Arial"/>
                <w:color w:val="000000"/>
                <w:szCs w:val="20"/>
                <w:lang w:eastAsia="sl-SI"/>
              </w:rPr>
              <w:t>3495</w:t>
            </w:r>
          </w:p>
        </w:tc>
        <w:tc>
          <w:tcPr>
            <w:tcW w:w="2219" w:type="pct"/>
            <w:shd w:val="clear" w:color="auto" w:fill="auto"/>
            <w:noWrap/>
            <w:vAlign w:val="center"/>
            <w:hideMark/>
          </w:tcPr>
          <w:p w:rsidR="00803157" w:rsidRPr="00B148B1" w:rsidRDefault="00803157" w:rsidP="00803157">
            <w:pPr>
              <w:spacing w:line="240" w:lineRule="auto"/>
              <w:jc w:val="left"/>
              <w:rPr>
                <w:rFonts w:cs="Arial"/>
                <w:color w:val="000000"/>
                <w:szCs w:val="20"/>
                <w:lang w:eastAsia="sl-SI"/>
              </w:rPr>
            </w:pPr>
            <w:r w:rsidRPr="00B148B1">
              <w:rPr>
                <w:rFonts w:cs="Arial"/>
                <w:color w:val="000000"/>
                <w:szCs w:val="20"/>
                <w:lang w:eastAsia="sl-SI"/>
              </w:rPr>
              <w:t>Podhom 2019</w:t>
            </w:r>
          </w:p>
        </w:tc>
        <w:tc>
          <w:tcPr>
            <w:tcW w:w="1489" w:type="pct"/>
            <w:shd w:val="clear" w:color="auto" w:fill="auto"/>
            <w:noWrap/>
            <w:vAlign w:val="center"/>
            <w:hideMark/>
          </w:tcPr>
          <w:p w:rsidR="00803157" w:rsidRPr="00B148B1" w:rsidRDefault="00803157" w:rsidP="00A13C59">
            <w:pPr>
              <w:spacing w:line="240" w:lineRule="auto"/>
              <w:jc w:val="center"/>
              <w:rPr>
                <w:rFonts w:cs="Arial"/>
                <w:color w:val="000000"/>
                <w:szCs w:val="20"/>
                <w:lang w:eastAsia="sl-SI"/>
              </w:rPr>
            </w:pPr>
            <w:r w:rsidRPr="00B148B1">
              <w:rPr>
                <w:rFonts w:cs="Arial"/>
                <w:color w:val="000000"/>
                <w:szCs w:val="20"/>
                <w:lang w:eastAsia="sl-SI"/>
              </w:rPr>
              <w:t>5.033</w:t>
            </w:r>
          </w:p>
        </w:tc>
      </w:tr>
      <w:tr w:rsidR="00803157" w:rsidRPr="00B148B1" w:rsidTr="008338BB">
        <w:trPr>
          <w:trHeight w:val="315"/>
        </w:trPr>
        <w:tc>
          <w:tcPr>
            <w:tcW w:w="646" w:type="pct"/>
            <w:shd w:val="clear" w:color="auto" w:fill="auto"/>
            <w:noWrap/>
            <w:vAlign w:val="center"/>
            <w:hideMark/>
          </w:tcPr>
          <w:p w:rsidR="00803157" w:rsidRPr="00B148B1" w:rsidRDefault="00803157" w:rsidP="00B803AE">
            <w:pPr>
              <w:spacing w:line="240" w:lineRule="auto"/>
              <w:jc w:val="center"/>
              <w:rPr>
                <w:rFonts w:cs="Arial"/>
                <w:color w:val="000000"/>
                <w:szCs w:val="20"/>
                <w:lang w:eastAsia="sl-SI"/>
              </w:rPr>
            </w:pPr>
            <w:r w:rsidRPr="00B148B1">
              <w:rPr>
                <w:rFonts w:cs="Arial"/>
                <w:color w:val="000000"/>
                <w:szCs w:val="20"/>
                <w:lang w:eastAsia="sl-SI"/>
              </w:rPr>
              <w:t>16</w:t>
            </w:r>
          </w:p>
        </w:tc>
        <w:tc>
          <w:tcPr>
            <w:tcW w:w="646" w:type="pct"/>
            <w:shd w:val="clear" w:color="auto" w:fill="auto"/>
            <w:noWrap/>
            <w:vAlign w:val="center"/>
            <w:hideMark/>
          </w:tcPr>
          <w:p w:rsidR="00803157" w:rsidRPr="00B148B1" w:rsidRDefault="00803157" w:rsidP="00803157">
            <w:pPr>
              <w:spacing w:line="240" w:lineRule="auto"/>
              <w:jc w:val="right"/>
              <w:rPr>
                <w:rFonts w:cs="Arial"/>
                <w:color w:val="000000"/>
                <w:szCs w:val="20"/>
                <w:lang w:eastAsia="sl-SI"/>
              </w:rPr>
            </w:pPr>
            <w:r w:rsidRPr="00B148B1">
              <w:rPr>
                <w:rFonts w:cs="Arial"/>
                <w:color w:val="000000"/>
                <w:szCs w:val="20"/>
                <w:lang w:eastAsia="sl-SI"/>
              </w:rPr>
              <w:t>3475</w:t>
            </w:r>
          </w:p>
        </w:tc>
        <w:tc>
          <w:tcPr>
            <w:tcW w:w="2219" w:type="pct"/>
            <w:shd w:val="clear" w:color="auto" w:fill="auto"/>
            <w:noWrap/>
            <w:vAlign w:val="center"/>
            <w:hideMark/>
          </w:tcPr>
          <w:p w:rsidR="00803157" w:rsidRPr="00B148B1" w:rsidRDefault="00803157" w:rsidP="00803157">
            <w:pPr>
              <w:spacing w:line="240" w:lineRule="auto"/>
              <w:jc w:val="left"/>
              <w:rPr>
                <w:rFonts w:cs="Arial"/>
                <w:color w:val="000000"/>
                <w:szCs w:val="20"/>
                <w:lang w:eastAsia="sl-SI"/>
              </w:rPr>
            </w:pPr>
            <w:r w:rsidRPr="00B148B1">
              <w:rPr>
                <w:rFonts w:cs="Arial"/>
                <w:color w:val="000000"/>
                <w:szCs w:val="20"/>
                <w:lang w:eastAsia="sl-SI"/>
              </w:rPr>
              <w:t>Zasip 2019</w:t>
            </w:r>
          </w:p>
        </w:tc>
        <w:tc>
          <w:tcPr>
            <w:tcW w:w="1489" w:type="pct"/>
            <w:shd w:val="clear" w:color="auto" w:fill="auto"/>
            <w:noWrap/>
            <w:vAlign w:val="center"/>
            <w:hideMark/>
          </w:tcPr>
          <w:p w:rsidR="00803157" w:rsidRPr="00B148B1" w:rsidRDefault="00803157" w:rsidP="00A13C59">
            <w:pPr>
              <w:spacing w:line="240" w:lineRule="auto"/>
              <w:jc w:val="center"/>
              <w:rPr>
                <w:rFonts w:cs="Arial"/>
                <w:color w:val="000000"/>
                <w:szCs w:val="20"/>
                <w:lang w:eastAsia="sl-SI"/>
              </w:rPr>
            </w:pPr>
            <w:r w:rsidRPr="00B148B1">
              <w:rPr>
                <w:rFonts w:cs="Arial"/>
                <w:color w:val="000000"/>
                <w:szCs w:val="20"/>
                <w:lang w:eastAsia="sl-SI"/>
              </w:rPr>
              <w:t>4.806</w:t>
            </w:r>
          </w:p>
        </w:tc>
      </w:tr>
      <w:tr w:rsidR="00803157" w:rsidRPr="00B148B1" w:rsidTr="008338BB">
        <w:trPr>
          <w:trHeight w:val="315"/>
        </w:trPr>
        <w:tc>
          <w:tcPr>
            <w:tcW w:w="646" w:type="pct"/>
            <w:shd w:val="clear" w:color="auto" w:fill="auto"/>
            <w:noWrap/>
            <w:vAlign w:val="center"/>
            <w:hideMark/>
          </w:tcPr>
          <w:p w:rsidR="00803157" w:rsidRPr="00B148B1" w:rsidRDefault="00803157" w:rsidP="00B803AE">
            <w:pPr>
              <w:spacing w:line="240" w:lineRule="auto"/>
              <w:jc w:val="center"/>
              <w:rPr>
                <w:rFonts w:cs="Arial"/>
                <w:color w:val="000000"/>
                <w:szCs w:val="20"/>
                <w:lang w:eastAsia="sl-SI"/>
              </w:rPr>
            </w:pPr>
            <w:r w:rsidRPr="00B148B1">
              <w:rPr>
                <w:rFonts w:cs="Arial"/>
                <w:color w:val="000000"/>
                <w:szCs w:val="20"/>
                <w:lang w:eastAsia="sl-SI"/>
              </w:rPr>
              <w:t>17</w:t>
            </w:r>
          </w:p>
        </w:tc>
        <w:tc>
          <w:tcPr>
            <w:tcW w:w="646" w:type="pct"/>
            <w:shd w:val="clear" w:color="auto" w:fill="auto"/>
            <w:noWrap/>
            <w:vAlign w:val="center"/>
            <w:hideMark/>
          </w:tcPr>
          <w:p w:rsidR="00803157" w:rsidRPr="00B148B1" w:rsidRDefault="00803157" w:rsidP="00803157">
            <w:pPr>
              <w:spacing w:line="240" w:lineRule="auto"/>
              <w:jc w:val="right"/>
              <w:rPr>
                <w:rFonts w:cs="Arial"/>
                <w:color w:val="000000"/>
                <w:szCs w:val="20"/>
                <w:lang w:eastAsia="sl-SI"/>
              </w:rPr>
            </w:pPr>
            <w:r w:rsidRPr="00B148B1">
              <w:rPr>
                <w:rFonts w:cs="Arial"/>
                <w:color w:val="000000"/>
                <w:szCs w:val="20"/>
                <w:lang w:eastAsia="sl-SI"/>
              </w:rPr>
              <w:t>16519</w:t>
            </w:r>
          </w:p>
        </w:tc>
        <w:tc>
          <w:tcPr>
            <w:tcW w:w="2219" w:type="pct"/>
            <w:shd w:val="clear" w:color="auto" w:fill="auto"/>
            <w:noWrap/>
            <w:vAlign w:val="center"/>
            <w:hideMark/>
          </w:tcPr>
          <w:p w:rsidR="00803157" w:rsidRPr="00B148B1" w:rsidRDefault="00803157" w:rsidP="00803157">
            <w:pPr>
              <w:spacing w:line="240" w:lineRule="auto"/>
              <w:jc w:val="left"/>
              <w:rPr>
                <w:rFonts w:cs="Arial"/>
                <w:color w:val="000000"/>
                <w:szCs w:val="20"/>
                <w:lang w:eastAsia="sl-SI"/>
              </w:rPr>
            </w:pPr>
            <w:r w:rsidRPr="00B148B1">
              <w:rPr>
                <w:rFonts w:cs="Arial"/>
                <w:color w:val="000000"/>
                <w:szCs w:val="20"/>
                <w:lang w:eastAsia="sl-SI"/>
              </w:rPr>
              <w:t>Miklavž na Dravskem polju 2019</w:t>
            </w:r>
          </w:p>
        </w:tc>
        <w:tc>
          <w:tcPr>
            <w:tcW w:w="1489" w:type="pct"/>
            <w:shd w:val="clear" w:color="auto" w:fill="auto"/>
            <w:noWrap/>
            <w:vAlign w:val="center"/>
            <w:hideMark/>
          </w:tcPr>
          <w:p w:rsidR="00803157" w:rsidRPr="00B148B1" w:rsidRDefault="00803157" w:rsidP="00A13C59">
            <w:pPr>
              <w:spacing w:line="240" w:lineRule="auto"/>
              <w:jc w:val="center"/>
              <w:rPr>
                <w:rFonts w:cs="Arial"/>
                <w:color w:val="000000"/>
                <w:szCs w:val="20"/>
                <w:lang w:eastAsia="sl-SI"/>
              </w:rPr>
            </w:pPr>
            <w:r w:rsidRPr="00B148B1">
              <w:rPr>
                <w:rFonts w:cs="Arial"/>
                <w:color w:val="000000"/>
                <w:szCs w:val="20"/>
                <w:lang w:eastAsia="sl-SI"/>
              </w:rPr>
              <w:t>4.790</w:t>
            </w:r>
          </w:p>
        </w:tc>
      </w:tr>
      <w:tr w:rsidR="00803157" w:rsidRPr="00B148B1" w:rsidTr="008338BB">
        <w:trPr>
          <w:trHeight w:val="315"/>
        </w:trPr>
        <w:tc>
          <w:tcPr>
            <w:tcW w:w="646" w:type="pct"/>
            <w:shd w:val="clear" w:color="auto" w:fill="auto"/>
            <w:noWrap/>
            <w:vAlign w:val="center"/>
            <w:hideMark/>
          </w:tcPr>
          <w:p w:rsidR="00803157" w:rsidRPr="00B148B1" w:rsidRDefault="00803157" w:rsidP="00B803AE">
            <w:pPr>
              <w:spacing w:line="240" w:lineRule="auto"/>
              <w:jc w:val="center"/>
              <w:rPr>
                <w:rFonts w:cs="Arial"/>
                <w:color w:val="000000"/>
                <w:szCs w:val="20"/>
                <w:lang w:eastAsia="sl-SI"/>
              </w:rPr>
            </w:pPr>
            <w:r w:rsidRPr="00B148B1">
              <w:rPr>
                <w:rFonts w:cs="Arial"/>
                <w:color w:val="000000"/>
                <w:szCs w:val="20"/>
                <w:lang w:eastAsia="sl-SI"/>
              </w:rPr>
              <w:t>18</w:t>
            </w:r>
          </w:p>
        </w:tc>
        <w:tc>
          <w:tcPr>
            <w:tcW w:w="646" w:type="pct"/>
            <w:shd w:val="clear" w:color="auto" w:fill="auto"/>
            <w:noWrap/>
            <w:vAlign w:val="center"/>
            <w:hideMark/>
          </w:tcPr>
          <w:p w:rsidR="00803157" w:rsidRPr="00B148B1" w:rsidRDefault="00803157" w:rsidP="00803157">
            <w:pPr>
              <w:spacing w:line="240" w:lineRule="auto"/>
              <w:jc w:val="right"/>
              <w:rPr>
                <w:rFonts w:cs="Arial"/>
                <w:color w:val="000000"/>
                <w:szCs w:val="20"/>
                <w:lang w:eastAsia="sl-SI"/>
              </w:rPr>
            </w:pPr>
            <w:r w:rsidRPr="00B148B1">
              <w:rPr>
                <w:rFonts w:cs="Arial"/>
                <w:color w:val="000000"/>
                <w:szCs w:val="20"/>
                <w:lang w:eastAsia="sl-SI"/>
              </w:rPr>
              <w:t>20847</w:t>
            </w:r>
          </w:p>
        </w:tc>
        <w:tc>
          <w:tcPr>
            <w:tcW w:w="2219" w:type="pct"/>
            <w:shd w:val="clear" w:color="auto" w:fill="auto"/>
            <w:noWrap/>
            <w:vAlign w:val="center"/>
            <w:hideMark/>
          </w:tcPr>
          <w:p w:rsidR="00803157" w:rsidRPr="00B148B1" w:rsidRDefault="00803157" w:rsidP="00803157">
            <w:pPr>
              <w:spacing w:line="240" w:lineRule="auto"/>
              <w:jc w:val="left"/>
              <w:rPr>
                <w:rFonts w:cs="Arial"/>
                <w:color w:val="000000"/>
                <w:szCs w:val="20"/>
                <w:lang w:eastAsia="sl-SI"/>
              </w:rPr>
            </w:pPr>
            <w:r w:rsidRPr="00B148B1">
              <w:rPr>
                <w:rFonts w:cs="Arial"/>
                <w:color w:val="000000"/>
                <w:szCs w:val="20"/>
                <w:lang w:eastAsia="sl-SI"/>
              </w:rPr>
              <w:t>Radizel 2019</w:t>
            </w:r>
          </w:p>
        </w:tc>
        <w:tc>
          <w:tcPr>
            <w:tcW w:w="1489" w:type="pct"/>
            <w:shd w:val="clear" w:color="auto" w:fill="auto"/>
            <w:noWrap/>
            <w:vAlign w:val="center"/>
            <w:hideMark/>
          </w:tcPr>
          <w:p w:rsidR="00803157" w:rsidRPr="00B148B1" w:rsidRDefault="00803157" w:rsidP="00A13C59">
            <w:pPr>
              <w:spacing w:line="240" w:lineRule="auto"/>
              <w:jc w:val="center"/>
              <w:rPr>
                <w:rFonts w:cs="Arial"/>
                <w:color w:val="000000"/>
                <w:szCs w:val="20"/>
                <w:lang w:eastAsia="sl-SI"/>
              </w:rPr>
            </w:pPr>
            <w:r w:rsidRPr="00B148B1">
              <w:rPr>
                <w:rFonts w:cs="Arial"/>
                <w:color w:val="000000"/>
                <w:szCs w:val="20"/>
                <w:lang w:eastAsia="sl-SI"/>
              </w:rPr>
              <w:t>4.659</w:t>
            </w:r>
          </w:p>
        </w:tc>
      </w:tr>
      <w:tr w:rsidR="00803157" w:rsidRPr="00B148B1" w:rsidTr="008338BB">
        <w:trPr>
          <w:trHeight w:val="315"/>
        </w:trPr>
        <w:tc>
          <w:tcPr>
            <w:tcW w:w="646" w:type="pct"/>
            <w:shd w:val="clear" w:color="auto" w:fill="auto"/>
            <w:noWrap/>
            <w:vAlign w:val="center"/>
            <w:hideMark/>
          </w:tcPr>
          <w:p w:rsidR="00803157" w:rsidRPr="00B148B1" w:rsidRDefault="00803157" w:rsidP="00B803AE">
            <w:pPr>
              <w:spacing w:line="240" w:lineRule="auto"/>
              <w:jc w:val="center"/>
              <w:rPr>
                <w:rFonts w:cs="Arial"/>
                <w:color w:val="000000"/>
                <w:szCs w:val="20"/>
                <w:lang w:eastAsia="sl-SI"/>
              </w:rPr>
            </w:pPr>
            <w:r w:rsidRPr="00B148B1">
              <w:rPr>
                <w:rFonts w:cs="Arial"/>
                <w:color w:val="000000"/>
                <w:szCs w:val="20"/>
                <w:lang w:eastAsia="sl-SI"/>
              </w:rPr>
              <w:t>19</w:t>
            </w:r>
          </w:p>
        </w:tc>
        <w:tc>
          <w:tcPr>
            <w:tcW w:w="646" w:type="pct"/>
            <w:shd w:val="clear" w:color="auto" w:fill="auto"/>
            <w:noWrap/>
            <w:vAlign w:val="center"/>
            <w:hideMark/>
          </w:tcPr>
          <w:p w:rsidR="00803157" w:rsidRPr="00B148B1" w:rsidRDefault="00803157" w:rsidP="00803157">
            <w:pPr>
              <w:spacing w:line="240" w:lineRule="auto"/>
              <w:jc w:val="right"/>
              <w:rPr>
                <w:rFonts w:cs="Arial"/>
                <w:color w:val="000000"/>
                <w:szCs w:val="20"/>
                <w:lang w:eastAsia="sl-SI"/>
              </w:rPr>
            </w:pPr>
            <w:r w:rsidRPr="00B148B1">
              <w:rPr>
                <w:rFonts w:cs="Arial"/>
                <w:color w:val="000000"/>
                <w:szCs w:val="20"/>
                <w:lang w:eastAsia="sl-SI"/>
              </w:rPr>
              <w:t>16373</w:t>
            </w:r>
          </w:p>
        </w:tc>
        <w:tc>
          <w:tcPr>
            <w:tcW w:w="2219" w:type="pct"/>
            <w:shd w:val="clear" w:color="auto" w:fill="auto"/>
            <w:noWrap/>
            <w:vAlign w:val="center"/>
            <w:hideMark/>
          </w:tcPr>
          <w:p w:rsidR="00803157" w:rsidRPr="00B148B1" w:rsidRDefault="00803157" w:rsidP="00803157">
            <w:pPr>
              <w:spacing w:line="240" w:lineRule="auto"/>
              <w:jc w:val="left"/>
              <w:rPr>
                <w:rFonts w:cs="Arial"/>
                <w:color w:val="000000"/>
                <w:szCs w:val="20"/>
                <w:lang w:eastAsia="sl-SI"/>
              </w:rPr>
            </w:pPr>
            <w:r w:rsidRPr="00B148B1">
              <w:rPr>
                <w:rFonts w:cs="Arial"/>
                <w:color w:val="000000"/>
                <w:szCs w:val="20"/>
                <w:lang w:eastAsia="sl-SI"/>
              </w:rPr>
              <w:t>Muta 2019</w:t>
            </w:r>
          </w:p>
        </w:tc>
        <w:tc>
          <w:tcPr>
            <w:tcW w:w="1489" w:type="pct"/>
            <w:shd w:val="clear" w:color="auto" w:fill="auto"/>
            <w:noWrap/>
            <w:vAlign w:val="center"/>
            <w:hideMark/>
          </w:tcPr>
          <w:p w:rsidR="00803157" w:rsidRPr="00B148B1" w:rsidRDefault="00803157" w:rsidP="00A13C59">
            <w:pPr>
              <w:spacing w:line="240" w:lineRule="auto"/>
              <w:jc w:val="center"/>
              <w:rPr>
                <w:rFonts w:cs="Arial"/>
                <w:color w:val="000000"/>
                <w:szCs w:val="20"/>
                <w:lang w:eastAsia="sl-SI"/>
              </w:rPr>
            </w:pPr>
            <w:r w:rsidRPr="00B148B1">
              <w:rPr>
                <w:rFonts w:cs="Arial"/>
                <w:color w:val="000000"/>
                <w:szCs w:val="20"/>
                <w:lang w:eastAsia="sl-SI"/>
              </w:rPr>
              <w:t>4.476</w:t>
            </w:r>
          </w:p>
        </w:tc>
      </w:tr>
      <w:tr w:rsidR="00803157" w:rsidRPr="00B148B1" w:rsidTr="008338BB">
        <w:trPr>
          <w:trHeight w:val="315"/>
        </w:trPr>
        <w:tc>
          <w:tcPr>
            <w:tcW w:w="646" w:type="pct"/>
            <w:shd w:val="clear" w:color="auto" w:fill="auto"/>
            <w:noWrap/>
            <w:vAlign w:val="center"/>
            <w:hideMark/>
          </w:tcPr>
          <w:p w:rsidR="00803157" w:rsidRPr="00B148B1" w:rsidRDefault="00803157" w:rsidP="00B803AE">
            <w:pPr>
              <w:spacing w:line="240" w:lineRule="auto"/>
              <w:jc w:val="center"/>
              <w:rPr>
                <w:rFonts w:cs="Arial"/>
                <w:color w:val="000000"/>
                <w:szCs w:val="20"/>
                <w:lang w:eastAsia="sl-SI"/>
              </w:rPr>
            </w:pPr>
            <w:r w:rsidRPr="00B148B1">
              <w:rPr>
                <w:rFonts w:cs="Arial"/>
                <w:color w:val="000000"/>
                <w:szCs w:val="20"/>
                <w:lang w:eastAsia="sl-SI"/>
              </w:rPr>
              <w:t>20</w:t>
            </w:r>
          </w:p>
        </w:tc>
        <w:tc>
          <w:tcPr>
            <w:tcW w:w="646" w:type="pct"/>
            <w:shd w:val="clear" w:color="auto" w:fill="auto"/>
            <w:noWrap/>
            <w:vAlign w:val="center"/>
            <w:hideMark/>
          </w:tcPr>
          <w:p w:rsidR="00803157" w:rsidRPr="00B148B1" w:rsidRDefault="00803157" w:rsidP="00803157">
            <w:pPr>
              <w:spacing w:line="240" w:lineRule="auto"/>
              <w:jc w:val="right"/>
              <w:rPr>
                <w:rFonts w:cs="Arial"/>
                <w:color w:val="000000"/>
                <w:szCs w:val="20"/>
                <w:lang w:eastAsia="sl-SI"/>
              </w:rPr>
            </w:pPr>
            <w:r w:rsidRPr="00B148B1">
              <w:rPr>
                <w:rFonts w:cs="Arial"/>
                <w:color w:val="000000"/>
                <w:szCs w:val="20"/>
                <w:lang w:eastAsia="sl-SI"/>
              </w:rPr>
              <w:t>14514</w:t>
            </w:r>
          </w:p>
        </w:tc>
        <w:tc>
          <w:tcPr>
            <w:tcW w:w="2219" w:type="pct"/>
            <w:shd w:val="clear" w:color="auto" w:fill="auto"/>
            <w:noWrap/>
            <w:vAlign w:val="center"/>
            <w:hideMark/>
          </w:tcPr>
          <w:p w:rsidR="00803157" w:rsidRPr="00B148B1" w:rsidRDefault="00803157" w:rsidP="00803157">
            <w:pPr>
              <w:spacing w:line="240" w:lineRule="auto"/>
              <w:jc w:val="left"/>
              <w:rPr>
                <w:rFonts w:cs="Arial"/>
                <w:color w:val="000000"/>
                <w:szCs w:val="20"/>
                <w:lang w:eastAsia="sl-SI"/>
              </w:rPr>
            </w:pPr>
            <w:r w:rsidRPr="00B148B1">
              <w:rPr>
                <w:rFonts w:cs="Arial"/>
                <w:color w:val="000000"/>
                <w:szCs w:val="20"/>
                <w:lang w:eastAsia="sl-SI"/>
              </w:rPr>
              <w:t>Hoče 2019</w:t>
            </w:r>
          </w:p>
        </w:tc>
        <w:tc>
          <w:tcPr>
            <w:tcW w:w="1489" w:type="pct"/>
            <w:shd w:val="clear" w:color="auto" w:fill="auto"/>
            <w:noWrap/>
            <w:vAlign w:val="center"/>
            <w:hideMark/>
          </w:tcPr>
          <w:p w:rsidR="00803157" w:rsidRPr="00B148B1" w:rsidRDefault="00803157" w:rsidP="00A13C59">
            <w:pPr>
              <w:spacing w:line="240" w:lineRule="auto"/>
              <w:jc w:val="center"/>
              <w:rPr>
                <w:rFonts w:cs="Arial"/>
                <w:color w:val="000000"/>
                <w:szCs w:val="20"/>
                <w:lang w:eastAsia="sl-SI"/>
              </w:rPr>
            </w:pPr>
            <w:r w:rsidRPr="00B148B1">
              <w:rPr>
                <w:rFonts w:cs="Arial"/>
                <w:color w:val="000000"/>
                <w:szCs w:val="20"/>
                <w:lang w:eastAsia="sl-SI"/>
              </w:rPr>
              <w:t>4.434</w:t>
            </w:r>
          </w:p>
        </w:tc>
      </w:tr>
      <w:tr w:rsidR="00803157" w:rsidRPr="00B148B1" w:rsidTr="008338BB">
        <w:trPr>
          <w:trHeight w:val="315"/>
        </w:trPr>
        <w:tc>
          <w:tcPr>
            <w:tcW w:w="646" w:type="pct"/>
            <w:shd w:val="clear" w:color="auto" w:fill="auto"/>
            <w:noWrap/>
            <w:vAlign w:val="center"/>
            <w:hideMark/>
          </w:tcPr>
          <w:p w:rsidR="00803157" w:rsidRPr="00B148B1" w:rsidRDefault="00803157" w:rsidP="00B803AE">
            <w:pPr>
              <w:spacing w:line="240" w:lineRule="auto"/>
              <w:jc w:val="center"/>
              <w:rPr>
                <w:rFonts w:cs="Arial"/>
                <w:color w:val="000000"/>
                <w:szCs w:val="20"/>
                <w:lang w:eastAsia="sl-SI"/>
              </w:rPr>
            </w:pPr>
            <w:r w:rsidRPr="00B148B1">
              <w:rPr>
                <w:rFonts w:cs="Arial"/>
                <w:color w:val="000000"/>
                <w:szCs w:val="20"/>
                <w:lang w:eastAsia="sl-SI"/>
              </w:rPr>
              <w:t>21</w:t>
            </w:r>
          </w:p>
        </w:tc>
        <w:tc>
          <w:tcPr>
            <w:tcW w:w="646" w:type="pct"/>
            <w:shd w:val="clear" w:color="auto" w:fill="auto"/>
            <w:noWrap/>
            <w:vAlign w:val="center"/>
            <w:hideMark/>
          </w:tcPr>
          <w:p w:rsidR="00803157" w:rsidRPr="00B148B1" w:rsidRDefault="00803157" w:rsidP="00803157">
            <w:pPr>
              <w:spacing w:line="240" w:lineRule="auto"/>
              <w:jc w:val="right"/>
              <w:rPr>
                <w:rFonts w:cs="Arial"/>
                <w:color w:val="000000"/>
                <w:szCs w:val="20"/>
                <w:lang w:eastAsia="sl-SI"/>
              </w:rPr>
            </w:pPr>
            <w:r w:rsidRPr="00B148B1">
              <w:rPr>
                <w:rFonts w:cs="Arial"/>
                <w:color w:val="000000"/>
                <w:szCs w:val="20"/>
                <w:lang w:eastAsia="sl-SI"/>
              </w:rPr>
              <w:t>10991</w:t>
            </w:r>
          </w:p>
        </w:tc>
        <w:tc>
          <w:tcPr>
            <w:tcW w:w="2219" w:type="pct"/>
            <w:shd w:val="clear" w:color="auto" w:fill="auto"/>
            <w:noWrap/>
            <w:vAlign w:val="center"/>
            <w:hideMark/>
          </w:tcPr>
          <w:p w:rsidR="00803157" w:rsidRPr="00B148B1" w:rsidRDefault="00803157" w:rsidP="00803157">
            <w:pPr>
              <w:spacing w:line="240" w:lineRule="auto"/>
              <w:jc w:val="left"/>
              <w:rPr>
                <w:rFonts w:cs="Arial"/>
                <w:color w:val="000000"/>
                <w:szCs w:val="20"/>
                <w:lang w:eastAsia="sl-SI"/>
              </w:rPr>
            </w:pPr>
            <w:r w:rsidRPr="00B148B1">
              <w:rPr>
                <w:rFonts w:cs="Arial"/>
                <w:color w:val="000000"/>
                <w:szCs w:val="20"/>
                <w:lang w:eastAsia="sl-SI"/>
              </w:rPr>
              <w:t>Zgornja Vižinga 2019</w:t>
            </w:r>
          </w:p>
        </w:tc>
        <w:tc>
          <w:tcPr>
            <w:tcW w:w="1489" w:type="pct"/>
            <w:shd w:val="clear" w:color="auto" w:fill="auto"/>
            <w:noWrap/>
            <w:vAlign w:val="center"/>
            <w:hideMark/>
          </w:tcPr>
          <w:p w:rsidR="00803157" w:rsidRPr="00B148B1" w:rsidRDefault="00803157" w:rsidP="00A13C59">
            <w:pPr>
              <w:spacing w:line="240" w:lineRule="auto"/>
              <w:jc w:val="center"/>
              <w:rPr>
                <w:rFonts w:cs="Arial"/>
                <w:color w:val="000000"/>
                <w:szCs w:val="20"/>
                <w:lang w:eastAsia="sl-SI"/>
              </w:rPr>
            </w:pPr>
            <w:r w:rsidRPr="00B148B1">
              <w:rPr>
                <w:rFonts w:cs="Arial"/>
                <w:color w:val="000000"/>
                <w:szCs w:val="20"/>
                <w:lang w:eastAsia="sl-SI"/>
              </w:rPr>
              <w:t>3.763</w:t>
            </w:r>
          </w:p>
        </w:tc>
      </w:tr>
      <w:tr w:rsidR="00803157" w:rsidRPr="00B148B1" w:rsidTr="008338BB">
        <w:trPr>
          <w:trHeight w:val="315"/>
        </w:trPr>
        <w:tc>
          <w:tcPr>
            <w:tcW w:w="646" w:type="pct"/>
            <w:shd w:val="clear" w:color="auto" w:fill="auto"/>
            <w:noWrap/>
            <w:vAlign w:val="center"/>
            <w:hideMark/>
          </w:tcPr>
          <w:p w:rsidR="00803157" w:rsidRPr="00B148B1" w:rsidRDefault="00803157" w:rsidP="00B803AE">
            <w:pPr>
              <w:spacing w:line="240" w:lineRule="auto"/>
              <w:jc w:val="center"/>
              <w:rPr>
                <w:rFonts w:cs="Arial"/>
                <w:color w:val="000000"/>
                <w:szCs w:val="20"/>
                <w:lang w:eastAsia="sl-SI"/>
              </w:rPr>
            </w:pPr>
            <w:r w:rsidRPr="00B148B1">
              <w:rPr>
                <w:rFonts w:cs="Arial"/>
                <w:color w:val="000000"/>
                <w:szCs w:val="20"/>
                <w:lang w:eastAsia="sl-SI"/>
              </w:rPr>
              <w:t>22</w:t>
            </w:r>
          </w:p>
        </w:tc>
        <w:tc>
          <w:tcPr>
            <w:tcW w:w="646" w:type="pct"/>
            <w:shd w:val="clear" w:color="auto" w:fill="auto"/>
            <w:noWrap/>
            <w:vAlign w:val="center"/>
            <w:hideMark/>
          </w:tcPr>
          <w:p w:rsidR="00803157" w:rsidRPr="00B148B1" w:rsidRDefault="00803157" w:rsidP="00803157">
            <w:pPr>
              <w:spacing w:line="240" w:lineRule="auto"/>
              <w:jc w:val="right"/>
              <w:rPr>
                <w:rFonts w:cs="Arial"/>
                <w:color w:val="000000"/>
                <w:szCs w:val="20"/>
                <w:lang w:eastAsia="sl-SI"/>
              </w:rPr>
            </w:pPr>
            <w:r w:rsidRPr="00B148B1">
              <w:rPr>
                <w:rFonts w:cs="Arial"/>
                <w:color w:val="000000"/>
                <w:szCs w:val="20"/>
                <w:lang w:eastAsia="sl-SI"/>
              </w:rPr>
              <w:t>197</w:t>
            </w:r>
          </w:p>
        </w:tc>
        <w:tc>
          <w:tcPr>
            <w:tcW w:w="2219" w:type="pct"/>
            <w:shd w:val="clear" w:color="auto" w:fill="auto"/>
            <w:noWrap/>
            <w:vAlign w:val="center"/>
            <w:hideMark/>
          </w:tcPr>
          <w:p w:rsidR="00803157" w:rsidRPr="00B148B1" w:rsidRDefault="00803157" w:rsidP="008E43CE">
            <w:pPr>
              <w:spacing w:line="240" w:lineRule="auto"/>
              <w:jc w:val="left"/>
              <w:rPr>
                <w:rFonts w:cs="Arial"/>
                <w:color w:val="000000"/>
                <w:szCs w:val="20"/>
                <w:lang w:eastAsia="sl-SI"/>
              </w:rPr>
            </w:pPr>
            <w:r w:rsidRPr="00B148B1">
              <w:rPr>
                <w:rFonts w:cs="Arial"/>
                <w:color w:val="000000"/>
                <w:szCs w:val="20"/>
                <w:lang w:eastAsia="sl-SI"/>
              </w:rPr>
              <w:t xml:space="preserve">Ormož </w:t>
            </w:r>
            <w:r w:rsidR="0096271E" w:rsidRPr="00B148B1">
              <w:rPr>
                <w:rFonts w:cs="Arial"/>
                <w:color w:val="202122"/>
                <w:sz w:val="21"/>
                <w:szCs w:val="21"/>
                <w:shd w:val="clear" w:color="auto" w:fill="FFFFFF"/>
              </w:rPr>
              <w:t>–</w:t>
            </w:r>
            <w:r w:rsidR="008E43CE" w:rsidRPr="00B148B1">
              <w:rPr>
                <w:rFonts w:cs="Arial"/>
                <w:color w:val="000000"/>
                <w:szCs w:val="20"/>
                <w:lang w:eastAsia="sl-SI"/>
              </w:rPr>
              <w:t xml:space="preserve"> </w:t>
            </w:r>
            <w:r w:rsidRPr="00B148B1">
              <w:rPr>
                <w:rFonts w:cs="Arial"/>
                <w:color w:val="000000"/>
                <w:szCs w:val="20"/>
                <w:lang w:eastAsia="sl-SI"/>
              </w:rPr>
              <w:t>Hardek 2019</w:t>
            </w:r>
          </w:p>
        </w:tc>
        <w:tc>
          <w:tcPr>
            <w:tcW w:w="1489" w:type="pct"/>
            <w:shd w:val="clear" w:color="auto" w:fill="auto"/>
            <w:noWrap/>
            <w:vAlign w:val="center"/>
            <w:hideMark/>
          </w:tcPr>
          <w:p w:rsidR="00803157" w:rsidRPr="00B148B1" w:rsidRDefault="00803157" w:rsidP="00A13C59">
            <w:pPr>
              <w:spacing w:line="240" w:lineRule="auto"/>
              <w:jc w:val="center"/>
              <w:rPr>
                <w:rFonts w:cs="Arial"/>
                <w:color w:val="000000"/>
                <w:szCs w:val="20"/>
                <w:lang w:eastAsia="sl-SI"/>
              </w:rPr>
            </w:pPr>
            <w:r w:rsidRPr="00B148B1">
              <w:rPr>
                <w:rFonts w:cs="Arial"/>
                <w:color w:val="000000"/>
                <w:szCs w:val="20"/>
                <w:lang w:eastAsia="sl-SI"/>
              </w:rPr>
              <w:t>3.696</w:t>
            </w:r>
          </w:p>
        </w:tc>
      </w:tr>
      <w:tr w:rsidR="00803157" w:rsidRPr="00B148B1" w:rsidTr="008338BB">
        <w:trPr>
          <w:trHeight w:val="315"/>
        </w:trPr>
        <w:tc>
          <w:tcPr>
            <w:tcW w:w="646" w:type="pct"/>
            <w:shd w:val="clear" w:color="auto" w:fill="auto"/>
            <w:noWrap/>
            <w:vAlign w:val="center"/>
            <w:hideMark/>
          </w:tcPr>
          <w:p w:rsidR="00803157" w:rsidRPr="00B148B1" w:rsidRDefault="00803157" w:rsidP="00B803AE">
            <w:pPr>
              <w:spacing w:line="240" w:lineRule="auto"/>
              <w:jc w:val="center"/>
              <w:rPr>
                <w:rFonts w:cs="Arial"/>
                <w:color w:val="000000"/>
                <w:szCs w:val="20"/>
                <w:lang w:eastAsia="sl-SI"/>
              </w:rPr>
            </w:pPr>
            <w:r w:rsidRPr="00B148B1">
              <w:rPr>
                <w:rFonts w:cs="Arial"/>
                <w:color w:val="000000"/>
                <w:szCs w:val="20"/>
                <w:lang w:eastAsia="sl-SI"/>
              </w:rPr>
              <w:t>23</w:t>
            </w:r>
          </w:p>
        </w:tc>
        <w:tc>
          <w:tcPr>
            <w:tcW w:w="646" w:type="pct"/>
            <w:shd w:val="clear" w:color="auto" w:fill="auto"/>
            <w:noWrap/>
            <w:vAlign w:val="center"/>
            <w:hideMark/>
          </w:tcPr>
          <w:p w:rsidR="00803157" w:rsidRPr="00B148B1" w:rsidRDefault="00803157" w:rsidP="00803157">
            <w:pPr>
              <w:spacing w:line="240" w:lineRule="auto"/>
              <w:jc w:val="right"/>
              <w:rPr>
                <w:rFonts w:cs="Arial"/>
                <w:color w:val="000000"/>
                <w:szCs w:val="20"/>
                <w:lang w:eastAsia="sl-SI"/>
              </w:rPr>
            </w:pPr>
            <w:r w:rsidRPr="00B148B1">
              <w:rPr>
                <w:rFonts w:cs="Arial"/>
                <w:color w:val="000000"/>
                <w:szCs w:val="20"/>
                <w:lang w:eastAsia="sl-SI"/>
              </w:rPr>
              <w:t>16458</w:t>
            </w:r>
          </w:p>
        </w:tc>
        <w:tc>
          <w:tcPr>
            <w:tcW w:w="2219" w:type="pct"/>
            <w:shd w:val="clear" w:color="auto" w:fill="auto"/>
            <w:noWrap/>
            <w:vAlign w:val="center"/>
            <w:hideMark/>
          </w:tcPr>
          <w:p w:rsidR="00803157" w:rsidRPr="00B148B1" w:rsidRDefault="00803157" w:rsidP="00803157">
            <w:pPr>
              <w:spacing w:line="240" w:lineRule="auto"/>
              <w:jc w:val="left"/>
              <w:rPr>
                <w:rFonts w:cs="Arial"/>
                <w:color w:val="000000"/>
                <w:szCs w:val="20"/>
                <w:lang w:eastAsia="sl-SI"/>
              </w:rPr>
            </w:pPr>
            <w:r w:rsidRPr="00B148B1">
              <w:rPr>
                <w:rFonts w:cs="Arial"/>
                <w:color w:val="000000"/>
                <w:szCs w:val="20"/>
                <w:lang w:eastAsia="sl-SI"/>
              </w:rPr>
              <w:t>Zgornji in Spodnji Duplek 2019</w:t>
            </w:r>
          </w:p>
        </w:tc>
        <w:tc>
          <w:tcPr>
            <w:tcW w:w="1489" w:type="pct"/>
            <w:shd w:val="clear" w:color="auto" w:fill="auto"/>
            <w:noWrap/>
            <w:vAlign w:val="center"/>
            <w:hideMark/>
          </w:tcPr>
          <w:p w:rsidR="00803157" w:rsidRPr="00B148B1" w:rsidRDefault="00803157" w:rsidP="00A13C59">
            <w:pPr>
              <w:spacing w:line="240" w:lineRule="auto"/>
              <w:jc w:val="center"/>
              <w:rPr>
                <w:rFonts w:cs="Arial"/>
                <w:color w:val="000000"/>
                <w:szCs w:val="20"/>
                <w:lang w:eastAsia="sl-SI"/>
              </w:rPr>
            </w:pPr>
            <w:r w:rsidRPr="00B148B1">
              <w:rPr>
                <w:rFonts w:cs="Arial"/>
                <w:color w:val="000000"/>
                <w:szCs w:val="20"/>
                <w:lang w:eastAsia="sl-SI"/>
              </w:rPr>
              <w:t>3.608</w:t>
            </w:r>
          </w:p>
        </w:tc>
      </w:tr>
      <w:tr w:rsidR="00803157" w:rsidRPr="00B148B1" w:rsidTr="008338BB">
        <w:trPr>
          <w:trHeight w:val="315"/>
        </w:trPr>
        <w:tc>
          <w:tcPr>
            <w:tcW w:w="646" w:type="pct"/>
            <w:shd w:val="clear" w:color="auto" w:fill="auto"/>
            <w:noWrap/>
            <w:vAlign w:val="center"/>
            <w:hideMark/>
          </w:tcPr>
          <w:p w:rsidR="00803157" w:rsidRPr="00B148B1" w:rsidRDefault="00803157" w:rsidP="00B803AE">
            <w:pPr>
              <w:spacing w:line="240" w:lineRule="auto"/>
              <w:jc w:val="center"/>
              <w:rPr>
                <w:rFonts w:cs="Arial"/>
                <w:color w:val="000000"/>
                <w:szCs w:val="20"/>
                <w:lang w:eastAsia="sl-SI"/>
              </w:rPr>
            </w:pPr>
            <w:r w:rsidRPr="00B148B1">
              <w:rPr>
                <w:rFonts w:cs="Arial"/>
                <w:color w:val="000000"/>
                <w:szCs w:val="20"/>
                <w:lang w:eastAsia="sl-SI"/>
              </w:rPr>
              <w:lastRenderedPageBreak/>
              <w:t>24</w:t>
            </w:r>
          </w:p>
        </w:tc>
        <w:tc>
          <w:tcPr>
            <w:tcW w:w="646" w:type="pct"/>
            <w:shd w:val="clear" w:color="auto" w:fill="auto"/>
            <w:noWrap/>
            <w:vAlign w:val="center"/>
            <w:hideMark/>
          </w:tcPr>
          <w:p w:rsidR="00803157" w:rsidRPr="00B148B1" w:rsidRDefault="00803157" w:rsidP="00803157">
            <w:pPr>
              <w:spacing w:line="240" w:lineRule="auto"/>
              <w:jc w:val="right"/>
              <w:rPr>
                <w:rFonts w:cs="Arial"/>
                <w:color w:val="000000"/>
                <w:szCs w:val="20"/>
                <w:lang w:eastAsia="sl-SI"/>
              </w:rPr>
            </w:pPr>
            <w:r w:rsidRPr="00B148B1">
              <w:rPr>
                <w:rFonts w:cs="Arial"/>
                <w:color w:val="000000"/>
                <w:szCs w:val="20"/>
                <w:lang w:eastAsia="sl-SI"/>
              </w:rPr>
              <w:t>16449</w:t>
            </w:r>
          </w:p>
        </w:tc>
        <w:tc>
          <w:tcPr>
            <w:tcW w:w="2219" w:type="pct"/>
            <w:shd w:val="clear" w:color="auto" w:fill="auto"/>
            <w:noWrap/>
            <w:vAlign w:val="center"/>
            <w:hideMark/>
          </w:tcPr>
          <w:p w:rsidR="00803157" w:rsidRPr="00B148B1" w:rsidRDefault="00803157" w:rsidP="00803157">
            <w:pPr>
              <w:spacing w:line="240" w:lineRule="auto"/>
              <w:jc w:val="left"/>
              <w:rPr>
                <w:rFonts w:cs="Arial"/>
                <w:color w:val="000000"/>
                <w:szCs w:val="20"/>
                <w:lang w:eastAsia="sl-SI"/>
              </w:rPr>
            </w:pPr>
            <w:r w:rsidRPr="00B148B1">
              <w:rPr>
                <w:rFonts w:cs="Arial"/>
                <w:color w:val="000000"/>
                <w:szCs w:val="20"/>
                <w:lang w:eastAsia="sl-SI"/>
              </w:rPr>
              <w:t>Lenart v Slovenskih goricah 2019</w:t>
            </w:r>
          </w:p>
        </w:tc>
        <w:tc>
          <w:tcPr>
            <w:tcW w:w="1489" w:type="pct"/>
            <w:shd w:val="clear" w:color="auto" w:fill="auto"/>
            <w:noWrap/>
            <w:vAlign w:val="center"/>
            <w:hideMark/>
          </w:tcPr>
          <w:p w:rsidR="00803157" w:rsidRPr="00B148B1" w:rsidRDefault="00803157" w:rsidP="00A13C59">
            <w:pPr>
              <w:spacing w:line="240" w:lineRule="auto"/>
              <w:jc w:val="center"/>
              <w:rPr>
                <w:rFonts w:cs="Arial"/>
                <w:color w:val="000000"/>
                <w:szCs w:val="20"/>
                <w:lang w:eastAsia="sl-SI"/>
              </w:rPr>
            </w:pPr>
            <w:r w:rsidRPr="00B148B1">
              <w:rPr>
                <w:rFonts w:cs="Arial"/>
                <w:color w:val="000000"/>
                <w:szCs w:val="20"/>
                <w:lang w:eastAsia="sl-SI"/>
              </w:rPr>
              <w:t>3.532</w:t>
            </w:r>
          </w:p>
        </w:tc>
      </w:tr>
      <w:tr w:rsidR="00803157" w:rsidRPr="00B148B1" w:rsidTr="008338BB">
        <w:trPr>
          <w:trHeight w:val="315"/>
        </w:trPr>
        <w:tc>
          <w:tcPr>
            <w:tcW w:w="646" w:type="pct"/>
            <w:shd w:val="clear" w:color="auto" w:fill="auto"/>
            <w:noWrap/>
            <w:vAlign w:val="center"/>
            <w:hideMark/>
          </w:tcPr>
          <w:p w:rsidR="00803157" w:rsidRPr="00B148B1" w:rsidRDefault="00803157" w:rsidP="00B803AE">
            <w:pPr>
              <w:spacing w:line="240" w:lineRule="auto"/>
              <w:jc w:val="center"/>
              <w:rPr>
                <w:rFonts w:cs="Arial"/>
                <w:color w:val="000000"/>
                <w:szCs w:val="20"/>
                <w:lang w:eastAsia="sl-SI"/>
              </w:rPr>
            </w:pPr>
            <w:r w:rsidRPr="00B148B1">
              <w:rPr>
                <w:rFonts w:cs="Arial"/>
                <w:color w:val="000000"/>
                <w:szCs w:val="20"/>
                <w:lang w:eastAsia="sl-SI"/>
              </w:rPr>
              <w:t>25</w:t>
            </w:r>
          </w:p>
        </w:tc>
        <w:tc>
          <w:tcPr>
            <w:tcW w:w="646" w:type="pct"/>
            <w:shd w:val="clear" w:color="auto" w:fill="auto"/>
            <w:noWrap/>
            <w:vAlign w:val="center"/>
            <w:hideMark/>
          </w:tcPr>
          <w:p w:rsidR="00803157" w:rsidRPr="00B148B1" w:rsidRDefault="00803157" w:rsidP="00803157">
            <w:pPr>
              <w:spacing w:line="240" w:lineRule="auto"/>
              <w:jc w:val="right"/>
              <w:rPr>
                <w:rFonts w:cs="Arial"/>
                <w:color w:val="000000"/>
                <w:szCs w:val="20"/>
                <w:lang w:eastAsia="sl-SI"/>
              </w:rPr>
            </w:pPr>
            <w:r w:rsidRPr="00B148B1">
              <w:rPr>
                <w:rFonts w:cs="Arial"/>
                <w:color w:val="000000"/>
                <w:szCs w:val="20"/>
                <w:lang w:eastAsia="sl-SI"/>
              </w:rPr>
              <w:t>8186</w:t>
            </w:r>
          </w:p>
        </w:tc>
        <w:tc>
          <w:tcPr>
            <w:tcW w:w="2219" w:type="pct"/>
            <w:shd w:val="clear" w:color="auto" w:fill="auto"/>
            <w:noWrap/>
            <w:vAlign w:val="center"/>
            <w:hideMark/>
          </w:tcPr>
          <w:p w:rsidR="00803157" w:rsidRPr="00B148B1" w:rsidRDefault="00803157" w:rsidP="00803157">
            <w:pPr>
              <w:spacing w:line="240" w:lineRule="auto"/>
              <w:jc w:val="left"/>
              <w:rPr>
                <w:rFonts w:cs="Arial"/>
                <w:color w:val="000000"/>
                <w:szCs w:val="20"/>
                <w:lang w:eastAsia="sl-SI"/>
              </w:rPr>
            </w:pPr>
            <w:r w:rsidRPr="00B148B1">
              <w:rPr>
                <w:rFonts w:cs="Arial"/>
                <w:color w:val="000000"/>
                <w:szCs w:val="20"/>
                <w:lang w:eastAsia="sl-SI"/>
              </w:rPr>
              <w:t>Mozirje 2019</w:t>
            </w:r>
          </w:p>
        </w:tc>
        <w:tc>
          <w:tcPr>
            <w:tcW w:w="1489" w:type="pct"/>
            <w:shd w:val="clear" w:color="auto" w:fill="auto"/>
            <w:noWrap/>
            <w:vAlign w:val="center"/>
            <w:hideMark/>
          </w:tcPr>
          <w:p w:rsidR="00803157" w:rsidRPr="00B148B1" w:rsidRDefault="00803157" w:rsidP="00A13C59">
            <w:pPr>
              <w:spacing w:line="240" w:lineRule="auto"/>
              <w:jc w:val="center"/>
              <w:rPr>
                <w:rFonts w:cs="Arial"/>
                <w:color w:val="000000"/>
                <w:szCs w:val="20"/>
                <w:lang w:eastAsia="sl-SI"/>
              </w:rPr>
            </w:pPr>
            <w:r w:rsidRPr="00B148B1">
              <w:rPr>
                <w:rFonts w:cs="Arial"/>
                <w:color w:val="000000"/>
                <w:szCs w:val="20"/>
                <w:lang w:eastAsia="sl-SI"/>
              </w:rPr>
              <w:t>2.918</w:t>
            </w:r>
          </w:p>
        </w:tc>
      </w:tr>
      <w:tr w:rsidR="00803157" w:rsidRPr="00B148B1" w:rsidTr="008338BB">
        <w:trPr>
          <w:trHeight w:val="315"/>
        </w:trPr>
        <w:tc>
          <w:tcPr>
            <w:tcW w:w="646" w:type="pct"/>
            <w:shd w:val="clear" w:color="auto" w:fill="auto"/>
            <w:noWrap/>
            <w:vAlign w:val="center"/>
            <w:hideMark/>
          </w:tcPr>
          <w:p w:rsidR="00803157" w:rsidRPr="00B148B1" w:rsidRDefault="00803157" w:rsidP="00B803AE">
            <w:pPr>
              <w:spacing w:line="240" w:lineRule="auto"/>
              <w:jc w:val="center"/>
              <w:rPr>
                <w:rFonts w:cs="Arial"/>
                <w:color w:val="000000"/>
                <w:szCs w:val="20"/>
                <w:lang w:eastAsia="sl-SI"/>
              </w:rPr>
            </w:pPr>
            <w:r w:rsidRPr="00B148B1">
              <w:rPr>
                <w:rFonts w:cs="Arial"/>
                <w:color w:val="000000"/>
                <w:szCs w:val="20"/>
                <w:lang w:eastAsia="sl-SI"/>
              </w:rPr>
              <w:t>26</w:t>
            </w:r>
          </w:p>
        </w:tc>
        <w:tc>
          <w:tcPr>
            <w:tcW w:w="646" w:type="pct"/>
            <w:shd w:val="clear" w:color="auto" w:fill="auto"/>
            <w:noWrap/>
            <w:vAlign w:val="center"/>
            <w:hideMark/>
          </w:tcPr>
          <w:p w:rsidR="00803157" w:rsidRPr="00B148B1" w:rsidRDefault="00803157" w:rsidP="00803157">
            <w:pPr>
              <w:spacing w:line="240" w:lineRule="auto"/>
              <w:jc w:val="right"/>
              <w:rPr>
                <w:rFonts w:cs="Arial"/>
                <w:color w:val="000000"/>
                <w:szCs w:val="20"/>
                <w:lang w:eastAsia="sl-SI"/>
              </w:rPr>
            </w:pPr>
            <w:r w:rsidRPr="00B148B1">
              <w:rPr>
                <w:rFonts w:cs="Arial"/>
                <w:color w:val="000000"/>
                <w:szCs w:val="20"/>
                <w:lang w:eastAsia="sl-SI"/>
              </w:rPr>
              <w:t>7790</w:t>
            </w:r>
          </w:p>
        </w:tc>
        <w:tc>
          <w:tcPr>
            <w:tcW w:w="2219" w:type="pct"/>
            <w:shd w:val="clear" w:color="auto" w:fill="auto"/>
            <w:noWrap/>
            <w:vAlign w:val="center"/>
            <w:hideMark/>
          </w:tcPr>
          <w:p w:rsidR="00803157" w:rsidRPr="00B148B1" w:rsidRDefault="00803157" w:rsidP="00803157">
            <w:pPr>
              <w:spacing w:line="240" w:lineRule="auto"/>
              <w:jc w:val="left"/>
              <w:rPr>
                <w:rFonts w:cs="Arial"/>
                <w:color w:val="000000"/>
                <w:szCs w:val="20"/>
                <w:lang w:eastAsia="sl-SI"/>
              </w:rPr>
            </w:pPr>
            <w:r w:rsidRPr="00B148B1">
              <w:rPr>
                <w:rFonts w:cs="Arial"/>
                <w:color w:val="000000"/>
                <w:szCs w:val="20"/>
                <w:lang w:eastAsia="sl-SI"/>
              </w:rPr>
              <w:t>Prihova 2019</w:t>
            </w:r>
          </w:p>
        </w:tc>
        <w:tc>
          <w:tcPr>
            <w:tcW w:w="1489" w:type="pct"/>
            <w:shd w:val="clear" w:color="auto" w:fill="auto"/>
            <w:noWrap/>
            <w:vAlign w:val="center"/>
            <w:hideMark/>
          </w:tcPr>
          <w:p w:rsidR="00803157" w:rsidRPr="00B148B1" w:rsidRDefault="00803157" w:rsidP="00A13C59">
            <w:pPr>
              <w:spacing w:line="240" w:lineRule="auto"/>
              <w:jc w:val="center"/>
              <w:rPr>
                <w:rFonts w:cs="Arial"/>
                <w:color w:val="000000"/>
                <w:szCs w:val="20"/>
                <w:lang w:eastAsia="sl-SI"/>
              </w:rPr>
            </w:pPr>
            <w:r w:rsidRPr="00B148B1">
              <w:rPr>
                <w:rFonts w:cs="Arial"/>
                <w:color w:val="000000"/>
                <w:szCs w:val="20"/>
                <w:lang w:eastAsia="sl-SI"/>
              </w:rPr>
              <w:t>2.788</w:t>
            </w:r>
          </w:p>
        </w:tc>
      </w:tr>
      <w:tr w:rsidR="00803157" w:rsidRPr="00B148B1" w:rsidTr="008338BB">
        <w:trPr>
          <w:trHeight w:val="315"/>
        </w:trPr>
        <w:tc>
          <w:tcPr>
            <w:tcW w:w="646" w:type="pct"/>
            <w:shd w:val="clear" w:color="auto" w:fill="auto"/>
            <w:noWrap/>
            <w:vAlign w:val="center"/>
            <w:hideMark/>
          </w:tcPr>
          <w:p w:rsidR="00803157" w:rsidRPr="00B148B1" w:rsidRDefault="00803157" w:rsidP="00B803AE">
            <w:pPr>
              <w:spacing w:line="240" w:lineRule="auto"/>
              <w:jc w:val="center"/>
              <w:rPr>
                <w:rFonts w:cs="Arial"/>
                <w:color w:val="000000"/>
                <w:szCs w:val="20"/>
                <w:lang w:eastAsia="sl-SI"/>
              </w:rPr>
            </w:pPr>
            <w:r w:rsidRPr="00B148B1">
              <w:rPr>
                <w:rFonts w:cs="Arial"/>
                <w:color w:val="000000"/>
                <w:szCs w:val="20"/>
                <w:lang w:eastAsia="sl-SI"/>
              </w:rPr>
              <w:t>27</w:t>
            </w:r>
          </w:p>
        </w:tc>
        <w:tc>
          <w:tcPr>
            <w:tcW w:w="646" w:type="pct"/>
            <w:shd w:val="clear" w:color="auto" w:fill="auto"/>
            <w:noWrap/>
            <w:vAlign w:val="center"/>
            <w:hideMark/>
          </w:tcPr>
          <w:p w:rsidR="00803157" w:rsidRPr="00B148B1" w:rsidRDefault="00803157" w:rsidP="00803157">
            <w:pPr>
              <w:spacing w:line="240" w:lineRule="auto"/>
              <w:jc w:val="right"/>
              <w:rPr>
                <w:rFonts w:cs="Arial"/>
                <w:color w:val="000000"/>
                <w:szCs w:val="20"/>
                <w:lang w:eastAsia="sl-SI"/>
              </w:rPr>
            </w:pPr>
            <w:r w:rsidRPr="00B148B1">
              <w:rPr>
                <w:rFonts w:cs="Arial"/>
                <w:color w:val="000000"/>
                <w:szCs w:val="20"/>
                <w:lang w:eastAsia="sl-SI"/>
              </w:rPr>
              <w:t>4887</w:t>
            </w:r>
          </w:p>
        </w:tc>
        <w:tc>
          <w:tcPr>
            <w:tcW w:w="2219" w:type="pct"/>
            <w:shd w:val="clear" w:color="auto" w:fill="auto"/>
            <w:noWrap/>
            <w:vAlign w:val="center"/>
            <w:hideMark/>
          </w:tcPr>
          <w:p w:rsidR="00803157" w:rsidRPr="00B148B1" w:rsidRDefault="00803157" w:rsidP="00803157">
            <w:pPr>
              <w:spacing w:line="240" w:lineRule="auto"/>
              <w:jc w:val="left"/>
              <w:rPr>
                <w:rFonts w:cs="Arial"/>
                <w:color w:val="000000"/>
                <w:szCs w:val="20"/>
                <w:lang w:eastAsia="sl-SI"/>
              </w:rPr>
            </w:pPr>
            <w:r w:rsidRPr="00B148B1">
              <w:rPr>
                <w:rFonts w:cs="Arial"/>
                <w:color w:val="000000"/>
                <w:szCs w:val="20"/>
                <w:lang w:eastAsia="sl-SI"/>
              </w:rPr>
              <w:t>Log pri Brezovici 2019</w:t>
            </w:r>
          </w:p>
        </w:tc>
        <w:tc>
          <w:tcPr>
            <w:tcW w:w="1489" w:type="pct"/>
            <w:shd w:val="clear" w:color="auto" w:fill="auto"/>
            <w:noWrap/>
            <w:vAlign w:val="center"/>
            <w:hideMark/>
          </w:tcPr>
          <w:p w:rsidR="00803157" w:rsidRPr="00B148B1" w:rsidRDefault="00803157" w:rsidP="00A13C59">
            <w:pPr>
              <w:spacing w:line="240" w:lineRule="auto"/>
              <w:jc w:val="center"/>
              <w:rPr>
                <w:rFonts w:cs="Arial"/>
                <w:color w:val="000000"/>
                <w:szCs w:val="20"/>
                <w:lang w:eastAsia="sl-SI"/>
              </w:rPr>
            </w:pPr>
            <w:r w:rsidRPr="00B148B1">
              <w:rPr>
                <w:rFonts w:cs="Arial"/>
                <w:color w:val="000000"/>
                <w:szCs w:val="20"/>
                <w:lang w:eastAsia="sl-SI"/>
              </w:rPr>
              <w:t>2.260</w:t>
            </w:r>
          </w:p>
        </w:tc>
      </w:tr>
      <w:tr w:rsidR="00803157" w:rsidRPr="00B148B1" w:rsidTr="008338BB">
        <w:trPr>
          <w:trHeight w:val="315"/>
        </w:trPr>
        <w:tc>
          <w:tcPr>
            <w:tcW w:w="646" w:type="pct"/>
            <w:shd w:val="clear" w:color="auto" w:fill="auto"/>
            <w:noWrap/>
            <w:vAlign w:val="center"/>
            <w:hideMark/>
          </w:tcPr>
          <w:p w:rsidR="00803157" w:rsidRPr="00B148B1" w:rsidRDefault="00803157" w:rsidP="00B803AE">
            <w:pPr>
              <w:spacing w:line="240" w:lineRule="auto"/>
              <w:jc w:val="center"/>
              <w:rPr>
                <w:rFonts w:cs="Arial"/>
                <w:color w:val="000000"/>
                <w:szCs w:val="20"/>
                <w:lang w:eastAsia="sl-SI"/>
              </w:rPr>
            </w:pPr>
            <w:r w:rsidRPr="00B148B1">
              <w:rPr>
                <w:rFonts w:cs="Arial"/>
                <w:color w:val="000000"/>
                <w:szCs w:val="20"/>
                <w:lang w:eastAsia="sl-SI"/>
              </w:rPr>
              <w:t>28</w:t>
            </w:r>
          </w:p>
        </w:tc>
        <w:tc>
          <w:tcPr>
            <w:tcW w:w="646" w:type="pct"/>
            <w:shd w:val="clear" w:color="auto" w:fill="auto"/>
            <w:noWrap/>
            <w:vAlign w:val="center"/>
            <w:hideMark/>
          </w:tcPr>
          <w:p w:rsidR="00803157" w:rsidRPr="00B148B1" w:rsidRDefault="00803157" w:rsidP="00803157">
            <w:pPr>
              <w:spacing w:line="240" w:lineRule="auto"/>
              <w:jc w:val="right"/>
              <w:rPr>
                <w:rFonts w:cs="Arial"/>
                <w:color w:val="000000"/>
                <w:szCs w:val="20"/>
                <w:lang w:eastAsia="sl-SI"/>
              </w:rPr>
            </w:pPr>
            <w:r w:rsidRPr="00B148B1">
              <w:rPr>
                <w:rFonts w:cs="Arial"/>
                <w:color w:val="000000"/>
                <w:szCs w:val="20"/>
                <w:lang w:eastAsia="sl-SI"/>
              </w:rPr>
              <w:t>9638</w:t>
            </w:r>
          </w:p>
        </w:tc>
        <w:tc>
          <w:tcPr>
            <w:tcW w:w="2219" w:type="pct"/>
            <w:shd w:val="clear" w:color="auto" w:fill="auto"/>
            <w:noWrap/>
            <w:vAlign w:val="center"/>
            <w:hideMark/>
          </w:tcPr>
          <w:p w:rsidR="00803157" w:rsidRPr="00B148B1" w:rsidRDefault="00803157" w:rsidP="00803157">
            <w:pPr>
              <w:spacing w:line="240" w:lineRule="auto"/>
              <w:jc w:val="left"/>
              <w:rPr>
                <w:rFonts w:cs="Arial"/>
                <w:color w:val="000000"/>
                <w:szCs w:val="20"/>
                <w:lang w:eastAsia="sl-SI"/>
              </w:rPr>
            </w:pPr>
            <w:r w:rsidRPr="00B148B1">
              <w:rPr>
                <w:rFonts w:cs="Arial"/>
                <w:color w:val="000000"/>
                <w:szCs w:val="20"/>
                <w:lang w:eastAsia="sl-SI"/>
              </w:rPr>
              <w:t>Odranci 2019</w:t>
            </w:r>
          </w:p>
        </w:tc>
        <w:tc>
          <w:tcPr>
            <w:tcW w:w="1489" w:type="pct"/>
            <w:shd w:val="clear" w:color="auto" w:fill="auto"/>
            <w:noWrap/>
            <w:vAlign w:val="center"/>
            <w:hideMark/>
          </w:tcPr>
          <w:p w:rsidR="00803157" w:rsidRPr="00B148B1" w:rsidRDefault="00803157" w:rsidP="00A13C59">
            <w:pPr>
              <w:spacing w:line="240" w:lineRule="auto"/>
              <w:jc w:val="center"/>
              <w:rPr>
                <w:rFonts w:cs="Arial"/>
                <w:color w:val="000000"/>
                <w:szCs w:val="20"/>
                <w:lang w:eastAsia="sl-SI"/>
              </w:rPr>
            </w:pPr>
            <w:r w:rsidRPr="00B148B1">
              <w:rPr>
                <w:rFonts w:cs="Arial"/>
                <w:color w:val="000000"/>
                <w:szCs w:val="20"/>
                <w:lang w:eastAsia="sl-SI"/>
              </w:rPr>
              <w:t>2.020</w:t>
            </w:r>
          </w:p>
        </w:tc>
      </w:tr>
    </w:tbl>
    <w:p w:rsidR="006C7916" w:rsidRDefault="00A13C59" w:rsidP="0031491A">
      <w:pPr>
        <w:numPr>
          <w:ilvl w:val="0"/>
          <w:numId w:val="28"/>
        </w:numPr>
        <w:tabs>
          <w:tab w:val="left" w:pos="9600"/>
        </w:tabs>
        <w:spacing w:before="120" w:line="280" w:lineRule="atLeast"/>
        <w:rPr>
          <w:rFonts w:cs="Arial"/>
          <w:szCs w:val="20"/>
        </w:rPr>
      </w:pPr>
      <w:r w:rsidRPr="00B148B1">
        <w:rPr>
          <w:rFonts w:cs="Arial"/>
          <w:szCs w:val="20"/>
        </w:rPr>
        <w:t>in</w:t>
      </w:r>
      <w:r w:rsidR="006C7916" w:rsidRPr="00B148B1">
        <w:rPr>
          <w:rFonts w:cs="Arial"/>
          <w:szCs w:val="20"/>
        </w:rPr>
        <w:t xml:space="preserve">vesticija v javno kanalizacijsko omrežje, ki je zaključeno z obstoječo čistilno napravo, namenjeno izvajanju javne službe, v aglomeraciji s skupno obremenitvijo, enako ali večjo od 2.000 PE, ki ni aglomeracija iz </w:t>
      </w:r>
      <w:r w:rsidR="009E63C5" w:rsidRPr="00B148B1">
        <w:rPr>
          <w:rFonts w:cs="Arial"/>
          <w:szCs w:val="20"/>
        </w:rPr>
        <w:t xml:space="preserve">zgornjih </w:t>
      </w:r>
      <w:r w:rsidR="001767B2">
        <w:rPr>
          <w:rFonts w:cs="Arial"/>
          <w:szCs w:val="20"/>
        </w:rPr>
        <w:t>treh</w:t>
      </w:r>
      <w:r w:rsidR="002D397A" w:rsidRPr="00B148B1">
        <w:rPr>
          <w:rFonts w:cs="Arial"/>
          <w:szCs w:val="20"/>
        </w:rPr>
        <w:t xml:space="preserve"> </w:t>
      </w:r>
      <w:r w:rsidR="009E63C5" w:rsidRPr="00B148B1">
        <w:rPr>
          <w:rFonts w:cs="Arial"/>
          <w:szCs w:val="20"/>
        </w:rPr>
        <w:t>alinej</w:t>
      </w:r>
      <w:r w:rsidRPr="00B148B1">
        <w:rPr>
          <w:rFonts w:cs="Arial"/>
          <w:szCs w:val="20"/>
        </w:rPr>
        <w:t xml:space="preserve"> tega odstavka,</w:t>
      </w:r>
    </w:p>
    <w:p w:rsidR="0031491A" w:rsidRPr="00B148B1" w:rsidRDefault="0031491A" w:rsidP="0031491A">
      <w:pPr>
        <w:numPr>
          <w:ilvl w:val="0"/>
          <w:numId w:val="28"/>
        </w:numPr>
        <w:tabs>
          <w:tab w:val="left" w:pos="9600"/>
        </w:tabs>
        <w:spacing w:before="120" w:line="280" w:lineRule="atLeast"/>
        <w:rPr>
          <w:rFonts w:cs="Arial"/>
          <w:szCs w:val="20"/>
        </w:rPr>
      </w:pPr>
      <w:r w:rsidRPr="00B148B1">
        <w:rPr>
          <w:rFonts w:cs="Arial"/>
          <w:szCs w:val="20"/>
        </w:rPr>
        <w:t xml:space="preserve">investicija v javno kanalizacijo (javno kanalizacijsko omrežje in čistilno napravo) v aglomeraciji s skupno obremenitvijo, enako ali večjo od 2.000 PE, ki ni aglomeracija iz zgornjih </w:t>
      </w:r>
      <w:r w:rsidR="001767B2">
        <w:rPr>
          <w:rFonts w:cs="Arial"/>
          <w:szCs w:val="20"/>
        </w:rPr>
        <w:t>štirih</w:t>
      </w:r>
      <w:r w:rsidRPr="00B148B1">
        <w:rPr>
          <w:rFonts w:cs="Arial"/>
          <w:szCs w:val="20"/>
        </w:rPr>
        <w:t xml:space="preserve"> alinej tega odstavka,</w:t>
      </w:r>
    </w:p>
    <w:p w:rsidR="0031491A" w:rsidRPr="00B148B1" w:rsidRDefault="0031491A" w:rsidP="0031491A">
      <w:pPr>
        <w:tabs>
          <w:tab w:val="left" w:pos="9600"/>
        </w:tabs>
        <w:spacing w:before="120" w:line="280" w:lineRule="atLeast"/>
        <w:rPr>
          <w:rFonts w:cs="Arial"/>
          <w:szCs w:val="20"/>
        </w:rPr>
      </w:pPr>
      <w:r>
        <w:rPr>
          <w:rFonts w:cs="Arial"/>
          <w:szCs w:val="20"/>
        </w:rPr>
        <w:t>Druga prioriteta: Ukrepi za zagotovitev dobrega stanja na območju vodnega telesa podzemnih vod</w:t>
      </w:r>
    </w:p>
    <w:p w:rsidR="002D397A" w:rsidRPr="00B148B1" w:rsidRDefault="002D397A" w:rsidP="002D397A">
      <w:pPr>
        <w:rPr>
          <w:rFonts w:cs="Arial"/>
          <w:szCs w:val="20"/>
        </w:rPr>
      </w:pPr>
    </w:p>
    <w:p w:rsidR="002D397A" w:rsidRDefault="002D397A" w:rsidP="0031491A">
      <w:pPr>
        <w:pStyle w:val="Odstavekseznama"/>
        <w:numPr>
          <w:ilvl w:val="0"/>
          <w:numId w:val="29"/>
        </w:numPr>
        <w:rPr>
          <w:rFonts w:cs="Arial"/>
          <w:szCs w:val="20"/>
        </w:rPr>
      </w:pPr>
      <w:r w:rsidRPr="00B148B1">
        <w:rPr>
          <w:rFonts w:cs="Arial"/>
          <w:szCs w:val="20"/>
        </w:rPr>
        <w:t>investicija v javno kanalizacijo (javno kanalizacijsko omrežje in čistilno napravo) v aglomeraciji s skupno obremenitvijo, enako ali večjo od 2.000 PE, ki leži znotraj navedenih območij vodnega telesa podzemnih vod (</w:t>
      </w:r>
      <w:proofErr w:type="spellStart"/>
      <w:r w:rsidRPr="00B148B1">
        <w:rPr>
          <w:rFonts w:cs="Arial"/>
          <w:szCs w:val="20"/>
        </w:rPr>
        <w:t>VTPodV</w:t>
      </w:r>
      <w:proofErr w:type="spellEnd"/>
      <w:r w:rsidRPr="00B148B1">
        <w:rPr>
          <w:rFonts w:cs="Arial"/>
          <w:szCs w:val="20"/>
        </w:rPr>
        <w:t xml:space="preserve">_1002 Savinjska kotlina, </w:t>
      </w:r>
      <w:proofErr w:type="spellStart"/>
      <w:r w:rsidRPr="00B148B1">
        <w:rPr>
          <w:rFonts w:cs="Arial"/>
          <w:szCs w:val="20"/>
        </w:rPr>
        <w:t>VTPodV</w:t>
      </w:r>
      <w:proofErr w:type="spellEnd"/>
      <w:r w:rsidRPr="00B148B1">
        <w:rPr>
          <w:rFonts w:cs="Arial"/>
          <w:szCs w:val="20"/>
        </w:rPr>
        <w:t xml:space="preserve">_3012 Dravska kotlina, </w:t>
      </w:r>
      <w:proofErr w:type="spellStart"/>
      <w:r w:rsidRPr="00B148B1">
        <w:rPr>
          <w:rFonts w:cs="Arial"/>
          <w:szCs w:val="20"/>
        </w:rPr>
        <w:t>VTPodV</w:t>
      </w:r>
      <w:proofErr w:type="spellEnd"/>
      <w:r w:rsidRPr="00B148B1">
        <w:rPr>
          <w:rFonts w:cs="Arial"/>
          <w:szCs w:val="20"/>
        </w:rPr>
        <w:t>_4016 Murska kotlina),</w:t>
      </w:r>
    </w:p>
    <w:p w:rsidR="0031491A" w:rsidRDefault="0031491A" w:rsidP="0031491A">
      <w:pPr>
        <w:rPr>
          <w:rFonts w:cs="Arial"/>
          <w:szCs w:val="20"/>
        </w:rPr>
      </w:pPr>
    </w:p>
    <w:p w:rsidR="0031491A" w:rsidRPr="0031491A" w:rsidRDefault="0031491A" w:rsidP="0031491A">
      <w:pPr>
        <w:rPr>
          <w:rFonts w:cs="Arial"/>
          <w:szCs w:val="20"/>
        </w:rPr>
      </w:pPr>
      <w:r>
        <w:rPr>
          <w:rFonts w:cs="Arial"/>
          <w:szCs w:val="20"/>
        </w:rPr>
        <w:t xml:space="preserve">Tretja prioriteta: Ukrepi za zagotovitev skladnosti v aglomeracijah s skupno obremenitvijo, manjšo od 2.000 PE </w:t>
      </w:r>
    </w:p>
    <w:p w:rsidR="006D2F16" w:rsidRPr="00B148B1" w:rsidRDefault="00A13C59" w:rsidP="0031491A">
      <w:pPr>
        <w:numPr>
          <w:ilvl w:val="0"/>
          <w:numId w:val="30"/>
        </w:numPr>
        <w:tabs>
          <w:tab w:val="left" w:pos="9600"/>
        </w:tabs>
        <w:spacing w:before="120" w:line="280" w:lineRule="atLeast"/>
        <w:rPr>
          <w:rFonts w:cs="Arial"/>
          <w:szCs w:val="20"/>
        </w:rPr>
      </w:pPr>
      <w:r w:rsidRPr="00B148B1">
        <w:rPr>
          <w:rFonts w:cs="Arial"/>
          <w:szCs w:val="20"/>
        </w:rPr>
        <w:t>i</w:t>
      </w:r>
      <w:r w:rsidR="006D2F16" w:rsidRPr="00B148B1">
        <w:rPr>
          <w:rFonts w:cs="Arial"/>
          <w:szCs w:val="20"/>
        </w:rPr>
        <w:t xml:space="preserve">nvesticija v javno kanalizacijo za odvajanje komunalne odpadne vode in </w:t>
      </w:r>
      <w:r w:rsidR="009E63C5" w:rsidRPr="00B148B1">
        <w:rPr>
          <w:rFonts w:cs="Arial"/>
          <w:szCs w:val="20"/>
        </w:rPr>
        <w:t>v čistilno napravo, ki zaključuje</w:t>
      </w:r>
      <w:r w:rsidR="00BC40C6" w:rsidRPr="00B148B1">
        <w:rPr>
          <w:rFonts w:cs="Arial"/>
          <w:szCs w:val="20"/>
        </w:rPr>
        <w:t xml:space="preserve"> </w:t>
      </w:r>
      <w:r w:rsidR="009E63C5" w:rsidRPr="00B148B1">
        <w:rPr>
          <w:rFonts w:cs="Arial"/>
          <w:szCs w:val="20"/>
        </w:rPr>
        <w:t xml:space="preserve">obstoječe javno kanalizacijsko omrežje </w:t>
      </w:r>
      <w:r w:rsidR="006D2F16" w:rsidRPr="00B148B1">
        <w:rPr>
          <w:rFonts w:cs="Arial"/>
          <w:szCs w:val="20"/>
        </w:rPr>
        <w:t>za zagotovitev primernega čiščenja te komunalne odpadne vode v aglomeracijah s skupno obremenitvijo, enako ali večjo od 500 PE in manjšo od 2.000 PE, če gre za iztok v občutljivo ali v vodo na prispevnem območju občutljivega območja ali v vodo na vodovarstvenem območju v skl</w:t>
      </w:r>
      <w:r w:rsidR="003939C2" w:rsidRPr="00B148B1">
        <w:rPr>
          <w:rFonts w:cs="Arial"/>
          <w:szCs w:val="20"/>
        </w:rPr>
        <w:t>adu s p</w:t>
      </w:r>
      <w:r w:rsidRPr="00B148B1">
        <w:rPr>
          <w:rFonts w:cs="Arial"/>
          <w:szCs w:val="20"/>
        </w:rPr>
        <w:t>redpisi, ki urejajo vode,</w:t>
      </w:r>
    </w:p>
    <w:p w:rsidR="006D2F16" w:rsidRPr="00B148B1" w:rsidRDefault="00A13C59" w:rsidP="0031491A">
      <w:pPr>
        <w:numPr>
          <w:ilvl w:val="0"/>
          <w:numId w:val="30"/>
        </w:numPr>
        <w:tabs>
          <w:tab w:val="left" w:pos="9600"/>
        </w:tabs>
        <w:spacing w:before="120" w:line="280" w:lineRule="atLeast"/>
        <w:rPr>
          <w:rFonts w:cs="Arial"/>
          <w:szCs w:val="20"/>
        </w:rPr>
      </w:pPr>
      <w:r w:rsidRPr="00B148B1">
        <w:rPr>
          <w:rFonts w:cs="Arial"/>
          <w:szCs w:val="20"/>
        </w:rPr>
        <w:t>i</w:t>
      </w:r>
      <w:r w:rsidR="006D2F16" w:rsidRPr="00B148B1">
        <w:rPr>
          <w:rFonts w:cs="Arial"/>
          <w:szCs w:val="20"/>
        </w:rPr>
        <w:t>nvesticija v javno kanalizacijo za odvajanje komunalne odpadne vode in</w:t>
      </w:r>
      <w:r w:rsidR="009E63C5" w:rsidRPr="00B148B1">
        <w:rPr>
          <w:rFonts w:cs="Arial"/>
          <w:szCs w:val="20"/>
        </w:rPr>
        <w:t xml:space="preserve"> v čistilno napravo, ki zaključuje obstoječe javno kanalizacijsko omrežje</w:t>
      </w:r>
      <w:r w:rsidR="006D2F16" w:rsidRPr="00B148B1">
        <w:rPr>
          <w:rFonts w:cs="Arial"/>
          <w:szCs w:val="20"/>
        </w:rPr>
        <w:t xml:space="preserve"> za zagotovitev primernega čiščenja te komunalne odpadne vode v aglomeracijah s skupno obremenitvijo, enako ali večjo od 500 PE in manjšo od 2.000 PE, če gre za iztok, ki ni iztok iz predhodne alineje</w:t>
      </w:r>
      <w:r w:rsidRPr="00B148B1">
        <w:rPr>
          <w:rFonts w:cs="Arial"/>
          <w:szCs w:val="20"/>
        </w:rPr>
        <w:t>,</w:t>
      </w:r>
    </w:p>
    <w:p w:rsidR="006D2F16" w:rsidRPr="00B148B1" w:rsidRDefault="00A13C59" w:rsidP="0031491A">
      <w:pPr>
        <w:numPr>
          <w:ilvl w:val="0"/>
          <w:numId w:val="30"/>
        </w:numPr>
        <w:tabs>
          <w:tab w:val="left" w:pos="9600"/>
        </w:tabs>
        <w:spacing w:before="120" w:line="280" w:lineRule="atLeast"/>
        <w:rPr>
          <w:rFonts w:cs="Arial"/>
          <w:szCs w:val="20"/>
        </w:rPr>
      </w:pPr>
      <w:r w:rsidRPr="00B148B1">
        <w:rPr>
          <w:rFonts w:cs="Arial"/>
          <w:szCs w:val="20"/>
        </w:rPr>
        <w:t>i</w:t>
      </w:r>
      <w:r w:rsidR="006D2F16" w:rsidRPr="00B148B1">
        <w:rPr>
          <w:rFonts w:cs="Arial"/>
          <w:szCs w:val="20"/>
        </w:rPr>
        <w:t xml:space="preserve">nvesticija v javno kanalizacijo za odvajanje komunalne odpadne vode in </w:t>
      </w:r>
      <w:r w:rsidR="009E63C5" w:rsidRPr="00B148B1">
        <w:rPr>
          <w:rFonts w:cs="Arial"/>
          <w:szCs w:val="20"/>
        </w:rPr>
        <w:t xml:space="preserve">v čistilno napravo, ki zaključuje obstoječe javno kanalizacijsko omrežje </w:t>
      </w:r>
      <w:r w:rsidR="006D2F16" w:rsidRPr="00B148B1">
        <w:rPr>
          <w:rFonts w:cs="Arial"/>
          <w:szCs w:val="20"/>
        </w:rPr>
        <w:t xml:space="preserve">za zagotovitev primernega čiščenja te komunalne odpadne vode v aglomeracijah s skupno </w:t>
      </w:r>
      <w:r w:rsidRPr="00B148B1">
        <w:rPr>
          <w:rFonts w:cs="Arial"/>
          <w:szCs w:val="20"/>
        </w:rPr>
        <w:t>obremenitvijo, manjšo od 500 PE,</w:t>
      </w:r>
    </w:p>
    <w:p w:rsidR="009E63C5" w:rsidRPr="00B148B1" w:rsidRDefault="00A13C59" w:rsidP="0031491A">
      <w:pPr>
        <w:numPr>
          <w:ilvl w:val="0"/>
          <w:numId w:val="30"/>
        </w:numPr>
        <w:tabs>
          <w:tab w:val="left" w:pos="9600"/>
        </w:tabs>
        <w:spacing w:before="120" w:line="280" w:lineRule="atLeast"/>
        <w:rPr>
          <w:rFonts w:cs="Arial"/>
          <w:szCs w:val="20"/>
        </w:rPr>
      </w:pPr>
      <w:r w:rsidRPr="00B148B1">
        <w:rPr>
          <w:rFonts w:cs="Arial"/>
          <w:szCs w:val="20"/>
        </w:rPr>
        <w:t>i</w:t>
      </w:r>
      <w:r w:rsidR="009E63C5" w:rsidRPr="00B148B1">
        <w:rPr>
          <w:rFonts w:cs="Arial"/>
          <w:szCs w:val="20"/>
        </w:rPr>
        <w:t>nvesticija v javno kanalizacijsko omrežje, ki je zaključeno z obstoječo čistilno napravo, namenjeno izvajanju javne službe, v aglomeraciji s skupno obremenitvijo, manjšo od</w:t>
      </w:r>
      <w:r w:rsidRPr="00B148B1">
        <w:rPr>
          <w:rFonts w:cs="Arial"/>
          <w:szCs w:val="20"/>
        </w:rPr>
        <w:t xml:space="preserve"> 2.000 PE,</w:t>
      </w:r>
    </w:p>
    <w:p w:rsidR="009E63C5" w:rsidRPr="00B148B1" w:rsidRDefault="00A13C59" w:rsidP="0031491A">
      <w:pPr>
        <w:numPr>
          <w:ilvl w:val="0"/>
          <w:numId w:val="30"/>
        </w:numPr>
        <w:tabs>
          <w:tab w:val="left" w:pos="9600"/>
        </w:tabs>
        <w:spacing w:before="120" w:line="280" w:lineRule="atLeast"/>
        <w:rPr>
          <w:rFonts w:cs="Arial"/>
          <w:szCs w:val="20"/>
        </w:rPr>
      </w:pPr>
      <w:r w:rsidRPr="00B148B1">
        <w:rPr>
          <w:rFonts w:cs="Arial"/>
          <w:szCs w:val="20"/>
        </w:rPr>
        <w:t>i</w:t>
      </w:r>
      <w:r w:rsidR="009E63C5" w:rsidRPr="00B148B1">
        <w:rPr>
          <w:rFonts w:cs="Arial"/>
          <w:szCs w:val="20"/>
        </w:rPr>
        <w:t>nvesticija v javno kanalizacijo (javno kanalizacijsko omrežje in čistilno napravo) v aglomeraciji s skupno ob</w:t>
      </w:r>
      <w:r w:rsidRPr="00B148B1">
        <w:rPr>
          <w:rFonts w:cs="Arial"/>
          <w:szCs w:val="20"/>
        </w:rPr>
        <w:t>remenitvijo, manjšo od 2.000 PE,</w:t>
      </w:r>
    </w:p>
    <w:p w:rsidR="00906747" w:rsidRPr="00B148B1" w:rsidRDefault="00A13C59" w:rsidP="0031491A">
      <w:pPr>
        <w:numPr>
          <w:ilvl w:val="0"/>
          <w:numId w:val="30"/>
        </w:numPr>
        <w:tabs>
          <w:tab w:val="left" w:pos="9600"/>
        </w:tabs>
        <w:spacing w:before="120" w:line="280" w:lineRule="atLeast"/>
        <w:rPr>
          <w:rFonts w:cs="Arial"/>
          <w:szCs w:val="20"/>
        </w:rPr>
      </w:pPr>
      <w:r w:rsidRPr="00B148B1">
        <w:rPr>
          <w:rFonts w:cs="Arial"/>
          <w:szCs w:val="20"/>
        </w:rPr>
        <w:t>i</w:t>
      </w:r>
      <w:r w:rsidR="00906747" w:rsidRPr="00B148B1">
        <w:rPr>
          <w:rFonts w:cs="Arial"/>
          <w:szCs w:val="20"/>
        </w:rPr>
        <w:t>nvesticija v individualno ureditev za posamezen objekt ali skupino objektov, če so izpolnjeni predpisani pogoji, v aglomeraciji s skupno obremenitvij</w:t>
      </w:r>
      <w:r w:rsidRPr="00B148B1">
        <w:rPr>
          <w:rFonts w:cs="Arial"/>
          <w:szCs w:val="20"/>
        </w:rPr>
        <w:t>o, enako ali večjo od 2.000 PE,</w:t>
      </w:r>
      <w:r w:rsidR="0031491A">
        <w:rPr>
          <w:rFonts w:cs="Arial"/>
          <w:szCs w:val="20"/>
        </w:rPr>
        <w:t xml:space="preserve"> in</w:t>
      </w:r>
    </w:p>
    <w:p w:rsidR="006C7916" w:rsidRPr="00B148B1" w:rsidRDefault="00A13C59" w:rsidP="0031491A">
      <w:pPr>
        <w:numPr>
          <w:ilvl w:val="0"/>
          <w:numId w:val="30"/>
        </w:numPr>
        <w:tabs>
          <w:tab w:val="left" w:pos="9600"/>
        </w:tabs>
        <w:spacing w:before="120" w:line="280" w:lineRule="atLeast"/>
        <w:rPr>
          <w:rFonts w:cs="Arial"/>
          <w:szCs w:val="20"/>
        </w:rPr>
      </w:pPr>
      <w:r w:rsidRPr="00B148B1">
        <w:rPr>
          <w:rFonts w:cs="Arial"/>
          <w:szCs w:val="20"/>
        </w:rPr>
        <w:t>i</w:t>
      </w:r>
      <w:r w:rsidR="006C7916" w:rsidRPr="00B148B1">
        <w:rPr>
          <w:rFonts w:cs="Arial"/>
          <w:szCs w:val="20"/>
        </w:rPr>
        <w:t>nvesticija v individualno ureditev za posamezen objekt ali skupino objektov, če so izpolnjeni predpisani pogoji, v aglomeraciji s skupno obr</w:t>
      </w:r>
      <w:r w:rsidRPr="00B148B1">
        <w:rPr>
          <w:rFonts w:cs="Arial"/>
          <w:szCs w:val="20"/>
        </w:rPr>
        <w:t>e</w:t>
      </w:r>
      <w:r w:rsidR="0031491A">
        <w:rPr>
          <w:rFonts w:cs="Arial"/>
          <w:szCs w:val="20"/>
        </w:rPr>
        <w:t>menitvijo, manjšo od 2.000 PE.</w:t>
      </w:r>
    </w:p>
    <w:p w:rsidR="0031491A" w:rsidRDefault="0031491A" w:rsidP="0031491A">
      <w:pPr>
        <w:tabs>
          <w:tab w:val="left" w:pos="9600"/>
        </w:tabs>
        <w:spacing w:before="120" w:line="280" w:lineRule="atLeast"/>
        <w:ind w:left="360"/>
        <w:rPr>
          <w:rFonts w:cs="Arial"/>
          <w:szCs w:val="20"/>
        </w:rPr>
      </w:pPr>
    </w:p>
    <w:p w:rsidR="0031491A" w:rsidRDefault="0031491A" w:rsidP="0031491A">
      <w:pPr>
        <w:tabs>
          <w:tab w:val="left" w:pos="9600"/>
        </w:tabs>
        <w:spacing w:before="120" w:line="280" w:lineRule="atLeast"/>
        <w:rPr>
          <w:rFonts w:cs="Arial"/>
          <w:szCs w:val="20"/>
        </w:rPr>
      </w:pPr>
      <w:r>
        <w:rPr>
          <w:rFonts w:cs="Arial"/>
          <w:szCs w:val="20"/>
        </w:rPr>
        <w:lastRenderedPageBreak/>
        <w:t>Četrta prioriteta:</w:t>
      </w:r>
      <w:r w:rsidR="001767B2">
        <w:rPr>
          <w:rFonts w:cs="Arial"/>
          <w:szCs w:val="20"/>
        </w:rPr>
        <w:t xml:space="preserve"> Ukrepi za zagotovitev skladnosti na območju zunaj meja aglomeracij</w:t>
      </w:r>
    </w:p>
    <w:p w:rsidR="006C7916" w:rsidRPr="001767B2" w:rsidRDefault="00A13C59" w:rsidP="001767B2">
      <w:pPr>
        <w:pStyle w:val="Odstavekseznama"/>
        <w:numPr>
          <w:ilvl w:val="0"/>
          <w:numId w:val="31"/>
        </w:numPr>
        <w:tabs>
          <w:tab w:val="left" w:pos="9600"/>
        </w:tabs>
        <w:spacing w:before="120" w:line="280" w:lineRule="atLeast"/>
        <w:rPr>
          <w:rFonts w:cs="Arial"/>
          <w:szCs w:val="20"/>
        </w:rPr>
      </w:pPr>
      <w:r w:rsidRPr="001767B2">
        <w:rPr>
          <w:rFonts w:cs="Arial"/>
          <w:szCs w:val="20"/>
        </w:rPr>
        <w:t>i</w:t>
      </w:r>
      <w:r w:rsidR="006C7916" w:rsidRPr="001767B2">
        <w:rPr>
          <w:rFonts w:cs="Arial"/>
          <w:szCs w:val="20"/>
        </w:rPr>
        <w:t xml:space="preserve">nvesticija v individualno ureditev za posamezen objekt ali skupino objektov na območju </w:t>
      </w:r>
      <w:r w:rsidR="008C6D60" w:rsidRPr="001767B2">
        <w:rPr>
          <w:rFonts w:cs="Arial"/>
          <w:szCs w:val="20"/>
        </w:rPr>
        <w:t xml:space="preserve">zunaj </w:t>
      </w:r>
      <w:r w:rsidR="006C7916" w:rsidRPr="001767B2">
        <w:rPr>
          <w:rFonts w:cs="Arial"/>
          <w:szCs w:val="20"/>
        </w:rPr>
        <w:t xml:space="preserve">meja aglomeracij. </w:t>
      </w:r>
    </w:p>
    <w:p w:rsidR="009D3A88" w:rsidRDefault="009D3A88" w:rsidP="00F444AC"/>
    <w:p w:rsidR="006C7916" w:rsidRPr="00B148B1" w:rsidRDefault="006C7916" w:rsidP="00F444AC">
      <w:r w:rsidRPr="00B148B1">
        <w:t xml:space="preserve">Zaradi racionalizacije izvedbe ukrepov (investicij) se za prednostne štejejo tudi ukrepi v aglomeracijah s skupno obremenitvijo, manjšo od 2.000 PE, ali ukrepi za posamezne objekte </w:t>
      </w:r>
      <w:r w:rsidR="008C6D60" w:rsidRPr="00B148B1">
        <w:t xml:space="preserve">zunaj </w:t>
      </w:r>
      <w:r w:rsidRPr="00B148B1">
        <w:t>meja aglomeracij (v nadaljnjem besedilu: podrejeni ukrepi), če gre za izvajanje teh ukrepov hkrati z izvajanjem prednostnih ukrepov v aglomeraciji s skupno obremenitvijo, enako ali večjo od 2.000 PE, v sklopu enotne investicije, izvajanje podrejenih ukrepov pa je tehnično in ekonomsko upravičeno.</w:t>
      </w:r>
    </w:p>
    <w:p w:rsidR="00FD77D3" w:rsidRPr="00B148B1" w:rsidRDefault="00FD77D3" w:rsidP="00F444AC"/>
    <w:p w:rsidR="006C7916" w:rsidRPr="00B148B1" w:rsidRDefault="006C7916" w:rsidP="00F444AC">
      <w:r w:rsidRPr="00B148B1">
        <w:t>Hkrati je treba v primeru sofinanciranja investicij s sredstvi državnega proračuna prednostni vrstni red upoštevati na državni ravni, kar pomeni, da pred izvedbo vseh ukrepov v aglomeraciji s skupno obremenitvijo, enako ali večjo od 2.000 PE, državno sofinanciranje ukrepov v aglomeraciji s skupno obremenitvijo, manjšo od 2.000 PE</w:t>
      </w:r>
      <w:r w:rsidR="0096271E" w:rsidRPr="00B148B1">
        <w:t>,</w:t>
      </w:r>
      <w:r w:rsidRPr="00B148B1">
        <w:t xml:space="preserve"> ni dopustno. Pri tem se ukrepi štejejo za izvedene tudi, če investicije, ki zagotavljajo izvedbo ukrepov, </w:t>
      </w:r>
      <w:r w:rsidR="00FC27A6" w:rsidRPr="00B148B1">
        <w:t>po</w:t>
      </w:r>
      <w:r w:rsidRPr="00B148B1">
        <w:t>tek</w:t>
      </w:r>
      <w:r w:rsidR="00FC27A6" w:rsidRPr="00B148B1">
        <w:t>ajo</w:t>
      </w:r>
      <w:r w:rsidRPr="00B148B1">
        <w:t xml:space="preserve"> in je za njihovo dokončanje že zagotovljeno financiranje.</w:t>
      </w:r>
    </w:p>
    <w:p w:rsidR="003939C2" w:rsidRPr="00B148B1" w:rsidRDefault="003939C2" w:rsidP="00F444AC">
      <w:pPr>
        <w:rPr>
          <w:b/>
        </w:rPr>
      </w:pPr>
    </w:p>
    <w:p w:rsidR="006C7916" w:rsidRPr="00B148B1" w:rsidRDefault="006C7916" w:rsidP="00F444AC">
      <w:r w:rsidRPr="00B148B1">
        <w:t>Prednost pri izvajanju ukrepov imajo tudi skupni projekti več občin,</w:t>
      </w:r>
      <w:r w:rsidR="00B13DAE" w:rsidRPr="00B148B1">
        <w:t xml:space="preserve"> če so tehnično in </w:t>
      </w:r>
      <w:r w:rsidR="00FC27A6" w:rsidRPr="00B148B1">
        <w:t xml:space="preserve">gospodarsko </w:t>
      </w:r>
      <w:r w:rsidR="00B13DAE" w:rsidRPr="00B148B1">
        <w:t>upravičeni,</w:t>
      </w:r>
      <w:r w:rsidRPr="00B148B1">
        <w:t xml:space="preserve"> na podlagi katerih se bodo dolgoročno združevala in razporejala razpoložljiva sredstva na:</w:t>
      </w:r>
    </w:p>
    <w:p w:rsidR="00CB0600" w:rsidRPr="00B148B1" w:rsidRDefault="006C7916" w:rsidP="004C2581">
      <w:pPr>
        <w:numPr>
          <w:ilvl w:val="0"/>
          <w:numId w:val="22"/>
        </w:numPr>
        <w:tabs>
          <w:tab w:val="left" w:pos="9600"/>
        </w:tabs>
        <w:spacing w:before="120" w:line="280" w:lineRule="atLeast"/>
        <w:rPr>
          <w:rFonts w:cs="Arial"/>
          <w:szCs w:val="20"/>
        </w:rPr>
      </w:pPr>
      <w:r w:rsidRPr="00B148B1">
        <w:rPr>
          <w:rFonts w:cs="Arial"/>
          <w:szCs w:val="20"/>
        </w:rPr>
        <w:t>območju posameznega porečja v celotnem obdobju izvajanja tega operativnega programa ali</w:t>
      </w:r>
    </w:p>
    <w:p w:rsidR="004E0E05" w:rsidRPr="00B148B1" w:rsidRDefault="006C7916" w:rsidP="004C2581">
      <w:pPr>
        <w:numPr>
          <w:ilvl w:val="0"/>
          <w:numId w:val="22"/>
        </w:numPr>
        <w:tabs>
          <w:tab w:val="left" w:pos="9600"/>
        </w:tabs>
        <w:spacing w:before="120" w:line="280" w:lineRule="atLeast"/>
        <w:rPr>
          <w:rFonts w:cs="Arial"/>
          <w:szCs w:val="20"/>
        </w:rPr>
      </w:pPr>
      <w:r w:rsidRPr="00B148B1">
        <w:rPr>
          <w:rFonts w:cs="Arial"/>
          <w:szCs w:val="20"/>
        </w:rPr>
        <w:t>prispevnih območjih vodnih teles površinskih voda ali območjih vodnih teles podzemnih voda, za katere je s predpisom o načrtih upravljanja voda na vodnih območjih Donave in Jadranskega morja določeno, da cilji do leta 2021 ne bodo doseženi.</w:t>
      </w:r>
    </w:p>
    <w:p w:rsidR="008624CB" w:rsidRPr="00B148B1" w:rsidRDefault="004E0E05" w:rsidP="004E0E05">
      <w:pPr>
        <w:tabs>
          <w:tab w:val="left" w:pos="9600"/>
        </w:tabs>
        <w:spacing w:before="120" w:line="280" w:lineRule="atLeast"/>
        <w:rPr>
          <w:rFonts w:cs="Arial"/>
          <w:szCs w:val="20"/>
        </w:rPr>
      </w:pPr>
      <w:r w:rsidRPr="00B148B1">
        <w:rPr>
          <w:rFonts w:cs="Arial"/>
          <w:szCs w:val="20"/>
        </w:rPr>
        <w:t>Pri določanju prednostnega vrstnega reda izvajanja ukrepov je treba ustrezno upoštevati tudi zahteve v zvezi z doseganjem okoljskih ciljev za vode.</w:t>
      </w:r>
    </w:p>
    <w:p w:rsidR="004E0E05" w:rsidRPr="00B148B1" w:rsidRDefault="008624CB" w:rsidP="008624CB">
      <w:pPr>
        <w:rPr>
          <w:rFonts w:cs="Arial"/>
          <w:szCs w:val="20"/>
        </w:rPr>
      </w:pPr>
      <w:r w:rsidRPr="00B148B1">
        <w:br w:type="page"/>
      </w:r>
    </w:p>
    <w:p w:rsidR="00B27859" w:rsidRPr="00B148B1" w:rsidRDefault="00C770E5" w:rsidP="00B139B4">
      <w:pPr>
        <w:pStyle w:val="Naslov1"/>
      </w:pPr>
      <w:bookmarkStart w:id="138" w:name="_Toc50628096"/>
      <w:r w:rsidRPr="00B148B1">
        <w:lastRenderedPageBreak/>
        <w:t>OCENA STROŠKOV</w:t>
      </w:r>
      <w:r w:rsidR="0002726E" w:rsidRPr="00B148B1">
        <w:t xml:space="preserve"> UKREPOV </w:t>
      </w:r>
      <w:r w:rsidR="008624CB" w:rsidRPr="00B148B1">
        <w:t>DO IZPOLNJEVANJA ZAHTEV</w:t>
      </w:r>
      <w:bookmarkEnd w:id="138"/>
    </w:p>
    <w:p w:rsidR="00B27859" w:rsidRPr="00B148B1" w:rsidRDefault="00B27859" w:rsidP="00C63DDA">
      <w:pPr>
        <w:pStyle w:val="Naslov2"/>
      </w:pPr>
      <w:bookmarkStart w:id="139" w:name="_Ref530406745"/>
      <w:bookmarkStart w:id="140" w:name="_Toc50628097"/>
      <w:r w:rsidRPr="00B148B1">
        <w:t>Izhodišča za oceno stroškov ukrepov</w:t>
      </w:r>
      <w:bookmarkEnd w:id="139"/>
      <w:bookmarkEnd w:id="140"/>
    </w:p>
    <w:p w:rsidR="0002726E" w:rsidRPr="00B148B1" w:rsidRDefault="00B27859" w:rsidP="00803F9D">
      <w:pPr>
        <w:rPr>
          <w:rFonts w:cs="Arial"/>
          <w:szCs w:val="20"/>
        </w:rPr>
      </w:pPr>
      <w:r w:rsidRPr="00B148B1">
        <w:rPr>
          <w:rFonts w:cs="Arial"/>
          <w:szCs w:val="20"/>
        </w:rPr>
        <w:t>Stroški ukrepov tega operativnega programa so ocenjeni na podlagi</w:t>
      </w:r>
      <w:r w:rsidR="0060178D" w:rsidRPr="00B148B1">
        <w:rPr>
          <w:rFonts w:cs="Arial"/>
          <w:szCs w:val="20"/>
        </w:rPr>
        <w:t xml:space="preserve"> o</w:t>
      </w:r>
      <w:r w:rsidRPr="00B148B1">
        <w:rPr>
          <w:rFonts w:cs="Arial"/>
          <w:szCs w:val="20"/>
        </w:rPr>
        <w:t xml:space="preserve">cene stopnje priključenosti aglomeracij iz poglavja </w:t>
      </w:r>
      <w:r w:rsidRPr="00B148B1">
        <w:rPr>
          <w:rFonts w:cs="Arial"/>
          <w:szCs w:val="20"/>
        </w:rPr>
        <w:fldChar w:fldCharType="begin"/>
      </w:r>
      <w:r w:rsidRPr="00B148B1">
        <w:rPr>
          <w:rFonts w:cs="Arial"/>
          <w:szCs w:val="20"/>
        </w:rPr>
        <w:instrText xml:space="preserve"> REF _Ref530402901 \r \h </w:instrText>
      </w:r>
      <w:r w:rsidR="00A14D95" w:rsidRPr="00B148B1">
        <w:rPr>
          <w:rFonts w:cs="Arial"/>
          <w:szCs w:val="20"/>
        </w:rPr>
        <w:instrText xml:space="preserve"> \* MERGEFORMAT </w:instrText>
      </w:r>
      <w:r w:rsidRPr="00B148B1">
        <w:rPr>
          <w:rFonts w:cs="Arial"/>
          <w:szCs w:val="20"/>
        </w:rPr>
      </w:r>
      <w:r w:rsidRPr="00B148B1">
        <w:rPr>
          <w:rFonts w:cs="Arial"/>
          <w:szCs w:val="20"/>
        </w:rPr>
        <w:fldChar w:fldCharType="separate"/>
      </w:r>
      <w:r w:rsidR="00E92793">
        <w:rPr>
          <w:rFonts w:cs="Arial"/>
          <w:szCs w:val="20"/>
        </w:rPr>
        <w:t>4.1</w:t>
      </w:r>
      <w:r w:rsidRPr="00B148B1">
        <w:rPr>
          <w:rFonts w:cs="Arial"/>
          <w:szCs w:val="20"/>
        </w:rPr>
        <w:fldChar w:fldCharType="end"/>
      </w:r>
      <w:r w:rsidR="006366A3" w:rsidRPr="00B148B1">
        <w:rPr>
          <w:rFonts w:cs="Arial"/>
          <w:szCs w:val="20"/>
        </w:rPr>
        <w:t>.</w:t>
      </w:r>
      <w:r w:rsidRPr="00B148B1">
        <w:rPr>
          <w:rFonts w:cs="Arial"/>
          <w:szCs w:val="20"/>
        </w:rPr>
        <w:t xml:space="preserve"> tega operativnega programa, ocene opremljenosti in ocene stopnje priključenosti na predpisane vrste ureditve za odvajanje in čiščenje komunalne odpadne vode na območjih </w:t>
      </w:r>
      <w:r w:rsidR="008C6D60" w:rsidRPr="00B148B1">
        <w:rPr>
          <w:rFonts w:cs="Arial"/>
          <w:szCs w:val="20"/>
        </w:rPr>
        <w:t xml:space="preserve">zunaj </w:t>
      </w:r>
      <w:r w:rsidRPr="00B148B1">
        <w:rPr>
          <w:rFonts w:cs="Arial"/>
          <w:szCs w:val="20"/>
        </w:rPr>
        <w:t xml:space="preserve">meja aglomeracij iz poglavja </w:t>
      </w:r>
      <w:r w:rsidRPr="00B148B1">
        <w:rPr>
          <w:rFonts w:cs="Arial"/>
          <w:szCs w:val="20"/>
        </w:rPr>
        <w:fldChar w:fldCharType="begin"/>
      </w:r>
      <w:r w:rsidRPr="00B148B1">
        <w:rPr>
          <w:rFonts w:cs="Arial"/>
          <w:szCs w:val="20"/>
        </w:rPr>
        <w:instrText xml:space="preserve"> REF _Ref530403012 \r \h </w:instrText>
      </w:r>
      <w:r w:rsidR="00A14D95" w:rsidRPr="00B148B1">
        <w:rPr>
          <w:rFonts w:cs="Arial"/>
          <w:szCs w:val="20"/>
        </w:rPr>
        <w:instrText xml:space="preserve"> \* MERGEFORMAT </w:instrText>
      </w:r>
      <w:r w:rsidRPr="00B148B1">
        <w:rPr>
          <w:rFonts w:cs="Arial"/>
          <w:szCs w:val="20"/>
        </w:rPr>
      </w:r>
      <w:r w:rsidRPr="00B148B1">
        <w:rPr>
          <w:rFonts w:cs="Arial"/>
          <w:szCs w:val="20"/>
        </w:rPr>
        <w:fldChar w:fldCharType="separate"/>
      </w:r>
      <w:r w:rsidR="00E92793">
        <w:rPr>
          <w:rFonts w:cs="Arial"/>
          <w:szCs w:val="20"/>
        </w:rPr>
        <w:t>4.3</w:t>
      </w:r>
      <w:r w:rsidRPr="00B148B1">
        <w:rPr>
          <w:rFonts w:cs="Arial"/>
          <w:szCs w:val="20"/>
        </w:rPr>
        <w:fldChar w:fldCharType="end"/>
      </w:r>
      <w:r w:rsidR="006366A3" w:rsidRPr="00B148B1">
        <w:rPr>
          <w:rFonts w:cs="Arial"/>
          <w:szCs w:val="20"/>
        </w:rPr>
        <w:t>.</w:t>
      </w:r>
      <w:r w:rsidRPr="00B148B1">
        <w:rPr>
          <w:rFonts w:cs="Arial"/>
          <w:szCs w:val="20"/>
        </w:rPr>
        <w:t xml:space="preserve"> tega operativnega programa ter podatkov o specifičnih vrednostih investicij, ločeno za gradnjo javnega kanalizacijskega omrežja in gradnjo čistilne naprave za čiščenje komunalne odpadne vode oziroma vgradnjo druge vrste ureditve za odvajanje in čiščenje komunalne odpadne vode iz posameznih objektov. </w:t>
      </w:r>
      <w:r w:rsidR="0002726E" w:rsidRPr="00B148B1">
        <w:rPr>
          <w:rFonts w:cs="Arial"/>
          <w:szCs w:val="20"/>
        </w:rPr>
        <w:t>Pri</w:t>
      </w:r>
      <w:r w:rsidRPr="00B148B1">
        <w:rPr>
          <w:rFonts w:cs="Arial"/>
          <w:szCs w:val="20"/>
        </w:rPr>
        <w:t xml:space="preserve"> priprav</w:t>
      </w:r>
      <w:r w:rsidR="0002726E" w:rsidRPr="00B148B1">
        <w:rPr>
          <w:rFonts w:cs="Arial"/>
          <w:szCs w:val="20"/>
        </w:rPr>
        <w:t>i</w:t>
      </w:r>
      <w:r w:rsidRPr="00B148B1">
        <w:rPr>
          <w:rFonts w:cs="Arial"/>
          <w:szCs w:val="20"/>
        </w:rPr>
        <w:t xml:space="preserve"> ocene </w:t>
      </w:r>
      <w:r w:rsidR="00217A9B" w:rsidRPr="00B148B1">
        <w:rPr>
          <w:rFonts w:cs="Arial"/>
          <w:szCs w:val="20"/>
        </w:rPr>
        <w:t>stroškov za izpolnitev zahtev</w:t>
      </w:r>
      <w:r w:rsidR="0002726E" w:rsidRPr="00B148B1">
        <w:rPr>
          <w:rFonts w:cs="Arial"/>
          <w:szCs w:val="20"/>
        </w:rPr>
        <w:t xml:space="preserve"> </w:t>
      </w:r>
      <w:r w:rsidR="00406C8F" w:rsidRPr="00B148B1">
        <w:rPr>
          <w:rFonts w:cs="Arial"/>
          <w:szCs w:val="20"/>
        </w:rPr>
        <w:t xml:space="preserve">tega </w:t>
      </w:r>
      <w:r w:rsidR="0002726E" w:rsidRPr="00B148B1">
        <w:rPr>
          <w:rFonts w:cs="Arial"/>
          <w:szCs w:val="20"/>
        </w:rPr>
        <w:t>operativnega programa</w:t>
      </w:r>
      <w:r w:rsidRPr="00B148B1">
        <w:rPr>
          <w:rFonts w:cs="Arial"/>
          <w:szCs w:val="20"/>
        </w:rPr>
        <w:t xml:space="preserve"> s</w:t>
      </w:r>
      <w:r w:rsidR="0002726E" w:rsidRPr="00B148B1">
        <w:rPr>
          <w:rFonts w:cs="Arial"/>
          <w:szCs w:val="20"/>
        </w:rPr>
        <w:t>ta</w:t>
      </w:r>
      <w:r w:rsidRPr="00B148B1">
        <w:rPr>
          <w:rFonts w:cs="Arial"/>
          <w:szCs w:val="20"/>
        </w:rPr>
        <w:t xml:space="preserve"> bil</w:t>
      </w:r>
      <w:r w:rsidR="0002726E" w:rsidRPr="00B148B1">
        <w:rPr>
          <w:rFonts w:cs="Arial"/>
          <w:szCs w:val="20"/>
        </w:rPr>
        <w:t>a</w:t>
      </w:r>
      <w:r w:rsidRPr="00B148B1">
        <w:rPr>
          <w:rFonts w:cs="Arial"/>
          <w:szCs w:val="20"/>
        </w:rPr>
        <w:t xml:space="preserve"> </w:t>
      </w:r>
      <w:r w:rsidR="00BE3338" w:rsidRPr="00B148B1">
        <w:rPr>
          <w:rFonts w:cs="Arial"/>
          <w:szCs w:val="20"/>
        </w:rPr>
        <w:t>upoštevana</w:t>
      </w:r>
      <w:r w:rsidR="0002726E" w:rsidRPr="00B148B1">
        <w:rPr>
          <w:rFonts w:cs="Arial"/>
          <w:szCs w:val="20"/>
        </w:rPr>
        <w:t xml:space="preserve"> naslednja scenarija:</w:t>
      </w:r>
    </w:p>
    <w:p w:rsidR="00EB4E36" w:rsidRPr="00B148B1" w:rsidRDefault="0002726E">
      <w:pPr>
        <w:tabs>
          <w:tab w:val="left" w:pos="9600"/>
        </w:tabs>
        <w:spacing w:before="120" w:line="280" w:lineRule="atLeast"/>
      </w:pPr>
      <w:r w:rsidRPr="00B148B1">
        <w:t>Scenarij 1</w:t>
      </w:r>
      <w:r w:rsidR="007167BE" w:rsidRPr="00B148B1">
        <w:t xml:space="preserve"> - </w:t>
      </w:r>
      <w:r w:rsidRPr="00B148B1">
        <w:t>A</w:t>
      </w:r>
      <w:r w:rsidR="00B27859" w:rsidRPr="00B148B1">
        <w:t>naliz</w:t>
      </w:r>
      <w:r w:rsidRPr="00B148B1">
        <w:t>a</w:t>
      </w:r>
      <w:r w:rsidR="00B27859" w:rsidRPr="00B148B1">
        <w:t xml:space="preserve"> metodologije, ki je bila uporabljena za oceno stroškov ukrepov predhodnega operativnega programa</w:t>
      </w:r>
    </w:p>
    <w:p w:rsidR="00EB4E36" w:rsidRPr="00B148B1" w:rsidRDefault="00EB4E36" w:rsidP="00EB4E36">
      <w:pPr>
        <w:tabs>
          <w:tab w:val="left" w:pos="9600"/>
        </w:tabs>
        <w:spacing w:before="120" w:line="280" w:lineRule="atLeast"/>
        <w:rPr>
          <w:rFonts w:cs="Arial"/>
          <w:szCs w:val="20"/>
        </w:rPr>
      </w:pPr>
      <w:r w:rsidRPr="00B148B1">
        <w:rPr>
          <w:rFonts w:cs="Arial"/>
          <w:szCs w:val="20"/>
        </w:rPr>
        <w:t xml:space="preserve">Za oceno stroškov predhodnega </w:t>
      </w:r>
      <w:r w:rsidR="00406C8F" w:rsidRPr="00B148B1">
        <w:rPr>
          <w:rFonts w:cs="Arial"/>
          <w:szCs w:val="20"/>
        </w:rPr>
        <w:t xml:space="preserve">tega </w:t>
      </w:r>
      <w:r w:rsidRPr="00B148B1">
        <w:rPr>
          <w:rFonts w:cs="Arial"/>
          <w:szCs w:val="20"/>
        </w:rPr>
        <w:t>operativnega programa je bila uporabljena nemška metodologija iz smernic za subvencioniranje vodnogospodarskih posegov dežele Bavarske (</w:t>
      </w:r>
      <w:r w:rsidR="00C22B9B" w:rsidRPr="00B148B1">
        <w:rPr>
          <w:rFonts w:cs="Arial"/>
          <w:szCs w:val="20"/>
        </w:rPr>
        <w:t>m</w:t>
      </w:r>
      <w:r w:rsidRPr="00B148B1">
        <w:rPr>
          <w:rFonts w:cs="Arial"/>
          <w:szCs w:val="20"/>
        </w:rPr>
        <w:t>inistrstva za okolje in zdravje): »</w:t>
      </w:r>
      <w:proofErr w:type="spellStart"/>
      <w:r w:rsidRPr="00B148B1">
        <w:rPr>
          <w:rFonts w:cs="Arial"/>
          <w:szCs w:val="20"/>
        </w:rPr>
        <w:t>Richtlinien</w:t>
      </w:r>
      <w:proofErr w:type="spellEnd"/>
      <w:r w:rsidRPr="00B148B1">
        <w:rPr>
          <w:rFonts w:cs="Arial"/>
          <w:szCs w:val="20"/>
        </w:rPr>
        <w:t xml:space="preserve"> </w:t>
      </w:r>
      <w:proofErr w:type="spellStart"/>
      <w:r w:rsidRPr="00B148B1">
        <w:rPr>
          <w:rFonts w:cs="Arial"/>
          <w:szCs w:val="20"/>
        </w:rPr>
        <w:t>fuer</w:t>
      </w:r>
      <w:proofErr w:type="spellEnd"/>
      <w:r w:rsidRPr="00B148B1">
        <w:rPr>
          <w:rFonts w:cs="Arial"/>
          <w:szCs w:val="20"/>
        </w:rPr>
        <w:t xml:space="preserve"> </w:t>
      </w:r>
      <w:proofErr w:type="spellStart"/>
      <w:r w:rsidRPr="00B148B1">
        <w:rPr>
          <w:rFonts w:cs="Arial"/>
          <w:szCs w:val="20"/>
        </w:rPr>
        <w:t>Zuwendungen</w:t>
      </w:r>
      <w:proofErr w:type="spellEnd"/>
      <w:r w:rsidRPr="00B148B1">
        <w:rPr>
          <w:rFonts w:cs="Arial"/>
          <w:szCs w:val="20"/>
        </w:rPr>
        <w:t xml:space="preserve"> za </w:t>
      </w:r>
      <w:proofErr w:type="spellStart"/>
      <w:r w:rsidRPr="00B148B1">
        <w:rPr>
          <w:rFonts w:cs="Arial"/>
          <w:szCs w:val="20"/>
        </w:rPr>
        <w:t>wasserwirtschaftlichen</w:t>
      </w:r>
      <w:proofErr w:type="spellEnd"/>
      <w:r w:rsidRPr="00B148B1">
        <w:rPr>
          <w:rFonts w:cs="Arial"/>
          <w:szCs w:val="20"/>
        </w:rPr>
        <w:t xml:space="preserve"> </w:t>
      </w:r>
      <w:proofErr w:type="spellStart"/>
      <w:r w:rsidRPr="00B148B1">
        <w:rPr>
          <w:rFonts w:cs="Arial"/>
          <w:szCs w:val="20"/>
        </w:rPr>
        <w:t>Vorhaben</w:t>
      </w:r>
      <w:proofErr w:type="spellEnd"/>
      <w:r w:rsidRPr="00B148B1">
        <w:rPr>
          <w:rFonts w:cs="Arial"/>
          <w:szCs w:val="20"/>
        </w:rPr>
        <w:t xml:space="preserve">« (v nadaljnjem besedilu: metodologija </w:t>
      </w:r>
      <w:proofErr w:type="spellStart"/>
      <w:r w:rsidRPr="00B148B1">
        <w:rPr>
          <w:rFonts w:cs="Arial"/>
          <w:szCs w:val="20"/>
        </w:rPr>
        <w:t>RZWas</w:t>
      </w:r>
      <w:proofErr w:type="spellEnd"/>
      <w:r w:rsidRPr="00B148B1">
        <w:rPr>
          <w:rFonts w:cs="Arial"/>
          <w:szCs w:val="20"/>
        </w:rPr>
        <w:t xml:space="preserve">). Metodologija </w:t>
      </w:r>
      <w:proofErr w:type="spellStart"/>
      <w:r w:rsidRPr="00B148B1">
        <w:rPr>
          <w:rFonts w:cs="Arial"/>
          <w:szCs w:val="20"/>
        </w:rPr>
        <w:t>RZWas</w:t>
      </w:r>
      <w:proofErr w:type="spellEnd"/>
      <w:r w:rsidRPr="00B148B1">
        <w:rPr>
          <w:rFonts w:cs="Arial"/>
          <w:szCs w:val="20"/>
        </w:rPr>
        <w:t xml:space="preserve"> določa merila oziroma način izračuna specifičnih stroškov oziroma orientacijske vrednosti </w:t>
      </w:r>
      <w:r w:rsidRPr="00B148B1">
        <w:rPr>
          <w:rFonts w:cs="Arial"/>
          <w:lang w:eastAsia="sl-SI"/>
        </w:rPr>
        <w:t>stroškov odvajanja odpadne vode iz naselij na prebivalca</w:t>
      </w:r>
      <w:r w:rsidRPr="00B148B1">
        <w:rPr>
          <w:rFonts w:cs="Arial"/>
          <w:szCs w:val="20"/>
        </w:rPr>
        <w:t xml:space="preserve"> in orientacijske vrednosti</w:t>
      </w:r>
      <w:r w:rsidRPr="00B148B1">
        <w:rPr>
          <w:rFonts w:cs="Arial"/>
          <w:lang w:eastAsia="sl-SI"/>
        </w:rPr>
        <w:t xml:space="preserve"> stroškov izgradnje komunalne čistilne naprave na PE.</w:t>
      </w:r>
    </w:p>
    <w:p w:rsidR="00EB4E36" w:rsidRPr="00B148B1" w:rsidRDefault="00EB4E36" w:rsidP="00EB4E36">
      <w:pPr>
        <w:tabs>
          <w:tab w:val="left" w:pos="9600"/>
        </w:tabs>
        <w:spacing w:before="120" w:line="280" w:lineRule="atLeast"/>
        <w:rPr>
          <w:rFonts w:cs="Arial"/>
          <w:szCs w:val="20"/>
        </w:rPr>
      </w:pPr>
      <w:r w:rsidRPr="00B148B1">
        <w:rPr>
          <w:rFonts w:cs="Arial"/>
          <w:szCs w:val="20"/>
        </w:rPr>
        <w:t xml:space="preserve">Za ureditev odvajanja odpadne vode iz naselij se po metodologiji </w:t>
      </w:r>
      <w:proofErr w:type="spellStart"/>
      <w:r w:rsidRPr="00B148B1">
        <w:rPr>
          <w:rFonts w:cs="Arial"/>
          <w:szCs w:val="20"/>
        </w:rPr>
        <w:t>RZWas</w:t>
      </w:r>
      <w:proofErr w:type="spellEnd"/>
      <w:r w:rsidRPr="00B148B1">
        <w:rPr>
          <w:rFonts w:cs="Arial"/>
          <w:szCs w:val="20"/>
        </w:rPr>
        <w:t xml:space="preserve"> glede na dolžino posameznega kanala (X), izraženo v metrih na priključenega prebivalca, uporablja</w:t>
      </w:r>
      <w:r w:rsidR="00C22B9B" w:rsidRPr="00B148B1">
        <w:rPr>
          <w:rFonts w:cs="Arial"/>
          <w:szCs w:val="20"/>
        </w:rPr>
        <w:t>jo</w:t>
      </w:r>
      <w:r w:rsidRPr="00B148B1">
        <w:rPr>
          <w:rFonts w:cs="Arial"/>
          <w:szCs w:val="20"/>
        </w:rPr>
        <w:t xml:space="preserve"> naslednje orientacijske vrednosti za oceno stroškov odvajanja komunalne odpadne vode (količine se pri izračunavanju vstavlja</w:t>
      </w:r>
      <w:r w:rsidR="00C22B9B" w:rsidRPr="00B148B1">
        <w:rPr>
          <w:rFonts w:cs="Arial"/>
          <w:szCs w:val="20"/>
        </w:rPr>
        <w:t>jo</w:t>
      </w:r>
      <w:r w:rsidRPr="00B148B1">
        <w:rPr>
          <w:rFonts w:cs="Arial"/>
          <w:szCs w:val="20"/>
        </w:rPr>
        <w:t xml:space="preserve"> v celih številih), vendar ne več kot 3.070 e</w:t>
      </w:r>
      <w:r w:rsidR="00EC0B4B" w:rsidRPr="00B148B1">
        <w:rPr>
          <w:rFonts w:cs="Arial"/>
          <w:szCs w:val="20"/>
        </w:rPr>
        <w:t>v</w:t>
      </w:r>
      <w:r w:rsidRPr="00B148B1">
        <w:rPr>
          <w:rFonts w:cs="Arial"/>
          <w:szCs w:val="20"/>
        </w:rPr>
        <w:t>rov na prebivalca:</w:t>
      </w:r>
    </w:p>
    <w:p w:rsidR="007167BE" w:rsidRPr="00B148B1" w:rsidRDefault="007167BE" w:rsidP="00EB4E36">
      <w:pPr>
        <w:tabs>
          <w:tab w:val="left" w:pos="9600"/>
        </w:tabs>
        <w:spacing w:before="120" w:line="280" w:lineRule="atLeast"/>
        <w:rPr>
          <w:rFonts w:cs="Arial"/>
          <w:szCs w:val="20"/>
        </w:rPr>
      </w:pPr>
    </w:p>
    <w:p w:rsidR="00EB4E36" w:rsidRPr="00B148B1" w:rsidRDefault="00EB4E36" w:rsidP="00EB4E36">
      <w:pPr>
        <w:tabs>
          <w:tab w:val="left" w:pos="9600"/>
        </w:tabs>
        <w:spacing w:before="120" w:line="280" w:lineRule="atLeast"/>
        <w:jc w:val="center"/>
        <w:rPr>
          <w:rFonts w:cs="Arial"/>
          <w:sz w:val="24"/>
        </w:rPr>
      </w:pPr>
      <w:r w:rsidRPr="00B148B1">
        <w:rPr>
          <w:rFonts w:cs="Arial"/>
          <w:sz w:val="24"/>
        </w:rPr>
        <w:t>KRW</w:t>
      </w:r>
      <w:r w:rsidRPr="00B148B1">
        <w:rPr>
          <w:rFonts w:cs="Arial"/>
          <w:sz w:val="24"/>
          <w:vertAlign w:val="subscript"/>
        </w:rPr>
        <w:t>OE</w:t>
      </w:r>
      <w:r w:rsidRPr="00B148B1">
        <w:rPr>
          <w:rFonts w:cs="Arial"/>
          <w:sz w:val="24"/>
        </w:rPr>
        <w:t xml:space="preserve"> = 542 × X</w:t>
      </w:r>
      <w:r w:rsidRPr="00B148B1">
        <w:rPr>
          <w:rFonts w:cs="Arial"/>
          <w:sz w:val="24"/>
          <w:vertAlign w:val="superscript"/>
        </w:rPr>
        <w:t>0,72</w:t>
      </w:r>
      <w:r w:rsidRPr="00B148B1">
        <w:rPr>
          <w:rFonts w:cs="Arial"/>
          <w:sz w:val="24"/>
        </w:rPr>
        <w:t>,</w:t>
      </w:r>
    </w:p>
    <w:p w:rsidR="00EB4E36" w:rsidRPr="00B148B1" w:rsidRDefault="00EB4E36" w:rsidP="00EB4E36">
      <w:pPr>
        <w:tabs>
          <w:tab w:val="left" w:pos="9600"/>
        </w:tabs>
        <w:spacing w:before="120" w:line="280" w:lineRule="atLeast"/>
        <w:rPr>
          <w:rFonts w:cs="Arial"/>
          <w:szCs w:val="20"/>
        </w:rPr>
      </w:pPr>
      <w:r w:rsidRPr="00B148B1">
        <w:rPr>
          <w:rFonts w:cs="Arial"/>
          <w:szCs w:val="20"/>
        </w:rPr>
        <w:t>pri čemer je:</w:t>
      </w:r>
    </w:p>
    <w:p w:rsidR="00EB4E36" w:rsidRPr="00B148B1" w:rsidRDefault="00EB4E36" w:rsidP="00803F9D">
      <w:pPr>
        <w:tabs>
          <w:tab w:val="left" w:pos="9600"/>
        </w:tabs>
        <w:spacing w:before="120" w:line="280" w:lineRule="atLeast"/>
        <w:ind w:left="357"/>
        <w:rPr>
          <w:rFonts w:cs="Arial"/>
          <w:szCs w:val="20"/>
        </w:rPr>
      </w:pPr>
      <w:r w:rsidRPr="00B148B1">
        <w:rPr>
          <w:rFonts w:cs="Arial"/>
          <w:lang w:eastAsia="sl-SI"/>
        </w:rPr>
        <w:t>KRW</w:t>
      </w:r>
      <w:r w:rsidRPr="00B148B1">
        <w:rPr>
          <w:rFonts w:cs="Arial"/>
          <w:szCs w:val="20"/>
          <w:vertAlign w:val="subscript"/>
          <w:lang w:eastAsia="sl-SI"/>
        </w:rPr>
        <w:t>OE</w:t>
      </w:r>
      <w:r w:rsidRPr="00B148B1">
        <w:rPr>
          <w:rFonts w:cs="Arial"/>
          <w:lang w:eastAsia="sl-SI"/>
        </w:rPr>
        <w:t>: orientacijska vrednost stroškov odvajanja odpadne vode iz naselij na prebivalca izražena v e</w:t>
      </w:r>
      <w:r w:rsidR="00EC0B4B" w:rsidRPr="00B148B1">
        <w:rPr>
          <w:rFonts w:cs="Arial"/>
          <w:lang w:eastAsia="sl-SI"/>
        </w:rPr>
        <w:t>v</w:t>
      </w:r>
      <w:r w:rsidRPr="00B148B1">
        <w:rPr>
          <w:rFonts w:cs="Arial"/>
          <w:lang w:eastAsia="sl-SI"/>
        </w:rPr>
        <w:t>rih/prebivalca.</w:t>
      </w:r>
    </w:p>
    <w:p w:rsidR="00EB4E36" w:rsidRPr="00B148B1" w:rsidRDefault="00EB4E36" w:rsidP="00EB4E36">
      <w:pPr>
        <w:autoSpaceDE w:val="0"/>
        <w:autoSpaceDN w:val="0"/>
        <w:adjustRightInd w:val="0"/>
        <w:spacing w:line="276" w:lineRule="auto"/>
        <w:rPr>
          <w:rFonts w:cs="Arial"/>
          <w:lang w:eastAsia="sl-SI"/>
        </w:rPr>
      </w:pPr>
    </w:p>
    <w:p w:rsidR="00EB4E36" w:rsidRPr="00B148B1" w:rsidRDefault="00EB4E36" w:rsidP="00EB4E36">
      <w:pPr>
        <w:tabs>
          <w:tab w:val="left" w:pos="9600"/>
        </w:tabs>
        <w:spacing w:before="120" w:line="280" w:lineRule="atLeast"/>
        <w:rPr>
          <w:rFonts w:cs="Arial"/>
          <w:szCs w:val="20"/>
        </w:rPr>
      </w:pPr>
      <w:r w:rsidRPr="00B148B1">
        <w:rPr>
          <w:rFonts w:cs="Arial"/>
          <w:szCs w:val="20"/>
        </w:rPr>
        <w:t xml:space="preserve">Pri tem so v orientacijsko vrednost v tlačnem ali podtlačnem sistemu vključeni jaški s črpalko oziroma ventilsko enoto, </w:t>
      </w:r>
      <w:r w:rsidR="00107146" w:rsidRPr="00B148B1">
        <w:rPr>
          <w:rFonts w:cs="Arial"/>
          <w:szCs w:val="20"/>
        </w:rPr>
        <w:t>ter</w:t>
      </w:r>
      <w:r w:rsidRPr="00B148B1">
        <w:rPr>
          <w:rFonts w:cs="Arial"/>
          <w:szCs w:val="20"/>
        </w:rPr>
        <w:t xml:space="preserve"> cevi, ki vodijo do zbirnega voda, in sicer kot funkcionalni sestavni deli sistema.</w:t>
      </w:r>
    </w:p>
    <w:p w:rsidR="00EB4E36" w:rsidRPr="00B148B1" w:rsidRDefault="00EB4E36" w:rsidP="00EB4E36">
      <w:pPr>
        <w:tabs>
          <w:tab w:val="left" w:pos="9600"/>
        </w:tabs>
        <w:spacing w:before="120" w:line="280" w:lineRule="atLeast"/>
        <w:rPr>
          <w:rFonts w:cs="Arial"/>
          <w:szCs w:val="20"/>
        </w:rPr>
      </w:pPr>
      <w:r w:rsidRPr="00B148B1">
        <w:rPr>
          <w:rFonts w:cs="Arial"/>
          <w:szCs w:val="20"/>
        </w:rPr>
        <w:t xml:space="preserve">V oceni višine investicijskih stroškov izgradnje kanalizacijskih sistemov so bili v predhodnem operativnem programu upoštevani le kanalizacijski sistemi znotraj naselij ob predpostavki, da so v oceno vključena predvsem manjša naselja, v katerih so premeri cevi primarnega in sekundarnega kanalizacijskega sistema približno enake velikosti. </w:t>
      </w:r>
      <w:r w:rsidR="00C22B9B" w:rsidRPr="00B148B1">
        <w:rPr>
          <w:rFonts w:cs="Arial"/>
          <w:szCs w:val="20"/>
        </w:rPr>
        <w:t>D</w:t>
      </w:r>
      <w:r w:rsidRPr="00B148B1">
        <w:rPr>
          <w:rFonts w:cs="Arial"/>
          <w:szCs w:val="20"/>
        </w:rPr>
        <w:t xml:space="preserve">olžina kanala na posameznega prebivalca </w:t>
      </w:r>
      <w:r w:rsidR="00C22B9B" w:rsidRPr="00B148B1">
        <w:rPr>
          <w:rFonts w:cs="Arial"/>
          <w:szCs w:val="20"/>
        </w:rPr>
        <w:t xml:space="preserve">je bila </w:t>
      </w:r>
      <w:r w:rsidRPr="00B148B1">
        <w:rPr>
          <w:rFonts w:cs="Arial"/>
          <w:szCs w:val="20"/>
        </w:rPr>
        <w:t xml:space="preserve">določena </w:t>
      </w:r>
      <w:r w:rsidR="00C22B9B" w:rsidRPr="00B148B1">
        <w:rPr>
          <w:rFonts w:cs="Arial"/>
          <w:szCs w:val="20"/>
        </w:rPr>
        <w:t xml:space="preserve">tudi </w:t>
      </w:r>
      <w:r w:rsidRPr="00B148B1">
        <w:rPr>
          <w:rFonts w:cs="Arial"/>
          <w:szCs w:val="20"/>
        </w:rPr>
        <w:t>ob predpostavki, da bo v posamezni celici (100 x 100 m) zgrajeno 100 m kanalizacijskih cevi.</w:t>
      </w:r>
    </w:p>
    <w:p w:rsidR="00EB4E36" w:rsidRPr="00B148B1" w:rsidRDefault="00EB4E36" w:rsidP="00EB4E36">
      <w:pPr>
        <w:tabs>
          <w:tab w:val="left" w:pos="9600"/>
        </w:tabs>
        <w:spacing w:before="120" w:line="280" w:lineRule="atLeast"/>
        <w:rPr>
          <w:rFonts w:cs="Arial"/>
          <w:szCs w:val="20"/>
        </w:rPr>
      </w:pPr>
      <w:r w:rsidRPr="00B148B1">
        <w:rPr>
          <w:rFonts w:cs="Arial"/>
          <w:szCs w:val="20"/>
        </w:rPr>
        <w:t xml:space="preserve">Za ureditev čiščenja odpadne vode iz naselij se po metodologiji </w:t>
      </w:r>
      <w:proofErr w:type="spellStart"/>
      <w:r w:rsidRPr="00B148B1">
        <w:rPr>
          <w:rFonts w:cs="Arial"/>
          <w:szCs w:val="20"/>
        </w:rPr>
        <w:t>RZWas</w:t>
      </w:r>
      <w:proofErr w:type="spellEnd"/>
      <w:r w:rsidRPr="00B148B1">
        <w:rPr>
          <w:rFonts w:cs="Arial"/>
          <w:szCs w:val="20"/>
        </w:rPr>
        <w:t xml:space="preserve"> pri izračunu orientacijske vrednosti za </w:t>
      </w:r>
      <w:r w:rsidRPr="00B148B1">
        <w:rPr>
          <w:rFonts w:cs="Arial"/>
          <w:lang w:eastAsia="sl-SI"/>
        </w:rPr>
        <w:t xml:space="preserve">novogradnje in pri sorazmernem povečanju kapacitet čistilnih naprav </w:t>
      </w:r>
      <w:r w:rsidRPr="00B148B1">
        <w:rPr>
          <w:rFonts w:cs="Arial"/>
          <w:szCs w:val="20"/>
        </w:rPr>
        <w:t>upošteva</w:t>
      </w:r>
      <w:r w:rsidR="00C22B9B" w:rsidRPr="00B148B1">
        <w:rPr>
          <w:rFonts w:cs="Arial"/>
          <w:szCs w:val="20"/>
        </w:rPr>
        <w:t>jo</w:t>
      </w:r>
      <w:r w:rsidRPr="00B148B1">
        <w:rPr>
          <w:rFonts w:cs="Arial"/>
          <w:szCs w:val="20"/>
        </w:rPr>
        <w:t xml:space="preserve"> </w:t>
      </w:r>
      <w:r w:rsidRPr="00B148B1">
        <w:rPr>
          <w:rFonts w:cs="Arial"/>
          <w:lang w:eastAsia="sl-SI"/>
        </w:rPr>
        <w:t>vs</w:t>
      </w:r>
      <w:r w:rsidR="00107146" w:rsidRPr="00B148B1">
        <w:rPr>
          <w:rFonts w:cs="Arial"/>
          <w:lang w:eastAsia="sl-SI"/>
        </w:rPr>
        <w:t>i</w:t>
      </w:r>
      <w:r w:rsidRPr="00B148B1">
        <w:rPr>
          <w:rFonts w:cs="Arial"/>
          <w:lang w:eastAsia="sl-SI"/>
        </w:rPr>
        <w:t xml:space="preserve"> izdatk</w:t>
      </w:r>
      <w:r w:rsidR="00107146" w:rsidRPr="00B148B1">
        <w:rPr>
          <w:rFonts w:cs="Arial"/>
          <w:lang w:eastAsia="sl-SI"/>
        </w:rPr>
        <w:t>i</w:t>
      </w:r>
      <w:r w:rsidRPr="00B148B1">
        <w:rPr>
          <w:rFonts w:cs="Arial"/>
          <w:lang w:eastAsia="sl-SI"/>
        </w:rPr>
        <w:t xml:space="preserve"> za gradnjo čistilne naprave, pri lagunah pa tudi strošk</w:t>
      </w:r>
      <w:r w:rsidR="00107146" w:rsidRPr="00B148B1">
        <w:rPr>
          <w:rFonts w:cs="Arial"/>
          <w:lang w:eastAsia="sl-SI"/>
        </w:rPr>
        <w:t>i</w:t>
      </w:r>
      <w:r w:rsidRPr="00B148B1">
        <w:rPr>
          <w:rFonts w:cs="Arial"/>
          <w:lang w:eastAsia="sl-SI"/>
        </w:rPr>
        <w:t xml:space="preserve"> za obdelavo mešanice komunalne in padavinske odpadne vode. Orientacijska vrednost je odvisna od velikosti čistilne naprave (X), izraženo v PE. Z</w:t>
      </w:r>
      <w:r w:rsidRPr="00B148B1">
        <w:rPr>
          <w:rFonts w:cs="Arial"/>
          <w:szCs w:val="20"/>
        </w:rPr>
        <w:t>a oceno stroškov čiščenja komunalne odpadne vode se uporablja naslednje orientacijske vrednosti (količine se pri izračunavanju vstavlja v celih številih), vendar ne več kot 1.380 e</w:t>
      </w:r>
      <w:r w:rsidR="00EC0B4B" w:rsidRPr="00B148B1">
        <w:rPr>
          <w:rFonts w:cs="Arial"/>
          <w:szCs w:val="20"/>
        </w:rPr>
        <w:t>v</w:t>
      </w:r>
      <w:r w:rsidRPr="00B148B1">
        <w:rPr>
          <w:rFonts w:cs="Arial"/>
          <w:szCs w:val="20"/>
        </w:rPr>
        <w:t>rov na prebivalca:</w:t>
      </w:r>
    </w:p>
    <w:p w:rsidR="00EB4E36" w:rsidRPr="00B148B1" w:rsidRDefault="00EB4E36" w:rsidP="00EB4E36">
      <w:pPr>
        <w:tabs>
          <w:tab w:val="left" w:pos="9600"/>
        </w:tabs>
        <w:spacing w:before="120" w:line="280" w:lineRule="atLeast"/>
        <w:rPr>
          <w:rFonts w:cs="Arial"/>
          <w:szCs w:val="20"/>
        </w:rPr>
      </w:pPr>
    </w:p>
    <w:p w:rsidR="00EB4E36" w:rsidRPr="00B148B1" w:rsidRDefault="00EB4E36" w:rsidP="00EB4E36">
      <w:pPr>
        <w:tabs>
          <w:tab w:val="left" w:pos="9600"/>
        </w:tabs>
        <w:spacing w:before="120" w:line="280" w:lineRule="atLeast"/>
        <w:jc w:val="center"/>
        <w:rPr>
          <w:rFonts w:cs="Arial"/>
          <w:sz w:val="24"/>
        </w:rPr>
      </w:pPr>
      <w:r w:rsidRPr="00B148B1">
        <w:rPr>
          <w:rFonts w:cs="Arial"/>
          <w:sz w:val="24"/>
        </w:rPr>
        <w:t>KRW</w:t>
      </w:r>
      <w:r w:rsidRPr="00B148B1">
        <w:rPr>
          <w:rFonts w:cs="Arial"/>
          <w:sz w:val="24"/>
          <w:vertAlign w:val="subscript"/>
        </w:rPr>
        <w:t>KA</w:t>
      </w:r>
      <w:r w:rsidRPr="00B148B1">
        <w:rPr>
          <w:rFonts w:cs="Arial"/>
          <w:sz w:val="24"/>
        </w:rPr>
        <w:t xml:space="preserve"> = 3.661 × X</w:t>
      </w:r>
      <w:r w:rsidRPr="00B148B1">
        <w:rPr>
          <w:rFonts w:cs="Arial"/>
          <w:sz w:val="24"/>
          <w:vertAlign w:val="superscript"/>
        </w:rPr>
        <w:t>-0,25</w:t>
      </w:r>
      <w:r w:rsidRPr="00B148B1">
        <w:rPr>
          <w:rFonts w:cs="Arial"/>
          <w:sz w:val="24"/>
        </w:rPr>
        <w:t>,</w:t>
      </w:r>
    </w:p>
    <w:p w:rsidR="00EB4E36" w:rsidRPr="00B148B1" w:rsidRDefault="00EB4E36" w:rsidP="00EB4E36">
      <w:pPr>
        <w:tabs>
          <w:tab w:val="left" w:pos="9600"/>
        </w:tabs>
        <w:spacing w:before="120" w:line="280" w:lineRule="atLeast"/>
        <w:rPr>
          <w:rFonts w:cs="Arial"/>
          <w:szCs w:val="20"/>
        </w:rPr>
      </w:pPr>
      <w:r w:rsidRPr="00B148B1">
        <w:rPr>
          <w:rFonts w:cs="Arial"/>
          <w:szCs w:val="20"/>
        </w:rPr>
        <w:t>pri čemer je:</w:t>
      </w:r>
    </w:p>
    <w:p w:rsidR="00EB4E36" w:rsidRPr="00B148B1" w:rsidRDefault="00EB4E36" w:rsidP="00803F9D">
      <w:pPr>
        <w:tabs>
          <w:tab w:val="left" w:pos="9600"/>
        </w:tabs>
        <w:spacing w:before="120" w:line="280" w:lineRule="atLeast"/>
        <w:ind w:left="357"/>
        <w:rPr>
          <w:rFonts w:cs="Arial"/>
          <w:lang w:eastAsia="sl-SI"/>
        </w:rPr>
      </w:pPr>
      <w:r w:rsidRPr="00B148B1">
        <w:rPr>
          <w:rFonts w:cs="Arial"/>
          <w:lang w:eastAsia="sl-SI"/>
        </w:rPr>
        <w:t>KRW</w:t>
      </w:r>
      <w:r w:rsidRPr="00B148B1">
        <w:rPr>
          <w:rFonts w:cs="Arial"/>
          <w:vertAlign w:val="subscript"/>
          <w:lang w:eastAsia="sl-SI"/>
        </w:rPr>
        <w:t>KA</w:t>
      </w:r>
      <w:r w:rsidRPr="00B148B1">
        <w:rPr>
          <w:rFonts w:cs="Arial"/>
          <w:lang w:eastAsia="sl-SI"/>
        </w:rPr>
        <w:t>: orientacijska vrednost stroškov izgradnje komunalne čistilne naprave, izražena v e</w:t>
      </w:r>
      <w:r w:rsidR="00EC0B4B" w:rsidRPr="00B148B1">
        <w:rPr>
          <w:rFonts w:cs="Arial"/>
          <w:lang w:eastAsia="sl-SI"/>
        </w:rPr>
        <w:t>v</w:t>
      </w:r>
      <w:r w:rsidRPr="00B148B1">
        <w:rPr>
          <w:rFonts w:cs="Arial"/>
          <w:lang w:eastAsia="sl-SI"/>
        </w:rPr>
        <w:t>rih/PE.</w:t>
      </w:r>
    </w:p>
    <w:p w:rsidR="00A64F4F" w:rsidRPr="00B148B1" w:rsidRDefault="00A64F4F" w:rsidP="00EB4E36">
      <w:pPr>
        <w:tabs>
          <w:tab w:val="left" w:pos="9600"/>
        </w:tabs>
        <w:spacing w:before="120" w:line="280" w:lineRule="atLeast"/>
        <w:rPr>
          <w:rFonts w:cs="Arial"/>
          <w:szCs w:val="20"/>
        </w:rPr>
      </w:pPr>
    </w:p>
    <w:p w:rsidR="00EB4E36" w:rsidRPr="00B148B1" w:rsidRDefault="00A64F4F" w:rsidP="00EB4E36">
      <w:pPr>
        <w:tabs>
          <w:tab w:val="left" w:pos="9600"/>
        </w:tabs>
        <w:spacing w:before="120" w:line="280" w:lineRule="atLeast"/>
        <w:rPr>
          <w:rFonts w:cs="Arial"/>
          <w:szCs w:val="20"/>
        </w:rPr>
      </w:pPr>
      <w:r w:rsidRPr="00B148B1">
        <w:rPr>
          <w:rFonts w:cs="Arial"/>
          <w:szCs w:val="20"/>
        </w:rPr>
        <w:t>Analiza</w:t>
      </w:r>
      <w:r w:rsidR="00EB4E36" w:rsidRPr="00B148B1">
        <w:rPr>
          <w:rFonts w:cs="Arial"/>
          <w:szCs w:val="20"/>
        </w:rPr>
        <w:t xml:space="preserve"> metodologije, ki je bila uporabljena za oceno stroškov ukrepov predhodnega operativnega programa kaže, da bi stroški po tej metodologiji znašali:</w:t>
      </w:r>
    </w:p>
    <w:p w:rsidR="00EB4E36" w:rsidRPr="00B148B1" w:rsidRDefault="00EB4E36" w:rsidP="004C2581">
      <w:pPr>
        <w:numPr>
          <w:ilvl w:val="0"/>
          <w:numId w:val="21"/>
        </w:numPr>
        <w:tabs>
          <w:tab w:val="left" w:pos="9600"/>
        </w:tabs>
        <w:spacing w:before="120" w:line="280" w:lineRule="atLeast"/>
        <w:ind w:left="357" w:hanging="357"/>
        <w:rPr>
          <w:rFonts w:cs="Arial"/>
          <w:szCs w:val="20"/>
        </w:rPr>
      </w:pPr>
      <w:r w:rsidRPr="00B148B1">
        <w:rPr>
          <w:rFonts w:cs="Arial"/>
          <w:szCs w:val="20"/>
        </w:rPr>
        <w:t>za opremljanje aglomeracij z javnim kanalizacijskim omrežjem 2.584 e</w:t>
      </w:r>
      <w:r w:rsidR="00EC0B4B" w:rsidRPr="00B148B1">
        <w:rPr>
          <w:rFonts w:cs="Arial"/>
          <w:szCs w:val="20"/>
        </w:rPr>
        <w:t>v</w:t>
      </w:r>
      <w:r w:rsidRPr="00B148B1">
        <w:rPr>
          <w:rFonts w:cs="Arial"/>
          <w:szCs w:val="20"/>
        </w:rPr>
        <w:t>rov/PE in</w:t>
      </w:r>
    </w:p>
    <w:p w:rsidR="00EB4E36" w:rsidRPr="00B148B1" w:rsidRDefault="00EB4E36" w:rsidP="004C2581">
      <w:pPr>
        <w:numPr>
          <w:ilvl w:val="0"/>
          <w:numId w:val="21"/>
        </w:numPr>
        <w:tabs>
          <w:tab w:val="left" w:pos="9600"/>
        </w:tabs>
        <w:spacing w:before="120" w:line="280" w:lineRule="atLeast"/>
        <w:ind w:left="357" w:hanging="357"/>
        <w:rPr>
          <w:rFonts w:cs="Arial"/>
          <w:szCs w:val="20"/>
        </w:rPr>
      </w:pPr>
      <w:r w:rsidRPr="00B148B1">
        <w:rPr>
          <w:rFonts w:cs="Arial"/>
          <w:szCs w:val="20"/>
        </w:rPr>
        <w:t>za opremljanje aglomeracij s komunalno čistilno napravo 418 e</w:t>
      </w:r>
      <w:r w:rsidR="00EC0B4B" w:rsidRPr="00B148B1">
        <w:rPr>
          <w:rFonts w:cs="Arial"/>
          <w:szCs w:val="20"/>
        </w:rPr>
        <w:t>v</w:t>
      </w:r>
      <w:r w:rsidRPr="00B148B1">
        <w:rPr>
          <w:rFonts w:cs="Arial"/>
          <w:szCs w:val="20"/>
        </w:rPr>
        <w:t>rov/PE.</w:t>
      </w:r>
    </w:p>
    <w:p w:rsidR="00373B7C" w:rsidRPr="00B148B1" w:rsidRDefault="00373B7C" w:rsidP="00B803AE">
      <w:pPr>
        <w:pStyle w:val="Alineazaodstavkom"/>
        <w:numPr>
          <w:ilvl w:val="0"/>
          <w:numId w:val="0"/>
        </w:numPr>
        <w:ind w:left="785"/>
      </w:pPr>
    </w:p>
    <w:p w:rsidR="0002726E" w:rsidRPr="00B148B1" w:rsidRDefault="00B27859" w:rsidP="00B27859">
      <w:pPr>
        <w:tabs>
          <w:tab w:val="left" w:pos="9600"/>
        </w:tabs>
        <w:spacing w:before="120" w:line="280" w:lineRule="atLeast"/>
        <w:rPr>
          <w:rFonts w:cs="Arial"/>
          <w:szCs w:val="20"/>
        </w:rPr>
      </w:pPr>
      <w:r w:rsidRPr="00B148B1">
        <w:rPr>
          <w:rFonts w:cs="Arial"/>
          <w:szCs w:val="20"/>
        </w:rPr>
        <w:t>ter</w:t>
      </w:r>
    </w:p>
    <w:p w:rsidR="00B27859" w:rsidRPr="00B148B1" w:rsidRDefault="0002726E">
      <w:pPr>
        <w:tabs>
          <w:tab w:val="left" w:pos="9600"/>
        </w:tabs>
        <w:spacing w:before="120" w:line="280" w:lineRule="atLeast"/>
      </w:pPr>
      <w:r w:rsidRPr="00B148B1">
        <w:t>Scenarij 2 - A</w:t>
      </w:r>
      <w:r w:rsidR="00B27859" w:rsidRPr="00B148B1">
        <w:t>naliz</w:t>
      </w:r>
      <w:r w:rsidRPr="00B148B1">
        <w:t>a</w:t>
      </w:r>
      <w:r w:rsidR="00B27859" w:rsidRPr="00B148B1">
        <w:t xml:space="preserve"> stroškov </w:t>
      </w:r>
      <w:r w:rsidRPr="00B148B1">
        <w:t>na podlagi</w:t>
      </w:r>
      <w:r w:rsidR="00B27859" w:rsidRPr="00B148B1">
        <w:t xml:space="preserve"> nabora projektov evropske kohezijske politike</w:t>
      </w:r>
      <w:r w:rsidR="00EB4E36" w:rsidRPr="00B148B1">
        <w:t xml:space="preserve"> pretekle</w:t>
      </w:r>
      <w:r w:rsidR="00C37A53" w:rsidRPr="00B148B1">
        <w:t>ga</w:t>
      </w:r>
      <w:r w:rsidR="00EB4E36" w:rsidRPr="00B148B1">
        <w:t xml:space="preserve"> in tekoče</w:t>
      </w:r>
      <w:r w:rsidR="00C37A53" w:rsidRPr="00B148B1">
        <w:t>ga</w:t>
      </w:r>
      <w:r w:rsidR="00EB4E36" w:rsidRPr="00B148B1">
        <w:t xml:space="preserve"> finančne</w:t>
      </w:r>
      <w:r w:rsidR="00C37A53" w:rsidRPr="00B148B1">
        <w:t>ga</w:t>
      </w:r>
      <w:r w:rsidR="00EB4E36" w:rsidRPr="00B148B1">
        <w:t xml:space="preserve"> </w:t>
      </w:r>
      <w:r w:rsidR="00C37A53" w:rsidRPr="00B148B1">
        <w:t>obdobja</w:t>
      </w:r>
    </w:p>
    <w:p w:rsidR="000D6840" w:rsidRPr="00B148B1" w:rsidRDefault="000D6840" w:rsidP="00803F9D">
      <w:pPr>
        <w:tabs>
          <w:tab w:val="left" w:pos="9600"/>
        </w:tabs>
        <w:spacing w:before="120" w:line="280" w:lineRule="atLeast"/>
        <w:rPr>
          <w:rFonts w:cs="Arial"/>
          <w:szCs w:val="20"/>
        </w:rPr>
      </w:pPr>
    </w:p>
    <w:p w:rsidR="000D6840" w:rsidRPr="00B148B1" w:rsidRDefault="000D6840">
      <w:r w:rsidRPr="00B148B1">
        <w:t>Analiza zajema izračun povprečnih stroškov izgradnje ter rekonstrukcije komunalnih čistilnih naprav in izgradnje kanalizacijskega omrežja. Povprečni stroški so bili izračunani na podlagi pridobljenih podatkov iz nabora projektov evropske kohezijske politike, ki so bili financirani v pretekl</w:t>
      </w:r>
      <w:r w:rsidR="00C37A53" w:rsidRPr="00B148B1">
        <w:t>em</w:t>
      </w:r>
      <w:r w:rsidRPr="00B148B1">
        <w:t xml:space="preserve"> in tekoč</w:t>
      </w:r>
      <w:r w:rsidR="00C37A53" w:rsidRPr="00B148B1">
        <w:t>em</w:t>
      </w:r>
      <w:r w:rsidRPr="00B148B1">
        <w:t xml:space="preserve"> finančn</w:t>
      </w:r>
      <w:r w:rsidR="00C37A53" w:rsidRPr="00B148B1">
        <w:t>em obdobju</w:t>
      </w:r>
      <w:r w:rsidRPr="00B148B1">
        <w:t>.</w:t>
      </w:r>
    </w:p>
    <w:p w:rsidR="00B27859" w:rsidRPr="00B148B1" w:rsidRDefault="00B27859" w:rsidP="00B27859">
      <w:pPr>
        <w:tabs>
          <w:tab w:val="left" w:pos="9600"/>
        </w:tabs>
        <w:spacing w:before="120" w:line="280" w:lineRule="atLeast"/>
        <w:rPr>
          <w:rFonts w:cs="Arial"/>
          <w:szCs w:val="20"/>
        </w:rPr>
      </w:pPr>
      <w:r w:rsidRPr="00B148B1">
        <w:rPr>
          <w:rFonts w:cs="Arial"/>
          <w:szCs w:val="20"/>
        </w:rPr>
        <w:t>Analiz</w:t>
      </w:r>
      <w:r w:rsidR="0002726E" w:rsidRPr="00B148B1">
        <w:rPr>
          <w:rFonts w:cs="Arial"/>
          <w:szCs w:val="20"/>
        </w:rPr>
        <w:t>a</w:t>
      </w:r>
      <w:r w:rsidRPr="00B148B1">
        <w:rPr>
          <w:rFonts w:cs="Arial"/>
          <w:szCs w:val="20"/>
        </w:rPr>
        <w:t xml:space="preserve"> stroškov </w:t>
      </w:r>
      <w:r w:rsidR="0002726E" w:rsidRPr="00B148B1">
        <w:rPr>
          <w:rFonts w:cs="Arial"/>
          <w:szCs w:val="20"/>
        </w:rPr>
        <w:t xml:space="preserve">na podlagi </w:t>
      </w:r>
      <w:r w:rsidRPr="00B148B1">
        <w:rPr>
          <w:rFonts w:cs="Arial"/>
          <w:szCs w:val="20"/>
        </w:rPr>
        <w:t>nabora projekt</w:t>
      </w:r>
      <w:r w:rsidR="00BE3338" w:rsidRPr="00B148B1">
        <w:rPr>
          <w:rFonts w:cs="Arial"/>
          <w:szCs w:val="20"/>
        </w:rPr>
        <w:t>ov evropske kohezijske politike, ki so bili financirani v pretekl</w:t>
      </w:r>
      <w:r w:rsidR="00C37A53" w:rsidRPr="00B148B1">
        <w:rPr>
          <w:rFonts w:cs="Arial"/>
          <w:szCs w:val="20"/>
        </w:rPr>
        <w:t>em</w:t>
      </w:r>
      <w:r w:rsidR="00BE3338" w:rsidRPr="00B148B1">
        <w:rPr>
          <w:rFonts w:cs="Arial"/>
          <w:szCs w:val="20"/>
        </w:rPr>
        <w:t xml:space="preserve"> </w:t>
      </w:r>
      <w:r w:rsidR="001245AB" w:rsidRPr="00B148B1">
        <w:rPr>
          <w:rFonts w:cs="Arial"/>
          <w:szCs w:val="20"/>
        </w:rPr>
        <w:t>in tekoč</w:t>
      </w:r>
      <w:r w:rsidR="00C37A53" w:rsidRPr="00B148B1">
        <w:rPr>
          <w:rFonts w:cs="Arial"/>
          <w:szCs w:val="20"/>
        </w:rPr>
        <w:t xml:space="preserve">em </w:t>
      </w:r>
      <w:r w:rsidR="00BE3338" w:rsidRPr="00B148B1">
        <w:rPr>
          <w:rFonts w:cs="Arial"/>
          <w:szCs w:val="20"/>
        </w:rPr>
        <w:t>finančn</w:t>
      </w:r>
      <w:r w:rsidR="00C37A53" w:rsidRPr="00B148B1">
        <w:rPr>
          <w:rFonts w:cs="Arial"/>
          <w:szCs w:val="20"/>
        </w:rPr>
        <w:t>em obdobju</w:t>
      </w:r>
      <w:r w:rsidR="00BE3338" w:rsidRPr="00B148B1">
        <w:rPr>
          <w:rFonts w:cs="Arial"/>
          <w:szCs w:val="20"/>
        </w:rPr>
        <w:t xml:space="preserve"> </w:t>
      </w:r>
      <w:r w:rsidRPr="00B148B1">
        <w:rPr>
          <w:rFonts w:cs="Arial"/>
          <w:szCs w:val="20"/>
        </w:rPr>
        <w:t>kaže, da bi stroški</w:t>
      </w:r>
      <w:r w:rsidR="00EB4E36" w:rsidRPr="00B148B1">
        <w:rPr>
          <w:rFonts w:cs="Arial"/>
          <w:szCs w:val="20"/>
        </w:rPr>
        <w:t xml:space="preserve"> izvedbe</w:t>
      </w:r>
      <w:r w:rsidRPr="00B148B1">
        <w:rPr>
          <w:rFonts w:cs="Arial"/>
          <w:szCs w:val="20"/>
        </w:rPr>
        <w:t xml:space="preserve"> na podlagi teh izhodišč znašali:</w:t>
      </w:r>
    </w:p>
    <w:p w:rsidR="00B27859" w:rsidRPr="00B148B1" w:rsidRDefault="00B27859" w:rsidP="004C2581">
      <w:pPr>
        <w:numPr>
          <w:ilvl w:val="0"/>
          <w:numId w:val="21"/>
        </w:numPr>
        <w:tabs>
          <w:tab w:val="left" w:pos="9600"/>
        </w:tabs>
        <w:spacing w:before="120" w:line="280" w:lineRule="atLeast"/>
        <w:ind w:left="357" w:hanging="357"/>
        <w:rPr>
          <w:rFonts w:cs="Arial"/>
          <w:szCs w:val="20"/>
        </w:rPr>
      </w:pPr>
      <w:r w:rsidRPr="00B148B1">
        <w:rPr>
          <w:rFonts w:cs="Arial"/>
          <w:szCs w:val="20"/>
        </w:rPr>
        <w:t xml:space="preserve">za opremljanje aglomeracij z javnim kanalizacijskim omrežjem </w:t>
      </w:r>
      <w:r w:rsidR="00A2520F" w:rsidRPr="00B148B1">
        <w:rPr>
          <w:rFonts w:cs="Arial"/>
          <w:szCs w:val="20"/>
        </w:rPr>
        <w:t>2.030</w:t>
      </w:r>
      <w:r w:rsidRPr="00B148B1">
        <w:rPr>
          <w:rFonts w:cs="Arial"/>
          <w:szCs w:val="20"/>
        </w:rPr>
        <w:t xml:space="preserve"> e</w:t>
      </w:r>
      <w:r w:rsidR="00EC0B4B" w:rsidRPr="00B148B1">
        <w:rPr>
          <w:rFonts w:cs="Arial"/>
          <w:szCs w:val="20"/>
        </w:rPr>
        <w:t>v</w:t>
      </w:r>
      <w:r w:rsidRPr="00B148B1">
        <w:rPr>
          <w:rFonts w:cs="Arial"/>
          <w:szCs w:val="20"/>
        </w:rPr>
        <w:t>rov/PE</w:t>
      </w:r>
      <w:r w:rsidR="00EB4E36" w:rsidRPr="00B148B1">
        <w:rPr>
          <w:rFonts w:cs="Arial"/>
          <w:szCs w:val="20"/>
        </w:rPr>
        <w:t>,</w:t>
      </w:r>
    </w:p>
    <w:p w:rsidR="00B27859" w:rsidRPr="00B148B1" w:rsidRDefault="00B27859" w:rsidP="004C2581">
      <w:pPr>
        <w:numPr>
          <w:ilvl w:val="0"/>
          <w:numId w:val="21"/>
        </w:numPr>
        <w:tabs>
          <w:tab w:val="left" w:pos="9600"/>
        </w:tabs>
        <w:spacing w:before="120" w:line="280" w:lineRule="atLeast"/>
        <w:ind w:left="357" w:hanging="357"/>
        <w:rPr>
          <w:rFonts w:cs="Arial"/>
          <w:szCs w:val="20"/>
        </w:rPr>
      </w:pPr>
      <w:r w:rsidRPr="00B148B1">
        <w:rPr>
          <w:rFonts w:cs="Arial"/>
          <w:szCs w:val="20"/>
        </w:rPr>
        <w:t>za opremljanje aglomeracij s komunalno čistilno napravo 410 e</w:t>
      </w:r>
      <w:r w:rsidR="00EC0B4B" w:rsidRPr="00B148B1">
        <w:rPr>
          <w:rFonts w:cs="Arial"/>
          <w:szCs w:val="20"/>
        </w:rPr>
        <w:t>v</w:t>
      </w:r>
      <w:r w:rsidRPr="00B148B1">
        <w:rPr>
          <w:rFonts w:cs="Arial"/>
          <w:szCs w:val="20"/>
        </w:rPr>
        <w:t>rov/PE</w:t>
      </w:r>
      <w:r w:rsidR="00EB4E36" w:rsidRPr="00B148B1">
        <w:rPr>
          <w:rFonts w:cs="Arial"/>
          <w:szCs w:val="20"/>
        </w:rPr>
        <w:t xml:space="preserve"> in</w:t>
      </w:r>
    </w:p>
    <w:p w:rsidR="00B27859" w:rsidRPr="00B148B1" w:rsidRDefault="00B27859" w:rsidP="004C2581">
      <w:pPr>
        <w:numPr>
          <w:ilvl w:val="0"/>
          <w:numId w:val="21"/>
        </w:numPr>
        <w:tabs>
          <w:tab w:val="left" w:pos="9600"/>
        </w:tabs>
        <w:spacing w:before="120" w:line="280" w:lineRule="atLeast"/>
        <w:ind w:left="357" w:hanging="357"/>
        <w:rPr>
          <w:rFonts w:cs="Arial"/>
          <w:szCs w:val="20"/>
        </w:rPr>
      </w:pPr>
      <w:r w:rsidRPr="00B148B1">
        <w:rPr>
          <w:rFonts w:cs="Arial"/>
          <w:szCs w:val="20"/>
        </w:rPr>
        <w:t xml:space="preserve">za rekonstrukcijo </w:t>
      </w:r>
      <w:r w:rsidR="007069C0" w:rsidRPr="00B148B1">
        <w:rPr>
          <w:rFonts w:cs="Arial"/>
          <w:szCs w:val="20"/>
        </w:rPr>
        <w:t>oziroma</w:t>
      </w:r>
      <w:r w:rsidR="00EB4E36" w:rsidRPr="00B148B1">
        <w:rPr>
          <w:rFonts w:cs="Arial"/>
          <w:szCs w:val="20"/>
        </w:rPr>
        <w:t xml:space="preserve"> ustrezno nadgradnjo </w:t>
      </w:r>
      <w:r w:rsidRPr="00B148B1">
        <w:rPr>
          <w:rFonts w:cs="Arial"/>
          <w:szCs w:val="20"/>
        </w:rPr>
        <w:t>komunalne čistilne naprave 285 e</w:t>
      </w:r>
      <w:r w:rsidR="00EC0B4B" w:rsidRPr="00B148B1">
        <w:rPr>
          <w:rFonts w:cs="Arial"/>
          <w:szCs w:val="20"/>
        </w:rPr>
        <w:t>v</w:t>
      </w:r>
      <w:r w:rsidRPr="00B148B1">
        <w:rPr>
          <w:rFonts w:cs="Arial"/>
          <w:szCs w:val="20"/>
        </w:rPr>
        <w:t>rov/PE</w:t>
      </w:r>
    </w:p>
    <w:p w:rsidR="00A64F4F" w:rsidRPr="00B148B1" w:rsidRDefault="00A64F4F" w:rsidP="00B27859">
      <w:pPr>
        <w:tabs>
          <w:tab w:val="left" w:pos="9600"/>
        </w:tabs>
        <w:spacing w:before="120" w:line="280" w:lineRule="atLeast"/>
        <w:rPr>
          <w:rFonts w:cs="Arial"/>
          <w:szCs w:val="20"/>
        </w:rPr>
      </w:pPr>
    </w:p>
    <w:p w:rsidR="00B27859" w:rsidRPr="00B148B1" w:rsidRDefault="00B27859" w:rsidP="00B27859">
      <w:pPr>
        <w:tabs>
          <w:tab w:val="left" w:pos="9600"/>
        </w:tabs>
        <w:spacing w:before="120" w:line="280" w:lineRule="atLeast"/>
        <w:rPr>
          <w:rFonts w:cs="Arial"/>
          <w:szCs w:val="20"/>
        </w:rPr>
      </w:pPr>
      <w:r w:rsidRPr="00B148B1">
        <w:rPr>
          <w:rFonts w:cs="Arial"/>
          <w:szCs w:val="20"/>
        </w:rPr>
        <w:t xml:space="preserve">Na podlagi </w:t>
      </w:r>
      <w:r w:rsidR="00EB4E36" w:rsidRPr="00B148B1">
        <w:rPr>
          <w:rFonts w:cs="Arial"/>
          <w:szCs w:val="20"/>
        </w:rPr>
        <w:t xml:space="preserve">metodologije, </w:t>
      </w:r>
      <w:r w:rsidR="00EB4E36" w:rsidRPr="00B148B1">
        <w:t>ki je bila uporabljena za oceno stroškov ukrepov predhodnega operativnega programa</w:t>
      </w:r>
      <w:r w:rsidRPr="00B148B1">
        <w:rPr>
          <w:rFonts w:cs="Arial"/>
          <w:szCs w:val="20"/>
        </w:rPr>
        <w:t xml:space="preserve">, ocene stroškov iz nabora projektov evropske kohezijske politike in podatkov o investicijskih vrednostih izgradnje malih čistilnih naprav so bile pri izračunu stroškov za izvedbo predpisanih ukrepov </w:t>
      </w:r>
      <w:r w:rsidR="00A81BB9" w:rsidRPr="00B148B1">
        <w:rPr>
          <w:rFonts w:cs="Arial"/>
          <w:szCs w:val="20"/>
        </w:rPr>
        <w:t xml:space="preserve">kot povprečna vrednost na podlagi </w:t>
      </w:r>
      <w:r w:rsidR="009966F9" w:rsidRPr="00B148B1">
        <w:rPr>
          <w:rFonts w:cs="Arial"/>
          <w:szCs w:val="20"/>
        </w:rPr>
        <w:t xml:space="preserve">obeh </w:t>
      </w:r>
      <w:r w:rsidR="00A81BB9" w:rsidRPr="00B148B1">
        <w:rPr>
          <w:rFonts w:cs="Arial"/>
          <w:szCs w:val="20"/>
        </w:rPr>
        <w:t xml:space="preserve">analiziranih scenarijev </w:t>
      </w:r>
      <w:r w:rsidRPr="00B148B1">
        <w:rPr>
          <w:rFonts w:cs="Arial"/>
          <w:szCs w:val="20"/>
        </w:rPr>
        <w:t>uporabljene naslednje investicijske vrednosti:</w:t>
      </w:r>
    </w:p>
    <w:p w:rsidR="00B27859" w:rsidRPr="00B148B1" w:rsidRDefault="00B27859" w:rsidP="004C2581">
      <w:pPr>
        <w:numPr>
          <w:ilvl w:val="0"/>
          <w:numId w:val="21"/>
        </w:numPr>
        <w:tabs>
          <w:tab w:val="left" w:pos="9600"/>
        </w:tabs>
        <w:spacing w:before="120" w:line="280" w:lineRule="atLeast"/>
        <w:ind w:left="357" w:hanging="357"/>
        <w:rPr>
          <w:rFonts w:cs="Arial"/>
          <w:szCs w:val="20"/>
        </w:rPr>
      </w:pPr>
      <w:r w:rsidRPr="00B148B1">
        <w:rPr>
          <w:rFonts w:cs="Arial"/>
          <w:szCs w:val="20"/>
        </w:rPr>
        <w:t>za opremljanje aglomeracij</w:t>
      </w:r>
      <w:r w:rsidR="007167BE" w:rsidRPr="00B148B1">
        <w:rPr>
          <w:rFonts w:cs="Arial"/>
          <w:szCs w:val="20"/>
        </w:rPr>
        <w:t>,</w:t>
      </w:r>
      <w:r w:rsidRPr="00B148B1">
        <w:rPr>
          <w:rFonts w:cs="Arial"/>
          <w:szCs w:val="20"/>
        </w:rPr>
        <w:t xml:space="preserve"> s skupno obremenitvijo večjo od 2.000 PE</w:t>
      </w:r>
      <w:r w:rsidR="007167BE" w:rsidRPr="00B148B1">
        <w:rPr>
          <w:rFonts w:cs="Arial"/>
          <w:szCs w:val="20"/>
        </w:rPr>
        <w:t>,</w:t>
      </w:r>
      <w:r w:rsidRPr="00B148B1">
        <w:rPr>
          <w:rFonts w:cs="Arial"/>
          <w:szCs w:val="20"/>
        </w:rPr>
        <w:t xml:space="preserve"> z javnim kanalizacijskim omrežjem </w:t>
      </w:r>
      <w:r w:rsidR="00A2520F" w:rsidRPr="00B148B1">
        <w:rPr>
          <w:rFonts w:cs="Arial"/>
          <w:szCs w:val="20"/>
        </w:rPr>
        <w:t>2.100</w:t>
      </w:r>
      <w:r w:rsidRPr="00B148B1">
        <w:rPr>
          <w:rFonts w:cs="Arial"/>
          <w:szCs w:val="20"/>
        </w:rPr>
        <w:t xml:space="preserve"> e</w:t>
      </w:r>
      <w:r w:rsidR="00EC0B4B" w:rsidRPr="00B148B1">
        <w:rPr>
          <w:rFonts w:cs="Arial"/>
          <w:szCs w:val="20"/>
        </w:rPr>
        <w:t>v</w:t>
      </w:r>
      <w:r w:rsidRPr="00B148B1">
        <w:rPr>
          <w:rFonts w:cs="Arial"/>
          <w:szCs w:val="20"/>
        </w:rPr>
        <w:t>rov/PE,</w:t>
      </w:r>
    </w:p>
    <w:p w:rsidR="00B27859" w:rsidRPr="00B148B1" w:rsidRDefault="00B27859" w:rsidP="004C2581">
      <w:pPr>
        <w:numPr>
          <w:ilvl w:val="0"/>
          <w:numId w:val="21"/>
        </w:numPr>
        <w:tabs>
          <w:tab w:val="left" w:pos="9600"/>
        </w:tabs>
        <w:spacing w:before="120" w:line="280" w:lineRule="atLeast"/>
        <w:ind w:left="357" w:hanging="357"/>
        <w:rPr>
          <w:rFonts w:cs="Arial"/>
          <w:szCs w:val="20"/>
        </w:rPr>
      </w:pPr>
      <w:r w:rsidRPr="00B148B1">
        <w:rPr>
          <w:rFonts w:cs="Arial"/>
          <w:szCs w:val="20"/>
        </w:rPr>
        <w:t>za opremljanje aglomeracij</w:t>
      </w:r>
      <w:r w:rsidR="007167BE" w:rsidRPr="00B148B1">
        <w:rPr>
          <w:rFonts w:cs="Arial"/>
          <w:szCs w:val="20"/>
        </w:rPr>
        <w:t>,</w:t>
      </w:r>
      <w:r w:rsidRPr="00B148B1">
        <w:rPr>
          <w:rFonts w:cs="Arial"/>
          <w:szCs w:val="20"/>
        </w:rPr>
        <w:t xml:space="preserve"> s skupno obremenitvijo manjšo od 2.000 PE</w:t>
      </w:r>
      <w:r w:rsidR="007167BE" w:rsidRPr="00B148B1">
        <w:rPr>
          <w:rFonts w:cs="Arial"/>
          <w:szCs w:val="20"/>
        </w:rPr>
        <w:t>,</w:t>
      </w:r>
      <w:r w:rsidRPr="00B148B1">
        <w:rPr>
          <w:rFonts w:cs="Arial"/>
          <w:szCs w:val="20"/>
        </w:rPr>
        <w:t xml:space="preserve"> z javnim kanalizacijskim omrežjem </w:t>
      </w:r>
      <w:r w:rsidR="00A2520F" w:rsidRPr="00B148B1">
        <w:rPr>
          <w:rFonts w:cs="Arial"/>
          <w:szCs w:val="20"/>
        </w:rPr>
        <w:t xml:space="preserve">2.700 </w:t>
      </w:r>
      <w:r w:rsidRPr="00B148B1">
        <w:rPr>
          <w:rFonts w:cs="Arial"/>
          <w:szCs w:val="20"/>
        </w:rPr>
        <w:t>e</w:t>
      </w:r>
      <w:r w:rsidR="00EC0B4B" w:rsidRPr="00B148B1">
        <w:rPr>
          <w:rFonts w:cs="Arial"/>
          <w:szCs w:val="20"/>
        </w:rPr>
        <w:t>v</w:t>
      </w:r>
      <w:r w:rsidRPr="00B148B1">
        <w:rPr>
          <w:rFonts w:cs="Arial"/>
          <w:szCs w:val="20"/>
        </w:rPr>
        <w:t>rov/PE,</w:t>
      </w:r>
    </w:p>
    <w:p w:rsidR="00B27859" w:rsidRPr="00B148B1" w:rsidRDefault="00B27859" w:rsidP="004C2581">
      <w:pPr>
        <w:numPr>
          <w:ilvl w:val="0"/>
          <w:numId w:val="21"/>
        </w:numPr>
        <w:tabs>
          <w:tab w:val="left" w:pos="9600"/>
        </w:tabs>
        <w:spacing w:before="120" w:line="280" w:lineRule="atLeast"/>
        <w:ind w:left="357" w:hanging="357"/>
        <w:rPr>
          <w:rFonts w:cs="Arial"/>
          <w:szCs w:val="20"/>
        </w:rPr>
      </w:pPr>
      <w:r w:rsidRPr="00B148B1">
        <w:rPr>
          <w:rFonts w:cs="Arial"/>
          <w:szCs w:val="20"/>
        </w:rPr>
        <w:t>za opremljanje aglomeracij</w:t>
      </w:r>
      <w:r w:rsidR="007167BE" w:rsidRPr="00B148B1">
        <w:rPr>
          <w:rFonts w:cs="Arial"/>
          <w:szCs w:val="20"/>
        </w:rPr>
        <w:t>,</w:t>
      </w:r>
      <w:r w:rsidRPr="00B148B1">
        <w:rPr>
          <w:rFonts w:cs="Arial"/>
          <w:szCs w:val="20"/>
        </w:rPr>
        <w:t xml:space="preserve"> s skupno obremenitvijo večjo od 2.000 PE</w:t>
      </w:r>
      <w:r w:rsidR="007167BE" w:rsidRPr="00B148B1">
        <w:rPr>
          <w:rFonts w:cs="Arial"/>
          <w:szCs w:val="20"/>
        </w:rPr>
        <w:t>,</w:t>
      </w:r>
      <w:r w:rsidRPr="00B148B1">
        <w:rPr>
          <w:rFonts w:cs="Arial"/>
          <w:szCs w:val="20"/>
        </w:rPr>
        <w:t xml:space="preserve"> s komunalno čistilno napravo 400 e</w:t>
      </w:r>
      <w:r w:rsidR="00EC0B4B" w:rsidRPr="00B148B1">
        <w:rPr>
          <w:rFonts w:cs="Arial"/>
          <w:szCs w:val="20"/>
        </w:rPr>
        <w:t>v</w:t>
      </w:r>
      <w:r w:rsidRPr="00B148B1">
        <w:rPr>
          <w:rFonts w:cs="Arial"/>
          <w:szCs w:val="20"/>
        </w:rPr>
        <w:t>rov/PE,</w:t>
      </w:r>
    </w:p>
    <w:p w:rsidR="00B27859" w:rsidRPr="00B148B1" w:rsidRDefault="00B27859" w:rsidP="004C2581">
      <w:pPr>
        <w:numPr>
          <w:ilvl w:val="0"/>
          <w:numId w:val="21"/>
        </w:numPr>
        <w:tabs>
          <w:tab w:val="left" w:pos="9600"/>
        </w:tabs>
        <w:spacing w:before="120" w:line="280" w:lineRule="atLeast"/>
        <w:ind w:left="357" w:hanging="357"/>
        <w:rPr>
          <w:rFonts w:cs="Arial"/>
          <w:szCs w:val="20"/>
        </w:rPr>
      </w:pPr>
      <w:r w:rsidRPr="00B148B1">
        <w:rPr>
          <w:rFonts w:cs="Arial"/>
          <w:szCs w:val="20"/>
        </w:rPr>
        <w:t>za opremljanje aglomeracij</w:t>
      </w:r>
      <w:r w:rsidR="007167BE" w:rsidRPr="00B148B1">
        <w:rPr>
          <w:rFonts w:cs="Arial"/>
          <w:szCs w:val="20"/>
        </w:rPr>
        <w:t>,</w:t>
      </w:r>
      <w:r w:rsidRPr="00B148B1">
        <w:rPr>
          <w:rFonts w:cs="Arial"/>
          <w:szCs w:val="20"/>
        </w:rPr>
        <w:t xml:space="preserve"> s skupno obremenitvijo manjšo od 2.000 PE</w:t>
      </w:r>
      <w:r w:rsidR="007167BE" w:rsidRPr="00B148B1">
        <w:rPr>
          <w:rFonts w:cs="Arial"/>
          <w:szCs w:val="20"/>
        </w:rPr>
        <w:t>,</w:t>
      </w:r>
      <w:r w:rsidRPr="00B148B1">
        <w:rPr>
          <w:rFonts w:cs="Arial"/>
          <w:szCs w:val="20"/>
        </w:rPr>
        <w:t xml:space="preserve"> s komunalno čistilno napravo 600 e</w:t>
      </w:r>
      <w:r w:rsidR="00EC0B4B" w:rsidRPr="00B148B1">
        <w:rPr>
          <w:rFonts w:cs="Arial"/>
          <w:szCs w:val="20"/>
        </w:rPr>
        <w:t>v</w:t>
      </w:r>
      <w:r w:rsidRPr="00B148B1">
        <w:rPr>
          <w:rFonts w:cs="Arial"/>
          <w:szCs w:val="20"/>
        </w:rPr>
        <w:t>rov/PE,</w:t>
      </w:r>
    </w:p>
    <w:p w:rsidR="00B27859" w:rsidRPr="00B148B1" w:rsidRDefault="00B27859" w:rsidP="004C2581">
      <w:pPr>
        <w:numPr>
          <w:ilvl w:val="0"/>
          <w:numId w:val="21"/>
        </w:numPr>
        <w:tabs>
          <w:tab w:val="left" w:pos="9600"/>
        </w:tabs>
        <w:spacing w:before="120" w:line="280" w:lineRule="atLeast"/>
        <w:ind w:left="357" w:hanging="357"/>
        <w:rPr>
          <w:rFonts w:cs="Arial"/>
          <w:szCs w:val="20"/>
        </w:rPr>
      </w:pPr>
      <w:r w:rsidRPr="00B148B1">
        <w:rPr>
          <w:rFonts w:cs="Arial"/>
          <w:szCs w:val="20"/>
        </w:rPr>
        <w:t>za rekonstrukcijo (nadgradnjo) komunalne čistilne naprave 285 e</w:t>
      </w:r>
      <w:r w:rsidR="00EC0B4B" w:rsidRPr="00B148B1">
        <w:rPr>
          <w:rFonts w:cs="Arial"/>
          <w:szCs w:val="20"/>
        </w:rPr>
        <w:t>v</w:t>
      </w:r>
      <w:r w:rsidRPr="00B148B1">
        <w:rPr>
          <w:rFonts w:cs="Arial"/>
          <w:szCs w:val="20"/>
        </w:rPr>
        <w:t>rov/PE in</w:t>
      </w:r>
    </w:p>
    <w:p w:rsidR="00B27859" w:rsidRPr="00B148B1" w:rsidRDefault="00B27859" w:rsidP="004C2581">
      <w:pPr>
        <w:numPr>
          <w:ilvl w:val="0"/>
          <w:numId w:val="21"/>
        </w:numPr>
        <w:tabs>
          <w:tab w:val="left" w:pos="9600"/>
        </w:tabs>
        <w:spacing w:before="120" w:line="280" w:lineRule="atLeast"/>
        <w:ind w:left="357" w:hanging="357"/>
        <w:rPr>
          <w:rFonts w:cs="Arial"/>
          <w:szCs w:val="20"/>
        </w:rPr>
      </w:pPr>
      <w:r w:rsidRPr="00B148B1">
        <w:rPr>
          <w:rFonts w:cs="Arial"/>
          <w:szCs w:val="20"/>
        </w:rPr>
        <w:t xml:space="preserve">za opremljanje objektov na območju </w:t>
      </w:r>
      <w:r w:rsidR="008C6D60" w:rsidRPr="00B148B1">
        <w:rPr>
          <w:rFonts w:cs="Arial"/>
          <w:szCs w:val="20"/>
        </w:rPr>
        <w:t xml:space="preserve">zunaj </w:t>
      </w:r>
      <w:r w:rsidRPr="00B148B1">
        <w:rPr>
          <w:rFonts w:cs="Arial"/>
          <w:szCs w:val="20"/>
        </w:rPr>
        <w:t>meja aglomeracij 700 e</w:t>
      </w:r>
      <w:r w:rsidR="00EC0B4B" w:rsidRPr="00B148B1">
        <w:rPr>
          <w:rFonts w:cs="Arial"/>
          <w:szCs w:val="20"/>
        </w:rPr>
        <w:t>v</w:t>
      </w:r>
      <w:r w:rsidRPr="00B148B1">
        <w:rPr>
          <w:rFonts w:cs="Arial"/>
          <w:szCs w:val="20"/>
        </w:rPr>
        <w:t>rov/PE.</w:t>
      </w:r>
    </w:p>
    <w:p w:rsidR="00B27859" w:rsidRPr="00B148B1" w:rsidRDefault="00B27859" w:rsidP="00C63DDA">
      <w:pPr>
        <w:pStyle w:val="Naslov2"/>
      </w:pPr>
      <w:bookmarkStart w:id="141" w:name="_Toc50628098"/>
      <w:r w:rsidRPr="00B148B1">
        <w:lastRenderedPageBreak/>
        <w:t>Ocena investicijskih stroškov ukrepov</w:t>
      </w:r>
      <w:bookmarkEnd w:id="141"/>
    </w:p>
    <w:p w:rsidR="00B27859" w:rsidRPr="00B148B1" w:rsidRDefault="00B27859" w:rsidP="00C770E5">
      <w:pPr>
        <w:pStyle w:val="Naslov3"/>
      </w:pPr>
      <w:bookmarkStart w:id="142" w:name="_Toc50628099"/>
      <w:r w:rsidRPr="00B148B1">
        <w:t>Ocena investicijskih stroškov ukrepov za opremljanje aglomeracij</w:t>
      </w:r>
      <w:bookmarkEnd w:id="142"/>
    </w:p>
    <w:p w:rsidR="00B27859" w:rsidRPr="00B148B1" w:rsidRDefault="00B27859" w:rsidP="002A2D7C">
      <w:pPr>
        <w:tabs>
          <w:tab w:val="left" w:pos="9600"/>
        </w:tabs>
        <w:spacing w:before="120" w:line="280" w:lineRule="atLeast"/>
        <w:rPr>
          <w:rFonts w:cs="Arial"/>
          <w:szCs w:val="20"/>
        </w:rPr>
      </w:pPr>
      <w:r w:rsidRPr="00B148B1">
        <w:rPr>
          <w:rFonts w:cs="Arial"/>
          <w:szCs w:val="20"/>
        </w:rPr>
        <w:t>Ocenjena vrednost vseh ukrepov</w:t>
      </w:r>
      <w:r w:rsidR="00217A9B" w:rsidRPr="00B148B1">
        <w:rPr>
          <w:rFonts w:cs="Arial"/>
          <w:szCs w:val="20"/>
        </w:rPr>
        <w:t xml:space="preserve"> za doseganje skladnosti s predpisanimi zahtevami</w:t>
      </w:r>
      <w:r w:rsidRPr="00B148B1">
        <w:rPr>
          <w:rFonts w:cs="Arial"/>
          <w:szCs w:val="20"/>
        </w:rPr>
        <w:t xml:space="preserve"> iz tega operativnega programa, tako ukrepov za opremljanje aglomeracij, kot ukrepov za opremljanje objektov </w:t>
      </w:r>
      <w:r w:rsidR="008C6D60" w:rsidRPr="00B148B1">
        <w:rPr>
          <w:rFonts w:cs="Arial"/>
          <w:szCs w:val="20"/>
        </w:rPr>
        <w:t xml:space="preserve">zunaj </w:t>
      </w:r>
      <w:r w:rsidRPr="00B148B1">
        <w:rPr>
          <w:rFonts w:cs="Arial"/>
          <w:szCs w:val="20"/>
        </w:rPr>
        <w:t>meja aglomeracij, je prikazana v preglednici (</w:t>
      </w:r>
      <w:r w:rsidR="00506225" w:rsidRPr="00B148B1">
        <w:rPr>
          <w:rFonts w:cs="Arial"/>
          <w:szCs w:val="20"/>
        </w:rPr>
        <w:fldChar w:fldCharType="begin"/>
      </w:r>
      <w:r w:rsidR="00506225" w:rsidRPr="00B148B1">
        <w:rPr>
          <w:rFonts w:cs="Arial"/>
          <w:szCs w:val="20"/>
        </w:rPr>
        <w:instrText xml:space="preserve"> REF _Ref45112197 \h </w:instrText>
      </w:r>
      <w:r w:rsidR="00B148B1" w:rsidRPr="00B148B1">
        <w:rPr>
          <w:rFonts w:cs="Arial"/>
          <w:szCs w:val="20"/>
        </w:rPr>
        <w:instrText xml:space="preserve"> \* MERGEFORMAT </w:instrText>
      </w:r>
      <w:r w:rsidR="00506225" w:rsidRPr="00B148B1">
        <w:rPr>
          <w:rFonts w:cs="Arial"/>
          <w:szCs w:val="20"/>
        </w:rPr>
      </w:r>
      <w:r w:rsidR="00506225" w:rsidRPr="00B148B1">
        <w:rPr>
          <w:rFonts w:cs="Arial"/>
          <w:szCs w:val="20"/>
        </w:rPr>
        <w:fldChar w:fldCharType="separate"/>
      </w:r>
      <w:r w:rsidR="00E92793" w:rsidRPr="00B148B1">
        <w:rPr>
          <w:rFonts w:cs="Arial"/>
          <w:szCs w:val="20"/>
        </w:rPr>
        <w:t xml:space="preserve">Preglednica </w:t>
      </w:r>
      <w:r w:rsidR="00E92793">
        <w:rPr>
          <w:rFonts w:cs="Arial"/>
          <w:noProof/>
          <w:szCs w:val="20"/>
        </w:rPr>
        <w:t>17</w:t>
      </w:r>
      <w:r w:rsidR="00506225" w:rsidRPr="00B148B1">
        <w:rPr>
          <w:rFonts w:cs="Arial"/>
          <w:szCs w:val="20"/>
        </w:rPr>
        <w:fldChar w:fldCharType="end"/>
      </w:r>
      <w:r w:rsidRPr="00B148B1">
        <w:rPr>
          <w:rFonts w:cs="Arial"/>
          <w:szCs w:val="20"/>
        </w:rPr>
        <w:t xml:space="preserve">). Ocenjena vrednost je prikazana po velikostnih razredih aglomeracij, skupna ocenjena vrednost za izvedbo vseh investicij za doseganje skladnosti s predpisanimi zahtevami tako v aglomeracijah, kot na območju </w:t>
      </w:r>
      <w:r w:rsidR="008C6D60" w:rsidRPr="00B148B1">
        <w:rPr>
          <w:rFonts w:cs="Arial"/>
          <w:szCs w:val="20"/>
        </w:rPr>
        <w:t xml:space="preserve">zunaj </w:t>
      </w:r>
      <w:r w:rsidRPr="00B148B1">
        <w:rPr>
          <w:rFonts w:cs="Arial"/>
          <w:szCs w:val="20"/>
        </w:rPr>
        <w:t>meja aglomeracij, pa je ocenjena na 1,</w:t>
      </w:r>
      <w:r w:rsidR="00D546E0" w:rsidRPr="00B148B1">
        <w:rPr>
          <w:rFonts w:cs="Arial"/>
          <w:szCs w:val="20"/>
        </w:rPr>
        <w:t xml:space="preserve">38 </w:t>
      </w:r>
      <w:r w:rsidRPr="00B148B1">
        <w:rPr>
          <w:rFonts w:cs="Arial"/>
          <w:szCs w:val="20"/>
        </w:rPr>
        <w:t>milijarde e</w:t>
      </w:r>
      <w:r w:rsidR="00EC0B4B" w:rsidRPr="00B148B1">
        <w:rPr>
          <w:rFonts w:cs="Arial"/>
          <w:szCs w:val="20"/>
        </w:rPr>
        <w:t>v</w:t>
      </w:r>
      <w:r w:rsidRPr="00B148B1">
        <w:rPr>
          <w:rFonts w:cs="Arial"/>
          <w:szCs w:val="20"/>
        </w:rPr>
        <w:t xml:space="preserve">rov. </w:t>
      </w:r>
    </w:p>
    <w:p w:rsidR="00FD0C16" w:rsidRPr="00B148B1" w:rsidRDefault="00B27859" w:rsidP="00B27859">
      <w:pPr>
        <w:tabs>
          <w:tab w:val="left" w:pos="9600"/>
        </w:tabs>
        <w:spacing w:before="120" w:line="280" w:lineRule="atLeast"/>
        <w:rPr>
          <w:rFonts w:cs="Arial"/>
          <w:szCs w:val="20"/>
        </w:rPr>
      </w:pPr>
      <w:r w:rsidRPr="00B148B1">
        <w:rPr>
          <w:rFonts w:cs="Arial"/>
          <w:szCs w:val="20"/>
        </w:rPr>
        <w:t xml:space="preserve">Ocena sredstev, potrebnih za izgradnjo javnih kanalizacijskih omrežij, znaša </w:t>
      </w:r>
      <w:r w:rsidR="00AF3261" w:rsidRPr="00B148B1">
        <w:rPr>
          <w:rFonts w:cs="Arial"/>
          <w:szCs w:val="20"/>
        </w:rPr>
        <w:t>925,1</w:t>
      </w:r>
      <w:r w:rsidRPr="00B148B1">
        <w:rPr>
          <w:rFonts w:cs="Arial"/>
          <w:szCs w:val="20"/>
        </w:rPr>
        <w:t xml:space="preserve"> milijon</w:t>
      </w:r>
      <w:r w:rsidR="006C5A85" w:rsidRPr="00B148B1">
        <w:rPr>
          <w:rFonts w:cs="Arial"/>
          <w:szCs w:val="20"/>
        </w:rPr>
        <w:t>a</w:t>
      </w:r>
      <w:r w:rsidRPr="00B148B1">
        <w:rPr>
          <w:rFonts w:cs="Arial"/>
          <w:szCs w:val="20"/>
        </w:rPr>
        <w:t xml:space="preserve"> e</w:t>
      </w:r>
      <w:r w:rsidR="00BC7154" w:rsidRPr="00B148B1">
        <w:rPr>
          <w:rFonts w:cs="Arial"/>
          <w:szCs w:val="20"/>
        </w:rPr>
        <w:t>v</w:t>
      </w:r>
      <w:r w:rsidRPr="00B148B1">
        <w:rPr>
          <w:rFonts w:cs="Arial"/>
          <w:szCs w:val="20"/>
        </w:rPr>
        <w:t xml:space="preserve">rov, ocena sredstev, potrebnih za izgradnjo ali nadgradnjo komunalnih čistilnih naprav, pa znaša </w:t>
      </w:r>
      <w:r w:rsidR="00BC4BC0" w:rsidRPr="00B148B1">
        <w:rPr>
          <w:rFonts w:cs="Arial"/>
          <w:szCs w:val="20"/>
        </w:rPr>
        <w:t>240,3</w:t>
      </w:r>
      <w:r w:rsidR="00A2520F" w:rsidRPr="00B148B1">
        <w:rPr>
          <w:rFonts w:cs="Arial"/>
          <w:szCs w:val="20"/>
        </w:rPr>
        <w:t xml:space="preserve"> </w:t>
      </w:r>
      <w:r w:rsidRPr="00B148B1">
        <w:rPr>
          <w:rFonts w:cs="Arial"/>
          <w:szCs w:val="20"/>
        </w:rPr>
        <w:t>milijon</w:t>
      </w:r>
      <w:r w:rsidR="0002247F" w:rsidRPr="00B148B1">
        <w:rPr>
          <w:rFonts w:cs="Arial"/>
          <w:szCs w:val="20"/>
        </w:rPr>
        <w:t>a</w:t>
      </w:r>
      <w:r w:rsidRPr="00B148B1">
        <w:rPr>
          <w:rFonts w:cs="Arial"/>
          <w:szCs w:val="20"/>
        </w:rPr>
        <w:t xml:space="preserve"> e</w:t>
      </w:r>
      <w:r w:rsidR="00EC0B4B" w:rsidRPr="00B148B1">
        <w:rPr>
          <w:rFonts w:cs="Arial"/>
          <w:szCs w:val="20"/>
        </w:rPr>
        <w:t>v</w:t>
      </w:r>
      <w:r w:rsidRPr="00B148B1">
        <w:rPr>
          <w:rFonts w:cs="Arial"/>
          <w:szCs w:val="20"/>
        </w:rPr>
        <w:t xml:space="preserve">rov (vrednosti so podane brez davka na dodano vrednost). </w:t>
      </w:r>
    </w:p>
    <w:p w:rsidR="00B27859" w:rsidRPr="00B148B1" w:rsidRDefault="00B27859" w:rsidP="00B27859">
      <w:pPr>
        <w:tabs>
          <w:tab w:val="left" w:pos="9600"/>
        </w:tabs>
        <w:spacing w:before="120" w:line="280" w:lineRule="atLeast"/>
        <w:rPr>
          <w:rFonts w:cs="Arial"/>
          <w:szCs w:val="20"/>
        </w:rPr>
      </w:pPr>
      <w:r w:rsidRPr="00B148B1">
        <w:rPr>
          <w:rFonts w:cs="Arial"/>
          <w:szCs w:val="20"/>
        </w:rPr>
        <w:t xml:space="preserve">Ocenjena vrednost sredstev, potrebnih za opremljanje objektov na območju </w:t>
      </w:r>
      <w:r w:rsidR="008C6D60" w:rsidRPr="00B148B1">
        <w:rPr>
          <w:rFonts w:cs="Arial"/>
          <w:szCs w:val="20"/>
        </w:rPr>
        <w:t xml:space="preserve">zunaj </w:t>
      </w:r>
      <w:r w:rsidRPr="00B148B1">
        <w:rPr>
          <w:rFonts w:cs="Arial"/>
          <w:szCs w:val="20"/>
        </w:rPr>
        <w:t>meja aglomeracij znaša 2</w:t>
      </w:r>
      <w:r w:rsidR="00251F95" w:rsidRPr="00B148B1">
        <w:rPr>
          <w:rFonts w:cs="Arial"/>
          <w:szCs w:val="20"/>
        </w:rPr>
        <w:t>16</w:t>
      </w:r>
      <w:r w:rsidRPr="00B148B1">
        <w:rPr>
          <w:rFonts w:cs="Arial"/>
          <w:szCs w:val="20"/>
        </w:rPr>
        <w:t>,9 milijon</w:t>
      </w:r>
      <w:r w:rsidR="00BC71E5" w:rsidRPr="00B148B1">
        <w:rPr>
          <w:rFonts w:cs="Arial"/>
          <w:szCs w:val="20"/>
        </w:rPr>
        <w:t>a</w:t>
      </w:r>
      <w:r w:rsidRPr="00B148B1">
        <w:rPr>
          <w:rFonts w:cs="Arial"/>
          <w:szCs w:val="20"/>
        </w:rPr>
        <w:t xml:space="preserve"> e</w:t>
      </w:r>
      <w:r w:rsidR="00EC0B4B" w:rsidRPr="00B148B1">
        <w:rPr>
          <w:rFonts w:cs="Arial"/>
          <w:szCs w:val="20"/>
        </w:rPr>
        <w:t>v</w:t>
      </w:r>
      <w:r w:rsidRPr="00B148B1">
        <w:rPr>
          <w:rFonts w:cs="Arial"/>
          <w:szCs w:val="20"/>
        </w:rPr>
        <w:t xml:space="preserve">rov. </w:t>
      </w:r>
    </w:p>
    <w:p w:rsidR="00217A9B" w:rsidRPr="00B148B1" w:rsidRDefault="00B27859" w:rsidP="00B27859">
      <w:pPr>
        <w:tabs>
          <w:tab w:val="left" w:pos="9600"/>
        </w:tabs>
        <w:spacing w:before="120" w:line="280" w:lineRule="atLeast"/>
        <w:rPr>
          <w:rFonts w:cs="Arial"/>
          <w:szCs w:val="20"/>
        </w:rPr>
      </w:pPr>
      <w:bookmarkStart w:id="143" w:name="_Ref527357378"/>
      <w:bookmarkStart w:id="144" w:name="_Ref45112197"/>
      <w:bookmarkStart w:id="145" w:name="_Toc531681737"/>
      <w:bookmarkStart w:id="146" w:name="_Toc50626733"/>
      <w:r w:rsidRPr="00B148B1">
        <w:rPr>
          <w:rFonts w:cs="Arial"/>
          <w:szCs w:val="20"/>
        </w:rPr>
        <w:t>Preglednica</w:t>
      </w:r>
      <w:r w:rsidR="00FD0C16" w:rsidRPr="00B148B1">
        <w:rPr>
          <w:rFonts w:cs="Arial"/>
          <w:szCs w:val="20"/>
        </w:rPr>
        <w:t xml:space="preserve"> </w:t>
      </w:r>
      <w:r w:rsidRPr="00B148B1">
        <w:rPr>
          <w:rFonts w:cs="Arial"/>
          <w:szCs w:val="20"/>
        </w:rPr>
        <w:fldChar w:fldCharType="begin"/>
      </w:r>
      <w:r w:rsidRPr="00B148B1">
        <w:rPr>
          <w:rFonts w:cs="Arial"/>
          <w:szCs w:val="20"/>
        </w:rPr>
        <w:instrText xml:space="preserve"> SEQ Preglednica \* ARABIC </w:instrText>
      </w:r>
      <w:r w:rsidRPr="00B148B1">
        <w:rPr>
          <w:rFonts w:cs="Arial"/>
          <w:szCs w:val="20"/>
        </w:rPr>
        <w:fldChar w:fldCharType="separate"/>
      </w:r>
      <w:r w:rsidR="00E92793">
        <w:rPr>
          <w:rFonts w:cs="Arial"/>
          <w:noProof/>
          <w:szCs w:val="20"/>
        </w:rPr>
        <w:t>17</w:t>
      </w:r>
      <w:r w:rsidRPr="00B148B1">
        <w:rPr>
          <w:rFonts w:cs="Arial"/>
          <w:szCs w:val="20"/>
        </w:rPr>
        <w:fldChar w:fldCharType="end"/>
      </w:r>
      <w:bookmarkEnd w:id="143"/>
      <w:bookmarkEnd w:id="144"/>
      <w:r w:rsidRPr="00B148B1">
        <w:rPr>
          <w:rFonts w:cs="Arial"/>
          <w:szCs w:val="20"/>
        </w:rPr>
        <w:t>: Ocenjeni investicijski stroški za izvedbo operativnega programa po velikostnih razredih aglomeracij</w:t>
      </w:r>
      <w:bookmarkEnd w:id="145"/>
      <w:bookmarkEnd w:id="146"/>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433"/>
        <w:gridCol w:w="1020"/>
        <w:gridCol w:w="1020"/>
        <w:gridCol w:w="1020"/>
        <w:gridCol w:w="2711"/>
      </w:tblGrid>
      <w:tr w:rsidR="00981051" w:rsidRPr="00B148B1" w:rsidTr="00B803AE">
        <w:trPr>
          <w:trHeight w:val="315"/>
        </w:trPr>
        <w:tc>
          <w:tcPr>
            <w:tcW w:w="1865" w:type="pct"/>
            <w:shd w:val="clear" w:color="auto" w:fill="auto"/>
            <w:noWrap/>
            <w:vAlign w:val="center"/>
            <w:hideMark/>
          </w:tcPr>
          <w:p w:rsidR="00981051" w:rsidRPr="00B148B1" w:rsidRDefault="00981051" w:rsidP="00981051">
            <w:pPr>
              <w:spacing w:line="240" w:lineRule="auto"/>
              <w:jc w:val="center"/>
              <w:rPr>
                <w:rFonts w:cs="Arial"/>
                <w:b/>
                <w:bCs/>
                <w:color w:val="000000"/>
                <w:sz w:val="18"/>
                <w:szCs w:val="18"/>
                <w:lang w:eastAsia="sl-SI"/>
              </w:rPr>
            </w:pPr>
            <w:r w:rsidRPr="00B148B1">
              <w:rPr>
                <w:rFonts w:cs="Arial"/>
                <w:b/>
                <w:bCs/>
                <w:color w:val="000000"/>
                <w:sz w:val="18"/>
                <w:szCs w:val="18"/>
                <w:lang w:eastAsia="sl-SI"/>
              </w:rPr>
              <w:t>Velikostni razredi</w:t>
            </w:r>
          </w:p>
        </w:tc>
        <w:tc>
          <w:tcPr>
            <w:tcW w:w="3135" w:type="pct"/>
            <w:gridSpan w:val="4"/>
            <w:shd w:val="clear" w:color="auto" w:fill="auto"/>
            <w:vAlign w:val="center"/>
            <w:hideMark/>
          </w:tcPr>
          <w:p w:rsidR="00981051" w:rsidRPr="00B148B1" w:rsidRDefault="00981051" w:rsidP="00981051">
            <w:pPr>
              <w:spacing w:line="240" w:lineRule="auto"/>
              <w:jc w:val="center"/>
              <w:rPr>
                <w:rFonts w:cs="Arial"/>
                <w:b/>
                <w:bCs/>
                <w:color w:val="000000"/>
                <w:sz w:val="18"/>
                <w:szCs w:val="18"/>
                <w:lang w:eastAsia="sl-SI"/>
              </w:rPr>
            </w:pPr>
            <w:r w:rsidRPr="00B148B1">
              <w:rPr>
                <w:rFonts w:cs="Arial"/>
                <w:b/>
                <w:bCs/>
                <w:color w:val="000000"/>
                <w:sz w:val="18"/>
                <w:szCs w:val="18"/>
                <w:lang w:eastAsia="sl-SI"/>
              </w:rPr>
              <w:t>Ocenjeni stroški investicij</w:t>
            </w:r>
          </w:p>
        </w:tc>
      </w:tr>
      <w:tr w:rsidR="00981051" w:rsidRPr="00B148B1" w:rsidTr="00B803AE">
        <w:trPr>
          <w:trHeight w:val="315"/>
        </w:trPr>
        <w:tc>
          <w:tcPr>
            <w:tcW w:w="1865" w:type="pct"/>
            <w:shd w:val="clear" w:color="auto" w:fill="auto"/>
            <w:noWrap/>
            <w:vAlign w:val="center"/>
            <w:hideMark/>
          </w:tcPr>
          <w:p w:rsidR="00981051" w:rsidRPr="00B148B1" w:rsidRDefault="00981051" w:rsidP="00981051">
            <w:pPr>
              <w:spacing w:line="240" w:lineRule="auto"/>
              <w:jc w:val="center"/>
              <w:rPr>
                <w:rFonts w:cs="Arial"/>
                <w:b/>
                <w:bCs/>
                <w:color w:val="000000"/>
                <w:sz w:val="18"/>
                <w:szCs w:val="18"/>
                <w:lang w:eastAsia="sl-SI"/>
              </w:rPr>
            </w:pPr>
            <w:r w:rsidRPr="00B148B1">
              <w:rPr>
                <w:rFonts w:cs="Arial"/>
                <w:b/>
                <w:bCs/>
                <w:color w:val="000000"/>
                <w:sz w:val="18"/>
                <w:szCs w:val="18"/>
                <w:lang w:eastAsia="sl-SI"/>
              </w:rPr>
              <w:t>aglomeracij</w:t>
            </w:r>
          </w:p>
        </w:tc>
        <w:tc>
          <w:tcPr>
            <w:tcW w:w="554" w:type="pct"/>
            <w:vMerge w:val="restart"/>
            <w:shd w:val="clear" w:color="auto" w:fill="auto"/>
            <w:vAlign w:val="center"/>
            <w:hideMark/>
          </w:tcPr>
          <w:p w:rsidR="00981051" w:rsidRPr="00B148B1" w:rsidRDefault="00981051" w:rsidP="00981051">
            <w:pPr>
              <w:spacing w:line="240" w:lineRule="auto"/>
              <w:jc w:val="center"/>
              <w:rPr>
                <w:rFonts w:cs="Arial"/>
                <w:b/>
                <w:bCs/>
                <w:color w:val="000000"/>
                <w:sz w:val="18"/>
                <w:szCs w:val="18"/>
                <w:lang w:eastAsia="sl-SI"/>
              </w:rPr>
            </w:pPr>
            <w:r w:rsidRPr="00B148B1">
              <w:rPr>
                <w:rFonts w:cs="Arial"/>
                <w:b/>
                <w:bCs/>
                <w:color w:val="000000"/>
                <w:sz w:val="18"/>
                <w:szCs w:val="18"/>
                <w:lang w:eastAsia="sl-SI"/>
              </w:rPr>
              <w:t>JKO</w:t>
            </w:r>
          </w:p>
        </w:tc>
        <w:tc>
          <w:tcPr>
            <w:tcW w:w="554" w:type="pct"/>
            <w:vMerge w:val="restart"/>
            <w:shd w:val="clear" w:color="auto" w:fill="auto"/>
            <w:vAlign w:val="center"/>
            <w:hideMark/>
          </w:tcPr>
          <w:p w:rsidR="00981051" w:rsidRPr="00B148B1" w:rsidRDefault="00981051" w:rsidP="00981051">
            <w:pPr>
              <w:spacing w:line="240" w:lineRule="auto"/>
              <w:jc w:val="center"/>
              <w:rPr>
                <w:rFonts w:cs="Arial"/>
                <w:b/>
                <w:bCs/>
                <w:color w:val="000000"/>
                <w:sz w:val="18"/>
                <w:szCs w:val="18"/>
                <w:lang w:eastAsia="sl-SI"/>
              </w:rPr>
            </w:pPr>
            <w:r w:rsidRPr="00B148B1">
              <w:rPr>
                <w:rFonts w:cs="Arial"/>
                <w:b/>
                <w:bCs/>
                <w:color w:val="000000"/>
                <w:sz w:val="18"/>
                <w:szCs w:val="18"/>
                <w:lang w:eastAsia="sl-SI"/>
              </w:rPr>
              <w:t>ČN</w:t>
            </w:r>
          </w:p>
        </w:tc>
        <w:tc>
          <w:tcPr>
            <w:tcW w:w="554" w:type="pct"/>
            <w:vMerge w:val="restart"/>
            <w:shd w:val="clear" w:color="auto" w:fill="auto"/>
            <w:vAlign w:val="center"/>
            <w:hideMark/>
          </w:tcPr>
          <w:p w:rsidR="00981051" w:rsidRPr="00B148B1" w:rsidRDefault="00981051" w:rsidP="00981051">
            <w:pPr>
              <w:spacing w:line="240" w:lineRule="auto"/>
              <w:jc w:val="center"/>
              <w:rPr>
                <w:rFonts w:cs="Arial"/>
                <w:b/>
                <w:bCs/>
                <w:color w:val="000000"/>
                <w:sz w:val="18"/>
                <w:szCs w:val="18"/>
                <w:lang w:eastAsia="sl-SI"/>
              </w:rPr>
            </w:pPr>
            <w:r w:rsidRPr="00B148B1">
              <w:rPr>
                <w:rFonts w:cs="Arial"/>
                <w:b/>
                <w:bCs/>
                <w:color w:val="000000"/>
                <w:sz w:val="18"/>
                <w:szCs w:val="18"/>
                <w:lang w:eastAsia="sl-SI"/>
              </w:rPr>
              <w:t>SKUPAJ</w:t>
            </w:r>
          </w:p>
        </w:tc>
        <w:tc>
          <w:tcPr>
            <w:tcW w:w="1473" w:type="pct"/>
            <w:shd w:val="clear" w:color="auto" w:fill="auto"/>
            <w:vAlign w:val="center"/>
            <w:hideMark/>
          </w:tcPr>
          <w:p w:rsidR="00981051" w:rsidRPr="00B148B1" w:rsidRDefault="00981051" w:rsidP="00981051">
            <w:pPr>
              <w:spacing w:line="240" w:lineRule="auto"/>
              <w:jc w:val="center"/>
              <w:rPr>
                <w:rFonts w:cs="Arial"/>
                <w:b/>
                <w:bCs/>
                <w:color w:val="000000"/>
                <w:sz w:val="18"/>
                <w:szCs w:val="18"/>
                <w:lang w:eastAsia="sl-SI"/>
              </w:rPr>
            </w:pPr>
            <w:r w:rsidRPr="00B148B1">
              <w:rPr>
                <w:rFonts w:cs="Arial"/>
                <w:b/>
                <w:bCs/>
                <w:color w:val="000000"/>
                <w:sz w:val="18"/>
                <w:szCs w:val="18"/>
                <w:lang w:eastAsia="sl-SI"/>
              </w:rPr>
              <w:t>SKUPAJ</w:t>
            </w:r>
          </w:p>
        </w:tc>
      </w:tr>
      <w:tr w:rsidR="00981051" w:rsidRPr="00B148B1" w:rsidTr="00B803AE">
        <w:trPr>
          <w:trHeight w:val="555"/>
        </w:trPr>
        <w:tc>
          <w:tcPr>
            <w:tcW w:w="1865" w:type="pct"/>
            <w:shd w:val="clear" w:color="auto" w:fill="auto"/>
            <w:noWrap/>
            <w:vAlign w:val="center"/>
            <w:hideMark/>
          </w:tcPr>
          <w:p w:rsidR="00981051" w:rsidRPr="00B148B1" w:rsidRDefault="00981051" w:rsidP="00981051">
            <w:pPr>
              <w:spacing w:line="240" w:lineRule="auto"/>
              <w:jc w:val="left"/>
              <w:rPr>
                <w:rFonts w:cs="Arial"/>
                <w:color w:val="000000"/>
                <w:sz w:val="18"/>
                <w:szCs w:val="18"/>
                <w:lang w:eastAsia="sl-SI"/>
              </w:rPr>
            </w:pPr>
            <w:r w:rsidRPr="00B148B1">
              <w:rPr>
                <w:rFonts w:cs="Arial"/>
                <w:color w:val="000000"/>
                <w:sz w:val="18"/>
                <w:szCs w:val="18"/>
                <w:lang w:eastAsia="sl-SI"/>
              </w:rPr>
              <w:t> </w:t>
            </w:r>
          </w:p>
        </w:tc>
        <w:tc>
          <w:tcPr>
            <w:tcW w:w="554" w:type="pct"/>
            <w:vMerge/>
            <w:vAlign w:val="center"/>
            <w:hideMark/>
          </w:tcPr>
          <w:p w:rsidR="00981051" w:rsidRPr="00B148B1" w:rsidRDefault="00981051" w:rsidP="00981051">
            <w:pPr>
              <w:spacing w:line="240" w:lineRule="auto"/>
              <w:jc w:val="left"/>
              <w:rPr>
                <w:rFonts w:cs="Arial"/>
                <w:b/>
                <w:bCs/>
                <w:color w:val="000000"/>
                <w:sz w:val="18"/>
                <w:szCs w:val="18"/>
                <w:lang w:eastAsia="sl-SI"/>
              </w:rPr>
            </w:pPr>
          </w:p>
        </w:tc>
        <w:tc>
          <w:tcPr>
            <w:tcW w:w="554" w:type="pct"/>
            <w:vMerge/>
            <w:vAlign w:val="center"/>
            <w:hideMark/>
          </w:tcPr>
          <w:p w:rsidR="00981051" w:rsidRPr="00B148B1" w:rsidRDefault="00981051" w:rsidP="00981051">
            <w:pPr>
              <w:spacing w:line="240" w:lineRule="auto"/>
              <w:jc w:val="left"/>
              <w:rPr>
                <w:rFonts w:cs="Arial"/>
                <w:b/>
                <w:bCs/>
                <w:color w:val="000000"/>
                <w:sz w:val="18"/>
                <w:szCs w:val="18"/>
                <w:lang w:eastAsia="sl-SI"/>
              </w:rPr>
            </w:pPr>
          </w:p>
        </w:tc>
        <w:tc>
          <w:tcPr>
            <w:tcW w:w="554" w:type="pct"/>
            <w:vMerge/>
            <w:vAlign w:val="center"/>
            <w:hideMark/>
          </w:tcPr>
          <w:p w:rsidR="00981051" w:rsidRPr="00B148B1" w:rsidRDefault="00981051" w:rsidP="00981051">
            <w:pPr>
              <w:spacing w:line="240" w:lineRule="auto"/>
              <w:jc w:val="left"/>
              <w:rPr>
                <w:rFonts w:cs="Arial"/>
                <w:b/>
                <w:bCs/>
                <w:color w:val="000000"/>
                <w:sz w:val="18"/>
                <w:szCs w:val="18"/>
                <w:lang w:eastAsia="sl-SI"/>
              </w:rPr>
            </w:pPr>
          </w:p>
        </w:tc>
        <w:tc>
          <w:tcPr>
            <w:tcW w:w="1473" w:type="pct"/>
            <w:shd w:val="clear" w:color="auto" w:fill="auto"/>
            <w:vAlign w:val="center"/>
            <w:hideMark/>
          </w:tcPr>
          <w:p w:rsidR="00981051" w:rsidRPr="00B148B1" w:rsidRDefault="00981051" w:rsidP="000362E1">
            <w:pPr>
              <w:spacing w:line="240" w:lineRule="auto"/>
              <w:jc w:val="center"/>
              <w:rPr>
                <w:rFonts w:cs="Arial"/>
                <w:b/>
                <w:bCs/>
                <w:color w:val="000000"/>
                <w:sz w:val="18"/>
                <w:szCs w:val="18"/>
                <w:lang w:eastAsia="sl-SI"/>
              </w:rPr>
            </w:pPr>
            <w:r w:rsidRPr="00B148B1">
              <w:rPr>
                <w:rFonts w:cs="Arial"/>
                <w:b/>
                <w:bCs/>
                <w:color w:val="000000"/>
                <w:sz w:val="18"/>
                <w:szCs w:val="18"/>
                <w:lang w:eastAsia="sl-SI"/>
              </w:rPr>
              <w:t xml:space="preserve">ob upoštevanju </w:t>
            </w:r>
            <w:r w:rsidR="000362E1" w:rsidRPr="00B148B1">
              <w:rPr>
                <w:rFonts w:cs="Arial"/>
                <w:b/>
                <w:bCs/>
                <w:color w:val="000000"/>
                <w:sz w:val="18"/>
                <w:szCs w:val="18"/>
                <w:lang w:eastAsia="sl-SI"/>
              </w:rPr>
              <w:t>finančne</w:t>
            </w:r>
            <w:r w:rsidRPr="00B148B1">
              <w:rPr>
                <w:rFonts w:cs="Arial"/>
                <w:b/>
                <w:bCs/>
                <w:color w:val="000000"/>
                <w:sz w:val="18"/>
                <w:szCs w:val="18"/>
                <w:lang w:eastAsia="sl-SI"/>
              </w:rPr>
              <w:t xml:space="preserve"> presoje</w:t>
            </w:r>
            <w:r w:rsidRPr="00B148B1">
              <w:rPr>
                <w:rFonts w:cs="Arial"/>
                <w:b/>
                <w:bCs/>
                <w:color w:val="000000"/>
                <w:sz w:val="18"/>
                <w:szCs w:val="18"/>
                <w:vertAlign w:val="superscript"/>
                <w:lang w:eastAsia="sl-SI"/>
              </w:rPr>
              <w:t>(1)</w:t>
            </w:r>
          </w:p>
        </w:tc>
      </w:tr>
      <w:tr w:rsidR="00981051" w:rsidRPr="00B148B1" w:rsidTr="00B803AE">
        <w:trPr>
          <w:trHeight w:val="315"/>
        </w:trPr>
        <w:tc>
          <w:tcPr>
            <w:tcW w:w="1865" w:type="pct"/>
            <w:shd w:val="clear" w:color="auto" w:fill="auto"/>
            <w:noWrap/>
            <w:vAlign w:val="center"/>
            <w:hideMark/>
          </w:tcPr>
          <w:p w:rsidR="00981051" w:rsidRPr="00B148B1" w:rsidRDefault="00981051" w:rsidP="00981051">
            <w:pPr>
              <w:spacing w:line="240" w:lineRule="auto"/>
              <w:jc w:val="left"/>
              <w:rPr>
                <w:rFonts w:cs="Arial"/>
                <w:color w:val="000000"/>
                <w:sz w:val="18"/>
                <w:szCs w:val="18"/>
                <w:lang w:eastAsia="sl-SI"/>
              </w:rPr>
            </w:pPr>
            <w:r w:rsidRPr="00B148B1">
              <w:rPr>
                <w:rFonts w:cs="Arial"/>
                <w:color w:val="000000"/>
                <w:sz w:val="18"/>
                <w:szCs w:val="18"/>
                <w:lang w:eastAsia="sl-SI"/>
              </w:rPr>
              <w:t> </w:t>
            </w:r>
          </w:p>
        </w:tc>
        <w:tc>
          <w:tcPr>
            <w:tcW w:w="554" w:type="pct"/>
            <w:shd w:val="clear" w:color="auto" w:fill="auto"/>
            <w:vAlign w:val="center"/>
            <w:hideMark/>
          </w:tcPr>
          <w:p w:rsidR="00981051" w:rsidRPr="00B148B1" w:rsidRDefault="00981051" w:rsidP="00981051">
            <w:pPr>
              <w:spacing w:line="240" w:lineRule="auto"/>
              <w:jc w:val="center"/>
              <w:rPr>
                <w:rFonts w:cs="Arial"/>
                <w:b/>
                <w:bCs/>
                <w:color w:val="000000"/>
                <w:sz w:val="18"/>
                <w:szCs w:val="18"/>
                <w:lang w:eastAsia="sl-SI"/>
              </w:rPr>
            </w:pPr>
            <w:r w:rsidRPr="00B148B1">
              <w:rPr>
                <w:rFonts w:cs="Arial"/>
                <w:b/>
                <w:bCs/>
                <w:color w:val="000000"/>
                <w:sz w:val="18"/>
                <w:szCs w:val="18"/>
                <w:lang w:eastAsia="sl-SI"/>
              </w:rPr>
              <w:t>[mio EUR]</w:t>
            </w:r>
          </w:p>
        </w:tc>
        <w:tc>
          <w:tcPr>
            <w:tcW w:w="554" w:type="pct"/>
            <w:shd w:val="clear" w:color="auto" w:fill="auto"/>
            <w:vAlign w:val="center"/>
            <w:hideMark/>
          </w:tcPr>
          <w:p w:rsidR="00981051" w:rsidRPr="00B148B1" w:rsidRDefault="00981051" w:rsidP="00981051">
            <w:pPr>
              <w:spacing w:line="240" w:lineRule="auto"/>
              <w:jc w:val="center"/>
              <w:rPr>
                <w:rFonts w:cs="Arial"/>
                <w:b/>
                <w:bCs/>
                <w:color w:val="000000"/>
                <w:sz w:val="18"/>
                <w:szCs w:val="18"/>
                <w:lang w:eastAsia="sl-SI"/>
              </w:rPr>
            </w:pPr>
            <w:r w:rsidRPr="00B148B1">
              <w:rPr>
                <w:rFonts w:cs="Arial"/>
                <w:b/>
                <w:bCs/>
                <w:color w:val="000000"/>
                <w:sz w:val="18"/>
                <w:szCs w:val="18"/>
                <w:lang w:eastAsia="sl-SI"/>
              </w:rPr>
              <w:t>[mio EUR]</w:t>
            </w:r>
          </w:p>
        </w:tc>
        <w:tc>
          <w:tcPr>
            <w:tcW w:w="554" w:type="pct"/>
            <w:shd w:val="clear" w:color="auto" w:fill="auto"/>
            <w:vAlign w:val="center"/>
            <w:hideMark/>
          </w:tcPr>
          <w:p w:rsidR="00981051" w:rsidRPr="00B148B1" w:rsidRDefault="00981051" w:rsidP="00981051">
            <w:pPr>
              <w:spacing w:line="240" w:lineRule="auto"/>
              <w:jc w:val="center"/>
              <w:rPr>
                <w:rFonts w:cs="Arial"/>
                <w:b/>
                <w:bCs/>
                <w:color w:val="000000"/>
                <w:sz w:val="18"/>
                <w:szCs w:val="18"/>
                <w:lang w:eastAsia="sl-SI"/>
              </w:rPr>
            </w:pPr>
            <w:r w:rsidRPr="00B148B1">
              <w:rPr>
                <w:rFonts w:cs="Arial"/>
                <w:b/>
                <w:bCs/>
                <w:color w:val="000000"/>
                <w:sz w:val="18"/>
                <w:szCs w:val="18"/>
                <w:lang w:eastAsia="sl-SI"/>
              </w:rPr>
              <w:t>[mio EUR]</w:t>
            </w:r>
          </w:p>
        </w:tc>
        <w:tc>
          <w:tcPr>
            <w:tcW w:w="1473" w:type="pct"/>
            <w:shd w:val="clear" w:color="auto" w:fill="auto"/>
            <w:vAlign w:val="center"/>
            <w:hideMark/>
          </w:tcPr>
          <w:p w:rsidR="00981051" w:rsidRPr="00B148B1" w:rsidRDefault="00981051" w:rsidP="00981051">
            <w:pPr>
              <w:spacing w:line="240" w:lineRule="auto"/>
              <w:jc w:val="center"/>
              <w:rPr>
                <w:rFonts w:cs="Arial"/>
                <w:b/>
                <w:bCs/>
                <w:color w:val="000000"/>
                <w:sz w:val="18"/>
                <w:szCs w:val="18"/>
                <w:lang w:eastAsia="sl-SI"/>
              </w:rPr>
            </w:pPr>
            <w:r w:rsidRPr="00B148B1">
              <w:rPr>
                <w:rFonts w:cs="Arial"/>
                <w:b/>
                <w:bCs/>
                <w:color w:val="000000"/>
                <w:sz w:val="18"/>
                <w:szCs w:val="18"/>
                <w:lang w:eastAsia="sl-SI"/>
              </w:rPr>
              <w:t>[mio EUR]</w:t>
            </w:r>
          </w:p>
        </w:tc>
      </w:tr>
      <w:tr w:rsidR="00AF3261" w:rsidRPr="00B148B1" w:rsidTr="00B803AE">
        <w:trPr>
          <w:trHeight w:val="315"/>
        </w:trPr>
        <w:tc>
          <w:tcPr>
            <w:tcW w:w="1865" w:type="pct"/>
            <w:shd w:val="clear" w:color="auto" w:fill="auto"/>
            <w:vAlign w:val="center"/>
            <w:hideMark/>
          </w:tcPr>
          <w:p w:rsidR="00AF3261" w:rsidRPr="00B148B1" w:rsidRDefault="00AF3261" w:rsidP="00981051">
            <w:pPr>
              <w:spacing w:line="240" w:lineRule="auto"/>
              <w:jc w:val="center"/>
              <w:rPr>
                <w:rFonts w:cs="Arial"/>
                <w:b/>
                <w:bCs/>
                <w:i/>
                <w:iCs/>
                <w:color w:val="000000"/>
                <w:sz w:val="18"/>
                <w:szCs w:val="18"/>
                <w:lang w:eastAsia="sl-SI"/>
              </w:rPr>
            </w:pPr>
            <w:r w:rsidRPr="00B148B1">
              <w:rPr>
                <w:rFonts w:cs="Arial"/>
                <w:b/>
                <w:bCs/>
                <w:i/>
                <w:iCs/>
                <w:color w:val="000000"/>
                <w:sz w:val="18"/>
                <w:szCs w:val="18"/>
                <w:lang w:eastAsia="sl-SI"/>
              </w:rPr>
              <w:t xml:space="preserve">območje </w:t>
            </w:r>
            <w:r w:rsidR="008C6D60" w:rsidRPr="00B148B1">
              <w:rPr>
                <w:rFonts w:cs="Arial"/>
                <w:b/>
                <w:bCs/>
                <w:i/>
                <w:iCs/>
                <w:color w:val="000000"/>
                <w:sz w:val="18"/>
                <w:szCs w:val="18"/>
                <w:lang w:eastAsia="sl-SI"/>
              </w:rPr>
              <w:t xml:space="preserve">zunaj </w:t>
            </w:r>
            <w:r w:rsidRPr="00B148B1">
              <w:rPr>
                <w:rFonts w:cs="Arial"/>
                <w:b/>
                <w:bCs/>
                <w:i/>
                <w:iCs/>
                <w:color w:val="000000"/>
                <w:sz w:val="18"/>
                <w:szCs w:val="18"/>
                <w:lang w:eastAsia="sl-SI"/>
              </w:rPr>
              <w:t>meja aglomeracij</w:t>
            </w:r>
          </w:p>
        </w:tc>
        <w:tc>
          <w:tcPr>
            <w:tcW w:w="554" w:type="pct"/>
            <w:shd w:val="clear" w:color="auto" w:fill="auto"/>
            <w:hideMark/>
          </w:tcPr>
          <w:p w:rsidR="00AF3261" w:rsidRPr="00B148B1" w:rsidRDefault="00AF3261" w:rsidP="00981051">
            <w:pPr>
              <w:spacing w:line="240" w:lineRule="auto"/>
              <w:jc w:val="center"/>
              <w:rPr>
                <w:rFonts w:cs="Arial"/>
                <w:color w:val="000000"/>
                <w:sz w:val="18"/>
                <w:szCs w:val="18"/>
                <w:lang w:eastAsia="sl-SI"/>
              </w:rPr>
            </w:pPr>
            <w:r w:rsidRPr="00B148B1">
              <w:t xml:space="preserve"> / </w:t>
            </w:r>
          </w:p>
        </w:tc>
        <w:tc>
          <w:tcPr>
            <w:tcW w:w="554" w:type="pct"/>
            <w:shd w:val="clear" w:color="auto" w:fill="auto"/>
            <w:hideMark/>
          </w:tcPr>
          <w:p w:rsidR="00AF3261" w:rsidRPr="00B148B1" w:rsidRDefault="00AF3261" w:rsidP="00981051">
            <w:pPr>
              <w:spacing w:line="240" w:lineRule="auto"/>
              <w:jc w:val="center"/>
              <w:rPr>
                <w:rFonts w:cs="Arial"/>
                <w:color w:val="000000"/>
                <w:sz w:val="18"/>
                <w:szCs w:val="18"/>
                <w:lang w:eastAsia="sl-SI"/>
              </w:rPr>
            </w:pPr>
            <w:r w:rsidRPr="00B148B1">
              <w:t xml:space="preserve"> / </w:t>
            </w:r>
          </w:p>
        </w:tc>
        <w:tc>
          <w:tcPr>
            <w:tcW w:w="554" w:type="pct"/>
            <w:shd w:val="clear" w:color="auto" w:fill="auto"/>
            <w:hideMark/>
          </w:tcPr>
          <w:p w:rsidR="00AF3261" w:rsidRPr="00B148B1" w:rsidRDefault="00AF3261" w:rsidP="00981051">
            <w:pPr>
              <w:spacing w:line="240" w:lineRule="auto"/>
              <w:jc w:val="center"/>
              <w:rPr>
                <w:rFonts w:cs="Arial"/>
                <w:b/>
                <w:bCs/>
                <w:i/>
                <w:iCs/>
                <w:color w:val="000000"/>
                <w:sz w:val="18"/>
                <w:szCs w:val="18"/>
                <w:lang w:eastAsia="sl-SI"/>
              </w:rPr>
            </w:pPr>
            <w:r w:rsidRPr="00B148B1">
              <w:t xml:space="preserve"> 216,9</w:t>
            </w:r>
          </w:p>
        </w:tc>
        <w:tc>
          <w:tcPr>
            <w:tcW w:w="1473" w:type="pct"/>
            <w:shd w:val="clear" w:color="auto" w:fill="auto"/>
            <w:hideMark/>
          </w:tcPr>
          <w:p w:rsidR="00AF3261" w:rsidRPr="00B148B1" w:rsidRDefault="00AF3261" w:rsidP="00981051">
            <w:pPr>
              <w:spacing w:line="240" w:lineRule="auto"/>
              <w:jc w:val="center"/>
              <w:rPr>
                <w:rFonts w:cs="Arial"/>
                <w:b/>
                <w:bCs/>
                <w:i/>
                <w:iCs/>
                <w:color w:val="000000"/>
                <w:sz w:val="18"/>
                <w:szCs w:val="18"/>
                <w:lang w:eastAsia="sl-SI"/>
              </w:rPr>
            </w:pPr>
            <w:r w:rsidRPr="00B148B1">
              <w:t xml:space="preserve"> 216,9</w:t>
            </w:r>
          </w:p>
        </w:tc>
      </w:tr>
      <w:tr w:rsidR="00AF3261" w:rsidRPr="00B148B1" w:rsidTr="00B803AE">
        <w:trPr>
          <w:trHeight w:val="315"/>
        </w:trPr>
        <w:tc>
          <w:tcPr>
            <w:tcW w:w="1865" w:type="pct"/>
            <w:shd w:val="clear" w:color="auto" w:fill="auto"/>
            <w:vAlign w:val="center"/>
            <w:hideMark/>
          </w:tcPr>
          <w:p w:rsidR="00AF3261" w:rsidRPr="00B148B1" w:rsidRDefault="00AF3261" w:rsidP="00AC6421">
            <w:pPr>
              <w:spacing w:line="240" w:lineRule="auto"/>
              <w:jc w:val="right"/>
              <w:rPr>
                <w:rFonts w:cs="Arial"/>
                <w:color w:val="000000"/>
                <w:sz w:val="18"/>
                <w:szCs w:val="18"/>
                <w:lang w:eastAsia="sl-SI"/>
              </w:rPr>
            </w:pPr>
            <w:r w:rsidRPr="00B148B1">
              <w:rPr>
                <w:rFonts w:cs="Arial"/>
                <w:color w:val="000000"/>
                <w:sz w:val="18"/>
                <w:szCs w:val="18"/>
                <w:lang w:eastAsia="sl-SI"/>
              </w:rPr>
              <w:t xml:space="preserve">aglomeracije </w:t>
            </w:r>
            <w:r w:rsidR="00AC6421" w:rsidRPr="00B148B1">
              <w:rPr>
                <w:rFonts w:cs="Arial"/>
                <w:color w:val="000000"/>
                <w:sz w:val="18"/>
                <w:szCs w:val="18"/>
                <w:lang w:eastAsia="sl-SI"/>
              </w:rPr>
              <w:t xml:space="preserve">od </w:t>
            </w:r>
            <w:r w:rsidR="00EA79F8" w:rsidRPr="00B148B1">
              <w:rPr>
                <w:rFonts w:cs="Arial"/>
                <w:color w:val="000000"/>
                <w:sz w:val="18"/>
                <w:szCs w:val="18"/>
                <w:lang w:eastAsia="sl-SI"/>
              </w:rPr>
              <w:t xml:space="preserve">50 </w:t>
            </w:r>
            <w:r w:rsidR="00AC6421" w:rsidRPr="00B148B1">
              <w:rPr>
                <w:rFonts w:cs="Arial"/>
                <w:color w:val="000000"/>
                <w:sz w:val="18"/>
                <w:szCs w:val="18"/>
                <w:lang w:eastAsia="sl-SI"/>
              </w:rPr>
              <w:t xml:space="preserve">do </w:t>
            </w:r>
            <w:r w:rsidRPr="00B148B1">
              <w:rPr>
                <w:rFonts w:cs="Arial"/>
                <w:color w:val="000000"/>
                <w:sz w:val="18"/>
                <w:szCs w:val="18"/>
                <w:lang w:eastAsia="sl-SI"/>
              </w:rPr>
              <w:t>500 PE</w:t>
            </w:r>
          </w:p>
        </w:tc>
        <w:tc>
          <w:tcPr>
            <w:tcW w:w="554" w:type="pct"/>
            <w:shd w:val="clear" w:color="auto" w:fill="auto"/>
            <w:noWrap/>
            <w:hideMark/>
          </w:tcPr>
          <w:p w:rsidR="00AF3261" w:rsidRPr="00B148B1" w:rsidRDefault="00AF3261">
            <w:pPr>
              <w:spacing w:line="240" w:lineRule="auto"/>
              <w:jc w:val="center"/>
              <w:rPr>
                <w:rFonts w:cs="Arial"/>
                <w:color w:val="000000"/>
                <w:sz w:val="18"/>
                <w:szCs w:val="18"/>
                <w:lang w:eastAsia="sl-SI"/>
              </w:rPr>
            </w:pPr>
            <w:r w:rsidRPr="00B148B1">
              <w:t xml:space="preserve"> 407,</w:t>
            </w:r>
            <w:r w:rsidR="00521209" w:rsidRPr="00B148B1">
              <w:t xml:space="preserve">0   </w:t>
            </w:r>
          </w:p>
        </w:tc>
        <w:tc>
          <w:tcPr>
            <w:tcW w:w="554" w:type="pct"/>
            <w:shd w:val="clear" w:color="auto" w:fill="auto"/>
            <w:hideMark/>
          </w:tcPr>
          <w:p w:rsidR="00AF3261" w:rsidRPr="00B148B1" w:rsidRDefault="00AF3261" w:rsidP="00981051">
            <w:pPr>
              <w:spacing w:line="240" w:lineRule="auto"/>
              <w:jc w:val="center"/>
              <w:rPr>
                <w:rFonts w:cs="Arial"/>
                <w:color w:val="000000"/>
                <w:sz w:val="18"/>
                <w:szCs w:val="18"/>
                <w:lang w:eastAsia="sl-SI"/>
              </w:rPr>
            </w:pPr>
            <w:r w:rsidRPr="00B148B1">
              <w:t xml:space="preserve"> 85,5   </w:t>
            </w:r>
          </w:p>
        </w:tc>
        <w:tc>
          <w:tcPr>
            <w:tcW w:w="554" w:type="pct"/>
            <w:shd w:val="clear" w:color="auto" w:fill="auto"/>
            <w:noWrap/>
            <w:hideMark/>
          </w:tcPr>
          <w:p w:rsidR="00AF3261" w:rsidRPr="00B148B1" w:rsidRDefault="00AF3261" w:rsidP="00981051">
            <w:pPr>
              <w:spacing w:line="240" w:lineRule="auto"/>
              <w:jc w:val="center"/>
              <w:rPr>
                <w:rFonts w:cs="Arial"/>
                <w:color w:val="000000"/>
                <w:sz w:val="18"/>
                <w:szCs w:val="18"/>
                <w:lang w:eastAsia="sl-SI"/>
              </w:rPr>
            </w:pPr>
            <w:r w:rsidRPr="00B148B1">
              <w:t xml:space="preserve"> 492,5   </w:t>
            </w:r>
          </w:p>
        </w:tc>
        <w:tc>
          <w:tcPr>
            <w:tcW w:w="1473" w:type="pct"/>
            <w:shd w:val="clear" w:color="auto" w:fill="auto"/>
            <w:hideMark/>
          </w:tcPr>
          <w:p w:rsidR="00AF3261" w:rsidRPr="00B148B1" w:rsidRDefault="00AF3261" w:rsidP="00981051">
            <w:pPr>
              <w:spacing w:line="240" w:lineRule="auto"/>
              <w:jc w:val="center"/>
              <w:rPr>
                <w:rFonts w:cs="Arial"/>
                <w:color w:val="000000"/>
                <w:sz w:val="18"/>
                <w:szCs w:val="18"/>
                <w:lang w:eastAsia="sl-SI"/>
              </w:rPr>
            </w:pPr>
            <w:r w:rsidRPr="00B148B1">
              <w:t xml:space="preserve"> 155,4   </w:t>
            </w:r>
          </w:p>
        </w:tc>
      </w:tr>
      <w:tr w:rsidR="00AF3261" w:rsidRPr="00B148B1" w:rsidTr="00B803AE">
        <w:trPr>
          <w:trHeight w:val="315"/>
        </w:trPr>
        <w:tc>
          <w:tcPr>
            <w:tcW w:w="1865" w:type="pct"/>
            <w:shd w:val="clear" w:color="auto" w:fill="auto"/>
            <w:vAlign w:val="center"/>
            <w:hideMark/>
          </w:tcPr>
          <w:p w:rsidR="00AF3261" w:rsidRPr="00B148B1" w:rsidRDefault="00AF3261" w:rsidP="00AC6421">
            <w:pPr>
              <w:spacing w:line="240" w:lineRule="auto"/>
              <w:jc w:val="right"/>
              <w:rPr>
                <w:rFonts w:cs="Arial"/>
                <w:color w:val="000000"/>
                <w:sz w:val="18"/>
                <w:szCs w:val="18"/>
                <w:lang w:eastAsia="sl-SI"/>
              </w:rPr>
            </w:pPr>
            <w:r w:rsidRPr="00B148B1">
              <w:rPr>
                <w:rFonts w:cs="Arial"/>
                <w:color w:val="000000"/>
                <w:sz w:val="18"/>
                <w:szCs w:val="18"/>
                <w:lang w:eastAsia="sl-SI"/>
              </w:rPr>
              <w:t xml:space="preserve">aglomeracije </w:t>
            </w:r>
            <w:r w:rsidR="00AC6421" w:rsidRPr="00B148B1">
              <w:rPr>
                <w:rFonts w:cs="Arial"/>
                <w:color w:val="000000"/>
                <w:sz w:val="18"/>
                <w:szCs w:val="18"/>
                <w:lang w:eastAsia="sl-SI"/>
              </w:rPr>
              <w:t>od</w:t>
            </w:r>
            <w:r w:rsidRPr="00B148B1">
              <w:rPr>
                <w:rFonts w:cs="Arial"/>
                <w:color w:val="000000"/>
                <w:sz w:val="18"/>
                <w:szCs w:val="18"/>
                <w:lang w:eastAsia="sl-SI"/>
              </w:rPr>
              <w:t xml:space="preserve"> 500 </w:t>
            </w:r>
            <w:r w:rsidR="00AC6421" w:rsidRPr="00B148B1">
              <w:rPr>
                <w:rFonts w:cs="Arial"/>
                <w:color w:val="000000"/>
                <w:sz w:val="18"/>
                <w:szCs w:val="18"/>
                <w:lang w:eastAsia="sl-SI"/>
              </w:rPr>
              <w:t>do</w:t>
            </w:r>
            <w:r w:rsidRPr="00B148B1">
              <w:rPr>
                <w:rFonts w:cs="Arial"/>
                <w:color w:val="000000"/>
                <w:sz w:val="18"/>
                <w:szCs w:val="18"/>
                <w:lang w:eastAsia="sl-SI"/>
              </w:rPr>
              <w:t xml:space="preserve"> 2.000 PE</w:t>
            </w:r>
          </w:p>
        </w:tc>
        <w:tc>
          <w:tcPr>
            <w:tcW w:w="554" w:type="pct"/>
            <w:shd w:val="clear" w:color="auto" w:fill="auto"/>
            <w:noWrap/>
            <w:hideMark/>
          </w:tcPr>
          <w:p w:rsidR="00AF3261" w:rsidRPr="00B148B1" w:rsidRDefault="00AF3261" w:rsidP="00981051">
            <w:pPr>
              <w:spacing w:line="240" w:lineRule="auto"/>
              <w:jc w:val="center"/>
              <w:rPr>
                <w:rFonts w:cs="Arial"/>
                <w:color w:val="000000"/>
                <w:sz w:val="18"/>
                <w:szCs w:val="18"/>
                <w:lang w:eastAsia="sl-SI"/>
              </w:rPr>
            </w:pPr>
            <w:r w:rsidRPr="00B148B1">
              <w:t xml:space="preserve"> 241,7   </w:t>
            </w:r>
          </w:p>
        </w:tc>
        <w:tc>
          <w:tcPr>
            <w:tcW w:w="554" w:type="pct"/>
            <w:shd w:val="clear" w:color="auto" w:fill="auto"/>
            <w:hideMark/>
          </w:tcPr>
          <w:p w:rsidR="00AF3261" w:rsidRPr="00B148B1" w:rsidRDefault="00AF3261" w:rsidP="00981051">
            <w:pPr>
              <w:spacing w:line="240" w:lineRule="auto"/>
              <w:jc w:val="center"/>
              <w:rPr>
                <w:rFonts w:cs="Arial"/>
                <w:color w:val="000000"/>
                <w:sz w:val="18"/>
                <w:szCs w:val="18"/>
                <w:lang w:eastAsia="sl-SI"/>
              </w:rPr>
            </w:pPr>
            <w:r w:rsidRPr="00B148B1">
              <w:t xml:space="preserve"> 50,6   </w:t>
            </w:r>
          </w:p>
        </w:tc>
        <w:tc>
          <w:tcPr>
            <w:tcW w:w="554" w:type="pct"/>
            <w:shd w:val="clear" w:color="auto" w:fill="auto"/>
            <w:noWrap/>
            <w:hideMark/>
          </w:tcPr>
          <w:p w:rsidR="00AF3261" w:rsidRPr="00B148B1" w:rsidRDefault="00AF3261">
            <w:pPr>
              <w:spacing w:line="240" w:lineRule="auto"/>
              <w:jc w:val="center"/>
              <w:rPr>
                <w:rFonts w:cs="Arial"/>
                <w:color w:val="000000"/>
                <w:sz w:val="18"/>
                <w:szCs w:val="18"/>
                <w:lang w:eastAsia="sl-SI"/>
              </w:rPr>
            </w:pPr>
            <w:r w:rsidRPr="00B148B1">
              <w:t xml:space="preserve"> 292,</w:t>
            </w:r>
            <w:r w:rsidR="00521209" w:rsidRPr="00B148B1">
              <w:t xml:space="preserve">3   </w:t>
            </w:r>
          </w:p>
        </w:tc>
        <w:tc>
          <w:tcPr>
            <w:tcW w:w="1473" w:type="pct"/>
            <w:shd w:val="clear" w:color="auto" w:fill="auto"/>
            <w:hideMark/>
          </w:tcPr>
          <w:p w:rsidR="00AF3261" w:rsidRPr="00B148B1" w:rsidRDefault="00AF3261">
            <w:pPr>
              <w:spacing w:line="240" w:lineRule="auto"/>
              <w:jc w:val="center"/>
              <w:rPr>
                <w:rFonts w:cs="Arial"/>
                <w:color w:val="000000"/>
                <w:sz w:val="18"/>
                <w:szCs w:val="18"/>
                <w:lang w:eastAsia="sl-SI"/>
              </w:rPr>
            </w:pPr>
            <w:r w:rsidRPr="00B148B1">
              <w:t xml:space="preserve"> 292,</w:t>
            </w:r>
            <w:r w:rsidR="00521209" w:rsidRPr="00B148B1">
              <w:t xml:space="preserve">3   </w:t>
            </w:r>
          </w:p>
        </w:tc>
      </w:tr>
      <w:tr w:rsidR="00AF3261" w:rsidRPr="00B148B1" w:rsidTr="00B803AE">
        <w:trPr>
          <w:trHeight w:val="315"/>
        </w:trPr>
        <w:tc>
          <w:tcPr>
            <w:tcW w:w="1865" w:type="pct"/>
            <w:shd w:val="clear" w:color="auto" w:fill="auto"/>
            <w:vAlign w:val="center"/>
            <w:hideMark/>
          </w:tcPr>
          <w:p w:rsidR="00AF3261" w:rsidRPr="00B148B1" w:rsidRDefault="00AF3261" w:rsidP="00981051">
            <w:pPr>
              <w:spacing w:line="240" w:lineRule="auto"/>
              <w:jc w:val="right"/>
              <w:rPr>
                <w:rFonts w:cs="Arial"/>
                <w:b/>
                <w:bCs/>
                <w:i/>
                <w:iCs/>
                <w:color w:val="000000"/>
                <w:sz w:val="18"/>
                <w:szCs w:val="18"/>
                <w:lang w:eastAsia="sl-SI"/>
              </w:rPr>
            </w:pPr>
            <w:r w:rsidRPr="00B148B1">
              <w:rPr>
                <w:rFonts w:cs="Arial"/>
                <w:b/>
                <w:bCs/>
                <w:i/>
                <w:iCs/>
                <w:color w:val="000000"/>
                <w:sz w:val="18"/>
                <w:szCs w:val="18"/>
                <w:lang w:eastAsia="sl-SI"/>
              </w:rPr>
              <w:t>aglomeracije &lt; 2.000 PE</w:t>
            </w:r>
          </w:p>
        </w:tc>
        <w:tc>
          <w:tcPr>
            <w:tcW w:w="554" w:type="pct"/>
            <w:shd w:val="clear" w:color="auto" w:fill="auto"/>
            <w:noWrap/>
            <w:hideMark/>
          </w:tcPr>
          <w:p w:rsidR="00AF3261" w:rsidRPr="00B148B1" w:rsidRDefault="00AF3261" w:rsidP="00981051">
            <w:pPr>
              <w:spacing w:line="240" w:lineRule="auto"/>
              <w:jc w:val="center"/>
              <w:rPr>
                <w:rFonts w:cs="Arial"/>
                <w:b/>
                <w:bCs/>
                <w:i/>
                <w:iCs/>
                <w:color w:val="000000"/>
                <w:sz w:val="18"/>
                <w:szCs w:val="18"/>
                <w:lang w:eastAsia="sl-SI"/>
              </w:rPr>
            </w:pPr>
            <w:r w:rsidRPr="00B148B1">
              <w:rPr>
                <w:b/>
              </w:rPr>
              <w:t xml:space="preserve"> 648,7   </w:t>
            </w:r>
          </w:p>
        </w:tc>
        <w:tc>
          <w:tcPr>
            <w:tcW w:w="554" w:type="pct"/>
            <w:shd w:val="clear" w:color="auto" w:fill="auto"/>
            <w:hideMark/>
          </w:tcPr>
          <w:p w:rsidR="00AF3261" w:rsidRPr="00B148B1" w:rsidRDefault="00AF3261">
            <w:pPr>
              <w:spacing w:line="240" w:lineRule="auto"/>
              <w:jc w:val="center"/>
              <w:rPr>
                <w:b/>
              </w:rPr>
            </w:pPr>
            <w:r w:rsidRPr="00B148B1">
              <w:rPr>
                <w:b/>
              </w:rPr>
              <w:t xml:space="preserve"> 136,</w:t>
            </w:r>
            <w:r w:rsidR="00BC4BC0" w:rsidRPr="00B148B1">
              <w:rPr>
                <w:b/>
              </w:rPr>
              <w:t>1</w:t>
            </w:r>
            <w:r w:rsidRPr="00B148B1">
              <w:rPr>
                <w:b/>
              </w:rPr>
              <w:t xml:space="preserve">   </w:t>
            </w:r>
          </w:p>
        </w:tc>
        <w:tc>
          <w:tcPr>
            <w:tcW w:w="554" w:type="pct"/>
            <w:shd w:val="clear" w:color="auto" w:fill="auto"/>
            <w:noWrap/>
            <w:hideMark/>
          </w:tcPr>
          <w:p w:rsidR="00AF3261" w:rsidRPr="00B148B1" w:rsidRDefault="00AF3261" w:rsidP="00981051">
            <w:pPr>
              <w:spacing w:line="240" w:lineRule="auto"/>
              <w:jc w:val="center"/>
              <w:rPr>
                <w:b/>
              </w:rPr>
            </w:pPr>
            <w:r w:rsidRPr="00B148B1">
              <w:rPr>
                <w:b/>
              </w:rPr>
              <w:t xml:space="preserve"> 784,8   </w:t>
            </w:r>
          </w:p>
        </w:tc>
        <w:tc>
          <w:tcPr>
            <w:tcW w:w="1473" w:type="pct"/>
            <w:shd w:val="clear" w:color="auto" w:fill="auto"/>
            <w:hideMark/>
          </w:tcPr>
          <w:p w:rsidR="00AF3261" w:rsidRPr="00B148B1" w:rsidRDefault="00AF3261">
            <w:pPr>
              <w:spacing w:line="240" w:lineRule="auto"/>
              <w:jc w:val="center"/>
              <w:rPr>
                <w:b/>
              </w:rPr>
            </w:pPr>
            <w:r w:rsidRPr="00B148B1">
              <w:rPr>
                <w:b/>
              </w:rPr>
              <w:t xml:space="preserve"> 447,</w:t>
            </w:r>
            <w:r w:rsidR="00521209" w:rsidRPr="00B148B1">
              <w:rPr>
                <w:b/>
              </w:rPr>
              <w:t xml:space="preserve">7   </w:t>
            </w:r>
          </w:p>
        </w:tc>
      </w:tr>
      <w:tr w:rsidR="00AF3261" w:rsidRPr="00B148B1" w:rsidTr="00B803AE">
        <w:trPr>
          <w:trHeight w:val="315"/>
        </w:trPr>
        <w:tc>
          <w:tcPr>
            <w:tcW w:w="1865" w:type="pct"/>
            <w:shd w:val="clear" w:color="auto" w:fill="auto"/>
            <w:vAlign w:val="center"/>
            <w:hideMark/>
          </w:tcPr>
          <w:p w:rsidR="00AF3261" w:rsidRPr="00B148B1" w:rsidRDefault="00AF3261" w:rsidP="00AC6421">
            <w:pPr>
              <w:spacing w:line="240" w:lineRule="auto"/>
              <w:jc w:val="right"/>
              <w:rPr>
                <w:rFonts w:cs="Arial"/>
                <w:color w:val="000000"/>
                <w:sz w:val="18"/>
                <w:szCs w:val="18"/>
                <w:lang w:eastAsia="sl-SI"/>
              </w:rPr>
            </w:pPr>
            <w:r w:rsidRPr="00B148B1">
              <w:rPr>
                <w:rFonts w:cs="Arial"/>
                <w:color w:val="000000"/>
                <w:sz w:val="18"/>
                <w:szCs w:val="18"/>
                <w:lang w:eastAsia="sl-SI"/>
              </w:rPr>
              <w:t xml:space="preserve">aglomeracije </w:t>
            </w:r>
            <w:r w:rsidR="00AC6421" w:rsidRPr="00B148B1">
              <w:rPr>
                <w:rFonts w:cs="Arial"/>
                <w:color w:val="000000"/>
                <w:sz w:val="18"/>
                <w:szCs w:val="18"/>
                <w:lang w:eastAsia="sl-SI"/>
              </w:rPr>
              <w:t>od</w:t>
            </w:r>
            <w:r w:rsidRPr="00B148B1">
              <w:rPr>
                <w:rFonts w:cs="Arial"/>
                <w:color w:val="000000"/>
                <w:sz w:val="18"/>
                <w:szCs w:val="18"/>
                <w:lang w:eastAsia="sl-SI"/>
              </w:rPr>
              <w:t xml:space="preserve"> 2.000 </w:t>
            </w:r>
            <w:r w:rsidR="00AC6421" w:rsidRPr="00B148B1">
              <w:rPr>
                <w:rFonts w:cs="Arial"/>
                <w:color w:val="000000"/>
                <w:sz w:val="18"/>
                <w:szCs w:val="18"/>
                <w:lang w:eastAsia="sl-SI"/>
              </w:rPr>
              <w:t>do</w:t>
            </w:r>
            <w:r w:rsidRPr="00B148B1">
              <w:rPr>
                <w:rFonts w:cs="Arial"/>
                <w:color w:val="000000"/>
                <w:sz w:val="18"/>
                <w:szCs w:val="18"/>
                <w:lang w:eastAsia="sl-SI"/>
              </w:rPr>
              <w:t xml:space="preserve"> 10.000 PE</w:t>
            </w:r>
          </w:p>
        </w:tc>
        <w:tc>
          <w:tcPr>
            <w:tcW w:w="554" w:type="pct"/>
            <w:shd w:val="clear" w:color="auto" w:fill="auto"/>
            <w:noWrap/>
            <w:hideMark/>
          </w:tcPr>
          <w:p w:rsidR="00AF3261" w:rsidRPr="00B148B1" w:rsidRDefault="00AF3261" w:rsidP="00981051">
            <w:pPr>
              <w:spacing w:line="240" w:lineRule="auto"/>
              <w:jc w:val="center"/>
              <w:rPr>
                <w:rFonts w:cs="Arial"/>
                <w:color w:val="000000"/>
                <w:sz w:val="18"/>
                <w:szCs w:val="18"/>
                <w:lang w:eastAsia="sl-SI"/>
              </w:rPr>
            </w:pPr>
            <w:r w:rsidRPr="00B148B1">
              <w:t xml:space="preserve"> 117,9   </w:t>
            </w:r>
          </w:p>
        </w:tc>
        <w:tc>
          <w:tcPr>
            <w:tcW w:w="554" w:type="pct"/>
            <w:shd w:val="clear" w:color="auto" w:fill="auto"/>
            <w:hideMark/>
          </w:tcPr>
          <w:p w:rsidR="00AF3261" w:rsidRPr="00B148B1" w:rsidRDefault="00AF3261" w:rsidP="00981051">
            <w:pPr>
              <w:spacing w:line="240" w:lineRule="auto"/>
              <w:jc w:val="center"/>
              <w:rPr>
                <w:rFonts w:cs="Arial"/>
                <w:color w:val="000000"/>
                <w:sz w:val="18"/>
                <w:szCs w:val="18"/>
                <w:lang w:eastAsia="sl-SI"/>
              </w:rPr>
            </w:pPr>
            <w:r w:rsidRPr="00B148B1">
              <w:t xml:space="preserve"> 28,1   </w:t>
            </w:r>
          </w:p>
        </w:tc>
        <w:tc>
          <w:tcPr>
            <w:tcW w:w="554" w:type="pct"/>
            <w:shd w:val="clear" w:color="auto" w:fill="auto"/>
            <w:noWrap/>
            <w:hideMark/>
          </w:tcPr>
          <w:p w:rsidR="00AF3261" w:rsidRPr="00B148B1" w:rsidRDefault="00AF3261" w:rsidP="00981051">
            <w:pPr>
              <w:spacing w:line="240" w:lineRule="auto"/>
              <w:jc w:val="center"/>
              <w:rPr>
                <w:rFonts w:cs="Arial"/>
                <w:color w:val="000000"/>
                <w:sz w:val="18"/>
                <w:szCs w:val="18"/>
                <w:lang w:eastAsia="sl-SI"/>
              </w:rPr>
            </w:pPr>
            <w:r w:rsidRPr="00B148B1">
              <w:t xml:space="preserve"> 146,0   </w:t>
            </w:r>
          </w:p>
        </w:tc>
        <w:tc>
          <w:tcPr>
            <w:tcW w:w="1473" w:type="pct"/>
            <w:shd w:val="clear" w:color="auto" w:fill="auto"/>
            <w:hideMark/>
          </w:tcPr>
          <w:p w:rsidR="00AF3261" w:rsidRPr="00B148B1" w:rsidRDefault="00AF3261" w:rsidP="00981051">
            <w:pPr>
              <w:spacing w:line="240" w:lineRule="auto"/>
              <w:jc w:val="center"/>
              <w:rPr>
                <w:rFonts w:cs="Arial"/>
                <w:color w:val="000000"/>
                <w:sz w:val="18"/>
                <w:szCs w:val="18"/>
                <w:lang w:eastAsia="sl-SI"/>
              </w:rPr>
            </w:pPr>
            <w:r w:rsidRPr="00B148B1">
              <w:t xml:space="preserve"> 146,0   </w:t>
            </w:r>
          </w:p>
        </w:tc>
      </w:tr>
      <w:tr w:rsidR="00AF3261" w:rsidRPr="00B148B1" w:rsidTr="00B803AE">
        <w:trPr>
          <w:trHeight w:val="315"/>
        </w:trPr>
        <w:tc>
          <w:tcPr>
            <w:tcW w:w="1865" w:type="pct"/>
            <w:shd w:val="clear" w:color="auto" w:fill="auto"/>
            <w:vAlign w:val="center"/>
            <w:hideMark/>
          </w:tcPr>
          <w:p w:rsidR="00AF3261" w:rsidRPr="00B148B1" w:rsidRDefault="00AF3261" w:rsidP="004243D9">
            <w:pPr>
              <w:spacing w:line="240" w:lineRule="auto"/>
              <w:jc w:val="right"/>
              <w:rPr>
                <w:rFonts w:cs="Arial"/>
                <w:color w:val="000000"/>
                <w:sz w:val="18"/>
                <w:szCs w:val="18"/>
                <w:lang w:eastAsia="sl-SI"/>
              </w:rPr>
            </w:pPr>
            <w:r w:rsidRPr="00B148B1">
              <w:rPr>
                <w:rFonts w:cs="Arial"/>
                <w:color w:val="000000"/>
                <w:sz w:val="18"/>
                <w:szCs w:val="18"/>
                <w:lang w:eastAsia="sl-SI"/>
              </w:rPr>
              <w:t xml:space="preserve">aglomeracije </w:t>
            </w:r>
            <w:r w:rsidR="00AC6421" w:rsidRPr="00B148B1">
              <w:rPr>
                <w:rFonts w:cs="Arial"/>
                <w:color w:val="000000"/>
                <w:sz w:val="18"/>
                <w:szCs w:val="18"/>
                <w:lang w:eastAsia="sl-SI"/>
              </w:rPr>
              <w:t>od</w:t>
            </w:r>
            <w:r w:rsidRPr="00B148B1">
              <w:rPr>
                <w:rFonts w:cs="Arial"/>
                <w:color w:val="000000"/>
                <w:sz w:val="18"/>
                <w:szCs w:val="18"/>
                <w:lang w:eastAsia="sl-SI"/>
              </w:rPr>
              <w:t xml:space="preserve"> 10.000 </w:t>
            </w:r>
            <w:r w:rsidR="004243D9">
              <w:rPr>
                <w:rFonts w:cs="Arial"/>
                <w:color w:val="000000"/>
                <w:sz w:val="18"/>
                <w:szCs w:val="18"/>
                <w:lang w:eastAsia="sl-SI"/>
              </w:rPr>
              <w:t>do</w:t>
            </w:r>
            <w:r w:rsidR="004243D9" w:rsidRPr="00B148B1">
              <w:rPr>
                <w:rFonts w:cs="Arial"/>
                <w:color w:val="000000"/>
                <w:sz w:val="18"/>
                <w:szCs w:val="18"/>
                <w:lang w:eastAsia="sl-SI"/>
              </w:rPr>
              <w:t xml:space="preserve"> </w:t>
            </w:r>
            <w:r w:rsidRPr="00B148B1">
              <w:rPr>
                <w:rFonts w:cs="Arial"/>
                <w:color w:val="000000"/>
                <w:sz w:val="18"/>
                <w:szCs w:val="18"/>
                <w:lang w:eastAsia="sl-SI"/>
              </w:rPr>
              <w:t>15.000 PE</w:t>
            </w:r>
          </w:p>
        </w:tc>
        <w:tc>
          <w:tcPr>
            <w:tcW w:w="554" w:type="pct"/>
            <w:shd w:val="clear" w:color="auto" w:fill="auto"/>
            <w:noWrap/>
            <w:hideMark/>
          </w:tcPr>
          <w:p w:rsidR="00AF3261" w:rsidRPr="00B148B1" w:rsidRDefault="00AF3261" w:rsidP="00981051">
            <w:pPr>
              <w:spacing w:line="240" w:lineRule="auto"/>
              <w:jc w:val="center"/>
              <w:rPr>
                <w:rFonts w:cs="Arial"/>
                <w:color w:val="000000"/>
                <w:sz w:val="18"/>
                <w:szCs w:val="18"/>
                <w:lang w:eastAsia="sl-SI"/>
              </w:rPr>
            </w:pPr>
            <w:r w:rsidRPr="00B148B1">
              <w:t xml:space="preserve"> 17,8   </w:t>
            </w:r>
          </w:p>
        </w:tc>
        <w:tc>
          <w:tcPr>
            <w:tcW w:w="554" w:type="pct"/>
            <w:shd w:val="clear" w:color="auto" w:fill="auto"/>
            <w:hideMark/>
          </w:tcPr>
          <w:p w:rsidR="00AF3261" w:rsidRPr="00B148B1" w:rsidRDefault="00AF3261" w:rsidP="00981051">
            <w:pPr>
              <w:spacing w:line="240" w:lineRule="auto"/>
              <w:jc w:val="center"/>
              <w:rPr>
                <w:rFonts w:cs="Arial"/>
                <w:color w:val="000000"/>
                <w:sz w:val="18"/>
                <w:szCs w:val="18"/>
                <w:lang w:eastAsia="sl-SI"/>
              </w:rPr>
            </w:pPr>
            <w:r w:rsidRPr="00B148B1">
              <w:t xml:space="preserve"> 3,1   </w:t>
            </w:r>
          </w:p>
        </w:tc>
        <w:tc>
          <w:tcPr>
            <w:tcW w:w="554" w:type="pct"/>
            <w:shd w:val="clear" w:color="auto" w:fill="auto"/>
            <w:noWrap/>
            <w:hideMark/>
          </w:tcPr>
          <w:p w:rsidR="00AF3261" w:rsidRPr="00B148B1" w:rsidRDefault="00AF3261" w:rsidP="00981051">
            <w:pPr>
              <w:spacing w:line="240" w:lineRule="auto"/>
              <w:jc w:val="center"/>
              <w:rPr>
                <w:rFonts w:cs="Arial"/>
                <w:color w:val="000000"/>
                <w:sz w:val="18"/>
                <w:szCs w:val="18"/>
                <w:lang w:eastAsia="sl-SI"/>
              </w:rPr>
            </w:pPr>
            <w:r w:rsidRPr="00B148B1">
              <w:t xml:space="preserve"> 20,9   </w:t>
            </w:r>
          </w:p>
        </w:tc>
        <w:tc>
          <w:tcPr>
            <w:tcW w:w="1473" w:type="pct"/>
            <w:shd w:val="clear" w:color="auto" w:fill="auto"/>
            <w:hideMark/>
          </w:tcPr>
          <w:p w:rsidR="00AF3261" w:rsidRPr="00B148B1" w:rsidRDefault="00AF3261" w:rsidP="00981051">
            <w:pPr>
              <w:spacing w:line="240" w:lineRule="auto"/>
              <w:jc w:val="center"/>
              <w:rPr>
                <w:rFonts w:cs="Arial"/>
                <w:color w:val="000000"/>
                <w:sz w:val="18"/>
                <w:szCs w:val="18"/>
                <w:lang w:eastAsia="sl-SI"/>
              </w:rPr>
            </w:pPr>
            <w:r w:rsidRPr="00B148B1">
              <w:t xml:space="preserve"> 20,9   </w:t>
            </w:r>
          </w:p>
        </w:tc>
      </w:tr>
      <w:tr w:rsidR="00AF3261" w:rsidRPr="00B148B1" w:rsidTr="00B803AE">
        <w:trPr>
          <w:trHeight w:val="315"/>
        </w:trPr>
        <w:tc>
          <w:tcPr>
            <w:tcW w:w="1865" w:type="pct"/>
            <w:shd w:val="clear" w:color="auto" w:fill="auto"/>
            <w:vAlign w:val="center"/>
            <w:hideMark/>
          </w:tcPr>
          <w:p w:rsidR="00AF3261" w:rsidRPr="00B148B1" w:rsidRDefault="00AF3261" w:rsidP="00981051">
            <w:pPr>
              <w:spacing w:line="240" w:lineRule="auto"/>
              <w:jc w:val="right"/>
              <w:rPr>
                <w:rFonts w:cs="Arial"/>
                <w:color w:val="000000"/>
                <w:sz w:val="18"/>
                <w:szCs w:val="18"/>
                <w:lang w:eastAsia="sl-SI"/>
              </w:rPr>
            </w:pPr>
            <w:r w:rsidRPr="00B148B1">
              <w:rPr>
                <w:rFonts w:cs="Arial"/>
                <w:color w:val="000000"/>
                <w:sz w:val="18"/>
                <w:szCs w:val="18"/>
                <w:lang w:eastAsia="sl-SI"/>
              </w:rPr>
              <w:t>aglomeracije ≥ 15.000 PE</w:t>
            </w:r>
          </w:p>
        </w:tc>
        <w:tc>
          <w:tcPr>
            <w:tcW w:w="554" w:type="pct"/>
            <w:shd w:val="clear" w:color="auto" w:fill="auto"/>
            <w:noWrap/>
            <w:hideMark/>
          </w:tcPr>
          <w:p w:rsidR="00AF3261" w:rsidRPr="00B148B1" w:rsidRDefault="00AF3261" w:rsidP="00981051">
            <w:pPr>
              <w:spacing w:line="240" w:lineRule="auto"/>
              <w:jc w:val="center"/>
              <w:rPr>
                <w:rFonts w:cs="Arial"/>
                <w:color w:val="000000"/>
                <w:sz w:val="18"/>
                <w:szCs w:val="18"/>
                <w:lang w:eastAsia="sl-SI"/>
              </w:rPr>
            </w:pPr>
            <w:r w:rsidRPr="00B148B1">
              <w:t xml:space="preserve"> 140,7   </w:t>
            </w:r>
          </w:p>
        </w:tc>
        <w:tc>
          <w:tcPr>
            <w:tcW w:w="554" w:type="pct"/>
            <w:shd w:val="clear" w:color="auto" w:fill="auto"/>
            <w:hideMark/>
          </w:tcPr>
          <w:p w:rsidR="00AF3261" w:rsidRPr="00B148B1" w:rsidRDefault="00AF3261">
            <w:pPr>
              <w:spacing w:line="240" w:lineRule="auto"/>
              <w:jc w:val="center"/>
              <w:rPr>
                <w:rFonts w:cs="Arial"/>
                <w:color w:val="000000"/>
                <w:sz w:val="18"/>
                <w:szCs w:val="18"/>
                <w:lang w:eastAsia="sl-SI"/>
              </w:rPr>
            </w:pPr>
            <w:r w:rsidRPr="00B148B1">
              <w:t xml:space="preserve"> </w:t>
            </w:r>
            <w:r w:rsidR="00BC4BC0" w:rsidRPr="00B148B1">
              <w:t>25,1</w:t>
            </w:r>
            <w:r w:rsidRPr="00B148B1">
              <w:t xml:space="preserve">   </w:t>
            </w:r>
          </w:p>
        </w:tc>
        <w:tc>
          <w:tcPr>
            <w:tcW w:w="554" w:type="pct"/>
            <w:shd w:val="clear" w:color="auto" w:fill="auto"/>
            <w:noWrap/>
            <w:hideMark/>
          </w:tcPr>
          <w:p w:rsidR="00AF3261" w:rsidRPr="00B148B1" w:rsidRDefault="00AF3261">
            <w:pPr>
              <w:spacing w:line="240" w:lineRule="auto"/>
              <w:jc w:val="center"/>
              <w:rPr>
                <w:rFonts w:cs="Arial"/>
                <w:color w:val="000000"/>
                <w:sz w:val="18"/>
                <w:szCs w:val="18"/>
                <w:lang w:eastAsia="sl-SI"/>
              </w:rPr>
            </w:pPr>
            <w:r w:rsidRPr="00B148B1">
              <w:t xml:space="preserve"> </w:t>
            </w:r>
            <w:r w:rsidR="003A1C92" w:rsidRPr="00B148B1">
              <w:t>165,8</w:t>
            </w:r>
            <w:r w:rsidRPr="00B148B1">
              <w:t xml:space="preserve">   </w:t>
            </w:r>
          </w:p>
        </w:tc>
        <w:tc>
          <w:tcPr>
            <w:tcW w:w="1473" w:type="pct"/>
            <w:shd w:val="clear" w:color="auto" w:fill="auto"/>
            <w:hideMark/>
          </w:tcPr>
          <w:p w:rsidR="00AF3261" w:rsidRPr="00B148B1" w:rsidRDefault="00AF3261">
            <w:pPr>
              <w:spacing w:line="240" w:lineRule="auto"/>
              <w:jc w:val="center"/>
              <w:rPr>
                <w:rFonts w:cs="Arial"/>
                <w:color w:val="000000"/>
                <w:sz w:val="18"/>
                <w:szCs w:val="18"/>
                <w:lang w:eastAsia="sl-SI"/>
              </w:rPr>
            </w:pPr>
            <w:r w:rsidRPr="00B148B1">
              <w:t xml:space="preserve"> </w:t>
            </w:r>
            <w:r w:rsidR="003A1C92" w:rsidRPr="00B148B1">
              <w:t>165,8</w:t>
            </w:r>
            <w:r w:rsidRPr="00B148B1">
              <w:t xml:space="preserve">   </w:t>
            </w:r>
          </w:p>
        </w:tc>
      </w:tr>
      <w:tr w:rsidR="00AF3261" w:rsidRPr="00B148B1" w:rsidTr="00B803AE">
        <w:trPr>
          <w:trHeight w:val="315"/>
        </w:trPr>
        <w:tc>
          <w:tcPr>
            <w:tcW w:w="1865" w:type="pct"/>
            <w:shd w:val="clear" w:color="auto" w:fill="auto"/>
            <w:vAlign w:val="center"/>
            <w:hideMark/>
          </w:tcPr>
          <w:p w:rsidR="00AF3261" w:rsidRPr="00B148B1" w:rsidRDefault="00AF3261" w:rsidP="00981051">
            <w:pPr>
              <w:spacing w:line="240" w:lineRule="auto"/>
              <w:jc w:val="right"/>
              <w:rPr>
                <w:rFonts w:cs="Arial"/>
                <w:b/>
                <w:bCs/>
                <w:i/>
                <w:iCs/>
                <w:color w:val="000000"/>
                <w:sz w:val="18"/>
                <w:szCs w:val="18"/>
                <w:lang w:eastAsia="sl-SI"/>
              </w:rPr>
            </w:pPr>
            <w:r w:rsidRPr="00B148B1">
              <w:rPr>
                <w:rFonts w:cs="Arial"/>
                <w:b/>
                <w:bCs/>
                <w:i/>
                <w:iCs/>
                <w:color w:val="000000"/>
                <w:sz w:val="18"/>
                <w:szCs w:val="18"/>
                <w:lang w:eastAsia="sl-SI"/>
              </w:rPr>
              <w:t>aglomeracije ≥ 2.000 PE</w:t>
            </w:r>
          </w:p>
        </w:tc>
        <w:tc>
          <w:tcPr>
            <w:tcW w:w="554" w:type="pct"/>
            <w:shd w:val="clear" w:color="auto" w:fill="auto"/>
            <w:noWrap/>
            <w:hideMark/>
          </w:tcPr>
          <w:p w:rsidR="00AF3261" w:rsidRPr="00B148B1" w:rsidRDefault="00AF3261" w:rsidP="00981051">
            <w:pPr>
              <w:spacing w:line="240" w:lineRule="auto"/>
              <w:jc w:val="center"/>
              <w:rPr>
                <w:rFonts w:cs="Arial"/>
                <w:b/>
                <w:bCs/>
                <w:i/>
                <w:iCs/>
                <w:color w:val="000000"/>
                <w:sz w:val="18"/>
                <w:szCs w:val="18"/>
                <w:lang w:eastAsia="sl-SI"/>
              </w:rPr>
            </w:pPr>
            <w:r w:rsidRPr="00B148B1">
              <w:rPr>
                <w:b/>
              </w:rPr>
              <w:t xml:space="preserve"> 276,4   </w:t>
            </w:r>
          </w:p>
        </w:tc>
        <w:tc>
          <w:tcPr>
            <w:tcW w:w="554" w:type="pct"/>
            <w:shd w:val="clear" w:color="auto" w:fill="auto"/>
            <w:hideMark/>
          </w:tcPr>
          <w:p w:rsidR="00AF3261" w:rsidRPr="00B148B1" w:rsidRDefault="00AF3261">
            <w:pPr>
              <w:spacing w:line="240" w:lineRule="auto"/>
              <w:jc w:val="center"/>
              <w:rPr>
                <w:rFonts w:cs="Arial"/>
                <w:b/>
                <w:bCs/>
                <w:i/>
                <w:iCs/>
                <w:color w:val="000000"/>
                <w:sz w:val="18"/>
                <w:szCs w:val="18"/>
                <w:lang w:eastAsia="sl-SI"/>
              </w:rPr>
            </w:pPr>
            <w:r w:rsidRPr="00B148B1">
              <w:rPr>
                <w:b/>
              </w:rPr>
              <w:t xml:space="preserve"> </w:t>
            </w:r>
            <w:r w:rsidR="00BC4BC0" w:rsidRPr="00B148B1">
              <w:rPr>
                <w:b/>
              </w:rPr>
              <w:t>56,</w:t>
            </w:r>
            <w:r w:rsidR="003A1C92" w:rsidRPr="00B148B1">
              <w:rPr>
                <w:b/>
              </w:rPr>
              <w:t>3</w:t>
            </w:r>
            <w:r w:rsidRPr="00B148B1">
              <w:rPr>
                <w:b/>
              </w:rPr>
              <w:t xml:space="preserve">   </w:t>
            </w:r>
          </w:p>
        </w:tc>
        <w:tc>
          <w:tcPr>
            <w:tcW w:w="554" w:type="pct"/>
            <w:shd w:val="clear" w:color="auto" w:fill="auto"/>
            <w:noWrap/>
            <w:hideMark/>
          </w:tcPr>
          <w:p w:rsidR="00AF3261" w:rsidRPr="00B148B1" w:rsidRDefault="00AF3261">
            <w:pPr>
              <w:spacing w:line="240" w:lineRule="auto"/>
              <w:jc w:val="center"/>
              <w:rPr>
                <w:rFonts w:cs="Arial"/>
                <w:b/>
                <w:bCs/>
                <w:i/>
                <w:iCs/>
                <w:color w:val="000000"/>
                <w:sz w:val="18"/>
                <w:szCs w:val="18"/>
                <w:lang w:eastAsia="sl-SI"/>
              </w:rPr>
            </w:pPr>
            <w:r w:rsidRPr="00B148B1">
              <w:rPr>
                <w:b/>
              </w:rPr>
              <w:t xml:space="preserve"> </w:t>
            </w:r>
            <w:r w:rsidR="003A1C92" w:rsidRPr="00B148B1">
              <w:rPr>
                <w:b/>
              </w:rPr>
              <w:t>332,7</w:t>
            </w:r>
            <w:r w:rsidRPr="00B148B1">
              <w:rPr>
                <w:b/>
              </w:rPr>
              <w:t xml:space="preserve">   </w:t>
            </w:r>
          </w:p>
        </w:tc>
        <w:tc>
          <w:tcPr>
            <w:tcW w:w="1473" w:type="pct"/>
            <w:shd w:val="clear" w:color="auto" w:fill="auto"/>
            <w:hideMark/>
          </w:tcPr>
          <w:p w:rsidR="00AF3261" w:rsidRPr="00B148B1" w:rsidRDefault="00AF3261">
            <w:pPr>
              <w:spacing w:line="240" w:lineRule="auto"/>
              <w:jc w:val="center"/>
              <w:rPr>
                <w:rFonts w:cs="Arial"/>
                <w:b/>
                <w:bCs/>
                <w:i/>
                <w:iCs/>
                <w:color w:val="000000"/>
                <w:sz w:val="18"/>
                <w:szCs w:val="18"/>
                <w:lang w:eastAsia="sl-SI"/>
              </w:rPr>
            </w:pPr>
            <w:r w:rsidRPr="00B148B1">
              <w:rPr>
                <w:b/>
              </w:rPr>
              <w:t xml:space="preserve"> </w:t>
            </w:r>
            <w:r w:rsidR="003A1C92" w:rsidRPr="00B148B1">
              <w:rPr>
                <w:b/>
              </w:rPr>
              <w:t>332,7</w:t>
            </w:r>
            <w:r w:rsidRPr="00B148B1">
              <w:rPr>
                <w:b/>
              </w:rPr>
              <w:t xml:space="preserve">   </w:t>
            </w:r>
          </w:p>
        </w:tc>
      </w:tr>
      <w:tr w:rsidR="00AF3261" w:rsidRPr="00B148B1" w:rsidTr="00B803AE">
        <w:trPr>
          <w:trHeight w:val="315"/>
        </w:trPr>
        <w:tc>
          <w:tcPr>
            <w:tcW w:w="1865" w:type="pct"/>
            <w:shd w:val="clear" w:color="auto" w:fill="auto"/>
            <w:vAlign w:val="center"/>
            <w:hideMark/>
          </w:tcPr>
          <w:p w:rsidR="00AF3261" w:rsidRPr="00B148B1" w:rsidRDefault="00AF3261" w:rsidP="00981051">
            <w:pPr>
              <w:spacing w:line="240" w:lineRule="auto"/>
              <w:jc w:val="center"/>
              <w:rPr>
                <w:rFonts w:cs="Arial"/>
                <w:b/>
                <w:bCs/>
                <w:color w:val="000000"/>
                <w:sz w:val="18"/>
                <w:szCs w:val="18"/>
                <w:lang w:eastAsia="sl-SI"/>
              </w:rPr>
            </w:pPr>
            <w:r w:rsidRPr="00B148B1">
              <w:rPr>
                <w:rFonts w:cs="Arial"/>
                <w:b/>
                <w:bCs/>
                <w:color w:val="000000"/>
                <w:sz w:val="18"/>
                <w:szCs w:val="18"/>
                <w:lang w:eastAsia="sl-SI"/>
              </w:rPr>
              <w:t>SKUPAJ</w:t>
            </w:r>
          </w:p>
        </w:tc>
        <w:tc>
          <w:tcPr>
            <w:tcW w:w="554" w:type="pct"/>
            <w:shd w:val="clear" w:color="auto" w:fill="auto"/>
            <w:hideMark/>
          </w:tcPr>
          <w:p w:rsidR="00AF3261" w:rsidRPr="00B148B1" w:rsidRDefault="00AF3261" w:rsidP="00981051">
            <w:pPr>
              <w:spacing w:line="240" w:lineRule="auto"/>
              <w:jc w:val="center"/>
              <w:rPr>
                <w:rFonts w:cs="Arial"/>
                <w:b/>
                <w:bCs/>
                <w:color w:val="000000"/>
                <w:sz w:val="18"/>
                <w:szCs w:val="18"/>
                <w:lang w:eastAsia="sl-SI"/>
              </w:rPr>
            </w:pPr>
            <w:r w:rsidRPr="00B148B1">
              <w:rPr>
                <w:b/>
              </w:rPr>
              <w:t xml:space="preserve"> 925,1   </w:t>
            </w:r>
          </w:p>
        </w:tc>
        <w:tc>
          <w:tcPr>
            <w:tcW w:w="554" w:type="pct"/>
            <w:shd w:val="clear" w:color="auto" w:fill="auto"/>
            <w:hideMark/>
          </w:tcPr>
          <w:p w:rsidR="00AF3261" w:rsidRPr="00B148B1" w:rsidRDefault="00AF3261">
            <w:pPr>
              <w:spacing w:line="240" w:lineRule="auto"/>
              <w:jc w:val="center"/>
              <w:rPr>
                <w:rFonts w:cs="Arial"/>
                <w:b/>
                <w:bCs/>
                <w:color w:val="000000"/>
                <w:sz w:val="18"/>
                <w:szCs w:val="18"/>
                <w:lang w:eastAsia="sl-SI"/>
              </w:rPr>
            </w:pPr>
            <w:r w:rsidRPr="00B148B1">
              <w:rPr>
                <w:b/>
              </w:rPr>
              <w:t xml:space="preserve"> </w:t>
            </w:r>
            <w:r w:rsidR="00BC4BC0" w:rsidRPr="00B148B1">
              <w:rPr>
                <w:b/>
              </w:rPr>
              <w:t>192</w:t>
            </w:r>
            <w:r w:rsidRPr="00B148B1">
              <w:rPr>
                <w:b/>
              </w:rPr>
              <w:t>,</w:t>
            </w:r>
            <w:r w:rsidR="00BC4BC0" w:rsidRPr="00B148B1">
              <w:rPr>
                <w:b/>
              </w:rPr>
              <w:t>4</w:t>
            </w:r>
            <w:r w:rsidRPr="00B148B1">
              <w:rPr>
                <w:b/>
              </w:rPr>
              <w:t xml:space="preserve">   </w:t>
            </w:r>
          </w:p>
        </w:tc>
        <w:tc>
          <w:tcPr>
            <w:tcW w:w="554" w:type="pct"/>
            <w:shd w:val="clear" w:color="auto" w:fill="auto"/>
            <w:hideMark/>
          </w:tcPr>
          <w:p w:rsidR="00AF3261" w:rsidRPr="00B148B1" w:rsidRDefault="00AF3261">
            <w:pPr>
              <w:spacing w:line="240" w:lineRule="auto"/>
              <w:jc w:val="center"/>
              <w:rPr>
                <w:rFonts w:cs="Arial"/>
                <w:b/>
                <w:bCs/>
                <w:color w:val="000000"/>
                <w:sz w:val="18"/>
                <w:szCs w:val="18"/>
                <w:lang w:eastAsia="sl-SI"/>
              </w:rPr>
            </w:pPr>
            <w:r w:rsidRPr="00B148B1">
              <w:rPr>
                <w:b/>
              </w:rPr>
              <w:t xml:space="preserve"> 1.</w:t>
            </w:r>
            <w:r w:rsidR="00521209" w:rsidRPr="00B148B1">
              <w:rPr>
                <w:b/>
              </w:rPr>
              <w:t>334,4</w:t>
            </w:r>
            <w:r w:rsidRPr="00B148B1">
              <w:rPr>
                <w:b/>
              </w:rPr>
              <w:t xml:space="preserve">   </w:t>
            </w:r>
          </w:p>
        </w:tc>
        <w:tc>
          <w:tcPr>
            <w:tcW w:w="1473" w:type="pct"/>
            <w:shd w:val="clear" w:color="auto" w:fill="auto"/>
            <w:hideMark/>
          </w:tcPr>
          <w:p w:rsidR="00AF3261" w:rsidRPr="00B148B1" w:rsidRDefault="00AF3261">
            <w:pPr>
              <w:spacing w:line="240" w:lineRule="auto"/>
              <w:jc w:val="center"/>
              <w:rPr>
                <w:rFonts w:cs="Arial"/>
                <w:b/>
                <w:bCs/>
                <w:color w:val="000000"/>
                <w:sz w:val="18"/>
                <w:szCs w:val="18"/>
                <w:lang w:eastAsia="sl-SI"/>
              </w:rPr>
            </w:pPr>
            <w:r w:rsidRPr="00B148B1">
              <w:rPr>
                <w:b/>
              </w:rPr>
              <w:t xml:space="preserve"> </w:t>
            </w:r>
            <w:r w:rsidR="00521209" w:rsidRPr="00B148B1">
              <w:rPr>
                <w:b/>
              </w:rPr>
              <w:t>997,3</w:t>
            </w:r>
            <w:r w:rsidRPr="00B148B1">
              <w:rPr>
                <w:b/>
              </w:rPr>
              <w:t xml:space="preserve">   </w:t>
            </w:r>
          </w:p>
        </w:tc>
      </w:tr>
    </w:tbl>
    <w:p w:rsidR="00B27859" w:rsidRPr="00B148B1" w:rsidRDefault="00B27859" w:rsidP="00217A9B">
      <w:pPr>
        <w:tabs>
          <w:tab w:val="left" w:pos="142"/>
          <w:tab w:val="left" w:pos="9600"/>
        </w:tabs>
        <w:spacing w:before="120" w:line="280" w:lineRule="atLeast"/>
        <w:ind w:left="142" w:hanging="142"/>
        <w:rPr>
          <w:rFonts w:cs="Arial"/>
          <w:sz w:val="18"/>
          <w:szCs w:val="18"/>
        </w:rPr>
      </w:pPr>
      <w:r w:rsidRPr="00B148B1">
        <w:rPr>
          <w:rFonts w:cs="Arial"/>
          <w:sz w:val="18"/>
          <w:szCs w:val="18"/>
          <w:vertAlign w:val="superscript"/>
        </w:rPr>
        <w:t>(1)</w:t>
      </w:r>
      <w:r w:rsidR="001041BE" w:rsidRPr="00B148B1">
        <w:rPr>
          <w:rFonts w:cs="Arial"/>
          <w:sz w:val="18"/>
          <w:szCs w:val="18"/>
        </w:rPr>
        <w:t xml:space="preserve"> </w:t>
      </w:r>
      <w:r w:rsidR="004A6385" w:rsidRPr="00B148B1">
        <w:rPr>
          <w:rFonts w:cs="Arial"/>
          <w:sz w:val="18"/>
          <w:szCs w:val="18"/>
        </w:rPr>
        <w:t>Z</w:t>
      </w:r>
      <w:r w:rsidRPr="00B148B1">
        <w:rPr>
          <w:rFonts w:cs="Arial"/>
          <w:sz w:val="18"/>
          <w:szCs w:val="18"/>
        </w:rPr>
        <w:t xml:space="preserve">a aglomeracije s skupno obremenitvijo, manjšo od 500 PE, so upoštevani rezultati </w:t>
      </w:r>
      <w:r w:rsidR="00AD5123" w:rsidRPr="00B148B1">
        <w:rPr>
          <w:rFonts w:cs="Arial"/>
          <w:sz w:val="18"/>
          <w:szCs w:val="18"/>
        </w:rPr>
        <w:t xml:space="preserve">finančne </w:t>
      </w:r>
      <w:r w:rsidRPr="00B148B1">
        <w:rPr>
          <w:rFonts w:cs="Arial"/>
          <w:sz w:val="18"/>
          <w:szCs w:val="18"/>
        </w:rPr>
        <w:t>presoje iz Uredbe</w:t>
      </w:r>
      <w:r w:rsidR="00217A9B" w:rsidRPr="00B148B1">
        <w:rPr>
          <w:rFonts w:cs="Arial"/>
          <w:sz w:val="18"/>
          <w:szCs w:val="18"/>
        </w:rPr>
        <w:t xml:space="preserve"> </w:t>
      </w:r>
      <w:r w:rsidRPr="00B148B1">
        <w:rPr>
          <w:rFonts w:cs="Arial"/>
          <w:sz w:val="18"/>
          <w:szCs w:val="18"/>
        </w:rPr>
        <w:t>o odvajanju in čiščenju komunalne odpadne vode, in sicer je v znesku upoštevana ocenjena vrednost gradnje JKO, če ta vrednost ne presega trikratnika ocenjene vrednosti gradnje več MKČN za posamezne objekte ali skupine objektov, sicer je upoštevana ocenjena vrednost gradnje več MKČN (predpostavljena je gradnja posamezne (hišne) MKČN za vsak objekt v aglomeraciji);</w:t>
      </w:r>
    </w:p>
    <w:p w:rsidR="00B27859" w:rsidRPr="00B148B1" w:rsidRDefault="00B27859" w:rsidP="00B27859">
      <w:pPr>
        <w:tabs>
          <w:tab w:val="left" w:leader="dot" w:pos="993"/>
          <w:tab w:val="left" w:pos="9600"/>
        </w:tabs>
        <w:spacing w:before="120" w:line="280" w:lineRule="atLeast"/>
        <w:ind w:left="993" w:hanging="993"/>
        <w:rPr>
          <w:rFonts w:cs="Arial"/>
          <w:sz w:val="18"/>
          <w:szCs w:val="18"/>
        </w:rPr>
      </w:pPr>
      <w:r w:rsidRPr="00B148B1">
        <w:rPr>
          <w:rFonts w:cs="Arial"/>
          <w:sz w:val="18"/>
          <w:szCs w:val="18"/>
        </w:rPr>
        <w:t>JKO</w:t>
      </w:r>
      <w:r w:rsidR="001041BE" w:rsidRPr="00B148B1">
        <w:rPr>
          <w:rFonts w:cs="Arial"/>
          <w:sz w:val="18"/>
          <w:szCs w:val="18"/>
        </w:rPr>
        <w:t xml:space="preserve"> </w:t>
      </w:r>
      <w:r w:rsidR="001041BE" w:rsidRPr="00B148B1">
        <w:rPr>
          <w:rFonts w:cs="Arial"/>
          <w:color w:val="202122"/>
          <w:sz w:val="18"/>
          <w:szCs w:val="18"/>
          <w:shd w:val="clear" w:color="auto" w:fill="FFFFFF"/>
        </w:rPr>
        <w:t xml:space="preserve">– </w:t>
      </w:r>
      <w:r w:rsidRPr="00B148B1">
        <w:rPr>
          <w:rFonts w:cs="Arial"/>
          <w:sz w:val="18"/>
          <w:szCs w:val="18"/>
        </w:rPr>
        <w:t>javno kanalizacijsko omrežje;</w:t>
      </w:r>
    </w:p>
    <w:p w:rsidR="00B27859" w:rsidRPr="00B148B1" w:rsidRDefault="00B27859" w:rsidP="00B27859">
      <w:pPr>
        <w:tabs>
          <w:tab w:val="left" w:leader="dot" w:pos="993"/>
          <w:tab w:val="left" w:pos="9600"/>
        </w:tabs>
        <w:spacing w:before="120" w:line="280" w:lineRule="atLeast"/>
        <w:ind w:left="993" w:hanging="993"/>
        <w:rPr>
          <w:rFonts w:cs="Arial"/>
          <w:sz w:val="18"/>
          <w:szCs w:val="18"/>
        </w:rPr>
      </w:pPr>
      <w:r w:rsidRPr="00B148B1">
        <w:rPr>
          <w:rFonts w:cs="Arial"/>
          <w:sz w:val="18"/>
          <w:szCs w:val="18"/>
        </w:rPr>
        <w:t>ČN</w:t>
      </w:r>
      <w:r w:rsidR="001041BE" w:rsidRPr="00B148B1">
        <w:rPr>
          <w:rFonts w:cs="Arial"/>
          <w:sz w:val="18"/>
          <w:szCs w:val="18"/>
        </w:rPr>
        <w:t xml:space="preserve"> </w:t>
      </w:r>
      <w:r w:rsidR="001041BE" w:rsidRPr="00B148B1">
        <w:rPr>
          <w:rFonts w:cs="Arial"/>
          <w:color w:val="202122"/>
          <w:sz w:val="18"/>
          <w:szCs w:val="18"/>
          <w:shd w:val="clear" w:color="auto" w:fill="FFFFFF"/>
        </w:rPr>
        <w:t>–</w:t>
      </w:r>
      <w:r w:rsidR="003338DA" w:rsidRPr="00B148B1">
        <w:rPr>
          <w:rFonts w:cs="Arial"/>
          <w:color w:val="202122"/>
          <w:sz w:val="18"/>
          <w:szCs w:val="18"/>
          <w:shd w:val="clear" w:color="auto" w:fill="FFFFFF"/>
        </w:rPr>
        <w:t xml:space="preserve"> </w:t>
      </w:r>
      <w:r w:rsidRPr="00B148B1">
        <w:rPr>
          <w:rFonts w:cs="Arial"/>
          <w:sz w:val="18"/>
          <w:szCs w:val="18"/>
        </w:rPr>
        <w:t>čistilna naprava, namenjena izvajanju javne službe.</w:t>
      </w:r>
    </w:p>
    <w:p w:rsidR="00C90722" w:rsidRPr="00B148B1" w:rsidRDefault="00BE4882" w:rsidP="00C90722">
      <w:pPr>
        <w:tabs>
          <w:tab w:val="left" w:pos="9600"/>
        </w:tabs>
        <w:spacing w:before="120" w:line="280" w:lineRule="atLeast"/>
        <w:rPr>
          <w:rFonts w:cs="Arial"/>
          <w:szCs w:val="20"/>
        </w:rPr>
      </w:pPr>
      <w:r w:rsidRPr="00B148B1">
        <w:rPr>
          <w:rFonts w:cs="Arial"/>
          <w:szCs w:val="20"/>
        </w:rPr>
        <w:t xml:space="preserve">Ocena sredstev, potrebnih za </w:t>
      </w:r>
      <w:r w:rsidR="00C90722" w:rsidRPr="00B148B1">
        <w:rPr>
          <w:rFonts w:cs="Arial"/>
          <w:szCs w:val="20"/>
        </w:rPr>
        <w:t xml:space="preserve">zagotovitev ustreznega čiščenja komunalne odpadne vode v obliki </w:t>
      </w:r>
      <w:r w:rsidRPr="00B148B1">
        <w:rPr>
          <w:rFonts w:cs="Arial"/>
          <w:szCs w:val="20"/>
        </w:rPr>
        <w:t>nadgradnj</w:t>
      </w:r>
      <w:r w:rsidR="00C90722" w:rsidRPr="00B148B1">
        <w:rPr>
          <w:rFonts w:cs="Arial"/>
          <w:szCs w:val="20"/>
        </w:rPr>
        <w:t>e</w:t>
      </w:r>
      <w:r w:rsidRPr="00B148B1">
        <w:rPr>
          <w:rFonts w:cs="Arial"/>
          <w:szCs w:val="20"/>
        </w:rPr>
        <w:t xml:space="preserve"> čistilnih naprav </w:t>
      </w:r>
      <w:r w:rsidR="00C90722" w:rsidRPr="00B148B1">
        <w:rPr>
          <w:rFonts w:cs="Arial"/>
          <w:szCs w:val="20"/>
        </w:rPr>
        <w:t xml:space="preserve">znaša </w:t>
      </w:r>
      <w:r w:rsidR="00981051" w:rsidRPr="00B148B1">
        <w:rPr>
          <w:rFonts w:cs="Arial"/>
          <w:szCs w:val="20"/>
        </w:rPr>
        <w:t>47,9</w:t>
      </w:r>
      <w:r w:rsidR="001048C8" w:rsidRPr="00B148B1">
        <w:rPr>
          <w:rFonts w:cs="Arial"/>
          <w:szCs w:val="20"/>
        </w:rPr>
        <w:t xml:space="preserve"> </w:t>
      </w:r>
      <w:r w:rsidR="00C90722" w:rsidRPr="00B148B1">
        <w:rPr>
          <w:rFonts w:cs="Arial"/>
          <w:szCs w:val="20"/>
        </w:rPr>
        <w:t>milijon</w:t>
      </w:r>
      <w:r w:rsidR="006C5A85" w:rsidRPr="00B148B1">
        <w:rPr>
          <w:rFonts w:cs="Arial"/>
          <w:szCs w:val="20"/>
        </w:rPr>
        <w:t>a</w:t>
      </w:r>
      <w:r w:rsidR="00C90722" w:rsidRPr="00B148B1">
        <w:rPr>
          <w:rFonts w:cs="Arial"/>
          <w:szCs w:val="20"/>
        </w:rPr>
        <w:t xml:space="preserve"> e</w:t>
      </w:r>
      <w:r w:rsidR="00EC0B4B" w:rsidRPr="00B148B1">
        <w:rPr>
          <w:rFonts w:cs="Arial"/>
          <w:szCs w:val="20"/>
        </w:rPr>
        <w:t>v</w:t>
      </w:r>
      <w:r w:rsidR="00C90722" w:rsidRPr="00B148B1">
        <w:rPr>
          <w:rFonts w:cs="Arial"/>
          <w:szCs w:val="20"/>
        </w:rPr>
        <w:t xml:space="preserve">rov (vrednosti so podane </w:t>
      </w:r>
      <w:r w:rsidR="00894961">
        <w:rPr>
          <w:rFonts w:cs="Arial"/>
          <w:szCs w:val="20"/>
        </w:rPr>
        <w:t>brez davka na dodano vrednost) (</w:t>
      </w:r>
      <w:r w:rsidR="00894961">
        <w:rPr>
          <w:rFonts w:cs="Arial"/>
          <w:szCs w:val="20"/>
        </w:rPr>
        <w:fldChar w:fldCharType="begin"/>
      </w:r>
      <w:r w:rsidR="00894961">
        <w:rPr>
          <w:rFonts w:cs="Arial"/>
          <w:szCs w:val="20"/>
        </w:rPr>
        <w:instrText xml:space="preserve"> REF _Ref49859917 \h </w:instrText>
      </w:r>
      <w:r w:rsidR="00894961">
        <w:rPr>
          <w:rFonts w:cs="Arial"/>
          <w:szCs w:val="20"/>
        </w:rPr>
      </w:r>
      <w:r w:rsidR="00894961">
        <w:rPr>
          <w:rFonts w:cs="Arial"/>
          <w:szCs w:val="20"/>
        </w:rPr>
        <w:fldChar w:fldCharType="separate"/>
      </w:r>
      <w:r w:rsidR="00E92793" w:rsidRPr="00B148B1">
        <w:t xml:space="preserve">Preglednica </w:t>
      </w:r>
      <w:r w:rsidR="00E92793">
        <w:rPr>
          <w:noProof/>
        </w:rPr>
        <w:t>18</w:t>
      </w:r>
      <w:r w:rsidR="00894961">
        <w:rPr>
          <w:rFonts w:cs="Arial"/>
          <w:szCs w:val="20"/>
        </w:rPr>
        <w:fldChar w:fldCharType="end"/>
      </w:r>
      <w:r w:rsidR="00894961">
        <w:rPr>
          <w:rFonts w:cs="Arial"/>
          <w:szCs w:val="20"/>
        </w:rPr>
        <w:t>)</w:t>
      </w:r>
      <w:r w:rsidR="00C90722" w:rsidRPr="00B148B1">
        <w:rPr>
          <w:rFonts w:cs="Arial"/>
          <w:szCs w:val="20"/>
        </w:rPr>
        <w:t xml:space="preserve">. Podrobneje so zahteve za zagotovitev ustreznega čiščenja komunalne odpadne vode predstavljene v </w:t>
      </w:r>
      <w:r w:rsidR="00D6798F" w:rsidRPr="00B148B1">
        <w:rPr>
          <w:rFonts w:cs="Arial"/>
          <w:szCs w:val="20"/>
        </w:rPr>
        <w:t>pod</w:t>
      </w:r>
      <w:r w:rsidR="00C90722" w:rsidRPr="00B148B1">
        <w:rPr>
          <w:rFonts w:cs="Arial"/>
          <w:szCs w:val="20"/>
        </w:rPr>
        <w:t xml:space="preserve">poglavju </w:t>
      </w:r>
      <w:r w:rsidR="00C90722" w:rsidRPr="00B148B1">
        <w:rPr>
          <w:rFonts w:cs="Arial"/>
          <w:szCs w:val="20"/>
        </w:rPr>
        <w:fldChar w:fldCharType="begin"/>
      </w:r>
      <w:r w:rsidR="00C90722" w:rsidRPr="00B148B1">
        <w:rPr>
          <w:rFonts w:cs="Arial"/>
          <w:szCs w:val="20"/>
        </w:rPr>
        <w:instrText xml:space="preserve"> REF _Ref43188752 \r \h </w:instrText>
      </w:r>
      <w:r w:rsidR="00B148B1" w:rsidRPr="00B148B1">
        <w:rPr>
          <w:rFonts w:cs="Arial"/>
          <w:szCs w:val="20"/>
        </w:rPr>
        <w:instrText xml:space="preserve"> \* MERGEFORMAT </w:instrText>
      </w:r>
      <w:r w:rsidR="00C90722" w:rsidRPr="00B148B1">
        <w:rPr>
          <w:rFonts w:cs="Arial"/>
          <w:szCs w:val="20"/>
        </w:rPr>
      </w:r>
      <w:r w:rsidR="00C90722" w:rsidRPr="00B148B1">
        <w:rPr>
          <w:rFonts w:cs="Arial"/>
          <w:szCs w:val="20"/>
        </w:rPr>
        <w:fldChar w:fldCharType="separate"/>
      </w:r>
      <w:r w:rsidR="00E92793">
        <w:rPr>
          <w:rFonts w:cs="Arial"/>
          <w:szCs w:val="20"/>
        </w:rPr>
        <w:t>4.5.2</w:t>
      </w:r>
      <w:r w:rsidR="00C90722" w:rsidRPr="00B148B1">
        <w:rPr>
          <w:rFonts w:cs="Arial"/>
          <w:szCs w:val="20"/>
        </w:rPr>
        <w:fldChar w:fldCharType="end"/>
      </w:r>
      <w:r w:rsidR="00C90722" w:rsidRPr="00B148B1">
        <w:rPr>
          <w:rFonts w:cs="Arial"/>
          <w:szCs w:val="20"/>
        </w:rPr>
        <w:t>.</w:t>
      </w:r>
    </w:p>
    <w:p w:rsidR="000E0113" w:rsidRPr="00B148B1" w:rsidRDefault="000E0113" w:rsidP="000B3734">
      <w:pPr>
        <w:tabs>
          <w:tab w:val="left" w:pos="9600"/>
        </w:tabs>
        <w:spacing w:before="120" w:line="280" w:lineRule="atLeast"/>
      </w:pPr>
      <w:bookmarkStart w:id="147" w:name="_Ref43188514"/>
      <w:bookmarkStart w:id="148" w:name="_Ref43188506"/>
    </w:p>
    <w:p w:rsidR="000B3734" w:rsidRPr="00B148B1" w:rsidRDefault="000B3734" w:rsidP="000B3734">
      <w:pPr>
        <w:tabs>
          <w:tab w:val="left" w:pos="9600"/>
        </w:tabs>
        <w:spacing w:before="120" w:line="280" w:lineRule="atLeast"/>
        <w:rPr>
          <w:rFonts w:cs="Arial"/>
          <w:szCs w:val="20"/>
        </w:rPr>
      </w:pPr>
      <w:bookmarkStart w:id="149" w:name="_Ref49859917"/>
      <w:bookmarkStart w:id="150" w:name="_Toc50626734"/>
      <w:r w:rsidRPr="00B148B1">
        <w:lastRenderedPageBreak/>
        <w:t xml:space="preserve">Preglednica </w:t>
      </w:r>
      <w:r w:rsidR="003340A3">
        <w:fldChar w:fldCharType="begin"/>
      </w:r>
      <w:r w:rsidR="003340A3">
        <w:instrText xml:space="preserve"> SEQ Preglednica \* ARABIC </w:instrText>
      </w:r>
      <w:r w:rsidR="003340A3">
        <w:fldChar w:fldCharType="separate"/>
      </w:r>
      <w:r w:rsidR="00E92793">
        <w:rPr>
          <w:noProof/>
        </w:rPr>
        <w:t>18</w:t>
      </w:r>
      <w:r w:rsidR="003340A3">
        <w:rPr>
          <w:noProof/>
        </w:rPr>
        <w:fldChar w:fldCharType="end"/>
      </w:r>
      <w:bookmarkEnd w:id="147"/>
      <w:bookmarkEnd w:id="149"/>
      <w:r w:rsidRPr="00B148B1">
        <w:t xml:space="preserve">: </w:t>
      </w:r>
      <w:r w:rsidRPr="00B148B1">
        <w:rPr>
          <w:rFonts w:cs="Arial"/>
          <w:szCs w:val="20"/>
        </w:rPr>
        <w:t>Ocenjeni investicijski stroški za nadgradnjo čistilnih naprav</w:t>
      </w:r>
      <w:bookmarkEnd w:id="148"/>
      <w:bookmarkEnd w:id="150"/>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7354"/>
        <w:gridCol w:w="1850"/>
      </w:tblGrid>
      <w:tr w:rsidR="005E6E7F" w:rsidRPr="00B148B1" w:rsidTr="00B803AE">
        <w:trPr>
          <w:trHeight w:val="300"/>
          <w:jc w:val="center"/>
        </w:trPr>
        <w:tc>
          <w:tcPr>
            <w:tcW w:w="5000" w:type="pct"/>
            <w:gridSpan w:val="2"/>
            <w:shd w:val="clear" w:color="auto" w:fill="auto"/>
            <w:noWrap/>
            <w:vAlign w:val="center"/>
          </w:tcPr>
          <w:p w:rsidR="005E6E7F" w:rsidRPr="00B148B1" w:rsidRDefault="005E6E7F" w:rsidP="00C857DD">
            <w:pPr>
              <w:spacing w:line="240" w:lineRule="auto"/>
              <w:jc w:val="center"/>
              <w:rPr>
                <w:rFonts w:cs="Arial"/>
                <w:b/>
                <w:bCs/>
                <w:color w:val="000000"/>
                <w:sz w:val="18"/>
                <w:szCs w:val="18"/>
                <w:lang w:eastAsia="sl-SI"/>
              </w:rPr>
            </w:pPr>
            <w:r w:rsidRPr="00B148B1">
              <w:rPr>
                <w:rFonts w:cs="Arial"/>
                <w:b/>
                <w:bCs/>
                <w:color w:val="000000"/>
                <w:sz w:val="18"/>
                <w:szCs w:val="18"/>
                <w:lang w:eastAsia="sl-SI"/>
              </w:rPr>
              <w:t>Ocenjeni stroški nadgradnje ČN</w:t>
            </w:r>
          </w:p>
        </w:tc>
      </w:tr>
      <w:tr w:rsidR="005E6E7F" w:rsidRPr="00B148B1" w:rsidTr="00B803AE">
        <w:trPr>
          <w:trHeight w:val="300"/>
          <w:jc w:val="center"/>
        </w:trPr>
        <w:tc>
          <w:tcPr>
            <w:tcW w:w="3995" w:type="pct"/>
            <w:vMerge w:val="restart"/>
            <w:shd w:val="clear" w:color="auto" w:fill="auto"/>
            <w:noWrap/>
            <w:vAlign w:val="center"/>
            <w:hideMark/>
          </w:tcPr>
          <w:p w:rsidR="005E6E7F" w:rsidRPr="00B148B1" w:rsidRDefault="005E6E7F">
            <w:pPr>
              <w:spacing w:line="240" w:lineRule="auto"/>
              <w:jc w:val="center"/>
              <w:rPr>
                <w:rFonts w:cs="Arial"/>
                <w:b/>
                <w:bCs/>
                <w:color w:val="000000"/>
                <w:sz w:val="18"/>
                <w:szCs w:val="18"/>
                <w:lang w:eastAsia="sl-SI"/>
              </w:rPr>
            </w:pPr>
            <w:r w:rsidRPr="00B148B1">
              <w:rPr>
                <w:rFonts w:cs="Arial"/>
                <w:b/>
                <w:bCs/>
                <w:color w:val="000000"/>
                <w:sz w:val="18"/>
                <w:szCs w:val="18"/>
                <w:lang w:eastAsia="sl-SI"/>
              </w:rPr>
              <w:t>Nadgradnje ČN glede na zahteve</w:t>
            </w:r>
          </w:p>
        </w:tc>
        <w:tc>
          <w:tcPr>
            <w:tcW w:w="1005" w:type="pct"/>
            <w:vMerge w:val="restart"/>
            <w:shd w:val="clear" w:color="auto" w:fill="auto"/>
            <w:vAlign w:val="center"/>
            <w:hideMark/>
          </w:tcPr>
          <w:p w:rsidR="005E6E7F" w:rsidRPr="00B148B1" w:rsidRDefault="005E6E7F" w:rsidP="00C857DD">
            <w:pPr>
              <w:spacing w:line="240" w:lineRule="auto"/>
              <w:jc w:val="center"/>
              <w:rPr>
                <w:rFonts w:cs="Arial"/>
                <w:b/>
                <w:bCs/>
                <w:color w:val="000000"/>
                <w:sz w:val="18"/>
                <w:szCs w:val="18"/>
                <w:lang w:eastAsia="sl-SI"/>
              </w:rPr>
            </w:pPr>
            <w:r w:rsidRPr="00B148B1">
              <w:rPr>
                <w:rFonts w:cs="Arial"/>
                <w:b/>
                <w:bCs/>
                <w:color w:val="000000"/>
                <w:sz w:val="18"/>
                <w:szCs w:val="18"/>
                <w:lang w:eastAsia="sl-SI"/>
              </w:rPr>
              <w:t xml:space="preserve">SKUPAJ </w:t>
            </w:r>
          </w:p>
          <w:p w:rsidR="005E6E7F" w:rsidRPr="00B148B1" w:rsidRDefault="005E6E7F" w:rsidP="00C857DD">
            <w:pPr>
              <w:spacing w:line="240" w:lineRule="auto"/>
              <w:jc w:val="center"/>
              <w:rPr>
                <w:rFonts w:cs="Arial"/>
                <w:b/>
                <w:bCs/>
                <w:color w:val="000000"/>
                <w:sz w:val="18"/>
                <w:szCs w:val="18"/>
                <w:lang w:eastAsia="sl-SI"/>
              </w:rPr>
            </w:pPr>
            <w:r w:rsidRPr="00B148B1">
              <w:rPr>
                <w:rFonts w:cs="Arial"/>
                <w:b/>
                <w:bCs/>
                <w:color w:val="000000"/>
                <w:sz w:val="18"/>
                <w:szCs w:val="18"/>
                <w:lang w:eastAsia="sl-SI"/>
              </w:rPr>
              <w:t>[mio EUR]</w:t>
            </w:r>
          </w:p>
        </w:tc>
      </w:tr>
      <w:tr w:rsidR="00542DAC" w:rsidRPr="00B148B1" w:rsidTr="00B803AE">
        <w:trPr>
          <w:trHeight w:val="315"/>
          <w:jc w:val="center"/>
        </w:trPr>
        <w:tc>
          <w:tcPr>
            <w:tcW w:w="3995" w:type="pct"/>
            <w:vMerge/>
            <w:vAlign w:val="center"/>
            <w:hideMark/>
          </w:tcPr>
          <w:p w:rsidR="00542DAC" w:rsidRPr="00B148B1" w:rsidRDefault="00542DAC" w:rsidP="00803F9D">
            <w:pPr>
              <w:spacing w:line="240" w:lineRule="auto"/>
              <w:jc w:val="right"/>
              <w:rPr>
                <w:rFonts w:cs="Arial"/>
                <w:b/>
                <w:bCs/>
                <w:color w:val="000000"/>
                <w:sz w:val="18"/>
                <w:szCs w:val="18"/>
                <w:lang w:eastAsia="sl-SI"/>
              </w:rPr>
            </w:pPr>
          </w:p>
        </w:tc>
        <w:tc>
          <w:tcPr>
            <w:tcW w:w="1005" w:type="pct"/>
            <w:vMerge/>
            <w:vAlign w:val="center"/>
            <w:hideMark/>
          </w:tcPr>
          <w:p w:rsidR="00542DAC" w:rsidRPr="00B148B1" w:rsidRDefault="00542DAC" w:rsidP="00C857DD">
            <w:pPr>
              <w:spacing w:line="240" w:lineRule="auto"/>
              <w:jc w:val="left"/>
              <w:rPr>
                <w:rFonts w:cs="Arial"/>
                <w:b/>
                <w:bCs/>
                <w:color w:val="000000"/>
                <w:sz w:val="18"/>
                <w:szCs w:val="18"/>
                <w:lang w:eastAsia="sl-SI"/>
              </w:rPr>
            </w:pPr>
          </w:p>
        </w:tc>
      </w:tr>
      <w:tr w:rsidR="00542DAC" w:rsidRPr="00B148B1" w:rsidTr="00B803AE">
        <w:trPr>
          <w:trHeight w:val="510"/>
          <w:jc w:val="center"/>
        </w:trPr>
        <w:tc>
          <w:tcPr>
            <w:tcW w:w="3995" w:type="pct"/>
            <w:shd w:val="clear" w:color="auto" w:fill="auto"/>
            <w:vAlign w:val="center"/>
            <w:hideMark/>
          </w:tcPr>
          <w:p w:rsidR="00542DAC" w:rsidRPr="00B148B1" w:rsidRDefault="00542DAC">
            <w:pPr>
              <w:spacing w:line="240" w:lineRule="auto"/>
              <w:jc w:val="left"/>
              <w:rPr>
                <w:rFonts w:cs="Arial"/>
                <w:color w:val="000000"/>
                <w:sz w:val="18"/>
                <w:szCs w:val="18"/>
                <w:lang w:eastAsia="sl-SI"/>
              </w:rPr>
            </w:pPr>
            <w:r w:rsidRPr="00B148B1">
              <w:rPr>
                <w:rFonts w:cs="Arial"/>
                <w:color w:val="000000"/>
                <w:sz w:val="18"/>
                <w:szCs w:val="18"/>
                <w:lang w:eastAsia="sl-SI"/>
              </w:rPr>
              <w:t>Nadgradnja iz sekundarne v terciarno stopnjo čiščenja z iztokom v vodo na občutljivih območjih</w:t>
            </w:r>
          </w:p>
        </w:tc>
        <w:tc>
          <w:tcPr>
            <w:tcW w:w="1005" w:type="pct"/>
            <w:shd w:val="clear" w:color="auto" w:fill="auto"/>
            <w:vAlign w:val="center"/>
            <w:hideMark/>
          </w:tcPr>
          <w:p w:rsidR="00542DAC" w:rsidRPr="00B148B1" w:rsidRDefault="00542DAC" w:rsidP="00C857DD">
            <w:pPr>
              <w:spacing w:line="240" w:lineRule="auto"/>
              <w:jc w:val="center"/>
              <w:rPr>
                <w:rFonts w:cs="Arial"/>
                <w:b/>
                <w:bCs/>
                <w:color w:val="000000"/>
                <w:sz w:val="18"/>
                <w:szCs w:val="18"/>
                <w:lang w:eastAsia="sl-SI"/>
              </w:rPr>
            </w:pPr>
            <w:r w:rsidRPr="00B148B1">
              <w:rPr>
                <w:rFonts w:cs="Arial"/>
                <w:b/>
                <w:bCs/>
                <w:color w:val="000000"/>
                <w:sz w:val="18"/>
                <w:szCs w:val="18"/>
                <w:lang w:eastAsia="sl-SI"/>
              </w:rPr>
              <w:t>6,6</w:t>
            </w:r>
          </w:p>
        </w:tc>
      </w:tr>
      <w:tr w:rsidR="00542DAC" w:rsidRPr="00B148B1" w:rsidTr="00B803AE">
        <w:trPr>
          <w:trHeight w:val="510"/>
          <w:jc w:val="center"/>
        </w:trPr>
        <w:tc>
          <w:tcPr>
            <w:tcW w:w="3995" w:type="pct"/>
            <w:shd w:val="clear" w:color="auto" w:fill="auto"/>
            <w:vAlign w:val="center"/>
            <w:hideMark/>
          </w:tcPr>
          <w:p w:rsidR="00542DAC" w:rsidRPr="00B148B1" w:rsidRDefault="00542DAC">
            <w:pPr>
              <w:spacing w:line="240" w:lineRule="auto"/>
              <w:jc w:val="left"/>
              <w:rPr>
                <w:rFonts w:cs="Arial"/>
                <w:color w:val="000000"/>
                <w:sz w:val="18"/>
                <w:szCs w:val="18"/>
                <w:lang w:eastAsia="sl-SI"/>
              </w:rPr>
            </w:pPr>
            <w:r w:rsidRPr="00B148B1">
              <w:rPr>
                <w:rFonts w:cs="Arial"/>
                <w:color w:val="000000"/>
                <w:sz w:val="18"/>
                <w:szCs w:val="18"/>
                <w:lang w:eastAsia="sl-SI"/>
              </w:rPr>
              <w:t>Nadgradnja iz sekundarne v terciarno stopnjo čiščenja z iztokom v vodo na vodnem območju Donave, ki ni občutljivo območje</w:t>
            </w:r>
          </w:p>
        </w:tc>
        <w:tc>
          <w:tcPr>
            <w:tcW w:w="1005" w:type="pct"/>
            <w:shd w:val="clear" w:color="auto" w:fill="auto"/>
            <w:vAlign w:val="center"/>
            <w:hideMark/>
          </w:tcPr>
          <w:p w:rsidR="00542DAC" w:rsidRPr="00B148B1" w:rsidRDefault="00542DAC" w:rsidP="00C857DD">
            <w:pPr>
              <w:spacing w:line="240" w:lineRule="auto"/>
              <w:jc w:val="center"/>
              <w:rPr>
                <w:rFonts w:cs="Arial"/>
                <w:b/>
                <w:bCs/>
                <w:color w:val="000000"/>
                <w:sz w:val="18"/>
                <w:szCs w:val="18"/>
                <w:lang w:eastAsia="sl-SI"/>
              </w:rPr>
            </w:pPr>
            <w:r w:rsidRPr="00B148B1">
              <w:rPr>
                <w:rFonts w:cs="Arial"/>
                <w:b/>
                <w:bCs/>
                <w:color w:val="000000"/>
                <w:sz w:val="18"/>
                <w:szCs w:val="18"/>
                <w:lang w:eastAsia="sl-SI"/>
              </w:rPr>
              <w:t>2,6</w:t>
            </w:r>
          </w:p>
        </w:tc>
      </w:tr>
      <w:tr w:rsidR="006576C4" w:rsidRPr="00B148B1" w:rsidTr="00B803AE">
        <w:trPr>
          <w:trHeight w:val="510"/>
          <w:jc w:val="center"/>
        </w:trPr>
        <w:tc>
          <w:tcPr>
            <w:tcW w:w="3995" w:type="pct"/>
            <w:shd w:val="clear" w:color="auto" w:fill="auto"/>
            <w:vAlign w:val="center"/>
          </w:tcPr>
          <w:p w:rsidR="006576C4" w:rsidRPr="00B148B1" w:rsidRDefault="006576C4" w:rsidP="006576C4">
            <w:pPr>
              <w:jc w:val="left"/>
              <w:rPr>
                <w:rFonts w:cs="Arial"/>
                <w:sz w:val="18"/>
                <w:szCs w:val="18"/>
              </w:rPr>
            </w:pPr>
            <w:r w:rsidRPr="00B148B1">
              <w:rPr>
                <w:rFonts w:cs="Arial"/>
                <w:sz w:val="18"/>
                <w:szCs w:val="18"/>
              </w:rPr>
              <w:t>Dodatna obdelava na vplivnem območju kopalnih voda</w:t>
            </w:r>
          </w:p>
          <w:p w:rsidR="006576C4" w:rsidRPr="00B148B1" w:rsidRDefault="006576C4">
            <w:pPr>
              <w:jc w:val="left"/>
              <w:rPr>
                <w:rFonts w:cs="Arial"/>
                <w:sz w:val="18"/>
                <w:szCs w:val="18"/>
              </w:rPr>
            </w:pPr>
          </w:p>
        </w:tc>
        <w:tc>
          <w:tcPr>
            <w:tcW w:w="1005" w:type="pct"/>
            <w:shd w:val="clear" w:color="auto" w:fill="auto"/>
            <w:vAlign w:val="center"/>
          </w:tcPr>
          <w:p w:rsidR="006576C4" w:rsidRPr="00B148B1" w:rsidRDefault="006576C4">
            <w:pPr>
              <w:spacing w:line="240" w:lineRule="auto"/>
              <w:jc w:val="center"/>
              <w:rPr>
                <w:rFonts w:cs="Arial"/>
                <w:b/>
                <w:bCs/>
                <w:color w:val="000000"/>
                <w:sz w:val="18"/>
                <w:szCs w:val="18"/>
                <w:lang w:eastAsia="sl-SI"/>
              </w:rPr>
            </w:pPr>
            <w:r w:rsidRPr="00B148B1">
              <w:rPr>
                <w:rFonts w:cs="Arial"/>
                <w:b/>
                <w:bCs/>
                <w:color w:val="000000"/>
                <w:sz w:val="18"/>
                <w:szCs w:val="18"/>
                <w:lang w:eastAsia="sl-SI"/>
              </w:rPr>
              <w:t>0,3</w:t>
            </w:r>
          </w:p>
        </w:tc>
      </w:tr>
      <w:tr w:rsidR="006576C4" w:rsidRPr="00B148B1" w:rsidTr="00B803AE">
        <w:trPr>
          <w:trHeight w:val="510"/>
          <w:jc w:val="center"/>
        </w:trPr>
        <w:tc>
          <w:tcPr>
            <w:tcW w:w="3995" w:type="pct"/>
            <w:shd w:val="clear" w:color="auto" w:fill="auto"/>
            <w:vAlign w:val="center"/>
          </w:tcPr>
          <w:p w:rsidR="006576C4" w:rsidRPr="00B148B1" w:rsidRDefault="006576C4" w:rsidP="00D968E0">
            <w:pPr>
              <w:jc w:val="left"/>
              <w:rPr>
                <w:rFonts w:cs="Arial"/>
                <w:sz w:val="18"/>
                <w:szCs w:val="18"/>
              </w:rPr>
            </w:pPr>
            <w:r w:rsidRPr="00B148B1">
              <w:rPr>
                <w:rFonts w:cs="Arial"/>
                <w:sz w:val="18"/>
                <w:szCs w:val="18"/>
              </w:rPr>
              <w:t xml:space="preserve">Dodatna obdelava na območju </w:t>
            </w:r>
            <w:proofErr w:type="spellStart"/>
            <w:r w:rsidRPr="00B148B1">
              <w:rPr>
                <w:rFonts w:cs="Arial"/>
                <w:sz w:val="18"/>
                <w:szCs w:val="18"/>
              </w:rPr>
              <w:t>razpoklinskih</w:t>
            </w:r>
            <w:proofErr w:type="spellEnd"/>
            <w:r w:rsidRPr="00B148B1">
              <w:rPr>
                <w:rFonts w:cs="Arial"/>
                <w:sz w:val="18"/>
                <w:szCs w:val="18"/>
              </w:rPr>
              <w:t xml:space="preserve"> vodonosnikov, vključno s kraškimi</w:t>
            </w:r>
          </w:p>
          <w:p w:rsidR="006576C4" w:rsidRPr="00B148B1" w:rsidRDefault="006576C4" w:rsidP="006576C4">
            <w:pPr>
              <w:jc w:val="left"/>
              <w:rPr>
                <w:rFonts w:cs="Arial"/>
                <w:sz w:val="18"/>
                <w:szCs w:val="18"/>
              </w:rPr>
            </w:pPr>
          </w:p>
        </w:tc>
        <w:tc>
          <w:tcPr>
            <w:tcW w:w="1005" w:type="pct"/>
            <w:shd w:val="clear" w:color="auto" w:fill="auto"/>
            <w:vAlign w:val="center"/>
          </w:tcPr>
          <w:p w:rsidR="006576C4" w:rsidRPr="00B148B1" w:rsidRDefault="006576C4">
            <w:pPr>
              <w:spacing w:line="240" w:lineRule="auto"/>
              <w:jc w:val="center"/>
              <w:rPr>
                <w:rFonts w:cs="Arial"/>
                <w:b/>
                <w:bCs/>
                <w:color w:val="000000"/>
                <w:sz w:val="18"/>
                <w:szCs w:val="18"/>
                <w:lang w:eastAsia="sl-SI"/>
              </w:rPr>
            </w:pPr>
            <w:r w:rsidRPr="00B148B1">
              <w:rPr>
                <w:rFonts w:cs="Arial"/>
                <w:b/>
                <w:bCs/>
                <w:color w:val="000000"/>
                <w:sz w:val="18"/>
                <w:szCs w:val="18"/>
                <w:lang w:eastAsia="sl-SI"/>
              </w:rPr>
              <w:t>38,4</w:t>
            </w:r>
          </w:p>
        </w:tc>
      </w:tr>
      <w:tr w:rsidR="006576C4" w:rsidRPr="00B148B1" w:rsidTr="00B803AE">
        <w:trPr>
          <w:trHeight w:val="315"/>
          <w:jc w:val="center"/>
        </w:trPr>
        <w:tc>
          <w:tcPr>
            <w:tcW w:w="3995" w:type="pct"/>
            <w:shd w:val="clear" w:color="auto" w:fill="FFFFFF" w:themeFill="background1"/>
            <w:vAlign w:val="center"/>
            <w:hideMark/>
          </w:tcPr>
          <w:p w:rsidR="006576C4" w:rsidRPr="00B148B1" w:rsidRDefault="006576C4">
            <w:pPr>
              <w:spacing w:line="240" w:lineRule="auto"/>
              <w:jc w:val="center"/>
              <w:rPr>
                <w:rFonts w:cs="Arial"/>
                <w:b/>
                <w:bCs/>
                <w:color w:val="000000"/>
                <w:sz w:val="18"/>
                <w:szCs w:val="18"/>
                <w:lang w:eastAsia="sl-SI"/>
              </w:rPr>
            </w:pPr>
            <w:r w:rsidRPr="00B148B1">
              <w:rPr>
                <w:rFonts w:cs="Arial"/>
                <w:b/>
                <w:bCs/>
                <w:color w:val="000000"/>
                <w:sz w:val="18"/>
                <w:szCs w:val="18"/>
                <w:lang w:eastAsia="sl-SI"/>
              </w:rPr>
              <w:t>SKUPAJ</w:t>
            </w:r>
          </w:p>
        </w:tc>
        <w:tc>
          <w:tcPr>
            <w:tcW w:w="1005" w:type="pct"/>
            <w:shd w:val="clear" w:color="auto" w:fill="FFFFFF" w:themeFill="background1"/>
            <w:vAlign w:val="center"/>
            <w:hideMark/>
          </w:tcPr>
          <w:p w:rsidR="006576C4" w:rsidRPr="00B148B1" w:rsidRDefault="006576C4" w:rsidP="001048C8">
            <w:pPr>
              <w:spacing w:line="240" w:lineRule="auto"/>
              <w:jc w:val="center"/>
              <w:rPr>
                <w:rFonts w:cs="Arial"/>
                <w:b/>
                <w:bCs/>
                <w:color w:val="000000"/>
                <w:sz w:val="18"/>
                <w:szCs w:val="18"/>
                <w:lang w:eastAsia="sl-SI"/>
              </w:rPr>
            </w:pPr>
            <w:r w:rsidRPr="00B148B1">
              <w:rPr>
                <w:rFonts w:cs="Arial"/>
                <w:b/>
                <w:bCs/>
                <w:color w:val="000000"/>
                <w:sz w:val="18"/>
                <w:szCs w:val="18"/>
                <w:lang w:eastAsia="sl-SI"/>
              </w:rPr>
              <w:t>47,9</w:t>
            </w:r>
          </w:p>
        </w:tc>
      </w:tr>
    </w:tbl>
    <w:p w:rsidR="00B27859" w:rsidRPr="00B148B1" w:rsidRDefault="00B27859" w:rsidP="00B27859">
      <w:pPr>
        <w:tabs>
          <w:tab w:val="left" w:pos="9600"/>
        </w:tabs>
        <w:spacing w:before="120" w:line="280" w:lineRule="atLeast"/>
        <w:rPr>
          <w:rFonts w:cs="Arial"/>
          <w:szCs w:val="20"/>
        </w:rPr>
      </w:pPr>
      <w:r w:rsidRPr="00B148B1">
        <w:rPr>
          <w:rFonts w:cs="Arial"/>
          <w:szCs w:val="20"/>
        </w:rPr>
        <w:t xml:space="preserve">Ocenjena vrednost ukrepov po posameznih aglomeracijah, ločeno za stroške investicij v javno kanalizacijsko omrežje in investicij v čistilno napravo, je prikazana v prilogi (PRILOGA </w:t>
      </w:r>
      <w:r w:rsidR="008514D6" w:rsidRPr="00B148B1">
        <w:rPr>
          <w:rFonts w:cs="Arial"/>
          <w:szCs w:val="20"/>
        </w:rPr>
        <w:t>15</w:t>
      </w:r>
      <w:r w:rsidRPr="00B148B1">
        <w:rPr>
          <w:rFonts w:cs="Arial"/>
          <w:szCs w:val="20"/>
        </w:rPr>
        <w:t>), ki je sestavni del tega operativnega programa.</w:t>
      </w:r>
    </w:p>
    <w:p w:rsidR="000B3734" w:rsidRPr="00B148B1" w:rsidRDefault="000B3734" w:rsidP="00B27859">
      <w:pPr>
        <w:tabs>
          <w:tab w:val="left" w:pos="9600"/>
        </w:tabs>
        <w:spacing w:before="120" w:line="280" w:lineRule="atLeast"/>
        <w:rPr>
          <w:rFonts w:cs="Arial"/>
          <w:szCs w:val="20"/>
        </w:rPr>
      </w:pPr>
      <w:r w:rsidRPr="00B148B1">
        <w:rPr>
          <w:rFonts w:cs="Arial"/>
          <w:szCs w:val="20"/>
        </w:rPr>
        <w:t>Ocenjena vrednost stroškov nadgradnje čistilnih naprav po posameznih občinah je prikazana v prilogi</w:t>
      </w:r>
      <w:r w:rsidR="00FD0C16" w:rsidRPr="00B148B1">
        <w:rPr>
          <w:rFonts w:cs="Arial"/>
          <w:szCs w:val="20"/>
        </w:rPr>
        <w:t xml:space="preserve"> </w:t>
      </w:r>
      <w:r w:rsidR="00913ABD" w:rsidRPr="00B148B1">
        <w:rPr>
          <w:rFonts w:cs="Arial"/>
          <w:szCs w:val="20"/>
        </w:rPr>
        <w:t>(PRILOGA 14)</w:t>
      </w:r>
      <w:r w:rsidR="00506225" w:rsidRPr="00B148B1">
        <w:rPr>
          <w:rFonts w:cs="Arial"/>
          <w:szCs w:val="20"/>
        </w:rPr>
        <w:t>.</w:t>
      </w:r>
    </w:p>
    <w:p w:rsidR="00B27859" w:rsidRPr="00B148B1" w:rsidRDefault="00B27859" w:rsidP="00803F9D">
      <w:pPr>
        <w:pStyle w:val="Naslov3"/>
        <w:tabs>
          <w:tab w:val="clear" w:pos="646"/>
          <w:tab w:val="num" w:pos="709"/>
        </w:tabs>
        <w:ind w:left="709" w:hanging="709"/>
      </w:pPr>
      <w:bookmarkStart w:id="151" w:name="_Toc50628100"/>
      <w:r w:rsidRPr="00B148B1">
        <w:t xml:space="preserve">Ocena investicijskih stroškov ukrepov za opremljanje objektov na območju </w:t>
      </w:r>
      <w:r w:rsidR="008C6D60" w:rsidRPr="00B148B1">
        <w:t xml:space="preserve">zunaj </w:t>
      </w:r>
      <w:r w:rsidRPr="00B148B1">
        <w:t>meja aglomeracij</w:t>
      </w:r>
      <w:bookmarkEnd w:id="151"/>
    </w:p>
    <w:p w:rsidR="00B27859" w:rsidRPr="00B148B1" w:rsidRDefault="00B27859" w:rsidP="00B27859">
      <w:pPr>
        <w:tabs>
          <w:tab w:val="left" w:pos="9600"/>
        </w:tabs>
        <w:spacing w:before="120" w:line="280" w:lineRule="atLeast"/>
        <w:rPr>
          <w:rFonts w:cs="Arial"/>
          <w:szCs w:val="20"/>
        </w:rPr>
      </w:pPr>
      <w:r w:rsidRPr="00B148B1">
        <w:rPr>
          <w:rFonts w:cs="Arial"/>
          <w:szCs w:val="20"/>
        </w:rPr>
        <w:t xml:space="preserve">Ocenjena vrednost ukrepov iz tega operativnega programa, ki se nanašajo na opremljanje oziroma zagotovitev ustreznega načina odvajanja in čiščenja komunalnih odpadnih voda na območjih </w:t>
      </w:r>
      <w:r w:rsidR="008C6D60" w:rsidRPr="00B148B1">
        <w:rPr>
          <w:rFonts w:cs="Arial"/>
          <w:szCs w:val="20"/>
        </w:rPr>
        <w:t xml:space="preserve">zunaj </w:t>
      </w:r>
      <w:r w:rsidRPr="00B148B1">
        <w:rPr>
          <w:rFonts w:cs="Arial"/>
          <w:szCs w:val="20"/>
        </w:rPr>
        <w:t>meja aglomeracij, znaša 2</w:t>
      </w:r>
      <w:r w:rsidR="00174757" w:rsidRPr="00B148B1">
        <w:rPr>
          <w:rFonts w:cs="Arial"/>
          <w:szCs w:val="20"/>
        </w:rPr>
        <w:t>16</w:t>
      </w:r>
      <w:r w:rsidRPr="00B148B1">
        <w:rPr>
          <w:rFonts w:cs="Arial"/>
          <w:szCs w:val="20"/>
        </w:rPr>
        <w:t>,9 milijona e</w:t>
      </w:r>
      <w:r w:rsidR="00EC0B4B" w:rsidRPr="00B148B1">
        <w:rPr>
          <w:rFonts w:cs="Arial"/>
          <w:szCs w:val="20"/>
        </w:rPr>
        <w:t>v</w:t>
      </w:r>
      <w:r w:rsidRPr="00B148B1">
        <w:rPr>
          <w:rFonts w:cs="Arial"/>
          <w:szCs w:val="20"/>
        </w:rPr>
        <w:t xml:space="preserve">rov. Pri oceni stroškov je bila poleg izhodišč, ki so podrobneje predstavljena v poglavju </w:t>
      </w:r>
      <w:r w:rsidRPr="00B148B1">
        <w:rPr>
          <w:rFonts w:cs="Arial"/>
          <w:szCs w:val="20"/>
        </w:rPr>
        <w:fldChar w:fldCharType="begin"/>
      </w:r>
      <w:r w:rsidRPr="00B148B1">
        <w:rPr>
          <w:rFonts w:cs="Arial"/>
          <w:szCs w:val="20"/>
        </w:rPr>
        <w:instrText xml:space="preserve"> REF _Ref530406745 \r \h </w:instrText>
      </w:r>
      <w:r w:rsidR="00A14D95" w:rsidRPr="00B148B1">
        <w:rPr>
          <w:rFonts w:cs="Arial"/>
          <w:szCs w:val="20"/>
        </w:rPr>
        <w:instrText xml:space="preserve"> \* MERGEFORMAT </w:instrText>
      </w:r>
      <w:r w:rsidRPr="00B148B1">
        <w:rPr>
          <w:rFonts w:cs="Arial"/>
          <w:szCs w:val="20"/>
        </w:rPr>
      </w:r>
      <w:r w:rsidRPr="00B148B1">
        <w:rPr>
          <w:rFonts w:cs="Arial"/>
          <w:szCs w:val="20"/>
        </w:rPr>
        <w:fldChar w:fldCharType="separate"/>
      </w:r>
      <w:r w:rsidR="00E92793">
        <w:rPr>
          <w:rFonts w:cs="Arial"/>
          <w:szCs w:val="20"/>
        </w:rPr>
        <w:t>5.1</w:t>
      </w:r>
      <w:r w:rsidRPr="00B148B1">
        <w:rPr>
          <w:rFonts w:cs="Arial"/>
          <w:szCs w:val="20"/>
        </w:rPr>
        <w:fldChar w:fldCharType="end"/>
      </w:r>
      <w:r w:rsidR="00EC0B4B" w:rsidRPr="00B148B1">
        <w:rPr>
          <w:rFonts w:cs="Arial"/>
          <w:szCs w:val="20"/>
        </w:rPr>
        <w:t>.</w:t>
      </w:r>
      <w:r w:rsidRPr="00B148B1">
        <w:rPr>
          <w:rFonts w:cs="Arial"/>
          <w:szCs w:val="20"/>
        </w:rPr>
        <w:t xml:space="preserve"> tega </w:t>
      </w:r>
      <w:r w:rsidR="00406C8F" w:rsidRPr="00B148B1">
        <w:rPr>
          <w:rFonts w:cs="Arial"/>
          <w:szCs w:val="20"/>
        </w:rPr>
        <w:t xml:space="preserve"> </w:t>
      </w:r>
      <w:r w:rsidRPr="00B148B1">
        <w:rPr>
          <w:rFonts w:cs="Arial"/>
          <w:szCs w:val="20"/>
        </w:rPr>
        <w:t xml:space="preserve">operativnega programa, upoštevana tudi ocena opremljenosti oziroma ocena stopnje priključenosti objektov na območju </w:t>
      </w:r>
      <w:r w:rsidR="008C6D60" w:rsidRPr="00B148B1">
        <w:rPr>
          <w:rFonts w:cs="Arial"/>
          <w:szCs w:val="20"/>
        </w:rPr>
        <w:t xml:space="preserve">zunaj </w:t>
      </w:r>
      <w:r w:rsidRPr="00B148B1">
        <w:rPr>
          <w:rFonts w:cs="Arial"/>
          <w:szCs w:val="20"/>
        </w:rPr>
        <w:t xml:space="preserve">meja aglomeracij, kot je podrobneje predstavljena v poglavju </w:t>
      </w:r>
      <w:r w:rsidRPr="00B148B1">
        <w:rPr>
          <w:rFonts w:cs="Arial"/>
          <w:szCs w:val="20"/>
        </w:rPr>
        <w:fldChar w:fldCharType="begin"/>
      </w:r>
      <w:r w:rsidRPr="00B148B1">
        <w:rPr>
          <w:rFonts w:cs="Arial"/>
          <w:szCs w:val="20"/>
        </w:rPr>
        <w:instrText xml:space="preserve"> REF _Ref530406798 \r \h </w:instrText>
      </w:r>
      <w:r w:rsidR="00A14D95" w:rsidRPr="00B148B1">
        <w:rPr>
          <w:rFonts w:cs="Arial"/>
          <w:szCs w:val="20"/>
        </w:rPr>
        <w:instrText xml:space="preserve"> \* MERGEFORMAT </w:instrText>
      </w:r>
      <w:r w:rsidRPr="00B148B1">
        <w:rPr>
          <w:rFonts w:cs="Arial"/>
          <w:szCs w:val="20"/>
        </w:rPr>
      </w:r>
      <w:r w:rsidRPr="00B148B1">
        <w:rPr>
          <w:rFonts w:cs="Arial"/>
          <w:szCs w:val="20"/>
        </w:rPr>
        <w:fldChar w:fldCharType="separate"/>
      </w:r>
      <w:r w:rsidR="00E92793">
        <w:rPr>
          <w:rFonts w:cs="Arial"/>
          <w:szCs w:val="20"/>
        </w:rPr>
        <w:t>4.3</w:t>
      </w:r>
      <w:r w:rsidRPr="00B148B1">
        <w:rPr>
          <w:rFonts w:cs="Arial"/>
          <w:szCs w:val="20"/>
        </w:rPr>
        <w:fldChar w:fldCharType="end"/>
      </w:r>
      <w:r w:rsidR="006366A3" w:rsidRPr="00B148B1">
        <w:rPr>
          <w:rFonts w:cs="Arial"/>
          <w:szCs w:val="20"/>
        </w:rPr>
        <w:t>.</w:t>
      </w:r>
      <w:r w:rsidRPr="00B148B1">
        <w:rPr>
          <w:rFonts w:cs="Arial"/>
          <w:szCs w:val="20"/>
        </w:rPr>
        <w:t xml:space="preserve"> tega </w:t>
      </w:r>
      <w:r w:rsidR="00406C8F" w:rsidRPr="00B148B1">
        <w:rPr>
          <w:rFonts w:cs="Arial"/>
          <w:szCs w:val="20"/>
        </w:rPr>
        <w:t xml:space="preserve"> </w:t>
      </w:r>
      <w:r w:rsidRPr="00B148B1">
        <w:rPr>
          <w:rFonts w:cs="Arial"/>
          <w:szCs w:val="20"/>
        </w:rPr>
        <w:t xml:space="preserve">operativnega programa. </w:t>
      </w:r>
    </w:p>
    <w:p w:rsidR="00B27859" w:rsidRPr="00B148B1" w:rsidRDefault="00B27859" w:rsidP="00C770E5">
      <w:pPr>
        <w:pStyle w:val="Naslov3"/>
      </w:pPr>
      <w:bookmarkStart w:id="152" w:name="_Toc50628101"/>
      <w:r w:rsidRPr="00B148B1">
        <w:t>Ocena investicijskih stroškov ukrepov po občinah</w:t>
      </w:r>
      <w:bookmarkEnd w:id="152"/>
    </w:p>
    <w:p w:rsidR="00B27859" w:rsidRPr="00B148B1" w:rsidRDefault="00B27859" w:rsidP="00B27859">
      <w:pPr>
        <w:tabs>
          <w:tab w:val="left" w:pos="9600"/>
        </w:tabs>
        <w:spacing w:before="120" w:line="280" w:lineRule="atLeast"/>
        <w:rPr>
          <w:rFonts w:cs="Arial"/>
          <w:szCs w:val="20"/>
        </w:rPr>
      </w:pPr>
      <w:r w:rsidRPr="00B148B1">
        <w:rPr>
          <w:rFonts w:cs="Arial"/>
          <w:szCs w:val="20"/>
        </w:rPr>
        <w:t xml:space="preserve">Ocenjena vrednost ukrepov iz tega operativnega programa po posameznih občinah, ločeno za stroške investicij v javno kanalizacijsko omrežje, stroške investicij v čistilno napravo in stroške investicij, ki so potrebne za izvedbo ukrepov na območju </w:t>
      </w:r>
      <w:r w:rsidR="008C6D60" w:rsidRPr="00B148B1">
        <w:rPr>
          <w:rFonts w:cs="Arial"/>
          <w:szCs w:val="20"/>
        </w:rPr>
        <w:t>zunaj</w:t>
      </w:r>
      <w:r w:rsidRPr="00B148B1">
        <w:rPr>
          <w:rFonts w:cs="Arial"/>
          <w:szCs w:val="20"/>
        </w:rPr>
        <w:t xml:space="preserve"> meja aglomeracij, je prikazana v prilogi (PRILOGA </w:t>
      </w:r>
      <w:r w:rsidR="001E6E04" w:rsidRPr="00B148B1">
        <w:rPr>
          <w:rFonts w:cs="Arial"/>
          <w:szCs w:val="20"/>
        </w:rPr>
        <w:t>14</w:t>
      </w:r>
      <w:r w:rsidRPr="00B148B1">
        <w:rPr>
          <w:rFonts w:cs="Arial"/>
          <w:szCs w:val="20"/>
        </w:rPr>
        <w:t xml:space="preserve">) tega operativnega programa. Če posamezna aglomeracija leži v več občinah, je pri izračunu kot celota upoštevana v tisti občini, v kateri leži njen pretežni del. </w:t>
      </w:r>
    </w:p>
    <w:p w:rsidR="00B27859" w:rsidRPr="00B148B1" w:rsidRDefault="00B27859" w:rsidP="00C770E5">
      <w:pPr>
        <w:pStyle w:val="Naslov3"/>
      </w:pPr>
      <w:bookmarkStart w:id="153" w:name="_Toc50628102"/>
      <w:r w:rsidRPr="00B148B1">
        <w:t>Ocena investicijskih stroškov ukrepov po stati</w:t>
      </w:r>
      <w:r w:rsidR="00203A61" w:rsidRPr="00B148B1">
        <w:t>sti</w:t>
      </w:r>
      <w:r w:rsidRPr="00B148B1">
        <w:t>čnih regijah</w:t>
      </w:r>
      <w:bookmarkEnd w:id="153"/>
    </w:p>
    <w:p w:rsidR="000E0113" w:rsidRDefault="00B27859" w:rsidP="00B27859">
      <w:pPr>
        <w:tabs>
          <w:tab w:val="left" w:pos="9600"/>
        </w:tabs>
        <w:spacing w:before="120" w:line="280" w:lineRule="atLeast"/>
        <w:rPr>
          <w:rFonts w:cs="Arial"/>
          <w:szCs w:val="20"/>
        </w:rPr>
      </w:pPr>
      <w:r w:rsidRPr="00B148B1">
        <w:rPr>
          <w:rFonts w:cs="Arial"/>
          <w:szCs w:val="20"/>
        </w:rPr>
        <w:t xml:space="preserve">Ocenjena vrednost ukrepov iz tega operativnega programa po posameznih statističnih regijah, ločeno za stroške investicij v javno kanalizacijsko omrežje, stroške investicij v čistilno napravo in stroške investicij, ki so potrebne za izvedbo ukrepov na območju </w:t>
      </w:r>
      <w:r w:rsidR="008C6D60" w:rsidRPr="00B148B1">
        <w:rPr>
          <w:rFonts w:cs="Arial"/>
          <w:szCs w:val="20"/>
        </w:rPr>
        <w:t xml:space="preserve">zunaj </w:t>
      </w:r>
      <w:r w:rsidRPr="00B148B1">
        <w:rPr>
          <w:rFonts w:cs="Arial"/>
          <w:szCs w:val="20"/>
        </w:rPr>
        <w:t>meja aglomeracij, je prikazana v preglednici (</w:t>
      </w:r>
      <w:r w:rsidR="00112EA4" w:rsidRPr="00B148B1">
        <w:rPr>
          <w:rFonts w:cs="Arial"/>
          <w:szCs w:val="20"/>
        </w:rPr>
        <w:fldChar w:fldCharType="begin"/>
      </w:r>
      <w:r w:rsidR="00112EA4" w:rsidRPr="00B148B1">
        <w:rPr>
          <w:rFonts w:cs="Arial"/>
          <w:szCs w:val="20"/>
        </w:rPr>
        <w:instrText xml:space="preserve"> REF _Ref528100059 \h </w:instrText>
      </w:r>
      <w:r w:rsidR="00B148B1" w:rsidRPr="00B148B1">
        <w:rPr>
          <w:rFonts w:cs="Arial"/>
          <w:szCs w:val="20"/>
        </w:rPr>
        <w:instrText xml:space="preserve"> \* MERGEFORMAT </w:instrText>
      </w:r>
      <w:r w:rsidR="00112EA4" w:rsidRPr="00B148B1">
        <w:rPr>
          <w:rFonts w:cs="Arial"/>
          <w:szCs w:val="20"/>
        </w:rPr>
      </w:r>
      <w:r w:rsidR="00112EA4" w:rsidRPr="00B148B1">
        <w:rPr>
          <w:rFonts w:cs="Arial"/>
          <w:szCs w:val="20"/>
        </w:rPr>
        <w:fldChar w:fldCharType="separate"/>
      </w:r>
      <w:r w:rsidR="00E92793" w:rsidRPr="00B148B1">
        <w:rPr>
          <w:rFonts w:cs="Arial"/>
          <w:szCs w:val="20"/>
        </w:rPr>
        <w:t xml:space="preserve">Preglednica </w:t>
      </w:r>
      <w:r w:rsidR="00E92793">
        <w:rPr>
          <w:rFonts w:cs="Arial"/>
          <w:noProof/>
          <w:szCs w:val="20"/>
        </w:rPr>
        <w:t>19</w:t>
      </w:r>
      <w:r w:rsidR="00112EA4" w:rsidRPr="00B148B1">
        <w:rPr>
          <w:rFonts w:cs="Arial"/>
          <w:szCs w:val="20"/>
        </w:rPr>
        <w:fldChar w:fldCharType="end"/>
      </w:r>
      <w:r w:rsidRPr="00B148B1">
        <w:rPr>
          <w:rFonts w:cs="Arial"/>
          <w:szCs w:val="20"/>
        </w:rPr>
        <w:t>). Če posamezna aglomeracija leži v več statističnih regijah, je pri izračunu kot celota upoštevana v tisti statistični regiji, v kateri leži njen pretežni del.</w:t>
      </w:r>
    </w:p>
    <w:p w:rsidR="0067569A" w:rsidRDefault="0067569A" w:rsidP="00B27859">
      <w:pPr>
        <w:tabs>
          <w:tab w:val="left" w:pos="9600"/>
        </w:tabs>
        <w:spacing w:before="120" w:line="280" w:lineRule="atLeast"/>
        <w:rPr>
          <w:rFonts w:cs="Arial"/>
          <w:szCs w:val="20"/>
        </w:rPr>
      </w:pPr>
    </w:p>
    <w:p w:rsidR="00B27859" w:rsidRPr="00B148B1" w:rsidRDefault="004A51BF" w:rsidP="00923A48">
      <w:pPr>
        <w:tabs>
          <w:tab w:val="left" w:pos="9600"/>
        </w:tabs>
        <w:spacing w:before="120" w:line="280" w:lineRule="atLeast"/>
        <w:rPr>
          <w:rFonts w:cs="Arial"/>
          <w:szCs w:val="20"/>
        </w:rPr>
      </w:pPr>
      <w:bookmarkStart w:id="154" w:name="_Ref528100059"/>
      <w:bookmarkStart w:id="155" w:name="_Toc531681738"/>
      <w:bookmarkStart w:id="156" w:name="_Toc13572859"/>
      <w:bookmarkStart w:id="157" w:name="_Toc50626735"/>
      <w:r w:rsidRPr="00B148B1">
        <w:rPr>
          <w:rFonts w:cs="Arial"/>
          <w:szCs w:val="20"/>
        </w:rPr>
        <w:t>P</w:t>
      </w:r>
      <w:r w:rsidR="00B27859" w:rsidRPr="00B148B1">
        <w:rPr>
          <w:rFonts w:cs="Arial"/>
          <w:szCs w:val="20"/>
        </w:rPr>
        <w:t xml:space="preserve">reglednica </w:t>
      </w:r>
      <w:r w:rsidR="00B27859" w:rsidRPr="00B148B1">
        <w:rPr>
          <w:rFonts w:cs="Arial"/>
          <w:szCs w:val="20"/>
        </w:rPr>
        <w:fldChar w:fldCharType="begin"/>
      </w:r>
      <w:r w:rsidR="00B27859" w:rsidRPr="00B148B1">
        <w:rPr>
          <w:rFonts w:cs="Arial"/>
          <w:szCs w:val="20"/>
        </w:rPr>
        <w:instrText xml:space="preserve"> SEQ Preglednica \* ARABIC </w:instrText>
      </w:r>
      <w:r w:rsidR="00B27859" w:rsidRPr="00B148B1">
        <w:rPr>
          <w:rFonts w:cs="Arial"/>
          <w:szCs w:val="20"/>
        </w:rPr>
        <w:fldChar w:fldCharType="separate"/>
      </w:r>
      <w:r w:rsidR="00E92793">
        <w:rPr>
          <w:rFonts w:cs="Arial"/>
          <w:noProof/>
          <w:szCs w:val="20"/>
        </w:rPr>
        <w:t>19</w:t>
      </w:r>
      <w:r w:rsidR="00B27859" w:rsidRPr="00B148B1">
        <w:rPr>
          <w:rFonts w:cs="Arial"/>
          <w:szCs w:val="20"/>
        </w:rPr>
        <w:fldChar w:fldCharType="end"/>
      </w:r>
      <w:bookmarkEnd w:id="154"/>
      <w:r w:rsidR="00B27859" w:rsidRPr="00B148B1">
        <w:rPr>
          <w:rFonts w:cs="Arial"/>
          <w:szCs w:val="20"/>
        </w:rPr>
        <w:t>: Ocenjeni investicijski stroški za izvedbo operativnega programa po statističnih regijah</w:t>
      </w:r>
      <w:bookmarkEnd w:id="155"/>
      <w:bookmarkEnd w:id="156"/>
      <w:bookmarkEnd w:id="157"/>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052"/>
        <w:gridCol w:w="1134"/>
        <w:gridCol w:w="1136"/>
        <w:gridCol w:w="1136"/>
        <w:gridCol w:w="1274"/>
        <w:gridCol w:w="1136"/>
        <w:gridCol w:w="1336"/>
      </w:tblGrid>
      <w:tr w:rsidR="00B27859" w:rsidRPr="00B148B1" w:rsidTr="004A51BF">
        <w:trPr>
          <w:trHeight w:val="300"/>
          <w:tblHeader/>
        </w:trPr>
        <w:tc>
          <w:tcPr>
            <w:tcW w:w="1115" w:type="pct"/>
            <w:vMerge w:val="restart"/>
            <w:shd w:val="clear" w:color="auto" w:fill="auto"/>
            <w:noWrap/>
            <w:vAlign w:val="center"/>
            <w:hideMark/>
          </w:tcPr>
          <w:p w:rsidR="00B27859" w:rsidRPr="00B148B1" w:rsidRDefault="00B27859" w:rsidP="002D5C50">
            <w:pPr>
              <w:spacing w:line="240" w:lineRule="auto"/>
              <w:jc w:val="center"/>
              <w:rPr>
                <w:rFonts w:cs="Arial"/>
                <w:b/>
                <w:bCs/>
                <w:color w:val="000000"/>
                <w:sz w:val="18"/>
                <w:szCs w:val="18"/>
                <w:lang w:eastAsia="sl-SI"/>
              </w:rPr>
            </w:pPr>
            <w:r w:rsidRPr="00B148B1">
              <w:rPr>
                <w:rFonts w:cs="Arial"/>
                <w:b/>
                <w:bCs/>
                <w:color w:val="000000"/>
                <w:sz w:val="18"/>
                <w:szCs w:val="18"/>
                <w:lang w:eastAsia="sl-SI"/>
              </w:rPr>
              <w:t>Statistična regija</w:t>
            </w:r>
          </w:p>
        </w:tc>
        <w:tc>
          <w:tcPr>
            <w:tcW w:w="3885" w:type="pct"/>
            <w:gridSpan w:val="6"/>
            <w:shd w:val="clear" w:color="auto" w:fill="auto"/>
            <w:vAlign w:val="center"/>
            <w:hideMark/>
          </w:tcPr>
          <w:p w:rsidR="00B27859" w:rsidRPr="00B148B1" w:rsidRDefault="00B27859" w:rsidP="002D5C50">
            <w:pPr>
              <w:spacing w:line="240" w:lineRule="auto"/>
              <w:jc w:val="center"/>
              <w:rPr>
                <w:rFonts w:cs="Arial"/>
                <w:b/>
                <w:bCs/>
                <w:color w:val="000000"/>
                <w:sz w:val="18"/>
                <w:szCs w:val="18"/>
                <w:lang w:eastAsia="sl-SI"/>
              </w:rPr>
            </w:pPr>
            <w:r w:rsidRPr="00B148B1">
              <w:rPr>
                <w:rFonts w:cs="Arial"/>
                <w:b/>
                <w:bCs/>
                <w:color w:val="000000"/>
                <w:sz w:val="18"/>
                <w:szCs w:val="18"/>
                <w:lang w:eastAsia="sl-SI"/>
              </w:rPr>
              <w:t>Ocenjeni stroški investicij</w:t>
            </w:r>
          </w:p>
        </w:tc>
      </w:tr>
      <w:tr w:rsidR="00986897" w:rsidRPr="00B148B1" w:rsidTr="004A51BF">
        <w:trPr>
          <w:trHeight w:val="300"/>
          <w:tblHeader/>
        </w:trPr>
        <w:tc>
          <w:tcPr>
            <w:tcW w:w="1115" w:type="pct"/>
            <w:vMerge/>
            <w:vAlign w:val="center"/>
            <w:hideMark/>
          </w:tcPr>
          <w:p w:rsidR="00B27859" w:rsidRPr="00B148B1" w:rsidRDefault="00B27859" w:rsidP="002D5C50">
            <w:pPr>
              <w:spacing w:line="240" w:lineRule="auto"/>
              <w:rPr>
                <w:rFonts w:cs="Arial"/>
                <w:b/>
                <w:bCs/>
                <w:color w:val="000000"/>
                <w:sz w:val="18"/>
                <w:szCs w:val="18"/>
                <w:lang w:eastAsia="sl-SI"/>
              </w:rPr>
            </w:pPr>
          </w:p>
        </w:tc>
        <w:tc>
          <w:tcPr>
            <w:tcW w:w="3159" w:type="pct"/>
            <w:gridSpan w:val="5"/>
            <w:shd w:val="clear" w:color="auto" w:fill="auto"/>
            <w:vAlign w:val="center"/>
            <w:hideMark/>
          </w:tcPr>
          <w:p w:rsidR="00B27859" w:rsidRPr="00B148B1" w:rsidRDefault="00B27859" w:rsidP="002D5C50">
            <w:pPr>
              <w:spacing w:line="240" w:lineRule="auto"/>
              <w:jc w:val="center"/>
              <w:rPr>
                <w:rFonts w:cs="Arial"/>
                <w:b/>
                <w:bCs/>
                <w:color w:val="000000"/>
                <w:sz w:val="18"/>
                <w:szCs w:val="18"/>
                <w:lang w:eastAsia="sl-SI"/>
              </w:rPr>
            </w:pPr>
            <w:r w:rsidRPr="00B148B1">
              <w:rPr>
                <w:rFonts w:cs="Arial"/>
                <w:b/>
                <w:bCs/>
                <w:color w:val="000000"/>
                <w:sz w:val="18"/>
                <w:szCs w:val="18"/>
                <w:lang w:eastAsia="sl-SI"/>
              </w:rPr>
              <w:t>Ukrepi za aglomeracije</w:t>
            </w:r>
          </w:p>
        </w:tc>
        <w:tc>
          <w:tcPr>
            <w:tcW w:w="726" w:type="pct"/>
            <w:vMerge w:val="restart"/>
            <w:shd w:val="clear" w:color="auto" w:fill="auto"/>
            <w:vAlign w:val="center"/>
            <w:hideMark/>
          </w:tcPr>
          <w:p w:rsidR="00B27859" w:rsidRPr="00B148B1" w:rsidRDefault="00B27859" w:rsidP="002D5C50">
            <w:pPr>
              <w:spacing w:line="240" w:lineRule="auto"/>
              <w:jc w:val="center"/>
              <w:rPr>
                <w:rFonts w:cs="Arial"/>
                <w:b/>
                <w:bCs/>
                <w:color w:val="000000"/>
                <w:sz w:val="18"/>
                <w:szCs w:val="18"/>
                <w:lang w:eastAsia="sl-SI"/>
              </w:rPr>
            </w:pPr>
            <w:r w:rsidRPr="00B148B1">
              <w:rPr>
                <w:rFonts w:cs="Arial"/>
                <w:b/>
                <w:bCs/>
                <w:color w:val="000000"/>
                <w:sz w:val="18"/>
                <w:szCs w:val="18"/>
                <w:lang w:eastAsia="sl-SI"/>
              </w:rPr>
              <w:t xml:space="preserve">Ukrepi na območju </w:t>
            </w:r>
            <w:r w:rsidR="008C6D60" w:rsidRPr="00B148B1">
              <w:rPr>
                <w:rFonts w:cs="Arial"/>
                <w:b/>
                <w:bCs/>
                <w:color w:val="000000"/>
                <w:sz w:val="18"/>
                <w:szCs w:val="18"/>
                <w:lang w:eastAsia="sl-SI"/>
              </w:rPr>
              <w:t xml:space="preserve">zunaj </w:t>
            </w:r>
            <w:r w:rsidRPr="00B148B1">
              <w:rPr>
                <w:rFonts w:cs="Arial"/>
                <w:b/>
                <w:bCs/>
                <w:color w:val="000000"/>
                <w:sz w:val="18"/>
                <w:szCs w:val="18"/>
                <w:lang w:eastAsia="sl-SI"/>
              </w:rPr>
              <w:t>meja aglomeracij</w:t>
            </w:r>
          </w:p>
        </w:tc>
      </w:tr>
      <w:tr w:rsidR="00F44F64" w:rsidRPr="00B148B1" w:rsidTr="004A51BF">
        <w:trPr>
          <w:trHeight w:val="300"/>
          <w:tblHeader/>
        </w:trPr>
        <w:tc>
          <w:tcPr>
            <w:tcW w:w="1115" w:type="pct"/>
            <w:vMerge/>
            <w:vAlign w:val="center"/>
            <w:hideMark/>
          </w:tcPr>
          <w:p w:rsidR="00B27859" w:rsidRPr="00B148B1" w:rsidRDefault="00B27859" w:rsidP="002D5C50">
            <w:pPr>
              <w:spacing w:line="240" w:lineRule="auto"/>
              <w:rPr>
                <w:rFonts w:cs="Arial"/>
                <w:b/>
                <w:bCs/>
                <w:color w:val="000000"/>
                <w:sz w:val="18"/>
                <w:szCs w:val="18"/>
                <w:lang w:eastAsia="sl-SI"/>
              </w:rPr>
            </w:pPr>
          </w:p>
        </w:tc>
        <w:tc>
          <w:tcPr>
            <w:tcW w:w="616" w:type="pct"/>
            <w:vMerge w:val="restart"/>
            <w:shd w:val="clear" w:color="auto" w:fill="auto"/>
            <w:vAlign w:val="center"/>
            <w:hideMark/>
          </w:tcPr>
          <w:p w:rsidR="00B27859" w:rsidRPr="00B148B1" w:rsidRDefault="00B27859" w:rsidP="002D5C50">
            <w:pPr>
              <w:spacing w:line="240" w:lineRule="auto"/>
              <w:jc w:val="center"/>
              <w:rPr>
                <w:rFonts w:cs="Arial"/>
                <w:b/>
                <w:bCs/>
                <w:color w:val="000000"/>
                <w:sz w:val="18"/>
                <w:szCs w:val="18"/>
                <w:lang w:eastAsia="sl-SI"/>
              </w:rPr>
            </w:pPr>
            <w:r w:rsidRPr="00B148B1">
              <w:rPr>
                <w:rFonts w:cs="Arial"/>
                <w:b/>
                <w:bCs/>
                <w:color w:val="000000"/>
                <w:sz w:val="18"/>
                <w:szCs w:val="18"/>
                <w:lang w:eastAsia="sl-SI"/>
              </w:rPr>
              <w:t>JKO</w:t>
            </w:r>
          </w:p>
        </w:tc>
        <w:tc>
          <w:tcPr>
            <w:tcW w:w="617" w:type="pct"/>
            <w:vMerge w:val="restart"/>
            <w:shd w:val="clear" w:color="auto" w:fill="auto"/>
            <w:vAlign w:val="center"/>
            <w:hideMark/>
          </w:tcPr>
          <w:p w:rsidR="00B27859" w:rsidRPr="00B148B1" w:rsidRDefault="00B27859" w:rsidP="002D5C50">
            <w:pPr>
              <w:spacing w:line="240" w:lineRule="auto"/>
              <w:jc w:val="center"/>
              <w:rPr>
                <w:rFonts w:cs="Arial"/>
                <w:b/>
                <w:bCs/>
                <w:color w:val="000000"/>
                <w:sz w:val="18"/>
                <w:szCs w:val="18"/>
                <w:lang w:eastAsia="sl-SI"/>
              </w:rPr>
            </w:pPr>
            <w:r w:rsidRPr="00B148B1">
              <w:rPr>
                <w:rFonts w:cs="Arial"/>
                <w:b/>
                <w:bCs/>
                <w:color w:val="000000"/>
                <w:sz w:val="18"/>
                <w:szCs w:val="18"/>
                <w:lang w:eastAsia="sl-SI"/>
              </w:rPr>
              <w:t>ČN</w:t>
            </w:r>
          </w:p>
        </w:tc>
        <w:tc>
          <w:tcPr>
            <w:tcW w:w="617" w:type="pct"/>
            <w:vMerge w:val="restart"/>
            <w:shd w:val="clear" w:color="auto" w:fill="auto"/>
            <w:vAlign w:val="center"/>
            <w:hideMark/>
          </w:tcPr>
          <w:p w:rsidR="00B27859" w:rsidRPr="00B148B1" w:rsidRDefault="00B27859" w:rsidP="002D5C50">
            <w:pPr>
              <w:spacing w:line="240" w:lineRule="auto"/>
              <w:jc w:val="center"/>
              <w:rPr>
                <w:rFonts w:cs="Arial"/>
                <w:b/>
                <w:bCs/>
                <w:color w:val="000000"/>
                <w:sz w:val="18"/>
                <w:szCs w:val="18"/>
                <w:lang w:eastAsia="sl-SI"/>
              </w:rPr>
            </w:pPr>
            <w:r w:rsidRPr="00B148B1">
              <w:rPr>
                <w:rFonts w:cs="Arial"/>
                <w:b/>
                <w:bCs/>
                <w:color w:val="000000"/>
                <w:sz w:val="18"/>
                <w:szCs w:val="18"/>
                <w:lang w:eastAsia="sl-SI"/>
              </w:rPr>
              <w:t>SKUPAJ</w:t>
            </w:r>
          </w:p>
        </w:tc>
        <w:tc>
          <w:tcPr>
            <w:tcW w:w="692" w:type="pct"/>
            <w:shd w:val="clear" w:color="auto" w:fill="auto"/>
            <w:vAlign w:val="center"/>
            <w:hideMark/>
          </w:tcPr>
          <w:p w:rsidR="00B27859" w:rsidRPr="00B148B1" w:rsidRDefault="00B27859" w:rsidP="002D5C50">
            <w:pPr>
              <w:spacing w:line="240" w:lineRule="auto"/>
              <w:jc w:val="center"/>
              <w:rPr>
                <w:rFonts w:cs="Arial"/>
                <w:b/>
                <w:bCs/>
                <w:color w:val="000000"/>
                <w:sz w:val="18"/>
                <w:szCs w:val="18"/>
                <w:lang w:eastAsia="sl-SI"/>
              </w:rPr>
            </w:pPr>
            <w:r w:rsidRPr="00B148B1">
              <w:rPr>
                <w:rFonts w:cs="Arial"/>
                <w:b/>
                <w:bCs/>
                <w:color w:val="000000"/>
                <w:sz w:val="18"/>
                <w:szCs w:val="18"/>
                <w:lang w:eastAsia="sl-SI"/>
              </w:rPr>
              <w:t>SKUPAJ</w:t>
            </w:r>
          </w:p>
        </w:tc>
        <w:tc>
          <w:tcPr>
            <w:tcW w:w="617" w:type="pct"/>
            <w:vMerge w:val="restart"/>
            <w:shd w:val="clear" w:color="auto" w:fill="auto"/>
            <w:vAlign w:val="center"/>
            <w:hideMark/>
          </w:tcPr>
          <w:p w:rsidR="00B27859" w:rsidRPr="00B148B1" w:rsidRDefault="00B27859" w:rsidP="002D5C50">
            <w:pPr>
              <w:spacing w:line="240" w:lineRule="auto"/>
              <w:jc w:val="center"/>
              <w:rPr>
                <w:rFonts w:cs="Arial"/>
                <w:b/>
                <w:bCs/>
                <w:color w:val="000000"/>
                <w:sz w:val="18"/>
                <w:szCs w:val="18"/>
                <w:lang w:eastAsia="sl-SI"/>
              </w:rPr>
            </w:pPr>
            <w:r w:rsidRPr="00B148B1">
              <w:rPr>
                <w:rFonts w:cs="Arial"/>
                <w:b/>
                <w:bCs/>
                <w:color w:val="000000"/>
                <w:sz w:val="18"/>
                <w:szCs w:val="18"/>
                <w:lang w:eastAsia="sl-SI"/>
              </w:rPr>
              <w:t>Nadgradnja ČN</w:t>
            </w:r>
          </w:p>
        </w:tc>
        <w:tc>
          <w:tcPr>
            <w:tcW w:w="726" w:type="pct"/>
            <w:vMerge/>
            <w:vAlign w:val="center"/>
            <w:hideMark/>
          </w:tcPr>
          <w:p w:rsidR="00B27859" w:rsidRPr="00B148B1" w:rsidRDefault="00B27859" w:rsidP="002D5C50">
            <w:pPr>
              <w:spacing w:line="240" w:lineRule="auto"/>
              <w:rPr>
                <w:rFonts w:cs="Arial"/>
                <w:b/>
                <w:bCs/>
                <w:color w:val="000000"/>
                <w:sz w:val="18"/>
                <w:szCs w:val="18"/>
                <w:lang w:eastAsia="sl-SI"/>
              </w:rPr>
            </w:pPr>
          </w:p>
        </w:tc>
      </w:tr>
      <w:tr w:rsidR="00F44F64" w:rsidRPr="00B148B1" w:rsidTr="004A51BF">
        <w:trPr>
          <w:trHeight w:val="540"/>
          <w:tblHeader/>
        </w:trPr>
        <w:tc>
          <w:tcPr>
            <w:tcW w:w="1115" w:type="pct"/>
            <w:vMerge/>
            <w:vAlign w:val="center"/>
            <w:hideMark/>
          </w:tcPr>
          <w:p w:rsidR="00B27859" w:rsidRPr="00B148B1" w:rsidRDefault="00B27859" w:rsidP="002D5C50">
            <w:pPr>
              <w:spacing w:line="240" w:lineRule="auto"/>
              <w:rPr>
                <w:rFonts w:cs="Arial"/>
                <w:b/>
                <w:bCs/>
                <w:color w:val="000000"/>
                <w:sz w:val="18"/>
                <w:szCs w:val="18"/>
                <w:lang w:eastAsia="sl-SI"/>
              </w:rPr>
            </w:pPr>
          </w:p>
        </w:tc>
        <w:tc>
          <w:tcPr>
            <w:tcW w:w="616" w:type="pct"/>
            <w:vMerge/>
            <w:vAlign w:val="center"/>
            <w:hideMark/>
          </w:tcPr>
          <w:p w:rsidR="00B27859" w:rsidRPr="00B148B1" w:rsidRDefault="00B27859" w:rsidP="002D5C50">
            <w:pPr>
              <w:spacing w:line="240" w:lineRule="auto"/>
              <w:rPr>
                <w:rFonts w:cs="Arial"/>
                <w:b/>
                <w:bCs/>
                <w:color w:val="000000"/>
                <w:sz w:val="18"/>
                <w:szCs w:val="18"/>
                <w:lang w:eastAsia="sl-SI"/>
              </w:rPr>
            </w:pPr>
          </w:p>
        </w:tc>
        <w:tc>
          <w:tcPr>
            <w:tcW w:w="617" w:type="pct"/>
            <w:vMerge/>
            <w:vAlign w:val="center"/>
            <w:hideMark/>
          </w:tcPr>
          <w:p w:rsidR="00B27859" w:rsidRPr="00B148B1" w:rsidRDefault="00B27859" w:rsidP="002D5C50">
            <w:pPr>
              <w:spacing w:line="240" w:lineRule="auto"/>
              <w:rPr>
                <w:rFonts w:cs="Arial"/>
                <w:b/>
                <w:bCs/>
                <w:color w:val="000000"/>
                <w:sz w:val="18"/>
                <w:szCs w:val="18"/>
                <w:lang w:eastAsia="sl-SI"/>
              </w:rPr>
            </w:pPr>
          </w:p>
        </w:tc>
        <w:tc>
          <w:tcPr>
            <w:tcW w:w="617" w:type="pct"/>
            <w:vMerge/>
            <w:vAlign w:val="center"/>
            <w:hideMark/>
          </w:tcPr>
          <w:p w:rsidR="00B27859" w:rsidRPr="00B148B1" w:rsidRDefault="00B27859" w:rsidP="002D5C50">
            <w:pPr>
              <w:spacing w:line="240" w:lineRule="auto"/>
              <w:rPr>
                <w:rFonts w:cs="Arial"/>
                <w:b/>
                <w:bCs/>
                <w:color w:val="000000"/>
                <w:sz w:val="18"/>
                <w:szCs w:val="18"/>
                <w:lang w:eastAsia="sl-SI"/>
              </w:rPr>
            </w:pPr>
          </w:p>
        </w:tc>
        <w:tc>
          <w:tcPr>
            <w:tcW w:w="692" w:type="pct"/>
            <w:shd w:val="clear" w:color="auto" w:fill="auto"/>
            <w:vAlign w:val="center"/>
            <w:hideMark/>
          </w:tcPr>
          <w:p w:rsidR="00B27859" w:rsidRPr="00B148B1" w:rsidRDefault="00B27859" w:rsidP="00AD5123">
            <w:pPr>
              <w:spacing w:line="240" w:lineRule="auto"/>
              <w:jc w:val="center"/>
              <w:rPr>
                <w:rFonts w:cs="Arial"/>
                <w:b/>
                <w:bCs/>
                <w:color w:val="000000"/>
                <w:sz w:val="18"/>
                <w:szCs w:val="18"/>
                <w:lang w:eastAsia="sl-SI"/>
              </w:rPr>
            </w:pPr>
            <w:r w:rsidRPr="00B148B1">
              <w:rPr>
                <w:rFonts w:cs="Arial"/>
                <w:b/>
                <w:bCs/>
                <w:color w:val="000000"/>
                <w:sz w:val="18"/>
                <w:szCs w:val="18"/>
                <w:lang w:eastAsia="sl-SI"/>
              </w:rPr>
              <w:t xml:space="preserve">ob upoštevanju </w:t>
            </w:r>
            <w:r w:rsidR="00AD5123" w:rsidRPr="00B148B1">
              <w:rPr>
                <w:rFonts w:cs="Arial"/>
                <w:b/>
                <w:bCs/>
                <w:color w:val="000000"/>
                <w:sz w:val="18"/>
                <w:szCs w:val="18"/>
                <w:lang w:eastAsia="sl-SI"/>
              </w:rPr>
              <w:t xml:space="preserve">finančne </w:t>
            </w:r>
            <w:r w:rsidRPr="00B148B1">
              <w:rPr>
                <w:rFonts w:cs="Arial"/>
                <w:b/>
                <w:bCs/>
                <w:color w:val="000000"/>
                <w:sz w:val="18"/>
                <w:szCs w:val="18"/>
                <w:lang w:eastAsia="sl-SI"/>
              </w:rPr>
              <w:t>presoje</w:t>
            </w:r>
            <w:r w:rsidRPr="00B148B1">
              <w:rPr>
                <w:rFonts w:cs="Arial"/>
                <w:b/>
                <w:bCs/>
                <w:color w:val="000000"/>
                <w:sz w:val="18"/>
                <w:szCs w:val="18"/>
                <w:vertAlign w:val="superscript"/>
                <w:lang w:eastAsia="sl-SI"/>
              </w:rPr>
              <w:t>(1)</w:t>
            </w:r>
          </w:p>
        </w:tc>
        <w:tc>
          <w:tcPr>
            <w:tcW w:w="617" w:type="pct"/>
            <w:vMerge/>
            <w:vAlign w:val="center"/>
            <w:hideMark/>
          </w:tcPr>
          <w:p w:rsidR="00B27859" w:rsidRPr="00B148B1" w:rsidRDefault="00B27859" w:rsidP="002D5C50">
            <w:pPr>
              <w:spacing w:line="240" w:lineRule="auto"/>
              <w:rPr>
                <w:rFonts w:cs="Arial"/>
                <w:b/>
                <w:bCs/>
                <w:color w:val="000000"/>
                <w:sz w:val="18"/>
                <w:szCs w:val="18"/>
                <w:lang w:eastAsia="sl-SI"/>
              </w:rPr>
            </w:pPr>
          </w:p>
        </w:tc>
        <w:tc>
          <w:tcPr>
            <w:tcW w:w="726" w:type="pct"/>
            <w:vMerge/>
            <w:vAlign w:val="center"/>
            <w:hideMark/>
          </w:tcPr>
          <w:p w:rsidR="00B27859" w:rsidRPr="00B148B1" w:rsidRDefault="00B27859" w:rsidP="002D5C50">
            <w:pPr>
              <w:spacing w:line="240" w:lineRule="auto"/>
              <w:rPr>
                <w:rFonts w:cs="Arial"/>
                <w:b/>
                <w:bCs/>
                <w:color w:val="000000"/>
                <w:sz w:val="18"/>
                <w:szCs w:val="18"/>
                <w:lang w:eastAsia="sl-SI"/>
              </w:rPr>
            </w:pPr>
          </w:p>
        </w:tc>
      </w:tr>
      <w:tr w:rsidR="00986897" w:rsidRPr="00B148B1" w:rsidTr="004A51BF">
        <w:trPr>
          <w:trHeight w:val="315"/>
          <w:tblHeader/>
        </w:trPr>
        <w:tc>
          <w:tcPr>
            <w:tcW w:w="1115" w:type="pct"/>
            <w:vMerge/>
            <w:vAlign w:val="center"/>
            <w:hideMark/>
          </w:tcPr>
          <w:p w:rsidR="00B27859" w:rsidRPr="00B148B1" w:rsidRDefault="00B27859" w:rsidP="002D5C50">
            <w:pPr>
              <w:spacing w:line="240" w:lineRule="auto"/>
              <w:rPr>
                <w:rFonts w:cs="Arial"/>
                <w:b/>
                <w:bCs/>
                <w:color w:val="000000"/>
                <w:sz w:val="18"/>
                <w:szCs w:val="18"/>
                <w:lang w:eastAsia="sl-SI"/>
              </w:rPr>
            </w:pPr>
          </w:p>
        </w:tc>
        <w:tc>
          <w:tcPr>
            <w:tcW w:w="616" w:type="pct"/>
            <w:shd w:val="clear" w:color="auto" w:fill="auto"/>
            <w:vAlign w:val="center"/>
            <w:hideMark/>
          </w:tcPr>
          <w:p w:rsidR="00B27859" w:rsidRPr="00B148B1" w:rsidRDefault="00B27859" w:rsidP="002D5C50">
            <w:pPr>
              <w:spacing w:line="240" w:lineRule="auto"/>
              <w:jc w:val="center"/>
              <w:rPr>
                <w:rFonts w:cs="Arial"/>
                <w:b/>
                <w:bCs/>
                <w:color w:val="000000"/>
                <w:sz w:val="18"/>
                <w:szCs w:val="18"/>
                <w:lang w:eastAsia="sl-SI"/>
              </w:rPr>
            </w:pPr>
            <w:r w:rsidRPr="00B148B1">
              <w:rPr>
                <w:rFonts w:cs="Arial"/>
                <w:b/>
                <w:bCs/>
                <w:color w:val="000000"/>
                <w:sz w:val="18"/>
                <w:szCs w:val="18"/>
                <w:lang w:eastAsia="sl-SI"/>
              </w:rPr>
              <w:t>[mio EUR]</w:t>
            </w:r>
          </w:p>
        </w:tc>
        <w:tc>
          <w:tcPr>
            <w:tcW w:w="617" w:type="pct"/>
            <w:shd w:val="clear" w:color="auto" w:fill="auto"/>
            <w:vAlign w:val="center"/>
            <w:hideMark/>
          </w:tcPr>
          <w:p w:rsidR="00B27859" w:rsidRPr="00B148B1" w:rsidRDefault="00B27859" w:rsidP="002D5C50">
            <w:pPr>
              <w:spacing w:line="240" w:lineRule="auto"/>
              <w:jc w:val="center"/>
              <w:rPr>
                <w:rFonts w:cs="Arial"/>
                <w:b/>
                <w:bCs/>
                <w:color w:val="000000"/>
                <w:sz w:val="18"/>
                <w:szCs w:val="18"/>
                <w:lang w:eastAsia="sl-SI"/>
              </w:rPr>
            </w:pPr>
            <w:r w:rsidRPr="00B148B1">
              <w:rPr>
                <w:rFonts w:cs="Arial"/>
                <w:b/>
                <w:bCs/>
                <w:color w:val="000000"/>
                <w:sz w:val="18"/>
                <w:szCs w:val="18"/>
                <w:lang w:eastAsia="sl-SI"/>
              </w:rPr>
              <w:t>[mio EUR]</w:t>
            </w:r>
          </w:p>
        </w:tc>
        <w:tc>
          <w:tcPr>
            <w:tcW w:w="617" w:type="pct"/>
            <w:shd w:val="clear" w:color="auto" w:fill="auto"/>
            <w:vAlign w:val="center"/>
            <w:hideMark/>
          </w:tcPr>
          <w:p w:rsidR="00B27859" w:rsidRPr="00B148B1" w:rsidRDefault="00B27859" w:rsidP="002D5C50">
            <w:pPr>
              <w:spacing w:line="240" w:lineRule="auto"/>
              <w:jc w:val="center"/>
              <w:rPr>
                <w:rFonts w:cs="Arial"/>
                <w:b/>
                <w:bCs/>
                <w:color w:val="000000"/>
                <w:sz w:val="18"/>
                <w:szCs w:val="18"/>
                <w:lang w:eastAsia="sl-SI"/>
              </w:rPr>
            </w:pPr>
            <w:r w:rsidRPr="00B148B1">
              <w:rPr>
                <w:rFonts w:cs="Arial"/>
                <w:b/>
                <w:bCs/>
                <w:color w:val="000000"/>
                <w:sz w:val="18"/>
                <w:szCs w:val="18"/>
                <w:lang w:eastAsia="sl-SI"/>
              </w:rPr>
              <w:t>[mio EUR]</w:t>
            </w:r>
          </w:p>
        </w:tc>
        <w:tc>
          <w:tcPr>
            <w:tcW w:w="692" w:type="pct"/>
            <w:shd w:val="clear" w:color="auto" w:fill="auto"/>
            <w:vAlign w:val="center"/>
            <w:hideMark/>
          </w:tcPr>
          <w:p w:rsidR="00B27859" w:rsidRPr="00B148B1" w:rsidRDefault="00B27859" w:rsidP="002D5C50">
            <w:pPr>
              <w:spacing w:line="240" w:lineRule="auto"/>
              <w:jc w:val="center"/>
              <w:rPr>
                <w:rFonts w:cs="Arial"/>
                <w:b/>
                <w:bCs/>
                <w:color w:val="000000"/>
                <w:sz w:val="18"/>
                <w:szCs w:val="18"/>
                <w:lang w:eastAsia="sl-SI"/>
              </w:rPr>
            </w:pPr>
            <w:r w:rsidRPr="00B148B1">
              <w:rPr>
                <w:rFonts w:cs="Arial"/>
                <w:b/>
                <w:bCs/>
                <w:color w:val="000000"/>
                <w:sz w:val="18"/>
                <w:szCs w:val="18"/>
                <w:lang w:eastAsia="sl-SI"/>
              </w:rPr>
              <w:t>[mio EUR]</w:t>
            </w:r>
          </w:p>
        </w:tc>
        <w:tc>
          <w:tcPr>
            <w:tcW w:w="617" w:type="pct"/>
            <w:shd w:val="clear" w:color="auto" w:fill="auto"/>
            <w:vAlign w:val="center"/>
            <w:hideMark/>
          </w:tcPr>
          <w:p w:rsidR="00B27859" w:rsidRPr="00B148B1" w:rsidRDefault="00B27859" w:rsidP="002D5C50">
            <w:pPr>
              <w:spacing w:line="240" w:lineRule="auto"/>
              <w:jc w:val="center"/>
              <w:rPr>
                <w:rFonts w:cs="Arial"/>
                <w:b/>
                <w:bCs/>
                <w:color w:val="000000"/>
                <w:sz w:val="18"/>
                <w:szCs w:val="18"/>
                <w:lang w:eastAsia="sl-SI"/>
              </w:rPr>
            </w:pPr>
            <w:r w:rsidRPr="00B148B1">
              <w:rPr>
                <w:rFonts w:cs="Arial"/>
                <w:b/>
                <w:bCs/>
                <w:color w:val="000000"/>
                <w:sz w:val="18"/>
                <w:szCs w:val="18"/>
                <w:lang w:eastAsia="sl-SI"/>
              </w:rPr>
              <w:t>[mio EUR]</w:t>
            </w:r>
          </w:p>
        </w:tc>
        <w:tc>
          <w:tcPr>
            <w:tcW w:w="726" w:type="pct"/>
            <w:shd w:val="clear" w:color="auto" w:fill="auto"/>
            <w:vAlign w:val="center"/>
            <w:hideMark/>
          </w:tcPr>
          <w:p w:rsidR="00B27859" w:rsidRPr="00B148B1" w:rsidRDefault="00B27859" w:rsidP="002D5C50">
            <w:pPr>
              <w:spacing w:line="240" w:lineRule="auto"/>
              <w:jc w:val="center"/>
              <w:rPr>
                <w:rFonts w:cs="Arial"/>
                <w:b/>
                <w:bCs/>
                <w:color w:val="000000"/>
                <w:sz w:val="18"/>
                <w:szCs w:val="18"/>
                <w:lang w:eastAsia="sl-SI"/>
              </w:rPr>
            </w:pPr>
            <w:r w:rsidRPr="00B148B1">
              <w:rPr>
                <w:rFonts w:cs="Arial"/>
                <w:b/>
                <w:bCs/>
                <w:color w:val="000000"/>
                <w:sz w:val="18"/>
                <w:szCs w:val="18"/>
                <w:lang w:eastAsia="sl-SI"/>
              </w:rPr>
              <w:t>[mio EUR]</w:t>
            </w:r>
          </w:p>
        </w:tc>
      </w:tr>
      <w:tr w:rsidR="00706F29" w:rsidRPr="00B148B1" w:rsidTr="00217A9B">
        <w:trPr>
          <w:trHeight w:val="300"/>
        </w:trPr>
        <w:tc>
          <w:tcPr>
            <w:tcW w:w="1115" w:type="pct"/>
            <w:shd w:val="clear" w:color="auto" w:fill="auto"/>
            <w:vAlign w:val="center"/>
            <w:hideMark/>
          </w:tcPr>
          <w:p w:rsidR="00706F29" w:rsidRPr="00B148B1" w:rsidRDefault="00706F29" w:rsidP="00F44F64">
            <w:pPr>
              <w:spacing w:line="240" w:lineRule="auto"/>
              <w:jc w:val="left"/>
              <w:rPr>
                <w:rFonts w:cs="Arial"/>
                <w:color w:val="000000"/>
                <w:sz w:val="18"/>
                <w:szCs w:val="18"/>
                <w:lang w:eastAsia="sl-SI"/>
              </w:rPr>
            </w:pPr>
            <w:r w:rsidRPr="00B148B1">
              <w:rPr>
                <w:rFonts w:cs="Arial"/>
                <w:sz w:val="18"/>
                <w:szCs w:val="18"/>
              </w:rPr>
              <w:t>Gorenjska</w:t>
            </w:r>
          </w:p>
        </w:tc>
        <w:tc>
          <w:tcPr>
            <w:tcW w:w="616" w:type="pct"/>
            <w:shd w:val="clear" w:color="auto" w:fill="auto"/>
            <w:noWrap/>
            <w:hideMark/>
          </w:tcPr>
          <w:p w:rsidR="00706F29" w:rsidRPr="00B148B1" w:rsidRDefault="00706F29">
            <w:pPr>
              <w:jc w:val="center"/>
              <w:rPr>
                <w:rFonts w:cs="Arial"/>
                <w:sz w:val="18"/>
                <w:szCs w:val="18"/>
              </w:rPr>
            </w:pPr>
            <w:r w:rsidRPr="00B148B1">
              <w:rPr>
                <w:rFonts w:cs="Arial"/>
                <w:sz w:val="18"/>
                <w:szCs w:val="18"/>
              </w:rPr>
              <w:t>109,2</w:t>
            </w:r>
          </w:p>
        </w:tc>
        <w:tc>
          <w:tcPr>
            <w:tcW w:w="617" w:type="pct"/>
            <w:shd w:val="clear" w:color="auto" w:fill="auto"/>
            <w:noWrap/>
            <w:hideMark/>
          </w:tcPr>
          <w:p w:rsidR="00706F29" w:rsidRPr="00B148B1" w:rsidRDefault="00706F29">
            <w:pPr>
              <w:jc w:val="center"/>
              <w:rPr>
                <w:rFonts w:cs="Arial"/>
                <w:sz w:val="18"/>
                <w:szCs w:val="18"/>
              </w:rPr>
            </w:pPr>
            <w:r w:rsidRPr="00B148B1">
              <w:rPr>
                <w:rFonts w:cs="Arial"/>
                <w:sz w:val="18"/>
                <w:szCs w:val="18"/>
              </w:rPr>
              <w:t>21,5</w:t>
            </w:r>
          </w:p>
        </w:tc>
        <w:tc>
          <w:tcPr>
            <w:tcW w:w="617" w:type="pct"/>
            <w:shd w:val="clear" w:color="auto" w:fill="auto"/>
            <w:noWrap/>
            <w:hideMark/>
          </w:tcPr>
          <w:p w:rsidR="00706F29" w:rsidRPr="00B148B1" w:rsidRDefault="00706F29">
            <w:pPr>
              <w:jc w:val="center"/>
              <w:rPr>
                <w:rFonts w:cs="Arial"/>
                <w:sz w:val="18"/>
                <w:szCs w:val="18"/>
              </w:rPr>
            </w:pPr>
            <w:r w:rsidRPr="00B148B1">
              <w:rPr>
                <w:rFonts w:cs="Arial"/>
                <w:sz w:val="18"/>
                <w:szCs w:val="18"/>
              </w:rPr>
              <w:t>130,7</w:t>
            </w:r>
          </w:p>
        </w:tc>
        <w:tc>
          <w:tcPr>
            <w:tcW w:w="692" w:type="pct"/>
            <w:shd w:val="clear" w:color="auto" w:fill="auto"/>
            <w:noWrap/>
            <w:hideMark/>
          </w:tcPr>
          <w:p w:rsidR="00706F29" w:rsidRPr="00B148B1" w:rsidRDefault="00706F29">
            <w:pPr>
              <w:jc w:val="center"/>
              <w:rPr>
                <w:rFonts w:cs="Arial"/>
                <w:sz w:val="18"/>
                <w:szCs w:val="18"/>
              </w:rPr>
            </w:pPr>
            <w:r w:rsidRPr="00B148B1">
              <w:rPr>
                <w:rFonts w:cs="Arial"/>
                <w:sz w:val="18"/>
                <w:szCs w:val="18"/>
              </w:rPr>
              <w:t>96,1</w:t>
            </w:r>
          </w:p>
        </w:tc>
        <w:tc>
          <w:tcPr>
            <w:tcW w:w="617" w:type="pct"/>
            <w:shd w:val="clear" w:color="auto" w:fill="auto"/>
            <w:noWrap/>
            <w:hideMark/>
          </w:tcPr>
          <w:p w:rsidR="00706F29" w:rsidRPr="00B148B1" w:rsidRDefault="00706F29">
            <w:pPr>
              <w:jc w:val="center"/>
              <w:rPr>
                <w:rFonts w:cs="Arial"/>
                <w:sz w:val="18"/>
                <w:szCs w:val="18"/>
              </w:rPr>
            </w:pPr>
            <w:r w:rsidRPr="00B148B1">
              <w:rPr>
                <w:rFonts w:cs="Arial"/>
                <w:sz w:val="18"/>
                <w:szCs w:val="18"/>
              </w:rPr>
              <w:t>1,1</w:t>
            </w:r>
          </w:p>
        </w:tc>
        <w:tc>
          <w:tcPr>
            <w:tcW w:w="726" w:type="pct"/>
            <w:shd w:val="clear" w:color="auto" w:fill="auto"/>
            <w:noWrap/>
            <w:hideMark/>
          </w:tcPr>
          <w:p w:rsidR="00706F29" w:rsidRPr="00B148B1" w:rsidRDefault="00706F29">
            <w:pPr>
              <w:jc w:val="center"/>
              <w:rPr>
                <w:rFonts w:cs="Arial"/>
                <w:sz w:val="18"/>
                <w:szCs w:val="18"/>
              </w:rPr>
            </w:pPr>
            <w:r w:rsidRPr="00B148B1">
              <w:rPr>
                <w:rFonts w:cs="Arial"/>
                <w:sz w:val="18"/>
                <w:szCs w:val="18"/>
              </w:rPr>
              <w:t>10,8</w:t>
            </w:r>
          </w:p>
        </w:tc>
      </w:tr>
      <w:tr w:rsidR="00706F29" w:rsidRPr="00B148B1" w:rsidTr="00217A9B">
        <w:trPr>
          <w:trHeight w:val="300"/>
        </w:trPr>
        <w:tc>
          <w:tcPr>
            <w:tcW w:w="1115" w:type="pct"/>
            <w:shd w:val="clear" w:color="auto" w:fill="auto"/>
            <w:vAlign w:val="center"/>
            <w:hideMark/>
          </w:tcPr>
          <w:p w:rsidR="00706F29" w:rsidRPr="00B148B1" w:rsidRDefault="00706F29" w:rsidP="00F44F64">
            <w:pPr>
              <w:spacing w:line="240" w:lineRule="auto"/>
              <w:jc w:val="left"/>
              <w:rPr>
                <w:rFonts w:cs="Arial"/>
                <w:color w:val="000000"/>
                <w:sz w:val="18"/>
                <w:szCs w:val="18"/>
                <w:lang w:eastAsia="sl-SI"/>
              </w:rPr>
            </w:pPr>
            <w:r w:rsidRPr="00B148B1">
              <w:rPr>
                <w:rFonts w:cs="Arial"/>
                <w:sz w:val="18"/>
                <w:szCs w:val="18"/>
              </w:rPr>
              <w:t>Goriška</w:t>
            </w:r>
          </w:p>
        </w:tc>
        <w:tc>
          <w:tcPr>
            <w:tcW w:w="616" w:type="pct"/>
            <w:shd w:val="clear" w:color="auto" w:fill="auto"/>
            <w:noWrap/>
            <w:hideMark/>
          </w:tcPr>
          <w:p w:rsidR="00706F29" w:rsidRPr="00B148B1" w:rsidRDefault="00706F29">
            <w:pPr>
              <w:jc w:val="center"/>
              <w:rPr>
                <w:rFonts w:cs="Arial"/>
                <w:sz w:val="18"/>
                <w:szCs w:val="18"/>
              </w:rPr>
            </w:pPr>
            <w:r w:rsidRPr="00B148B1">
              <w:rPr>
                <w:rFonts w:cs="Arial"/>
                <w:sz w:val="18"/>
                <w:szCs w:val="18"/>
              </w:rPr>
              <w:t>85,1</w:t>
            </w:r>
          </w:p>
        </w:tc>
        <w:tc>
          <w:tcPr>
            <w:tcW w:w="617" w:type="pct"/>
            <w:shd w:val="clear" w:color="auto" w:fill="auto"/>
            <w:noWrap/>
            <w:hideMark/>
          </w:tcPr>
          <w:p w:rsidR="00706F29" w:rsidRPr="00B148B1" w:rsidRDefault="00706F29">
            <w:pPr>
              <w:jc w:val="center"/>
              <w:rPr>
                <w:rFonts w:cs="Arial"/>
                <w:sz w:val="18"/>
                <w:szCs w:val="18"/>
              </w:rPr>
            </w:pPr>
            <w:r w:rsidRPr="00B148B1">
              <w:rPr>
                <w:rFonts w:cs="Arial"/>
                <w:sz w:val="18"/>
                <w:szCs w:val="18"/>
              </w:rPr>
              <w:t>18,3</w:t>
            </w:r>
          </w:p>
        </w:tc>
        <w:tc>
          <w:tcPr>
            <w:tcW w:w="617" w:type="pct"/>
            <w:shd w:val="clear" w:color="auto" w:fill="auto"/>
            <w:noWrap/>
            <w:hideMark/>
          </w:tcPr>
          <w:p w:rsidR="00706F29" w:rsidRPr="00B148B1" w:rsidRDefault="00706F29">
            <w:pPr>
              <w:jc w:val="center"/>
              <w:rPr>
                <w:rFonts w:cs="Arial"/>
                <w:sz w:val="18"/>
                <w:szCs w:val="18"/>
              </w:rPr>
            </w:pPr>
            <w:r w:rsidRPr="00B148B1">
              <w:rPr>
                <w:rFonts w:cs="Arial"/>
                <w:sz w:val="18"/>
                <w:szCs w:val="18"/>
              </w:rPr>
              <w:t>103,4</w:t>
            </w:r>
          </w:p>
        </w:tc>
        <w:tc>
          <w:tcPr>
            <w:tcW w:w="692" w:type="pct"/>
            <w:shd w:val="clear" w:color="auto" w:fill="auto"/>
            <w:noWrap/>
            <w:hideMark/>
          </w:tcPr>
          <w:p w:rsidR="00706F29" w:rsidRPr="00B148B1" w:rsidRDefault="00706F29">
            <w:pPr>
              <w:jc w:val="center"/>
              <w:rPr>
                <w:rFonts w:cs="Arial"/>
                <w:sz w:val="18"/>
                <w:szCs w:val="18"/>
              </w:rPr>
            </w:pPr>
            <w:r w:rsidRPr="00B148B1">
              <w:rPr>
                <w:rFonts w:cs="Arial"/>
                <w:sz w:val="18"/>
                <w:szCs w:val="18"/>
              </w:rPr>
              <w:t>63,5</w:t>
            </w:r>
          </w:p>
        </w:tc>
        <w:tc>
          <w:tcPr>
            <w:tcW w:w="617" w:type="pct"/>
            <w:shd w:val="clear" w:color="auto" w:fill="auto"/>
            <w:noWrap/>
            <w:hideMark/>
          </w:tcPr>
          <w:p w:rsidR="00706F29" w:rsidRPr="00B148B1" w:rsidRDefault="00706F29">
            <w:pPr>
              <w:jc w:val="center"/>
              <w:rPr>
                <w:rFonts w:cs="Arial"/>
                <w:sz w:val="18"/>
                <w:szCs w:val="18"/>
              </w:rPr>
            </w:pPr>
            <w:r w:rsidRPr="00B148B1">
              <w:rPr>
                <w:rFonts w:cs="Arial"/>
                <w:sz w:val="18"/>
                <w:szCs w:val="18"/>
              </w:rPr>
              <w:t>5,8</w:t>
            </w:r>
          </w:p>
        </w:tc>
        <w:tc>
          <w:tcPr>
            <w:tcW w:w="726" w:type="pct"/>
            <w:shd w:val="clear" w:color="auto" w:fill="auto"/>
            <w:noWrap/>
            <w:hideMark/>
          </w:tcPr>
          <w:p w:rsidR="00706F29" w:rsidRPr="00B148B1" w:rsidRDefault="00706F29">
            <w:pPr>
              <w:jc w:val="center"/>
              <w:rPr>
                <w:rFonts w:cs="Arial"/>
                <w:sz w:val="18"/>
                <w:szCs w:val="18"/>
              </w:rPr>
            </w:pPr>
            <w:r w:rsidRPr="00B148B1">
              <w:rPr>
                <w:rFonts w:cs="Arial"/>
                <w:sz w:val="18"/>
                <w:szCs w:val="18"/>
              </w:rPr>
              <w:t>15,1</w:t>
            </w:r>
          </w:p>
        </w:tc>
      </w:tr>
      <w:tr w:rsidR="00706F29" w:rsidRPr="00B148B1" w:rsidTr="00217A9B">
        <w:trPr>
          <w:trHeight w:val="300"/>
        </w:trPr>
        <w:tc>
          <w:tcPr>
            <w:tcW w:w="1115" w:type="pct"/>
            <w:shd w:val="clear" w:color="auto" w:fill="auto"/>
            <w:vAlign w:val="center"/>
            <w:hideMark/>
          </w:tcPr>
          <w:p w:rsidR="00706F29" w:rsidRPr="00B148B1" w:rsidRDefault="00706F29" w:rsidP="00F44F64">
            <w:pPr>
              <w:spacing w:line="240" w:lineRule="auto"/>
              <w:jc w:val="left"/>
              <w:rPr>
                <w:rFonts w:cs="Arial"/>
                <w:color w:val="000000"/>
                <w:sz w:val="18"/>
                <w:szCs w:val="18"/>
                <w:lang w:eastAsia="sl-SI"/>
              </w:rPr>
            </w:pPr>
            <w:r w:rsidRPr="00B148B1">
              <w:rPr>
                <w:rFonts w:cs="Arial"/>
                <w:sz w:val="18"/>
                <w:szCs w:val="18"/>
              </w:rPr>
              <w:t>Jugovzhodna Slovenija</w:t>
            </w:r>
          </w:p>
        </w:tc>
        <w:tc>
          <w:tcPr>
            <w:tcW w:w="616" w:type="pct"/>
            <w:shd w:val="clear" w:color="auto" w:fill="auto"/>
            <w:noWrap/>
            <w:hideMark/>
          </w:tcPr>
          <w:p w:rsidR="00706F29" w:rsidRPr="00B148B1" w:rsidRDefault="00706F29">
            <w:pPr>
              <w:jc w:val="center"/>
              <w:rPr>
                <w:rFonts w:cs="Arial"/>
                <w:sz w:val="18"/>
                <w:szCs w:val="18"/>
              </w:rPr>
            </w:pPr>
            <w:r w:rsidRPr="00B148B1">
              <w:rPr>
                <w:rFonts w:cs="Arial"/>
                <w:sz w:val="18"/>
                <w:szCs w:val="18"/>
              </w:rPr>
              <w:t>100,2</w:t>
            </w:r>
          </w:p>
        </w:tc>
        <w:tc>
          <w:tcPr>
            <w:tcW w:w="617" w:type="pct"/>
            <w:shd w:val="clear" w:color="auto" w:fill="auto"/>
            <w:noWrap/>
            <w:hideMark/>
          </w:tcPr>
          <w:p w:rsidR="00706F29" w:rsidRPr="00B148B1" w:rsidRDefault="00706F29">
            <w:pPr>
              <w:jc w:val="center"/>
              <w:rPr>
                <w:rFonts w:cs="Arial"/>
                <w:sz w:val="18"/>
                <w:szCs w:val="18"/>
              </w:rPr>
            </w:pPr>
            <w:r w:rsidRPr="00B148B1">
              <w:rPr>
                <w:rFonts w:cs="Arial"/>
                <w:sz w:val="18"/>
                <w:szCs w:val="18"/>
              </w:rPr>
              <w:t>19,2</w:t>
            </w:r>
          </w:p>
        </w:tc>
        <w:tc>
          <w:tcPr>
            <w:tcW w:w="617" w:type="pct"/>
            <w:shd w:val="clear" w:color="auto" w:fill="auto"/>
            <w:noWrap/>
            <w:hideMark/>
          </w:tcPr>
          <w:p w:rsidR="00706F29" w:rsidRPr="00B148B1" w:rsidRDefault="00706F29">
            <w:pPr>
              <w:jc w:val="center"/>
              <w:rPr>
                <w:rFonts w:cs="Arial"/>
                <w:sz w:val="18"/>
                <w:szCs w:val="18"/>
              </w:rPr>
            </w:pPr>
            <w:r w:rsidRPr="00B148B1">
              <w:rPr>
                <w:rFonts w:cs="Arial"/>
                <w:sz w:val="18"/>
                <w:szCs w:val="18"/>
              </w:rPr>
              <w:t>119,4</w:t>
            </w:r>
          </w:p>
        </w:tc>
        <w:tc>
          <w:tcPr>
            <w:tcW w:w="692" w:type="pct"/>
            <w:shd w:val="clear" w:color="auto" w:fill="auto"/>
            <w:noWrap/>
            <w:hideMark/>
          </w:tcPr>
          <w:p w:rsidR="00706F29" w:rsidRPr="00B148B1" w:rsidRDefault="00706F29">
            <w:pPr>
              <w:jc w:val="center"/>
              <w:rPr>
                <w:rFonts w:cs="Arial"/>
                <w:sz w:val="18"/>
                <w:szCs w:val="18"/>
              </w:rPr>
            </w:pPr>
            <w:r w:rsidRPr="00B148B1">
              <w:rPr>
                <w:rFonts w:cs="Arial"/>
                <w:sz w:val="18"/>
                <w:szCs w:val="18"/>
              </w:rPr>
              <w:t>68,4</w:t>
            </w:r>
          </w:p>
        </w:tc>
        <w:tc>
          <w:tcPr>
            <w:tcW w:w="617" w:type="pct"/>
            <w:shd w:val="clear" w:color="auto" w:fill="auto"/>
            <w:noWrap/>
            <w:hideMark/>
          </w:tcPr>
          <w:p w:rsidR="00706F29" w:rsidRPr="00B148B1" w:rsidRDefault="00706F29">
            <w:pPr>
              <w:jc w:val="center"/>
              <w:rPr>
                <w:rFonts w:cs="Arial"/>
                <w:sz w:val="18"/>
                <w:szCs w:val="18"/>
              </w:rPr>
            </w:pPr>
            <w:r w:rsidRPr="00B148B1">
              <w:rPr>
                <w:rFonts w:cs="Arial"/>
                <w:sz w:val="18"/>
                <w:szCs w:val="18"/>
              </w:rPr>
              <w:t>20,5</w:t>
            </w:r>
          </w:p>
        </w:tc>
        <w:tc>
          <w:tcPr>
            <w:tcW w:w="726" w:type="pct"/>
            <w:shd w:val="clear" w:color="auto" w:fill="auto"/>
            <w:noWrap/>
            <w:hideMark/>
          </w:tcPr>
          <w:p w:rsidR="00706F29" w:rsidRPr="00B148B1" w:rsidRDefault="00706F29">
            <w:pPr>
              <w:jc w:val="center"/>
              <w:rPr>
                <w:rFonts w:cs="Arial"/>
                <w:sz w:val="18"/>
                <w:szCs w:val="18"/>
              </w:rPr>
            </w:pPr>
            <w:r w:rsidRPr="00B148B1">
              <w:rPr>
                <w:rFonts w:cs="Arial"/>
                <w:sz w:val="18"/>
                <w:szCs w:val="18"/>
              </w:rPr>
              <w:t>19,2</w:t>
            </w:r>
          </w:p>
        </w:tc>
      </w:tr>
      <w:tr w:rsidR="00706F29" w:rsidRPr="00B148B1" w:rsidTr="00217A9B">
        <w:trPr>
          <w:trHeight w:val="300"/>
        </w:trPr>
        <w:tc>
          <w:tcPr>
            <w:tcW w:w="1115" w:type="pct"/>
            <w:shd w:val="clear" w:color="auto" w:fill="auto"/>
            <w:vAlign w:val="center"/>
            <w:hideMark/>
          </w:tcPr>
          <w:p w:rsidR="00706F29" w:rsidRPr="00B148B1" w:rsidRDefault="00706F29" w:rsidP="00F44F64">
            <w:pPr>
              <w:spacing w:line="240" w:lineRule="auto"/>
              <w:jc w:val="left"/>
              <w:rPr>
                <w:rFonts w:cs="Arial"/>
                <w:color w:val="000000"/>
                <w:sz w:val="18"/>
                <w:szCs w:val="18"/>
                <w:lang w:eastAsia="sl-SI"/>
              </w:rPr>
            </w:pPr>
            <w:r w:rsidRPr="00B148B1">
              <w:rPr>
                <w:rFonts w:cs="Arial"/>
                <w:sz w:val="18"/>
                <w:szCs w:val="18"/>
              </w:rPr>
              <w:t>Koroška</w:t>
            </w:r>
          </w:p>
        </w:tc>
        <w:tc>
          <w:tcPr>
            <w:tcW w:w="616" w:type="pct"/>
            <w:shd w:val="clear" w:color="auto" w:fill="auto"/>
            <w:noWrap/>
            <w:hideMark/>
          </w:tcPr>
          <w:p w:rsidR="00706F29" w:rsidRPr="00B148B1" w:rsidRDefault="00706F29">
            <w:pPr>
              <w:jc w:val="center"/>
              <w:rPr>
                <w:rFonts w:cs="Arial"/>
                <w:sz w:val="18"/>
                <w:szCs w:val="18"/>
              </w:rPr>
            </w:pPr>
            <w:r w:rsidRPr="00B148B1">
              <w:rPr>
                <w:rFonts w:cs="Arial"/>
                <w:sz w:val="18"/>
                <w:szCs w:val="18"/>
              </w:rPr>
              <w:t>13,7</w:t>
            </w:r>
          </w:p>
        </w:tc>
        <w:tc>
          <w:tcPr>
            <w:tcW w:w="617" w:type="pct"/>
            <w:shd w:val="clear" w:color="auto" w:fill="auto"/>
            <w:noWrap/>
            <w:hideMark/>
          </w:tcPr>
          <w:p w:rsidR="00706F29" w:rsidRPr="00B148B1" w:rsidRDefault="00706F29">
            <w:pPr>
              <w:jc w:val="center"/>
              <w:rPr>
                <w:rFonts w:cs="Arial"/>
                <w:sz w:val="18"/>
                <w:szCs w:val="18"/>
              </w:rPr>
            </w:pPr>
            <w:r w:rsidRPr="00B148B1">
              <w:rPr>
                <w:rFonts w:cs="Arial"/>
                <w:sz w:val="18"/>
                <w:szCs w:val="18"/>
              </w:rPr>
              <w:t>6,3</w:t>
            </w:r>
          </w:p>
        </w:tc>
        <w:tc>
          <w:tcPr>
            <w:tcW w:w="617" w:type="pct"/>
            <w:shd w:val="clear" w:color="auto" w:fill="auto"/>
            <w:noWrap/>
            <w:hideMark/>
          </w:tcPr>
          <w:p w:rsidR="00706F29" w:rsidRPr="00B148B1" w:rsidRDefault="00706F29">
            <w:pPr>
              <w:jc w:val="center"/>
              <w:rPr>
                <w:rFonts w:cs="Arial"/>
                <w:sz w:val="18"/>
                <w:szCs w:val="18"/>
              </w:rPr>
            </w:pPr>
            <w:r w:rsidRPr="00B148B1">
              <w:rPr>
                <w:rFonts w:cs="Arial"/>
                <w:sz w:val="18"/>
                <w:szCs w:val="18"/>
              </w:rPr>
              <w:t>20</w:t>
            </w:r>
          </w:p>
        </w:tc>
        <w:tc>
          <w:tcPr>
            <w:tcW w:w="692" w:type="pct"/>
            <w:shd w:val="clear" w:color="auto" w:fill="auto"/>
            <w:noWrap/>
            <w:hideMark/>
          </w:tcPr>
          <w:p w:rsidR="00706F29" w:rsidRPr="00B148B1" w:rsidRDefault="00706F29">
            <w:pPr>
              <w:jc w:val="center"/>
              <w:rPr>
                <w:rFonts w:cs="Arial"/>
                <w:sz w:val="18"/>
                <w:szCs w:val="18"/>
              </w:rPr>
            </w:pPr>
            <w:r w:rsidRPr="00B148B1">
              <w:rPr>
                <w:rFonts w:cs="Arial"/>
                <w:sz w:val="18"/>
                <w:szCs w:val="18"/>
              </w:rPr>
              <w:t>16,3</w:t>
            </w:r>
          </w:p>
        </w:tc>
        <w:tc>
          <w:tcPr>
            <w:tcW w:w="617" w:type="pct"/>
            <w:shd w:val="clear" w:color="auto" w:fill="auto"/>
            <w:noWrap/>
            <w:hideMark/>
          </w:tcPr>
          <w:p w:rsidR="00706F29" w:rsidRPr="00B148B1" w:rsidRDefault="00706F29">
            <w:pPr>
              <w:jc w:val="center"/>
              <w:rPr>
                <w:rFonts w:cs="Arial"/>
                <w:sz w:val="18"/>
                <w:szCs w:val="18"/>
              </w:rPr>
            </w:pPr>
            <w:r w:rsidRPr="00B148B1">
              <w:rPr>
                <w:rFonts w:cs="Arial"/>
                <w:sz w:val="18"/>
                <w:szCs w:val="18"/>
              </w:rPr>
              <w:t>0,9</w:t>
            </w:r>
          </w:p>
        </w:tc>
        <w:tc>
          <w:tcPr>
            <w:tcW w:w="726" w:type="pct"/>
            <w:shd w:val="clear" w:color="auto" w:fill="auto"/>
            <w:noWrap/>
            <w:hideMark/>
          </w:tcPr>
          <w:p w:rsidR="00706F29" w:rsidRPr="00B148B1" w:rsidRDefault="00706F29">
            <w:pPr>
              <w:jc w:val="center"/>
              <w:rPr>
                <w:rFonts w:cs="Arial"/>
                <w:sz w:val="18"/>
                <w:szCs w:val="18"/>
              </w:rPr>
            </w:pPr>
            <w:r w:rsidRPr="00B148B1">
              <w:rPr>
                <w:rFonts w:cs="Arial"/>
                <w:sz w:val="18"/>
                <w:szCs w:val="18"/>
              </w:rPr>
              <w:t>9</w:t>
            </w:r>
          </w:p>
        </w:tc>
      </w:tr>
      <w:tr w:rsidR="00706F29" w:rsidRPr="00B148B1" w:rsidTr="00217A9B">
        <w:trPr>
          <w:trHeight w:val="300"/>
        </w:trPr>
        <w:tc>
          <w:tcPr>
            <w:tcW w:w="1115" w:type="pct"/>
            <w:shd w:val="clear" w:color="auto" w:fill="auto"/>
            <w:vAlign w:val="center"/>
            <w:hideMark/>
          </w:tcPr>
          <w:p w:rsidR="00706F29" w:rsidRPr="00B148B1" w:rsidRDefault="00706F29" w:rsidP="00F44F64">
            <w:pPr>
              <w:spacing w:line="240" w:lineRule="auto"/>
              <w:jc w:val="left"/>
              <w:rPr>
                <w:rFonts w:cs="Arial"/>
                <w:color w:val="000000"/>
                <w:sz w:val="18"/>
                <w:szCs w:val="18"/>
                <w:lang w:eastAsia="sl-SI"/>
              </w:rPr>
            </w:pPr>
            <w:r w:rsidRPr="00B148B1">
              <w:rPr>
                <w:rFonts w:cs="Arial"/>
                <w:sz w:val="18"/>
                <w:szCs w:val="18"/>
              </w:rPr>
              <w:t>Obalno-Kraška</w:t>
            </w:r>
          </w:p>
        </w:tc>
        <w:tc>
          <w:tcPr>
            <w:tcW w:w="616" w:type="pct"/>
            <w:shd w:val="clear" w:color="auto" w:fill="auto"/>
            <w:noWrap/>
            <w:hideMark/>
          </w:tcPr>
          <w:p w:rsidR="00706F29" w:rsidRPr="00B148B1" w:rsidRDefault="00706F29">
            <w:pPr>
              <w:jc w:val="center"/>
              <w:rPr>
                <w:rFonts w:cs="Arial"/>
                <w:sz w:val="18"/>
                <w:szCs w:val="18"/>
              </w:rPr>
            </w:pPr>
            <w:r w:rsidRPr="00B148B1">
              <w:rPr>
                <w:rFonts w:cs="Arial"/>
                <w:sz w:val="18"/>
                <w:szCs w:val="18"/>
              </w:rPr>
              <w:t>63,2</w:t>
            </w:r>
          </w:p>
        </w:tc>
        <w:tc>
          <w:tcPr>
            <w:tcW w:w="617" w:type="pct"/>
            <w:shd w:val="clear" w:color="auto" w:fill="auto"/>
            <w:noWrap/>
            <w:hideMark/>
          </w:tcPr>
          <w:p w:rsidR="00706F29" w:rsidRPr="00B148B1" w:rsidRDefault="00706F29">
            <w:pPr>
              <w:jc w:val="center"/>
              <w:rPr>
                <w:rFonts w:cs="Arial"/>
                <w:sz w:val="18"/>
                <w:szCs w:val="18"/>
              </w:rPr>
            </w:pPr>
            <w:r w:rsidRPr="00B148B1">
              <w:rPr>
                <w:rFonts w:cs="Arial"/>
                <w:sz w:val="18"/>
                <w:szCs w:val="18"/>
              </w:rPr>
              <w:t>13,2</w:t>
            </w:r>
          </w:p>
        </w:tc>
        <w:tc>
          <w:tcPr>
            <w:tcW w:w="617" w:type="pct"/>
            <w:shd w:val="clear" w:color="auto" w:fill="auto"/>
            <w:noWrap/>
            <w:hideMark/>
          </w:tcPr>
          <w:p w:rsidR="00706F29" w:rsidRPr="00B148B1" w:rsidRDefault="00706F29">
            <w:pPr>
              <w:jc w:val="center"/>
              <w:rPr>
                <w:rFonts w:cs="Arial"/>
                <w:sz w:val="18"/>
                <w:szCs w:val="18"/>
              </w:rPr>
            </w:pPr>
            <w:r w:rsidRPr="00B148B1">
              <w:rPr>
                <w:rFonts w:cs="Arial"/>
                <w:sz w:val="18"/>
                <w:szCs w:val="18"/>
              </w:rPr>
              <w:t>76,4</w:t>
            </w:r>
          </w:p>
        </w:tc>
        <w:tc>
          <w:tcPr>
            <w:tcW w:w="692" w:type="pct"/>
            <w:shd w:val="clear" w:color="auto" w:fill="auto"/>
            <w:noWrap/>
            <w:hideMark/>
          </w:tcPr>
          <w:p w:rsidR="00706F29" w:rsidRPr="00B148B1" w:rsidRDefault="00706F29">
            <w:pPr>
              <w:jc w:val="center"/>
              <w:rPr>
                <w:rFonts w:cs="Arial"/>
                <w:sz w:val="18"/>
                <w:szCs w:val="18"/>
              </w:rPr>
            </w:pPr>
            <w:r w:rsidRPr="00B148B1">
              <w:rPr>
                <w:rFonts w:cs="Arial"/>
                <w:sz w:val="18"/>
                <w:szCs w:val="18"/>
              </w:rPr>
              <w:t>45,8</w:t>
            </w:r>
          </w:p>
        </w:tc>
        <w:tc>
          <w:tcPr>
            <w:tcW w:w="617" w:type="pct"/>
            <w:shd w:val="clear" w:color="auto" w:fill="auto"/>
            <w:noWrap/>
            <w:hideMark/>
          </w:tcPr>
          <w:p w:rsidR="00706F29" w:rsidRPr="00B148B1" w:rsidRDefault="00706F29">
            <w:pPr>
              <w:jc w:val="center"/>
              <w:rPr>
                <w:rFonts w:cs="Arial"/>
                <w:sz w:val="18"/>
                <w:szCs w:val="18"/>
              </w:rPr>
            </w:pPr>
            <w:r w:rsidRPr="00B148B1">
              <w:rPr>
                <w:rFonts w:cs="Arial"/>
                <w:sz w:val="18"/>
                <w:szCs w:val="18"/>
              </w:rPr>
              <w:t>0,4</w:t>
            </w:r>
          </w:p>
        </w:tc>
        <w:tc>
          <w:tcPr>
            <w:tcW w:w="726" w:type="pct"/>
            <w:shd w:val="clear" w:color="auto" w:fill="auto"/>
            <w:noWrap/>
            <w:hideMark/>
          </w:tcPr>
          <w:p w:rsidR="00706F29" w:rsidRPr="00B148B1" w:rsidRDefault="00706F29">
            <w:pPr>
              <w:jc w:val="center"/>
              <w:rPr>
                <w:rFonts w:cs="Arial"/>
                <w:sz w:val="18"/>
                <w:szCs w:val="18"/>
              </w:rPr>
            </w:pPr>
            <w:r w:rsidRPr="00B148B1">
              <w:rPr>
                <w:rFonts w:cs="Arial"/>
                <w:sz w:val="18"/>
                <w:szCs w:val="18"/>
              </w:rPr>
              <w:t>8,6</w:t>
            </w:r>
          </w:p>
        </w:tc>
      </w:tr>
      <w:tr w:rsidR="00706F29" w:rsidRPr="00B148B1" w:rsidTr="00217A9B">
        <w:trPr>
          <w:trHeight w:val="300"/>
        </w:trPr>
        <w:tc>
          <w:tcPr>
            <w:tcW w:w="1115" w:type="pct"/>
            <w:shd w:val="clear" w:color="auto" w:fill="auto"/>
            <w:vAlign w:val="center"/>
            <w:hideMark/>
          </w:tcPr>
          <w:p w:rsidR="00706F29" w:rsidRPr="00B148B1" w:rsidRDefault="00706F29" w:rsidP="00F44F64">
            <w:pPr>
              <w:spacing w:line="240" w:lineRule="auto"/>
              <w:jc w:val="left"/>
              <w:rPr>
                <w:rFonts w:cs="Arial"/>
                <w:color w:val="000000"/>
                <w:sz w:val="18"/>
                <w:szCs w:val="18"/>
                <w:lang w:eastAsia="sl-SI"/>
              </w:rPr>
            </w:pPr>
            <w:r w:rsidRPr="00B148B1">
              <w:rPr>
                <w:rFonts w:cs="Arial"/>
                <w:sz w:val="18"/>
                <w:szCs w:val="18"/>
              </w:rPr>
              <w:t>Osrednjeslovenska</w:t>
            </w:r>
          </w:p>
        </w:tc>
        <w:tc>
          <w:tcPr>
            <w:tcW w:w="616" w:type="pct"/>
            <w:shd w:val="clear" w:color="auto" w:fill="auto"/>
            <w:noWrap/>
            <w:hideMark/>
          </w:tcPr>
          <w:p w:rsidR="00706F29" w:rsidRPr="00B148B1" w:rsidRDefault="00706F29">
            <w:pPr>
              <w:jc w:val="center"/>
              <w:rPr>
                <w:rFonts w:cs="Arial"/>
                <w:sz w:val="18"/>
                <w:szCs w:val="18"/>
              </w:rPr>
            </w:pPr>
            <w:r w:rsidRPr="00B148B1">
              <w:rPr>
                <w:rFonts w:cs="Arial"/>
                <w:sz w:val="18"/>
                <w:szCs w:val="18"/>
              </w:rPr>
              <w:t>234,8</w:t>
            </w:r>
          </w:p>
        </w:tc>
        <w:tc>
          <w:tcPr>
            <w:tcW w:w="617" w:type="pct"/>
            <w:shd w:val="clear" w:color="auto" w:fill="auto"/>
            <w:noWrap/>
            <w:hideMark/>
          </w:tcPr>
          <w:p w:rsidR="00706F29" w:rsidRPr="00B148B1" w:rsidRDefault="00706F29">
            <w:pPr>
              <w:jc w:val="center"/>
              <w:rPr>
                <w:rFonts w:cs="Arial"/>
                <w:sz w:val="18"/>
                <w:szCs w:val="18"/>
              </w:rPr>
            </w:pPr>
            <w:r w:rsidRPr="00B148B1">
              <w:rPr>
                <w:rFonts w:cs="Arial"/>
                <w:sz w:val="18"/>
                <w:szCs w:val="18"/>
              </w:rPr>
              <w:t>49,6</w:t>
            </w:r>
          </w:p>
        </w:tc>
        <w:tc>
          <w:tcPr>
            <w:tcW w:w="617" w:type="pct"/>
            <w:shd w:val="clear" w:color="auto" w:fill="auto"/>
            <w:noWrap/>
            <w:hideMark/>
          </w:tcPr>
          <w:p w:rsidR="00706F29" w:rsidRPr="00B148B1" w:rsidRDefault="00706F29">
            <w:pPr>
              <w:jc w:val="center"/>
              <w:rPr>
                <w:rFonts w:cs="Arial"/>
                <w:sz w:val="18"/>
                <w:szCs w:val="18"/>
              </w:rPr>
            </w:pPr>
            <w:r w:rsidRPr="00B148B1">
              <w:rPr>
                <w:rFonts w:cs="Arial"/>
                <w:sz w:val="18"/>
                <w:szCs w:val="18"/>
              </w:rPr>
              <w:t>284,4</w:t>
            </w:r>
          </w:p>
        </w:tc>
        <w:tc>
          <w:tcPr>
            <w:tcW w:w="692" w:type="pct"/>
            <w:shd w:val="clear" w:color="auto" w:fill="auto"/>
            <w:noWrap/>
            <w:hideMark/>
          </w:tcPr>
          <w:p w:rsidR="00706F29" w:rsidRPr="00B148B1" w:rsidRDefault="00706F29">
            <w:pPr>
              <w:jc w:val="center"/>
              <w:rPr>
                <w:rFonts w:cs="Arial"/>
                <w:sz w:val="18"/>
                <w:szCs w:val="18"/>
              </w:rPr>
            </w:pPr>
            <w:r w:rsidRPr="00B148B1">
              <w:rPr>
                <w:rFonts w:cs="Arial"/>
                <w:sz w:val="18"/>
                <w:szCs w:val="18"/>
              </w:rPr>
              <w:t>212,4</w:t>
            </w:r>
          </w:p>
        </w:tc>
        <w:tc>
          <w:tcPr>
            <w:tcW w:w="617" w:type="pct"/>
            <w:shd w:val="clear" w:color="auto" w:fill="auto"/>
            <w:noWrap/>
            <w:hideMark/>
          </w:tcPr>
          <w:p w:rsidR="00706F29" w:rsidRPr="00B148B1" w:rsidRDefault="00706F29">
            <w:pPr>
              <w:jc w:val="center"/>
              <w:rPr>
                <w:rFonts w:cs="Arial"/>
                <w:sz w:val="18"/>
                <w:szCs w:val="18"/>
              </w:rPr>
            </w:pPr>
            <w:r w:rsidRPr="00B148B1">
              <w:rPr>
                <w:rFonts w:cs="Arial"/>
                <w:sz w:val="18"/>
                <w:szCs w:val="18"/>
              </w:rPr>
              <w:t>1,3</w:t>
            </w:r>
          </w:p>
        </w:tc>
        <w:tc>
          <w:tcPr>
            <w:tcW w:w="726" w:type="pct"/>
            <w:shd w:val="clear" w:color="auto" w:fill="auto"/>
            <w:noWrap/>
            <w:hideMark/>
          </w:tcPr>
          <w:p w:rsidR="00706F29" w:rsidRPr="00B148B1" w:rsidRDefault="00706F29">
            <w:pPr>
              <w:jc w:val="center"/>
              <w:rPr>
                <w:rFonts w:cs="Arial"/>
                <w:sz w:val="18"/>
                <w:szCs w:val="18"/>
              </w:rPr>
            </w:pPr>
            <w:r w:rsidRPr="00B148B1">
              <w:rPr>
                <w:rFonts w:cs="Arial"/>
                <w:sz w:val="18"/>
                <w:szCs w:val="18"/>
              </w:rPr>
              <w:t>26,8</w:t>
            </w:r>
          </w:p>
        </w:tc>
      </w:tr>
      <w:tr w:rsidR="00706F29" w:rsidRPr="00B148B1" w:rsidTr="00217A9B">
        <w:trPr>
          <w:trHeight w:val="300"/>
        </w:trPr>
        <w:tc>
          <w:tcPr>
            <w:tcW w:w="1115" w:type="pct"/>
            <w:shd w:val="clear" w:color="auto" w:fill="auto"/>
            <w:vAlign w:val="center"/>
            <w:hideMark/>
          </w:tcPr>
          <w:p w:rsidR="00706F29" w:rsidRPr="00B148B1" w:rsidRDefault="00706F29" w:rsidP="00F44F64">
            <w:pPr>
              <w:spacing w:line="240" w:lineRule="auto"/>
              <w:jc w:val="left"/>
              <w:rPr>
                <w:rFonts w:cs="Arial"/>
                <w:color w:val="000000"/>
                <w:sz w:val="18"/>
                <w:szCs w:val="18"/>
                <w:lang w:eastAsia="sl-SI"/>
              </w:rPr>
            </w:pPr>
            <w:r w:rsidRPr="00B148B1">
              <w:rPr>
                <w:rFonts w:cs="Arial"/>
                <w:sz w:val="18"/>
                <w:szCs w:val="18"/>
              </w:rPr>
              <w:t>Podravska</w:t>
            </w:r>
          </w:p>
        </w:tc>
        <w:tc>
          <w:tcPr>
            <w:tcW w:w="616" w:type="pct"/>
            <w:shd w:val="clear" w:color="auto" w:fill="auto"/>
            <w:noWrap/>
            <w:hideMark/>
          </w:tcPr>
          <w:p w:rsidR="00706F29" w:rsidRPr="00B148B1" w:rsidRDefault="00706F29">
            <w:pPr>
              <w:jc w:val="center"/>
              <w:rPr>
                <w:rFonts w:cs="Arial"/>
                <w:sz w:val="18"/>
                <w:szCs w:val="18"/>
              </w:rPr>
            </w:pPr>
            <w:r w:rsidRPr="00B148B1">
              <w:rPr>
                <w:rFonts w:cs="Arial"/>
                <w:sz w:val="18"/>
                <w:szCs w:val="18"/>
              </w:rPr>
              <w:t>105,8</w:t>
            </w:r>
          </w:p>
        </w:tc>
        <w:tc>
          <w:tcPr>
            <w:tcW w:w="617" w:type="pct"/>
            <w:shd w:val="clear" w:color="auto" w:fill="auto"/>
            <w:noWrap/>
            <w:hideMark/>
          </w:tcPr>
          <w:p w:rsidR="00706F29" w:rsidRPr="00B148B1" w:rsidRDefault="00706F29">
            <w:pPr>
              <w:jc w:val="center"/>
              <w:rPr>
                <w:rFonts w:cs="Arial"/>
                <w:sz w:val="18"/>
                <w:szCs w:val="18"/>
              </w:rPr>
            </w:pPr>
            <w:r w:rsidRPr="00B148B1">
              <w:rPr>
                <w:rFonts w:cs="Arial"/>
                <w:sz w:val="18"/>
                <w:szCs w:val="18"/>
              </w:rPr>
              <w:t>17,4</w:t>
            </w:r>
          </w:p>
        </w:tc>
        <w:tc>
          <w:tcPr>
            <w:tcW w:w="617" w:type="pct"/>
            <w:shd w:val="clear" w:color="auto" w:fill="auto"/>
            <w:noWrap/>
            <w:hideMark/>
          </w:tcPr>
          <w:p w:rsidR="00706F29" w:rsidRPr="00B148B1" w:rsidRDefault="00706F29">
            <w:pPr>
              <w:jc w:val="center"/>
              <w:rPr>
                <w:rFonts w:cs="Arial"/>
                <w:sz w:val="18"/>
                <w:szCs w:val="18"/>
              </w:rPr>
            </w:pPr>
            <w:r w:rsidRPr="00B148B1">
              <w:rPr>
                <w:rFonts w:cs="Arial"/>
                <w:sz w:val="18"/>
                <w:szCs w:val="18"/>
              </w:rPr>
              <w:t>123,2</w:t>
            </w:r>
          </w:p>
        </w:tc>
        <w:tc>
          <w:tcPr>
            <w:tcW w:w="692" w:type="pct"/>
            <w:shd w:val="clear" w:color="auto" w:fill="auto"/>
            <w:noWrap/>
            <w:hideMark/>
          </w:tcPr>
          <w:p w:rsidR="00706F29" w:rsidRPr="00B148B1" w:rsidRDefault="00706F29">
            <w:pPr>
              <w:jc w:val="center"/>
              <w:rPr>
                <w:rFonts w:cs="Arial"/>
                <w:sz w:val="18"/>
                <w:szCs w:val="18"/>
              </w:rPr>
            </w:pPr>
            <w:r w:rsidRPr="00B148B1">
              <w:rPr>
                <w:rFonts w:cs="Arial"/>
                <w:sz w:val="18"/>
                <w:szCs w:val="18"/>
              </w:rPr>
              <w:t>101,2</w:t>
            </w:r>
          </w:p>
        </w:tc>
        <w:tc>
          <w:tcPr>
            <w:tcW w:w="617" w:type="pct"/>
            <w:shd w:val="clear" w:color="auto" w:fill="auto"/>
            <w:noWrap/>
            <w:hideMark/>
          </w:tcPr>
          <w:p w:rsidR="00706F29" w:rsidRPr="00B148B1" w:rsidRDefault="00706F29">
            <w:pPr>
              <w:jc w:val="center"/>
              <w:rPr>
                <w:rFonts w:cs="Arial"/>
                <w:sz w:val="18"/>
                <w:szCs w:val="18"/>
              </w:rPr>
            </w:pPr>
            <w:r w:rsidRPr="00B148B1">
              <w:rPr>
                <w:rFonts w:cs="Arial"/>
                <w:sz w:val="18"/>
                <w:szCs w:val="18"/>
              </w:rPr>
              <w:t>1,1</w:t>
            </w:r>
          </w:p>
        </w:tc>
        <w:tc>
          <w:tcPr>
            <w:tcW w:w="726" w:type="pct"/>
            <w:shd w:val="clear" w:color="auto" w:fill="auto"/>
            <w:noWrap/>
            <w:hideMark/>
          </w:tcPr>
          <w:p w:rsidR="00706F29" w:rsidRPr="00B148B1" w:rsidRDefault="00706F29">
            <w:pPr>
              <w:jc w:val="center"/>
              <w:rPr>
                <w:rFonts w:cs="Arial"/>
                <w:sz w:val="18"/>
                <w:szCs w:val="18"/>
              </w:rPr>
            </w:pPr>
            <w:r w:rsidRPr="00B148B1">
              <w:rPr>
                <w:rFonts w:cs="Arial"/>
                <w:sz w:val="18"/>
                <w:szCs w:val="18"/>
              </w:rPr>
              <w:t>37,8</w:t>
            </w:r>
          </w:p>
        </w:tc>
      </w:tr>
      <w:tr w:rsidR="00706F29" w:rsidRPr="00B148B1" w:rsidTr="00217A9B">
        <w:trPr>
          <w:trHeight w:val="300"/>
        </w:trPr>
        <w:tc>
          <w:tcPr>
            <w:tcW w:w="1115" w:type="pct"/>
            <w:shd w:val="clear" w:color="auto" w:fill="auto"/>
            <w:vAlign w:val="center"/>
            <w:hideMark/>
          </w:tcPr>
          <w:p w:rsidR="00706F29" w:rsidRPr="00B148B1" w:rsidRDefault="00706F29" w:rsidP="00F44F64">
            <w:pPr>
              <w:spacing w:line="240" w:lineRule="auto"/>
              <w:jc w:val="left"/>
              <w:rPr>
                <w:rFonts w:cs="Arial"/>
                <w:color w:val="000000"/>
                <w:sz w:val="18"/>
                <w:szCs w:val="18"/>
                <w:lang w:eastAsia="sl-SI"/>
              </w:rPr>
            </w:pPr>
            <w:r w:rsidRPr="00B148B1">
              <w:rPr>
                <w:rFonts w:cs="Arial"/>
                <w:sz w:val="18"/>
                <w:szCs w:val="18"/>
              </w:rPr>
              <w:t>Pomurska</w:t>
            </w:r>
          </w:p>
        </w:tc>
        <w:tc>
          <w:tcPr>
            <w:tcW w:w="616" w:type="pct"/>
            <w:shd w:val="clear" w:color="auto" w:fill="auto"/>
            <w:noWrap/>
            <w:hideMark/>
          </w:tcPr>
          <w:p w:rsidR="00706F29" w:rsidRPr="00B148B1" w:rsidRDefault="00706F29">
            <w:pPr>
              <w:jc w:val="center"/>
              <w:rPr>
                <w:rFonts w:cs="Arial"/>
                <w:sz w:val="18"/>
                <w:szCs w:val="18"/>
              </w:rPr>
            </w:pPr>
            <w:r w:rsidRPr="00B148B1">
              <w:rPr>
                <w:rFonts w:cs="Arial"/>
                <w:sz w:val="18"/>
                <w:szCs w:val="18"/>
              </w:rPr>
              <w:t>26</w:t>
            </w:r>
          </w:p>
        </w:tc>
        <w:tc>
          <w:tcPr>
            <w:tcW w:w="617" w:type="pct"/>
            <w:shd w:val="clear" w:color="auto" w:fill="auto"/>
            <w:noWrap/>
            <w:hideMark/>
          </w:tcPr>
          <w:p w:rsidR="00706F29" w:rsidRPr="00B148B1" w:rsidRDefault="00706F29">
            <w:pPr>
              <w:jc w:val="center"/>
              <w:rPr>
                <w:rFonts w:cs="Arial"/>
                <w:sz w:val="18"/>
                <w:szCs w:val="18"/>
              </w:rPr>
            </w:pPr>
            <w:r w:rsidRPr="00B148B1">
              <w:rPr>
                <w:rFonts w:cs="Arial"/>
                <w:sz w:val="18"/>
                <w:szCs w:val="18"/>
              </w:rPr>
              <w:t>6</w:t>
            </w:r>
          </w:p>
        </w:tc>
        <w:tc>
          <w:tcPr>
            <w:tcW w:w="617" w:type="pct"/>
            <w:shd w:val="clear" w:color="auto" w:fill="auto"/>
            <w:noWrap/>
            <w:hideMark/>
          </w:tcPr>
          <w:p w:rsidR="00706F29" w:rsidRPr="00B148B1" w:rsidRDefault="00706F29">
            <w:pPr>
              <w:jc w:val="center"/>
              <w:rPr>
                <w:rFonts w:cs="Arial"/>
                <w:sz w:val="18"/>
                <w:szCs w:val="18"/>
              </w:rPr>
            </w:pPr>
            <w:r w:rsidRPr="00B148B1">
              <w:rPr>
                <w:rFonts w:cs="Arial"/>
                <w:sz w:val="18"/>
                <w:szCs w:val="18"/>
              </w:rPr>
              <w:t>32</w:t>
            </w:r>
          </w:p>
        </w:tc>
        <w:tc>
          <w:tcPr>
            <w:tcW w:w="692" w:type="pct"/>
            <w:shd w:val="clear" w:color="auto" w:fill="auto"/>
            <w:noWrap/>
            <w:hideMark/>
          </w:tcPr>
          <w:p w:rsidR="00706F29" w:rsidRPr="00B148B1" w:rsidRDefault="00706F29">
            <w:pPr>
              <w:jc w:val="center"/>
              <w:rPr>
                <w:rFonts w:cs="Arial"/>
                <w:sz w:val="18"/>
                <w:szCs w:val="18"/>
              </w:rPr>
            </w:pPr>
            <w:r w:rsidRPr="00B148B1">
              <w:rPr>
                <w:rFonts w:cs="Arial"/>
                <w:sz w:val="18"/>
                <w:szCs w:val="18"/>
              </w:rPr>
              <w:t>21,2</w:t>
            </w:r>
          </w:p>
        </w:tc>
        <w:tc>
          <w:tcPr>
            <w:tcW w:w="617" w:type="pct"/>
            <w:shd w:val="clear" w:color="auto" w:fill="auto"/>
            <w:noWrap/>
            <w:hideMark/>
          </w:tcPr>
          <w:p w:rsidR="00706F29" w:rsidRPr="00B148B1" w:rsidRDefault="00706F29">
            <w:pPr>
              <w:jc w:val="center"/>
              <w:rPr>
                <w:rFonts w:cs="Arial"/>
                <w:sz w:val="18"/>
                <w:szCs w:val="18"/>
              </w:rPr>
            </w:pPr>
            <w:r w:rsidRPr="00B148B1">
              <w:rPr>
                <w:rFonts w:cs="Arial"/>
                <w:sz w:val="18"/>
                <w:szCs w:val="18"/>
              </w:rPr>
              <w:t>3</w:t>
            </w:r>
          </w:p>
        </w:tc>
        <w:tc>
          <w:tcPr>
            <w:tcW w:w="726" w:type="pct"/>
            <w:shd w:val="clear" w:color="auto" w:fill="auto"/>
            <w:noWrap/>
            <w:hideMark/>
          </w:tcPr>
          <w:p w:rsidR="00706F29" w:rsidRPr="00B148B1" w:rsidRDefault="00706F29">
            <w:pPr>
              <w:jc w:val="center"/>
              <w:rPr>
                <w:rFonts w:cs="Arial"/>
                <w:sz w:val="18"/>
                <w:szCs w:val="18"/>
              </w:rPr>
            </w:pPr>
            <w:r w:rsidRPr="00B148B1">
              <w:rPr>
                <w:rFonts w:cs="Arial"/>
                <w:sz w:val="18"/>
                <w:szCs w:val="18"/>
              </w:rPr>
              <w:t>11,2</w:t>
            </w:r>
          </w:p>
        </w:tc>
      </w:tr>
      <w:tr w:rsidR="00706F29" w:rsidRPr="00B148B1" w:rsidTr="00217A9B">
        <w:trPr>
          <w:trHeight w:val="300"/>
        </w:trPr>
        <w:tc>
          <w:tcPr>
            <w:tcW w:w="1115" w:type="pct"/>
            <w:shd w:val="clear" w:color="auto" w:fill="auto"/>
            <w:vAlign w:val="center"/>
            <w:hideMark/>
          </w:tcPr>
          <w:p w:rsidR="00706F29" w:rsidRPr="00B148B1" w:rsidRDefault="00706F29" w:rsidP="00F44F64">
            <w:pPr>
              <w:spacing w:line="240" w:lineRule="auto"/>
              <w:jc w:val="left"/>
              <w:rPr>
                <w:rFonts w:cs="Arial"/>
                <w:color w:val="000000"/>
                <w:sz w:val="18"/>
                <w:szCs w:val="18"/>
                <w:lang w:eastAsia="sl-SI"/>
              </w:rPr>
            </w:pPr>
            <w:r w:rsidRPr="00B148B1">
              <w:rPr>
                <w:rFonts w:cs="Arial"/>
                <w:sz w:val="18"/>
                <w:szCs w:val="18"/>
              </w:rPr>
              <w:t>Posavska</w:t>
            </w:r>
          </w:p>
        </w:tc>
        <w:tc>
          <w:tcPr>
            <w:tcW w:w="616" w:type="pct"/>
            <w:shd w:val="clear" w:color="auto" w:fill="auto"/>
            <w:noWrap/>
            <w:hideMark/>
          </w:tcPr>
          <w:p w:rsidR="00706F29" w:rsidRPr="00B148B1" w:rsidRDefault="00706F29">
            <w:pPr>
              <w:jc w:val="center"/>
              <w:rPr>
                <w:rFonts w:cs="Arial"/>
                <w:sz w:val="18"/>
                <w:szCs w:val="18"/>
              </w:rPr>
            </w:pPr>
            <w:r w:rsidRPr="00B148B1">
              <w:rPr>
                <w:rFonts w:cs="Arial"/>
                <w:sz w:val="18"/>
                <w:szCs w:val="18"/>
              </w:rPr>
              <w:t>36,9</w:t>
            </w:r>
          </w:p>
        </w:tc>
        <w:tc>
          <w:tcPr>
            <w:tcW w:w="617" w:type="pct"/>
            <w:shd w:val="clear" w:color="auto" w:fill="auto"/>
            <w:noWrap/>
            <w:hideMark/>
          </w:tcPr>
          <w:p w:rsidR="00706F29" w:rsidRPr="00B148B1" w:rsidRDefault="00706F29">
            <w:pPr>
              <w:jc w:val="center"/>
              <w:rPr>
                <w:rFonts w:cs="Arial"/>
                <w:sz w:val="18"/>
                <w:szCs w:val="18"/>
              </w:rPr>
            </w:pPr>
            <w:r w:rsidRPr="00B148B1">
              <w:rPr>
                <w:rFonts w:cs="Arial"/>
                <w:sz w:val="18"/>
                <w:szCs w:val="18"/>
              </w:rPr>
              <w:t>7,8</w:t>
            </w:r>
          </w:p>
        </w:tc>
        <w:tc>
          <w:tcPr>
            <w:tcW w:w="617" w:type="pct"/>
            <w:shd w:val="clear" w:color="auto" w:fill="auto"/>
            <w:noWrap/>
            <w:hideMark/>
          </w:tcPr>
          <w:p w:rsidR="00706F29" w:rsidRPr="00B148B1" w:rsidRDefault="00706F29">
            <w:pPr>
              <w:jc w:val="center"/>
              <w:rPr>
                <w:rFonts w:cs="Arial"/>
                <w:sz w:val="18"/>
                <w:szCs w:val="18"/>
              </w:rPr>
            </w:pPr>
            <w:r w:rsidRPr="00B148B1">
              <w:rPr>
                <w:rFonts w:cs="Arial"/>
                <w:sz w:val="18"/>
                <w:szCs w:val="18"/>
              </w:rPr>
              <w:t>44,7</w:t>
            </w:r>
          </w:p>
        </w:tc>
        <w:tc>
          <w:tcPr>
            <w:tcW w:w="692" w:type="pct"/>
            <w:shd w:val="clear" w:color="auto" w:fill="auto"/>
            <w:noWrap/>
            <w:hideMark/>
          </w:tcPr>
          <w:p w:rsidR="00706F29" w:rsidRPr="00B148B1" w:rsidRDefault="00706F29">
            <w:pPr>
              <w:jc w:val="center"/>
              <w:rPr>
                <w:rFonts w:cs="Arial"/>
                <w:sz w:val="18"/>
                <w:szCs w:val="18"/>
              </w:rPr>
            </w:pPr>
            <w:r w:rsidRPr="00B148B1">
              <w:rPr>
                <w:rFonts w:cs="Arial"/>
                <w:sz w:val="18"/>
                <w:szCs w:val="18"/>
              </w:rPr>
              <w:t>21,5</w:t>
            </w:r>
          </w:p>
        </w:tc>
        <w:tc>
          <w:tcPr>
            <w:tcW w:w="617" w:type="pct"/>
            <w:shd w:val="clear" w:color="auto" w:fill="auto"/>
            <w:noWrap/>
            <w:hideMark/>
          </w:tcPr>
          <w:p w:rsidR="00706F29" w:rsidRPr="00B148B1" w:rsidRDefault="00706F29">
            <w:pPr>
              <w:jc w:val="center"/>
              <w:rPr>
                <w:rFonts w:cs="Arial"/>
                <w:sz w:val="18"/>
                <w:szCs w:val="18"/>
              </w:rPr>
            </w:pPr>
            <w:r w:rsidRPr="00B148B1">
              <w:rPr>
                <w:rFonts w:cs="Arial"/>
                <w:sz w:val="18"/>
                <w:szCs w:val="18"/>
              </w:rPr>
              <w:t>1,4</w:t>
            </w:r>
          </w:p>
        </w:tc>
        <w:tc>
          <w:tcPr>
            <w:tcW w:w="726" w:type="pct"/>
            <w:shd w:val="clear" w:color="auto" w:fill="auto"/>
            <w:noWrap/>
            <w:hideMark/>
          </w:tcPr>
          <w:p w:rsidR="00706F29" w:rsidRPr="00B148B1" w:rsidRDefault="00706F29">
            <w:pPr>
              <w:jc w:val="center"/>
              <w:rPr>
                <w:rFonts w:cs="Arial"/>
                <w:sz w:val="18"/>
                <w:szCs w:val="18"/>
              </w:rPr>
            </w:pPr>
            <w:r w:rsidRPr="00B148B1">
              <w:rPr>
                <w:rFonts w:cs="Arial"/>
                <w:sz w:val="18"/>
                <w:szCs w:val="18"/>
              </w:rPr>
              <w:t>16,2</w:t>
            </w:r>
          </w:p>
        </w:tc>
      </w:tr>
      <w:tr w:rsidR="00706F29" w:rsidRPr="00B148B1" w:rsidTr="00217A9B">
        <w:trPr>
          <w:trHeight w:val="300"/>
        </w:trPr>
        <w:tc>
          <w:tcPr>
            <w:tcW w:w="1115" w:type="pct"/>
            <w:shd w:val="clear" w:color="auto" w:fill="auto"/>
            <w:vAlign w:val="center"/>
            <w:hideMark/>
          </w:tcPr>
          <w:p w:rsidR="00706F29" w:rsidRPr="00B148B1" w:rsidRDefault="00706F29" w:rsidP="00F44F64">
            <w:pPr>
              <w:spacing w:line="240" w:lineRule="auto"/>
              <w:jc w:val="left"/>
              <w:rPr>
                <w:rFonts w:cs="Arial"/>
                <w:color w:val="000000"/>
                <w:sz w:val="18"/>
                <w:szCs w:val="18"/>
                <w:lang w:eastAsia="sl-SI"/>
              </w:rPr>
            </w:pPr>
            <w:r w:rsidRPr="00B148B1">
              <w:rPr>
                <w:rFonts w:cs="Arial"/>
                <w:sz w:val="18"/>
                <w:szCs w:val="18"/>
              </w:rPr>
              <w:t>Primorsko-Notranjska</w:t>
            </w:r>
          </w:p>
        </w:tc>
        <w:tc>
          <w:tcPr>
            <w:tcW w:w="616" w:type="pct"/>
            <w:shd w:val="clear" w:color="auto" w:fill="auto"/>
            <w:noWrap/>
            <w:hideMark/>
          </w:tcPr>
          <w:p w:rsidR="00706F29" w:rsidRPr="00B148B1" w:rsidRDefault="00706F29">
            <w:pPr>
              <w:jc w:val="center"/>
              <w:rPr>
                <w:rFonts w:cs="Arial"/>
                <w:sz w:val="18"/>
                <w:szCs w:val="18"/>
              </w:rPr>
            </w:pPr>
            <w:r w:rsidRPr="00B148B1">
              <w:rPr>
                <w:rFonts w:cs="Arial"/>
                <w:sz w:val="18"/>
                <w:szCs w:val="18"/>
              </w:rPr>
              <w:t>39,7</w:t>
            </w:r>
          </w:p>
        </w:tc>
        <w:tc>
          <w:tcPr>
            <w:tcW w:w="617" w:type="pct"/>
            <w:shd w:val="clear" w:color="auto" w:fill="auto"/>
            <w:noWrap/>
            <w:hideMark/>
          </w:tcPr>
          <w:p w:rsidR="00706F29" w:rsidRPr="00B148B1" w:rsidRDefault="00706F29">
            <w:pPr>
              <w:jc w:val="center"/>
              <w:rPr>
                <w:rFonts w:cs="Arial"/>
                <w:sz w:val="18"/>
                <w:szCs w:val="18"/>
              </w:rPr>
            </w:pPr>
            <w:r w:rsidRPr="00B148B1">
              <w:rPr>
                <w:rFonts w:cs="Arial"/>
                <w:sz w:val="18"/>
                <w:szCs w:val="18"/>
              </w:rPr>
              <w:t>10,9</w:t>
            </w:r>
          </w:p>
        </w:tc>
        <w:tc>
          <w:tcPr>
            <w:tcW w:w="617" w:type="pct"/>
            <w:shd w:val="clear" w:color="auto" w:fill="auto"/>
            <w:noWrap/>
            <w:hideMark/>
          </w:tcPr>
          <w:p w:rsidR="00706F29" w:rsidRPr="00B148B1" w:rsidRDefault="00706F29">
            <w:pPr>
              <w:jc w:val="center"/>
              <w:rPr>
                <w:rFonts w:cs="Arial"/>
                <w:sz w:val="18"/>
                <w:szCs w:val="18"/>
              </w:rPr>
            </w:pPr>
            <w:r w:rsidRPr="00B148B1">
              <w:rPr>
                <w:rFonts w:cs="Arial"/>
                <w:sz w:val="18"/>
                <w:szCs w:val="18"/>
              </w:rPr>
              <w:t>50,6</w:t>
            </w:r>
          </w:p>
        </w:tc>
        <w:tc>
          <w:tcPr>
            <w:tcW w:w="692" w:type="pct"/>
            <w:shd w:val="clear" w:color="auto" w:fill="auto"/>
            <w:noWrap/>
            <w:hideMark/>
          </w:tcPr>
          <w:p w:rsidR="00706F29" w:rsidRPr="00B148B1" w:rsidRDefault="00706F29">
            <w:pPr>
              <w:jc w:val="center"/>
              <w:rPr>
                <w:rFonts w:cs="Arial"/>
                <w:sz w:val="18"/>
                <w:szCs w:val="18"/>
              </w:rPr>
            </w:pPr>
            <w:r w:rsidRPr="00B148B1">
              <w:rPr>
                <w:rFonts w:cs="Arial"/>
                <w:sz w:val="18"/>
                <w:szCs w:val="18"/>
              </w:rPr>
              <w:t>29,9</w:t>
            </w:r>
          </w:p>
        </w:tc>
        <w:tc>
          <w:tcPr>
            <w:tcW w:w="617" w:type="pct"/>
            <w:shd w:val="clear" w:color="auto" w:fill="auto"/>
            <w:noWrap/>
            <w:hideMark/>
          </w:tcPr>
          <w:p w:rsidR="00706F29" w:rsidRPr="00B148B1" w:rsidRDefault="00706F29">
            <w:pPr>
              <w:jc w:val="center"/>
              <w:rPr>
                <w:rFonts w:cs="Arial"/>
                <w:sz w:val="18"/>
                <w:szCs w:val="18"/>
              </w:rPr>
            </w:pPr>
            <w:r w:rsidRPr="00B148B1">
              <w:rPr>
                <w:rFonts w:cs="Arial"/>
                <w:sz w:val="18"/>
                <w:szCs w:val="18"/>
              </w:rPr>
              <w:t>0,6</w:t>
            </w:r>
          </w:p>
        </w:tc>
        <w:tc>
          <w:tcPr>
            <w:tcW w:w="726" w:type="pct"/>
            <w:shd w:val="clear" w:color="auto" w:fill="auto"/>
            <w:noWrap/>
            <w:hideMark/>
          </w:tcPr>
          <w:p w:rsidR="00706F29" w:rsidRPr="00B148B1" w:rsidRDefault="00706F29">
            <w:pPr>
              <w:jc w:val="center"/>
              <w:rPr>
                <w:rFonts w:cs="Arial"/>
                <w:sz w:val="18"/>
                <w:szCs w:val="18"/>
              </w:rPr>
            </w:pPr>
            <w:r w:rsidRPr="00B148B1">
              <w:rPr>
                <w:rFonts w:cs="Arial"/>
                <w:sz w:val="18"/>
                <w:szCs w:val="18"/>
              </w:rPr>
              <w:t>3,1</w:t>
            </w:r>
          </w:p>
        </w:tc>
      </w:tr>
      <w:tr w:rsidR="00706F29" w:rsidRPr="00B148B1" w:rsidTr="00217A9B">
        <w:trPr>
          <w:trHeight w:val="300"/>
        </w:trPr>
        <w:tc>
          <w:tcPr>
            <w:tcW w:w="1115" w:type="pct"/>
            <w:shd w:val="clear" w:color="auto" w:fill="auto"/>
            <w:vAlign w:val="center"/>
            <w:hideMark/>
          </w:tcPr>
          <w:p w:rsidR="00706F29" w:rsidRPr="00B148B1" w:rsidRDefault="00706F29" w:rsidP="00F44F64">
            <w:pPr>
              <w:spacing w:line="240" w:lineRule="auto"/>
              <w:jc w:val="left"/>
              <w:rPr>
                <w:rFonts w:cs="Arial"/>
                <w:color w:val="000000"/>
                <w:sz w:val="18"/>
                <w:szCs w:val="18"/>
                <w:lang w:eastAsia="sl-SI"/>
              </w:rPr>
            </w:pPr>
            <w:r w:rsidRPr="00B148B1">
              <w:rPr>
                <w:rFonts w:cs="Arial"/>
                <w:sz w:val="18"/>
                <w:szCs w:val="18"/>
              </w:rPr>
              <w:t>Savinjska</w:t>
            </w:r>
          </w:p>
        </w:tc>
        <w:tc>
          <w:tcPr>
            <w:tcW w:w="616" w:type="pct"/>
            <w:shd w:val="clear" w:color="auto" w:fill="auto"/>
            <w:noWrap/>
            <w:hideMark/>
          </w:tcPr>
          <w:p w:rsidR="00706F29" w:rsidRPr="00B148B1" w:rsidRDefault="00706F29">
            <w:pPr>
              <w:jc w:val="center"/>
              <w:rPr>
                <w:rFonts w:cs="Arial"/>
                <w:sz w:val="18"/>
                <w:szCs w:val="18"/>
              </w:rPr>
            </w:pPr>
            <w:r w:rsidRPr="00B148B1">
              <w:rPr>
                <w:rFonts w:cs="Arial"/>
                <w:sz w:val="18"/>
                <w:szCs w:val="18"/>
              </w:rPr>
              <w:t>84,5</w:t>
            </w:r>
          </w:p>
        </w:tc>
        <w:tc>
          <w:tcPr>
            <w:tcW w:w="617" w:type="pct"/>
            <w:shd w:val="clear" w:color="auto" w:fill="auto"/>
            <w:noWrap/>
            <w:hideMark/>
          </w:tcPr>
          <w:p w:rsidR="00706F29" w:rsidRPr="00B148B1" w:rsidRDefault="00706F29">
            <w:pPr>
              <w:jc w:val="center"/>
              <w:rPr>
                <w:rFonts w:cs="Arial"/>
                <w:sz w:val="18"/>
                <w:szCs w:val="18"/>
              </w:rPr>
            </w:pPr>
            <w:r w:rsidRPr="00B148B1">
              <w:rPr>
                <w:rFonts w:cs="Arial"/>
                <w:sz w:val="18"/>
                <w:szCs w:val="18"/>
              </w:rPr>
              <w:t>16,8</w:t>
            </w:r>
          </w:p>
        </w:tc>
        <w:tc>
          <w:tcPr>
            <w:tcW w:w="617" w:type="pct"/>
            <w:shd w:val="clear" w:color="auto" w:fill="auto"/>
            <w:noWrap/>
            <w:hideMark/>
          </w:tcPr>
          <w:p w:rsidR="00706F29" w:rsidRPr="00B148B1" w:rsidRDefault="00706F29">
            <w:pPr>
              <w:jc w:val="center"/>
              <w:rPr>
                <w:rFonts w:cs="Arial"/>
                <w:sz w:val="18"/>
                <w:szCs w:val="18"/>
              </w:rPr>
            </w:pPr>
            <w:r w:rsidRPr="00B148B1">
              <w:rPr>
                <w:rFonts w:cs="Arial"/>
                <w:sz w:val="18"/>
                <w:szCs w:val="18"/>
              </w:rPr>
              <w:t>101,3</w:t>
            </w:r>
          </w:p>
        </w:tc>
        <w:tc>
          <w:tcPr>
            <w:tcW w:w="692" w:type="pct"/>
            <w:shd w:val="clear" w:color="auto" w:fill="auto"/>
            <w:noWrap/>
            <w:hideMark/>
          </w:tcPr>
          <w:p w:rsidR="00706F29" w:rsidRPr="00B148B1" w:rsidRDefault="00706F29">
            <w:pPr>
              <w:jc w:val="center"/>
              <w:rPr>
                <w:rFonts w:cs="Arial"/>
                <w:sz w:val="18"/>
                <w:szCs w:val="18"/>
              </w:rPr>
            </w:pPr>
            <w:r w:rsidRPr="00B148B1">
              <w:rPr>
                <w:rFonts w:cs="Arial"/>
                <w:sz w:val="18"/>
                <w:szCs w:val="18"/>
              </w:rPr>
              <w:t>81,5</w:t>
            </w:r>
          </w:p>
        </w:tc>
        <w:tc>
          <w:tcPr>
            <w:tcW w:w="617" w:type="pct"/>
            <w:shd w:val="clear" w:color="auto" w:fill="auto"/>
            <w:noWrap/>
            <w:hideMark/>
          </w:tcPr>
          <w:p w:rsidR="00706F29" w:rsidRPr="00B148B1" w:rsidRDefault="00706F29">
            <w:pPr>
              <w:jc w:val="center"/>
              <w:rPr>
                <w:rFonts w:cs="Arial"/>
                <w:sz w:val="18"/>
                <w:szCs w:val="18"/>
              </w:rPr>
            </w:pPr>
            <w:r w:rsidRPr="00B148B1">
              <w:rPr>
                <w:rFonts w:cs="Arial"/>
                <w:sz w:val="18"/>
                <w:szCs w:val="18"/>
              </w:rPr>
              <w:t>0,1</w:t>
            </w:r>
          </w:p>
        </w:tc>
        <w:tc>
          <w:tcPr>
            <w:tcW w:w="726" w:type="pct"/>
            <w:shd w:val="clear" w:color="auto" w:fill="auto"/>
            <w:noWrap/>
            <w:hideMark/>
          </w:tcPr>
          <w:p w:rsidR="00706F29" w:rsidRPr="00B148B1" w:rsidRDefault="00706F29">
            <w:pPr>
              <w:jc w:val="center"/>
              <w:rPr>
                <w:rFonts w:cs="Arial"/>
                <w:sz w:val="18"/>
                <w:szCs w:val="18"/>
              </w:rPr>
            </w:pPr>
            <w:r w:rsidRPr="00B148B1">
              <w:rPr>
                <w:rFonts w:cs="Arial"/>
                <w:sz w:val="18"/>
                <w:szCs w:val="18"/>
              </w:rPr>
              <w:t>49,7</w:t>
            </w:r>
          </w:p>
        </w:tc>
      </w:tr>
      <w:tr w:rsidR="00706F29" w:rsidRPr="00B148B1" w:rsidTr="00217A9B">
        <w:trPr>
          <w:trHeight w:val="315"/>
        </w:trPr>
        <w:tc>
          <w:tcPr>
            <w:tcW w:w="1115" w:type="pct"/>
            <w:shd w:val="clear" w:color="auto" w:fill="auto"/>
            <w:vAlign w:val="center"/>
            <w:hideMark/>
          </w:tcPr>
          <w:p w:rsidR="00706F29" w:rsidRPr="00B148B1" w:rsidRDefault="00706F29" w:rsidP="00F44F64">
            <w:pPr>
              <w:spacing w:line="240" w:lineRule="auto"/>
              <w:jc w:val="left"/>
              <w:rPr>
                <w:rFonts w:cs="Arial"/>
                <w:color w:val="000000"/>
                <w:sz w:val="18"/>
                <w:szCs w:val="18"/>
                <w:lang w:eastAsia="sl-SI"/>
              </w:rPr>
            </w:pPr>
            <w:r w:rsidRPr="00B148B1">
              <w:rPr>
                <w:rFonts w:cs="Arial"/>
                <w:sz w:val="18"/>
                <w:szCs w:val="18"/>
              </w:rPr>
              <w:t>Zasavska</w:t>
            </w:r>
          </w:p>
        </w:tc>
        <w:tc>
          <w:tcPr>
            <w:tcW w:w="616" w:type="pct"/>
            <w:shd w:val="clear" w:color="auto" w:fill="auto"/>
            <w:noWrap/>
            <w:hideMark/>
          </w:tcPr>
          <w:p w:rsidR="00706F29" w:rsidRPr="00B148B1" w:rsidRDefault="00706F29">
            <w:pPr>
              <w:jc w:val="center"/>
              <w:rPr>
                <w:rFonts w:cs="Arial"/>
                <w:sz w:val="18"/>
                <w:szCs w:val="18"/>
              </w:rPr>
            </w:pPr>
            <w:r w:rsidRPr="00B148B1">
              <w:rPr>
                <w:rFonts w:cs="Arial"/>
                <w:sz w:val="18"/>
                <w:szCs w:val="18"/>
              </w:rPr>
              <w:t>26</w:t>
            </w:r>
          </w:p>
        </w:tc>
        <w:tc>
          <w:tcPr>
            <w:tcW w:w="617" w:type="pct"/>
            <w:shd w:val="clear" w:color="auto" w:fill="auto"/>
            <w:noWrap/>
            <w:hideMark/>
          </w:tcPr>
          <w:p w:rsidR="00706F29" w:rsidRPr="00B148B1" w:rsidRDefault="00706F29">
            <w:pPr>
              <w:jc w:val="center"/>
              <w:rPr>
                <w:rFonts w:cs="Arial"/>
                <w:sz w:val="18"/>
                <w:szCs w:val="18"/>
              </w:rPr>
            </w:pPr>
            <w:r w:rsidRPr="00B148B1">
              <w:rPr>
                <w:rFonts w:cs="Arial"/>
                <w:sz w:val="18"/>
                <w:szCs w:val="18"/>
              </w:rPr>
              <w:t>5,4</w:t>
            </w:r>
          </w:p>
        </w:tc>
        <w:tc>
          <w:tcPr>
            <w:tcW w:w="617" w:type="pct"/>
            <w:shd w:val="clear" w:color="auto" w:fill="auto"/>
            <w:noWrap/>
            <w:hideMark/>
          </w:tcPr>
          <w:p w:rsidR="00706F29" w:rsidRPr="00B148B1" w:rsidRDefault="00706F29">
            <w:pPr>
              <w:jc w:val="center"/>
              <w:rPr>
                <w:rFonts w:cs="Arial"/>
                <w:sz w:val="18"/>
                <w:szCs w:val="18"/>
              </w:rPr>
            </w:pPr>
            <w:r w:rsidRPr="00B148B1">
              <w:rPr>
                <w:rFonts w:cs="Arial"/>
                <w:sz w:val="18"/>
                <w:szCs w:val="18"/>
              </w:rPr>
              <w:t>31,4</w:t>
            </w:r>
          </w:p>
        </w:tc>
        <w:tc>
          <w:tcPr>
            <w:tcW w:w="692" w:type="pct"/>
            <w:shd w:val="clear" w:color="auto" w:fill="auto"/>
            <w:noWrap/>
            <w:hideMark/>
          </w:tcPr>
          <w:p w:rsidR="00706F29" w:rsidRPr="00B148B1" w:rsidRDefault="00706F29">
            <w:pPr>
              <w:jc w:val="center"/>
              <w:rPr>
                <w:rFonts w:cs="Arial"/>
                <w:sz w:val="18"/>
                <w:szCs w:val="18"/>
              </w:rPr>
            </w:pPr>
            <w:r w:rsidRPr="00B148B1">
              <w:rPr>
                <w:rFonts w:cs="Arial"/>
                <w:sz w:val="18"/>
                <w:szCs w:val="18"/>
              </w:rPr>
              <w:t>22,6</w:t>
            </w:r>
          </w:p>
        </w:tc>
        <w:tc>
          <w:tcPr>
            <w:tcW w:w="617" w:type="pct"/>
            <w:shd w:val="clear" w:color="auto" w:fill="auto"/>
            <w:noWrap/>
            <w:hideMark/>
          </w:tcPr>
          <w:p w:rsidR="00706F29" w:rsidRPr="00B148B1" w:rsidRDefault="00706F29">
            <w:pPr>
              <w:jc w:val="center"/>
              <w:rPr>
                <w:rFonts w:cs="Arial"/>
                <w:sz w:val="18"/>
                <w:szCs w:val="18"/>
              </w:rPr>
            </w:pPr>
            <w:r w:rsidRPr="00B148B1">
              <w:rPr>
                <w:rFonts w:cs="Arial"/>
                <w:sz w:val="18"/>
                <w:szCs w:val="18"/>
              </w:rPr>
              <w:t>11,7</w:t>
            </w:r>
          </w:p>
        </w:tc>
        <w:tc>
          <w:tcPr>
            <w:tcW w:w="726" w:type="pct"/>
            <w:shd w:val="clear" w:color="auto" w:fill="auto"/>
            <w:noWrap/>
            <w:hideMark/>
          </w:tcPr>
          <w:p w:rsidR="00706F29" w:rsidRPr="00B148B1" w:rsidRDefault="00706F29">
            <w:pPr>
              <w:jc w:val="center"/>
              <w:rPr>
                <w:rFonts w:cs="Arial"/>
                <w:sz w:val="18"/>
                <w:szCs w:val="18"/>
              </w:rPr>
            </w:pPr>
            <w:r w:rsidRPr="00B148B1">
              <w:rPr>
                <w:rFonts w:cs="Arial"/>
                <w:sz w:val="18"/>
                <w:szCs w:val="18"/>
              </w:rPr>
              <w:t>9,4</w:t>
            </w:r>
          </w:p>
        </w:tc>
      </w:tr>
      <w:tr w:rsidR="00706F29" w:rsidRPr="00B148B1" w:rsidTr="00217A9B">
        <w:trPr>
          <w:trHeight w:val="315"/>
        </w:trPr>
        <w:tc>
          <w:tcPr>
            <w:tcW w:w="1115" w:type="pct"/>
            <w:shd w:val="clear" w:color="auto" w:fill="auto"/>
            <w:vAlign w:val="center"/>
            <w:hideMark/>
          </w:tcPr>
          <w:p w:rsidR="00706F29" w:rsidRPr="00B148B1" w:rsidRDefault="00706F29" w:rsidP="00F44F64">
            <w:pPr>
              <w:spacing w:line="240" w:lineRule="auto"/>
              <w:jc w:val="left"/>
              <w:rPr>
                <w:rFonts w:cs="Arial"/>
                <w:b/>
                <w:bCs/>
                <w:color w:val="000000"/>
                <w:sz w:val="18"/>
                <w:szCs w:val="18"/>
                <w:lang w:eastAsia="sl-SI"/>
              </w:rPr>
            </w:pPr>
            <w:r w:rsidRPr="00B148B1">
              <w:rPr>
                <w:rFonts w:cs="Arial"/>
                <w:b/>
                <w:sz w:val="18"/>
                <w:szCs w:val="18"/>
              </w:rPr>
              <w:t>SKUPAJ</w:t>
            </w:r>
          </w:p>
        </w:tc>
        <w:tc>
          <w:tcPr>
            <w:tcW w:w="616" w:type="pct"/>
            <w:shd w:val="clear" w:color="auto" w:fill="auto"/>
            <w:noWrap/>
            <w:hideMark/>
          </w:tcPr>
          <w:p w:rsidR="00706F29" w:rsidRPr="00B148B1" w:rsidRDefault="00706F29">
            <w:pPr>
              <w:jc w:val="center"/>
              <w:rPr>
                <w:rFonts w:cs="Arial"/>
                <w:b/>
                <w:sz w:val="18"/>
                <w:szCs w:val="18"/>
              </w:rPr>
            </w:pPr>
            <w:r w:rsidRPr="00B148B1">
              <w:rPr>
                <w:rFonts w:cs="Arial"/>
                <w:b/>
                <w:sz w:val="18"/>
                <w:szCs w:val="18"/>
              </w:rPr>
              <w:t>925,1</w:t>
            </w:r>
          </w:p>
        </w:tc>
        <w:tc>
          <w:tcPr>
            <w:tcW w:w="617" w:type="pct"/>
            <w:shd w:val="clear" w:color="auto" w:fill="auto"/>
            <w:noWrap/>
            <w:hideMark/>
          </w:tcPr>
          <w:p w:rsidR="00706F29" w:rsidRPr="00B148B1" w:rsidRDefault="00706F29">
            <w:pPr>
              <w:jc w:val="center"/>
              <w:rPr>
                <w:rFonts w:cs="Arial"/>
                <w:b/>
                <w:sz w:val="18"/>
                <w:szCs w:val="18"/>
              </w:rPr>
            </w:pPr>
            <w:r w:rsidRPr="00B148B1">
              <w:rPr>
                <w:rFonts w:cs="Arial"/>
                <w:b/>
                <w:sz w:val="18"/>
                <w:szCs w:val="18"/>
              </w:rPr>
              <w:t>192,4</w:t>
            </w:r>
          </w:p>
        </w:tc>
        <w:tc>
          <w:tcPr>
            <w:tcW w:w="617" w:type="pct"/>
            <w:shd w:val="clear" w:color="auto" w:fill="auto"/>
            <w:noWrap/>
            <w:hideMark/>
          </w:tcPr>
          <w:p w:rsidR="00706F29" w:rsidRPr="00B148B1" w:rsidRDefault="00706F29">
            <w:pPr>
              <w:jc w:val="center"/>
              <w:rPr>
                <w:rFonts w:cs="Arial"/>
                <w:b/>
                <w:sz w:val="18"/>
                <w:szCs w:val="18"/>
              </w:rPr>
            </w:pPr>
            <w:r w:rsidRPr="00B148B1">
              <w:rPr>
                <w:rFonts w:cs="Arial"/>
                <w:b/>
                <w:sz w:val="18"/>
                <w:szCs w:val="18"/>
              </w:rPr>
              <w:t>1.117,50</w:t>
            </w:r>
          </w:p>
        </w:tc>
        <w:tc>
          <w:tcPr>
            <w:tcW w:w="692" w:type="pct"/>
            <w:shd w:val="clear" w:color="auto" w:fill="auto"/>
            <w:noWrap/>
            <w:hideMark/>
          </w:tcPr>
          <w:p w:rsidR="00706F29" w:rsidRPr="00B148B1" w:rsidRDefault="00706F29">
            <w:pPr>
              <w:jc w:val="center"/>
              <w:rPr>
                <w:rFonts w:cs="Arial"/>
                <w:b/>
                <w:sz w:val="18"/>
                <w:szCs w:val="18"/>
              </w:rPr>
            </w:pPr>
            <w:r w:rsidRPr="00B148B1">
              <w:rPr>
                <w:rFonts w:cs="Arial"/>
                <w:b/>
                <w:sz w:val="18"/>
                <w:szCs w:val="18"/>
              </w:rPr>
              <w:t>780,4</w:t>
            </w:r>
          </w:p>
        </w:tc>
        <w:tc>
          <w:tcPr>
            <w:tcW w:w="617" w:type="pct"/>
            <w:shd w:val="clear" w:color="auto" w:fill="auto"/>
            <w:noWrap/>
            <w:hideMark/>
          </w:tcPr>
          <w:p w:rsidR="00706F29" w:rsidRPr="00B148B1" w:rsidRDefault="00706F29">
            <w:pPr>
              <w:jc w:val="center"/>
              <w:rPr>
                <w:rFonts w:cs="Arial"/>
                <w:b/>
                <w:sz w:val="18"/>
                <w:szCs w:val="18"/>
              </w:rPr>
            </w:pPr>
            <w:r w:rsidRPr="00B148B1">
              <w:rPr>
                <w:rFonts w:cs="Arial"/>
                <w:b/>
                <w:sz w:val="18"/>
                <w:szCs w:val="18"/>
              </w:rPr>
              <w:t>47,9</w:t>
            </w:r>
          </w:p>
        </w:tc>
        <w:tc>
          <w:tcPr>
            <w:tcW w:w="726" w:type="pct"/>
            <w:shd w:val="clear" w:color="auto" w:fill="auto"/>
            <w:noWrap/>
            <w:hideMark/>
          </w:tcPr>
          <w:p w:rsidR="00706F29" w:rsidRPr="00B148B1" w:rsidRDefault="00706F29">
            <w:pPr>
              <w:jc w:val="center"/>
              <w:rPr>
                <w:rFonts w:cs="Arial"/>
                <w:b/>
                <w:sz w:val="18"/>
                <w:szCs w:val="18"/>
              </w:rPr>
            </w:pPr>
            <w:r w:rsidRPr="00B148B1">
              <w:rPr>
                <w:rFonts w:cs="Arial"/>
                <w:b/>
                <w:sz w:val="18"/>
                <w:szCs w:val="18"/>
              </w:rPr>
              <w:t>216,9</w:t>
            </w:r>
          </w:p>
        </w:tc>
      </w:tr>
    </w:tbl>
    <w:p w:rsidR="00B27859" w:rsidRPr="00B148B1" w:rsidRDefault="00B27859" w:rsidP="00217A9B">
      <w:pPr>
        <w:tabs>
          <w:tab w:val="left" w:pos="9600"/>
        </w:tabs>
        <w:spacing w:before="120" w:line="280" w:lineRule="atLeast"/>
        <w:ind w:left="284" w:hanging="284"/>
        <w:rPr>
          <w:rFonts w:cs="Arial"/>
          <w:sz w:val="18"/>
          <w:szCs w:val="18"/>
        </w:rPr>
      </w:pPr>
      <w:r w:rsidRPr="00B148B1">
        <w:rPr>
          <w:rFonts w:cs="Arial"/>
          <w:sz w:val="18"/>
          <w:szCs w:val="18"/>
          <w:vertAlign w:val="superscript"/>
        </w:rPr>
        <w:t>(1)</w:t>
      </w:r>
      <w:r w:rsidR="006C5A85" w:rsidRPr="00B148B1">
        <w:rPr>
          <w:rFonts w:cs="Arial"/>
          <w:sz w:val="18"/>
          <w:szCs w:val="18"/>
          <w:vertAlign w:val="superscript"/>
        </w:rPr>
        <w:t xml:space="preserve"> </w:t>
      </w:r>
      <w:r w:rsidR="000E0113" w:rsidRPr="00B148B1">
        <w:rPr>
          <w:rFonts w:cs="Arial"/>
          <w:sz w:val="18"/>
          <w:szCs w:val="18"/>
          <w:vertAlign w:val="superscript"/>
        </w:rPr>
        <w:t xml:space="preserve"> </w:t>
      </w:r>
      <w:r w:rsidRPr="00B148B1">
        <w:rPr>
          <w:rFonts w:cs="Arial"/>
          <w:sz w:val="18"/>
          <w:szCs w:val="18"/>
        </w:rPr>
        <w:t xml:space="preserve">za aglomeracije s skupno obremenitvijo, manjšo od 500 PE, so upoštevani rezultati </w:t>
      </w:r>
      <w:r w:rsidR="00AD5123" w:rsidRPr="00B148B1">
        <w:rPr>
          <w:rFonts w:cs="Arial"/>
          <w:sz w:val="18"/>
          <w:szCs w:val="18"/>
        </w:rPr>
        <w:t xml:space="preserve">finančne </w:t>
      </w:r>
      <w:r w:rsidRPr="00B148B1">
        <w:rPr>
          <w:rFonts w:cs="Arial"/>
          <w:sz w:val="18"/>
          <w:szCs w:val="18"/>
        </w:rPr>
        <w:t>presoje iz Uredbe o odvajanju in čiščenju komunalne odpadne vode, in sicer je v znesku upoštevana ocenjena vrednost gradnje JKO, če ta vrednost ne presega trikratnika ocenjene vrednosti gradnje več MKČN za posamezne objekte ali skupine objektov, sicer je upoštevana ocenjena vrednost gradnje več MKČN (predpostavljena je gradnja posamezne (hišne) MKČN za vsak objekt v aglomeraciji);</w:t>
      </w:r>
    </w:p>
    <w:p w:rsidR="00B27859" w:rsidRPr="00B148B1" w:rsidRDefault="00B27859" w:rsidP="00B27859">
      <w:pPr>
        <w:tabs>
          <w:tab w:val="left" w:leader="dot" w:pos="993"/>
          <w:tab w:val="left" w:pos="9600"/>
        </w:tabs>
        <w:spacing w:before="120" w:line="280" w:lineRule="atLeast"/>
        <w:ind w:left="993" w:hanging="993"/>
        <w:rPr>
          <w:rFonts w:cs="Arial"/>
          <w:sz w:val="18"/>
          <w:szCs w:val="18"/>
        </w:rPr>
      </w:pPr>
      <w:r w:rsidRPr="00B148B1">
        <w:rPr>
          <w:rFonts w:cs="Arial"/>
          <w:sz w:val="18"/>
          <w:szCs w:val="18"/>
        </w:rPr>
        <w:t>JKO</w:t>
      </w:r>
      <w:r w:rsidR="006C5A85" w:rsidRPr="00B148B1">
        <w:rPr>
          <w:rFonts w:cs="Arial"/>
          <w:sz w:val="18"/>
          <w:szCs w:val="18"/>
        </w:rPr>
        <w:t xml:space="preserve"> </w:t>
      </w:r>
      <w:r w:rsidR="006C5A85" w:rsidRPr="00B148B1">
        <w:rPr>
          <w:rFonts w:cs="Arial"/>
          <w:color w:val="202122"/>
          <w:sz w:val="18"/>
          <w:szCs w:val="18"/>
          <w:shd w:val="clear" w:color="auto" w:fill="FFFFFF"/>
        </w:rPr>
        <w:t xml:space="preserve">– </w:t>
      </w:r>
      <w:r w:rsidRPr="00B148B1">
        <w:rPr>
          <w:rFonts w:cs="Arial"/>
          <w:sz w:val="18"/>
          <w:szCs w:val="18"/>
        </w:rPr>
        <w:t>javno kanalizacijsko omrežje;</w:t>
      </w:r>
    </w:p>
    <w:p w:rsidR="00B27859" w:rsidRPr="00B148B1" w:rsidRDefault="00B27859" w:rsidP="00B27859">
      <w:pPr>
        <w:tabs>
          <w:tab w:val="left" w:leader="dot" w:pos="993"/>
          <w:tab w:val="left" w:pos="9600"/>
        </w:tabs>
        <w:spacing w:before="120" w:line="280" w:lineRule="atLeast"/>
        <w:ind w:left="993" w:hanging="993"/>
        <w:rPr>
          <w:rFonts w:cs="Arial"/>
          <w:sz w:val="18"/>
          <w:szCs w:val="18"/>
        </w:rPr>
      </w:pPr>
      <w:r w:rsidRPr="00B148B1">
        <w:rPr>
          <w:rFonts w:cs="Arial"/>
          <w:sz w:val="18"/>
          <w:szCs w:val="18"/>
        </w:rPr>
        <w:t>ČN</w:t>
      </w:r>
      <w:r w:rsidR="006C5A85" w:rsidRPr="00B148B1">
        <w:rPr>
          <w:rFonts w:cs="Arial"/>
          <w:sz w:val="18"/>
          <w:szCs w:val="18"/>
        </w:rPr>
        <w:t xml:space="preserve"> </w:t>
      </w:r>
      <w:r w:rsidR="006C5A85" w:rsidRPr="00B148B1">
        <w:rPr>
          <w:rFonts w:cs="Arial"/>
          <w:color w:val="202122"/>
          <w:sz w:val="18"/>
          <w:szCs w:val="18"/>
          <w:shd w:val="clear" w:color="auto" w:fill="FFFFFF"/>
        </w:rPr>
        <w:t xml:space="preserve">– </w:t>
      </w:r>
      <w:r w:rsidRPr="00B148B1">
        <w:rPr>
          <w:rFonts w:cs="Arial"/>
          <w:sz w:val="18"/>
          <w:szCs w:val="18"/>
        </w:rPr>
        <w:t xml:space="preserve">čistilna naprava, namenjena </w:t>
      </w:r>
      <w:r w:rsidR="00AC6421" w:rsidRPr="00B148B1">
        <w:rPr>
          <w:rFonts w:cs="Arial"/>
          <w:sz w:val="18"/>
          <w:szCs w:val="18"/>
        </w:rPr>
        <w:t xml:space="preserve">za </w:t>
      </w:r>
      <w:r w:rsidRPr="00B148B1">
        <w:rPr>
          <w:rFonts w:cs="Arial"/>
          <w:sz w:val="18"/>
          <w:szCs w:val="18"/>
        </w:rPr>
        <w:t>izvajanj</w:t>
      </w:r>
      <w:r w:rsidR="00AC6421" w:rsidRPr="00B148B1">
        <w:rPr>
          <w:rFonts w:cs="Arial"/>
          <w:sz w:val="18"/>
          <w:szCs w:val="18"/>
        </w:rPr>
        <w:t>e</w:t>
      </w:r>
      <w:r w:rsidRPr="00B148B1">
        <w:rPr>
          <w:rFonts w:cs="Arial"/>
          <w:sz w:val="18"/>
          <w:szCs w:val="18"/>
        </w:rPr>
        <w:t xml:space="preserve"> javne službe.</w:t>
      </w:r>
    </w:p>
    <w:p w:rsidR="00B27859" w:rsidRPr="00B148B1" w:rsidRDefault="00B27859" w:rsidP="00C63DDA">
      <w:pPr>
        <w:pStyle w:val="Naslov2"/>
      </w:pPr>
      <w:bookmarkStart w:id="158" w:name="_Toc50628103"/>
      <w:r w:rsidRPr="00B148B1">
        <w:t>Viri finančnih sredstev za izvedbo ukrepov</w:t>
      </w:r>
      <w:bookmarkEnd w:id="158"/>
    </w:p>
    <w:p w:rsidR="00B27859" w:rsidRPr="00B148B1" w:rsidRDefault="00B27859" w:rsidP="00C770E5">
      <w:pPr>
        <w:pStyle w:val="Naslov3"/>
      </w:pPr>
      <w:bookmarkStart w:id="159" w:name="_Ref45800653"/>
      <w:bookmarkStart w:id="160" w:name="_Toc50628104"/>
      <w:r w:rsidRPr="00B148B1">
        <w:t>Viri finančnih sredstev za opremljanje aglomeracij</w:t>
      </w:r>
      <w:bookmarkEnd w:id="159"/>
      <w:bookmarkEnd w:id="160"/>
    </w:p>
    <w:p w:rsidR="008724DB" w:rsidRPr="00B148B1" w:rsidRDefault="004B05C7" w:rsidP="00F56DE2">
      <w:pPr>
        <w:pStyle w:val="Naslov4"/>
      </w:pPr>
      <w:bookmarkStart w:id="161" w:name="_Toc50628105"/>
      <w:r w:rsidRPr="00B148B1">
        <w:t xml:space="preserve">5.3.1.1 </w:t>
      </w:r>
      <w:r w:rsidR="008724DB" w:rsidRPr="00B148B1">
        <w:t>Sredstva EU</w:t>
      </w:r>
      <w:bookmarkEnd w:id="161"/>
    </w:p>
    <w:p w:rsidR="008F46A6" w:rsidRDefault="008F46A6" w:rsidP="008F46A6"/>
    <w:p w:rsidR="00D16D2B" w:rsidRPr="00B148B1" w:rsidRDefault="00EA390B" w:rsidP="008F46A6">
      <w:r w:rsidRPr="00B148B1">
        <w:t xml:space="preserve">Eden izmed pomembnejših </w:t>
      </w:r>
      <w:r w:rsidR="00D16D2B" w:rsidRPr="00B148B1">
        <w:t>finančni</w:t>
      </w:r>
      <w:r w:rsidRPr="00B148B1">
        <w:t>h</w:t>
      </w:r>
      <w:r w:rsidR="00D16D2B" w:rsidRPr="00B148B1">
        <w:t xml:space="preserve"> vir</w:t>
      </w:r>
      <w:r w:rsidRPr="00B148B1">
        <w:t>ov</w:t>
      </w:r>
      <w:r w:rsidR="00D16D2B" w:rsidRPr="00B148B1">
        <w:t xml:space="preserve"> za izvedbo ukrepov na področju odvajanja in čiščenja komunalne odpadne vode bodo v aglomeracijah s skupno obremenitvijo, enako ali večjo od 2.000 PE, ki še ne izpolnjujejo predpisanih zahtev, sredstva Kohezijskega sklada v okviru trenutne</w:t>
      </w:r>
      <w:r w:rsidR="001F2A5A" w:rsidRPr="00B148B1">
        <w:t>ga</w:t>
      </w:r>
      <w:r w:rsidR="00D16D2B" w:rsidRPr="00B148B1">
        <w:t xml:space="preserve"> finančne</w:t>
      </w:r>
      <w:r w:rsidR="001F2A5A" w:rsidRPr="00B148B1">
        <w:t>ga</w:t>
      </w:r>
      <w:r w:rsidR="00D16D2B" w:rsidRPr="00B148B1">
        <w:t xml:space="preserve"> </w:t>
      </w:r>
      <w:r w:rsidR="001F2A5A" w:rsidRPr="00B148B1">
        <w:t>obdobja</w:t>
      </w:r>
      <w:r w:rsidR="00D16D2B" w:rsidRPr="00B148B1">
        <w:t xml:space="preserve"> oziroma izvajanja </w:t>
      </w:r>
      <w:r w:rsidR="00D16D2B" w:rsidRPr="00B148B1">
        <w:rPr>
          <w:i/>
        </w:rPr>
        <w:t>Operativnega programa za izvajanje evropske kohezijske politike za obdobje 2014–2020</w:t>
      </w:r>
      <w:r w:rsidR="00D16D2B" w:rsidRPr="00B148B1">
        <w:t xml:space="preserve">. Za sofinanciranje projektov je zagotovljena tudi lastna udeležba Republike Slovenije s sredstvi državnega proračuna </w:t>
      </w:r>
      <w:r w:rsidR="00AC6421" w:rsidRPr="00B148B1">
        <w:t>in</w:t>
      </w:r>
      <w:r w:rsidR="00D16D2B" w:rsidRPr="00B148B1">
        <w:t xml:space="preserve"> sredst</w:t>
      </w:r>
      <w:r w:rsidR="00AC6421" w:rsidRPr="00B148B1">
        <w:t>e</w:t>
      </w:r>
      <w:r w:rsidR="00D16D2B" w:rsidRPr="00B148B1">
        <w:t>v občinskih proračunov.</w:t>
      </w:r>
    </w:p>
    <w:p w:rsidR="00D16D2B" w:rsidRPr="00B148B1" w:rsidRDefault="00EA390B" w:rsidP="00D16D2B">
      <w:pPr>
        <w:tabs>
          <w:tab w:val="left" w:pos="9600"/>
        </w:tabs>
        <w:spacing w:before="120" w:line="280" w:lineRule="atLeast"/>
        <w:rPr>
          <w:rFonts w:cs="Arial"/>
          <w:szCs w:val="20"/>
        </w:rPr>
      </w:pPr>
      <w:r w:rsidRPr="00B148B1">
        <w:rPr>
          <w:rFonts w:cs="Arial"/>
          <w:szCs w:val="20"/>
        </w:rPr>
        <w:t>Tudi v</w:t>
      </w:r>
      <w:r w:rsidR="00D16D2B" w:rsidRPr="00B148B1">
        <w:rPr>
          <w:rFonts w:cs="Arial"/>
          <w:szCs w:val="20"/>
        </w:rPr>
        <w:t xml:space="preserve"> okviru nove</w:t>
      </w:r>
      <w:r w:rsidR="002A2D7C" w:rsidRPr="00B148B1">
        <w:rPr>
          <w:rFonts w:cs="Arial"/>
          <w:szCs w:val="20"/>
        </w:rPr>
        <w:t>ga</w:t>
      </w:r>
      <w:r w:rsidR="00D16D2B" w:rsidRPr="00B148B1">
        <w:rPr>
          <w:rFonts w:cs="Arial"/>
          <w:szCs w:val="20"/>
        </w:rPr>
        <w:t xml:space="preserve"> finančne</w:t>
      </w:r>
      <w:r w:rsidR="002A2D7C" w:rsidRPr="00B148B1">
        <w:rPr>
          <w:rFonts w:cs="Arial"/>
          <w:szCs w:val="20"/>
        </w:rPr>
        <w:t>ga</w:t>
      </w:r>
      <w:r w:rsidR="00D16D2B" w:rsidRPr="00B148B1">
        <w:rPr>
          <w:rFonts w:cs="Arial"/>
          <w:szCs w:val="20"/>
        </w:rPr>
        <w:t xml:space="preserve"> </w:t>
      </w:r>
      <w:r w:rsidR="002A2D7C" w:rsidRPr="00B148B1">
        <w:rPr>
          <w:rFonts w:cs="Arial"/>
          <w:szCs w:val="20"/>
        </w:rPr>
        <w:t xml:space="preserve">obdobja </w:t>
      </w:r>
      <w:r w:rsidR="00D16D2B" w:rsidRPr="00B148B1">
        <w:rPr>
          <w:rFonts w:cs="Arial"/>
          <w:szCs w:val="20"/>
        </w:rPr>
        <w:t xml:space="preserve">si bo Republika Slovenija močno prizadevala zagotoviti ustrezne finančne vire za izvedbo ukrepov iz tega operativnega programa. Pri tem bo </w:t>
      </w:r>
      <w:r w:rsidR="00D331DE" w:rsidRPr="00B148B1">
        <w:rPr>
          <w:rFonts w:cs="Arial"/>
          <w:szCs w:val="20"/>
        </w:rPr>
        <w:t xml:space="preserve">treba </w:t>
      </w:r>
      <w:r w:rsidR="00D16D2B" w:rsidRPr="00B148B1">
        <w:rPr>
          <w:rFonts w:cs="Arial"/>
          <w:szCs w:val="20"/>
        </w:rPr>
        <w:t xml:space="preserve">zagotoviti, da se najprej </w:t>
      </w:r>
      <w:r w:rsidR="00D331DE" w:rsidRPr="00B148B1">
        <w:rPr>
          <w:rFonts w:cs="Arial"/>
          <w:szCs w:val="20"/>
        </w:rPr>
        <w:t xml:space="preserve">obravnavajo </w:t>
      </w:r>
      <w:r w:rsidR="00D16D2B" w:rsidRPr="00B148B1">
        <w:rPr>
          <w:rFonts w:cs="Arial"/>
          <w:szCs w:val="20"/>
        </w:rPr>
        <w:t xml:space="preserve">večje in </w:t>
      </w:r>
      <w:r w:rsidR="00D331DE" w:rsidRPr="00B148B1">
        <w:rPr>
          <w:rFonts w:cs="Arial"/>
          <w:szCs w:val="20"/>
        </w:rPr>
        <w:t>pomembnejše</w:t>
      </w:r>
      <w:r w:rsidR="00D16D2B" w:rsidRPr="00B148B1">
        <w:rPr>
          <w:rFonts w:cs="Arial"/>
          <w:szCs w:val="20"/>
        </w:rPr>
        <w:t xml:space="preserve"> aglomeracije, tudi v okviru strategije EU za Podonavje. Področje odvajanja in čiščenja komunalnih odpadnih voda je tako visoko med </w:t>
      </w:r>
      <w:r w:rsidR="00D331DE" w:rsidRPr="00B148B1">
        <w:rPr>
          <w:rFonts w:cs="Arial"/>
          <w:szCs w:val="20"/>
        </w:rPr>
        <w:t xml:space="preserve">prednostnimi področji </w:t>
      </w:r>
      <w:r w:rsidR="00D16D2B" w:rsidRPr="00B148B1">
        <w:rPr>
          <w:rFonts w:cs="Arial"/>
          <w:szCs w:val="20"/>
        </w:rPr>
        <w:t xml:space="preserve">financiranja tudi na strani Evropske komisije. </w:t>
      </w:r>
    </w:p>
    <w:p w:rsidR="00754887" w:rsidRPr="00B148B1" w:rsidRDefault="00754887" w:rsidP="00754887">
      <w:pPr>
        <w:shd w:val="clear" w:color="auto" w:fill="FFFFFF"/>
        <w:spacing w:before="100" w:beforeAutospacing="1" w:after="100" w:afterAutospacing="1" w:line="276" w:lineRule="auto"/>
        <w:rPr>
          <w:rFonts w:cs="Arial"/>
          <w:szCs w:val="20"/>
        </w:rPr>
      </w:pPr>
      <w:r w:rsidRPr="00B148B1">
        <w:rPr>
          <w:rFonts w:cs="Arial"/>
          <w:szCs w:val="20"/>
        </w:rPr>
        <w:lastRenderedPageBreak/>
        <w:t>Ena glavnih značilnosti predloga Evropske komisije za modernizirano kohezijsko politiko je osredotočenost na ključne naložbene prioritete, pri katerih lahko EU doseže najboljše rezultate. V predlogu je načrtovana</w:t>
      </w:r>
      <w:r w:rsidR="00651CD3" w:rsidRPr="00B148B1">
        <w:rPr>
          <w:rFonts w:cs="Arial"/>
          <w:szCs w:val="20"/>
        </w:rPr>
        <w:t xml:space="preserve"> </w:t>
      </w:r>
      <w:r w:rsidRPr="00B148B1">
        <w:rPr>
          <w:rFonts w:cs="Arial"/>
          <w:szCs w:val="20"/>
        </w:rPr>
        <w:t>podpora</w:t>
      </w:r>
      <w:r w:rsidR="00651CD3" w:rsidRPr="00B148B1">
        <w:rPr>
          <w:rFonts w:cs="Arial"/>
          <w:szCs w:val="20"/>
        </w:rPr>
        <w:t xml:space="preserve"> </w:t>
      </w:r>
      <w:r w:rsidRPr="00B148B1">
        <w:rPr>
          <w:rFonts w:cs="Arial"/>
          <w:szCs w:val="20"/>
        </w:rPr>
        <w:t>naslednjim</w:t>
      </w:r>
      <w:r w:rsidR="00651CD3" w:rsidRPr="00B148B1">
        <w:rPr>
          <w:rFonts w:cs="Arial"/>
          <w:szCs w:val="20"/>
        </w:rPr>
        <w:t xml:space="preserve"> </w:t>
      </w:r>
      <w:r w:rsidRPr="00B148B1">
        <w:rPr>
          <w:rFonts w:cs="Arial"/>
          <w:szCs w:val="20"/>
        </w:rPr>
        <w:t>petim prednostnim področjem, ki bodo gonilna sila naložb:</w:t>
      </w:r>
    </w:p>
    <w:p w:rsidR="00754887" w:rsidRPr="00B148B1" w:rsidRDefault="006759AC" w:rsidP="004C2581">
      <w:pPr>
        <w:numPr>
          <w:ilvl w:val="0"/>
          <w:numId w:val="18"/>
        </w:numPr>
        <w:shd w:val="clear" w:color="auto" w:fill="FFFFFF"/>
        <w:spacing w:line="276" w:lineRule="auto"/>
        <w:jc w:val="left"/>
        <w:rPr>
          <w:rFonts w:cs="Arial"/>
          <w:color w:val="222222"/>
          <w:szCs w:val="20"/>
          <w:lang w:eastAsia="sl-SI"/>
        </w:rPr>
      </w:pPr>
      <w:r w:rsidRPr="00B148B1">
        <w:rPr>
          <w:rFonts w:cs="Arial"/>
          <w:bCs/>
          <w:color w:val="222222"/>
          <w:szCs w:val="20"/>
          <w:lang w:eastAsia="sl-SI"/>
        </w:rPr>
        <w:t>P</w:t>
      </w:r>
      <w:r w:rsidR="00754887" w:rsidRPr="00B148B1">
        <w:rPr>
          <w:rFonts w:cs="Arial"/>
          <w:bCs/>
          <w:color w:val="222222"/>
          <w:szCs w:val="20"/>
          <w:lang w:eastAsia="sl-SI"/>
        </w:rPr>
        <w:t>ametnejša Evropa</w:t>
      </w:r>
      <w:r w:rsidR="001F2A5A" w:rsidRPr="00B148B1">
        <w:rPr>
          <w:rFonts w:cs="Arial"/>
          <w:bCs/>
          <w:color w:val="222222"/>
          <w:szCs w:val="20"/>
          <w:lang w:eastAsia="sl-SI"/>
        </w:rPr>
        <w:t xml:space="preserve"> </w:t>
      </w:r>
      <w:r w:rsidR="00754887" w:rsidRPr="00B148B1">
        <w:rPr>
          <w:rFonts w:cs="Arial"/>
          <w:color w:val="222222"/>
          <w:szCs w:val="20"/>
          <w:lang w:eastAsia="sl-SI"/>
        </w:rPr>
        <w:t>(inovativno in pametno gospodarsko preoblikovanje);</w:t>
      </w:r>
    </w:p>
    <w:p w:rsidR="00754887" w:rsidRPr="00B148B1" w:rsidRDefault="006759AC" w:rsidP="004C2581">
      <w:pPr>
        <w:numPr>
          <w:ilvl w:val="0"/>
          <w:numId w:val="18"/>
        </w:numPr>
        <w:shd w:val="clear" w:color="auto" w:fill="FFFFFF"/>
        <w:spacing w:line="276" w:lineRule="auto"/>
        <w:rPr>
          <w:rFonts w:cs="Arial"/>
          <w:color w:val="222222"/>
          <w:szCs w:val="20"/>
          <w:lang w:eastAsia="sl-SI"/>
        </w:rPr>
      </w:pPr>
      <w:r w:rsidRPr="00B148B1">
        <w:rPr>
          <w:rFonts w:cs="Arial"/>
          <w:bCs/>
          <w:color w:val="222222"/>
          <w:szCs w:val="20"/>
          <w:lang w:eastAsia="sl-SI"/>
        </w:rPr>
        <w:t>B</w:t>
      </w:r>
      <w:r w:rsidR="00754887" w:rsidRPr="00B148B1">
        <w:rPr>
          <w:rFonts w:cs="Arial"/>
          <w:bCs/>
          <w:color w:val="222222"/>
          <w:szCs w:val="20"/>
          <w:lang w:eastAsia="sl-SI"/>
        </w:rPr>
        <w:t xml:space="preserve">olj zelena, </w:t>
      </w:r>
      <w:proofErr w:type="spellStart"/>
      <w:r w:rsidR="00754887" w:rsidRPr="00B148B1">
        <w:rPr>
          <w:rFonts w:cs="Arial"/>
          <w:bCs/>
          <w:color w:val="222222"/>
          <w:szCs w:val="20"/>
          <w:lang w:eastAsia="sl-SI"/>
        </w:rPr>
        <w:t>nizkoogljična</w:t>
      </w:r>
      <w:proofErr w:type="spellEnd"/>
      <w:r w:rsidR="00754887" w:rsidRPr="00B148B1">
        <w:rPr>
          <w:rFonts w:cs="Arial"/>
          <w:bCs/>
          <w:color w:val="222222"/>
          <w:szCs w:val="20"/>
          <w:lang w:eastAsia="sl-SI"/>
        </w:rPr>
        <w:t xml:space="preserve"> Evropa</w:t>
      </w:r>
      <w:r w:rsidR="001F2A5A" w:rsidRPr="00B148B1">
        <w:rPr>
          <w:rFonts w:cs="Arial"/>
          <w:bCs/>
          <w:color w:val="222222"/>
          <w:szCs w:val="20"/>
          <w:lang w:eastAsia="sl-SI"/>
        </w:rPr>
        <w:t xml:space="preserve"> </w:t>
      </w:r>
      <w:r w:rsidR="00754887" w:rsidRPr="00B148B1">
        <w:rPr>
          <w:rFonts w:cs="Arial"/>
          <w:color w:val="222222"/>
          <w:szCs w:val="20"/>
          <w:lang w:eastAsia="sl-SI"/>
        </w:rPr>
        <w:t>(vključno z energetskim prehodom, krožnim gospodarstvom, prilagajanjem podnebnim spremembam in obvladovanjem tveganj);</w:t>
      </w:r>
    </w:p>
    <w:p w:rsidR="00754887" w:rsidRPr="00B148B1" w:rsidRDefault="006759AC" w:rsidP="004C2581">
      <w:pPr>
        <w:numPr>
          <w:ilvl w:val="0"/>
          <w:numId w:val="18"/>
        </w:numPr>
        <w:shd w:val="clear" w:color="auto" w:fill="FFFFFF"/>
        <w:spacing w:line="276" w:lineRule="auto"/>
        <w:jc w:val="left"/>
        <w:rPr>
          <w:rFonts w:cs="Arial"/>
          <w:color w:val="222222"/>
          <w:szCs w:val="20"/>
          <w:lang w:eastAsia="sl-SI"/>
        </w:rPr>
      </w:pPr>
      <w:r w:rsidRPr="00B148B1">
        <w:rPr>
          <w:rFonts w:cs="Arial"/>
          <w:bCs/>
          <w:color w:val="222222"/>
          <w:szCs w:val="20"/>
          <w:lang w:eastAsia="sl-SI"/>
        </w:rPr>
        <w:t>B</w:t>
      </w:r>
      <w:r w:rsidR="00754887" w:rsidRPr="00B148B1">
        <w:rPr>
          <w:rFonts w:cs="Arial"/>
          <w:bCs/>
          <w:color w:val="222222"/>
          <w:szCs w:val="20"/>
          <w:lang w:eastAsia="sl-SI"/>
        </w:rPr>
        <w:t>olj povezana Evropa</w:t>
      </w:r>
      <w:r w:rsidR="001F2A5A" w:rsidRPr="00B148B1">
        <w:rPr>
          <w:rFonts w:cs="Arial"/>
          <w:bCs/>
          <w:color w:val="222222"/>
          <w:szCs w:val="20"/>
          <w:lang w:eastAsia="sl-SI"/>
        </w:rPr>
        <w:t xml:space="preserve"> </w:t>
      </w:r>
      <w:r w:rsidR="00754887" w:rsidRPr="00B148B1">
        <w:rPr>
          <w:rFonts w:cs="Arial"/>
          <w:color w:val="222222"/>
          <w:szCs w:val="20"/>
          <w:lang w:eastAsia="sl-SI"/>
        </w:rPr>
        <w:t>(mobilnost in povezljivost IKT);</w:t>
      </w:r>
    </w:p>
    <w:p w:rsidR="00754887" w:rsidRPr="00B148B1" w:rsidRDefault="006759AC" w:rsidP="004C2581">
      <w:pPr>
        <w:numPr>
          <w:ilvl w:val="0"/>
          <w:numId w:val="18"/>
        </w:numPr>
        <w:shd w:val="clear" w:color="auto" w:fill="FFFFFF"/>
        <w:spacing w:line="276" w:lineRule="auto"/>
        <w:jc w:val="left"/>
        <w:rPr>
          <w:rFonts w:cs="Arial"/>
          <w:color w:val="222222"/>
          <w:szCs w:val="20"/>
          <w:lang w:eastAsia="sl-SI"/>
        </w:rPr>
      </w:pPr>
      <w:r w:rsidRPr="00B148B1">
        <w:rPr>
          <w:rFonts w:cs="Arial"/>
          <w:bCs/>
          <w:color w:val="222222"/>
          <w:szCs w:val="20"/>
          <w:lang w:eastAsia="sl-SI"/>
        </w:rPr>
        <w:t>B</w:t>
      </w:r>
      <w:r w:rsidR="00754887" w:rsidRPr="00B148B1">
        <w:rPr>
          <w:rFonts w:cs="Arial"/>
          <w:bCs/>
          <w:color w:val="222222"/>
          <w:szCs w:val="20"/>
          <w:lang w:eastAsia="sl-SI"/>
        </w:rPr>
        <w:t>olj socialna Evropa</w:t>
      </w:r>
      <w:r w:rsidR="001F2A5A" w:rsidRPr="00B148B1">
        <w:rPr>
          <w:rFonts w:cs="Arial"/>
          <w:bCs/>
          <w:color w:val="222222"/>
          <w:szCs w:val="20"/>
          <w:lang w:eastAsia="sl-SI"/>
        </w:rPr>
        <w:t xml:space="preserve"> </w:t>
      </w:r>
      <w:r w:rsidR="00754887" w:rsidRPr="00B148B1">
        <w:rPr>
          <w:rFonts w:cs="Arial"/>
          <w:color w:val="222222"/>
          <w:szCs w:val="20"/>
          <w:lang w:eastAsia="sl-SI"/>
        </w:rPr>
        <w:t>(evropski steber socialnih pravic in podpora za zdravstveno varstvo);</w:t>
      </w:r>
    </w:p>
    <w:p w:rsidR="00754887" w:rsidRPr="00B148B1" w:rsidRDefault="00754887" w:rsidP="004C2581">
      <w:pPr>
        <w:numPr>
          <w:ilvl w:val="0"/>
          <w:numId w:val="18"/>
        </w:numPr>
        <w:shd w:val="clear" w:color="auto" w:fill="FFFFFF"/>
        <w:spacing w:line="276" w:lineRule="auto"/>
        <w:rPr>
          <w:rFonts w:cs="Arial"/>
          <w:color w:val="222222"/>
          <w:szCs w:val="20"/>
          <w:lang w:eastAsia="sl-SI"/>
        </w:rPr>
      </w:pPr>
      <w:r w:rsidRPr="00B148B1">
        <w:rPr>
          <w:rFonts w:cs="Arial"/>
          <w:bCs/>
          <w:color w:val="222222"/>
          <w:szCs w:val="20"/>
          <w:lang w:eastAsia="sl-SI"/>
        </w:rPr>
        <w:t>Evropa bliže državljanom</w:t>
      </w:r>
      <w:r w:rsidR="001F2A5A" w:rsidRPr="00B148B1">
        <w:rPr>
          <w:rFonts w:cs="Arial"/>
          <w:bCs/>
          <w:color w:val="222222"/>
          <w:szCs w:val="20"/>
          <w:lang w:eastAsia="sl-SI"/>
        </w:rPr>
        <w:t xml:space="preserve"> </w:t>
      </w:r>
      <w:r w:rsidRPr="00B148B1">
        <w:rPr>
          <w:rFonts w:cs="Arial"/>
          <w:color w:val="222222"/>
          <w:szCs w:val="20"/>
          <w:lang w:eastAsia="sl-SI"/>
        </w:rPr>
        <w:t>(trajnostni razvoj mestnih, podeželskih in obalnih območij ter lokalne pobude).</w:t>
      </w:r>
    </w:p>
    <w:p w:rsidR="00754887" w:rsidRPr="00B148B1" w:rsidRDefault="002E2F30" w:rsidP="00D331DE">
      <w:pPr>
        <w:shd w:val="clear" w:color="auto" w:fill="FFFFFF"/>
        <w:spacing w:before="100" w:beforeAutospacing="1" w:after="100" w:afterAutospacing="1" w:line="276" w:lineRule="auto"/>
        <w:rPr>
          <w:rFonts w:cs="Arial"/>
          <w:szCs w:val="20"/>
        </w:rPr>
      </w:pPr>
      <w:r w:rsidRPr="00713FA8">
        <w:rPr>
          <w:rFonts w:cs="Arial"/>
          <w:szCs w:val="20"/>
        </w:rPr>
        <w:t>V okviru večletnega finančnega okvira bo Slovenija predvidoma prejela 2,9 milijarde evrov. Pri tem</w:t>
      </w:r>
      <w:r w:rsidR="00B4388B" w:rsidRPr="00713FA8">
        <w:rPr>
          <w:rFonts w:cs="Arial"/>
          <w:szCs w:val="20"/>
        </w:rPr>
        <w:t xml:space="preserve"> pa</w:t>
      </w:r>
      <w:r w:rsidRPr="00713FA8">
        <w:rPr>
          <w:rFonts w:cs="Arial"/>
          <w:szCs w:val="20"/>
        </w:rPr>
        <w:t xml:space="preserve"> se vzpostavijo dodatni mehanizmi.</w:t>
      </w:r>
    </w:p>
    <w:p w:rsidR="006B6E68" w:rsidRDefault="00754887" w:rsidP="00754887">
      <w:pPr>
        <w:shd w:val="clear" w:color="auto" w:fill="FFFFFF"/>
        <w:spacing w:before="100" w:beforeAutospacing="1" w:after="100" w:afterAutospacing="1" w:line="276" w:lineRule="auto"/>
        <w:jc w:val="left"/>
        <w:rPr>
          <w:rFonts w:cs="Arial"/>
          <w:szCs w:val="20"/>
        </w:rPr>
      </w:pPr>
      <w:r w:rsidRPr="00B148B1">
        <w:rPr>
          <w:rFonts w:cs="Arial"/>
          <w:szCs w:val="20"/>
        </w:rPr>
        <w:t>EK v predlogu ohranja tri</w:t>
      </w:r>
      <w:r w:rsidR="006B6E68">
        <w:rPr>
          <w:rFonts w:cs="Arial"/>
          <w:szCs w:val="20"/>
        </w:rPr>
        <w:t xml:space="preserve"> kategorije razvitosti regij:</w:t>
      </w:r>
    </w:p>
    <w:p w:rsidR="006B6E68" w:rsidRDefault="00754887" w:rsidP="006B6E68">
      <w:pPr>
        <w:numPr>
          <w:ilvl w:val="0"/>
          <w:numId w:val="21"/>
        </w:numPr>
        <w:tabs>
          <w:tab w:val="left" w:pos="9600"/>
        </w:tabs>
        <w:spacing w:before="120" w:line="280" w:lineRule="atLeast"/>
        <w:ind w:left="357" w:hanging="357"/>
        <w:rPr>
          <w:rFonts w:cs="Arial"/>
          <w:szCs w:val="20"/>
        </w:rPr>
      </w:pPr>
      <w:r w:rsidRPr="00B148B1">
        <w:rPr>
          <w:rFonts w:cs="Arial"/>
          <w:szCs w:val="20"/>
        </w:rPr>
        <w:t>manj razvite, ki dosegajo do 75 odsto</w:t>
      </w:r>
      <w:r w:rsidR="006B6E68">
        <w:rPr>
          <w:rFonts w:cs="Arial"/>
          <w:szCs w:val="20"/>
        </w:rPr>
        <w:t>tkov povprečja razvitosti EU,</w:t>
      </w:r>
    </w:p>
    <w:p w:rsidR="006B6E68" w:rsidRDefault="00754887" w:rsidP="006B6E68">
      <w:pPr>
        <w:numPr>
          <w:ilvl w:val="0"/>
          <w:numId w:val="21"/>
        </w:numPr>
        <w:tabs>
          <w:tab w:val="left" w:pos="9600"/>
        </w:tabs>
        <w:spacing w:before="120" w:line="280" w:lineRule="atLeast"/>
        <w:ind w:left="357" w:hanging="357"/>
        <w:rPr>
          <w:rFonts w:cs="Arial"/>
          <w:szCs w:val="20"/>
        </w:rPr>
      </w:pPr>
      <w:r w:rsidRPr="00B148B1">
        <w:rPr>
          <w:rFonts w:cs="Arial"/>
          <w:szCs w:val="20"/>
        </w:rPr>
        <w:t>regije v prehodu, ki dosegajo od 75 do 100 odstotkov povprečja razvitosti EU</w:t>
      </w:r>
      <w:r w:rsidR="00DE18E2" w:rsidRPr="00B148B1">
        <w:rPr>
          <w:rFonts w:cs="Arial"/>
          <w:szCs w:val="20"/>
        </w:rPr>
        <w:t>,</w:t>
      </w:r>
    </w:p>
    <w:p w:rsidR="006B6E68" w:rsidRPr="006B6E68" w:rsidRDefault="00754887" w:rsidP="006B6E68">
      <w:pPr>
        <w:numPr>
          <w:ilvl w:val="0"/>
          <w:numId w:val="21"/>
        </w:numPr>
        <w:tabs>
          <w:tab w:val="left" w:pos="9600"/>
        </w:tabs>
        <w:spacing w:before="120" w:line="280" w:lineRule="atLeast"/>
        <w:ind w:left="357" w:hanging="357"/>
        <w:rPr>
          <w:rFonts w:cs="Arial"/>
          <w:szCs w:val="20"/>
        </w:rPr>
      </w:pPr>
      <w:r w:rsidRPr="00B148B1">
        <w:rPr>
          <w:rFonts w:cs="Arial"/>
          <w:szCs w:val="20"/>
        </w:rPr>
        <w:t>bolj razvite regije, ki presegajo 100 odstotkov povprečja razvitosti EU.</w:t>
      </w:r>
    </w:p>
    <w:p w:rsidR="006B6E68" w:rsidRDefault="006B6E68" w:rsidP="00754887">
      <w:pPr>
        <w:tabs>
          <w:tab w:val="left" w:pos="9600"/>
        </w:tabs>
        <w:spacing w:before="120" w:line="280" w:lineRule="atLeast"/>
        <w:rPr>
          <w:rFonts w:cs="Arial"/>
          <w:szCs w:val="20"/>
        </w:rPr>
      </w:pPr>
    </w:p>
    <w:p w:rsidR="00754887" w:rsidRPr="00B148B1" w:rsidRDefault="00754887" w:rsidP="00754887">
      <w:pPr>
        <w:tabs>
          <w:tab w:val="left" w:pos="9600"/>
        </w:tabs>
        <w:spacing w:before="120" w:line="280" w:lineRule="atLeast"/>
        <w:rPr>
          <w:rFonts w:cs="Arial"/>
          <w:szCs w:val="20"/>
        </w:rPr>
      </w:pPr>
      <w:r w:rsidRPr="00B148B1">
        <w:rPr>
          <w:rFonts w:cs="Arial"/>
          <w:szCs w:val="20"/>
        </w:rPr>
        <w:t>Samo nepovratna sredstva ne bodo odpravila naložbenih vrzeli na področju odvajanja in čiščenja komunalne odpadne vode. Nepovratna sredstva je mogoče učinkovito dopolniti s finančnimi inštrumenti, ki imajo učinek finančnega vzvoda in so bližje trgu. Države članice bodo lahko del svojih sredstev</w:t>
      </w:r>
      <w:r w:rsidR="00F60098" w:rsidRPr="00B148B1">
        <w:rPr>
          <w:rFonts w:cs="Arial"/>
          <w:szCs w:val="20"/>
        </w:rPr>
        <w:t xml:space="preserve"> </w:t>
      </w:r>
      <w:r w:rsidRPr="00B148B1">
        <w:rPr>
          <w:rFonts w:cs="Arial"/>
          <w:szCs w:val="20"/>
        </w:rPr>
        <w:t xml:space="preserve">za izvajanje kohezijske politike prostovoljno prenesle na nov, centralno upravljan sklad </w:t>
      </w:r>
      <w:proofErr w:type="spellStart"/>
      <w:r w:rsidRPr="00B148B1">
        <w:rPr>
          <w:rFonts w:cs="Arial"/>
          <w:szCs w:val="20"/>
        </w:rPr>
        <w:t>InvestEU</w:t>
      </w:r>
      <w:proofErr w:type="spellEnd"/>
      <w:r w:rsidRPr="00B148B1">
        <w:rPr>
          <w:rFonts w:cs="Arial"/>
          <w:szCs w:val="20"/>
        </w:rPr>
        <w:t xml:space="preserve">. </w:t>
      </w:r>
      <w:r w:rsidRPr="00B148B1">
        <w:t xml:space="preserve">S programom </w:t>
      </w:r>
      <w:proofErr w:type="spellStart"/>
      <w:r w:rsidRPr="00B148B1">
        <w:t>InvestEU</w:t>
      </w:r>
      <w:proofErr w:type="spellEnd"/>
      <w:r w:rsidRPr="00B148B1">
        <w:t xml:space="preserve"> bodo pod eno streho združeni številni finančni instrumenti EU, ki so trenutno na voljo, in razširjen uspešen model naložbenega načrta za Evropo, znanega tudi kot </w:t>
      </w:r>
      <w:proofErr w:type="spellStart"/>
      <w:r w:rsidRPr="00B148B1">
        <w:t>Junckerjev</w:t>
      </w:r>
      <w:proofErr w:type="spellEnd"/>
      <w:r w:rsidRPr="00B148B1">
        <w:t xml:space="preserve"> načrt. Komisija bo z </w:t>
      </w:r>
      <w:proofErr w:type="spellStart"/>
      <w:r w:rsidRPr="00B148B1">
        <w:t>InvestEU</w:t>
      </w:r>
      <w:proofErr w:type="spellEnd"/>
      <w:r w:rsidRPr="00B148B1">
        <w:t xml:space="preserve"> še bolj spodbujala naložbe, inovacije in ustvarjanje delovnih mest.</w:t>
      </w:r>
    </w:p>
    <w:p w:rsidR="007F630D" w:rsidRPr="00B148B1" w:rsidRDefault="007F630D" w:rsidP="007F630D">
      <w:pPr>
        <w:rPr>
          <w:lang w:eastAsia="en-GB"/>
        </w:rPr>
      </w:pPr>
      <w:r w:rsidRPr="00B148B1">
        <w:rPr>
          <w:noProof/>
          <w:lang w:eastAsia="sl-SI"/>
        </w:rPr>
        <w:drawing>
          <wp:inline distT="0" distB="0" distL="0" distR="0" wp14:anchorId="27EEAC09" wp14:editId="0A4AAB37">
            <wp:extent cx="5755640" cy="1471647"/>
            <wp:effectExtent l="0" t="0" r="0" b="0"/>
            <wp:docPr id="13" name="Slika 13" descr="Delovanje sklada InvestEU" title="Delovanje sklada Invest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755640" cy="1471647"/>
                    </a:xfrm>
                    <a:prstGeom prst="rect">
                      <a:avLst/>
                    </a:prstGeom>
                  </pic:spPr>
                </pic:pic>
              </a:graphicData>
            </a:graphic>
          </wp:inline>
        </w:drawing>
      </w:r>
    </w:p>
    <w:p w:rsidR="00E57802" w:rsidRPr="00B148B1" w:rsidRDefault="00E57802" w:rsidP="00E57802">
      <w:pPr>
        <w:pStyle w:val="Napis"/>
        <w:jc w:val="center"/>
        <w:rPr>
          <w:rFonts w:ascii="Arial" w:hAnsi="Arial" w:cs="Arial"/>
          <w:b w:val="0"/>
          <w:lang w:val="sl-SI"/>
        </w:rPr>
      </w:pPr>
      <w:bookmarkStart w:id="162" w:name="_Toc45777404"/>
      <w:r w:rsidRPr="00B148B1">
        <w:rPr>
          <w:rFonts w:ascii="Arial" w:hAnsi="Arial" w:cs="Arial"/>
          <w:b w:val="0"/>
          <w:lang w:val="sl-SI"/>
        </w:rPr>
        <w:t xml:space="preserve">Slika </w:t>
      </w:r>
      <w:r w:rsidRPr="00B148B1">
        <w:rPr>
          <w:rFonts w:ascii="Arial" w:hAnsi="Arial" w:cs="Arial"/>
          <w:b w:val="0"/>
          <w:lang w:val="sl-SI"/>
        </w:rPr>
        <w:fldChar w:fldCharType="begin"/>
      </w:r>
      <w:r w:rsidRPr="00B148B1">
        <w:rPr>
          <w:rFonts w:ascii="Arial" w:hAnsi="Arial" w:cs="Arial"/>
          <w:b w:val="0"/>
          <w:lang w:val="sl-SI"/>
        </w:rPr>
        <w:instrText xml:space="preserve"> SEQ Slika \* ARABIC </w:instrText>
      </w:r>
      <w:r w:rsidRPr="00B148B1">
        <w:rPr>
          <w:rFonts w:ascii="Arial" w:hAnsi="Arial" w:cs="Arial"/>
          <w:b w:val="0"/>
          <w:lang w:val="sl-SI"/>
        </w:rPr>
        <w:fldChar w:fldCharType="separate"/>
      </w:r>
      <w:r w:rsidR="00E92793">
        <w:rPr>
          <w:rFonts w:ascii="Arial" w:hAnsi="Arial" w:cs="Arial"/>
          <w:b w:val="0"/>
          <w:noProof/>
          <w:lang w:val="sl-SI"/>
        </w:rPr>
        <w:t>2</w:t>
      </w:r>
      <w:r w:rsidRPr="00B148B1">
        <w:rPr>
          <w:rFonts w:ascii="Arial" w:hAnsi="Arial" w:cs="Arial"/>
          <w:b w:val="0"/>
          <w:lang w:val="sl-SI"/>
        </w:rPr>
        <w:fldChar w:fldCharType="end"/>
      </w:r>
      <w:r w:rsidRPr="00B148B1">
        <w:rPr>
          <w:rFonts w:ascii="Arial" w:hAnsi="Arial" w:cs="Arial"/>
          <w:b w:val="0"/>
          <w:lang w:val="sl-SI"/>
        </w:rPr>
        <w:t xml:space="preserve">: Delovanje sklada </w:t>
      </w:r>
      <w:proofErr w:type="spellStart"/>
      <w:r w:rsidRPr="00B148B1">
        <w:rPr>
          <w:rFonts w:ascii="Arial" w:hAnsi="Arial" w:cs="Arial"/>
          <w:b w:val="0"/>
          <w:lang w:val="sl-SI"/>
        </w:rPr>
        <w:t>InvestEU</w:t>
      </w:r>
      <w:bookmarkEnd w:id="162"/>
      <w:proofErr w:type="spellEnd"/>
    </w:p>
    <w:p w:rsidR="007F630D" w:rsidRPr="00B148B1" w:rsidRDefault="007F630D" w:rsidP="007F630D">
      <w:pPr>
        <w:rPr>
          <w:sz w:val="16"/>
          <w:szCs w:val="16"/>
        </w:rPr>
      </w:pPr>
      <w:r w:rsidRPr="00B148B1">
        <w:rPr>
          <w:sz w:val="16"/>
          <w:szCs w:val="16"/>
          <w:lang w:eastAsia="en-GB"/>
        </w:rPr>
        <w:t>Vir: Evropska komisija (</w:t>
      </w:r>
      <w:hyperlink r:id="rId32" w:history="1">
        <w:r w:rsidRPr="00B148B1">
          <w:rPr>
            <w:rStyle w:val="Hiperpovezava"/>
            <w:sz w:val="16"/>
            <w:szCs w:val="16"/>
          </w:rPr>
          <w:t>https://ec.europa.eu/commission/sites/beta-political/files/budget-june2018-what-is-investeu_sl.pdf</w:t>
        </w:r>
      </w:hyperlink>
      <w:r w:rsidRPr="00B148B1">
        <w:rPr>
          <w:sz w:val="16"/>
          <w:szCs w:val="16"/>
        </w:rPr>
        <w:t>)</w:t>
      </w:r>
    </w:p>
    <w:p w:rsidR="00E57802" w:rsidRPr="00B148B1" w:rsidRDefault="00E57802" w:rsidP="007F630D">
      <w:pPr>
        <w:rPr>
          <w:sz w:val="16"/>
          <w:szCs w:val="16"/>
          <w:lang w:eastAsia="en-GB"/>
        </w:rPr>
      </w:pPr>
    </w:p>
    <w:p w:rsidR="004B05C7" w:rsidRPr="00B148B1" w:rsidRDefault="004B05C7" w:rsidP="00B803AE">
      <w:pPr>
        <w:tabs>
          <w:tab w:val="left" w:pos="9600"/>
        </w:tabs>
        <w:spacing w:before="120" w:line="280" w:lineRule="atLeast"/>
        <w:rPr>
          <w:rFonts w:cs="Arial"/>
          <w:szCs w:val="20"/>
        </w:rPr>
      </w:pPr>
      <w:r w:rsidRPr="00B148B1">
        <w:rPr>
          <w:rFonts w:cs="Arial"/>
          <w:szCs w:val="20"/>
        </w:rPr>
        <w:t xml:space="preserve">Sklad </w:t>
      </w:r>
      <w:proofErr w:type="spellStart"/>
      <w:r w:rsidRPr="00B148B1">
        <w:rPr>
          <w:rFonts w:cs="Arial"/>
          <w:szCs w:val="20"/>
        </w:rPr>
        <w:t>InvestEU</w:t>
      </w:r>
      <w:proofErr w:type="spellEnd"/>
      <w:r w:rsidRPr="00B148B1">
        <w:rPr>
          <w:rFonts w:cs="Arial"/>
          <w:szCs w:val="20"/>
        </w:rPr>
        <w:t xml:space="preserve"> bo mobiliziral javne in zasebne naložbe z jamstvom proračuna EU v višini 38 milijard evrov, s katerim bo podprl naložbene projekte finančnih partnerjev, kot so skupina Evropske investicijske banke (EIB) in drugi, ter povečal njihovo sposobnost za prevzemanje tveganj. Finančni partnerji naj bi v obliki sposobnosti prevzemanja tveganj prispevali vsaj 9,5 milijarde evrov. Rezervacije za jamstvo bodo zagotovljene v višini 40 %, kar pomeni, da se v proračunu EU 15,2 milijarde evrov rezervira za primere unovčitve jamstva.</w:t>
      </w:r>
    </w:p>
    <w:p w:rsidR="004B05C7" w:rsidRPr="00B148B1" w:rsidRDefault="004B05C7" w:rsidP="00B803AE">
      <w:pPr>
        <w:tabs>
          <w:tab w:val="left" w:pos="9600"/>
        </w:tabs>
        <w:spacing w:before="120" w:line="280" w:lineRule="atLeast"/>
        <w:rPr>
          <w:rFonts w:cs="Arial"/>
          <w:szCs w:val="20"/>
        </w:rPr>
      </w:pPr>
      <w:r w:rsidRPr="00B148B1">
        <w:rPr>
          <w:rFonts w:cs="Arial"/>
          <w:szCs w:val="20"/>
        </w:rPr>
        <w:lastRenderedPageBreak/>
        <w:t xml:space="preserve">Sklad </w:t>
      </w:r>
      <w:proofErr w:type="spellStart"/>
      <w:r w:rsidRPr="00B148B1">
        <w:rPr>
          <w:rFonts w:cs="Arial"/>
          <w:szCs w:val="20"/>
        </w:rPr>
        <w:t>InvestEU</w:t>
      </w:r>
      <w:proofErr w:type="spellEnd"/>
      <w:r w:rsidRPr="00B148B1">
        <w:rPr>
          <w:rFonts w:cs="Arial"/>
          <w:szCs w:val="20"/>
        </w:rPr>
        <w:t xml:space="preserve"> bo vlagal prek finančnih partnerjev. Glavni partner bo skupina EIB, ki je uspešno izvajala in upravljala Evropski sklad za strateške naložbe (EFSI) od njegove ustanovitve leta 2015. Poleg skupine EIB bodo imele neposreden dostop do jamstva EU mednarodne finančne institucije, dejavne v Evropi, kot sta Evropska banka za obnovo in razvoj (EBRD) ali banka Sveta Evrope, in nacionalne spodbujevalne banke, ki delujejo v skupinah, tako da lahko pokrijejo vsaj tri države članice.</w:t>
      </w:r>
    </w:p>
    <w:p w:rsidR="00754887" w:rsidRPr="00B148B1" w:rsidRDefault="00754887" w:rsidP="00754887">
      <w:pPr>
        <w:tabs>
          <w:tab w:val="left" w:pos="9600"/>
        </w:tabs>
        <w:spacing w:before="120" w:line="280" w:lineRule="atLeast"/>
        <w:rPr>
          <w:rFonts w:cs="Arial"/>
          <w:szCs w:val="20"/>
        </w:rPr>
      </w:pPr>
      <w:r w:rsidRPr="00B148B1">
        <w:rPr>
          <w:rFonts w:cs="Arial"/>
          <w:szCs w:val="20"/>
        </w:rPr>
        <w:t xml:space="preserve">Glavne prednosti programa </w:t>
      </w:r>
      <w:proofErr w:type="spellStart"/>
      <w:r w:rsidRPr="00B148B1">
        <w:rPr>
          <w:rFonts w:cs="Arial"/>
          <w:szCs w:val="20"/>
        </w:rPr>
        <w:t>InvestEU</w:t>
      </w:r>
      <w:proofErr w:type="spellEnd"/>
      <w:r w:rsidRPr="00B148B1">
        <w:rPr>
          <w:rFonts w:cs="Arial"/>
          <w:szCs w:val="20"/>
        </w:rPr>
        <w:t>:</w:t>
      </w:r>
    </w:p>
    <w:p w:rsidR="00754887" w:rsidRPr="00B148B1" w:rsidRDefault="00754887" w:rsidP="004C2581">
      <w:pPr>
        <w:pStyle w:val="Odstavekseznama"/>
        <w:numPr>
          <w:ilvl w:val="0"/>
          <w:numId w:val="19"/>
        </w:numPr>
        <w:tabs>
          <w:tab w:val="left" w:pos="9600"/>
        </w:tabs>
        <w:spacing w:before="120" w:line="280" w:lineRule="atLeast"/>
        <w:ind w:left="360"/>
        <w:rPr>
          <w:rFonts w:cs="Arial"/>
          <w:szCs w:val="20"/>
        </w:rPr>
      </w:pPr>
      <w:r w:rsidRPr="00B148B1">
        <w:t xml:space="preserve">Razširitev uspešnega modela </w:t>
      </w:r>
      <w:proofErr w:type="spellStart"/>
      <w:r w:rsidRPr="00B148B1">
        <w:t>Junckerjevega</w:t>
      </w:r>
      <w:proofErr w:type="spellEnd"/>
      <w:r w:rsidRPr="00B148B1">
        <w:t xml:space="preserve"> načrta. Sklad </w:t>
      </w:r>
      <w:proofErr w:type="spellStart"/>
      <w:r w:rsidRPr="00B148B1">
        <w:t>InvestEU</w:t>
      </w:r>
      <w:proofErr w:type="spellEnd"/>
      <w:r w:rsidRPr="00B148B1">
        <w:t xml:space="preserve"> bo z uporabo jamstev iz proračuna EU za privabljanje drugih vlagateljev še povečal potencial EU za podporo naložbam. </w:t>
      </w:r>
    </w:p>
    <w:p w:rsidR="00754887" w:rsidRPr="00B148B1" w:rsidRDefault="00754887" w:rsidP="00F44F64">
      <w:pPr>
        <w:pStyle w:val="Odstavekseznama"/>
        <w:tabs>
          <w:tab w:val="left" w:pos="9600"/>
        </w:tabs>
        <w:spacing w:before="120" w:line="280" w:lineRule="atLeast"/>
        <w:ind w:left="360"/>
        <w:rPr>
          <w:rFonts w:cs="Arial"/>
          <w:szCs w:val="20"/>
        </w:rPr>
      </w:pPr>
    </w:p>
    <w:p w:rsidR="00754887" w:rsidRPr="00B148B1" w:rsidRDefault="00754887" w:rsidP="004C2581">
      <w:pPr>
        <w:pStyle w:val="Odstavekseznama"/>
        <w:numPr>
          <w:ilvl w:val="0"/>
          <w:numId w:val="19"/>
        </w:numPr>
        <w:tabs>
          <w:tab w:val="left" w:pos="9600"/>
        </w:tabs>
        <w:spacing w:before="120" w:line="280" w:lineRule="atLeast"/>
        <w:ind w:left="360"/>
        <w:rPr>
          <w:rFonts w:cs="Arial"/>
          <w:szCs w:val="20"/>
        </w:rPr>
      </w:pPr>
      <w:r w:rsidRPr="00B148B1">
        <w:t xml:space="preserve">Večji učinek sredstev EU. Z uporabo proračunskega jamstva EU je lahko učinek javnih sredstev večji. Program </w:t>
      </w:r>
      <w:proofErr w:type="spellStart"/>
      <w:r w:rsidRPr="00B148B1">
        <w:t>InvestEU</w:t>
      </w:r>
      <w:proofErr w:type="spellEnd"/>
      <w:r w:rsidRPr="00B148B1">
        <w:t xml:space="preserve"> bo v obdobju 2021–2027 po pričakovanjih spodbudil dodatne naložbe v vrednosti 650 milijard evrov. </w:t>
      </w:r>
    </w:p>
    <w:p w:rsidR="00754887" w:rsidRPr="00B148B1" w:rsidRDefault="00754887" w:rsidP="00F44F64">
      <w:pPr>
        <w:pStyle w:val="Odstavekseznama"/>
        <w:tabs>
          <w:tab w:val="left" w:pos="9600"/>
        </w:tabs>
        <w:spacing w:before="120" w:line="280" w:lineRule="atLeast"/>
        <w:ind w:left="360"/>
        <w:rPr>
          <w:rFonts w:cs="Arial"/>
          <w:szCs w:val="20"/>
        </w:rPr>
      </w:pPr>
    </w:p>
    <w:p w:rsidR="00754887" w:rsidRPr="00B148B1" w:rsidRDefault="00754887" w:rsidP="004C2581">
      <w:pPr>
        <w:pStyle w:val="Odstavekseznama"/>
        <w:numPr>
          <w:ilvl w:val="0"/>
          <w:numId w:val="19"/>
        </w:numPr>
        <w:tabs>
          <w:tab w:val="left" w:pos="9600"/>
        </w:tabs>
        <w:spacing w:before="120" w:line="280" w:lineRule="atLeast"/>
        <w:ind w:left="360"/>
        <w:rPr>
          <w:rFonts w:cs="Arial"/>
          <w:szCs w:val="20"/>
        </w:rPr>
      </w:pPr>
      <w:r w:rsidRPr="00B148B1">
        <w:t xml:space="preserve">Pomoč državam članicam pri učinkovitejši porabi njihovih sredstev EU. Države članice bodo lahko del svojih dodeljenih sredstev na področju kohezijske politike preusmerile v proračunsko jamstvo </w:t>
      </w:r>
      <w:proofErr w:type="spellStart"/>
      <w:r w:rsidRPr="00B148B1">
        <w:t>InvestEU</w:t>
      </w:r>
      <w:proofErr w:type="spellEnd"/>
      <w:r w:rsidRPr="00B148B1">
        <w:t>, kar jim bo zagotovilo še večjo prožnost.</w:t>
      </w:r>
    </w:p>
    <w:p w:rsidR="00DF7258" w:rsidRPr="00B148B1" w:rsidRDefault="00DF7258" w:rsidP="00597ABC">
      <w:pPr>
        <w:rPr>
          <w:rFonts w:cs="Arial"/>
          <w:szCs w:val="20"/>
        </w:rPr>
      </w:pPr>
    </w:p>
    <w:p w:rsidR="00DF7258" w:rsidRPr="00B148B1" w:rsidRDefault="00DF7258" w:rsidP="00960374">
      <w:pPr>
        <w:pStyle w:val="Naslov4"/>
      </w:pPr>
      <w:bookmarkStart w:id="163" w:name="_Toc50628106"/>
      <w:r w:rsidRPr="00B148B1">
        <w:t>5.3.1.2 Sklad za vode</w:t>
      </w:r>
      <w:bookmarkEnd w:id="163"/>
    </w:p>
    <w:p w:rsidR="00DF7258" w:rsidRPr="00B148B1" w:rsidRDefault="00DF7258" w:rsidP="00597ABC">
      <w:pPr>
        <w:rPr>
          <w:rFonts w:cs="Arial"/>
          <w:szCs w:val="20"/>
        </w:rPr>
      </w:pPr>
    </w:p>
    <w:p w:rsidR="00B734C1" w:rsidRPr="00B148B1" w:rsidRDefault="00B734C1" w:rsidP="00960374">
      <w:pPr>
        <w:rPr>
          <w:rFonts w:cs="Arial"/>
          <w:szCs w:val="20"/>
        </w:rPr>
      </w:pPr>
      <w:r w:rsidRPr="00B148B1">
        <w:rPr>
          <w:rFonts w:cs="Arial"/>
          <w:szCs w:val="20"/>
        </w:rPr>
        <w:t xml:space="preserve">V letu </w:t>
      </w:r>
      <w:r w:rsidR="00F60098" w:rsidRPr="00B148B1">
        <w:rPr>
          <w:rFonts w:cs="Arial"/>
          <w:szCs w:val="20"/>
        </w:rPr>
        <w:t xml:space="preserve">2020 </w:t>
      </w:r>
      <w:r w:rsidRPr="00B148B1">
        <w:rPr>
          <w:rFonts w:cs="Arial"/>
          <w:szCs w:val="20"/>
        </w:rPr>
        <w:t xml:space="preserve">je prišlo do sprememb in dopolnitev Zakona o vodah </w:t>
      </w:r>
      <w:r w:rsidRPr="0048750F">
        <w:rPr>
          <w:rFonts w:cs="Arial"/>
          <w:szCs w:val="20"/>
        </w:rPr>
        <w:t>(Uradni list RS, št.</w:t>
      </w:r>
      <w:r w:rsidR="00DE18E2" w:rsidRPr="0048750F">
        <w:rPr>
          <w:rFonts w:cs="Arial"/>
          <w:szCs w:val="20"/>
        </w:rPr>
        <w:t xml:space="preserve"> </w:t>
      </w:r>
      <w:hyperlink r:id="rId33" w:tgtFrame="_blank" w:tooltip="Zakon o vodah (ZV-1)" w:history="1">
        <w:r w:rsidRPr="0048750F">
          <w:rPr>
            <w:rFonts w:cs="Arial"/>
          </w:rPr>
          <w:t>67/02</w:t>
        </w:r>
      </w:hyperlink>
      <w:r w:rsidRPr="0048750F">
        <w:rPr>
          <w:rFonts w:cs="Arial"/>
          <w:szCs w:val="20"/>
        </w:rPr>
        <w:t>,</w:t>
      </w:r>
      <w:r w:rsidR="00DE18E2" w:rsidRPr="0048750F">
        <w:rPr>
          <w:rFonts w:cs="Arial"/>
          <w:szCs w:val="20"/>
        </w:rPr>
        <w:t xml:space="preserve"> </w:t>
      </w:r>
      <w:hyperlink r:id="rId34" w:tgtFrame="_blank" w:tooltip="Zakon o spremembah in dopolnitvah zakona o zdravstveni inšpekciji" w:history="1">
        <w:r w:rsidRPr="0048750F">
          <w:rPr>
            <w:rFonts w:cs="Arial"/>
          </w:rPr>
          <w:t>2/04</w:t>
        </w:r>
      </w:hyperlink>
      <w:r w:rsidR="00DE18E2" w:rsidRPr="0048750F">
        <w:rPr>
          <w:rFonts w:cs="Arial"/>
          <w:szCs w:val="20"/>
        </w:rPr>
        <w:t xml:space="preserve"> </w:t>
      </w:r>
      <w:r w:rsidRPr="0048750F">
        <w:rPr>
          <w:rFonts w:cs="Arial"/>
          <w:szCs w:val="20"/>
        </w:rPr>
        <w:t>– ZZdrI-A,</w:t>
      </w:r>
      <w:r w:rsidR="00201942" w:rsidRPr="0048750F">
        <w:rPr>
          <w:rFonts w:cs="Arial"/>
          <w:szCs w:val="20"/>
        </w:rPr>
        <w:t xml:space="preserve"> </w:t>
      </w:r>
      <w:hyperlink r:id="rId35" w:tgtFrame="_blank" w:tooltip="Zakon o varstvu okolja" w:history="1">
        <w:r w:rsidRPr="0048750F">
          <w:rPr>
            <w:rFonts w:cs="Arial"/>
          </w:rPr>
          <w:t>41/04</w:t>
        </w:r>
      </w:hyperlink>
      <w:r w:rsidR="006F60A7">
        <w:rPr>
          <w:rFonts w:cs="Arial"/>
        </w:rPr>
        <w:t xml:space="preserve"> </w:t>
      </w:r>
      <w:r w:rsidRPr="0048750F">
        <w:rPr>
          <w:rFonts w:cs="Arial"/>
          <w:szCs w:val="20"/>
        </w:rPr>
        <w:t>– ZVO-1,</w:t>
      </w:r>
      <w:r w:rsidR="001F2A5A" w:rsidRPr="0048750F">
        <w:rPr>
          <w:rFonts w:cs="Arial"/>
          <w:szCs w:val="20"/>
        </w:rPr>
        <w:t xml:space="preserve"> </w:t>
      </w:r>
      <w:hyperlink r:id="rId36" w:tgtFrame="_blank" w:tooltip="Zakon o spremembah in dopolnitvah Zakona o vodah" w:history="1">
        <w:r w:rsidRPr="0048750F">
          <w:rPr>
            <w:rFonts w:cs="Arial"/>
          </w:rPr>
          <w:t>57/08</w:t>
        </w:r>
      </w:hyperlink>
      <w:r w:rsidRPr="0048750F">
        <w:rPr>
          <w:rFonts w:cs="Arial"/>
          <w:szCs w:val="20"/>
        </w:rPr>
        <w:t>,</w:t>
      </w:r>
      <w:r w:rsidR="001F2A5A" w:rsidRPr="0048750F">
        <w:rPr>
          <w:rFonts w:cs="Arial"/>
          <w:szCs w:val="20"/>
        </w:rPr>
        <w:t xml:space="preserve"> </w:t>
      </w:r>
      <w:hyperlink r:id="rId37" w:tgtFrame="_blank" w:tooltip="Zakon o spremembah in dopolnitvah Zakona o vodah" w:history="1">
        <w:r w:rsidRPr="0048750F">
          <w:rPr>
            <w:rFonts w:cs="Arial"/>
          </w:rPr>
          <w:t>57/12</w:t>
        </w:r>
      </w:hyperlink>
      <w:r w:rsidRPr="0048750F">
        <w:rPr>
          <w:rFonts w:cs="Arial"/>
          <w:szCs w:val="20"/>
        </w:rPr>
        <w:t>,</w:t>
      </w:r>
      <w:r w:rsidR="001F2A5A" w:rsidRPr="0048750F">
        <w:rPr>
          <w:rFonts w:cs="Arial"/>
          <w:szCs w:val="20"/>
        </w:rPr>
        <w:t xml:space="preserve"> </w:t>
      </w:r>
      <w:hyperlink r:id="rId38" w:tgtFrame="_blank" w:tooltip="Zakon o dopolnitvah Zakona o vodah" w:history="1">
        <w:r w:rsidRPr="0048750F">
          <w:rPr>
            <w:rFonts w:cs="Arial"/>
          </w:rPr>
          <w:t>100/13</w:t>
        </w:r>
      </w:hyperlink>
      <w:r w:rsidRPr="0048750F">
        <w:rPr>
          <w:rFonts w:cs="Arial"/>
          <w:szCs w:val="20"/>
        </w:rPr>
        <w:t>,</w:t>
      </w:r>
      <w:r w:rsidR="001F2A5A" w:rsidRPr="0048750F">
        <w:rPr>
          <w:rFonts w:cs="Arial"/>
          <w:szCs w:val="20"/>
        </w:rPr>
        <w:t xml:space="preserve"> </w:t>
      </w:r>
      <w:hyperlink r:id="rId39" w:tgtFrame="_blank" w:tooltip="Zakon o spremembah in dopolnitvah Zakona o vodah" w:history="1">
        <w:r w:rsidRPr="0048750F">
          <w:rPr>
            <w:rFonts w:cs="Arial"/>
          </w:rPr>
          <w:t>40/14</w:t>
        </w:r>
      </w:hyperlink>
      <w:r w:rsidRPr="0048750F">
        <w:rPr>
          <w:rFonts w:cs="Arial"/>
          <w:szCs w:val="20"/>
        </w:rPr>
        <w:t>,</w:t>
      </w:r>
      <w:r w:rsidR="001F2A5A" w:rsidRPr="0048750F">
        <w:rPr>
          <w:rFonts w:cs="Arial"/>
          <w:szCs w:val="20"/>
        </w:rPr>
        <w:t xml:space="preserve"> </w:t>
      </w:r>
      <w:hyperlink r:id="rId40" w:tgtFrame="_blank" w:tooltip="Zakon o spremembah in dopolnitvah Zakona o vodah" w:history="1">
        <w:r w:rsidRPr="0048750F">
          <w:rPr>
            <w:rFonts w:cs="Arial"/>
          </w:rPr>
          <w:t>56/15</w:t>
        </w:r>
      </w:hyperlink>
      <w:r w:rsidR="001F2A5A" w:rsidRPr="0048750F">
        <w:rPr>
          <w:rFonts w:cs="Arial"/>
          <w:szCs w:val="20"/>
        </w:rPr>
        <w:t xml:space="preserve"> </w:t>
      </w:r>
      <w:r w:rsidRPr="0048750F">
        <w:rPr>
          <w:rFonts w:cs="Arial"/>
          <w:szCs w:val="20"/>
        </w:rPr>
        <w:t>in</w:t>
      </w:r>
      <w:r w:rsidR="001F2A5A" w:rsidRPr="0048750F">
        <w:rPr>
          <w:rFonts w:cs="Arial"/>
          <w:szCs w:val="20"/>
        </w:rPr>
        <w:t xml:space="preserve"> </w:t>
      </w:r>
      <w:hyperlink r:id="rId41" w:tgtFrame="_blank" w:tooltip="Zakon o spremembah in dopolnitvah Zakona o vodah" w:history="1">
        <w:r w:rsidRPr="0048750F">
          <w:rPr>
            <w:rFonts w:cs="Arial"/>
          </w:rPr>
          <w:t>65/20</w:t>
        </w:r>
      </w:hyperlink>
      <w:r w:rsidRPr="0048750F">
        <w:rPr>
          <w:rFonts w:cs="Arial"/>
          <w:szCs w:val="20"/>
        </w:rPr>
        <w:t>)</w:t>
      </w:r>
      <w:r w:rsidRPr="00B148B1">
        <w:rPr>
          <w:rFonts w:cs="Arial"/>
          <w:szCs w:val="20"/>
        </w:rPr>
        <w:t xml:space="preserve">. S spremembo se je med drugim dopolnila oziroma spremenila tudi določba Sklada za vode z vidika namena porabe sredstev tega sklada. Predlagana sprememba omogoča jasnejšo opredelitev, kaj je v zvezi z vodno infrastrukturo mogoče financirati iz Sklada za vode. Dodana je tudi možnost sofinanciranja občinskih projektov novogradnje ali rekonstrukcije javne kanalizacije v aglomeracijah s skupno obremenitvijo, manjšo od 2.000 PE, če jih ni mogoče sofinancirati iz sredstev </w:t>
      </w:r>
      <w:r w:rsidR="00775608" w:rsidRPr="00B148B1">
        <w:rPr>
          <w:rFonts w:cs="Arial"/>
          <w:szCs w:val="20"/>
        </w:rPr>
        <w:t>EU</w:t>
      </w:r>
      <w:r w:rsidRPr="00B148B1">
        <w:rPr>
          <w:rFonts w:cs="Arial"/>
          <w:szCs w:val="20"/>
        </w:rPr>
        <w:t xml:space="preserve">. Gre za posebno ureditev na podlagi predlaganega zakona, katere namen je zagotoviti pomoč pri doseganju ciljev dobrega stanja voda oziroma ustreznega odvajanja in čiščenja komunalne odpadne vode na področju izvajanja obveznih občinskih javnih služb varstva okolja. </w:t>
      </w:r>
    </w:p>
    <w:p w:rsidR="00B734C1" w:rsidRPr="00B148B1" w:rsidRDefault="00B734C1" w:rsidP="00597ABC">
      <w:pPr>
        <w:rPr>
          <w:rFonts w:cs="Arial"/>
          <w:szCs w:val="20"/>
        </w:rPr>
      </w:pPr>
    </w:p>
    <w:p w:rsidR="00B734C1" w:rsidRPr="00B148B1" w:rsidRDefault="00B734C1" w:rsidP="00597ABC">
      <w:pPr>
        <w:rPr>
          <w:szCs w:val="20"/>
        </w:rPr>
      </w:pPr>
      <w:r w:rsidRPr="00B148B1">
        <w:rPr>
          <w:szCs w:val="20"/>
        </w:rPr>
        <w:t>Določba tretjega odstavka 162. člena Zakona o vodah (nove 8. do 10. t</w:t>
      </w:r>
      <w:r w:rsidR="00542030" w:rsidRPr="00B148B1">
        <w:rPr>
          <w:szCs w:val="20"/>
        </w:rPr>
        <w:t>očka) je med drugim dopolnjena tudi z možnostjo</w:t>
      </w:r>
      <w:r w:rsidRPr="00B148B1">
        <w:rPr>
          <w:szCs w:val="20"/>
        </w:rPr>
        <w:t xml:space="preserve"> sofinanciranja občinskih projektov novogradnje ali rekonstrukcije javne kanalizacije v aglomeracijah s skupno obremenitvijo, manjšo od 2.000 PE, če jih ni mogoče sofinancirati iz sredstev </w:t>
      </w:r>
      <w:r w:rsidR="00775608" w:rsidRPr="00B148B1">
        <w:rPr>
          <w:szCs w:val="20"/>
        </w:rPr>
        <w:t>EU</w:t>
      </w:r>
      <w:r w:rsidRPr="00B148B1">
        <w:rPr>
          <w:szCs w:val="20"/>
        </w:rPr>
        <w:t>. S predvidenimi možnostmi sofinanciranja navedenih projektov se ne posega v zagotavljanje financiranja obstoječih osnovnih nalog, ki izhajajo iz Zakona o vodah. Sredstva za sofinanciranje bo mogoče nameniti v okviru razpoložljivih predvidenih sredstev Sklada za vode v posameznem letu, pri čemer se sredstva Sklada za vode lahko porabijo za financiranje navedenih nalog sekundarno</w:t>
      </w:r>
      <w:r w:rsidR="00F60098" w:rsidRPr="00B148B1">
        <w:rPr>
          <w:szCs w:val="20"/>
        </w:rPr>
        <w:t>,</w:t>
      </w:r>
      <w:r w:rsidRPr="00B148B1">
        <w:rPr>
          <w:szCs w:val="20"/>
        </w:rPr>
        <w:t xml:space="preserve"> in sicer do višine petdeset odstotkov predvidenih prilivov v Sklad za vode iz naslova vodnih povračil za rabo vode za oskrbo s pitno vodo, ki se izvaja kot gospodarska javna služba. </w:t>
      </w:r>
    </w:p>
    <w:p w:rsidR="001F2A5A" w:rsidRPr="00B148B1" w:rsidRDefault="001F2A5A" w:rsidP="00597ABC">
      <w:pPr>
        <w:rPr>
          <w:szCs w:val="20"/>
        </w:rPr>
      </w:pPr>
    </w:p>
    <w:p w:rsidR="009D4DE3" w:rsidRDefault="001F2A5A" w:rsidP="001F2A5A">
      <w:pPr>
        <w:rPr>
          <w:rFonts w:ascii="Helv" w:eastAsiaTheme="minorHAnsi" w:hAnsi="Helv" w:cs="Helv"/>
          <w:color w:val="000000"/>
          <w:szCs w:val="20"/>
        </w:rPr>
      </w:pPr>
      <w:r w:rsidRPr="00B148B1">
        <w:rPr>
          <w:rFonts w:ascii="Helv" w:eastAsiaTheme="minorHAnsi" w:hAnsi="Helv" w:cs="Helv"/>
          <w:color w:val="000000"/>
          <w:szCs w:val="20"/>
        </w:rPr>
        <w:t xml:space="preserve">V zadnjih petih letih je znašal povprečni letni priliv v Sklad za vode okoli 40 milijonov </w:t>
      </w:r>
      <w:r w:rsidR="00BC7154" w:rsidRPr="00B148B1">
        <w:rPr>
          <w:rFonts w:ascii="Helv" w:eastAsiaTheme="minorHAnsi" w:hAnsi="Helv" w:cs="Helv"/>
          <w:color w:val="000000"/>
          <w:szCs w:val="20"/>
        </w:rPr>
        <w:t>evrov</w:t>
      </w:r>
      <w:r w:rsidRPr="00B148B1">
        <w:rPr>
          <w:rFonts w:ascii="Helv" w:eastAsiaTheme="minorHAnsi" w:hAnsi="Helv" w:cs="Helv"/>
          <w:color w:val="000000"/>
          <w:szCs w:val="20"/>
        </w:rPr>
        <w:t xml:space="preserve">, višina prilivov iz naslova vodnih povračil za rabo vode za oskrbo s pitno vodo pa okoli 10 milijonov </w:t>
      </w:r>
      <w:r w:rsidR="00BC7154" w:rsidRPr="00B148B1">
        <w:rPr>
          <w:rFonts w:ascii="Helv" w:eastAsiaTheme="minorHAnsi" w:hAnsi="Helv" w:cs="Helv"/>
          <w:color w:val="000000"/>
          <w:szCs w:val="20"/>
        </w:rPr>
        <w:t>evrov</w:t>
      </w:r>
      <w:r w:rsidRPr="00B148B1">
        <w:rPr>
          <w:rFonts w:ascii="Helv" w:eastAsiaTheme="minorHAnsi" w:hAnsi="Helv" w:cs="Helv"/>
          <w:color w:val="000000"/>
          <w:szCs w:val="20"/>
        </w:rPr>
        <w:t xml:space="preserve">. V program Sklada za vode je za leti 2020 in 2021 že uvrščenih 50% prilivov za sofinanciranje občinskih projektov novogradnje ali rekonstrukcije vodovodnih sistemov ter javne kanalizacije, kar znaša na letni ravni okoli 5 milijonov </w:t>
      </w:r>
      <w:r w:rsidR="00BC7154" w:rsidRPr="00B148B1">
        <w:rPr>
          <w:rFonts w:ascii="Helv" w:eastAsiaTheme="minorHAnsi" w:hAnsi="Helv" w:cs="Helv"/>
          <w:color w:val="000000"/>
          <w:szCs w:val="20"/>
        </w:rPr>
        <w:t>evrov</w:t>
      </w:r>
      <w:r w:rsidRPr="00B148B1">
        <w:rPr>
          <w:rFonts w:ascii="Helv" w:eastAsiaTheme="minorHAnsi" w:hAnsi="Helv" w:cs="Helv"/>
          <w:color w:val="000000"/>
          <w:szCs w:val="20"/>
        </w:rPr>
        <w:t xml:space="preserve">. </w:t>
      </w:r>
    </w:p>
    <w:p w:rsidR="00960374" w:rsidRDefault="00960374">
      <w:pPr>
        <w:spacing w:after="200" w:line="276" w:lineRule="auto"/>
        <w:jc w:val="left"/>
      </w:pPr>
      <w:r>
        <w:br w:type="page"/>
      </w:r>
    </w:p>
    <w:p w:rsidR="00960374" w:rsidRPr="00960374" w:rsidRDefault="00183C94" w:rsidP="00960374">
      <w:pPr>
        <w:pStyle w:val="Naslov4"/>
      </w:pPr>
      <w:bookmarkStart w:id="164" w:name="_Toc50628107"/>
      <w:r w:rsidRPr="00B148B1">
        <w:lastRenderedPageBreak/>
        <w:t xml:space="preserve">5.3.1.3 </w:t>
      </w:r>
      <w:r w:rsidR="00A0233B" w:rsidRPr="00960374">
        <w:t>Občinski</w:t>
      </w:r>
      <w:r w:rsidR="00A0233B" w:rsidRPr="00B148B1">
        <w:t xml:space="preserve"> proračuni</w:t>
      </w:r>
      <w:bookmarkEnd w:id="164"/>
    </w:p>
    <w:p w:rsidR="00960374" w:rsidRDefault="00960374" w:rsidP="00960374"/>
    <w:p w:rsidR="00D16D2B" w:rsidRPr="00960374" w:rsidRDefault="00D16D2B" w:rsidP="00960374">
      <w:r w:rsidRPr="00960374">
        <w:t xml:space="preserve">Med pomembnejšimi finančnimi viri občin je tudi okoljska dajatev za onesnaževanje okolja zaradi odvajanja odpadnih voda, ki je prihodek občinskega proračuna. Namenska poraba okoljskih dajatev za onesnaževanje okolja je določena s 7. členom Zakona o financiranju občin (Uradni list RS, št. 123/06, 57/08, 36/11 in 14/15 – ZUUJFO), ki določa, da se mora namenska poraba sredstev, pridobljenih z okoljsko dajatvijo za onesnaževanje okolja, določiti z občinskim predpisom, s katerim se sprejme občinski proračun, in sicer se v občinskem predpisu določi, da se sredstva okoljskih dajatev za onesnaževanje okolja zaradi odvajanja odpadnih voda lahko porabijo le za gradnjo infrastrukture, namenjene </w:t>
      </w:r>
      <w:r w:rsidR="00AC6421" w:rsidRPr="00960374">
        <w:t xml:space="preserve">za </w:t>
      </w:r>
      <w:r w:rsidRPr="00960374">
        <w:t>izvajanj</w:t>
      </w:r>
      <w:r w:rsidR="00AC6421" w:rsidRPr="00960374">
        <w:t>e</w:t>
      </w:r>
      <w:r w:rsidRPr="00960374">
        <w:t xml:space="preserve"> obveznih občinskih javnih služb varstva okolja v skladu z državnimi operativnimi programi, sprejetimi s predpisi varstva okolja na področju odvajanja in čiščenja odpadnih voda, ravnanja s komunalnimi odpadki in odlaganja odpadkov, ter za zagotavljanje oskrbovalnih standardov, tehničnih, vzdrževalnih, organizacijskih in drugih ukrepov, predpisanih za izvajanje obveznih občinskih javnih služb varstva okolja.</w:t>
      </w:r>
    </w:p>
    <w:p w:rsidR="001F2A5A" w:rsidRPr="00B148B1" w:rsidRDefault="001F2A5A" w:rsidP="001F2A5A">
      <w:pPr>
        <w:tabs>
          <w:tab w:val="left" w:pos="9600"/>
        </w:tabs>
        <w:spacing w:before="120" w:line="280" w:lineRule="atLeast"/>
        <w:rPr>
          <w:rFonts w:cs="Arial"/>
          <w:szCs w:val="20"/>
        </w:rPr>
      </w:pPr>
      <w:r w:rsidRPr="00B148B1">
        <w:rPr>
          <w:rFonts w:cs="Arial"/>
          <w:szCs w:val="20"/>
        </w:rPr>
        <w:t>V zadnjih petih letih se je letno v povprečju iz naslova okoljske dajatve za onesnaževanje okolja zaradi odvajanja odpadnih voda v občinske proračune steklo 24,6 milijon</w:t>
      </w:r>
      <w:r w:rsidR="001A5E60" w:rsidRPr="00B148B1">
        <w:rPr>
          <w:rFonts w:cs="Arial"/>
          <w:szCs w:val="20"/>
        </w:rPr>
        <w:t>a</w:t>
      </w:r>
      <w:r w:rsidRPr="00B148B1">
        <w:rPr>
          <w:rFonts w:cs="Arial"/>
          <w:szCs w:val="20"/>
        </w:rPr>
        <w:t xml:space="preserve"> </w:t>
      </w:r>
      <w:r w:rsidR="00BC7154" w:rsidRPr="00B148B1">
        <w:rPr>
          <w:rFonts w:cs="Arial"/>
          <w:szCs w:val="20"/>
        </w:rPr>
        <w:t>evrov</w:t>
      </w:r>
      <w:r w:rsidRPr="00B148B1">
        <w:rPr>
          <w:rFonts w:cs="Arial"/>
          <w:szCs w:val="20"/>
        </w:rPr>
        <w:t>.</w:t>
      </w:r>
    </w:p>
    <w:p w:rsidR="001F2A5A" w:rsidRPr="00B148B1" w:rsidRDefault="00751D22" w:rsidP="00D16D2B">
      <w:pPr>
        <w:tabs>
          <w:tab w:val="left" w:pos="9600"/>
        </w:tabs>
        <w:spacing w:before="120" w:line="280" w:lineRule="atLeast"/>
        <w:rPr>
          <w:rFonts w:cs="Arial"/>
          <w:szCs w:val="20"/>
        </w:rPr>
      </w:pPr>
      <w:r w:rsidRPr="00B148B1">
        <w:rPr>
          <w:noProof/>
          <w:lang w:eastAsia="sl-SI"/>
        </w:rPr>
        <w:drawing>
          <wp:inline distT="0" distB="0" distL="0" distR="0" wp14:anchorId="6D971D91" wp14:editId="5956338B">
            <wp:extent cx="5755640" cy="3285353"/>
            <wp:effectExtent l="0" t="0" r="0" b="0"/>
            <wp:docPr id="9" name="Grafikon 9" descr="Gibanje prihodkov iz naslova okoljske dajatve za onesnaževanje okolja zaradi odvajanja odpadnih voda po občinah v obdobju 2007–2019" title="Gibanje prihodkov iz naslova okoljske dajatve za onesnaževanje okolja zaradi odvajanja odpadnih voda po občinah v obdobju 2007–20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4453AC" w:rsidRPr="00B148B1" w:rsidRDefault="004453AC" w:rsidP="00FF4469">
      <w:pPr>
        <w:pStyle w:val="Napis"/>
        <w:rPr>
          <w:rFonts w:cs="Arial"/>
          <w:lang w:val="sl-SI"/>
        </w:rPr>
      </w:pPr>
      <w:bookmarkStart w:id="165" w:name="_Toc50627610"/>
      <w:r w:rsidRPr="00B148B1">
        <w:rPr>
          <w:rFonts w:ascii="Arial" w:hAnsi="Arial" w:cs="Arial"/>
          <w:b w:val="0"/>
          <w:lang w:val="sl-SI"/>
        </w:rPr>
        <w:t xml:space="preserve">Grafikon </w:t>
      </w:r>
      <w:r w:rsidRPr="00B148B1">
        <w:rPr>
          <w:rFonts w:ascii="Arial" w:hAnsi="Arial" w:cs="Arial"/>
          <w:b w:val="0"/>
          <w:lang w:val="sl-SI"/>
        </w:rPr>
        <w:fldChar w:fldCharType="begin"/>
      </w:r>
      <w:r w:rsidRPr="00B148B1">
        <w:rPr>
          <w:rFonts w:ascii="Arial" w:hAnsi="Arial" w:cs="Arial"/>
          <w:b w:val="0"/>
          <w:lang w:val="sl-SI"/>
        </w:rPr>
        <w:instrText xml:space="preserve"> SEQ Grafikon \* ARABIC </w:instrText>
      </w:r>
      <w:r w:rsidRPr="00B148B1">
        <w:rPr>
          <w:rFonts w:ascii="Arial" w:hAnsi="Arial" w:cs="Arial"/>
          <w:b w:val="0"/>
          <w:lang w:val="sl-SI"/>
        </w:rPr>
        <w:fldChar w:fldCharType="separate"/>
      </w:r>
      <w:r w:rsidR="00E92793">
        <w:rPr>
          <w:rFonts w:ascii="Arial" w:hAnsi="Arial" w:cs="Arial"/>
          <w:b w:val="0"/>
          <w:noProof/>
          <w:lang w:val="sl-SI"/>
        </w:rPr>
        <w:t>3</w:t>
      </w:r>
      <w:r w:rsidRPr="00B148B1">
        <w:rPr>
          <w:rFonts w:ascii="Arial" w:hAnsi="Arial" w:cs="Arial"/>
          <w:b w:val="0"/>
          <w:lang w:val="sl-SI"/>
        </w:rPr>
        <w:fldChar w:fldCharType="end"/>
      </w:r>
      <w:r w:rsidRPr="00B148B1">
        <w:rPr>
          <w:rFonts w:ascii="Arial" w:hAnsi="Arial" w:cs="Arial"/>
          <w:b w:val="0"/>
          <w:lang w:val="sl-SI"/>
        </w:rPr>
        <w:t>: Gibanje prihodkov iz naslova okoljske dajatve za onesnaževanje okolja zaradi odvajanja odpadnih voda po občinah v obdobju 2007</w:t>
      </w:r>
      <w:r w:rsidR="00A87BC4" w:rsidRPr="00B148B1">
        <w:rPr>
          <w:rStyle w:val="Poudarek"/>
          <w:rFonts w:ascii="Arial" w:hAnsi="Arial" w:cs="Arial"/>
          <w:b w:val="0"/>
          <w:i w:val="0"/>
          <w:color w:val="7D7D7D"/>
          <w:shd w:val="clear" w:color="auto" w:fill="FFFFFF"/>
          <w:lang w:val="sl-SI"/>
        </w:rPr>
        <w:t>–</w:t>
      </w:r>
      <w:r w:rsidRPr="00B148B1">
        <w:rPr>
          <w:rFonts w:ascii="Arial" w:hAnsi="Arial" w:cs="Arial"/>
          <w:b w:val="0"/>
          <w:lang w:val="sl-SI"/>
        </w:rPr>
        <w:t>2019</w:t>
      </w:r>
      <w:bookmarkEnd w:id="165"/>
    </w:p>
    <w:p w:rsidR="00DE0E81" w:rsidRPr="00B148B1" w:rsidRDefault="004453AC" w:rsidP="00491ECE">
      <w:pPr>
        <w:tabs>
          <w:tab w:val="left" w:pos="9600"/>
        </w:tabs>
        <w:spacing w:before="120" w:line="280" w:lineRule="atLeast"/>
        <w:jc w:val="center"/>
        <w:rPr>
          <w:rFonts w:cs="Arial"/>
          <w:sz w:val="16"/>
          <w:szCs w:val="16"/>
        </w:rPr>
      </w:pPr>
      <w:r w:rsidRPr="00B148B1">
        <w:rPr>
          <w:rFonts w:cs="Arial"/>
          <w:sz w:val="16"/>
          <w:szCs w:val="16"/>
        </w:rPr>
        <w:t>Vir: Ministrstvo za finance, Proračuni občin 2007</w:t>
      </w:r>
      <w:r w:rsidR="005A2B98" w:rsidRPr="00B148B1">
        <w:rPr>
          <w:rStyle w:val="Poudarek"/>
          <w:rFonts w:cs="Arial"/>
          <w:color w:val="7D7D7D"/>
          <w:sz w:val="16"/>
          <w:szCs w:val="16"/>
          <w:shd w:val="clear" w:color="auto" w:fill="FFFFFF"/>
        </w:rPr>
        <w:t>–</w:t>
      </w:r>
      <w:r w:rsidRPr="00B148B1">
        <w:rPr>
          <w:rFonts w:cs="Arial"/>
          <w:sz w:val="16"/>
          <w:szCs w:val="16"/>
        </w:rPr>
        <w:t>2019.</w:t>
      </w:r>
    </w:p>
    <w:p w:rsidR="005A2B98" w:rsidRPr="00B148B1" w:rsidRDefault="009516D3" w:rsidP="00C37A53">
      <w:pPr>
        <w:tabs>
          <w:tab w:val="left" w:pos="9600"/>
        </w:tabs>
        <w:spacing w:before="120" w:line="280" w:lineRule="atLeast"/>
        <w:rPr>
          <w:rFonts w:cs="Arial"/>
          <w:szCs w:val="20"/>
        </w:rPr>
      </w:pPr>
      <w:r w:rsidRPr="00B148B1">
        <w:rPr>
          <w:rFonts w:cs="Arial"/>
          <w:szCs w:val="20"/>
        </w:rPr>
        <w:t xml:space="preserve">Sofinanciranje ukrepov na področju odvajanja in čiščenja komunalne odpadne vode je možno tudi s sredstvi iz naslova koncesijskih dajatev za rabo naravnih vrednot (Uredba o koncesiji za rabo naravnih vrednot Postojnski jamski sistem in Predjamski jamski sistem, Uradni list RS, št. </w:t>
      </w:r>
      <w:hyperlink r:id="rId43" w:tgtFrame="_blank" w:tooltip="Uredba o koncesiji za rabo naravnih vrednot Postojnski jamski sistem in Predjamski jamski sistem" w:history="1">
        <w:r w:rsidRPr="00B148B1">
          <w:rPr>
            <w:rFonts w:cs="Arial"/>
            <w:szCs w:val="20"/>
          </w:rPr>
          <w:t>77/02</w:t>
        </w:r>
      </w:hyperlink>
      <w:r w:rsidRPr="00B148B1">
        <w:rPr>
          <w:rFonts w:cs="Arial"/>
          <w:szCs w:val="20"/>
        </w:rPr>
        <w:t xml:space="preserve">, </w:t>
      </w:r>
      <w:hyperlink r:id="rId44" w:tgtFrame="_blank" w:tooltip="Zakon o varstvu okolja" w:history="1">
        <w:r w:rsidRPr="00B148B1">
          <w:rPr>
            <w:rFonts w:cs="Arial"/>
            <w:szCs w:val="20"/>
          </w:rPr>
          <w:t>41/04</w:t>
        </w:r>
      </w:hyperlink>
      <w:r w:rsidRPr="00B148B1">
        <w:rPr>
          <w:rFonts w:cs="Arial"/>
          <w:szCs w:val="20"/>
        </w:rPr>
        <w:t xml:space="preserve"> – ZVO-1 in </w:t>
      </w:r>
      <w:hyperlink r:id="rId45" w:tgtFrame="_blank" w:tooltip="Uredba o spremembah in dopolnitvah Uredbe o koncesiji za rabo naravnih vrednot Postojnski jamski sistem in Predjamski jamski sistem" w:history="1">
        <w:r w:rsidRPr="00B148B1">
          <w:rPr>
            <w:rFonts w:cs="Arial"/>
            <w:szCs w:val="20"/>
          </w:rPr>
          <w:t>66/07</w:t>
        </w:r>
      </w:hyperlink>
      <w:r w:rsidRPr="00B148B1">
        <w:rPr>
          <w:rFonts w:cs="Arial"/>
          <w:szCs w:val="20"/>
        </w:rPr>
        <w:t>).</w:t>
      </w:r>
    </w:p>
    <w:p w:rsidR="0083593A" w:rsidRPr="00B148B1" w:rsidRDefault="00D16D2B" w:rsidP="00C37A53">
      <w:pPr>
        <w:tabs>
          <w:tab w:val="left" w:pos="9600"/>
        </w:tabs>
        <w:spacing w:before="120" w:line="280" w:lineRule="atLeast"/>
        <w:rPr>
          <w:rFonts w:cs="Arial"/>
          <w:szCs w:val="20"/>
        </w:rPr>
      </w:pPr>
      <w:r w:rsidRPr="00B148B1">
        <w:rPr>
          <w:rFonts w:cs="Arial"/>
          <w:szCs w:val="20"/>
        </w:rPr>
        <w:t xml:space="preserve">Občinski finančni vir za izvedbo ukrepov na področju odvajanja in čiščenja komunalne odpadne vode je tudi najemnina za uporabo javne infrastrukture, ki jo plačujejo izvajalci javne službe in </w:t>
      </w:r>
      <w:r w:rsidR="00AC6421" w:rsidRPr="00B148B1">
        <w:rPr>
          <w:rFonts w:cs="Arial"/>
          <w:szCs w:val="20"/>
        </w:rPr>
        <w:t xml:space="preserve">je </w:t>
      </w:r>
      <w:r w:rsidRPr="00B148B1">
        <w:rPr>
          <w:rFonts w:cs="Arial"/>
          <w:szCs w:val="20"/>
        </w:rPr>
        <w:t xml:space="preserve">prihodek občinskega proračuna, izhaja pa iz obračunane in plačane </w:t>
      </w:r>
      <w:proofErr w:type="spellStart"/>
      <w:r w:rsidRPr="00B148B1">
        <w:rPr>
          <w:rFonts w:cs="Arial"/>
          <w:szCs w:val="20"/>
        </w:rPr>
        <w:t>omrežnine</w:t>
      </w:r>
      <w:proofErr w:type="spellEnd"/>
      <w:r w:rsidRPr="00B148B1">
        <w:rPr>
          <w:rFonts w:cs="Arial"/>
          <w:szCs w:val="20"/>
        </w:rPr>
        <w:t xml:space="preserve"> javne infrastrukture. </w:t>
      </w:r>
      <w:proofErr w:type="spellStart"/>
      <w:r w:rsidRPr="00B148B1">
        <w:rPr>
          <w:rFonts w:cs="Arial"/>
          <w:szCs w:val="20"/>
        </w:rPr>
        <w:t>Omrežnina</w:t>
      </w:r>
      <w:proofErr w:type="spellEnd"/>
      <w:r w:rsidRPr="00B148B1">
        <w:rPr>
          <w:rFonts w:cs="Arial"/>
          <w:szCs w:val="20"/>
        </w:rPr>
        <w:t xml:space="preserve"> je del cene storitve, ki je namenjen predvsem </w:t>
      </w:r>
      <w:r w:rsidR="00AC6421" w:rsidRPr="00B148B1">
        <w:rPr>
          <w:rFonts w:cs="Arial"/>
          <w:szCs w:val="20"/>
        </w:rPr>
        <w:t xml:space="preserve">za plačilo </w:t>
      </w:r>
      <w:r w:rsidRPr="00B148B1">
        <w:rPr>
          <w:rFonts w:cs="Arial"/>
          <w:szCs w:val="20"/>
        </w:rPr>
        <w:t xml:space="preserve">stroška najemnine za uporabo javne infrastrukture. Zakon o javnih financah (Uradni list RS, št. 11/11 – uradno prečiščeno besedilo, 14/13 – </w:t>
      </w:r>
      <w:proofErr w:type="spellStart"/>
      <w:r w:rsidRPr="00B148B1">
        <w:rPr>
          <w:rFonts w:cs="Arial"/>
          <w:szCs w:val="20"/>
        </w:rPr>
        <w:t>popr</w:t>
      </w:r>
      <w:proofErr w:type="spellEnd"/>
      <w:r w:rsidRPr="00B148B1">
        <w:rPr>
          <w:rFonts w:cs="Arial"/>
          <w:szCs w:val="20"/>
        </w:rPr>
        <w:t xml:space="preserve">., 101/13, 55/15 – </w:t>
      </w:r>
      <w:proofErr w:type="spellStart"/>
      <w:r w:rsidRPr="00B148B1">
        <w:rPr>
          <w:rFonts w:cs="Arial"/>
          <w:szCs w:val="20"/>
        </w:rPr>
        <w:t>ZFisP</w:t>
      </w:r>
      <w:proofErr w:type="spellEnd"/>
      <w:r w:rsidRPr="00B148B1">
        <w:rPr>
          <w:rFonts w:cs="Arial"/>
          <w:szCs w:val="20"/>
        </w:rPr>
        <w:t xml:space="preserve"> in 96/15 – ZIPRS1617</w:t>
      </w:r>
      <w:r w:rsidR="006F16CD" w:rsidRPr="00B148B1">
        <w:rPr>
          <w:rFonts w:cs="Arial"/>
          <w:szCs w:val="20"/>
        </w:rPr>
        <w:t xml:space="preserve"> in 13/18</w:t>
      </w:r>
      <w:r w:rsidRPr="00B148B1">
        <w:rPr>
          <w:rFonts w:cs="Arial"/>
          <w:szCs w:val="20"/>
        </w:rPr>
        <w:t xml:space="preserve">) med drugim določa, da se ta najemnina </w:t>
      </w:r>
      <w:r w:rsidRPr="00B148B1">
        <w:rPr>
          <w:rFonts w:cs="Arial"/>
          <w:szCs w:val="20"/>
        </w:rPr>
        <w:lastRenderedPageBreak/>
        <w:t xml:space="preserve">uporabi samo za gradnjo, nakup in vzdrževanje stvarnega premoženja občine, sočasno pa imajo občine možnost, da same z odlokom določijo, da so najemnine namenski prihodek (npr. za investicije v javno infrastrukturo). </w:t>
      </w:r>
    </w:p>
    <w:p w:rsidR="003B48D7" w:rsidRPr="00B148B1" w:rsidRDefault="003B48D7" w:rsidP="003B48D7">
      <w:pPr>
        <w:tabs>
          <w:tab w:val="left" w:pos="9600"/>
        </w:tabs>
        <w:spacing w:before="120" w:line="280" w:lineRule="atLeast"/>
        <w:rPr>
          <w:rFonts w:cs="Arial"/>
          <w:szCs w:val="20"/>
        </w:rPr>
      </w:pPr>
      <w:r w:rsidRPr="00B148B1">
        <w:rPr>
          <w:rFonts w:cs="Arial"/>
          <w:szCs w:val="20"/>
        </w:rPr>
        <w:t xml:space="preserve">Na podlagi razpoložljivih podatkov o višini </w:t>
      </w:r>
      <w:proofErr w:type="spellStart"/>
      <w:r w:rsidRPr="00B148B1">
        <w:rPr>
          <w:rFonts w:cs="Arial"/>
          <w:szCs w:val="20"/>
        </w:rPr>
        <w:t>omrežnin</w:t>
      </w:r>
      <w:proofErr w:type="spellEnd"/>
      <w:r w:rsidRPr="00B148B1">
        <w:rPr>
          <w:rFonts w:cs="Arial"/>
          <w:szCs w:val="20"/>
        </w:rPr>
        <w:t xml:space="preserve"> oziroma najemnin za uporabo komunalne infrastrukture, ki jo plačujejo izvajalci javne službe</w:t>
      </w:r>
      <w:r w:rsidR="006F60A7">
        <w:rPr>
          <w:rFonts w:cs="Arial"/>
          <w:szCs w:val="20"/>
        </w:rPr>
        <w:t>,</w:t>
      </w:r>
      <w:r w:rsidRPr="00B148B1">
        <w:rPr>
          <w:rFonts w:cs="Arial"/>
          <w:szCs w:val="20"/>
        </w:rPr>
        <w:t xml:space="preserve"> ocenjujemo, da bi znašali prihodki občinskih proračunov na letni ravni iz tega naslova okoli 40 milijonov evrov. </w:t>
      </w:r>
    </w:p>
    <w:p w:rsidR="003B48D7" w:rsidRPr="00B148B1" w:rsidRDefault="00D16D2B" w:rsidP="003B48D7">
      <w:pPr>
        <w:tabs>
          <w:tab w:val="left" w:pos="9600"/>
        </w:tabs>
        <w:spacing w:before="120" w:line="280" w:lineRule="atLeast"/>
        <w:rPr>
          <w:rFonts w:cs="Arial"/>
          <w:szCs w:val="20"/>
        </w:rPr>
      </w:pPr>
      <w:r w:rsidRPr="00B148B1">
        <w:rPr>
          <w:rFonts w:cs="Arial"/>
          <w:szCs w:val="20"/>
        </w:rPr>
        <w:t xml:space="preserve">Med ostalimi občinskimi viri so še sredstva iz naslova komunalnega prispevka in </w:t>
      </w:r>
      <w:r w:rsidR="00A57B53" w:rsidRPr="00B148B1">
        <w:rPr>
          <w:rFonts w:cs="Arial"/>
          <w:szCs w:val="20"/>
        </w:rPr>
        <w:t xml:space="preserve">ostali </w:t>
      </w:r>
      <w:r w:rsidRPr="00B148B1">
        <w:rPr>
          <w:rFonts w:cs="Arial"/>
          <w:szCs w:val="20"/>
        </w:rPr>
        <w:t>prihodki občinskega proračuna ter sredstva v okviru javno zasebnega partnerstva.</w:t>
      </w:r>
      <w:r w:rsidR="003B48D7" w:rsidRPr="00B148B1">
        <w:rPr>
          <w:rFonts w:cs="Arial"/>
          <w:szCs w:val="20"/>
        </w:rPr>
        <w:t xml:space="preserve"> V zadnjih petih letih so znašali povprečni letni prihodki iz naslova komunalnega prispevka okoli 52 milijonov evrov. Kolikšen del sredstev bi občine iz tega naslova lahko namenile za financiranje ukrepov na področju odvajanja in čiščenja komunalne odpadne vode, je trenutno težko napovedati. Pri oceni predvidenega obsega potrebnih finančnih sredstev smo upoštevali, da bi občine za ta namen iz tega naslova lahko namenile petino sredstev oziroma 10,4 milijona evrov.</w:t>
      </w:r>
    </w:p>
    <w:p w:rsidR="00D16D2B" w:rsidRPr="00B148B1" w:rsidRDefault="00122FE0" w:rsidP="00D16D2B">
      <w:pPr>
        <w:tabs>
          <w:tab w:val="left" w:pos="9600"/>
        </w:tabs>
        <w:spacing w:before="120" w:line="280" w:lineRule="atLeast"/>
        <w:rPr>
          <w:rFonts w:cs="Arial"/>
          <w:szCs w:val="20"/>
        </w:rPr>
      </w:pPr>
      <w:r w:rsidRPr="00B148B1">
        <w:rPr>
          <w:noProof/>
          <w:lang w:eastAsia="sl-SI"/>
        </w:rPr>
        <w:drawing>
          <wp:inline distT="0" distB="0" distL="0" distR="0" wp14:anchorId="5B043CAD" wp14:editId="4C98A93D">
            <wp:extent cx="5755640" cy="3723482"/>
            <wp:effectExtent l="0" t="0" r="0" b="0"/>
            <wp:docPr id="10" name="Grafikon 10" descr="Prihodki iz naslova komunalnega prispevka po občinah v obdobju 2007–2019" title="Prihodki iz naslova komunalnega prispevka po občinah v obdobju 2007–20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4453AC" w:rsidRPr="00B148B1" w:rsidRDefault="004453AC" w:rsidP="00FF4469">
      <w:pPr>
        <w:pStyle w:val="Napis"/>
        <w:rPr>
          <w:rFonts w:cs="Arial"/>
          <w:lang w:val="sl-SI"/>
        </w:rPr>
      </w:pPr>
      <w:bookmarkStart w:id="166" w:name="_Toc50627611"/>
      <w:r w:rsidRPr="00B148B1">
        <w:rPr>
          <w:rFonts w:ascii="Arial" w:hAnsi="Arial" w:cs="Arial"/>
          <w:b w:val="0"/>
          <w:lang w:val="sl-SI"/>
        </w:rPr>
        <w:t xml:space="preserve">Grafikon </w:t>
      </w:r>
      <w:r w:rsidRPr="00B148B1">
        <w:rPr>
          <w:rFonts w:ascii="Arial" w:hAnsi="Arial" w:cs="Arial"/>
          <w:b w:val="0"/>
          <w:lang w:val="sl-SI"/>
        </w:rPr>
        <w:fldChar w:fldCharType="begin"/>
      </w:r>
      <w:r w:rsidRPr="00B148B1">
        <w:rPr>
          <w:rFonts w:ascii="Arial" w:hAnsi="Arial" w:cs="Arial"/>
          <w:b w:val="0"/>
          <w:lang w:val="sl-SI"/>
        </w:rPr>
        <w:instrText xml:space="preserve"> SEQ Grafikon \* ARABIC </w:instrText>
      </w:r>
      <w:r w:rsidRPr="00B148B1">
        <w:rPr>
          <w:rFonts w:ascii="Arial" w:hAnsi="Arial" w:cs="Arial"/>
          <w:b w:val="0"/>
          <w:lang w:val="sl-SI"/>
        </w:rPr>
        <w:fldChar w:fldCharType="separate"/>
      </w:r>
      <w:r w:rsidR="00E92793">
        <w:rPr>
          <w:rFonts w:ascii="Arial" w:hAnsi="Arial" w:cs="Arial"/>
          <w:b w:val="0"/>
          <w:noProof/>
          <w:lang w:val="sl-SI"/>
        </w:rPr>
        <w:t>4</w:t>
      </w:r>
      <w:r w:rsidRPr="00B148B1">
        <w:rPr>
          <w:rFonts w:ascii="Arial" w:hAnsi="Arial" w:cs="Arial"/>
          <w:b w:val="0"/>
          <w:lang w:val="sl-SI"/>
        </w:rPr>
        <w:fldChar w:fldCharType="end"/>
      </w:r>
      <w:r w:rsidRPr="00B148B1">
        <w:rPr>
          <w:rFonts w:ascii="Arial" w:hAnsi="Arial" w:cs="Arial"/>
          <w:b w:val="0"/>
          <w:lang w:val="sl-SI"/>
        </w:rPr>
        <w:t>: Prihodki iz naslova komunalnega prispevka po občinah v obdobju 2007</w:t>
      </w:r>
      <w:r w:rsidR="005A2B98" w:rsidRPr="00B148B1">
        <w:rPr>
          <w:rStyle w:val="Poudarek"/>
          <w:rFonts w:ascii="Arial" w:hAnsi="Arial" w:cs="Arial"/>
          <w:b w:val="0"/>
          <w:i w:val="0"/>
          <w:color w:val="7D7D7D"/>
          <w:shd w:val="clear" w:color="auto" w:fill="FFFFFF"/>
          <w:lang w:val="sl-SI"/>
        </w:rPr>
        <w:t>–</w:t>
      </w:r>
      <w:r w:rsidRPr="00B148B1">
        <w:rPr>
          <w:rFonts w:ascii="Arial" w:hAnsi="Arial" w:cs="Arial"/>
          <w:b w:val="0"/>
          <w:lang w:val="sl-SI"/>
        </w:rPr>
        <w:t>2019</w:t>
      </w:r>
      <w:bookmarkEnd w:id="166"/>
    </w:p>
    <w:p w:rsidR="00497C6B" w:rsidRPr="00B148B1" w:rsidRDefault="00497C6B" w:rsidP="00122FE0">
      <w:pPr>
        <w:tabs>
          <w:tab w:val="left" w:pos="9600"/>
        </w:tabs>
        <w:spacing w:before="120" w:line="280" w:lineRule="atLeast"/>
        <w:jc w:val="center"/>
        <w:rPr>
          <w:rFonts w:cs="Arial"/>
          <w:sz w:val="16"/>
          <w:szCs w:val="16"/>
        </w:rPr>
      </w:pPr>
      <w:r w:rsidRPr="00B148B1">
        <w:rPr>
          <w:rFonts w:cs="Arial"/>
          <w:sz w:val="16"/>
          <w:szCs w:val="16"/>
        </w:rPr>
        <w:t>Vir: Ministrstvo za finance, Proračuni občin 2007</w:t>
      </w:r>
      <w:r w:rsidR="005A2B98" w:rsidRPr="00B148B1">
        <w:rPr>
          <w:rStyle w:val="Poudarek"/>
          <w:rFonts w:cs="Arial"/>
          <w:i w:val="0"/>
          <w:color w:val="7D7D7D"/>
          <w:szCs w:val="20"/>
          <w:shd w:val="clear" w:color="auto" w:fill="FFFFFF"/>
        </w:rPr>
        <w:t>–</w:t>
      </w:r>
      <w:r w:rsidRPr="00B148B1">
        <w:rPr>
          <w:rFonts w:cs="Arial"/>
          <w:sz w:val="16"/>
          <w:szCs w:val="16"/>
        </w:rPr>
        <w:t>2019.</w:t>
      </w:r>
    </w:p>
    <w:p w:rsidR="004453AC" w:rsidRPr="00B148B1" w:rsidRDefault="00EF0B22" w:rsidP="004453AC">
      <w:pPr>
        <w:tabs>
          <w:tab w:val="left" w:pos="9600"/>
        </w:tabs>
        <w:spacing w:before="120" w:line="280" w:lineRule="atLeast"/>
      </w:pPr>
      <w:r w:rsidRPr="00B148B1">
        <w:t xml:space="preserve">Občina </w:t>
      </w:r>
      <w:r w:rsidR="004B05C7" w:rsidRPr="00B148B1">
        <w:t xml:space="preserve">lahko za izvrševanje občinskega proračuna za investicije in za upravljanje z dolgom občinskega proračuna </w:t>
      </w:r>
      <w:r w:rsidRPr="00B148B1">
        <w:t>najame kredit ali posojilo</w:t>
      </w:r>
      <w:r w:rsidR="004B05C7" w:rsidRPr="00B148B1">
        <w:t>. Le tega lahko najame</w:t>
      </w:r>
      <w:r w:rsidRPr="00B148B1">
        <w:t xml:space="preserve"> samo pri banki ali hranilnici, ki ima dovoljenje Banke Slovenije za opravljanje bančnih storitev v skladu z zakonom, ki ureja bančništvo, in javnem skladu, katerega dejavnost je dajanje posojil. Občina, ki je vključena v sistem enotnega zakladniškega računa države (v nadaljevanju: EZRD), se lahko v skladu s predpisi, ki urejajo zadolževanje iz denarnih sredstev EZRD, zadolži le pri upravljavcu sredstev sistema EZRD.</w:t>
      </w:r>
      <w:r w:rsidR="004453AC" w:rsidRPr="00B148B1">
        <w:t xml:space="preserve"> (Vir: </w:t>
      </w:r>
      <w:hyperlink r:id="rId47" w:history="1">
        <w:r w:rsidR="004453AC" w:rsidRPr="00B148B1">
          <w:rPr>
            <w:rStyle w:val="Hiperpovezava"/>
          </w:rPr>
          <w:t>https://www.gov.si/teme/financiranje-obcin/</w:t>
        </w:r>
      </w:hyperlink>
      <w:r w:rsidR="004453AC" w:rsidRPr="00B148B1">
        <w:rPr>
          <w:rStyle w:val="Hiperpovezava"/>
        </w:rPr>
        <w:t>)</w:t>
      </w:r>
    </w:p>
    <w:p w:rsidR="009672BF" w:rsidRPr="00B148B1" w:rsidRDefault="009672BF" w:rsidP="00FF4469"/>
    <w:p w:rsidR="009672BF" w:rsidRPr="00B148B1" w:rsidRDefault="00A643F4" w:rsidP="00FF4469">
      <w:r w:rsidRPr="00B148B1">
        <w:t xml:space="preserve">Obseg zadolževanja občine za izvrševanje občinskega proračuna v posameznem proračunskem letu in za upravljanje dolga občinskega proračuna se določi v odloku, s katerim se sprejme občinski proračun. V primeru neenakomernega pritekanja prejemkov se občina v posameznem proračunskem </w:t>
      </w:r>
      <w:r w:rsidRPr="00B148B1">
        <w:lastRenderedPageBreak/>
        <w:t>letu lahko tudi likvidnostno zadolži (črpanje in odplačilo posojila morata biti izvedena v istem proračunskem letu), vendar največ do višine 5 % vseh izdatkov zadnjega sprejetega proračuna. Občina je pri zadolževanju omejena z največjim obsegom možnega zadolževanja, ki je določen z zakonom, ki ureja financiranje občin.</w:t>
      </w:r>
      <w:r w:rsidR="00272329" w:rsidRPr="00B148B1">
        <w:t xml:space="preserve"> </w:t>
      </w:r>
      <w:r w:rsidR="004E4FED" w:rsidRPr="00B148B1">
        <w:t>Ta je določal</w:t>
      </w:r>
      <w:r w:rsidR="00272329" w:rsidRPr="00B148B1">
        <w:t>, da se lahko občina zadolži, če njene obveznosti iz naslova posojil (glavnice in obresti), finančnih najemov in blagovnih kreditov (obrokov) ter potencialne obveznosti iz naslova izdanih poroštev za izpolnitev obveznosti posrednih proračunskih uporabnikov in javnih podjetij, katerih ustanoviteljica je občina, v posameznem letu odplačila ne presežejo 8 % realiziranih prihodkov iz bilance prihodkov in odhodkov občinskega proračuna v letu pred letom zadolževanja, zmanjšanih za prejete donacije, transferne prihodke iz državnega proračuna za investicije in prejeta sredstva iz proračuna EU ter prihodke režijskih obratov.</w:t>
      </w:r>
      <w:r w:rsidR="004453AC" w:rsidRPr="00B148B1">
        <w:t xml:space="preserve"> </w:t>
      </w:r>
    </w:p>
    <w:p w:rsidR="009672BF" w:rsidRPr="00B148B1" w:rsidRDefault="009672BF" w:rsidP="00FF4469"/>
    <w:p w:rsidR="004453AC" w:rsidRPr="00B148B1" w:rsidRDefault="00272329" w:rsidP="00FF4469">
      <w:r w:rsidRPr="00B148B1">
        <w:t>S sprejetjem Zakon</w:t>
      </w:r>
      <w:r w:rsidR="004E4FED" w:rsidRPr="00B148B1">
        <w:t>a</w:t>
      </w:r>
      <w:r w:rsidR="003B48D7" w:rsidRPr="00B148B1">
        <w:t xml:space="preserve"> </w:t>
      </w:r>
      <w:r w:rsidRPr="00B148B1">
        <w:t>o</w:t>
      </w:r>
      <w:r w:rsidR="003B48D7" w:rsidRPr="00B148B1">
        <w:t xml:space="preserve"> </w:t>
      </w:r>
      <w:r w:rsidRPr="00B148B1">
        <w:t>interventnih</w:t>
      </w:r>
      <w:r w:rsidR="003B48D7" w:rsidRPr="00B148B1">
        <w:t xml:space="preserve"> </w:t>
      </w:r>
      <w:r w:rsidRPr="00B148B1">
        <w:t>ukrepih za omilitev in odpravo posledic epidemije</w:t>
      </w:r>
      <w:r w:rsidR="004E4FED" w:rsidRPr="00B148B1">
        <w:t xml:space="preserve"> COVID-19 (ZIUOOPE) (</w:t>
      </w:r>
      <w:hyperlink r:id="rId48" w:history="1">
        <w:r w:rsidR="004E4FED" w:rsidRPr="00B148B1">
          <w:t>Uradni list RS, št. 80/20</w:t>
        </w:r>
      </w:hyperlink>
      <w:r w:rsidR="004E4FED" w:rsidRPr="00B148B1">
        <w:t>) se je največji možni obseg zadolževanja zvišal. Sprejeti zakon tako uveljavlja trajne spremembe Zakona o financiranju občin, ki v 5. členu določa</w:t>
      </w:r>
      <w:r w:rsidR="00DB6507" w:rsidRPr="00B148B1">
        <w:t xml:space="preserve"> </w:t>
      </w:r>
      <w:r w:rsidR="004E4FED" w:rsidRPr="00B148B1">
        <w:t>povečanje največjega možnega obsega zadolževanja občin, in sicer s preteklih 8 % na</w:t>
      </w:r>
      <w:r w:rsidR="00DB6507" w:rsidRPr="00B148B1">
        <w:t xml:space="preserve"> </w:t>
      </w:r>
      <w:r w:rsidR="004E4FED" w:rsidRPr="00B148B1">
        <w:t>10 %</w:t>
      </w:r>
      <w:r w:rsidR="00170220" w:rsidRPr="00B148B1">
        <w:t xml:space="preserve"> </w:t>
      </w:r>
      <w:r w:rsidR="004E4FED" w:rsidRPr="00B148B1">
        <w:t xml:space="preserve">realiziranih prihodkov iz bilance prihodkov in odhodkov občinskega proračuna v letu pred letom zadolževanja. </w:t>
      </w:r>
    </w:p>
    <w:p w:rsidR="005A2F85" w:rsidRPr="00B148B1" w:rsidRDefault="005A2F85" w:rsidP="00FF4469"/>
    <w:p w:rsidR="004A7406" w:rsidRPr="00B148B1" w:rsidRDefault="00272329" w:rsidP="00FF4469">
      <w:r w:rsidRPr="00B148B1">
        <w:t xml:space="preserve">Realizirani prihodki občinskih proračunov so v letu 2018 znašali 2.154 milijonov evrov in bili za 178 milijonov evrov oziroma za 9,0 % višji kot v letu 2017. </w:t>
      </w:r>
      <w:r w:rsidR="005A2F85" w:rsidRPr="00B148B1">
        <w:t>Zadolženost občin je konec leta 20</w:t>
      </w:r>
      <w:r w:rsidR="009A20DB" w:rsidRPr="00B148B1">
        <w:t>18 znašala 714,5 milijon</w:t>
      </w:r>
      <w:r w:rsidR="001A5E60" w:rsidRPr="00B148B1">
        <w:t>a</w:t>
      </w:r>
      <w:r w:rsidR="009A20DB" w:rsidRPr="00B148B1">
        <w:t xml:space="preserve"> e</w:t>
      </w:r>
      <w:r w:rsidR="00EC0B4B" w:rsidRPr="00B148B1">
        <w:t>vrov</w:t>
      </w:r>
      <w:r w:rsidR="009A20DB" w:rsidRPr="00B148B1">
        <w:t xml:space="preserve"> in se je v primerjavi s predhodnim letom nekoliko povečala (</w:t>
      </w:r>
      <w:r w:rsidR="005A2F85" w:rsidRPr="00B148B1">
        <w:t>za 0,8 %</w:t>
      </w:r>
      <w:r w:rsidR="009A20DB" w:rsidRPr="00B148B1">
        <w:t xml:space="preserve">). </w:t>
      </w:r>
    </w:p>
    <w:p w:rsidR="004A7406" w:rsidRPr="00B148B1" w:rsidRDefault="004A7406" w:rsidP="00FF4469"/>
    <w:p w:rsidR="00651CD3" w:rsidRPr="00B148B1" w:rsidRDefault="009A20DB" w:rsidP="00651CD3">
      <w:pPr>
        <w:tabs>
          <w:tab w:val="left" w:pos="9600"/>
        </w:tabs>
        <w:spacing w:before="120" w:line="280" w:lineRule="atLeast"/>
        <w:rPr>
          <w:rFonts w:cs="Arial"/>
          <w:szCs w:val="20"/>
        </w:rPr>
      </w:pPr>
      <w:r w:rsidRPr="00B148B1">
        <w:t xml:space="preserve">Delež občinskega dolga je v prihodkih v povprečju znašal dobrih 30 %. </w:t>
      </w:r>
      <w:r w:rsidR="009B7513" w:rsidRPr="00B148B1">
        <w:t xml:space="preserve">Na podlagi podatkov Ministrstva za finance ocenjujemo, da bi se z dvigom kvot iz 8 na 10 %, občine na letni ravni lahko zadolžile za okoli 40 milijonov </w:t>
      </w:r>
      <w:r w:rsidR="00DB6507" w:rsidRPr="00B148B1">
        <w:t>evrov</w:t>
      </w:r>
      <w:r w:rsidR="009B7513" w:rsidRPr="00B148B1">
        <w:t xml:space="preserve">. (Vir: </w:t>
      </w:r>
      <w:hyperlink r:id="rId49" w:history="1">
        <w:r w:rsidR="009B7513" w:rsidRPr="00B148B1">
          <w:t>https://www.gov.si/teme/financiranje-obcin/</w:t>
        </w:r>
      </w:hyperlink>
      <w:r w:rsidR="009B7513" w:rsidRPr="00B148B1">
        <w:t>)</w:t>
      </w:r>
      <w:r w:rsidR="00651CD3" w:rsidRPr="00B148B1">
        <w:t xml:space="preserve">. </w:t>
      </w:r>
      <w:hyperlink r:id="rId50" w:history="1">
        <w:r w:rsidR="00651CD3" w:rsidRPr="00B148B1">
          <w:t>https://www.gov.si/teme/financiranje-obcin/</w:t>
        </w:r>
      </w:hyperlink>
      <w:r w:rsidR="00651CD3" w:rsidRPr="00B148B1">
        <w:t>). V k</w:t>
      </w:r>
      <w:r w:rsidR="00651CD3" w:rsidRPr="00B148B1">
        <w:rPr>
          <w:rFonts w:cs="Arial"/>
          <w:szCs w:val="20"/>
        </w:rPr>
        <w:t>olikšni meri bi se lahko občine zadolžile za financiranje ukrepov na področju odvajanja in čiščenja komunalne odpadne vode, je trenutno težko napovedati. Pri oceni predvidenega obsega potrebnih finančnih sredstev, smo upoštevali, da bi se občine za ta namen na letni ravni lahko zadolžile v višini ene četrtine celotnega obsega možne zadolžitve oziroma 10 milijonov evrov.</w:t>
      </w:r>
    </w:p>
    <w:p w:rsidR="005A2F85" w:rsidRPr="00B148B1" w:rsidRDefault="00122FE0" w:rsidP="00FF4469">
      <w:r w:rsidRPr="00B148B1">
        <w:rPr>
          <w:noProof/>
          <w:lang w:eastAsia="sl-SI"/>
        </w:rPr>
        <w:drawing>
          <wp:inline distT="0" distB="0" distL="0" distR="0" wp14:anchorId="17A174AF" wp14:editId="28062A27">
            <wp:extent cx="5538159" cy="2794958"/>
            <wp:effectExtent l="0" t="0" r="5715" b="5715"/>
            <wp:docPr id="12" name="Grafikon 12" descr="Zadolženost občin v obdobju od leta 2010 do leta 2018" title="Zadolženost občin v obdobju od leta 2010 do leta 20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5A2F85" w:rsidRPr="00B148B1" w:rsidRDefault="009A20DB" w:rsidP="00FF4469">
      <w:pPr>
        <w:pStyle w:val="Napis"/>
        <w:rPr>
          <w:rFonts w:ascii="Arial" w:hAnsi="Arial" w:cs="Arial"/>
          <w:b w:val="0"/>
          <w:lang w:val="sl-SI"/>
        </w:rPr>
      </w:pPr>
      <w:bookmarkStart w:id="167" w:name="_Toc50627612"/>
      <w:r w:rsidRPr="00B148B1">
        <w:rPr>
          <w:rFonts w:ascii="Arial" w:hAnsi="Arial" w:cs="Arial"/>
          <w:b w:val="0"/>
          <w:lang w:val="sl-SI"/>
        </w:rPr>
        <w:t xml:space="preserve">Grafikon </w:t>
      </w:r>
      <w:r w:rsidRPr="00B148B1">
        <w:rPr>
          <w:rFonts w:ascii="Arial" w:hAnsi="Arial" w:cs="Arial"/>
          <w:b w:val="0"/>
          <w:lang w:val="sl-SI"/>
        </w:rPr>
        <w:fldChar w:fldCharType="begin"/>
      </w:r>
      <w:r w:rsidRPr="00B148B1">
        <w:rPr>
          <w:rFonts w:ascii="Arial" w:hAnsi="Arial" w:cs="Arial"/>
          <w:b w:val="0"/>
          <w:lang w:val="sl-SI"/>
        </w:rPr>
        <w:instrText xml:space="preserve"> SEQ Grafikon \* ARABIC </w:instrText>
      </w:r>
      <w:r w:rsidRPr="00B148B1">
        <w:rPr>
          <w:rFonts w:ascii="Arial" w:hAnsi="Arial" w:cs="Arial"/>
          <w:b w:val="0"/>
          <w:lang w:val="sl-SI"/>
        </w:rPr>
        <w:fldChar w:fldCharType="separate"/>
      </w:r>
      <w:r w:rsidR="00E92793">
        <w:rPr>
          <w:rFonts w:ascii="Arial" w:hAnsi="Arial" w:cs="Arial"/>
          <w:b w:val="0"/>
          <w:noProof/>
          <w:lang w:val="sl-SI"/>
        </w:rPr>
        <w:t>5</w:t>
      </w:r>
      <w:r w:rsidRPr="00B148B1">
        <w:rPr>
          <w:rFonts w:ascii="Arial" w:hAnsi="Arial" w:cs="Arial"/>
          <w:b w:val="0"/>
          <w:lang w:val="sl-SI"/>
        </w:rPr>
        <w:fldChar w:fldCharType="end"/>
      </w:r>
      <w:r w:rsidRPr="00B148B1">
        <w:rPr>
          <w:rFonts w:ascii="Arial" w:hAnsi="Arial" w:cs="Arial"/>
          <w:b w:val="0"/>
          <w:lang w:val="sl-SI"/>
        </w:rPr>
        <w:t>: Zadolženost občin v obdobju od leta 2010 do leta 2018</w:t>
      </w:r>
      <w:bookmarkEnd w:id="167"/>
    </w:p>
    <w:p w:rsidR="00122FE0" w:rsidRPr="00B148B1" w:rsidRDefault="00122FE0" w:rsidP="00122FE0">
      <w:pPr>
        <w:jc w:val="center"/>
        <w:rPr>
          <w:lang w:eastAsia="en-GB"/>
        </w:rPr>
      </w:pPr>
      <w:r w:rsidRPr="00B148B1">
        <w:rPr>
          <w:rFonts w:cs="Arial"/>
          <w:sz w:val="16"/>
          <w:szCs w:val="16"/>
        </w:rPr>
        <w:t>Vir: Ministrstvo za finance, Proračuni občin 2007</w:t>
      </w:r>
      <w:r w:rsidRPr="00B148B1">
        <w:rPr>
          <w:rStyle w:val="Poudarek"/>
          <w:rFonts w:cs="Arial"/>
          <w:color w:val="7D7D7D"/>
          <w:sz w:val="16"/>
          <w:szCs w:val="16"/>
          <w:shd w:val="clear" w:color="auto" w:fill="FFFFFF"/>
        </w:rPr>
        <w:t>–</w:t>
      </w:r>
      <w:r w:rsidRPr="00B148B1">
        <w:rPr>
          <w:rFonts w:cs="Arial"/>
          <w:sz w:val="16"/>
          <w:szCs w:val="16"/>
        </w:rPr>
        <w:t>2019.</w:t>
      </w:r>
    </w:p>
    <w:p w:rsidR="005A2F85" w:rsidRPr="00B148B1" w:rsidRDefault="005A2F85" w:rsidP="00D16D2B">
      <w:pPr>
        <w:autoSpaceDE w:val="0"/>
        <w:autoSpaceDN w:val="0"/>
        <w:adjustRightInd w:val="0"/>
        <w:spacing w:line="240" w:lineRule="auto"/>
      </w:pPr>
    </w:p>
    <w:p w:rsidR="004E4FED" w:rsidRPr="00B148B1" w:rsidRDefault="009A20DB" w:rsidP="00FF4469">
      <w:r w:rsidRPr="00B148B1">
        <w:t xml:space="preserve">Občine lahko sklepajo dolgoročne ali kratkoročne posle v obliki kreditnih pogodb in posle, ki imajo naravo finančnih najemov. Njihovo zadolženost povečujejo izdana poroštva posrednim proračunskim </w:t>
      </w:r>
      <w:r w:rsidRPr="00B148B1">
        <w:lastRenderedPageBreak/>
        <w:t>uporabnikom občinskega proračuna in javnim podjetjem, katerih ustanoviteljica je občina. Zadolženost občin glede na vrsto zadolžitve je prikazana v spodnjem grafikonu (</w:t>
      </w:r>
      <w:r w:rsidRPr="00B148B1">
        <w:fldChar w:fldCharType="begin"/>
      </w:r>
      <w:r w:rsidRPr="00B148B1">
        <w:instrText xml:space="preserve"> REF _Ref43196943 \h </w:instrText>
      </w:r>
      <w:r w:rsidR="004A7406" w:rsidRPr="00B148B1">
        <w:instrText xml:space="preserve"> \* MERGEFORMAT </w:instrText>
      </w:r>
      <w:r w:rsidRPr="00B148B1">
        <w:fldChar w:fldCharType="separate"/>
      </w:r>
      <w:r w:rsidR="00E92793" w:rsidRPr="00E92793">
        <w:rPr>
          <w:rFonts w:cs="Arial"/>
        </w:rPr>
        <w:t xml:space="preserve">Grafikon </w:t>
      </w:r>
      <w:r w:rsidR="00E92793" w:rsidRPr="00E92793">
        <w:rPr>
          <w:rFonts w:cs="Arial"/>
          <w:noProof/>
        </w:rPr>
        <w:t>6</w:t>
      </w:r>
      <w:r w:rsidRPr="00B148B1">
        <w:fldChar w:fldCharType="end"/>
      </w:r>
      <w:r w:rsidRPr="00B148B1">
        <w:t>).</w:t>
      </w:r>
    </w:p>
    <w:p w:rsidR="00074920" w:rsidRPr="00B148B1" w:rsidRDefault="00074920" w:rsidP="00FF4469"/>
    <w:p w:rsidR="009A20DB" w:rsidRPr="00B148B1" w:rsidRDefault="00122FE0" w:rsidP="00FF4469">
      <w:r w:rsidRPr="00B148B1">
        <w:rPr>
          <w:noProof/>
          <w:lang w:eastAsia="sl-SI"/>
        </w:rPr>
        <w:drawing>
          <wp:inline distT="0" distB="0" distL="0" distR="0" wp14:anchorId="0F8BE613" wp14:editId="05061A75">
            <wp:extent cx="5755640" cy="3703901"/>
            <wp:effectExtent l="0" t="0" r="0" b="0"/>
            <wp:docPr id="11" name="Grafikon 11" descr="Zadolženost občin po namenu zadolžitve na dan 31. 12. 2018" title="Zadolženost občin po namenu zadolžitve na dan 31. 12. 20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9A20DB" w:rsidRPr="00B148B1" w:rsidRDefault="009A20DB" w:rsidP="00FF4469">
      <w:pPr>
        <w:pStyle w:val="Napis"/>
        <w:rPr>
          <w:rFonts w:cs="Arial"/>
          <w:lang w:val="sl-SI"/>
        </w:rPr>
      </w:pPr>
      <w:bookmarkStart w:id="168" w:name="_Ref43196943"/>
      <w:bookmarkStart w:id="169" w:name="_Toc50627613"/>
      <w:r w:rsidRPr="00B148B1">
        <w:rPr>
          <w:rFonts w:ascii="Arial" w:hAnsi="Arial" w:cs="Arial"/>
          <w:b w:val="0"/>
          <w:lang w:val="sl-SI"/>
        </w:rPr>
        <w:t xml:space="preserve">Grafikon </w:t>
      </w:r>
      <w:r w:rsidRPr="00B148B1">
        <w:rPr>
          <w:rFonts w:ascii="Arial" w:hAnsi="Arial" w:cs="Arial"/>
          <w:b w:val="0"/>
          <w:lang w:val="sl-SI"/>
        </w:rPr>
        <w:fldChar w:fldCharType="begin"/>
      </w:r>
      <w:r w:rsidRPr="00B148B1">
        <w:rPr>
          <w:rFonts w:ascii="Arial" w:hAnsi="Arial" w:cs="Arial"/>
          <w:b w:val="0"/>
          <w:lang w:val="sl-SI"/>
        </w:rPr>
        <w:instrText xml:space="preserve"> SEQ Grafikon \* ARABIC </w:instrText>
      </w:r>
      <w:r w:rsidRPr="00B148B1">
        <w:rPr>
          <w:rFonts w:ascii="Arial" w:hAnsi="Arial" w:cs="Arial"/>
          <w:b w:val="0"/>
          <w:lang w:val="sl-SI"/>
        </w:rPr>
        <w:fldChar w:fldCharType="separate"/>
      </w:r>
      <w:r w:rsidR="00E92793">
        <w:rPr>
          <w:rFonts w:ascii="Arial" w:hAnsi="Arial" w:cs="Arial"/>
          <w:b w:val="0"/>
          <w:noProof/>
          <w:lang w:val="sl-SI"/>
        </w:rPr>
        <w:t>6</w:t>
      </w:r>
      <w:r w:rsidRPr="00B148B1">
        <w:rPr>
          <w:rFonts w:ascii="Arial" w:hAnsi="Arial" w:cs="Arial"/>
          <w:b w:val="0"/>
          <w:lang w:val="sl-SI"/>
        </w:rPr>
        <w:fldChar w:fldCharType="end"/>
      </w:r>
      <w:bookmarkEnd w:id="168"/>
      <w:r w:rsidRPr="00B148B1">
        <w:rPr>
          <w:rFonts w:ascii="Arial" w:hAnsi="Arial" w:cs="Arial"/>
          <w:b w:val="0"/>
          <w:lang w:val="sl-SI"/>
        </w:rPr>
        <w:t>: Zadolženost občin po namenu zadolžitve na dan 31. 12. 201</w:t>
      </w:r>
      <w:r w:rsidR="00A24A99" w:rsidRPr="00B148B1">
        <w:rPr>
          <w:rFonts w:ascii="Arial" w:hAnsi="Arial" w:cs="Arial"/>
          <w:b w:val="0"/>
          <w:lang w:val="sl-SI"/>
        </w:rPr>
        <w:t>8</w:t>
      </w:r>
      <w:bookmarkEnd w:id="169"/>
    </w:p>
    <w:p w:rsidR="00122FE0" w:rsidRPr="00B148B1" w:rsidRDefault="00122FE0" w:rsidP="00122FE0">
      <w:pPr>
        <w:jc w:val="center"/>
        <w:rPr>
          <w:lang w:eastAsia="en-GB"/>
        </w:rPr>
      </w:pPr>
      <w:r w:rsidRPr="00B148B1">
        <w:rPr>
          <w:rFonts w:cs="Arial"/>
          <w:sz w:val="16"/>
          <w:szCs w:val="16"/>
        </w:rPr>
        <w:t>Vir: Ministrstvo za finance, Proračuni občin 2007</w:t>
      </w:r>
      <w:r w:rsidRPr="00B148B1">
        <w:rPr>
          <w:rStyle w:val="Poudarek"/>
          <w:rFonts w:cs="Arial"/>
          <w:color w:val="7D7D7D"/>
          <w:sz w:val="16"/>
          <w:szCs w:val="16"/>
          <w:shd w:val="clear" w:color="auto" w:fill="FFFFFF"/>
        </w:rPr>
        <w:t>–</w:t>
      </w:r>
      <w:r w:rsidRPr="00B148B1">
        <w:rPr>
          <w:rFonts w:cs="Arial"/>
          <w:sz w:val="16"/>
          <w:szCs w:val="16"/>
        </w:rPr>
        <w:t>2019.</w:t>
      </w:r>
    </w:p>
    <w:p w:rsidR="009A20DB" w:rsidRPr="00B148B1" w:rsidRDefault="009A20DB" w:rsidP="00D16D2B">
      <w:pPr>
        <w:autoSpaceDE w:val="0"/>
        <w:autoSpaceDN w:val="0"/>
        <w:adjustRightInd w:val="0"/>
        <w:spacing w:line="240" w:lineRule="auto"/>
      </w:pPr>
    </w:p>
    <w:p w:rsidR="00651CD3" w:rsidRPr="00B148B1" w:rsidRDefault="00651CD3" w:rsidP="00534900">
      <w:pPr>
        <w:pStyle w:val="Naslov3"/>
        <w:tabs>
          <w:tab w:val="clear" w:pos="851"/>
          <w:tab w:val="num" w:pos="709"/>
        </w:tabs>
        <w:ind w:left="709" w:hanging="709"/>
      </w:pPr>
      <w:bookmarkStart w:id="170" w:name="_Toc50628108"/>
      <w:r w:rsidRPr="00B148B1">
        <w:t>Struktura in obseg potrebnih finančnih sredstev za izvedbo ukrepov v aglomeracijah</w:t>
      </w:r>
      <w:bookmarkEnd w:id="170"/>
    </w:p>
    <w:p w:rsidR="00651CD3" w:rsidRPr="00B148B1" w:rsidRDefault="00651CD3" w:rsidP="00651CD3">
      <w:pPr>
        <w:tabs>
          <w:tab w:val="left" w:pos="9600"/>
        </w:tabs>
        <w:spacing w:before="120" w:line="280" w:lineRule="atLeast"/>
        <w:rPr>
          <w:rFonts w:cs="Arial"/>
          <w:szCs w:val="20"/>
        </w:rPr>
      </w:pPr>
      <w:r w:rsidRPr="00B148B1">
        <w:rPr>
          <w:rFonts w:cs="Arial"/>
          <w:szCs w:val="20"/>
        </w:rPr>
        <w:t xml:space="preserve">Na podlagi razpoložljivih podatkov je v nadaljevanju prikazan obseg potrebnih finančnih sredstev po posameznih virih financiranja v naslednjih osmih letih, ki so podrobneje predstavljeni v </w:t>
      </w:r>
      <w:r w:rsidR="00491ECE" w:rsidRPr="00B148B1">
        <w:rPr>
          <w:rFonts w:cs="Arial"/>
          <w:szCs w:val="20"/>
        </w:rPr>
        <w:t>pod</w:t>
      </w:r>
      <w:r w:rsidR="00272207" w:rsidRPr="00B148B1">
        <w:rPr>
          <w:rFonts w:cs="Arial"/>
          <w:szCs w:val="20"/>
        </w:rPr>
        <w:t>poglavju</w:t>
      </w:r>
      <w:r w:rsidR="00491ECE" w:rsidRPr="00B148B1">
        <w:rPr>
          <w:rFonts w:cs="Arial"/>
          <w:szCs w:val="20"/>
        </w:rPr>
        <w:t xml:space="preserve"> </w:t>
      </w:r>
      <w:r w:rsidR="00491ECE" w:rsidRPr="00B148B1">
        <w:rPr>
          <w:rFonts w:cs="Arial"/>
          <w:szCs w:val="20"/>
        </w:rPr>
        <w:fldChar w:fldCharType="begin"/>
      </w:r>
      <w:r w:rsidR="00491ECE" w:rsidRPr="00B148B1">
        <w:rPr>
          <w:rFonts w:cs="Arial"/>
          <w:szCs w:val="20"/>
        </w:rPr>
        <w:instrText xml:space="preserve"> REF _Ref45800653 \n \h </w:instrText>
      </w:r>
      <w:r w:rsidR="00B148B1" w:rsidRPr="00B148B1">
        <w:rPr>
          <w:rFonts w:cs="Arial"/>
          <w:szCs w:val="20"/>
        </w:rPr>
        <w:instrText xml:space="preserve"> \* MERGEFORMAT </w:instrText>
      </w:r>
      <w:r w:rsidR="00491ECE" w:rsidRPr="00B148B1">
        <w:rPr>
          <w:rFonts w:cs="Arial"/>
          <w:szCs w:val="20"/>
        </w:rPr>
      </w:r>
      <w:r w:rsidR="00491ECE" w:rsidRPr="00B148B1">
        <w:rPr>
          <w:rFonts w:cs="Arial"/>
          <w:szCs w:val="20"/>
        </w:rPr>
        <w:fldChar w:fldCharType="separate"/>
      </w:r>
      <w:r w:rsidR="00E92793">
        <w:rPr>
          <w:rFonts w:cs="Arial"/>
          <w:szCs w:val="20"/>
        </w:rPr>
        <w:t>5.3.1</w:t>
      </w:r>
      <w:r w:rsidR="00491ECE" w:rsidRPr="00B148B1">
        <w:rPr>
          <w:rFonts w:cs="Arial"/>
          <w:szCs w:val="20"/>
        </w:rPr>
        <w:fldChar w:fldCharType="end"/>
      </w:r>
      <w:r w:rsidR="00491ECE" w:rsidRPr="00B148B1">
        <w:rPr>
          <w:rFonts w:cs="Arial"/>
          <w:szCs w:val="20"/>
        </w:rPr>
        <w:t>.</w:t>
      </w:r>
      <w:r w:rsidRPr="00B148B1">
        <w:rPr>
          <w:rFonts w:cs="Arial"/>
          <w:szCs w:val="20"/>
        </w:rPr>
        <w:t xml:space="preserve"> tega operativnega programa. </w:t>
      </w:r>
    </w:p>
    <w:p w:rsidR="00651CD3" w:rsidRPr="00B148B1" w:rsidRDefault="00651CD3" w:rsidP="00651CD3">
      <w:pPr>
        <w:tabs>
          <w:tab w:val="left" w:pos="9600"/>
        </w:tabs>
        <w:spacing w:before="120" w:line="280" w:lineRule="atLeast"/>
        <w:rPr>
          <w:rFonts w:cs="Arial"/>
          <w:szCs w:val="20"/>
        </w:rPr>
      </w:pPr>
      <w:r w:rsidRPr="00B148B1">
        <w:rPr>
          <w:rFonts w:cs="Arial"/>
          <w:szCs w:val="20"/>
        </w:rPr>
        <w:t>Za izvedbo ukrepov za opremljanje objektov v aglomeracijah bo potrebno zagotoviti 1,1</w:t>
      </w:r>
      <w:r w:rsidR="00975EE7" w:rsidRPr="00B148B1">
        <w:rPr>
          <w:rFonts w:cs="Arial"/>
          <w:szCs w:val="20"/>
        </w:rPr>
        <w:t>7</w:t>
      </w:r>
      <w:r w:rsidRPr="00B148B1">
        <w:rPr>
          <w:rFonts w:cs="Arial"/>
          <w:szCs w:val="20"/>
        </w:rPr>
        <w:t xml:space="preserve"> milijarde evrov. Za izgradnjo javnih kanalizacijskih omrežij bo tako potrebnih 925</w:t>
      </w:r>
      <w:r w:rsidR="00975EE7" w:rsidRPr="00B148B1">
        <w:rPr>
          <w:rFonts w:cs="Arial"/>
          <w:szCs w:val="20"/>
        </w:rPr>
        <w:t>,1</w:t>
      </w:r>
      <w:r w:rsidRPr="00B148B1">
        <w:rPr>
          <w:rFonts w:cs="Arial"/>
          <w:szCs w:val="20"/>
        </w:rPr>
        <w:t xml:space="preserve"> milijon</w:t>
      </w:r>
      <w:r w:rsidR="00975EE7" w:rsidRPr="00B148B1">
        <w:rPr>
          <w:rFonts w:cs="Arial"/>
          <w:szCs w:val="20"/>
        </w:rPr>
        <w:t>a</w:t>
      </w:r>
      <w:r w:rsidRPr="00B148B1">
        <w:rPr>
          <w:rFonts w:cs="Arial"/>
          <w:szCs w:val="20"/>
        </w:rPr>
        <w:t xml:space="preserve"> evrov, za izgradnjo ali nadgradnjo komunalnih čistilnih naprav pa 2</w:t>
      </w:r>
      <w:r w:rsidR="00975EE7" w:rsidRPr="00B148B1">
        <w:rPr>
          <w:rFonts w:cs="Arial"/>
          <w:szCs w:val="20"/>
        </w:rPr>
        <w:t>40,3</w:t>
      </w:r>
      <w:r w:rsidRPr="00B148B1">
        <w:rPr>
          <w:rFonts w:cs="Arial"/>
          <w:szCs w:val="20"/>
        </w:rPr>
        <w:t xml:space="preserve"> milijon</w:t>
      </w:r>
      <w:r w:rsidR="001A5E60" w:rsidRPr="00B148B1">
        <w:rPr>
          <w:rFonts w:cs="Arial"/>
          <w:szCs w:val="20"/>
        </w:rPr>
        <w:t>a</w:t>
      </w:r>
      <w:r w:rsidRPr="00B148B1">
        <w:rPr>
          <w:rFonts w:cs="Arial"/>
          <w:szCs w:val="20"/>
        </w:rPr>
        <w:t xml:space="preserve"> evrov. V nadaljevanju je podan pregled možnih virov financiranja izvajanja potrebnih ukrepov v aglomeracijah v naslednjih osmih letih ob naslednjih predpostavkah:</w:t>
      </w:r>
    </w:p>
    <w:p w:rsidR="00651CD3" w:rsidRPr="00B148B1" w:rsidRDefault="00651CD3" w:rsidP="004C2581">
      <w:pPr>
        <w:pStyle w:val="Odstavekseznama"/>
        <w:numPr>
          <w:ilvl w:val="0"/>
          <w:numId w:val="25"/>
        </w:numPr>
        <w:shd w:val="clear" w:color="auto" w:fill="FFFFFF"/>
        <w:spacing w:before="100" w:beforeAutospacing="1" w:after="100" w:afterAutospacing="1" w:line="276" w:lineRule="auto"/>
        <w:rPr>
          <w:rFonts w:cs="Arial"/>
          <w:szCs w:val="20"/>
        </w:rPr>
      </w:pPr>
      <w:r w:rsidRPr="00B148B1">
        <w:rPr>
          <w:rFonts w:cs="Arial"/>
          <w:szCs w:val="20"/>
        </w:rPr>
        <w:t xml:space="preserve">Višina nepovratnih sredstev iz EU še ni znana kot tudi višina sredstev iz naslova drugih finančnih inštrumentov v okviru </w:t>
      </w:r>
      <w:proofErr w:type="spellStart"/>
      <w:r w:rsidRPr="00B148B1">
        <w:rPr>
          <w:rFonts w:cs="Arial"/>
          <w:szCs w:val="20"/>
        </w:rPr>
        <w:t>InvestEU</w:t>
      </w:r>
      <w:proofErr w:type="spellEnd"/>
      <w:r w:rsidRPr="00B148B1">
        <w:rPr>
          <w:rFonts w:cs="Arial"/>
          <w:szCs w:val="20"/>
        </w:rPr>
        <w:t xml:space="preserve">. V teku so namreč pogajanja o večletnem finančnem okviru, zato končna višina nacionalne ovojnice še ni potrjena. </w:t>
      </w:r>
    </w:p>
    <w:p w:rsidR="00651CD3" w:rsidRPr="00B148B1" w:rsidRDefault="00651CD3" w:rsidP="004C2581">
      <w:pPr>
        <w:pStyle w:val="Odstavekseznama"/>
        <w:numPr>
          <w:ilvl w:val="0"/>
          <w:numId w:val="25"/>
        </w:numPr>
        <w:rPr>
          <w:szCs w:val="20"/>
        </w:rPr>
      </w:pPr>
      <w:r w:rsidRPr="00B148B1">
        <w:rPr>
          <w:rFonts w:ascii="Helv" w:eastAsiaTheme="minorHAnsi" w:hAnsi="Helv" w:cs="Helv"/>
          <w:color w:val="000000"/>
          <w:szCs w:val="20"/>
        </w:rPr>
        <w:t xml:space="preserve">Višina sredstev iz Sklada za vode je bila podana na podlagi ocene prilivov za sofinanciranje občinskih projektov novogradnje ali rekonstrukcije vodovodnih sistemov ter javne kanalizacije, ki znašajo na letni ravni okoli 5 milijonov evrov. </w:t>
      </w:r>
    </w:p>
    <w:p w:rsidR="00651CD3" w:rsidRPr="00B148B1" w:rsidRDefault="00651CD3" w:rsidP="004C2581">
      <w:pPr>
        <w:pStyle w:val="Odstavekseznama"/>
        <w:numPr>
          <w:ilvl w:val="0"/>
          <w:numId w:val="25"/>
        </w:numPr>
        <w:rPr>
          <w:szCs w:val="20"/>
        </w:rPr>
      </w:pPr>
      <w:r w:rsidRPr="00B148B1">
        <w:rPr>
          <w:rFonts w:cs="Arial"/>
          <w:szCs w:val="20"/>
        </w:rPr>
        <w:t xml:space="preserve">Ocena višine sredstev iz občinskih proračunov je bila izvedena na podlagi podatkov o: </w:t>
      </w:r>
    </w:p>
    <w:p w:rsidR="00651CD3" w:rsidRPr="00B148B1" w:rsidRDefault="00651CD3" w:rsidP="004C2581">
      <w:pPr>
        <w:numPr>
          <w:ilvl w:val="0"/>
          <w:numId w:val="24"/>
        </w:numPr>
        <w:tabs>
          <w:tab w:val="left" w:pos="9600"/>
        </w:tabs>
        <w:spacing w:before="120" w:line="280" w:lineRule="atLeast"/>
        <w:rPr>
          <w:rFonts w:cs="Arial"/>
          <w:szCs w:val="20"/>
        </w:rPr>
      </w:pPr>
      <w:r w:rsidRPr="00B148B1">
        <w:rPr>
          <w:rFonts w:cs="Arial"/>
          <w:szCs w:val="20"/>
        </w:rPr>
        <w:t>prihodkih iz naslova okoljske dajatve za onesnaževanje okolja zaradi odvajanja odpadnih voda (povprečni letni prihodek v zadnjih petih letih),</w:t>
      </w:r>
    </w:p>
    <w:p w:rsidR="00651CD3" w:rsidRPr="00B148B1" w:rsidRDefault="00651CD3" w:rsidP="004C2581">
      <w:pPr>
        <w:numPr>
          <w:ilvl w:val="0"/>
          <w:numId w:val="24"/>
        </w:numPr>
        <w:tabs>
          <w:tab w:val="left" w:pos="9600"/>
        </w:tabs>
        <w:spacing w:before="120" w:line="280" w:lineRule="atLeast"/>
        <w:rPr>
          <w:rFonts w:cs="Arial"/>
          <w:szCs w:val="20"/>
        </w:rPr>
      </w:pPr>
      <w:r w:rsidRPr="00B148B1">
        <w:rPr>
          <w:rFonts w:cs="Arial"/>
          <w:szCs w:val="20"/>
        </w:rPr>
        <w:lastRenderedPageBreak/>
        <w:t>prihodkih iz naslova najemnina za uporabo javne infrastrukture, ki jo plačujejo izvajalci javne službe in predstavlja prihodek občinskega proračuna,</w:t>
      </w:r>
    </w:p>
    <w:p w:rsidR="00651CD3" w:rsidRPr="00B148B1" w:rsidRDefault="00651CD3" w:rsidP="004C2581">
      <w:pPr>
        <w:numPr>
          <w:ilvl w:val="0"/>
          <w:numId w:val="24"/>
        </w:numPr>
        <w:tabs>
          <w:tab w:val="left" w:pos="9600"/>
        </w:tabs>
        <w:spacing w:before="120" w:line="280" w:lineRule="atLeast"/>
        <w:rPr>
          <w:rFonts w:cs="Arial"/>
          <w:szCs w:val="20"/>
        </w:rPr>
      </w:pPr>
      <w:r w:rsidRPr="00B148B1">
        <w:rPr>
          <w:rFonts w:cs="Arial"/>
          <w:szCs w:val="20"/>
        </w:rPr>
        <w:t>prihodkih iz naslova komunalnega prispevka (povprečni letni prihodek v zadnjih petih letih in da se petina sredstev lahko nameni za izvedbo ukrepov na področju odvajanja in čiščenja komunalne odpadne vode),</w:t>
      </w:r>
    </w:p>
    <w:p w:rsidR="00651CD3" w:rsidRPr="00B148B1" w:rsidRDefault="00651CD3" w:rsidP="004C2581">
      <w:pPr>
        <w:numPr>
          <w:ilvl w:val="0"/>
          <w:numId w:val="24"/>
        </w:numPr>
        <w:tabs>
          <w:tab w:val="left" w:pos="9600"/>
        </w:tabs>
        <w:spacing w:before="120" w:line="280" w:lineRule="atLeast"/>
        <w:rPr>
          <w:rFonts w:cs="Arial"/>
          <w:szCs w:val="20"/>
        </w:rPr>
      </w:pPr>
      <w:r w:rsidRPr="00B148B1">
        <w:rPr>
          <w:rFonts w:cs="Arial"/>
          <w:szCs w:val="20"/>
        </w:rPr>
        <w:t>zadolženosti občin in ocenjenega možnega obsega zadolžitve (občine bi se na letni ravni lahko zadolžile v višini ene četrtine celotnega obsega možne zadolžitve).</w:t>
      </w:r>
    </w:p>
    <w:p w:rsidR="00651CD3" w:rsidRPr="00B148B1" w:rsidRDefault="00651CD3" w:rsidP="00651CD3">
      <w:pPr>
        <w:pStyle w:val="Odstavekseznama"/>
        <w:ind w:left="1440"/>
        <w:rPr>
          <w:rFonts w:cs="Arial"/>
          <w:szCs w:val="20"/>
        </w:rPr>
      </w:pPr>
    </w:p>
    <w:p w:rsidR="00651CD3" w:rsidRPr="00B148B1" w:rsidRDefault="00651CD3" w:rsidP="00651CD3">
      <w:pPr>
        <w:rPr>
          <w:szCs w:val="20"/>
        </w:rPr>
      </w:pPr>
      <w:r w:rsidRPr="00B148B1">
        <w:rPr>
          <w:szCs w:val="20"/>
        </w:rPr>
        <w:t xml:space="preserve">Na podlagi vseh razpoložljivih podatkov in analiz </w:t>
      </w:r>
      <w:r w:rsidR="00491ECE" w:rsidRPr="00B148B1">
        <w:rPr>
          <w:szCs w:val="20"/>
        </w:rPr>
        <w:t>(</w:t>
      </w:r>
      <w:r w:rsidR="00491ECE" w:rsidRPr="00B148B1">
        <w:rPr>
          <w:szCs w:val="20"/>
        </w:rPr>
        <w:fldChar w:fldCharType="begin"/>
      </w:r>
      <w:r w:rsidR="00491ECE" w:rsidRPr="00B148B1">
        <w:rPr>
          <w:szCs w:val="20"/>
        </w:rPr>
        <w:instrText xml:space="preserve"> REF _Ref45800940 \h  \* MERGEFORMAT </w:instrText>
      </w:r>
      <w:r w:rsidR="00491ECE" w:rsidRPr="00B148B1">
        <w:rPr>
          <w:szCs w:val="20"/>
        </w:rPr>
      </w:r>
      <w:r w:rsidR="00491ECE" w:rsidRPr="00B148B1">
        <w:rPr>
          <w:szCs w:val="20"/>
        </w:rPr>
        <w:fldChar w:fldCharType="separate"/>
      </w:r>
      <w:r w:rsidR="00E92793" w:rsidRPr="00E92793">
        <w:rPr>
          <w:rFonts w:cs="Arial"/>
        </w:rPr>
        <w:t xml:space="preserve">Preglednica </w:t>
      </w:r>
      <w:r w:rsidR="00E92793" w:rsidRPr="00E92793">
        <w:rPr>
          <w:rFonts w:cs="Arial"/>
          <w:noProof/>
        </w:rPr>
        <w:t>20</w:t>
      </w:r>
      <w:r w:rsidR="00491ECE" w:rsidRPr="00B148B1">
        <w:rPr>
          <w:szCs w:val="20"/>
        </w:rPr>
        <w:fldChar w:fldCharType="end"/>
      </w:r>
      <w:r w:rsidR="00491ECE" w:rsidRPr="00B148B1">
        <w:rPr>
          <w:szCs w:val="20"/>
        </w:rPr>
        <w:t xml:space="preserve">) </w:t>
      </w:r>
      <w:r w:rsidRPr="00B148B1">
        <w:rPr>
          <w:szCs w:val="20"/>
        </w:rPr>
        <w:t xml:space="preserve">ocenjujemo, da za izvedbo </w:t>
      </w:r>
      <w:r w:rsidRPr="00B148B1">
        <w:rPr>
          <w:rFonts w:cs="Arial"/>
          <w:szCs w:val="20"/>
        </w:rPr>
        <w:t>ukrepov za opremljanje objektov v aglomeracijah trenutno ni zadostnih finančnih sredstev. Na letni ravni bo tako potrebno v naslednjih osmih letih zagotoviti dodatnih 5</w:t>
      </w:r>
      <w:r w:rsidR="00975EE7" w:rsidRPr="00B148B1">
        <w:rPr>
          <w:rFonts w:cs="Arial"/>
          <w:szCs w:val="20"/>
        </w:rPr>
        <w:t>5</w:t>
      </w:r>
      <w:r w:rsidRPr="00B148B1">
        <w:rPr>
          <w:rFonts w:cs="Arial"/>
          <w:szCs w:val="20"/>
        </w:rPr>
        <w:t>,</w:t>
      </w:r>
      <w:r w:rsidR="00975EE7" w:rsidRPr="00B148B1">
        <w:rPr>
          <w:rFonts w:cs="Arial"/>
          <w:szCs w:val="20"/>
        </w:rPr>
        <w:t>7</w:t>
      </w:r>
      <w:r w:rsidRPr="00B148B1">
        <w:rPr>
          <w:rFonts w:cs="Arial"/>
          <w:szCs w:val="20"/>
        </w:rPr>
        <w:t xml:space="preserve"> milijona evrov. Ključni vir bodo predvsem nepovratna sredstva EU in zagotavljanje ustreznih finančnih sredstev z drugimi finančnimi inštrumenti EU.</w:t>
      </w:r>
    </w:p>
    <w:p w:rsidR="00651CD3" w:rsidRPr="00B148B1" w:rsidRDefault="00651CD3" w:rsidP="00651CD3">
      <w:pPr>
        <w:pStyle w:val="Napis"/>
        <w:rPr>
          <w:rFonts w:ascii="Arial" w:hAnsi="Arial" w:cs="Arial"/>
          <w:b w:val="0"/>
          <w:lang w:val="sl-SI"/>
        </w:rPr>
      </w:pPr>
      <w:bookmarkStart w:id="171" w:name="_Ref45800940"/>
      <w:bookmarkStart w:id="172" w:name="_Toc50626736"/>
      <w:r w:rsidRPr="00B148B1">
        <w:rPr>
          <w:rFonts w:ascii="Arial" w:hAnsi="Arial" w:cs="Arial"/>
          <w:b w:val="0"/>
          <w:lang w:val="sl-SI"/>
        </w:rPr>
        <w:t xml:space="preserve">Preglednica </w:t>
      </w:r>
      <w:r w:rsidRPr="00B148B1">
        <w:rPr>
          <w:rFonts w:ascii="Arial" w:hAnsi="Arial" w:cs="Arial"/>
          <w:b w:val="0"/>
          <w:lang w:val="sl-SI"/>
        </w:rPr>
        <w:fldChar w:fldCharType="begin"/>
      </w:r>
      <w:r w:rsidRPr="00B148B1">
        <w:rPr>
          <w:rFonts w:ascii="Arial" w:hAnsi="Arial" w:cs="Arial"/>
          <w:b w:val="0"/>
          <w:lang w:val="sl-SI"/>
        </w:rPr>
        <w:instrText xml:space="preserve"> SEQ Preglednica \* ARABIC </w:instrText>
      </w:r>
      <w:r w:rsidRPr="00B148B1">
        <w:rPr>
          <w:rFonts w:ascii="Arial" w:hAnsi="Arial" w:cs="Arial"/>
          <w:b w:val="0"/>
          <w:lang w:val="sl-SI"/>
        </w:rPr>
        <w:fldChar w:fldCharType="separate"/>
      </w:r>
      <w:r w:rsidR="00E92793">
        <w:rPr>
          <w:rFonts w:ascii="Arial" w:hAnsi="Arial" w:cs="Arial"/>
          <w:b w:val="0"/>
          <w:noProof/>
          <w:lang w:val="sl-SI"/>
        </w:rPr>
        <w:t>20</w:t>
      </w:r>
      <w:r w:rsidRPr="00B148B1">
        <w:rPr>
          <w:rFonts w:ascii="Arial" w:hAnsi="Arial" w:cs="Arial"/>
          <w:b w:val="0"/>
          <w:lang w:val="sl-SI"/>
        </w:rPr>
        <w:fldChar w:fldCharType="end"/>
      </w:r>
      <w:bookmarkEnd w:id="171"/>
      <w:r w:rsidRPr="00B148B1">
        <w:rPr>
          <w:rFonts w:ascii="Arial" w:hAnsi="Arial" w:cs="Arial"/>
          <w:b w:val="0"/>
          <w:lang w:val="sl-SI"/>
        </w:rPr>
        <w:t>: Struktur</w:t>
      </w:r>
      <w:r w:rsidR="00E137D8">
        <w:rPr>
          <w:rFonts w:ascii="Arial" w:hAnsi="Arial" w:cs="Arial"/>
          <w:b w:val="0"/>
          <w:lang w:val="sl-SI"/>
        </w:rPr>
        <w:t>a</w:t>
      </w:r>
      <w:r w:rsidRPr="00B148B1">
        <w:rPr>
          <w:rFonts w:ascii="Arial" w:hAnsi="Arial" w:cs="Arial"/>
          <w:b w:val="0"/>
          <w:lang w:val="sl-SI"/>
        </w:rPr>
        <w:t xml:space="preserve"> in predviden</w:t>
      </w:r>
      <w:r w:rsidR="00E137D8">
        <w:rPr>
          <w:rFonts w:ascii="Arial" w:hAnsi="Arial" w:cs="Arial"/>
          <w:b w:val="0"/>
          <w:lang w:val="sl-SI"/>
        </w:rPr>
        <w:t>i</w:t>
      </w:r>
      <w:r w:rsidRPr="00B148B1">
        <w:rPr>
          <w:rFonts w:ascii="Arial" w:hAnsi="Arial" w:cs="Arial"/>
          <w:b w:val="0"/>
          <w:lang w:val="sl-SI"/>
        </w:rPr>
        <w:t xml:space="preserve"> obseg potrebnih finančnih sredstev za izvedbo ukrepov v aglomeracijah v naslednjih </w:t>
      </w:r>
      <w:r w:rsidR="00DE18E2" w:rsidRPr="00B148B1">
        <w:rPr>
          <w:rFonts w:ascii="Arial" w:hAnsi="Arial" w:cs="Arial"/>
          <w:b w:val="0"/>
          <w:lang w:val="sl-SI"/>
        </w:rPr>
        <w:t>osmih</w:t>
      </w:r>
      <w:r w:rsidR="003C04E2" w:rsidRPr="00B148B1">
        <w:rPr>
          <w:rFonts w:ascii="Arial" w:hAnsi="Arial" w:cs="Arial"/>
          <w:b w:val="0"/>
          <w:lang w:val="sl-SI"/>
        </w:rPr>
        <w:t xml:space="preserve"> letih</w:t>
      </w:r>
      <w:bookmarkEnd w:id="172"/>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725"/>
        <w:gridCol w:w="701"/>
        <w:gridCol w:w="701"/>
        <w:gridCol w:w="701"/>
        <w:gridCol w:w="701"/>
        <w:gridCol w:w="701"/>
        <w:gridCol w:w="701"/>
        <w:gridCol w:w="701"/>
        <w:gridCol w:w="701"/>
        <w:gridCol w:w="871"/>
      </w:tblGrid>
      <w:tr w:rsidR="001E29D7" w:rsidRPr="00B148B1" w:rsidTr="00272207">
        <w:trPr>
          <w:trHeight w:val="315"/>
        </w:trPr>
        <w:tc>
          <w:tcPr>
            <w:tcW w:w="1510" w:type="pct"/>
            <w:vMerge w:val="restart"/>
            <w:shd w:val="clear" w:color="auto" w:fill="auto"/>
            <w:vAlign w:val="center"/>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Predvideni vir financiranja</w:t>
            </w:r>
          </w:p>
        </w:tc>
        <w:tc>
          <w:tcPr>
            <w:tcW w:w="3067" w:type="pct"/>
            <w:gridSpan w:val="8"/>
            <w:shd w:val="clear" w:color="auto" w:fill="auto"/>
            <w:vAlign w:val="center"/>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Leto</w:t>
            </w:r>
          </w:p>
        </w:tc>
        <w:tc>
          <w:tcPr>
            <w:tcW w:w="423" w:type="pct"/>
            <w:vMerge w:val="restart"/>
            <w:shd w:val="clear" w:color="auto" w:fill="auto"/>
            <w:vAlign w:val="center"/>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SKUPAJ</w:t>
            </w:r>
          </w:p>
        </w:tc>
      </w:tr>
      <w:tr w:rsidR="001E29D7" w:rsidRPr="00B148B1" w:rsidTr="00272207">
        <w:trPr>
          <w:trHeight w:val="315"/>
        </w:trPr>
        <w:tc>
          <w:tcPr>
            <w:tcW w:w="1510" w:type="pct"/>
            <w:vMerge/>
            <w:vAlign w:val="center"/>
            <w:hideMark/>
          </w:tcPr>
          <w:p w:rsidR="001E29D7" w:rsidRPr="00B148B1" w:rsidRDefault="001E29D7" w:rsidP="00272207">
            <w:pPr>
              <w:spacing w:line="240" w:lineRule="auto"/>
              <w:jc w:val="left"/>
              <w:rPr>
                <w:rFonts w:cs="Arial"/>
                <w:b/>
                <w:bCs/>
                <w:color w:val="000000"/>
                <w:sz w:val="18"/>
                <w:szCs w:val="18"/>
                <w:lang w:eastAsia="sl-SI"/>
              </w:rPr>
            </w:pPr>
          </w:p>
        </w:tc>
        <w:tc>
          <w:tcPr>
            <w:tcW w:w="383" w:type="pct"/>
            <w:shd w:val="clear" w:color="auto" w:fill="auto"/>
            <w:vAlign w:val="center"/>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2020</w:t>
            </w:r>
          </w:p>
        </w:tc>
        <w:tc>
          <w:tcPr>
            <w:tcW w:w="383" w:type="pct"/>
            <w:shd w:val="clear" w:color="auto" w:fill="auto"/>
            <w:vAlign w:val="center"/>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2021</w:t>
            </w:r>
          </w:p>
        </w:tc>
        <w:tc>
          <w:tcPr>
            <w:tcW w:w="383" w:type="pct"/>
            <w:shd w:val="clear" w:color="auto" w:fill="auto"/>
            <w:vAlign w:val="center"/>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2022</w:t>
            </w:r>
          </w:p>
        </w:tc>
        <w:tc>
          <w:tcPr>
            <w:tcW w:w="383" w:type="pct"/>
            <w:shd w:val="clear" w:color="auto" w:fill="auto"/>
            <w:vAlign w:val="center"/>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2023</w:t>
            </w:r>
          </w:p>
        </w:tc>
        <w:tc>
          <w:tcPr>
            <w:tcW w:w="383" w:type="pct"/>
            <w:shd w:val="clear" w:color="auto" w:fill="auto"/>
            <w:vAlign w:val="center"/>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2024</w:t>
            </w:r>
          </w:p>
        </w:tc>
        <w:tc>
          <w:tcPr>
            <w:tcW w:w="383" w:type="pct"/>
            <w:shd w:val="clear" w:color="auto" w:fill="auto"/>
            <w:vAlign w:val="center"/>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2025</w:t>
            </w:r>
          </w:p>
        </w:tc>
        <w:tc>
          <w:tcPr>
            <w:tcW w:w="383" w:type="pct"/>
            <w:shd w:val="clear" w:color="auto" w:fill="auto"/>
            <w:vAlign w:val="center"/>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2026</w:t>
            </w:r>
          </w:p>
        </w:tc>
        <w:tc>
          <w:tcPr>
            <w:tcW w:w="383" w:type="pct"/>
            <w:shd w:val="clear" w:color="auto" w:fill="auto"/>
            <w:vAlign w:val="center"/>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2027</w:t>
            </w:r>
          </w:p>
        </w:tc>
        <w:tc>
          <w:tcPr>
            <w:tcW w:w="423" w:type="pct"/>
            <w:vMerge/>
            <w:vAlign w:val="center"/>
            <w:hideMark/>
          </w:tcPr>
          <w:p w:rsidR="001E29D7" w:rsidRPr="00B148B1" w:rsidRDefault="001E29D7" w:rsidP="00272207">
            <w:pPr>
              <w:spacing w:line="240" w:lineRule="auto"/>
              <w:jc w:val="left"/>
              <w:rPr>
                <w:rFonts w:cs="Arial"/>
                <w:b/>
                <w:bCs/>
                <w:color w:val="000000"/>
                <w:sz w:val="18"/>
                <w:szCs w:val="18"/>
                <w:lang w:eastAsia="sl-SI"/>
              </w:rPr>
            </w:pPr>
          </w:p>
        </w:tc>
      </w:tr>
      <w:tr w:rsidR="001E29D7" w:rsidRPr="00B148B1" w:rsidTr="00272207">
        <w:trPr>
          <w:trHeight w:val="525"/>
        </w:trPr>
        <w:tc>
          <w:tcPr>
            <w:tcW w:w="1510" w:type="pct"/>
            <w:vMerge/>
            <w:vAlign w:val="center"/>
            <w:hideMark/>
          </w:tcPr>
          <w:p w:rsidR="001E29D7" w:rsidRPr="00B148B1" w:rsidRDefault="001E29D7" w:rsidP="00272207">
            <w:pPr>
              <w:spacing w:line="240" w:lineRule="auto"/>
              <w:jc w:val="left"/>
              <w:rPr>
                <w:rFonts w:cs="Arial"/>
                <w:b/>
                <w:bCs/>
                <w:color w:val="000000"/>
                <w:sz w:val="18"/>
                <w:szCs w:val="18"/>
                <w:lang w:eastAsia="sl-SI"/>
              </w:rPr>
            </w:pPr>
          </w:p>
        </w:tc>
        <w:tc>
          <w:tcPr>
            <w:tcW w:w="383" w:type="pct"/>
            <w:shd w:val="clear" w:color="auto" w:fill="auto"/>
            <w:vAlign w:val="center"/>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[mio EUR]</w:t>
            </w:r>
          </w:p>
        </w:tc>
        <w:tc>
          <w:tcPr>
            <w:tcW w:w="383" w:type="pct"/>
            <w:shd w:val="clear" w:color="auto" w:fill="auto"/>
            <w:vAlign w:val="center"/>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[mio EUR]</w:t>
            </w:r>
          </w:p>
        </w:tc>
        <w:tc>
          <w:tcPr>
            <w:tcW w:w="383" w:type="pct"/>
            <w:shd w:val="clear" w:color="auto" w:fill="auto"/>
            <w:vAlign w:val="center"/>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[mio EUR]</w:t>
            </w:r>
          </w:p>
        </w:tc>
        <w:tc>
          <w:tcPr>
            <w:tcW w:w="383" w:type="pct"/>
            <w:shd w:val="clear" w:color="auto" w:fill="auto"/>
            <w:vAlign w:val="center"/>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[mio EUR]</w:t>
            </w:r>
          </w:p>
        </w:tc>
        <w:tc>
          <w:tcPr>
            <w:tcW w:w="383" w:type="pct"/>
            <w:shd w:val="clear" w:color="auto" w:fill="auto"/>
            <w:vAlign w:val="center"/>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[mio EUR]</w:t>
            </w:r>
          </w:p>
        </w:tc>
        <w:tc>
          <w:tcPr>
            <w:tcW w:w="383" w:type="pct"/>
            <w:shd w:val="clear" w:color="auto" w:fill="auto"/>
            <w:vAlign w:val="center"/>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[mio EUR]</w:t>
            </w:r>
          </w:p>
        </w:tc>
        <w:tc>
          <w:tcPr>
            <w:tcW w:w="383" w:type="pct"/>
            <w:shd w:val="clear" w:color="auto" w:fill="auto"/>
            <w:vAlign w:val="center"/>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[mio EUR]</w:t>
            </w:r>
          </w:p>
        </w:tc>
        <w:tc>
          <w:tcPr>
            <w:tcW w:w="383" w:type="pct"/>
            <w:shd w:val="clear" w:color="auto" w:fill="auto"/>
            <w:vAlign w:val="center"/>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[mio EUR]</w:t>
            </w:r>
          </w:p>
        </w:tc>
        <w:tc>
          <w:tcPr>
            <w:tcW w:w="423" w:type="pct"/>
            <w:shd w:val="clear" w:color="auto" w:fill="auto"/>
            <w:vAlign w:val="center"/>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[mio EUR]</w:t>
            </w:r>
          </w:p>
        </w:tc>
      </w:tr>
      <w:tr w:rsidR="001E29D7" w:rsidRPr="00B148B1" w:rsidTr="00272207">
        <w:trPr>
          <w:trHeight w:val="315"/>
        </w:trPr>
        <w:tc>
          <w:tcPr>
            <w:tcW w:w="1510" w:type="pct"/>
            <w:shd w:val="clear" w:color="auto" w:fill="auto"/>
            <w:vAlign w:val="center"/>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1.) Nepovratna sredstva EU</w:t>
            </w:r>
          </w:p>
        </w:tc>
        <w:tc>
          <w:tcPr>
            <w:tcW w:w="383" w:type="pct"/>
            <w:shd w:val="clear" w:color="auto" w:fill="auto"/>
            <w:vAlign w:val="bottom"/>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 xml:space="preserve">          -     </w:t>
            </w:r>
          </w:p>
        </w:tc>
        <w:tc>
          <w:tcPr>
            <w:tcW w:w="383" w:type="pct"/>
            <w:shd w:val="clear" w:color="auto" w:fill="auto"/>
            <w:vAlign w:val="bottom"/>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 xml:space="preserve">          -     </w:t>
            </w:r>
          </w:p>
        </w:tc>
        <w:tc>
          <w:tcPr>
            <w:tcW w:w="383" w:type="pct"/>
            <w:shd w:val="clear" w:color="auto" w:fill="auto"/>
            <w:vAlign w:val="bottom"/>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 xml:space="preserve">          -     </w:t>
            </w:r>
          </w:p>
        </w:tc>
        <w:tc>
          <w:tcPr>
            <w:tcW w:w="383" w:type="pct"/>
            <w:shd w:val="clear" w:color="auto" w:fill="auto"/>
            <w:vAlign w:val="bottom"/>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 xml:space="preserve">          -     </w:t>
            </w:r>
          </w:p>
        </w:tc>
        <w:tc>
          <w:tcPr>
            <w:tcW w:w="383" w:type="pct"/>
            <w:shd w:val="clear" w:color="auto" w:fill="auto"/>
            <w:vAlign w:val="bottom"/>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 xml:space="preserve">          -     </w:t>
            </w:r>
          </w:p>
        </w:tc>
        <w:tc>
          <w:tcPr>
            <w:tcW w:w="383" w:type="pct"/>
            <w:shd w:val="clear" w:color="auto" w:fill="auto"/>
            <w:vAlign w:val="bottom"/>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 xml:space="preserve">          -     </w:t>
            </w:r>
          </w:p>
        </w:tc>
        <w:tc>
          <w:tcPr>
            <w:tcW w:w="383" w:type="pct"/>
            <w:shd w:val="clear" w:color="auto" w:fill="auto"/>
            <w:vAlign w:val="bottom"/>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 xml:space="preserve">          -     </w:t>
            </w:r>
          </w:p>
        </w:tc>
        <w:tc>
          <w:tcPr>
            <w:tcW w:w="383" w:type="pct"/>
            <w:shd w:val="clear" w:color="auto" w:fill="auto"/>
            <w:vAlign w:val="bottom"/>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 xml:space="preserve">          -     </w:t>
            </w:r>
          </w:p>
        </w:tc>
        <w:tc>
          <w:tcPr>
            <w:tcW w:w="423" w:type="pct"/>
            <w:shd w:val="clear" w:color="auto" w:fill="auto"/>
            <w:vAlign w:val="bottom"/>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 xml:space="preserve">          -     </w:t>
            </w:r>
          </w:p>
        </w:tc>
      </w:tr>
      <w:tr w:rsidR="001E29D7" w:rsidRPr="00B148B1" w:rsidTr="00272207">
        <w:trPr>
          <w:trHeight w:val="315"/>
        </w:trPr>
        <w:tc>
          <w:tcPr>
            <w:tcW w:w="1510" w:type="pct"/>
            <w:shd w:val="clear" w:color="auto" w:fill="auto"/>
            <w:vAlign w:val="center"/>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2.) Sklad za vode</w:t>
            </w:r>
          </w:p>
        </w:tc>
        <w:tc>
          <w:tcPr>
            <w:tcW w:w="383" w:type="pct"/>
            <w:shd w:val="clear" w:color="auto" w:fill="auto"/>
            <w:vAlign w:val="center"/>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5</w:t>
            </w:r>
          </w:p>
        </w:tc>
        <w:tc>
          <w:tcPr>
            <w:tcW w:w="383" w:type="pct"/>
            <w:shd w:val="clear" w:color="auto" w:fill="auto"/>
            <w:vAlign w:val="center"/>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5</w:t>
            </w:r>
          </w:p>
        </w:tc>
        <w:tc>
          <w:tcPr>
            <w:tcW w:w="383" w:type="pct"/>
            <w:shd w:val="clear" w:color="auto" w:fill="auto"/>
            <w:vAlign w:val="center"/>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5</w:t>
            </w:r>
          </w:p>
        </w:tc>
        <w:tc>
          <w:tcPr>
            <w:tcW w:w="383" w:type="pct"/>
            <w:shd w:val="clear" w:color="auto" w:fill="auto"/>
            <w:vAlign w:val="center"/>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5</w:t>
            </w:r>
          </w:p>
        </w:tc>
        <w:tc>
          <w:tcPr>
            <w:tcW w:w="383" w:type="pct"/>
            <w:shd w:val="clear" w:color="auto" w:fill="auto"/>
            <w:vAlign w:val="center"/>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5</w:t>
            </w:r>
          </w:p>
        </w:tc>
        <w:tc>
          <w:tcPr>
            <w:tcW w:w="383" w:type="pct"/>
            <w:shd w:val="clear" w:color="auto" w:fill="auto"/>
            <w:vAlign w:val="center"/>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5</w:t>
            </w:r>
          </w:p>
        </w:tc>
        <w:tc>
          <w:tcPr>
            <w:tcW w:w="383" w:type="pct"/>
            <w:shd w:val="clear" w:color="auto" w:fill="auto"/>
            <w:vAlign w:val="center"/>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5</w:t>
            </w:r>
          </w:p>
        </w:tc>
        <w:tc>
          <w:tcPr>
            <w:tcW w:w="383" w:type="pct"/>
            <w:shd w:val="clear" w:color="auto" w:fill="auto"/>
            <w:vAlign w:val="center"/>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5</w:t>
            </w:r>
          </w:p>
        </w:tc>
        <w:tc>
          <w:tcPr>
            <w:tcW w:w="423" w:type="pct"/>
            <w:shd w:val="clear" w:color="auto" w:fill="auto"/>
            <w:vAlign w:val="center"/>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40</w:t>
            </w:r>
          </w:p>
        </w:tc>
      </w:tr>
      <w:tr w:rsidR="001E29D7" w:rsidRPr="00B148B1" w:rsidTr="00272207">
        <w:trPr>
          <w:trHeight w:val="315"/>
        </w:trPr>
        <w:tc>
          <w:tcPr>
            <w:tcW w:w="1510" w:type="pct"/>
            <w:shd w:val="clear" w:color="auto" w:fill="auto"/>
            <w:vAlign w:val="center"/>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3.) Občinski proračuni</w:t>
            </w:r>
          </w:p>
        </w:tc>
        <w:tc>
          <w:tcPr>
            <w:tcW w:w="383" w:type="pct"/>
            <w:shd w:val="clear" w:color="auto" w:fill="auto"/>
            <w:vAlign w:val="center"/>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85</w:t>
            </w:r>
          </w:p>
        </w:tc>
        <w:tc>
          <w:tcPr>
            <w:tcW w:w="383" w:type="pct"/>
            <w:shd w:val="clear" w:color="auto" w:fill="auto"/>
            <w:vAlign w:val="center"/>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85</w:t>
            </w:r>
          </w:p>
        </w:tc>
        <w:tc>
          <w:tcPr>
            <w:tcW w:w="383" w:type="pct"/>
            <w:shd w:val="clear" w:color="auto" w:fill="auto"/>
            <w:vAlign w:val="center"/>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85</w:t>
            </w:r>
          </w:p>
        </w:tc>
        <w:tc>
          <w:tcPr>
            <w:tcW w:w="383" w:type="pct"/>
            <w:shd w:val="clear" w:color="auto" w:fill="auto"/>
            <w:vAlign w:val="center"/>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85</w:t>
            </w:r>
          </w:p>
        </w:tc>
        <w:tc>
          <w:tcPr>
            <w:tcW w:w="383" w:type="pct"/>
            <w:shd w:val="clear" w:color="auto" w:fill="auto"/>
            <w:vAlign w:val="center"/>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85</w:t>
            </w:r>
          </w:p>
        </w:tc>
        <w:tc>
          <w:tcPr>
            <w:tcW w:w="383" w:type="pct"/>
            <w:shd w:val="clear" w:color="auto" w:fill="auto"/>
            <w:vAlign w:val="center"/>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85</w:t>
            </w:r>
          </w:p>
        </w:tc>
        <w:tc>
          <w:tcPr>
            <w:tcW w:w="383" w:type="pct"/>
            <w:shd w:val="clear" w:color="auto" w:fill="auto"/>
            <w:vAlign w:val="center"/>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85</w:t>
            </w:r>
          </w:p>
        </w:tc>
        <w:tc>
          <w:tcPr>
            <w:tcW w:w="383" w:type="pct"/>
            <w:shd w:val="clear" w:color="auto" w:fill="auto"/>
            <w:vAlign w:val="center"/>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85</w:t>
            </w:r>
          </w:p>
        </w:tc>
        <w:tc>
          <w:tcPr>
            <w:tcW w:w="423" w:type="pct"/>
            <w:shd w:val="clear" w:color="auto" w:fill="auto"/>
            <w:vAlign w:val="center"/>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680,2</w:t>
            </w:r>
          </w:p>
        </w:tc>
      </w:tr>
      <w:tr w:rsidR="001E29D7" w:rsidRPr="00B148B1" w:rsidTr="00272207">
        <w:trPr>
          <w:trHeight w:val="525"/>
        </w:trPr>
        <w:tc>
          <w:tcPr>
            <w:tcW w:w="1510" w:type="pct"/>
            <w:shd w:val="clear" w:color="auto" w:fill="auto"/>
            <w:vAlign w:val="center"/>
            <w:hideMark/>
          </w:tcPr>
          <w:p w:rsidR="001E29D7" w:rsidRPr="00B148B1" w:rsidRDefault="001E29D7" w:rsidP="00272207">
            <w:pPr>
              <w:spacing w:line="240" w:lineRule="auto"/>
              <w:jc w:val="center"/>
              <w:rPr>
                <w:rFonts w:cs="Arial"/>
                <w:color w:val="000000"/>
                <w:sz w:val="18"/>
                <w:szCs w:val="18"/>
                <w:lang w:eastAsia="sl-SI"/>
              </w:rPr>
            </w:pPr>
            <w:r w:rsidRPr="00B148B1">
              <w:rPr>
                <w:rFonts w:cs="Arial"/>
                <w:color w:val="000000"/>
                <w:sz w:val="18"/>
                <w:szCs w:val="18"/>
                <w:lang w:eastAsia="sl-SI"/>
              </w:rPr>
              <w:t>a) Okoljska dajatev za onesnaževanje okolja zaradi odvajanja odpadnih voda</w:t>
            </w:r>
          </w:p>
        </w:tc>
        <w:tc>
          <w:tcPr>
            <w:tcW w:w="383" w:type="pct"/>
            <w:shd w:val="clear" w:color="auto" w:fill="auto"/>
            <w:noWrap/>
            <w:vAlign w:val="center"/>
            <w:hideMark/>
          </w:tcPr>
          <w:p w:rsidR="001E29D7" w:rsidRPr="00B148B1" w:rsidRDefault="001E29D7" w:rsidP="00272207">
            <w:pPr>
              <w:spacing w:line="240" w:lineRule="auto"/>
              <w:jc w:val="center"/>
              <w:rPr>
                <w:rFonts w:cs="Arial"/>
                <w:color w:val="000000"/>
                <w:sz w:val="18"/>
                <w:szCs w:val="18"/>
                <w:lang w:eastAsia="sl-SI"/>
              </w:rPr>
            </w:pPr>
            <w:r w:rsidRPr="00B148B1">
              <w:rPr>
                <w:rFonts w:cs="Arial"/>
                <w:color w:val="000000"/>
                <w:sz w:val="18"/>
                <w:szCs w:val="18"/>
                <w:lang w:eastAsia="sl-SI"/>
              </w:rPr>
              <w:t>24,6</w:t>
            </w:r>
          </w:p>
        </w:tc>
        <w:tc>
          <w:tcPr>
            <w:tcW w:w="383" w:type="pct"/>
            <w:shd w:val="clear" w:color="auto" w:fill="auto"/>
            <w:noWrap/>
            <w:vAlign w:val="center"/>
            <w:hideMark/>
          </w:tcPr>
          <w:p w:rsidR="001E29D7" w:rsidRPr="00B148B1" w:rsidRDefault="001E29D7" w:rsidP="00272207">
            <w:pPr>
              <w:spacing w:line="240" w:lineRule="auto"/>
              <w:jc w:val="center"/>
              <w:rPr>
                <w:rFonts w:cs="Arial"/>
                <w:color w:val="000000"/>
                <w:sz w:val="18"/>
                <w:szCs w:val="18"/>
                <w:lang w:eastAsia="sl-SI"/>
              </w:rPr>
            </w:pPr>
            <w:r w:rsidRPr="00B148B1">
              <w:rPr>
                <w:rFonts w:cs="Arial"/>
                <w:color w:val="000000"/>
                <w:sz w:val="18"/>
                <w:szCs w:val="18"/>
                <w:lang w:eastAsia="sl-SI"/>
              </w:rPr>
              <w:t>24,6</w:t>
            </w:r>
          </w:p>
        </w:tc>
        <w:tc>
          <w:tcPr>
            <w:tcW w:w="383" w:type="pct"/>
            <w:shd w:val="clear" w:color="auto" w:fill="auto"/>
            <w:noWrap/>
            <w:vAlign w:val="center"/>
            <w:hideMark/>
          </w:tcPr>
          <w:p w:rsidR="001E29D7" w:rsidRPr="00B148B1" w:rsidRDefault="001E29D7" w:rsidP="00272207">
            <w:pPr>
              <w:spacing w:line="240" w:lineRule="auto"/>
              <w:jc w:val="center"/>
              <w:rPr>
                <w:rFonts w:cs="Arial"/>
                <w:color w:val="000000"/>
                <w:sz w:val="18"/>
                <w:szCs w:val="18"/>
                <w:lang w:eastAsia="sl-SI"/>
              </w:rPr>
            </w:pPr>
            <w:r w:rsidRPr="00B148B1">
              <w:rPr>
                <w:rFonts w:cs="Arial"/>
                <w:color w:val="000000"/>
                <w:sz w:val="18"/>
                <w:szCs w:val="18"/>
                <w:lang w:eastAsia="sl-SI"/>
              </w:rPr>
              <w:t>24,6</w:t>
            </w:r>
          </w:p>
        </w:tc>
        <w:tc>
          <w:tcPr>
            <w:tcW w:w="383" w:type="pct"/>
            <w:shd w:val="clear" w:color="auto" w:fill="auto"/>
            <w:noWrap/>
            <w:vAlign w:val="center"/>
            <w:hideMark/>
          </w:tcPr>
          <w:p w:rsidR="001E29D7" w:rsidRPr="00B148B1" w:rsidRDefault="001E29D7" w:rsidP="00272207">
            <w:pPr>
              <w:spacing w:line="240" w:lineRule="auto"/>
              <w:jc w:val="center"/>
              <w:rPr>
                <w:rFonts w:cs="Arial"/>
                <w:color w:val="000000"/>
                <w:sz w:val="18"/>
                <w:szCs w:val="18"/>
                <w:lang w:eastAsia="sl-SI"/>
              </w:rPr>
            </w:pPr>
            <w:r w:rsidRPr="00B148B1">
              <w:rPr>
                <w:rFonts w:cs="Arial"/>
                <w:color w:val="000000"/>
                <w:sz w:val="18"/>
                <w:szCs w:val="18"/>
                <w:lang w:eastAsia="sl-SI"/>
              </w:rPr>
              <w:t>24,6</w:t>
            </w:r>
          </w:p>
        </w:tc>
        <w:tc>
          <w:tcPr>
            <w:tcW w:w="383" w:type="pct"/>
            <w:shd w:val="clear" w:color="auto" w:fill="auto"/>
            <w:noWrap/>
            <w:vAlign w:val="center"/>
            <w:hideMark/>
          </w:tcPr>
          <w:p w:rsidR="001E29D7" w:rsidRPr="00B148B1" w:rsidRDefault="001E29D7" w:rsidP="00272207">
            <w:pPr>
              <w:spacing w:line="240" w:lineRule="auto"/>
              <w:jc w:val="center"/>
              <w:rPr>
                <w:rFonts w:cs="Arial"/>
                <w:color w:val="000000"/>
                <w:sz w:val="18"/>
                <w:szCs w:val="18"/>
                <w:lang w:eastAsia="sl-SI"/>
              </w:rPr>
            </w:pPr>
            <w:r w:rsidRPr="00B148B1">
              <w:rPr>
                <w:rFonts w:cs="Arial"/>
                <w:color w:val="000000"/>
                <w:sz w:val="18"/>
                <w:szCs w:val="18"/>
                <w:lang w:eastAsia="sl-SI"/>
              </w:rPr>
              <w:t>24,6</w:t>
            </w:r>
          </w:p>
        </w:tc>
        <w:tc>
          <w:tcPr>
            <w:tcW w:w="383" w:type="pct"/>
            <w:shd w:val="clear" w:color="auto" w:fill="auto"/>
            <w:noWrap/>
            <w:vAlign w:val="center"/>
            <w:hideMark/>
          </w:tcPr>
          <w:p w:rsidR="001E29D7" w:rsidRPr="00B148B1" w:rsidRDefault="001E29D7" w:rsidP="00272207">
            <w:pPr>
              <w:spacing w:line="240" w:lineRule="auto"/>
              <w:jc w:val="center"/>
              <w:rPr>
                <w:rFonts w:cs="Arial"/>
                <w:color w:val="000000"/>
                <w:sz w:val="18"/>
                <w:szCs w:val="18"/>
                <w:lang w:eastAsia="sl-SI"/>
              </w:rPr>
            </w:pPr>
            <w:r w:rsidRPr="00B148B1">
              <w:rPr>
                <w:rFonts w:cs="Arial"/>
                <w:color w:val="000000"/>
                <w:sz w:val="18"/>
                <w:szCs w:val="18"/>
                <w:lang w:eastAsia="sl-SI"/>
              </w:rPr>
              <w:t>24,6</w:t>
            </w:r>
          </w:p>
        </w:tc>
        <w:tc>
          <w:tcPr>
            <w:tcW w:w="383" w:type="pct"/>
            <w:shd w:val="clear" w:color="auto" w:fill="auto"/>
            <w:noWrap/>
            <w:vAlign w:val="center"/>
            <w:hideMark/>
          </w:tcPr>
          <w:p w:rsidR="001E29D7" w:rsidRPr="00B148B1" w:rsidRDefault="001E29D7" w:rsidP="00272207">
            <w:pPr>
              <w:spacing w:line="240" w:lineRule="auto"/>
              <w:jc w:val="center"/>
              <w:rPr>
                <w:rFonts w:cs="Arial"/>
                <w:color w:val="000000"/>
                <w:sz w:val="18"/>
                <w:szCs w:val="18"/>
                <w:lang w:eastAsia="sl-SI"/>
              </w:rPr>
            </w:pPr>
            <w:r w:rsidRPr="00B148B1">
              <w:rPr>
                <w:rFonts w:cs="Arial"/>
                <w:color w:val="000000"/>
                <w:sz w:val="18"/>
                <w:szCs w:val="18"/>
                <w:lang w:eastAsia="sl-SI"/>
              </w:rPr>
              <w:t>24,6</w:t>
            </w:r>
          </w:p>
        </w:tc>
        <w:tc>
          <w:tcPr>
            <w:tcW w:w="383" w:type="pct"/>
            <w:shd w:val="clear" w:color="auto" w:fill="auto"/>
            <w:noWrap/>
            <w:vAlign w:val="center"/>
            <w:hideMark/>
          </w:tcPr>
          <w:p w:rsidR="001E29D7" w:rsidRPr="00B148B1" w:rsidRDefault="001E29D7" w:rsidP="00272207">
            <w:pPr>
              <w:spacing w:line="240" w:lineRule="auto"/>
              <w:jc w:val="center"/>
              <w:rPr>
                <w:rFonts w:cs="Arial"/>
                <w:color w:val="000000"/>
                <w:sz w:val="18"/>
                <w:szCs w:val="18"/>
                <w:lang w:eastAsia="sl-SI"/>
              </w:rPr>
            </w:pPr>
            <w:r w:rsidRPr="00B148B1">
              <w:rPr>
                <w:rFonts w:cs="Arial"/>
                <w:color w:val="000000"/>
                <w:sz w:val="18"/>
                <w:szCs w:val="18"/>
                <w:lang w:eastAsia="sl-SI"/>
              </w:rPr>
              <w:t>24,6</w:t>
            </w:r>
          </w:p>
        </w:tc>
        <w:tc>
          <w:tcPr>
            <w:tcW w:w="423" w:type="pct"/>
            <w:shd w:val="clear" w:color="auto" w:fill="auto"/>
            <w:noWrap/>
            <w:vAlign w:val="center"/>
            <w:hideMark/>
          </w:tcPr>
          <w:p w:rsidR="001E29D7" w:rsidRPr="00B148B1" w:rsidRDefault="001E29D7" w:rsidP="00272207">
            <w:pPr>
              <w:spacing w:line="240" w:lineRule="auto"/>
              <w:jc w:val="center"/>
              <w:rPr>
                <w:rFonts w:cs="Arial"/>
                <w:color w:val="000000"/>
                <w:sz w:val="18"/>
                <w:szCs w:val="18"/>
                <w:lang w:eastAsia="sl-SI"/>
              </w:rPr>
            </w:pPr>
            <w:r w:rsidRPr="00B148B1">
              <w:rPr>
                <w:rFonts w:cs="Arial"/>
                <w:color w:val="000000"/>
                <w:sz w:val="18"/>
                <w:szCs w:val="18"/>
                <w:lang w:eastAsia="sl-SI"/>
              </w:rPr>
              <w:t>196,7</w:t>
            </w:r>
          </w:p>
        </w:tc>
      </w:tr>
      <w:tr w:rsidR="001E29D7" w:rsidRPr="00B148B1" w:rsidTr="00272207">
        <w:trPr>
          <w:trHeight w:val="525"/>
        </w:trPr>
        <w:tc>
          <w:tcPr>
            <w:tcW w:w="1510" w:type="pct"/>
            <w:shd w:val="clear" w:color="auto" w:fill="auto"/>
            <w:vAlign w:val="center"/>
            <w:hideMark/>
          </w:tcPr>
          <w:p w:rsidR="001E29D7" w:rsidRPr="00B148B1" w:rsidRDefault="001E29D7" w:rsidP="00272207">
            <w:pPr>
              <w:spacing w:line="240" w:lineRule="auto"/>
              <w:jc w:val="center"/>
              <w:rPr>
                <w:rFonts w:cs="Arial"/>
                <w:color w:val="000000"/>
                <w:sz w:val="18"/>
                <w:szCs w:val="18"/>
                <w:lang w:eastAsia="sl-SI"/>
              </w:rPr>
            </w:pPr>
            <w:r w:rsidRPr="00B148B1">
              <w:rPr>
                <w:rFonts w:cs="Arial"/>
                <w:color w:val="000000"/>
                <w:sz w:val="18"/>
                <w:szCs w:val="18"/>
                <w:lang w:eastAsia="sl-SI"/>
              </w:rPr>
              <w:t>b) Najemnina za uporabo javne infrastrukture</w:t>
            </w:r>
          </w:p>
        </w:tc>
        <w:tc>
          <w:tcPr>
            <w:tcW w:w="383" w:type="pct"/>
            <w:shd w:val="clear" w:color="auto" w:fill="auto"/>
            <w:noWrap/>
            <w:vAlign w:val="center"/>
            <w:hideMark/>
          </w:tcPr>
          <w:p w:rsidR="001E29D7" w:rsidRPr="00B148B1" w:rsidRDefault="001E29D7" w:rsidP="00272207">
            <w:pPr>
              <w:spacing w:line="240" w:lineRule="auto"/>
              <w:jc w:val="center"/>
              <w:rPr>
                <w:rFonts w:cs="Arial"/>
                <w:color w:val="000000"/>
                <w:sz w:val="18"/>
                <w:szCs w:val="18"/>
                <w:lang w:eastAsia="sl-SI"/>
              </w:rPr>
            </w:pPr>
            <w:r w:rsidRPr="00B148B1">
              <w:rPr>
                <w:rFonts w:cs="Arial"/>
                <w:color w:val="000000"/>
                <w:sz w:val="18"/>
                <w:szCs w:val="18"/>
                <w:lang w:eastAsia="sl-SI"/>
              </w:rPr>
              <w:t>40</w:t>
            </w:r>
          </w:p>
        </w:tc>
        <w:tc>
          <w:tcPr>
            <w:tcW w:w="383" w:type="pct"/>
            <w:shd w:val="clear" w:color="auto" w:fill="auto"/>
            <w:noWrap/>
            <w:vAlign w:val="center"/>
            <w:hideMark/>
          </w:tcPr>
          <w:p w:rsidR="001E29D7" w:rsidRPr="00B148B1" w:rsidRDefault="001E29D7" w:rsidP="00272207">
            <w:pPr>
              <w:spacing w:line="240" w:lineRule="auto"/>
              <w:jc w:val="center"/>
              <w:rPr>
                <w:rFonts w:cs="Arial"/>
                <w:color w:val="000000"/>
                <w:sz w:val="18"/>
                <w:szCs w:val="18"/>
                <w:lang w:eastAsia="sl-SI"/>
              </w:rPr>
            </w:pPr>
            <w:r w:rsidRPr="00B148B1">
              <w:rPr>
                <w:rFonts w:cs="Arial"/>
                <w:color w:val="000000"/>
                <w:sz w:val="18"/>
                <w:szCs w:val="18"/>
                <w:lang w:eastAsia="sl-SI"/>
              </w:rPr>
              <w:t>40</w:t>
            </w:r>
          </w:p>
        </w:tc>
        <w:tc>
          <w:tcPr>
            <w:tcW w:w="383" w:type="pct"/>
            <w:shd w:val="clear" w:color="auto" w:fill="auto"/>
            <w:noWrap/>
            <w:vAlign w:val="center"/>
            <w:hideMark/>
          </w:tcPr>
          <w:p w:rsidR="001E29D7" w:rsidRPr="00B148B1" w:rsidRDefault="001E29D7" w:rsidP="00272207">
            <w:pPr>
              <w:spacing w:line="240" w:lineRule="auto"/>
              <w:jc w:val="center"/>
              <w:rPr>
                <w:rFonts w:cs="Arial"/>
                <w:color w:val="000000"/>
                <w:sz w:val="18"/>
                <w:szCs w:val="18"/>
                <w:lang w:eastAsia="sl-SI"/>
              </w:rPr>
            </w:pPr>
            <w:r w:rsidRPr="00B148B1">
              <w:rPr>
                <w:rFonts w:cs="Arial"/>
                <w:color w:val="000000"/>
                <w:sz w:val="18"/>
                <w:szCs w:val="18"/>
                <w:lang w:eastAsia="sl-SI"/>
              </w:rPr>
              <w:t>40</w:t>
            </w:r>
          </w:p>
        </w:tc>
        <w:tc>
          <w:tcPr>
            <w:tcW w:w="383" w:type="pct"/>
            <w:shd w:val="clear" w:color="auto" w:fill="auto"/>
            <w:noWrap/>
            <w:vAlign w:val="center"/>
            <w:hideMark/>
          </w:tcPr>
          <w:p w:rsidR="001E29D7" w:rsidRPr="00B148B1" w:rsidRDefault="001E29D7" w:rsidP="00272207">
            <w:pPr>
              <w:spacing w:line="240" w:lineRule="auto"/>
              <w:jc w:val="center"/>
              <w:rPr>
                <w:rFonts w:cs="Arial"/>
                <w:color w:val="000000"/>
                <w:sz w:val="18"/>
                <w:szCs w:val="18"/>
                <w:lang w:eastAsia="sl-SI"/>
              </w:rPr>
            </w:pPr>
            <w:r w:rsidRPr="00B148B1">
              <w:rPr>
                <w:rFonts w:cs="Arial"/>
                <w:color w:val="000000"/>
                <w:sz w:val="18"/>
                <w:szCs w:val="18"/>
                <w:lang w:eastAsia="sl-SI"/>
              </w:rPr>
              <w:t>40</w:t>
            </w:r>
          </w:p>
        </w:tc>
        <w:tc>
          <w:tcPr>
            <w:tcW w:w="383" w:type="pct"/>
            <w:shd w:val="clear" w:color="auto" w:fill="auto"/>
            <w:noWrap/>
            <w:vAlign w:val="center"/>
            <w:hideMark/>
          </w:tcPr>
          <w:p w:rsidR="001E29D7" w:rsidRPr="00B148B1" w:rsidRDefault="001E29D7" w:rsidP="00272207">
            <w:pPr>
              <w:spacing w:line="240" w:lineRule="auto"/>
              <w:jc w:val="center"/>
              <w:rPr>
                <w:rFonts w:cs="Arial"/>
                <w:color w:val="000000"/>
                <w:sz w:val="18"/>
                <w:szCs w:val="18"/>
                <w:lang w:eastAsia="sl-SI"/>
              </w:rPr>
            </w:pPr>
            <w:r w:rsidRPr="00B148B1">
              <w:rPr>
                <w:rFonts w:cs="Arial"/>
                <w:color w:val="000000"/>
                <w:sz w:val="18"/>
                <w:szCs w:val="18"/>
                <w:lang w:eastAsia="sl-SI"/>
              </w:rPr>
              <w:t>40</w:t>
            </w:r>
          </w:p>
        </w:tc>
        <w:tc>
          <w:tcPr>
            <w:tcW w:w="383" w:type="pct"/>
            <w:shd w:val="clear" w:color="auto" w:fill="auto"/>
            <w:noWrap/>
            <w:vAlign w:val="center"/>
            <w:hideMark/>
          </w:tcPr>
          <w:p w:rsidR="001E29D7" w:rsidRPr="00B148B1" w:rsidRDefault="001E29D7" w:rsidP="00272207">
            <w:pPr>
              <w:spacing w:line="240" w:lineRule="auto"/>
              <w:jc w:val="center"/>
              <w:rPr>
                <w:rFonts w:cs="Arial"/>
                <w:color w:val="000000"/>
                <w:sz w:val="18"/>
                <w:szCs w:val="18"/>
                <w:lang w:eastAsia="sl-SI"/>
              </w:rPr>
            </w:pPr>
            <w:r w:rsidRPr="00B148B1">
              <w:rPr>
                <w:rFonts w:cs="Arial"/>
                <w:color w:val="000000"/>
                <w:sz w:val="18"/>
                <w:szCs w:val="18"/>
                <w:lang w:eastAsia="sl-SI"/>
              </w:rPr>
              <w:t>40</w:t>
            </w:r>
          </w:p>
        </w:tc>
        <w:tc>
          <w:tcPr>
            <w:tcW w:w="383" w:type="pct"/>
            <w:shd w:val="clear" w:color="auto" w:fill="auto"/>
            <w:noWrap/>
            <w:vAlign w:val="center"/>
            <w:hideMark/>
          </w:tcPr>
          <w:p w:rsidR="001E29D7" w:rsidRPr="00B148B1" w:rsidRDefault="001E29D7" w:rsidP="00272207">
            <w:pPr>
              <w:spacing w:line="240" w:lineRule="auto"/>
              <w:jc w:val="center"/>
              <w:rPr>
                <w:rFonts w:cs="Arial"/>
                <w:color w:val="000000"/>
                <w:sz w:val="18"/>
                <w:szCs w:val="18"/>
                <w:lang w:eastAsia="sl-SI"/>
              </w:rPr>
            </w:pPr>
            <w:r w:rsidRPr="00B148B1">
              <w:rPr>
                <w:rFonts w:cs="Arial"/>
                <w:color w:val="000000"/>
                <w:sz w:val="18"/>
                <w:szCs w:val="18"/>
                <w:lang w:eastAsia="sl-SI"/>
              </w:rPr>
              <w:t>40</w:t>
            </w:r>
          </w:p>
        </w:tc>
        <w:tc>
          <w:tcPr>
            <w:tcW w:w="383" w:type="pct"/>
            <w:shd w:val="clear" w:color="auto" w:fill="auto"/>
            <w:noWrap/>
            <w:vAlign w:val="center"/>
            <w:hideMark/>
          </w:tcPr>
          <w:p w:rsidR="001E29D7" w:rsidRPr="00B148B1" w:rsidRDefault="001E29D7" w:rsidP="00272207">
            <w:pPr>
              <w:spacing w:line="240" w:lineRule="auto"/>
              <w:jc w:val="center"/>
              <w:rPr>
                <w:rFonts w:cs="Arial"/>
                <w:color w:val="000000"/>
                <w:sz w:val="18"/>
                <w:szCs w:val="18"/>
                <w:lang w:eastAsia="sl-SI"/>
              </w:rPr>
            </w:pPr>
            <w:r w:rsidRPr="00B148B1">
              <w:rPr>
                <w:rFonts w:cs="Arial"/>
                <w:color w:val="000000"/>
                <w:sz w:val="18"/>
                <w:szCs w:val="18"/>
                <w:lang w:eastAsia="sl-SI"/>
              </w:rPr>
              <w:t>40</w:t>
            </w:r>
          </w:p>
        </w:tc>
        <w:tc>
          <w:tcPr>
            <w:tcW w:w="423" w:type="pct"/>
            <w:shd w:val="clear" w:color="auto" w:fill="auto"/>
            <w:noWrap/>
            <w:vAlign w:val="center"/>
            <w:hideMark/>
          </w:tcPr>
          <w:p w:rsidR="001E29D7" w:rsidRPr="00B148B1" w:rsidRDefault="001E29D7" w:rsidP="00272207">
            <w:pPr>
              <w:spacing w:line="240" w:lineRule="auto"/>
              <w:jc w:val="center"/>
              <w:rPr>
                <w:rFonts w:cs="Arial"/>
                <w:color w:val="000000"/>
                <w:sz w:val="18"/>
                <w:szCs w:val="18"/>
                <w:lang w:eastAsia="sl-SI"/>
              </w:rPr>
            </w:pPr>
            <w:r w:rsidRPr="00B148B1">
              <w:rPr>
                <w:rFonts w:cs="Arial"/>
                <w:color w:val="000000"/>
                <w:sz w:val="18"/>
                <w:szCs w:val="18"/>
                <w:lang w:eastAsia="sl-SI"/>
              </w:rPr>
              <w:t>320</w:t>
            </w:r>
          </w:p>
        </w:tc>
      </w:tr>
      <w:tr w:rsidR="001E29D7" w:rsidRPr="00B148B1" w:rsidTr="00272207">
        <w:trPr>
          <w:trHeight w:val="525"/>
        </w:trPr>
        <w:tc>
          <w:tcPr>
            <w:tcW w:w="1510" w:type="pct"/>
            <w:shd w:val="clear" w:color="auto" w:fill="auto"/>
            <w:vAlign w:val="center"/>
            <w:hideMark/>
          </w:tcPr>
          <w:p w:rsidR="001E29D7" w:rsidRPr="00B148B1" w:rsidRDefault="001E29D7" w:rsidP="00272207">
            <w:pPr>
              <w:spacing w:line="240" w:lineRule="auto"/>
              <w:jc w:val="center"/>
              <w:rPr>
                <w:rFonts w:cs="Arial"/>
                <w:color w:val="000000"/>
                <w:sz w:val="18"/>
                <w:szCs w:val="18"/>
                <w:lang w:eastAsia="sl-SI"/>
              </w:rPr>
            </w:pPr>
            <w:r w:rsidRPr="00B148B1">
              <w:rPr>
                <w:rFonts w:cs="Arial"/>
                <w:color w:val="000000"/>
                <w:sz w:val="18"/>
                <w:szCs w:val="18"/>
                <w:lang w:eastAsia="sl-SI"/>
              </w:rPr>
              <w:t>c) Sredstva iz naslova komunalnega prispevka</w:t>
            </w:r>
          </w:p>
        </w:tc>
        <w:tc>
          <w:tcPr>
            <w:tcW w:w="383" w:type="pct"/>
            <w:shd w:val="clear" w:color="auto" w:fill="auto"/>
            <w:noWrap/>
            <w:vAlign w:val="center"/>
            <w:hideMark/>
          </w:tcPr>
          <w:p w:rsidR="001E29D7" w:rsidRPr="00B148B1" w:rsidRDefault="001E29D7" w:rsidP="00272207">
            <w:pPr>
              <w:spacing w:line="240" w:lineRule="auto"/>
              <w:jc w:val="center"/>
              <w:rPr>
                <w:rFonts w:cs="Arial"/>
                <w:color w:val="000000"/>
                <w:sz w:val="18"/>
                <w:szCs w:val="18"/>
                <w:lang w:eastAsia="sl-SI"/>
              </w:rPr>
            </w:pPr>
            <w:r w:rsidRPr="00B148B1">
              <w:rPr>
                <w:rFonts w:cs="Arial"/>
                <w:color w:val="000000"/>
                <w:sz w:val="18"/>
                <w:szCs w:val="18"/>
                <w:lang w:eastAsia="sl-SI"/>
              </w:rPr>
              <w:t>10,4</w:t>
            </w:r>
          </w:p>
        </w:tc>
        <w:tc>
          <w:tcPr>
            <w:tcW w:w="383" w:type="pct"/>
            <w:shd w:val="clear" w:color="auto" w:fill="auto"/>
            <w:noWrap/>
            <w:vAlign w:val="center"/>
            <w:hideMark/>
          </w:tcPr>
          <w:p w:rsidR="001E29D7" w:rsidRPr="00B148B1" w:rsidRDefault="001E29D7" w:rsidP="00272207">
            <w:pPr>
              <w:spacing w:line="240" w:lineRule="auto"/>
              <w:jc w:val="center"/>
              <w:rPr>
                <w:rFonts w:cs="Arial"/>
                <w:color w:val="000000"/>
                <w:sz w:val="18"/>
                <w:szCs w:val="18"/>
                <w:lang w:eastAsia="sl-SI"/>
              </w:rPr>
            </w:pPr>
            <w:r w:rsidRPr="00B148B1">
              <w:rPr>
                <w:rFonts w:cs="Arial"/>
                <w:color w:val="000000"/>
                <w:sz w:val="18"/>
                <w:szCs w:val="18"/>
                <w:lang w:eastAsia="sl-SI"/>
              </w:rPr>
              <w:t>10,4</w:t>
            </w:r>
          </w:p>
        </w:tc>
        <w:tc>
          <w:tcPr>
            <w:tcW w:w="383" w:type="pct"/>
            <w:shd w:val="clear" w:color="auto" w:fill="auto"/>
            <w:noWrap/>
            <w:vAlign w:val="center"/>
            <w:hideMark/>
          </w:tcPr>
          <w:p w:rsidR="001E29D7" w:rsidRPr="00B148B1" w:rsidRDefault="001E29D7" w:rsidP="00272207">
            <w:pPr>
              <w:spacing w:line="240" w:lineRule="auto"/>
              <w:jc w:val="center"/>
              <w:rPr>
                <w:rFonts w:cs="Arial"/>
                <w:color w:val="000000"/>
                <w:sz w:val="18"/>
                <w:szCs w:val="18"/>
                <w:lang w:eastAsia="sl-SI"/>
              </w:rPr>
            </w:pPr>
            <w:r w:rsidRPr="00B148B1">
              <w:rPr>
                <w:rFonts w:cs="Arial"/>
                <w:color w:val="000000"/>
                <w:sz w:val="18"/>
                <w:szCs w:val="18"/>
                <w:lang w:eastAsia="sl-SI"/>
              </w:rPr>
              <w:t>10,4</w:t>
            </w:r>
          </w:p>
        </w:tc>
        <w:tc>
          <w:tcPr>
            <w:tcW w:w="383" w:type="pct"/>
            <w:shd w:val="clear" w:color="auto" w:fill="auto"/>
            <w:noWrap/>
            <w:vAlign w:val="center"/>
            <w:hideMark/>
          </w:tcPr>
          <w:p w:rsidR="001E29D7" w:rsidRPr="00B148B1" w:rsidRDefault="001E29D7" w:rsidP="00272207">
            <w:pPr>
              <w:spacing w:line="240" w:lineRule="auto"/>
              <w:jc w:val="center"/>
              <w:rPr>
                <w:rFonts w:cs="Arial"/>
                <w:color w:val="000000"/>
                <w:sz w:val="18"/>
                <w:szCs w:val="18"/>
                <w:lang w:eastAsia="sl-SI"/>
              </w:rPr>
            </w:pPr>
            <w:r w:rsidRPr="00B148B1">
              <w:rPr>
                <w:rFonts w:cs="Arial"/>
                <w:color w:val="000000"/>
                <w:sz w:val="18"/>
                <w:szCs w:val="18"/>
                <w:lang w:eastAsia="sl-SI"/>
              </w:rPr>
              <w:t>10,4</w:t>
            </w:r>
          </w:p>
        </w:tc>
        <w:tc>
          <w:tcPr>
            <w:tcW w:w="383" w:type="pct"/>
            <w:shd w:val="clear" w:color="auto" w:fill="auto"/>
            <w:noWrap/>
            <w:vAlign w:val="center"/>
            <w:hideMark/>
          </w:tcPr>
          <w:p w:rsidR="001E29D7" w:rsidRPr="00B148B1" w:rsidRDefault="001E29D7" w:rsidP="00272207">
            <w:pPr>
              <w:spacing w:line="240" w:lineRule="auto"/>
              <w:jc w:val="center"/>
              <w:rPr>
                <w:rFonts w:cs="Arial"/>
                <w:color w:val="000000"/>
                <w:sz w:val="18"/>
                <w:szCs w:val="18"/>
                <w:lang w:eastAsia="sl-SI"/>
              </w:rPr>
            </w:pPr>
            <w:r w:rsidRPr="00B148B1">
              <w:rPr>
                <w:rFonts w:cs="Arial"/>
                <w:color w:val="000000"/>
                <w:sz w:val="18"/>
                <w:szCs w:val="18"/>
                <w:lang w:eastAsia="sl-SI"/>
              </w:rPr>
              <w:t>10,4</w:t>
            </w:r>
          </w:p>
        </w:tc>
        <w:tc>
          <w:tcPr>
            <w:tcW w:w="383" w:type="pct"/>
            <w:shd w:val="clear" w:color="auto" w:fill="auto"/>
            <w:noWrap/>
            <w:vAlign w:val="center"/>
            <w:hideMark/>
          </w:tcPr>
          <w:p w:rsidR="001E29D7" w:rsidRPr="00B148B1" w:rsidRDefault="001E29D7" w:rsidP="00272207">
            <w:pPr>
              <w:spacing w:line="240" w:lineRule="auto"/>
              <w:jc w:val="center"/>
              <w:rPr>
                <w:rFonts w:cs="Arial"/>
                <w:color w:val="000000"/>
                <w:sz w:val="18"/>
                <w:szCs w:val="18"/>
                <w:lang w:eastAsia="sl-SI"/>
              </w:rPr>
            </w:pPr>
            <w:r w:rsidRPr="00B148B1">
              <w:rPr>
                <w:rFonts w:cs="Arial"/>
                <w:color w:val="000000"/>
                <w:sz w:val="18"/>
                <w:szCs w:val="18"/>
                <w:lang w:eastAsia="sl-SI"/>
              </w:rPr>
              <w:t>10,4</w:t>
            </w:r>
          </w:p>
        </w:tc>
        <w:tc>
          <w:tcPr>
            <w:tcW w:w="383" w:type="pct"/>
            <w:shd w:val="clear" w:color="auto" w:fill="auto"/>
            <w:noWrap/>
            <w:vAlign w:val="center"/>
            <w:hideMark/>
          </w:tcPr>
          <w:p w:rsidR="001E29D7" w:rsidRPr="00B148B1" w:rsidRDefault="001E29D7" w:rsidP="00272207">
            <w:pPr>
              <w:spacing w:line="240" w:lineRule="auto"/>
              <w:jc w:val="center"/>
              <w:rPr>
                <w:rFonts w:cs="Arial"/>
                <w:color w:val="000000"/>
                <w:sz w:val="18"/>
                <w:szCs w:val="18"/>
                <w:lang w:eastAsia="sl-SI"/>
              </w:rPr>
            </w:pPr>
            <w:r w:rsidRPr="00B148B1">
              <w:rPr>
                <w:rFonts w:cs="Arial"/>
                <w:color w:val="000000"/>
                <w:sz w:val="18"/>
                <w:szCs w:val="18"/>
                <w:lang w:eastAsia="sl-SI"/>
              </w:rPr>
              <w:t>10,4</w:t>
            </w:r>
          </w:p>
        </w:tc>
        <w:tc>
          <w:tcPr>
            <w:tcW w:w="383" w:type="pct"/>
            <w:shd w:val="clear" w:color="auto" w:fill="auto"/>
            <w:noWrap/>
            <w:vAlign w:val="center"/>
            <w:hideMark/>
          </w:tcPr>
          <w:p w:rsidR="001E29D7" w:rsidRPr="00B148B1" w:rsidRDefault="001E29D7" w:rsidP="00272207">
            <w:pPr>
              <w:spacing w:line="240" w:lineRule="auto"/>
              <w:jc w:val="center"/>
              <w:rPr>
                <w:rFonts w:cs="Arial"/>
                <w:color w:val="000000"/>
                <w:sz w:val="18"/>
                <w:szCs w:val="18"/>
                <w:lang w:eastAsia="sl-SI"/>
              </w:rPr>
            </w:pPr>
            <w:r w:rsidRPr="00B148B1">
              <w:rPr>
                <w:rFonts w:cs="Arial"/>
                <w:color w:val="000000"/>
                <w:sz w:val="18"/>
                <w:szCs w:val="18"/>
                <w:lang w:eastAsia="sl-SI"/>
              </w:rPr>
              <w:t>10,4</w:t>
            </w:r>
          </w:p>
        </w:tc>
        <w:tc>
          <w:tcPr>
            <w:tcW w:w="423" w:type="pct"/>
            <w:shd w:val="clear" w:color="auto" w:fill="auto"/>
            <w:noWrap/>
            <w:vAlign w:val="center"/>
            <w:hideMark/>
          </w:tcPr>
          <w:p w:rsidR="001E29D7" w:rsidRPr="00B148B1" w:rsidRDefault="001E29D7" w:rsidP="00272207">
            <w:pPr>
              <w:spacing w:line="240" w:lineRule="auto"/>
              <w:jc w:val="center"/>
              <w:rPr>
                <w:rFonts w:cs="Arial"/>
                <w:color w:val="000000"/>
                <w:sz w:val="18"/>
                <w:szCs w:val="18"/>
                <w:lang w:eastAsia="sl-SI"/>
              </w:rPr>
            </w:pPr>
            <w:r w:rsidRPr="00B148B1">
              <w:rPr>
                <w:rFonts w:cs="Arial"/>
                <w:color w:val="000000"/>
                <w:sz w:val="18"/>
                <w:szCs w:val="18"/>
                <w:lang w:eastAsia="sl-SI"/>
              </w:rPr>
              <w:t>83,4</w:t>
            </w:r>
          </w:p>
        </w:tc>
      </w:tr>
      <w:tr w:rsidR="001E29D7" w:rsidRPr="00B148B1" w:rsidTr="00272207">
        <w:trPr>
          <w:trHeight w:val="315"/>
        </w:trPr>
        <w:tc>
          <w:tcPr>
            <w:tcW w:w="1510" w:type="pct"/>
            <w:shd w:val="clear" w:color="auto" w:fill="auto"/>
            <w:vAlign w:val="center"/>
            <w:hideMark/>
          </w:tcPr>
          <w:p w:rsidR="001E29D7" w:rsidRPr="00B148B1" w:rsidRDefault="001E29D7" w:rsidP="00272207">
            <w:pPr>
              <w:spacing w:line="240" w:lineRule="auto"/>
              <w:jc w:val="center"/>
              <w:rPr>
                <w:rFonts w:cs="Arial"/>
                <w:color w:val="000000"/>
                <w:sz w:val="18"/>
                <w:szCs w:val="18"/>
                <w:lang w:eastAsia="sl-SI"/>
              </w:rPr>
            </w:pPr>
            <w:r w:rsidRPr="00B148B1">
              <w:rPr>
                <w:rFonts w:cs="Arial"/>
                <w:color w:val="000000"/>
                <w:sz w:val="18"/>
                <w:szCs w:val="18"/>
                <w:lang w:eastAsia="sl-SI"/>
              </w:rPr>
              <w:t>d) Zadolževanje občin (posojila)</w:t>
            </w:r>
          </w:p>
        </w:tc>
        <w:tc>
          <w:tcPr>
            <w:tcW w:w="383" w:type="pct"/>
            <w:shd w:val="clear" w:color="auto" w:fill="auto"/>
            <w:noWrap/>
            <w:vAlign w:val="center"/>
            <w:hideMark/>
          </w:tcPr>
          <w:p w:rsidR="001E29D7" w:rsidRPr="00B148B1" w:rsidRDefault="001E29D7" w:rsidP="00272207">
            <w:pPr>
              <w:spacing w:line="240" w:lineRule="auto"/>
              <w:jc w:val="center"/>
              <w:rPr>
                <w:rFonts w:cs="Arial"/>
                <w:color w:val="000000"/>
                <w:sz w:val="18"/>
                <w:szCs w:val="18"/>
                <w:lang w:eastAsia="sl-SI"/>
              </w:rPr>
            </w:pPr>
            <w:r w:rsidRPr="00B148B1">
              <w:rPr>
                <w:rFonts w:cs="Arial"/>
                <w:color w:val="000000"/>
                <w:sz w:val="18"/>
                <w:szCs w:val="18"/>
                <w:lang w:eastAsia="sl-SI"/>
              </w:rPr>
              <w:t>10</w:t>
            </w:r>
          </w:p>
        </w:tc>
        <w:tc>
          <w:tcPr>
            <w:tcW w:w="383" w:type="pct"/>
            <w:shd w:val="clear" w:color="auto" w:fill="auto"/>
            <w:noWrap/>
            <w:vAlign w:val="center"/>
            <w:hideMark/>
          </w:tcPr>
          <w:p w:rsidR="001E29D7" w:rsidRPr="00B148B1" w:rsidRDefault="001E29D7" w:rsidP="00272207">
            <w:pPr>
              <w:spacing w:line="240" w:lineRule="auto"/>
              <w:jc w:val="center"/>
              <w:rPr>
                <w:rFonts w:cs="Arial"/>
                <w:color w:val="000000"/>
                <w:sz w:val="18"/>
                <w:szCs w:val="18"/>
                <w:lang w:eastAsia="sl-SI"/>
              </w:rPr>
            </w:pPr>
            <w:r w:rsidRPr="00B148B1">
              <w:rPr>
                <w:rFonts w:cs="Arial"/>
                <w:color w:val="000000"/>
                <w:sz w:val="18"/>
                <w:szCs w:val="18"/>
                <w:lang w:eastAsia="sl-SI"/>
              </w:rPr>
              <w:t>10</w:t>
            </w:r>
          </w:p>
        </w:tc>
        <w:tc>
          <w:tcPr>
            <w:tcW w:w="383" w:type="pct"/>
            <w:shd w:val="clear" w:color="auto" w:fill="auto"/>
            <w:noWrap/>
            <w:vAlign w:val="center"/>
            <w:hideMark/>
          </w:tcPr>
          <w:p w:rsidR="001E29D7" w:rsidRPr="00B148B1" w:rsidRDefault="001E29D7" w:rsidP="00272207">
            <w:pPr>
              <w:spacing w:line="240" w:lineRule="auto"/>
              <w:jc w:val="center"/>
              <w:rPr>
                <w:rFonts w:cs="Arial"/>
                <w:color w:val="000000"/>
                <w:sz w:val="18"/>
                <w:szCs w:val="18"/>
                <w:lang w:eastAsia="sl-SI"/>
              </w:rPr>
            </w:pPr>
            <w:r w:rsidRPr="00B148B1">
              <w:rPr>
                <w:rFonts w:cs="Arial"/>
                <w:color w:val="000000"/>
                <w:sz w:val="18"/>
                <w:szCs w:val="18"/>
                <w:lang w:eastAsia="sl-SI"/>
              </w:rPr>
              <w:t>10</w:t>
            </w:r>
          </w:p>
        </w:tc>
        <w:tc>
          <w:tcPr>
            <w:tcW w:w="383" w:type="pct"/>
            <w:shd w:val="clear" w:color="auto" w:fill="auto"/>
            <w:noWrap/>
            <w:vAlign w:val="center"/>
            <w:hideMark/>
          </w:tcPr>
          <w:p w:rsidR="001E29D7" w:rsidRPr="00B148B1" w:rsidRDefault="001E29D7" w:rsidP="00272207">
            <w:pPr>
              <w:spacing w:line="240" w:lineRule="auto"/>
              <w:jc w:val="center"/>
              <w:rPr>
                <w:rFonts w:cs="Arial"/>
                <w:color w:val="000000"/>
                <w:sz w:val="18"/>
                <w:szCs w:val="18"/>
                <w:lang w:eastAsia="sl-SI"/>
              </w:rPr>
            </w:pPr>
            <w:r w:rsidRPr="00B148B1">
              <w:rPr>
                <w:rFonts w:cs="Arial"/>
                <w:color w:val="000000"/>
                <w:sz w:val="18"/>
                <w:szCs w:val="18"/>
                <w:lang w:eastAsia="sl-SI"/>
              </w:rPr>
              <w:t>10</w:t>
            </w:r>
          </w:p>
        </w:tc>
        <w:tc>
          <w:tcPr>
            <w:tcW w:w="383" w:type="pct"/>
            <w:shd w:val="clear" w:color="auto" w:fill="auto"/>
            <w:noWrap/>
            <w:vAlign w:val="center"/>
            <w:hideMark/>
          </w:tcPr>
          <w:p w:rsidR="001E29D7" w:rsidRPr="00B148B1" w:rsidRDefault="001E29D7" w:rsidP="00272207">
            <w:pPr>
              <w:spacing w:line="240" w:lineRule="auto"/>
              <w:jc w:val="center"/>
              <w:rPr>
                <w:rFonts w:cs="Arial"/>
                <w:color w:val="000000"/>
                <w:sz w:val="18"/>
                <w:szCs w:val="18"/>
                <w:lang w:eastAsia="sl-SI"/>
              </w:rPr>
            </w:pPr>
            <w:r w:rsidRPr="00B148B1">
              <w:rPr>
                <w:rFonts w:cs="Arial"/>
                <w:color w:val="000000"/>
                <w:sz w:val="18"/>
                <w:szCs w:val="18"/>
                <w:lang w:eastAsia="sl-SI"/>
              </w:rPr>
              <w:t>10</w:t>
            </w:r>
          </w:p>
        </w:tc>
        <w:tc>
          <w:tcPr>
            <w:tcW w:w="383" w:type="pct"/>
            <w:shd w:val="clear" w:color="auto" w:fill="auto"/>
            <w:noWrap/>
            <w:vAlign w:val="center"/>
            <w:hideMark/>
          </w:tcPr>
          <w:p w:rsidR="001E29D7" w:rsidRPr="00B148B1" w:rsidRDefault="001E29D7" w:rsidP="00272207">
            <w:pPr>
              <w:spacing w:line="240" w:lineRule="auto"/>
              <w:jc w:val="center"/>
              <w:rPr>
                <w:rFonts w:cs="Arial"/>
                <w:color w:val="000000"/>
                <w:sz w:val="18"/>
                <w:szCs w:val="18"/>
                <w:lang w:eastAsia="sl-SI"/>
              </w:rPr>
            </w:pPr>
            <w:r w:rsidRPr="00B148B1">
              <w:rPr>
                <w:rFonts w:cs="Arial"/>
                <w:color w:val="000000"/>
                <w:sz w:val="18"/>
                <w:szCs w:val="18"/>
                <w:lang w:eastAsia="sl-SI"/>
              </w:rPr>
              <w:t>10</w:t>
            </w:r>
          </w:p>
        </w:tc>
        <w:tc>
          <w:tcPr>
            <w:tcW w:w="383" w:type="pct"/>
            <w:shd w:val="clear" w:color="auto" w:fill="auto"/>
            <w:noWrap/>
            <w:vAlign w:val="center"/>
            <w:hideMark/>
          </w:tcPr>
          <w:p w:rsidR="001E29D7" w:rsidRPr="00B148B1" w:rsidRDefault="001E29D7" w:rsidP="00272207">
            <w:pPr>
              <w:spacing w:line="240" w:lineRule="auto"/>
              <w:jc w:val="center"/>
              <w:rPr>
                <w:rFonts w:cs="Arial"/>
                <w:color w:val="000000"/>
                <w:sz w:val="18"/>
                <w:szCs w:val="18"/>
                <w:lang w:eastAsia="sl-SI"/>
              </w:rPr>
            </w:pPr>
            <w:r w:rsidRPr="00B148B1">
              <w:rPr>
                <w:rFonts w:cs="Arial"/>
                <w:color w:val="000000"/>
                <w:sz w:val="18"/>
                <w:szCs w:val="18"/>
                <w:lang w:eastAsia="sl-SI"/>
              </w:rPr>
              <w:t>10</w:t>
            </w:r>
          </w:p>
        </w:tc>
        <w:tc>
          <w:tcPr>
            <w:tcW w:w="383" w:type="pct"/>
            <w:shd w:val="clear" w:color="auto" w:fill="auto"/>
            <w:noWrap/>
            <w:vAlign w:val="center"/>
            <w:hideMark/>
          </w:tcPr>
          <w:p w:rsidR="001E29D7" w:rsidRPr="00B148B1" w:rsidRDefault="001E29D7" w:rsidP="00272207">
            <w:pPr>
              <w:spacing w:line="240" w:lineRule="auto"/>
              <w:jc w:val="center"/>
              <w:rPr>
                <w:rFonts w:cs="Arial"/>
                <w:color w:val="000000"/>
                <w:sz w:val="18"/>
                <w:szCs w:val="18"/>
                <w:lang w:eastAsia="sl-SI"/>
              </w:rPr>
            </w:pPr>
            <w:r w:rsidRPr="00B148B1">
              <w:rPr>
                <w:rFonts w:cs="Arial"/>
                <w:color w:val="000000"/>
                <w:sz w:val="18"/>
                <w:szCs w:val="18"/>
                <w:lang w:eastAsia="sl-SI"/>
              </w:rPr>
              <w:t>10</w:t>
            </w:r>
          </w:p>
        </w:tc>
        <w:tc>
          <w:tcPr>
            <w:tcW w:w="423" w:type="pct"/>
            <w:shd w:val="clear" w:color="auto" w:fill="auto"/>
            <w:noWrap/>
            <w:vAlign w:val="center"/>
            <w:hideMark/>
          </w:tcPr>
          <w:p w:rsidR="001E29D7" w:rsidRPr="00B148B1" w:rsidRDefault="001E29D7" w:rsidP="00272207">
            <w:pPr>
              <w:spacing w:line="240" w:lineRule="auto"/>
              <w:jc w:val="center"/>
              <w:rPr>
                <w:rFonts w:cs="Arial"/>
                <w:color w:val="000000"/>
                <w:sz w:val="18"/>
                <w:szCs w:val="18"/>
                <w:lang w:eastAsia="sl-SI"/>
              </w:rPr>
            </w:pPr>
            <w:r w:rsidRPr="00B148B1">
              <w:rPr>
                <w:rFonts w:cs="Arial"/>
                <w:color w:val="000000"/>
                <w:sz w:val="18"/>
                <w:szCs w:val="18"/>
                <w:lang w:eastAsia="sl-SI"/>
              </w:rPr>
              <w:t>80</w:t>
            </w:r>
          </w:p>
        </w:tc>
      </w:tr>
      <w:tr w:rsidR="001E29D7" w:rsidRPr="00B148B1" w:rsidTr="00272207">
        <w:trPr>
          <w:trHeight w:val="315"/>
        </w:trPr>
        <w:tc>
          <w:tcPr>
            <w:tcW w:w="1510" w:type="pct"/>
            <w:shd w:val="clear" w:color="auto" w:fill="auto"/>
            <w:vAlign w:val="center"/>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 xml:space="preserve">4.) Drugi finančni inštrumenti </w:t>
            </w:r>
          </w:p>
        </w:tc>
        <w:tc>
          <w:tcPr>
            <w:tcW w:w="383" w:type="pct"/>
            <w:shd w:val="clear" w:color="auto" w:fill="auto"/>
            <w:noWrap/>
            <w:vAlign w:val="center"/>
            <w:hideMark/>
          </w:tcPr>
          <w:p w:rsidR="001E29D7" w:rsidRPr="00B148B1" w:rsidRDefault="001E29D7" w:rsidP="00272207">
            <w:pPr>
              <w:spacing w:line="240" w:lineRule="auto"/>
              <w:jc w:val="center"/>
              <w:rPr>
                <w:rFonts w:cs="Arial"/>
                <w:color w:val="000000"/>
                <w:sz w:val="18"/>
                <w:szCs w:val="18"/>
                <w:lang w:eastAsia="sl-SI"/>
              </w:rPr>
            </w:pPr>
            <w:r w:rsidRPr="00B148B1">
              <w:rPr>
                <w:rFonts w:cs="Arial"/>
                <w:color w:val="000000"/>
                <w:sz w:val="18"/>
                <w:szCs w:val="18"/>
                <w:lang w:eastAsia="sl-SI"/>
              </w:rPr>
              <w:t xml:space="preserve">          -     </w:t>
            </w:r>
          </w:p>
        </w:tc>
        <w:tc>
          <w:tcPr>
            <w:tcW w:w="383" w:type="pct"/>
            <w:shd w:val="clear" w:color="auto" w:fill="auto"/>
            <w:noWrap/>
            <w:vAlign w:val="center"/>
            <w:hideMark/>
          </w:tcPr>
          <w:p w:rsidR="001E29D7" w:rsidRPr="00B148B1" w:rsidRDefault="001E29D7" w:rsidP="00272207">
            <w:pPr>
              <w:spacing w:line="240" w:lineRule="auto"/>
              <w:jc w:val="center"/>
              <w:rPr>
                <w:rFonts w:cs="Arial"/>
                <w:color w:val="000000"/>
                <w:sz w:val="18"/>
                <w:szCs w:val="18"/>
                <w:lang w:eastAsia="sl-SI"/>
              </w:rPr>
            </w:pPr>
            <w:r w:rsidRPr="00B148B1">
              <w:rPr>
                <w:rFonts w:cs="Arial"/>
                <w:color w:val="000000"/>
                <w:sz w:val="18"/>
                <w:szCs w:val="18"/>
                <w:lang w:eastAsia="sl-SI"/>
              </w:rPr>
              <w:t xml:space="preserve">          -     </w:t>
            </w:r>
          </w:p>
        </w:tc>
        <w:tc>
          <w:tcPr>
            <w:tcW w:w="383" w:type="pct"/>
            <w:shd w:val="clear" w:color="auto" w:fill="auto"/>
            <w:noWrap/>
            <w:vAlign w:val="center"/>
            <w:hideMark/>
          </w:tcPr>
          <w:p w:rsidR="001E29D7" w:rsidRPr="00B148B1" w:rsidRDefault="001E29D7" w:rsidP="00272207">
            <w:pPr>
              <w:spacing w:line="240" w:lineRule="auto"/>
              <w:jc w:val="center"/>
              <w:rPr>
                <w:rFonts w:cs="Arial"/>
                <w:color w:val="000000"/>
                <w:sz w:val="18"/>
                <w:szCs w:val="18"/>
                <w:lang w:eastAsia="sl-SI"/>
              </w:rPr>
            </w:pPr>
            <w:r w:rsidRPr="00B148B1">
              <w:rPr>
                <w:rFonts w:cs="Arial"/>
                <w:color w:val="000000"/>
                <w:sz w:val="18"/>
                <w:szCs w:val="18"/>
                <w:lang w:eastAsia="sl-SI"/>
              </w:rPr>
              <w:t xml:space="preserve">          -     </w:t>
            </w:r>
          </w:p>
        </w:tc>
        <w:tc>
          <w:tcPr>
            <w:tcW w:w="383" w:type="pct"/>
            <w:shd w:val="clear" w:color="auto" w:fill="auto"/>
            <w:noWrap/>
            <w:vAlign w:val="center"/>
            <w:hideMark/>
          </w:tcPr>
          <w:p w:rsidR="001E29D7" w:rsidRPr="00B148B1" w:rsidRDefault="001E29D7" w:rsidP="00272207">
            <w:pPr>
              <w:spacing w:line="240" w:lineRule="auto"/>
              <w:jc w:val="center"/>
              <w:rPr>
                <w:rFonts w:cs="Arial"/>
                <w:color w:val="000000"/>
                <w:sz w:val="18"/>
                <w:szCs w:val="18"/>
                <w:lang w:eastAsia="sl-SI"/>
              </w:rPr>
            </w:pPr>
            <w:r w:rsidRPr="00B148B1">
              <w:rPr>
                <w:rFonts w:cs="Arial"/>
                <w:color w:val="000000"/>
                <w:sz w:val="18"/>
                <w:szCs w:val="18"/>
                <w:lang w:eastAsia="sl-SI"/>
              </w:rPr>
              <w:t xml:space="preserve">          -     </w:t>
            </w:r>
          </w:p>
        </w:tc>
        <w:tc>
          <w:tcPr>
            <w:tcW w:w="383" w:type="pct"/>
            <w:shd w:val="clear" w:color="auto" w:fill="auto"/>
            <w:noWrap/>
            <w:vAlign w:val="center"/>
            <w:hideMark/>
          </w:tcPr>
          <w:p w:rsidR="001E29D7" w:rsidRPr="00B148B1" w:rsidRDefault="001E29D7" w:rsidP="00272207">
            <w:pPr>
              <w:spacing w:line="240" w:lineRule="auto"/>
              <w:jc w:val="center"/>
              <w:rPr>
                <w:rFonts w:cs="Arial"/>
                <w:color w:val="000000"/>
                <w:sz w:val="18"/>
                <w:szCs w:val="18"/>
                <w:lang w:eastAsia="sl-SI"/>
              </w:rPr>
            </w:pPr>
            <w:r w:rsidRPr="00B148B1">
              <w:rPr>
                <w:rFonts w:cs="Arial"/>
                <w:color w:val="000000"/>
                <w:sz w:val="18"/>
                <w:szCs w:val="18"/>
                <w:lang w:eastAsia="sl-SI"/>
              </w:rPr>
              <w:t xml:space="preserve">          -     </w:t>
            </w:r>
          </w:p>
        </w:tc>
        <w:tc>
          <w:tcPr>
            <w:tcW w:w="383" w:type="pct"/>
            <w:shd w:val="clear" w:color="auto" w:fill="auto"/>
            <w:noWrap/>
            <w:vAlign w:val="center"/>
            <w:hideMark/>
          </w:tcPr>
          <w:p w:rsidR="001E29D7" w:rsidRPr="00B148B1" w:rsidRDefault="001E29D7" w:rsidP="00272207">
            <w:pPr>
              <w:spacing w:line="240" w:lineRule="auto"/>
              <w:jc w:val="center"/>
              <w:rPr>
                <w:rFonts w:cs="Arial"/>
                <w:color w:val="000000"/>
                <w:sz w:val="18"/>
                <w:szCs w:val="18"/>
                <w:lang w:eastAsia="sl-SI"/>
              </w:rPr>
            </w:pPr>
            <w:r w:rsidRPr="00B148B1">
              <w:rPr>
                <w:rFonts w:cs="Arial"/>
                <w:color w:val="000000"/>
                <w:sz w:val="18"/>
                <w:szCs w:val="18"/>
                <w:lang w:eastAsia="sl-SI"/>
              </w:rPr>
              <w:t xml:space="preserve">          -     </w:t>
            </w:r>
          </w:p>
        </w:tc>
        <w:tc>
          <w:tcPr>
            <w:tcW w:w="383" w:type="pct"/>
            <w:shd w:val="clear" w:color="auto" w:fill="auto"/>
            <w:noWrap/>
            <w:vAlign w:val="center"/>
            <w:hideMark/>
          </w:tcPr>
          <w:p w:rsidR="001E29D7" w:rsidRPr="00B148B1" w:rsidRDefault="001E29D7" w:rsidP="00272207">
            <w:pPr>
              <w:spacing w:line="240" w:lineRule="auto"/>
              <w:jc w:val="center"/>
              <w:rPr>
                <w:rFonts w:cs="Arial"/>
                <w:color w:val="000000"/>
                <w:sz w:val="18"/>
                <w:szCs w:val="18"/>
                <w:lang w:eastAsia="sl-SI"/>
              </w:rPr>
            </w:pPr>
            <w:r w:rsidRPr="00B148B1">
              <w:rPr>
                <w:rFonts w:cs="Arial"/>
                <w:color w:val="000000"/>
                <w:sz w:val="18"/>
                <w:szCs w:val="18"/>
                <w:lang w:eastAsia="sl-SI"/>
              </w:rPr>
              <w:t xml:space="preserve">          -     </w:t>
            </w:r>
          </w:p>
        </w:tc>
        <w:tc>
          <w:tcPr>
            <w:tcW w:w="383" w:type="pct"/>
            <w:shd w:val="clear" w:color="auto" w:fill="auto"/>
            <w:noWrap/>
            <w:vAlign w:val="center"/>
            <w:hideMark/>
          </w:tcPr>
          <w:p w:rsidR="001E29D7" w:rsidRPr="00B148B1" w:rsidRDefault="001E29D7" w:rsidP="00272207">
            <w:pPr>
              <w:spacing w:line="240" w:lineRule="auto"/>
              <w:jc w:val="center"/>
              <w:rPr>
                <w:rFonts w:cs="Arial"/>
                <w:color w:val="000000"/>
                <w:sz w:val="18"/>
                <w:szCs w:val="18"/>
                <w:lang w:eastAsia="sl-SI"/>
              </w:rPr>
            </w:pPr>
            <w:r w:rsidRPr="00B148B1">
              <w:rPr>
                <w:rFonts w:cs="Arial"/>
                <w:color w:val="000000"/>
                <w:sz w:val="18"/>
                <w:szCs w:val="18"/>
                <w:lang w:eastAsia="sl-SI"/>
              </w:rPr>
              <w:t xml:space="preserve">          -     </w:t>
            </w:r>
          </w:p>
        </w:tc>
        <w:tc>
          <w:tcPr>
            <w:tcW w:w="423" w:type="pct"/>
            <w:shd w:val="clear" w:color="auto" w:fill="auto"/>
            <w:noWrap/>
            <w:vAlign w:val="center"/>
            <w:hideMark/>
          </w:tcPr>
          <w:p w:rsidR="001E29D7" w:rsidRPr="00B148B1" w:rsidRDefault="001E29D7" w:rsidP="00272207">
            <w:pPr>
              <w:spacing w:line="240" w:lineRule="auto"/>
              <w:jc w:val="center"/>
              <w:rPr>
                <w:rFonts w:cs="Arial"/>
                <w:color w:val="000000"/>
                <w:sz w:val="18"/>
                <w:szCs w:val="18"/>
                <w:lang w:eastAsia="sl-SI"/>
              </w:rPr>
            </w:pPr>
            <w:r w:rsidRPr="00B148B1">
              <w:rPr>
                <w:rFonts w:cs="Arial"/>
                <w:color w:val="000000"/>
                <w:sz w:val="18"/>
                <w:szCs w:val="18"/>
                <w:lang w:eastAsia="sl-SI"/>
              </w:rPr>
              <w:t xml:space="preserve">          -     </w:t>
            </w:r>
          </w:p>
        </w:tc>
      </w:tr>
      <w:tr w:rsidR="001E29D7" w:rsidRPr="00B148B1" w:rsidTr="00272207">
        <w:trPr>
          <w:trHeight w:val="315"/>
        </w:trPr>
        <w:tc>
          <w:tcPr>
            <w:tcW w:w="1510" w:type="pct"/>
            <w:shd w:val="clear" w:color="auto" w:fill="auto"/>
            <w:vAlign w:val="center"/>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SKUPAJ</w:t>
            </w:r>
          </w:p>
        </w:tc>
        <w:tc>
          <w:tcPr>
            <w:tcW w:w="383" w:type="pct"/>
            <w:shd w:val="clear" w:color="auto" w:fill="auto"/>
            <w:noWrap/>
            <w:vAlign w:val="center"/>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90</w:t>
            </w:r>
          </w:p>
        </w:tc>
        <w:tc>
          <w:tcPr>
            <w:tcW w:w="383" w:type="pct"/>
            <w:shd w:val="clear" w:color="auto" w:fill="auto"/>
            <w:noWrap/>
            <w:vAlign w:val="center"/>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90</w:t>
            </w:r>
          </w:p>
        </w:tc>
        <w:tc>
          <w:tcPr>
            <w:tcW w:w="383" w:type="pct"/>
            <w:shd w:val="clear" w:color="auto" w:fill="auto"/>
            <w:noWrap/>
            <w:vAlign w:val="center"/>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90</w:t>
            </w:r>
          </w:p>
        </w:tc>
        <w:tc>
          <w:tcPr>
            <w:tcW w:w="383" w:type="pct"/>
            <w:shd w:val="clear" w:color="auto" w:fill="auto"/>
            <w:noWrap/>
            <w:vAlign w:val="center"/>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90</w:t>
            </w:r>
          </w:p>
        </w:tc>
        <w:tc>
          <w:tcPr>
            <w:tcW w:w="383" w:type="pct"/>
            <w:shd w:val="clear" w:color="auto" w:fill="auto"/>
            <w:noWrap/>
            <w:vAlign w:val="center"/>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90</w:t>
            </w:r>
          </w:p>
        </w:tc>
        <w:tc>
          <w:tcPr>
            <w:tcW w:w="383" w:type="pct"/>
            <w:shd w:val="clear" w:color="auto" w:fill="auto"/>
            <w:noWrap/>
            <w:vAlign w:val="center"/>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90</w:t>
            </w:r>
          </w:p>
        </w:tc>
        <w:tc>
          <w:tcPr>
            <w:tcW w:w="383" w:type="pct"/>
            <w:shd w:val="clear" w:color="auto" w:fill="auto"/>
            <w:noWrap/>
            <w:vAlign w:val="center"/>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90</w:t>
            </w:r>
          </w:p>
        </w:tc>
        <w:tc>
          <w:tcPr>
            <w:tcW w:w="383" w:type="pct"/>
            <w:shd w:val="clear" w:color="auto" w:fill="auto"/>
            <w:noWrap/>
            <w:vAlign w:val="center"/>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90</w:t>
            </w:r>
          </w:p>
        </w:tc>
        <w:tc>
          <w:tcPr>
            <w:tcW w:w="423" w:type="pct"/>
            <w:shd w:val="clear" w:color="auto" w:fill="auto"/>
            <w:noWrap/>
            <w:vAlign w:val="center"/>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720,2</w:t>
            </w:r>
          </w:p>
        </w:tc>
      </w:tr>
      <w:tr w:rsidR="001E29D7" w:rsidRPr="00B148B1" w:rsidTr="00272207">
        <w:trPr>
          <w:trHeight w:val="525"/>
        </w:trPr>
        <w:tc>
          <w:tcPr>
            <w:tcW w:w="1510" w:type="pct"/>
            <w:shd w:val="clear" w:color="auto" w:fill="auto"/>
            <w:vAlign w:val="center"/>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Ocena investicijskih stroškov ukrepov za opremljanje aglomeracij</w:t>
            </w:r>
          </w:p>
        </w:tc>
        <w:tc>
          <w:tcPr>
            <w:tcW w:w="383" w:type="pct"/>
            <w:shd w:val="clear" w:color="auto" w:fill="auto"/>
            <w:noWrap/>
            <w:vAlign w:val="center"/>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145,7</w:t>
            </w:r>
          </w:p>
        </w:tc>
        <w:tc>
          <w:tcPr>
            <w:tcW w:w="383" w:type="pct"/>
            <w:shd w:val="clear" w:color="auto" w:fill="auto"/>
            <w:noWrap/>
            <w:vAlign w:val="center"/>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145,7</w:t>
            </w:r>
          </w:p>
        </w:tc>
        <w:tc>
          <w:tcPr>
            <w:tcW w:w="383" w:type="pct"/>
            <w:shd w:val="clear" w:color="auto" w:fill="auto"/>
            <w:noWrap/>
            <w:vAlign w:val="center"/>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145,7</w:t>
            </w:r>
          </w:p>
        </w:tc>
        <w:tc>
          <w:tcPr>
            <w:tcW w:w="383" w:type="pct"/>
            <w:shd w:val="clear" w:color="auto" w:fill="auto"/>
            <w:noWrap/>
            <w:vAlign w:val="center"/>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145,7</w:t>
            </w:r>
          </w:p>
        </w:tc>
        <w:tc>
          <w:tcPr>
            <w:tcW w:w="383" w:type="pct"/>
            <w:shd w:val="clear" w:color="auto" w:fill="auto"/>
            <w:noWrap/>
            <w:vAlign w:val="center"/>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145,7</w:t>
            </w:r>
          </w:p>
        </w:tc>
        <w:tc>
          <w:tcPr>
            <w:tcW w:w="383" w:type="pct"/>
            <w:shd w:val="clear" w:color="auto" w:fill="auto"/>
            <w:noWrap/>
            <w:vAlign w:val="center"/>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145,7</w:t>
            </w:r>
          </w:p>
        </w:tc>
        <w:tc>
          <w:tcPr>
            <w:tcW w:w="383" w:type="pct"/>
            <w:shd w:val="clear" w:color="auto" w:fill="auto"/>
            <w:noWrap/>
            <w:vAlign w:val="center"/>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145,7</w:t>
            </w:r>
          </w:p>
        </w:tc>
        <w:tc>
          <w:tcPr>
            <w:tcW w:w="383" w:type="pct"/>
            <w:shd w:val="clear" w:color="auto" w:fill="auto"/>
            <w:noWrap/>
            <w:vAlign w:val="center"/>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145,7</w:t>
            </w:r>
          </w:p>
        </w:tc>
        <w:tc>
          <w:tcPr>
            <w:tcW w:w="423" w:type="pct"/>
            <w:shd w:val="clear" w:color="auto" w:fill="auto"/>
            <w:noWrap/>
            <w:vAlign w:val="center"/>
            <w:hideMark/>
          </w:tcPr>
          <w:p w:rsidR="001E29D7" w:rsidRPr="00B148B1" w:rsidRDefault="001E29D7" w:rsidP="00272207">
            <w:pPr>
              <w:spacing w:line="240" w:lineRule="auto"/>
              <w:jc w:val="center"/>
              <w:rPr>
                <w:rFonts w:cs="Arial"/>
                <w:b/>
                <w:bCs/>
                <w:color w:val="000000"/>
                <w:sz w:val="18"/>
                <w:szCs w:val="18"/>
                <w:lang w:eastAsia="sl-SI"/>
              </w:rPr>
            </w:pPr>
            <w:r w:rsidRPr="00B148B1">
              <w:rPr>
                <w:rFonts w:cs="Arial"/>
                <w:b/>
                <w:bCs/>
                <w:color w:val="000000"/>
                <w:sz w:val="18"/>
                <w:szCs w:val="18"/>
                <w:lang w:eastAsia="sl-SI"/>
              </w:rPr>
              <w:t>1.165,40</w:t>
            </w:r>
          </w:p>
        </w:tc>
      </w:tr>
    </w:tbl>
    <w:p w:rsidR="00B27859" w:rsidRPr="00B148B1" w:rsidRDefault="00B27859" w:rsidP="00C770E5">
      <w:pPr>
        <w:pStyle w:val="Naslov3"/>
      </w:pPr>
      <w:bookmarkStart w:id="173" w:name="_Toc50628109"/>
      <w:r w:rsidRPr="00B148B1">
        <w:t xml:space="preserve">Viri finančnih sredstev za izvedbo ukrepov na območju </w:t>
      </w:r>
      <w:r w:rsidR="008C6D60" w:rsidRPr="00B148B1">
        <w:t xml:space="preserve">zunaj </w:t>
      </w:r>
      <w:r w:rsidRPr="00B148B1">
        <w:t>meja aglomeracij</w:t>
      </w:r>
      <w:bookmarkEnd w:id="173"/>
    </w:p>
    <w:p w:rsidR="00651CD3" w:rsidRPr="00B148B1" w:rsidRDefault="00D16D2B" w:rsidP="00651CD3">
      <w:pPr>
        <w:tabs>
          <w:tab w:val="left" w:pos="9600"/>
        </w:tabs>
        <w:spacing w:before="120" w:line="280" w:lineRule="atLeast"/>
        <w:rPr>
          <w:rFonts w:cs="Arial"/>
          <w:szCs w:val="20"/>
        </w:rPr>
      </w:pPr>
      <w:r w:rsidRPr="00B148B1">
        <w:rPr>
          <w:rFonts w:cs="Arial"/>
          <w:szCs w:val="20"/>
        </w:rPr>
        <w:t>Izvedbo ukrepov na področju odvajanja in čiščenja komunalne odpadne vode iz objektov na območju</w:t>
      </w:r>
      <w:r w:rsidRPr="00960374">
        <w:rPr>
          <w:rFonts w:cs="Arial"/>
          <w:b/>
          <w:bCs/>
          <w:sz w:val="22"/>
          <w:szCs w:val="22"/>
        </w:rPr>
        <w:t xml:space="preserve">  </w:t>
      </w:r>
      <w:r w:rsidR="008C6D60" w:rsidRPr="00B148B1">
        <w:rPr>
          <w:rFonts w:cs="Arial"/>
          <w:szCs w:val="20"/>
        </w:rPr>
        <w:t xml:space="preserve">zunaj </w:t>
      </w:r>
      <w:r w:rsidRPr="00B148B1">
        <w:rPr>
          <w:rFonts w:cs="Arial"/>
          <w:szCs w:val="20"/>
        </w:rPr>
        <w:t xml:space="preserve">meja aglomeracij morajo zagotoviti lastniki teh objektov. </w:t>
      </w:r>
      <w:r w:rsidR="00651CD3" w:rsidRPr="00B148B1">
        <w:rPr>
          <w:rFonts w:cs="Arial"/>
          <w:szCs w:val="20"/>
        </w:rPr>
        <w:t>Ocenjena vrednost ukrepov iz tega operativnega programa, ki se nanašajo na opremljanje oziroma zagotovitev ustreznega načina odvajanja in čiščenja komunalnih odpadnih voda na območjih izven meja aglomeracij, znaša 216,9 milijona evrov.</w:t>
      </w:r>
    </w:p>
    <w:p w:rsidR="004A7406" w:rsidRPr="00B148B1" w:rsidRDefault="00D16D2B" w:rsidP="00D16D2B">
      <w:pPr>
        <w:tabs>
          <w:tab w:val="left" w:pos="9600"/>
        </w:tabs>
        <w:spacing w:before="120" w:line="280" w:lineRule="atLeast"/>
        <w:rPr>
          <w:rFonts w:cs="Arial"/>
          <w:szCs w:val="20"/>
        </w:rPr>
      </w:pPr>
      <w:r w:rsidRPr="00B148B1">
        <w:rPr>
          <w:rFonts w:cs="Arial"/>
          <w:szCs w:val="20"/>
        </w:rPr>
        <w:t xml:space="preserve">Finančna sredstva za izvedbo teh ukrepov morajo torej zagotavljati lastniki objektov sami. Posamezne občine za zagotovitev teh ukrepov ponujajo subvencije iz občinskih proračunov, </w:t>
      </w:r>
      <w:r w:rsidR="009D71FE" w:rsidRPr="00B148B1">
        <w:rPr>
          <w:rFonts w:cs="Arial"/>
          <w:szCs w:val="20"/>
        </w:rPr>
        <w:t>j</w:t>
      </w:r>
      <w:r w:rsidRPr="00B148B1">
        <w:rPr>
          <w:rFonts w:cs="Arial"/>
          <w:szCs w:val="20"/>
        </w:rPr>
        <w:t xml:space="preserve">avni sklad </w:t>
      </w:r>
      <w:proofErr w:type="spellStart"/>
      <w:r w:rsidRPr="00B148B1">
        <w:rPr>
          <w:rFonts w:cs="Arial"/>
          <w:szCs w:val="20"/>
        </w:rPr>
        <w:t>Eko</w:t>
      </w:r>
      <w:proofErr w:type="spellEnd"/>
      <w:r w:rsidR="009D71FE" w:rsidRPr="00B148B1">
        <w:rPr>
          <w:rFonts w:cs="Arial"/>
          <w:szCs w:val="20"/>
        </w:rPr>
        <w:t xml:space="preserve"> </w:t>
      </w:r>
      <w:r w:rsidRPr="00B148B1">
        <w:rPr>
          <w:rFonts w:cs="Arial"/>
          <w:szCs w:val="20"/>
        </w:rPr>
        <w:t xml:space="preserve">sklad pa za izvedbo teh ukrepov ponuja posojila po ugodnejši obrestni meri. </w:t>
      </w:r>
    </w:p>
    <w:p w:rsidR="004A7406" w:rsidRPr="00B148B1" w:rsidRDefault="004A7406">
      <w:pPr>
        <w:spacing w:after="200" w:line="276" w:lineRule="auto"/>
        <w:jc w:val="left"/>
        <w:rPr>
          <w:rFonts w:cs="Arial"/>
          <w:szCs w:val="20"/>
        </w:rPr>
      </w:pPr>
      <w:r w:rsidRPr="00B148B1">
        <w:rPr>
          <w:rFonts w:cs="Arial"/>
          <w:szCs w:val="20"/>
        </w:rPr>
        <w:br w:type="page"/>
      </w:r>
    </w:p>
    <w:p w:rsidR="00B27859" w:rsidRPr="00B148B1" w:rsidRDefault="00C770E5" w:rsidP="00F44F64">
      <w:pPr>
        <w:pStyle w:val="Naslov1"/>
      </w:pPr>
      <w:bookmarkStart w:id="174" w:name="_Toc50628110"/>
      <w:r w:rsidRPr="00B148B1">
        <w:lastRenderedPageBreak/>
        <w:t>POVZETEK NAČRTOVANIH UKREPOV</w:t>
      </w:r>
      <w:bookmarkEnd w:id="174"/>
      <w:r w:rsidRPr="00B148B1">
        <w:t xml:space="preserve"> </w:t>
      </w:r>
    </w:p>
    <w:p w:rsidR="00647A7E" w:rsidRPr="00B148B1" w:rsidRDefault="00647A7E" w:rsidP="00AD5123">
      <w:pPr>
        <w:pStyle w:val="Naslov2"/>
      </w:pPr>
      <w:bookmarkStart w:id="175" w:name="_Toc50628111"/>
      <w:r w:rsidRPr="00B148B1">
        <w:t>Povzetek načrtovanih ukrepov občin za obdobje 2018</w:t>
      </w:r>
      <w:r w:rsidR="00687162" w:rsidRPr="00B148B1">
        <w:t>–</w:t>
      </w:r>
      <w:r w:rsidRPr="00B148B1">
        <w:t>2028</w:t>
      </w:r>
      <w:bookmarkEnd w:id="175"/>
    </w:p>
    <w:p w:rsidR="00B27859" w:rsidRPr="00B148B1" w:rsidRDefault="00D331DE" w:rsidP="00B27859">
      <w:pPr>
        <w:tabs>
          <w:tab w:val="left" w:pos="9600"/>
        </w:tabs>
        <w:spacing w:before="120" w:line="280" w:lineRule="atLeast"/>
        <w:rPr>
          <w:rFonts w:cs="Arial"/>
          <w:szCs w:val="20"/>
        </w:rPr>
      </w:pPr>
      <w:r w:rsidRPr="00B148B1">
        <w:rPr>
          <w:rFonts w:cs="Arial"/>
          <w:szCs w:val="20"/>
        </w:rPr>
        <w:t xml:space="preserve">V skladu </w:t>
      </w:r>
      <w:r w:rsidR="00B27859" w:rsidRPr="00B148B1">
        <w:rPr>
          <w:rFonts w:cs="Arial"/>
          <w:szCs w:val="20"/>
        </w:rPr>
        <w:t xml:space="preserve">s predpisanimi zahtevami občine vsako leto do konca </w:t>
      </w:r>
      <w:r w:rsidR="007375CA" w:rsidRPr="00B148B1">
        <w:rPr>
          <w:rFonts w:cs="Arial"/>
          <w:szCs w:val="20"/>
        </w:rPr>
        <w:t xml:space="preserve">marca </w:t>
      </w:r>
      <w:r w:rsidR="00B27859" w:rsidRPr="00B148B1">
        <w:rPr>
          <w:rFonts w:cs="Arial"/>
          <w:szCs w:val="20"/>
        </w:rPr>
        <w:t xml:space="preserve">v IJSVO </w:t>
      </w:r>
      <w:r w:rsidRPr="00B148B1">
        <w:rPr>
          <w:rFonts w:cs="Arial"/>
          <w:szCs w:val="20"/>
        </w:rPr>
        <w:t>s</w:t>
      </w:r>
      <w:r w:rsidR="00B27859" w:rsidRPr="00B148B1">
        <w:rPr>
          <w:rFonts w:cs="Arial"/>
          <w:szCs w:val="20"/>
        </w:rPr>
        <w:t>poroč</w:t>
      </w:r>
      <w:r w:rsidRPr="00B148B1">
        <w:rPr>
          <w:rFonts w:cs="Arial"/>
          <w:szCs w:val="20"/>
        </w:rPr>
        <w:t>i</w:t>
      </w:r>
      <w:r w:rsidR="00B27859" w:rsidRPr="00B148B1">
        <w:rPr>
          <w:rFonts w:cs="Arial"/>
          <w:szCs w:val="20"/>
        </w:rPr>
        <w:t xml:space="preserve">jo podatke o: </w:t>
      </w:r>
    </w:p>
    <w:p w:rsidR="00B27859" w:rsidRPr="00B148B1" w:rsidRDefault="00B27859" w:rsidP="004C2581">
      <w:pPr>
        <w:numPr>
          <w:ilvl w:val="0"/>
          <w:numId w:val="21"/>
        </w:numPr>
        <w:tabs>
          <w:tab w:val="left" w:pos="9600"/>
        </w:tabs>
        <w:spacing w:before="120" w:line="280" w:lineRule="atLeast"/>
        <w:ind w:left="357" w:hanging="357"/>
        <w:rPr>
          <w:rFonts w:cs="Arial"/>
          <w:szCs w:val="20"/>
        </w:rPr>
      </w:pPr>
      <w:r w:rsidRPr="00B148B1">
        <w:rPr>
          <w:rFonts w:cs="Arial"/>
          <w:szCs w:val="20"/>
        </w:rPr>
        <w:t xml:space="preserve">izvedenih ukrepih za zagotavljanje predpisanih oskrbovalnih standardov, in sicer datum zaključka (datum začetka poskusnega obratovanja, če je zahtevano, oziroma datum začetka obratovanja) in strošek investicije, ločeno za javno kanalizacijsko omrežje ter komunalno čistilno napravo in na aglomeracijo, in </w:t>
      </w:r>
    </w:p>
    <w:p w:rsidR="00B27859" w:rsidRPr="00B148B1" w:rsidRDefault="00B27859" w:rsidP="004C2581">
      <w:pPr>
        <w:numPr>
          <w:ilvl w:val="0"/>
          <w:numId w:val="21"/>
        </w:numPr>
        <w:tabs>
          <w:tab w:val="left" w:pos="9600"/>
        </w:tabs>
        <w:spacing w:before="120" w:line="280" w:lineRule="atLeast"/>
        <w:ind w:left="357" w:hanging="357"/>
        <w:rPr>
          <w:rFonts w:cs="Arial"/>
          <w:szCs w:val="20"/>
        </w:rPr>
      </w:pPr>
      <w:r w:rsidRPr="00B148B1">
        <w:rPr>
          <w:rFonts w:cs="Arial"/>
          <w:szCs w:val="20"/>
        </w:rPr>
        <w:t>načrtovanih in tekočih ukrepih za zagotavljanje predpisanih oskrbovalnih standardov, če ti še niso doseženi, in sicer predvideni datum opremljenosti in predvideni strošek investicije, ločeno za javno kanalizacijsko omrežje ter komunalno čistilno napravo in na aglomeracijo.</w:t>
      </w:r>
    </w:p>
    <w:p w:rsidR="00B27859" w:rsidRPr="00B148B1" w:rsidRDefault="00D331DE" w:rsidP="00B27859">
      <w:pPr>
        <w:tabs>
          <w:tab w:val="left" w:pos="9600"/>
        </w:tabs>
        <w:spacing w:before="120" w:line="280" w:lineRule="atLeast"/>
        <w:rPr>
          <w:rFonts w:cs="Arial"/>
          <w:szCs w:val="20"/>
        </w:rPr>
      </w:pPr>
      <w:r w:rsidRPr="00B148B1">
        <w:rPr>
          <w:rFonts w:cs="Arial"/>
          <w:szCs w:val="20"/>
        </w:rPr>
        <w:t>Sp</w:t>
      </w:r>
      <w:r w:rsidR="00B27859" w:rsidRPr="00B148B1">
        <w:rPr>
          <w:rFonts w:cs="Arial"/>
          <w:szCs w:val="20"/>
        </w:rPr>
        <w:t>oroč</w:t>
      </w:r>
      <w:r w:rsidRPr="00B148B1">
        <w:rPr>
          <w:rFonts w:cs="Arial"/>
          <w:szCs w:val="20"/>
        </w:rPr>
        <w:t>e</w:t>
      </w:r>
      <w:r w:rsidR="00B27859" w:rsidRPr="00B148B1">
        <w:rPr>
          <w:rFonts w:cs="Arial"/>
          <w:szCs w:val="20"/>
        </w:rPr>
        <w:t>ni podatki se nanašajo na aglomeracije iz predhodnega operativnega programa in na referenčni datum za poročanje, t.</w:t>
      </w:r>
      <w:r w:rsidR="006C5A85" w:rsidRPr="00B148B1">
        <w:rPr>
          <w:rFonts w:cs="Arial"/>
          <w:szCs w:val="20"/>
        </w:rPr>
        <w:t xml:space="preserve"> </w:t>
      </w:r>
      <w:r w:rsidR="00B27859" w:rsidRPr="00B148B1">
        <w:rPr>
          <w:rFonts w:cs="Arial"/>
          <w:szCs w:val="20"/>
        </w:rPr>
        <w:t>j. 31. december 201</w:t>
      </w:r>
      <w:r w:rsidR="00CF48F3" w:rsidRPr="00B148B1">
        <w:rPr>
          <w:rFonts w:cs="Arial"/>
          <w:szCs w:val="20"/>
        </w:rPr>
        <w:t>8</w:t>
      </w:r>
      <w:r w:rsidR="00B27859" w:rsidRPr="00B148B1">
        <w:rPr>
          <w:rFonts w:cs="Arial"/>
          <w:szCs w:val="20"/>
        </w:rPr>
        <w:t>. Po podatkih IJSVO občine za obdobje 2018</w:t>
      </w:r>
      <w:r w:rsidR="005A0852" w:rsidRPr="00B148B1">
        <w:rPr>
          <w:rFonts w:cs="Arial"/>
          <w:color w:val="7D7D7D"/>
          <w:szCs w:val="20"/>
          <w:shd w:val="clear" w:color="auto" w:fill="FFFFFF"/>
        </w:rPr>
        <w:t>–</w:t>
      </w:r>
      <w:r w:rsidR="00B27859" w:rsidRPr="00B148B1">
        <w:rPr>
          <w:rFonts w:cs="Arial"/>
          <w:szCs w:val="20"/>
        </w:rPr>
        <w:t>2028 načrtujejo izvedbo več ukrepov oziroma projektov, skupna ocenjena vrednost finančnih sredstev, potrebnih za njihovo izvedbo, pa znaša</w:t>
      </w:r>
      <w:r w:rsidR="009A3DD8" w:rsidRPr="00B148B1">
        <w:rPr>
          <w:rFonts w:cs="Arial"/>
          <w:szCs w:val="20"/>
        </w:rPr>
        <w:t xml:space="preserve"> </w:t>
      </w:r>
      <w:r w:rsidR="000D2BCA" w:rsidRPr="00B148B1">
        <w:rPr>
          <w:rFonts w:cs="Arial"/>
          <w:szCs w:val="20"/>
        </w:rPr>
        <w:t>702,2 milijona e</w:t>
      </w:r>
      <w:r w:rsidR="00A24A99" w:rsidRPr="00B148B1">
        <w:rPr>
          <w:rFonts w:cs="Arial"/>
          <w:szCs w:val="20"/>
        </w:rPr>
        <w:t>v</w:t>
      </w:r>
      <w:r w:rsidR="000D2BCA" w:rsidRPr="00B148B1">
        <w:rPr>
          <w:rFonts w:cs="Arial"/>
          <w:szCs w:val="20"/>
        </w:rPr>
        <w:t>rov.</w:t>
      </w:r>
      <w:r w:rsidR="00B27859" w:rsidRPr="00B148B1">
        <w:rPr>
          <w:rFonts w:cs="Arial"/>
          <w:szCs w:val="20"/>
        </w:rPr>
        <w:t xml:space="preserve"> Od tega se finančna sredstva, potrebna za izgradnjo javnih kanalizacijskih omrežij, ocenjuje na </w:t>
      </w:r>
      <w:r w:rsidR="000D2BCA" w:rsidRPr="00B148B1">
        <w:rPr>
          <w:rFonts w:cs="Arial"/>
          <w:szCs w:val="20"/>
        </w:rPr>
        <w:t>572,3</w:t>
      </w:r>
      <w:r w:rsidR="00B27859" w:rsidRPr="00B148B1">
        <w:rPr>
          <w:rFonts w:cs="Arial"/>
          <w:szCs w:val="20"/>
        </w:rPr>
        <w:t xml:space="preserve"> milijon</w:t>
      </w:r>
      <w:r w:rsidR="00E4153F" w:rsidRPr="00B148B1">
        <w:rPr>
          <w:rFonts w:cs="Arial"/>
          <w:szCs w:val="20"/>
        </w:rPr>
        <w:t>a</w:t>
      </w:r>
      <w:r w:rsidR="00B27859" w:rsidRPr="00B148B1">
        <w:rPr>
          <w:rFonts w:cs="Arial"/>
          <w:szCs w:val="20"/>
        </w:rPr>
        <w:t xml:space="preserve"> e</w:t>
      </w:r>
      <w:r w:rsidR="00A24A99" w:rsidRPr="00B148B1">
        <w:rPr>
          <w:rFonts w:cs="Arial"/>
          <w:szCs w:val="20"/>
        </w:rPr>
        <w:t>v</w:t>
      </w:r>
      <w:r w:rsidR="00B27859" w:rsidRPr="00B148B1">
        <w:rPr>
          <w:rFonts w:cs="Arial"/>
          <w:szCs w:val="20"/>
        </w:rPr>
        <w:t>rov, finančna sredstva za izgradnjo oziroma nadgradnjo komunalnih čistilnih naprav pa na 1</w:t>
      </w:r>
      <w:r w:rsidR="000D2BCA" w:rsidRPr="00B148B1">
        <w:rPr>
          <w:rFonts w:cs="Arial"/>
          <w:szCs w:val="20"/>
        </w:rPr>
        <w:t>29,9</w:t>
      </w:r>
      <w:r w:rsidR="00B27859" w:rsidRPr="00B148B1">
        <w:rPr>
          <w:rFonts w:cs="Arial"/>
          <w:szCs w:val="20"/>
        </w:rPr>
        <w:t xml:space="preserve"> milijon</w:t>
      </w:r>
      <w:r w:rsidR="00E4153F" w:rsidRPr="00B148B1">
        <w:rPr>
          <w:rFonts w:cs="Arial"/>
          <w:szCs w:val="20"/>
        </w:rPr>
        <w:t>a</w:t>
      </w:r>
      <w:r w:rsidR="00B27859" w:rsidRPr="00B148B1">
        <w:rPr>
          <w:rFonts w:cs="Arial"/>
          <w:szCs w:val="20"/>
        </w:rPr>
        <w:t xml:space="preserve"> e</w:t>
      </w:r>
      <w:r w:rsidR="00A24A99" w:rsidRPr="00B148B1">
        <w:rPr>
          <w:rFonts w:cs="Arial"/>
          <w:szCs w:val="20"/>
        </w:rPr>
        <w:t>v</w:t>
      </w:r>
      <w:r w:rsidR="00B27859" w:rsidRPr="00B148B1">
        <w:rPr>
          <w:rFonts w:cs="Arial"/>
          <w:szCs w:val="20"/>
        </w:rPr>
        <w:t>rov (vrednosti so podane brez davka na dodano vrednost).</w:t>
      </w:r>
    </w:p>
    <w:p w:rsidR="00B27859" w:rsidRPr="00B148B1" w:rsidRDefault="00B27859" w:rsidP="00B27859">
      <w:pPr>
        <w:tabs>
          <w:tab w:val="left" w:pos="851"/>
          <w:tab w:val="left" w:pos="1418"/>
          <w:tab w:val="left" w:pos="9600"/>
        </w:tabs>
        <w:spacing w:before="120" w:line="280" w:lineRule="atLeast"/>
        <w:rPr>
          <w:rFonts w:cs="Arial"/>
          <w:szCs w:val="20"/>
        </w:rPr>
      </w:pPr>
      <w:r w:rsidRPr="00B148B1">
        <w:rPr>
          <w:rFonts w:cs="Arial"/>
          <w:szCs w:val="20"/>
        </w:rPr>
        <w:t>V aglomeracijah s skupno obremenitvijo, enako ali večjo od 2.000 PE, znaša predvideni oziroma ocenjeni znesek finančnih sredstev, potrebnih za izvedbo projektov v obdobju 2018</w:t>
      </w:r>
      <w:r w:rsidR="00D43A05" w:rsidRPr="00B148B1">
        <w:rPr>
          <w:rFonts w:cs="Arial"/>
          <w:color w:val="202122"/>
          <w:sz w:val="21"/>
          <w:szCs w:val="21"/>
          <w:shd w:val="clear" w:color="auto" w:fill="FFFFFF"/>
        </w:rPr>
        <w:t>–</w:t>
      </w:r>
      <w:r w:rsidRPr="00B148B1">
        <w:rPr>
          <w:rFonts w:cs="Arial"/>
          <w:szCs w:val="20"/>
        </w:rPr>
        <w:t xml:space="preserve">2028, </w:t>
      </w:r>
      <w:r w:rsidR="00D43A05" w:rsidRPr="00B148B1">
        <w:rPr>
          <w:rFonts w:cs="Arial"/>
          <w:szCs w:val="20"/>
        </w:rPr>
        <w:t>približno</w:t>
      </w:r>
      <w:r w:rsidR="00774ED0" w:rsidRPr="00B148B1">
        <w:rPr>
          <w:rFonts w:cs="Arial"/>
          <w:szCs w:val="20"/>
        </w:rPr>
        <w:t xml:space="preserve"> </w:t>
      </w:r>
      <w:r w:rsidR="000D2BCA" w:rsidRPr="00B148B1">
        <w:rPr>
          <w:rFonts w:cs="Arial"/>
          <w:szCs w:val="20"/>
        </w:rPr>
        <w:t>425,7</w:t>
      </w:r>
      <w:r w:rsidRPr="00B148B1">
        <w:rPr>
          <w:rFonts w:cs="Arial"/>
          <w:szCs w:val="20"/>
        </w:rPr>
        <w:t xml:space="preserve"> milijon</w:t>
      </w:r>
      <w:r w:rsidR="001A5E60" w:rsidRPr="00B148B1">
        <w:rPr>
          <w:rFonts w:cs="Arial"/>
          <w:szCs w:val="20"/>
        </w:rPr>
        <w:t>a</w:t>
      </w:r>
      <w:r w:rsidRPr="00B148B1">
        <w:rPr>
          <w:rFonts w:cs="Arial"/>
          <w:szCs w:val="20"/>
        </w:rPr>
        <w:t xml:space="preserve"> e</w:t>
      </w:r>
      <w:r w:rsidR="00774ED0" w:rsidRPr="00B148B1">
        <w:rPr>
          <w:rFonts w:cs="Arial"/>
          <w:szCs w:val="20"/>
        </w:rPr>
        <w:t>v</w:t>
      </w:r>
      <w:r w:rsidRPr="00B148B1">
        <w:rPr>
          <w:rFonts w:cs="Arial"/>
          <w:szCs w:val="20"/>
        </w:rPr>
        <w:t>rov. Od tega se za gradnjo (novogradnjo in rekonstrukcijo) in vzdrževanje javnega kanalizacijskega omrežja potrebna finančna sredstva ocenjuje</w:t>
      </w:r>
      <w:r w:rsidR="00D43A05" w:rsidRPr="00B148B1">
        <w:rPr>
          <w:rFonts w:cs="Arial"/>
          <w:szCs w:val="20"/>
        </w:rPr>
        <w:t>jo</w:t>
      </w:r>
      <w:r w:rsidRPr="00B148B1">
        <w:rPr>
          <w:rFonts w:cs="Arial"/>
          <w:szCs w:val="20"/>
        </w:rPr>
        <w:t xml:space="preserve"> na </w:t>
      </w:r>
      <w:r w:rsidR="000D2BCA" w:rsidRPr="00B148B1">
        <w:rPr>
          <w:rFonts w:cs="Arial"/>
          <w:szCs w:val="20"/>
        </w:rPr>
        <w:t>332,1</w:t>
      </w:r>
      <w:r w:rsidRPr="00B148B1">
        <w:rPr>
          <w:rFonts w:cs="Arial"/>
          <w:szCs w:val="20"/>
        </w:rPr>
        <w:t xml:space="preserve"> milijon</w:t>
      </w:r>
      <w:r w:rsidR="001A5E60" w:rsidRPr="00B148B1">
        <w:rPr>
          <w:rFonts w:cs="Arial"/>
          <w:szCs w:val="20"/>
        </w:rPr>
        <w:t>a</w:t>
      </w:r>
      <w:r w:rsidRPr="00B148B1">
        <w:rPr>
          <w:rFonts w:cs="Arial"/>
          <w:szCs w:val="20"/>
        </w:rPr>
        <w:t xml:space="preserve"> e</w:t>
      </w:r>
      <w:r w:rsidR="00BC7154" w:rsidRPr="00B148B1">
        <w:rPr>
          <w:rFonts w:cs="Arial"/>
          <w:szCs w:val="20"/>
        </w:rPr>
        <w:t>v</w:t>
      </w:r>
      <w:r w:rsidRPr="00B148B1">
        <w:rPr>
          <w:rFonts w:cs="Arial"/>
          <w:szCs w:val="20"/>
        </w:rPr>
        <w:t xml:space="preserve">rov, za gradnjo in vzdrževanje komunalnih čistilnih naprav pa na </w:t>
      </w:r>
      <w:r w:rsidR="000D2BCA" w:rsidRPr="00B148B1">
        <w:rPr>
          <w:rFonts w:cs="Arial"/>
          <w:szCs w:val="20"/>
        </w:rPr>
        <w:t>93</w:t>
      </w:r>
      <w:r w:rsidRPr="00B148B1">
        <w:rPr>
          <w:rFonts w:cs="Arial"/>
          <w:szCs w:val="20"/>
        </w:rPr>
        <w:t>,</w:t>
      </w:r>
      <w:r w:rsidR="000D2BCA" w:rsidRPr="00B148B1">
        <w:rPr>
          <w:rFonts w:cs="Arial"/>
          <w:szCs w:val="20"/>
        </w:rPr>
        <w:t>6</w:t>
      </w:r>
      <w:r w:rsidRPr="00B148B1">
        <w:rPr>
          <w:rFonts w:cs="Arial"/>
          <w:szCs w:val="20"/>
        </w:rPr>
        <w:t xml:space="preserve"> milijon</w:t>
      </w:r>
      <w:r w:rsidR="001A5E60" w:rsidRPr="00B148B1">
        <w:rPr>
          <w:rFonts w:cs="Arial"/>
          <w:szCs w:val="20"/>
        </w:rPr>
        <w:t>a</w:t>
      </w:r>
      <w:r w:rsidRPr="00B148B1">
        <w:rPr>
          <w:rFonts w:cs="Arial"/>
          <w:szCs w:val="20"/>
        </w:rPr>
        <w:t xml:space="preserve"> e</w:t>
      </w:r>
      <w:r w:rsidR="00BC7154" w:rsidRPr="00B148B1">
        <w:rPr>
          <w:rFonts w:cs="Arial"/>
          <w:szCs w:val="20"/>
        </w:rPr>
        <w:t>v</w:t>
      </w:r>
      <w:r w:rsidRPr="00B148B1">
        <w:rPr>
          <w:rFonts w:cs="Arial"/>
          <w:szCs w:val="20"/>
        </w:rPr>
        <w:t xml:space="preserve">rov. </w:t>
      </w:r>
    </w:p>
    <w:p w:rsidR="00B27859" w:rsidRPr="00B148B1" w:rsidRDefault="00B27859" w:rsidP="00226794">
      <w:pPr>
        <w:tabs>
          <w:tab w:val="left" w:pos="851"/>
          <w:tab w:val="left" w:pos="1418"/>
          <w:tab w:val="left" w:pos="9600"/>
        </w:tabs>
        <w:spacing w:before="120" w:line="280" w:lineRule="atLeast"/>
        <w:rPr>
          <w:rFonts w:cs="Arial"/>
          <w:szCs w:val="20"/>
        </w:rPr>
      </w:pPr>
      <w:r w:rsidRPr="00B148B1">
        <w:rPr>
          <w:rFonts w:cs="Arial"/>
          <w:szCs w:val="20"/>
        </w:rPr>
        <w:t>V aglomeracijah s skupno obremenitvijo, manjšo od 2.000 PE, znaša predvideni oziroma ocenjeni znesek finančnih sredstev, potrebnih za izvedbo projektov v obdobju 2018</w:t>
      </w:r>
      <w:r w:rsidR="001557E7" w:rsidRPr="00B148B1">
        <w:rPr>
          <w:rFonts w:cs="Arial"/>
          <w:color w:val="202122"/>
          <w:szCs w:val="20"/>
          <w:shd w:val="clear" w:color="auto" w:fill="FFFFFF"/>
        </w:rPr>
        <w:t>–</w:t>
      </w:r>
      <w:r w:rsidRPr="00B148B1">
        <w:rPr>
          <w:rFonts w:cs="Arial"/>
          <w:szCs w:val="20"/>
        </w:rPr>
        <w:t xml:space="preserve">2028, </w:t>
      </w:r>
      <w:r w:rsidR="001557E7" w:rsidRPr="00B148B1">
        <w:rPr>
          <w:rFonts w:cs="Arial"/>
          <w:szCs w:val="20"/>
        </w:rPr>
        <w:t xml:space="preserve">približno </w:t>
      </w:r>
      <w:r w:rsidRPr="00B148B1">
        <w:rPr>
          <w:rFonts w:cs="Arial"/>
          <w:szCs w:val="20"/>
        </w:rPr>
        <w:t>2</w:t>
      </w:r>
      <w:r w:rsidR="004237A2" w:rsidRPr="00B148B1">
        <w:rPr>
          <w:rFonts w:cs="Arial"/>
          <w:szCs w:val="20"/>
        </w:rPr>
        <w:t>76,6</w:t>
      </w:r>
      <w:r w:rsidRPr="00B148B1">
        <w:rPr>
          <w:rFonts w:cs="Arial"/>
          <w:szCs w:val="20"/>
        </w:rPr>
        <w:t xml:space="preserve"> milijon</w:t>
      </w:r>
      <w:r w:rsidR="001A5E60" w:rsidRPr="00B148B1">
        <w:rPr>
          <w:rFonts w:cs="Arial"/>
          <w:szCs w:val="20"/>
        </w:rPr>
        <w:t>a</w:t>
      </w:r>
      <w:r w:rsidRPr="00B148B1">
        <w:rPr>
          <w:rFonts w:cs="Arial"/>
          <w:szCs w:val="20"/>
        </w:rPr>
        <w:t xml:space="preserve"> e</w:t>
      </w:r>
      <w:r w:rsidR="00774ED0" w:rsidRPr="00B148B1">
        <w:rPr>
          <w:rFonts w:cs="Arial"/>
          <w:szCs w:val="20"/>
        </w:rPr>
        <w:t>v</w:t>
      </w:r>
      <w:r w:rsidRPr="00B148B1">
        <w:rPr>
          <w:rFonts w:cs="Arial"/>
          <w:szCs w:val="20"/>
        </w:rPr>
        <w:t>rov. Od tega se za gradnjo (novogradnjo in rekonstrukcijo) in vzdrževanje javnega kanalizacijskega omrežja potrebna finančna sredstva ocen</w:t>
      </w:r>
      <w:r w:rsidR="00172A1B" w:rsidRPr="00B148B1">
        <w:rPr>
          <w:rFonts w:cs="Arial"/>
          <w:szCs w:val="20"/>
        </w:rPr>
        <w:t>juje</w:t>
      </w:r>
      <w:r w:rsidR="001557E7" w:rsidRPr="00B148B1">
        <w:rPr>
          <w:rFonts w:cs="Arial"/>
          <w:szCs w:val="20"/>
        </w:rPr>
        <w:t>jo</w:t>
      </w:r>
      <w:r w:rsidR="00172A1B" w:rsidRPr="00B148B1">
        <w:rPr>
          <w:rFonts w:cs="Arial"/>
          <w:szCs w:val="20"/>
        </w:rPr>
        <w:t xml:space="preserve"> na </w:t>
      </w:r>
      <w:r w:rsidR="004237A2" w:rsidRPr="00B148B1">
        <w:rPr>
          <w:rFonts w:cs="Arial"/>
          <w:szCs w:val="20"/>
        </w:rPr>
        <w:t>240</w:t>
      </w:r>
      <w:r w:rsidR="00172A1B" w:rsidRPr="00B148B1">
        <w:rPr>
          <w:rFonts w:cs="Arial"/>
          <w:szCs w:val="20"/>
        </w:rPr>
        <w:t>,2 milijon</w:t>
      </w:r>
      <w:r w:rsidR="001A5E60" w:rsidRPr="00B148B1">
        <w:rPr>
          <w:rFonts w:cs="Arial"/>
          <w:szCs w:val="20"/>
        </w:rPr>
        <w:t>a</w:t>
      </w:r>
      <w:r w:rsidR="00172A1B" w:rsidRPr="00B148B1">
        <w:rPr>
          <w:rFonts w:cs="Arial"/>
          <w:szCs w:val="20"/>
        </w:rPr>
        <w:t xml:space="preserve"> e</w:t>
      </w:r>
      <w:r w:rsidR="00774ED0" w:rsidRPr="00B148B1">
        <w:rPr>
          <w:rFonts w:cs="Arial"/>
          <w:szCs w:val="20"/>
        </w:rPr>
        <w:t>v</w:t>
      </w:r>
      <w:r w:rsidR="00172A1B" w:rsidRPr="00B148B1">
        <w:rPr>
          <w:rFonts w:cs="Arial"/>
          <w:szCs w:val="20"/>
        </w:rPr>
        <w:t>rov,</w:t>
      </w:r>
      <w:r w:rsidRPr="00B148B1">
        <w:rPr>
          <w:rFonts w:cs="Arial"/>
          <w:szCs w:val="20"/>
        </w:rPr>
        <w:t xml:space="preserve"> za gradnjo in vzdrževanje komunalnih čistilnih naprav </w:t>
      </w:r>
      <w:r w:rsidR="005A78D3" w:rsidRPr="00B148B1">
        <w:rPr>
          <w:rFonts w:cs="Arial"/>
          <w:szCs w:val="20"/>
        </w:rPr>
        <w:t xml:space="preserve">pa </w:t>
      </w:r>
      <w:r w:rsidR="00226794" w:rsidRPr="00B148B1">
        <w:rPr>
          <w:rFonts w:cs="Arial"/>
          <w:szCs w:val="20"/>
        </w:rPr>
        <w:t xml:space="preserve">na </w:t>
      </w:r>
      <w:r w:rsidR="004237A2" w:rsidRPr="00B148B1">
        <w:rPr>
          <w:rFonts w:cs="Arial"/>
          <w:szCs w:val="20"/>
        </w:rPr>
        <w:t>36</w:t>
      </w:r>
      <w:r w:rsidR="00226794" w:rsidRPr="00B148B1">
        <w:rPr>
          <w:rFonts w:cs="Arial"/>
          <w:szCs w:val="20"/>
        </w:rPr>
        <w:t>,</w:t>
      </w:r>
      <w:r w:rsidR="004237A2" w:rsidRPr="00B148B1">
        <w:rPr>
          <w:rFonts w:cs="Arial"/>
          <w:szCs w:val="20"/>
        </w:rPr>
        <w:t>4</w:t>
      </w:r>
      <w:r w:rsidR="00226794" w:rsidRPr="00B148B1">
        <w:rPr>
          <w:rFonts w:cs="Arial"/>
          <w:szCs w:val="20"/>
        </w:rPr>
        <w:t xml:space="preserve"> milijon</w:t>
      </w:r>
      <w:r w:rsidR="001A5E60" w:rsidRPr="00B148B1">
        <w:rPr>
          <w:rFonts w:cs="Arial"/>
          <w:szCs w:val="20"/>
        </w:rPr>
        <w:t>a</w:t>
      </w:r>
      <w:r w:rsidR="00226794" w:rsidRPr="00B148B1">
        <w:rPr>
          <w:rFonts w:cs="Arial"/>
          <w:szCs w:val="20"/>
        </w:rPr>
        <w:t xml:space="preserve"> e</w:t>
      </w:r>
      <w:r w:rsidR="00774ED0" w:rsidRPr="00B148B1">
        <w:rPr>
          <w:rFonts w:cs="Arial"/>
          <w:szCs w:val="20"/>
        </w:rPr>
        <w:t>v</w:t>
      </w:r>
      <w:r w:rsidR="00226794" w:rsidRPr="00B148B1">
        <w:rPr>
          <w:rFonts w:cs="Arial"/>
          <w:szCs w:val="20"/>
        </w:rPr>
        <w:t>rov.</w:t>
      </w:r>
    </w:p>
    <w:p w:rsidR="006F16CD" w:rsidRPr="00B148B1" w:rsidRDefault="006F16CD" w:rsidP="008A1211">
      <w:pPr>
        <w:tabs>
          <w:tab w:val="left" w:pos="851"/>
          <w:tab w:val="left" w:pos="1418"/>
          <w:tab w:val="left" w:pos="9600"/>
        </w:tabs>
        <w:spacing w:line="280" w:lineRule="atLeast"/>
        <w:rPr>
          <w:rFonts w:cs="Arial"/>
          <w:szCs w:val="20"/>
        </w:rPr>
      </w:pPr>
    </w:p>
    <w:p w:rsidR="008A1211" w:rsidRPr="00B148B1" w:rsidRDefault="00B27859" w:rsidP="008A1211">
      <w:pPr>
        <w:tabs>
          <w:tab w:val="left" w:pos="851"/>
          <w:tab w:val="left" w:pos="1418"/>
          <w:tab w:val="left" w:pos="9600"/>
        </w:tabs>
        <w:spacing w:line="280" w:lineRule="atLeast"/>
        <w:rPr>
          <w:rFonts w:cs="Arial"/>
          <w:szCs w:val="20"/>
        </w:rPr>
      </w:pPr>
      <w:r w:rsidRPr="00B148B1">
        <w:rPr>
          <w:rFonts w:cs="Arial"/>
          <w:szCs w:val="20"/>
        </w:rPr>
        <w:t>Predvidena poraba sredstev po posameznih letih v obdobju 2018</w:t>
      </w:r>
      <w:r w:rsidR="00774ED0" w:rsidRPr="00B148B1">
        <w:rPr>
          <w:rFonts w:cs="Arial"/>
          <w:color w:val="202122"/>
          <w:szCs w:val="20"/>
          <w:shd w:val="clear" w:color="auto" w:fill="FFFFFF"/>
        </w:rPr>
        <w:t>–</w:t>
      </w:r>
      <w:r w:rsidR="001036A6" w:rsidRPr="00B148B1">
        <w:rPr>
          <w:rFonts w:cs="Arial"/>
          <w:szCs w:val="20"/>
        </w:rPr>
        <w:t xml:space="preserve">2028 je prikazana na grafikonu </w:t>
      </w:r>
      <w:bookmarkStart w:id="176" w:name="_Ref530505188"/>
      <w:r w:rsidR="00226794" w:rsidRPr="00B148B1">
        <w:rPr>
          <w:rFonts w:cs="Arial"/>
          <w:szCs w:val="20"/>
        </w:rPr>
        <w:t>(</w:t>
      </w:r>
      <w:r w:rsidR="00226794" w:rsidRPr="00B148B1">
        <w:rPr>
          <w:rFonts w:cs="Arial"/>
          <w:szCs w:val="20"/>
        </w:rPr>
        <w:fldChar w:fldCharType="begin"/>
      </w:r>
      <w:r w:rsidR="00226794" w:rsidRPr="00B148B1">
        <w:rPr>
          <w:rFonts w:cs="Arial"/>
          <w:szCs w:val="20"/>
        </w:rPr>
        <w:instrText xml:space="preserve"> REF _Ref13573015 \h </w:instrText>
      </w:r>
      <w:r w:rsidR="00626ADB" w:rsidRPr="00B148B1">
        <w:rPr>
          <w:rFonts w:cs="Arial"/>
          <w:szCs w:val="20"/>
        </w:rPr>
        <w:instrText xml:space="preserve"> \* MERGEFORMAT </w:instrText>
      </w:r>
      <w:r w:rsidR="00226794" w:rsidRPr="00B148B1">
        <w:rPr>
          <w:rFonts w:cs="Arial"/>
          <w:szCs w:val="20"/>
        </w:rPr>
      </w:r>
      <w:r w:rsidR="00226794" w:rsidRPr="00B148B1">
        <w:rPr>
          <w:rFonts w:cs="Arial"/>
          <w:szCs w:val="20"/>
        </w:rPr>
        <w:fldChar w:fldCharType="separate"/>
      </w:r>
      <w:r w:rsidR="00E92793" w:rsidRPr="00E92793">
        <w:rPr>
          <w:rFonts w:cs="Arial"/>
        </w:rPr>
        <w:t xml:space="preserve">Grafikon </w:t>
      </w:r>
      <w:r w:rsidR="00E92793" w:rsidRPr="00E92793">
        <w:rPr>
          <w:rFonts w:cs="Arial"/>
          <w:noProof/>
        </w:rPr>
        <w:t>7</w:t>
      </w:r>
      <w:r w:rsidR="00226794" w:rsidRPr="00B148B1">
        <w:rPr>
          <w:rFonts w:cs="Arial"/>
          <w:szCs w:val="20"/>
        </w:rPr>
        <w:fldChar w:fldCharType="end"/>
      </w:r>
      <w:r w:rsidR="00226794" w:rsidRPr="00B148B1">
        <w:rPr>
          <w:rFonts w:cs="Arial"/>
          <w:szCs w:val="20"/>
        </w:rPr>
        <w:t>)</w:t>
      </w:r>
      <w:bookmarkStart w:id="177" w:name="_Ref13147724"/>
      <w:bookmarkEnd w:id="176"/>
      <w:r w:rsidR="00303B4A">
        <w:rPr>
          <w:rFonts w:cs="Arial"/>
          <w:szCs w:val="20"/>
        </w:rPr>
        <w:t>.</w:t>
      </w:r>
    </w:p>
    <w:p w:rsidR="005A0852" w:rsidRPr="00B148B1" w:rsidRDefault="00DC739F" w:rsidP="008A1211">
      <w:pPr>
        <w:tabs>
          <w:tab w:val="left" w:pos="851"/>
          <w:tab w:val="left" w:pos="1418"/>
          <w:tab w:val="left" w:pos="9600"/>
        </w:tabs>
        <w:spacing w:line="280" w:lineRule="atLeast"/>
        <w:rPr>
          <w:rFonts w:cs="Arial"/>
          <w:szCs w:val="20"/>
        </w:rPr>
      </w:pPr>
      <w:r w:rsidRPr="00B148B1">
        <w:rPr>
          <w:noProof/>
          <w:lang w:eastAsia="sl-SI"/>
        </w:rPr>
        <w:drawing>
          <wp:inline distT="0" distB="0" distL="0" distR="0" wp14:anchorId="2D971F6B" wp14:editId="199D1095">
            <wp:extent cx="5857336" cy="2372264"/>
            <wp:effectExtent l="0" t="0" r="0" b="0"/>
            <wp:docPr id="3" name="Grafikon 3" descr="Ocena finančnih sredstev za zagotavljanje predpisane opremljenosti aglomeracij " title="Ocena finančnih sredstev za zagotavljanje predpisane opremljenosti aglomeracij "/>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5535D3" w:rsidRPr="00B148B1" w:rsidRDefault="005535D3" w:rsidP="005535D3">
      <w:pPr>
        <w:pStyle w:val="Napis"/>
        <w:rPr>
          <w:rFonts w:ascii="Arial" w:hAnsi="Arial" w:cs="Arial"/>
          <w:b w:val="0"/>
          <w:lang w:val="sl-SI"/>
        </w:rPr>
      </w:pPr>
      <w:bookmarkStart w:id="178" w:name="_Ref13573015"/>
      <w:bookmarkStart w:id="179" w:name="_Toc50627614"/>
      <w:r w:rsidRPr="00B148B1">
        <w:rPr>
          <w:rFonts w:ascii="Arial" w:hAnsi="Arial" w:cs="Arial"/>
          <w:b w:val="0"/>
          <w:lang w:val="sl-SI"/>
        </w:rPr>
        <w:t xml:space="preserve">Grafikon </w:t>
      </w:r>
      <w:r w:rsidRPr="00B148B1">
        <w:rPr>
          <w:rFonts w:ascii="Arial" w:hAnsi="Arial" w:cs="Arial"/>
          <w:b w:val="0"/>
          <w:lang w:val="sl-SI"/>
        </w:rPr>
        <w:fldChar w:fldCharType="begin"/>
      </w:r>
      <w:r w:rsidRPr="00B148B1">
        <w:rPr>
          <w:rFonts w:ascii="Arial" w:hAnsi="Arial" w:cs="Arial"/>
          <w:b w:val="0"/>
          <w:lang w:val="sl-SI"/>
        </w:rPr>
        <w:instrText xml:space="preserve"> SEQ Grafikon \* ARABIC </w:instrText>
      </w:r>
      <w:r w:rsidRPr="00B148B1">
        <w:rPr>
          <w:rFonts w:ascii="Arial" w:hAnsi="Arial" w:cs="Arial"/>
          <w:b w:val="0"/>
          <w:lang w:val="sl-SI"/>
        </w:rPr>
        <w:fldChar w:fldCharType="separate"/>
      </w:r>
      <w:r w:rsidR="00E92793">
        <w:rPr>
          <w:rFonts w:ascii="Arial" w:hAnsi="Arial" w:cs="Arial"/>
          <w:b w:val="0"/>
          <w:noProof/>
          <w:lang w:val="sl-SI"/>
        </w:rPr>
        <w:t>7</w:t>
      </w:r>
      <w:r w:rsidRPr="00B148B1">
        <w:rPr>
          <w:rFonts w:ascii="Arial" w:hAnsi="Arial" w:cs="Arial"/>
          <w:b w:val="0"/>
          <w:lang w:val="sl-SI"/>
        </w:rPr>
        <w:fldChar w:fldCharType="end"/>
      </w:r>
      <w:bookmarkEnd w:id="177"/>
      <w:bookmarkEnd w:id="178"/>
      <w:r w:rsidRPr="00B148B1">
        <w:rPr>
          <w:rFonts w:ascii="Arial" w:hAnsi="Arial" w:cs="Arial"/>
          <w:b w:val="0"/>
          <w:lang w:val="sl-SI"/>
        </w:rPr>
        <w:t>: Ocena finančnih sredstev za zagotavljanje predpisane opremljenosti aglomeracij</w:t>
      </w:r>
      <w:bookmarkEnd w:id="179"/>
      <w:r w:rsidRPr="00B148B1">
        <w:rPr>
          <w:rFonts w:ascii="Arial" w:hAnsi="Arial" w:cs="Arial"/>
          <w:b w:val="0"/>
          <w:lang w:val="sl-SI"/>
        </w:rPr>
        <w:t xml:space="preserve"> </w:t>
      </w:r>
    </w:p>
    <w:p w:rsidR="00AD5123" w:rsidRPr="00B148B1" w:rsidRDefault="00AD5123" w:rsidP="00AD5123">
      <w:pPr>
        <w:rPr>
          <w:lang w:eastAsia="en-GB"/>
        </w:rPr>
      </w:pPr>
      <w:r w:rsidRPr="00B148B1">
        <w:rPr>
          <w:lang w:eastAsia="en-GB"/>
        </w:rPr>
        <w:lastRenderedPageBreak/>
        <w:t>Ocenjeni stroški izvedbe ukrepov v okviru operativnega programa odvajanja in čiščenja komunalne odpadne vode so bistveno višji od stroškov predvidenih investicij na področju odvajanja in čiščenja komunalne odpadne vode, ki so jih v sistem IJSVO sporočile občine (</w:t>
      </w:r>
      <w:r w:rsidRPr="00B148B1">
        <w:rPr>
          <w:lang w:eastAsia="en-GB"/>
        </w:rPr>
        <w:fldChar w:fldCharType="begin"/>
      </w:r>
      <w:r w:rsidRPr="00B148B1">
        <w:rPr>
          <w:lang w:eastAsia="en-GB"/>
        </w:rPr>
        <w:instrText xml:space="preserve"> REF _Ref45609272 \h </w:instrText>
      </w:r>
      <w:r w:rsidR="00BC71E5" w:rsidRPr="00B148B1">
        <w:rPr>
          <w:lang w:eastAsia="en-GB"/>
        </w:rPr>
        <w:instrText xml:space="preserve"> \* MERGEFORMAT </w:instrText>
      </w:r>
      <w:r w:rsidRPr="00B148B1">
        <w:rPr>
          <w:lang w:eastAsia="en-GB"/>
        </w:rPr>
      </w:r>
      <w:r w:rsidRPr="00B148B1">
        <w:rPr>
          <w:lang w:eastAsia="en-GB"/>
        </w:rPr>
        <w:fldChar w:fldCharType="separate"/>
      </w:r>
      <w:r w:rsidR="00E92793" w:rsidRPr="00E92793">
        <w:rPr>
          <w:rFonts w:cs="Arial"/>
          <w:bCs/>
          <w:szCs w:val="20"/>
          <w:lang w:eastAsia="en-GB"/>
        </w:rPr>
        <w:t xml:space="preserve">Grafikon </w:t>
      </w:r>
      <w:r w:rsidR="00E92793" w:rsidRPr="00E92793">
        <w:rPr>
          <w:rFonts w:cs="Arial"/>
          <w:noProof/>
        </w:rPr>
        <w:t>8</w:t>
      </w:r>
      <w:r w:rsidRPr="00B148B1">
        <w:rPr>
          <w:lang w:eastAsia="en-GB"/>
        </w:rPr>
        <w:fldChar w:fldCharType="end"/>
      </w:r>
      <w:r w:rsidRPr="00B148B1">
        <w:rPr>
          <w:lang w:eastAsia="en-GB"/>
        </w:rPr>
        <w:t xml:space="preserve">). Razliko pripisujemo predvsem dejstvu, da občine o predvidenih ukrepih niso poročale </w:t>
      </w:r>
      <w:r w:rsidR="00EB1116" w:rsidRPr="00B148B1">
        <w:rPr>
          <w:lang w:eastAsia="en-GB"/>
        </w:rPr>
        <w:t xml:space="preserve">predvsem </w:t>
      </w:r>
      <w:r w:rsidRPr="00B148B1">
        <w:rPr>
          <w:lang w:eastAsia="en-GB"/>
        </w:rPr>
        <w:t>za aglomeracije</w:t>
      </w:r>
      <w:r w:rsidR="00EB1116" w:rsidRPr="00B148B1">
        <w:rPr>
          <w:lang w:eastAsia="en-GB"/>
        </w:rPr>
        <w:t xml:space="preserve"> s skupno obremenitvijo, manjšo od 2.000 PE. </w:t>
      </w:r>
      <w:r w:rsidRPr="00B148B1">
        <w:rPr>
          <w:lang w:eastAsia="en-GB"/>
        </w:rPr>
        <w:t>Ocena stroškov izvedbe ukrepov v okviru operativnega programa je bila namreč izvedena za celotno območje Slovenije, tako za območja poselitve kot tudi izven območij poselitve.</w:t>
      </w:r>
    </w:p>
    <w:p w:rsidR="00B27859" w:rsidRPr="00B148B1" w:rsidRDefault="00EB1116" w:rsidP="002B23A5">
      <w:pPr>
        <w:tabs>
          <w:tab w:val="left" w:pos="9600"/>
        </w:tabs>
        <w:spacing w:before="120" w:line="280" w:lineRule="atLeast"/>
        <w:jc w:val="center"/>
        <w:rPr>
          <w:rFonts w:cs="Arial"/>
          <w:szCs w:val="20"/>
        </w:rPr>
      </w:pPr>
      <w:r w:rsidRPr="00B148B1">
        <w:rPr>
          <w:noProof/>
          <w:lang w:eastAsia="sl-SI"/>
        </w:rPr>
        <w:drawing>
          <wp:inline distT="0" distB="0" distL="0" distR="0" wp14:anchorId="6AA4C589" wp14:editId="4E3B0770">
            <wp:extent cx="5193102" cy="3510951"/>
            <wp:effectExtent l="0" t="0" r="7620" b="0"/>
            <wp:docPr id="6" name="Grafikon 6" descr="Primerjava poročanih in ocenjenih investicijskih stroškov" title="Primerjava poročanih in ocenjenih investicijskih stroškov"/>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AD5123" w:rsidRPr="00B148B1" w:rsidRDefault="00AD5123" w:rsidP="00AD5123">
      <w:pPr>
        <w:pStyle w:val="Napis"/>
        <w:rPr>
          <w:rFonts w:cs="Arial"/>
          <w:lang w:val="sl-SI"/>
        </w:rPr>
      </w:pPr>
      <w:bookmarkStart w:id="180" w:name="_Ref45609272"/>
      <w:bookmarkStart w:id="181" w:name="_Toc50627615"/>
      <w:r w:rsidRPr="00B148B1">
        <w:rPr>
          <w:rFonts w:ascii="Arial" w:hAnsi="Arial" w:cs="Arial"/>
          <w:b w:val="0"/>
          <w:lang w:val="sl-SI"/>
        </w:rPr>
        <w:t xml:space="preserve">Grafikon </w:t>
      </w:r>
      <w:r w:rsidRPr="00B148B1">
        <w:rPr>
          <w:rFonts w:ascii="Arial" w:hAnsi="Arial" w:cs="Arial"/>
          <w:b w:val="0"/>
          <w:lang w:val="sl-SI"/>
        </w:rPr>
        <w:fldChar w:fldCharType="begin"/>
      </w:r>
      <w:r w:rsidRPr="00B148B1">
        <w:rPr>
          <w:rFonts w:ascii="Arial" w:hAnsi="Arial" w:cs="Arial"/>
          <w:b w:val="0"/>
          <w:lang w:val="sl-SI"/>
        </w:rPr>
        <w:instrText xml:space="preserve"> SEQ Grafikon \* ARABIC </w:instrText>
      </w:r>
      <w:r w:rsidRPr="00B148B1">
        <w:rPr>
          <w:rFonts w:ascii="Arial" w:hAnsi="Arial" w:cs="Arial"/>
          <w:b w:val="0"/>
          <w:lang w:val="sl-SI"/>
        </w:rPr>
        <w:fldChar w:fldCharType="separate"/>
      </w:r>
      <w:r w:rsidR="00E92793">
        <w:rPr>
          <w:rFonts w:ascii="Arial" w:hAnsi="Arial" w:cs="Arial"/>
          <w:b w:val="0"/>
          <w:noProof/>
          <w:lang w:val="sl-SI"/>
        </w:rPr>
        <w:t>8</w:t>
      </w:r>
      <w:r w:rsidRPr="00B148B1">
        <w:rPr>
          <w:rFonts w:ascii="Arial" w:hAnsi="Arial" w:cs="Arial"/>
          <w:b w:val="0"/>
          <w:lang w:val="sl-SI"/>
        </w:rPr>
        <w:fldChar w:fldCharType="end"/>
      </w:r>
      <w:bookmarkEnd w:id="180"/>
      <w:r w:rsidRPr="00B148B1">
        <w:rPr>
          <w:rFonts w:ascii="Arial" w:hAnsi="Arial" w:cs="Arial"/>
          <w:b w:val="0"/>
          <w:lang w:val="sl-SI"/>
        </w:rPr>
        <w:t>: Primerjava poročanih in ocenjenih investicijskih stroškov</w:t>
      </w:r>
      <w:bookmarkEnd w:id="181"/>
    </w:p>
    <w:p w:rsidR="00B27859" w:rsidRPr="00B148B1" w:rsidRDefault="00D168C6" w:rsidP="00B27859">
      <w:pPr>
        <w:tabs>
          <w:tab w:val="left" w:pos="851"/>
          <w:tab w:val="left" w:pos="1418"/>
          <w:tab w:val="left" w:pos="9600"/>
        </w:tabs>
        <w:spacing w:before="120" w:line="280" w:lineRule="atLeast"/>
        <w:rPr>
          <w:rFonts w:cs="Arial"/>
          <w:szCs w:val="20"/>
        </w:rPr>
      </w:pPr>
      <w:r w:rsidRPr="00B148B1">
        <w:rPr>
          <w:rFonts w:cs="Arial"/>
          <w:szCs w:val="20"/>
        </w:rPr>
        <w:t>Ocenj</w:t>
      </w:r>
      <w:r w:rsidR="005C51A3" w:rsidRPr="00B148B1">
        <w:rPr>
          <w:rFonts w:cs="Arial"/>
          <w:szCs w:val="20"/>
        </w:rPr>
        <w:t>ena vrednost načrtovanih ukrepov</w:t>
      </w:r>
      <w:r w:rsidRPr="00B148B1">
        <w:rPr>
          <w:rFonts w:cs="Arial"/>
          <w:szCs w:val="20"/>
        </w:rPr>
        <w:t xml:space="preserve"> za obdobje 2018</w:t>
      </w:r>
      <w:r w:rsidR="00A57B53" w:rsidRPr="00B148B1">
        <w:rPr>
          <w:rFonts w:cs="Arial"/>
          <w:color w:val="7D7D7D"/>
          <w:szCs w:val="20"/>
          <w:shd w:val="clear" w:color="auto" w:fill="FFFFFF"/>
        </w:rPr>
        <w:t>–</w:t>
      </w:r>
      <w:r w:rsidRPr="00B148B1">
        <w:rPr>
          <w:rFonts w:cs="Arial"/>
          <w:szCs w:val="20"/>
        </w:rPr>
        <w:t>2028 po posameznih predhodnih aglomeracijah</w:t>
      </w:r>
      <w:r w:rsidRPr="00B148B1" w:rsidDel="00D168C6">
        <w:rPr>
          <w:rFonts w:cs="Arial"/>
          <w:szCs w:val="20"/>
        </w:rPr>
        <w:t xml:space="preserve"> </w:t>
      </w:r>
      <w:r w:rsidR="00B27859" w:rsidRPr="00B148B1">
        <w:rPr>
          <w:rFonts w:cs="Arial"/>
          <w:szCs w:val="20"/>
        </w:rPr>
        <w:t>je prikazana v prilogi (PRILOGA</w:t>
      </w:r>
      <w:r w:rsidR="000441CF" w:rsidRPr="00B148B1">
        <w:rPr>
          <w:rFonts w:cs="Arial"/>
          <w:szCs w:val="20"/>
        </w:rPr>
        <w:t xml:space="preserve"> </w:t>
      </w:r>
      <w:r w:rsidR="009A3DD8" w:rsidRPr="00B148B1">
        <w:rPr>
          <w:rFonts w:cs="Arial"/>
          <w:szCs w:val="20"/>
        </w:rPr>
        <w:t>16</w:t>
      </w:r>
      <w:r w:rsidR="00B27859" w:rsidRPr="00B148B1">
        <w:rPr>
          <w:rFonts w:cs="Arial"/>
          <w:szCs w:val="20"/>
        </w:rPr>
        <w:t xml:space="preserve">), ki je sestavni del tega operativnega programa. </w:t>
      </w:r>
    </w:p>
    <w:p w:rsidR="00D168C6" w:rsidRPr="00B148B1" w:rsidRDefault="00D168C6" w:rsidP="00B27859">
      <w:pPr>
        <w:tabs>
          <w:tab w:val="left" w:pos="851"/>
          <w:tab w:val="left" w:pos="1418"/>
          <w:tab w:val="left" w:pos="9600"/>
        </w:tabs>
        <w:spacing w:before="120" w:line="280" w:lineRule="atLeast"/>
        <w:rPr>
          <w:rFonts w:cs="Arial"/>
          <w:szCs w:val="20"/>
        </w:rPr>
      </w:pPr>
      <w:r w:rsidRPr="00B148B1">
        <w:rPr>
          <w:rFonts w:cs="Arial"/>
          <w:szCs w:val="20"/>
        </w:rPr>
        <w:t>Ocenj</w:t>
      </w:r>
      <w:r w:rsidR="00EE72F8" w:rsidRPr="00B148B1">
        <w:rPr>
          <w:rFonts w:cs="Arial"/>
          <w:szCs w:val="20"/>
        </w:rPr>
        <w:t>ena vrednost načrtovanih ukrepov</w:t>
      </w:r>
      <w:r w:rsidRPr="00B148B1">
        <w:rPr>
          <w:rFonts w:cs="Arial"/>
          <w:szCs w:val="20"/>
        </w:rPr>
        <w:t xml:space="preserve"> za obdobje 2018</w:t>
      </w:r>
      <w:r w:rsidR="00A57B53" w:rsidRPr="00B148B1">
        <w:rPr>
          <w:rFonts w:cs="Arial"/>
          <w:color w:val="7D7D7D"/>
          <w:szCs w:val="20"/>
          <w:shd w:val="clear" w:color="auto" w:fill="FFFFFF"/>
        </w:rPr>
        <w:t>–</w:t>
      </w:r>
      <w:r w:rsidRPr="00B148B1">
        <w:rPr>
          <w:rFonts w:cs="Arial"/>
          <w:szCs w:val="20"/>
        </w:rPr>
        <w:t xml:space="preserve">2028 po </w:t>
      </w:r>
      <w:r w:rsidR="00CB221E" w:rsidRPr="00B148B1">
        <w:rPr>
          <w:rFonts w:cs="Arial"/>
          <w:szCs w:val="20"/>
        </w:rPr>
        <w:t xml:space="preserve">posameznih </w:t>
      </w:r>
      <w:r w:rsidRPr="00B148B1">
        <w:rPr>
          <w:rFonts w:cs="Arial"/>
          <w:szCs w:val="20"/>
        </w:rPr>
        <w:t>občinah pa</w:t>
      </w:r>
      <w:r w:rsidRPr="00B148B1" w:rsidDel="00D168C6">
        <w:rPr>
          <w:rFonts w:cs="Arial"/>
          <w:szCs w:val="20"/>
        </w:rPr>
        <w:t xml:space="preserve"> </w:t>
      </w:r>
      <w:r w:rsidRPr="00B148B1">
        <w:rPr>
          <w:rFonts w:cs="Arial"/>
          <w:szCs w:val="20"/>
        </w:rPr>
        <w:t>je prikazana v prilogi (PRILOGA 17), ki je sestavni del tega operativnega programa.</w:t>
      </w:r>
    </w:p>
    <w:p w:rsidR="00B27859" w:rsidRPr="00B148B1" w:rsidRDefault="00647A7E" w:rsidP="00647A7E">
      <w:pPr>
        <w:pStyle w:val="Naslov2"/>
      </w:pPr>
      <w:bookmarkStart w:id="182" w:name="_Toc50628112"/>
      <w:r w:rsidRPr="00B148B1">
        <w:t xml:space="preserve">Ukrepi za </w:t>
      </w:r>
      <w:r w:rsidR="00E8145A" w:rsidRPr="00B148B1">
        <w:t>izboljšanje</w:t>
      </w:r>
      <w:r w:rsidR="00221A0C" w:rsidRPr="00B148B1">
        <w:t xml:space="preserve"> informacijskega sistema javnih služb </w:t>
      </w:r>
      <w:r w:rsidR="00E8145A" w:rsidRPr="00B148B1">
        <w:t xml:space="preserve">varstva okolja </w:t>
      </w:r>
      <w:r w:rsidR="00221A0C" w:rsidRPr="00B148B1">
        <w:t>na področju odvajanja in čiščenja komunalne odpadne vode</w:t>
      </w:r>
      <w:bookmarkEnd w:id="182"/>
    </w:p>
    <w:p w:rsidR="00AC6421" w:rsidRPr="00B148B1" w:rsidRDefault="00E8145A" w:rsidP="00B803AE">
      <w:pPr>
        <w:spacing w:before="120" w:line="280" w:lineRule="atLeast"/>
        <w:rPr>
          <w:rFonts w:cs="Arial"/>
          <w:szCs w:val="20"/>
        </w:rPr>
      </w:pPr>
      <w:r w:rsidRPr="00B148B1">
        <w:rPr>
          <w:rFonts w:cs="Arial"/>
          <w:szCs w:val="20"/>
        </w:rPr>
        <w:t>Eden izmed ključnih ukrepov za izboljšanje in lažje upravljanje s podatkovnimi zbirkami podatkov na področju odvajanja in čiščenja komunalne odpadne vode je r</w:t>
      </w:r>
      <w:r w:rsidR="008F76F3" w:rsidRPr="00B148B1">
        <w:rPr>
          <w:rFonts w:cs="Arial"/>
          <w:szCs w:val="20"/>
        </w:rPr>
        <w:t>azvoj in izgradnja</w:t>
      </w:r>
      <w:r w:rsidRPr="00B148B1">
        <w:rPr>
          <w:rFonts w:cs="Arial"/>
          <w:szCs w:val="20"/>
        </w:rPr>
        <w:t xml:space="preserve"> prostorsko</w:t>
      </w:r>
      <w:r w:rsidR="008F76F3" w:rsidRPr="00B148B1">
        <w:rPr>
          <w:rFonts w:cs="Arial"/>
          <w:szCs w:val="20"/>
        </w:rPr>
        <w:t xml:space="preserve"> informacijskega </w:t>
      </w:r>
      <w:r w:rsidRPr="00B148B1">
        <w:rPr>
          <w:rFonts w:cs="Arial"/>
          <w:szCs w:val="20"/>
        </w:rPr>
        <w:t>sistema</w:t>
      </w:r>
      <w:r w:rsidR="006F16CD" w:rsidRPr="00B148B1">
        <w:rPr>
          <w:rFonts w:cs="Arial"/>
          <w:szCs w:val="20"/>
        </w:rPr>
        <w:t>,</w:t>
      </w:r>
      <w:r w:rsidRPr="00B148B1">
        <w:rPr>
          <w:rFonts w:cs="Arial"/>
          <w:szCs w:val="20"/>
        </w:rPr>
        <w:t xml:space="preserve"> </w:t>
      </w:r>
      <w:r w:rsidR="008F76F3" w:rsidRPr="00B148B1">
        <w:rPr>
          <w:rFonts w:cs="Arial"/>
          <w:szCs w:val="20"/>
        </w:rPr>
        <w:t>namenjen</w:t>
      </w:r>
      <w:r w:rsidR="006F16CD" w:rsidRPr="00B148B1">
        <w:rPr>
          <w:rFonts w:cs="Arial"/>
          <w:szCs w:val="20"/>
        </w:rPr>
        <w:t>ega</w:t>
      </w:r>
      <w:r w:rsidR="008F76F3" w:rsidRPr="00B148B1">
        <w:rPr>
          <w:rFonts w:cs="Arial"/>
          <w:szCs w:val="20"/>
        </w:rPr>
        <w:t xml:space="preserve"> izboljšanju vedenja o izvajanju zahtev </w:t>
      </w:r>
      <w:r w:rsidR="00BD1EAD" w:rsidRPr="00B148B1">
        <w:rPr>
          <w:rFonts w:cs="Arial"/>
          <w:szCs w:val="20"/>
        </w:rPr>
        <w:t xml:space="preserve">veljavnih predpisov na evropski in </w:t>
      </w:r>
      <w:r w:rsidR="008F76F3" w:rsidRPr="00B148B1">
        <w:rPr>
          <w:rFonts w:cs="Arial"/>
          <w:szCs w:val="20"/>
        </w:rPr>
        <w:t>nacionalni ravni in odzivnost Slovenije pri poročanju mednarodnim ustanovam. Z vzpostavitvijo informacijskega sistema se bodo povezali različni podatki, izboljšalo posredovanje informacij o zahtevah Direktive 91/271/EGS, o izpolnjevanju teh zahtev, o stanju na področju odvajanja in čiščenja komunalnih voda, stanju okolja z vidika zagotavljanja odvajanja in čiščenja komunalnih odpadnih voda ter o financiranju izgradnje komunalnega omrežja.</w:t>
      </w:r>
    </w:p>
    <w:p w:rsidR="00D168C6" w:rsidRPr="00B148B1" w:rsidRDefault="008F76F3" w:rsidP="00B803AE">
      <w:pPr>
        <w:spacing w:before="120" w:line="280" w:lineRule="atLeast"/>
        <w:rPr>
          <w:rFonts w:cs="Arial"/>
          <w:szCs w:val="20"/>
        </w:rPr>
      </w:pPr>
      <w:r w:rsidRPr="00B148B1">
        <w:rPr>
          <w:rFonts w:cs="Arial"/>
          <w:szCs w:val="20"/>
        </w:rPr>
        <w:t>Cilj je</w:t>
      </w:r>
      <w:r w:rsidR="00E8145A" w:rsidRPr="00B148B1">
        <w:rPr>
          <w:rFonts w:cs="Arial"/>
          <w:szCs w:val="20"/>
        </w:rPr>
        <w:t xml:space="preserve"> torej</w:t>
      </w:r>
      <w:r w:rsidRPr="00B148B1">
        <w:rPr>
          <w:rFonts w:cs="Arial"/>
          <w:szCs w:val="20"/>
        </w:rPr>
        <w:t xml:space="preserve"> vzpostavitev informacijskega sistema, ki bo o</w:t>
      </w:r>
      <w:r w:rsidR="00E8145A" w:rsidRPr="00B148B1">
        <w:rPr>
          <w:rFonts w:cs="Arial"/>
          <w:szCs w:val="20"/>
        </w:rPr>
        <w:t xml:space="preserve">mogočal enostavnejše </w:t>
      </w:r>
      <w:r w:rsidRPr="00B148B1">
        <w:rPr>
          <w:rFonts w:cs="Arial"/>
          <w:szCs w:val="20"/>
        </w:rPr>
        <w:t>spremljanje in nadzorovanj</w:t>
      </w:r>
      <w:r w:rsidR="00E8145A" w:rsidRPr="00B148B1">
        <w:rPr>
          <w:rFonts w:cs="Arial"/>
          <w:szCs w:val="20"/>
        </w:rPr>
        <w:t xml:space="preserve">e izpolnjevanja zahtev, tako Direktive 91/271/EGS, kot tudi Uredbe o odvajanju in čiščenju komunalne odpadne vode </w:t>
      </w:r>
      <w:r w:rsidRPr="00B148B1">
        <w:rPr>
          <w:rFonts w:cs="Arial"/>
          <w:szCs w:val="20"/>
        </w:rPr>
        <w:t xml:space="preserve">ter poenostavljeno poročanje mednarodnim ustanovam. Domači javnosti bo </w:t>
      </w:r>
      <w:r w:rsidRPr="00B148B1">
        <w:rPr>
          <w:rFonts w:cs="Arial"/>
          <w:szCs w:val="20"/>
        </w:rPr>
        <w:lastRenderedPageBreak/>
        <w:t xml:space="preserve">zagotovljen enostavnejši dostop do informacij o obstoječem kanalizacijskem omrežju, čiščenju odpadnih voda, pregled nad načrtovanimi investicijami v nova komunalna omrežja ter okvirne roke, do kdaj bodo izpolnjene zahteve pri izgradnji celotnega komunalnega omrežja. </w:t>
      </w:r>
    </w:p>
    <w:p w:rsidR="00D168C6" w:rsidRPr="00B148B1" w:rsidRDefault="00D168C6" w:rsidP="00B803AE">
      <w:pPr>
        <w:spacing w:before="120" w:line="280" w:lineRule="atLeast"/>
        <w:jc w:val="left"/>
        <w:rPr>
          <w:rFonts w:cs="Arial"/>
          <w:szCs w:val="20"/>
        </w:rPr>
      </w:pPr>
      <w:r w:rsidRPr="00B148B1">
        <w:rPr>
          <w:rFonts w:cs="Arial"/>
          <w:szCs w:val="20"/>
        </w:rPr>
        <w:br w:type="page"/>
      </w:r>
    </w:p>
    <w:p w:rsidR="00D774EB" w:rsidRPr="00B148B1" w:rsidRDefault="00D774EB" w:rsidP="00B139B4">
      <w:pPr>
        <w:pStyle w:val="Naslov1"/>
      </w:pPr>
      <w:bookmarkStart w:id="183" w:name="_Toc50628113"/>
      <w:r w:rsidRPr="00B148B1">
        <w:lastRenderedPageBreak/>
        <w:t>VIRI</w:t>
      </w:r>
      <w:bookmarkEnd w:id="183"/>
      <w:r w:rsidRPr="00B148B1">
        <w:t xml:space="preserve"> </w:t>
      </w:r>
    </w:p>
    <w:p w:rsidR="00D774EB" w:rsidRPr="00B148B1" w:rsidRDefault="00D774EB" w:rsidP="004C2581">
      <w:pPr>
        <w:numPr>
          <w:ilvl w:val="0"/>
          <w:numId w:val="5"/>
        </w:numPr>
        <w:tabs>
          <w:tab w:val="left" w:pos="9600"/>
        </w:tabs>
        <w:spacing w:before="120" w:line="280" w:lineRule="atLeast"/>
        <w:rPr>
          <w:rFonts w:cs="Arial"/>
          <w:szCs w:val="20"/>
        </w:rPr>
      </w:pPr>
      <w:r w:rsidRPr="00B148B1">
        <w:rPr>
          <w:rFonts w:cs="Arial"/>
          <w:szCs w:val="20"/>
        </w:rPr>
        <w:t xml:space="preserve">Razvoj in izgradnja informacijskega sistema za izvajanje Direktive o čiščenju komunalne odpadne vode (UWWTD_SIIF), </w:t>
      </w:r>
      <w:r w:rsidR="005A0852" w:rsidRPr="00B148B1">
        <w:rPr>
          <w:rFonts w:cs="Arial"/>
          <w:szCs w:val="20"/>
        </w:rPr>
        <w:t>a</w:t>
      </w:r>
      <w:r w:rsidRPr="00B148B1">
        <w:rPr>
          <w:rFonts w:cs="Arial"/>
          <w:szCs w:val="20"/>
        </w:rPr>
        <w:t>naliza stanja</w:t>
      </w:r>
      <w:r w:rsidR="005A0852" w:rsidRPr="00B148B1">
        <w:rPr>
          <w:rFonts w:cs="Arial"/>
          <w:szCs w:val="20"/>
        </w:rPr>
        <w:t>.</w:t>
      </w:r>
      <w:r w:rsidRPr="00B148B1">
        <w:rPr>
          <w:rFonts w:cs="Arial"/>
          <w:szCs w:val="20"/>
        </w:rPr>
        <w:t xml:space="preserve"> Ministrstvo za kmetijstvo in okolje, december 2013</w:t>
      </w:r>
      <w:r w:rsidR="005A0852" w:rsidRPr="00B148B1">
        <w:rPr>
          <w:rFonts w:cs="Arial"/>
          <w:szCs w:val="20"/>
        </w:rPr>
        <w:t>.</w:t>
      </w:r>
      <w:r w:rsidRPr="00B148B1">
        <w:rPr>
          <w:rFonts w:cs="Arial"/>
          <w:szCs w:val="20"/>
        </w:rPr>
        <w:t xml:space="preserve"> </w:t>
      </w:r>
    </w:p>
    <w:p w:rsidR="00D556ED" w:rsidRPr="00B148B1" w:rsidRDefault="00D556ED" w:rsidP="004C2581">
      <w:pPr>
        <w:numPr>
          <w:ilvl w:val="0"/>
          <w:numId w:val="5"/>
        </w:numPr>
        <w:tabs>
          <w:tab w:val="left" w:pos="9600"/>
        </w:tabs>
        <w:spacing w:before="120" w:line="280" w:lineRule="atLeast"/>
        <w:rPr>
          <w:rFonts w:cs="Arial"/>
          <w:szCs w:val="20"/>
        </w:rPr>
      </w:pPr>
      <w:r w:rsidRPr="00B148B1">
        <w:rPr>
          <w:rFonts w:cs="Arial"/>
          <w:szCs w:val="20"/>
        </w:rPr>
        <w:t xml:space="preserve">Informacijski sistem javnih služb varstva okolja </w:t>
      </w:r>
      <w:r w:rsidR="005A0852" w:rsidRPr="00B148B1">
        <w:rPr>
          <w:rFonts w:cs="Arial"/>
          <w:szCs w:val="20"/>
        </w:rPr>
        <w:t>–</w:t>
      </w:r>
      <w:r w:rsidRPr="00B148B1">
        <w:rPr>
          <w:rFonts w:cs="Arial"/>
          <w:szCs w:val="20"/>
        </w:rPr>
        <w:t xml:space="preserve"> IJSVO</w:t>
      </w:r>
      <w:r w:rsidR="005A0852" w:rsidRPr="00B148B1">
        <w:rPr>
          <w:rFonts w:cs="Arial"/>
          <w:szCs w:val="20"/>
        </w:rPr>
        <w:t>:</w:t>
      </w:r>
      <w:r w:rsidRPr="00B148B1">
        <w:rPr>
          <w:rFonts w:cs="Arial"/>
          <w:szCs w:val="20"/>
        </w:rPr>
        <w:t xml:space="preserve"> Navodila za poročanje izvajalcev javnih služb (odvajanje in čiščenje komunalne in padavinske odpadne vode, oskrba s pitno vodo)</w:t>
      </w:r>
      <w:r w:rsidR="005A0852" w:rsidRPr="00B148B1">
        <w:rPr>
          <w:rFonts w:cs="Arial"/>
          <w:szCs w:val="20"/>
        </w:rPr>
        <w:t>.</w:t>
      </w:r>
      <w:r w:rsidRPr="00B148B1">
        <w:rPr>
          <w:rFonts w:cs="Arial"/>
          <w:szCs w:val="20"/>
        </w:rPr>
        <w:t xml:space="preserve"> </w:t>
      </w:r>
      <w:r w:rsidR="004A36A5" w:rsidRPr="00B148B1">
        <w:rPr>
          <w:rFonts w:cs="Arial"/>
          <w:szCs w:val="20"/>
        </w:rPr>
        <w:t>MOP</w:t>
      </w:r>
      <w:r w:rsidRPr="00B148B1">
        <w:rPr>
          <w:rFonts w:cs="Arial"/>
          <w:szCs w:val="20"/>
        </w:rPr>
        <w:t xml:space="preserve">, </w:t>
      </w:r>
      <w:r w:rsidR="00F948F0" w:rsidRPr="00B148B1">
        <w:rPr>
          <w:rFonts w:cs="Arial"/>
          <w:szCs w:val="20"/>
        </w:rPr>
        <w:t xml:space="preserve">marec </w:t>
      </w:r>
      <w:r w:rsidRPr="00B148B1">
        <w:rPr>
          <w:rFonts w:cs="Arial"/>
          <w:szCs w:val="20"/>
        </w:rPr>
        <w:t>201</w:t>
      </w:r>
      <w:r w:rsidR="00EF1A88" w:rsidRPr="00B148B1">
        <w:rPr>
          <w:rFonts w:cs="Arial"/>
          <w:szCs w:val="20"/>
        </w:rPr>
        <w:t>9</w:t>
      </w:r>
      <w:r w:rsidR="005A0852" w:rsidRPr="00B148B1">
        <w:rPr>
          <w:rFonts w:cs="Arial"/>
          <w:szCs w:val="20"/>
        </w:rPr>
        <w:t>.</w:t>
      </w:r>
    </w:p>
    <w:p w:rsidR="006C2E70" w:rsidRPr="00B148B1" w:rsidRDefault="006C2E70" w:rsidP="004C2581">
      <w:pPr>
        <w:numPr>
          <w:ilvl w:val="0"/>
          <w:numId w:val="5"/>
        </w:numPr>
        <w:tabs>
          <w:tab w:val="left" w:pos="9600"/>
        </w:tabs>
        <w:spacing w:before="120" w:line="280" w:lineRule="atLeast"/>
        <w:rPr>
          <w:rFonts w:cs="Arial"/>
          <w:szCs w:val="20"/>
        </w:rPr>
      </w:pPr>
      <w:r w:rsidRPr="00B148B1">
        <w:rPr>
          <w:rFonts w:cs="Arial"/>
          <w:szCs w:val="20"/>
        </w:rPr>
        <w:t>Informacijski sistem javnih služb varstva okolja – IJSVO</w:t>
      </w:r>
      <w:r w:rsidR="004A36A5" w:rsidRPr="00B148B1">
        <w:rPr>
          <w:rFonts w:cs="Arial"/>
          <w:szCs w:val="20"/>
        </w:rPr>
        <w:t>:</w:t>
      </w:r>
      <w:r w:rsidRPr="00B148B1">
        <w:rPr>
          <w:rFonts w:cs="Arial"/>
          <w:szCs w:val="20"/>
        </w:rPr>
        <w:t xml:space="preserve"> Odvajanje in čiščenje komunalne in padavinske odpadne vode – poročanje o doseženih oskrbovalnih standardih - Navodila </w:t>
      </w:r>
      <w:r w:rsidR="00EF1A88" w:rsidRPr="00B148B1">
        <w:rPr>
          <w:rFonts w:cs="Arial"/>
          <w:szCs w:val="20"/>
        </w:rPr>
        <w:t>za občine</w:t>
      </w:r>
      <w:r w:rsidR="004A36A5" w:rsidRPr="00B148B1">
        <w:rPr>
          <w:rFonts w:cs="Arial"/>
          <w:szCs w:val="20"/>
        </w:rPr>
        <w:t>.</w:t>
      </w:r>
      <w:r w:rsidR="00EF1A88" w:rsidRPr="00B148B1">
        <w:rPr>
          <w:rFonts w:cs="Arial"/>
          <w:szCs w:val="20"/>
        </w:rPr>
        <w:t xml:space="preserve"> </w:t>
      </w:r>
      <w:r w:rsidR="004A36A5" w:rsidRPr="00B148B1">
        <w:rPr>
          <w:rFonts w:cs="Arial"/>
          <w:szCs w:val="20"/>
        </w:rPr>
        <w:t>MOP</w:t>
      </w:r>
      <w:r w:rsidR="00F948F0" w:rsidRPr="00B148B1">
        <w:rPr>
          <w:rFonts w:cs="Arial"/>
          <w:szCs w:val="20"/>
        </w:rPr>
        <w:t>, februar</w:t>
      </w:r>
      <w:r w:rsidR="00EF1A88" w:rsidRPr="00B148B1">
        <w:rPr>
          <w:rFonts w:cs="Arial"/>
          <w:szCs w:val="20"/>
        </w:rPr>
        <w:t xml:space="preserve"> 201</w:t>
      </w:r>
      <w:r w:rsidR="00F948F0" w:rsidRPr="00B148B1">
        <w:rPr>
          <w:rFonts w:cs="Arial"/>
          <w:szCs w:val="20"/>
        </w:rPr>
        <w:t>9</w:t>
      </w:r>
      <w:r w:rsidR="004A36A5" w:rsidRPr="00B148B1">
        <w:rPr>
          <w:rFonts w:cs="Arial"/>
          <w:szCs w:val="20"/>
        </w:rPr>
        <w:t>.</w:t>
      </w:r>
    </w:p>
    <w:p w:rsidR="00D774EB" w:rsidRPr="00B148B1" w:rsidRDefault="00D774EB" w:rsidP="004C2581">
      <w:pPr>
        <w:numPr>
          <w:ilvl w:val="0"/>
          <w:numId w:val="5"/>
        </w:numPr>
        <w:tabs>
          <w:tab w:val="left" w:pos="9600"/>
        </w:tabs>
        <w:spacing w:before="120" w:line="280" w:lineRule="atLeast"/>
        <w:rPr>
          <w:rFonts w:cs="Arial"/>
          <w:szCs w:val="20"/>
        </w:rPr>
      </w:pPr>
      <w:r w:rsidRPr="00B148B1">
        <w:rPr>
          <w:rFonts w:cs="Arial"/>
          <w:szCs w:val="20"/>
        </w:rPr>
        <w:t>Zbirka podatkov IJSVO: register javne kanalizacije in register izvajalcev obveznih občinskih gospodarskih javnih služb varstva okolja, med njimi izvajalcev obvezne občinske gospodarske javne službe odvajanja in čiščenja komunalne in padavinske odpadne vode</w:t>
      </w:r>
      <w:r w:rsidR="004A36A5" w:rsidRPr="00B148B1">
        <w:rPr>
          <w:rFonts w:cs="Arial"/>
          <w:szCs w:val="20"/>
        </w:rPr>
        <w:t>.</w:t>
      </w:r>
      <w:r w:rsidRPr="00B148B1">
        <w:rPr>
          <w:rFonts w:cs="Arial"/>
          <w:szCs w:val="20"/>
        </w:rPr>
        <w:t xml:space="preserve"> MOP, december 201</w:t>
      </w:r>
      <w:r w:rsidR="00FE6679" w:rsidRPr="00B148B1">
        <w:rPr>
          <w:rFonts w:cs="Arial"/>
          <w:szCs w:val="20"/>
        </w:rPr>
        <w:t>7</w:t>
      </w:r>
      <w:r w:rsidR="004A36A5" w:rsidRPr="00B148B1">
        <w:rPr>
          <w:rFonts w:cs="Arial"/>
          <w:szCs w:val="20"/>
        </w:rPr>
        <w:t>.</w:t>
      </w:r>
    </w:p>
    <w:p w:rsidR="00D556ED" w:rsidRPr="00B148B1" w:rsidRDefault="00D556ED" w:rsidP="004C2581">
      <w:pPr>
        <w:numPr>
          <w:ilvl w:val="0"/>
          <w:numId w:val="5"/>
        </w:numPr>
        <w:tabs>
          <w:tab w:val="left" w:pos="9600"/>
        </w:tabs>
        <w:spacing w:before="120" w:line="280" w:lineRule="atLeast"/>
        <w:rPr>
          <w:rFonts w:cs="Arial"/>
          <w:szCs w:val="20"/>
        </w:rPr>
      </w:pPr>
      <w:r w:rsidRPr="00B148B1">
        <w:rPr>
          <w:rFonts w:cs="Arial"/>
          <w:szCs w:val="20"/>
        </w:rPr>
        <w:t xml:space="preserve">Zbirke podatkov ARSO o komunalnih in skupnih čistilnih napravah; podatki o čistilnih napravah in podatki o emisijah snovi v vode pri odvajanju odpadne vode iz komunalnih oziroma skupnih čistilnih naprav (rezultati obratovalnih </w:t>
      </w:r>
      <w:proofErr w:type="spellStart"/>
      <w:r w:rsidRPr="00B148B1">
        <w:rPr>
          <w:rFonts w:cs="Arial"/>
          <w:szCs w:val="20"/>
        </w:rPr>
        <w:t>monitoringov</w:t>
      </w:r>
      <w:proofErr w:type="spellEnd"/>
      <w:r w:rsidRPr="00B148B1">
        <w:rPr>
          <w:rFonts w:cs="Arial"/>
          <w:szCs w:val="20"/>
        </w:rPr>
        <w:t xml:space="preserve"> odpadnih voda, ki jih zagotavljajo upravljavci komunalnih in skupnih čistilnih naprav)</w:t>
      </w:r>
      <w:r w:rsidR="008C74EB" w:rsidRPr="00B148B1">
        <w:rPr>
          <w:rFonts w:cs="Arial"/>
          <w:szCs w:val="20"/>
        </w:rPr>
        <w:t>.</w:t>
      </w:r>
      <w:r w:rsidRPr="00B148B1">
        <w:rPr>
          <w:rFonts w:cs="Arial"/>
          <w:szCs w:val="20"/>
        </w:rPr>
        <w:t xml:space="preserve"> ARSO, december </w:t>
      </w:r>
      <w:r w:rsidR="00DC739F" w:rsidRPr="00B148B1">
        <w:rPr>
          <w:rFonts w:cs="Arial"/>
          <w:szCs w:val="20"/>
        </w:rPr>
        <w:t>2018</w:t>
      </w:r>
      <w:r w:rsidR="008C74EB" w:rsidRPr="00B148B1">
        <w:rPr>
          <w:rFonts w:cs="Arial"/>
          <w:szCs w:val="20"/>
        </w:rPr>
        <w:t>.</w:t>
      </w:r>
    </w:p>
    <w:p w:rsidR="00D556ED" w:rsidRPr="00B148B1" w:rsidRDefault="00D556ED" w:rsidP="004C2581">
      <w:pPr>
        <w:numPr>
          <w:ilvl w:val="0"/>
          <w:numId w:val="5"/>
        </w:numPr>
        <w:tabs>
          <w:tab w:val="left" w:pos="9600"/>
        </w:tabs>
        <w:spacing w:before="120" w:line="280" w:lineRule="atLeast"/>
        <w:rPr>
          <w:rFonts w:cs="Arial"/>
          <w:szCs w:val="20"/>
        </w:rPr>
      </w:pPr>
      <w:r w:rsidRPr="00B148B1">
        <w:rPr>
          <w:rFonts w:cs="Arial"/>
          <w:szCs w:val="20"/>
        </w:rPr>
        <w:t>Vodni kataster</w:t>
      </w:r>
      <w:r w:rsidR="008C74EB" w:rsidRPr="00B148B1">
        <w:rPr>
          <w:rFonts w:cs="Arial"/>
          <w:szCs w:val="20"/>
        </w:rPr>
        <w:t>.</w:t>
      </w:r>
      <w:r w:rsidRPr="00B148B1">
        <w:rPr>
          <w:rFonts w:cs="Arial"/>
          <w:szCs w:val="20"/>
        </w:rPr>
        <w:t xml:space="preserve"> DRSV, oktober 2018</w:t>
      </w:r>
      <w:r w:rsidR="008C74EB" w:rsidRPr="00B148B1">
        <w:rPr>
          <w:rFonts w:cs="Arial"/>
          <w:szCs w:val="20"/>
        </w:rPr>
        <w:t>.</w:t>
      </w:r>
    </w:p>
    <w:p w:rsidR="005E58D5" w:rsidRPr="00B148B1" w:rsidRDefault="005E58D5" w:rsidP="004C2581">
      <w:pPr>
        <w:numPr>
          <w:ilvl w:val="0"/>
          <w:numId w:val="5"/>
        </w:numPr>
        <w:tabs>
          <w:tab w:val="left" w:pos="9600"/>
        </w:tabs>
        <w:spacing w:before="120" w:line="280" w:lineRule="atLeast"/>
        <w:rPr>
          <w:rFonts w:cs="Arial"/>
          <w:szCs w:val="20"/>
        </w:rPr>
      </w:pPr>
      <w:r w:rsidRPr="00B148B1">
        <w:rPr>
          <w:rFonts w:cs="Arial"/>
          <w:szCs w:val="20"/>
        </w:rPr>
        <w:t>Generalizirana namenska raba prostora</w:t>
      </w:r>
      <w:r w:rsidR="008C74EB" w:rsidRPr="00B148B1">
        <w:rPr>
          <w:rFonts w:cs="Arial"/>
          <w:szCs w:val="20"/>
        </w:rPr>
        <w:t>.</w:t>
      </w:r>
      <w:r w:rsidRPr="00B148B1">
        <w:rPr>
          <w:rFonts w:cs="Arial"/>
          <w:szCs w:val="20"/>
        </w:rPr>
        <w:t xml:space="preserve"> MOP, </w:t>
      </w:r>
      <w:r w:rsidR="002F4194" w:rsidRPr="00B148B1">
        <w:rPr>
          <w:rFonts w:cs="Arial"/>
          <w:szCs w:val="20"/>
        </w:rPr>
        <w:t>januar 2019</w:t>
      </w:r>
      <w:r w:rsidR="008C74EB" w:rsidRPr="00B148B1">
        <w:rPr>
          <w:rFonts w:cs="Arial"/>
          <w:szCs w:val="20"/>
        </w:rPr>
        <w:t>.</w:t>
      </w:r>
    </w:p>
    <w:p w:rsidR="00D774EB" w:rsidRPr="00B148B1" w:rsidRDefault="00D774EB" w:rsidP="004C2581">
      <w:pPr>
        <w:numPr>
          <w:ilvl w:val="0"/>
          <w:numId w:val="5"/>
        </w:numPr>
        <w:tabs>
          <w:tab w:val="left" w:pos="9600"/>
        </w:tabs>
        <w:spacing w:before="120" w:line="280" w:lineRule="atLeast"/>
        <w:rPr>
          <w:rFonts w:cs="Arial"/>
          <w:szCs w:val="20"/>
        </w:rPr>
      </w:pPr>
      <w:r w:rsidRPr="00B148B1">
        <w:rPr>
          <w:rFonts w:cs="Arial"/>
          <w:szCs w:val="20"/>
        </w:rPr>
        <w:t>Digitalna oblika poročila</w:t>
      </w:r>
      <w:r w:rsidR="00FE6679" w:rsidRPr="00B148B1">
        <w:rPr>
          <w:rFonts w:cs="Arial"/>
          <w:szCs w:val="20"/>
        </w:rPr>
        <w:t xml:space="preserve"> o izvajanju Direk</w:t>
      </w:r>
      <w:r w:rsidRPr="00B148B1">
        <w:rPr>
          <w:rFonts w:cs="Arial"/>
          <w:szCs w:val="20"/>
        </w:rPr>
        <w:t>tive 91/271/EGS</w:t>
      </w:r>
      <w:r w:rsidR="001F1B2E" w:rsidRPr="00B148B1">
        <w:rPr>
          <w:rFonts w:cs="Arial"/>
          <w:szCs w:val="20"/>
        </w:rPr>
        <w:t>.</w:t>
      </w:r>
      <w:r w:rsidRPr="00B148B1">
        <w:rPr>
          <w:rFonts w:cs="Arial"/>
          <w:szCs w:val="20"/>
        </w:rPr>
        <w:t xml:space="preserve"> </w:t>
      </w:r>
      <w:r w:rsidR="001333DC" w:rsidRPr="00B148B1">
        <w:rPr>
          <w:rFonts w:cs="Arial"/>
          <w:szCs w:val="20"/>
        </w:rPr>
        <w:t>MOP</w:t>
      </w:r>
      <w:r w:rsidRPr="00B148B1">
        <w:rPr>
          <w:rFonts w:cs="Arial"/>
          <w:szCs w:val="20"/>
        </w:rPr>
        <w:t>, ju</w:t>
      </w:r>
      <w:r w:rsidR="00FE6679" w:rsidRPr="00B148B1">
        <w:rPr>
          <w:rFonts w:cs="Arial"/>
          <w:szCs w:val="20"/>
        </w:rPr>
        <w:t>l</w:t>
      </w:r>
      <w:r w:rsidRPr="00B148B1">
        <w:rPr>
          <w:rFonts w:cs="Arial"/>
          <w:szCs w:val="20"/>
        </w:rPr>
        <w:t>ij 201</w:t>
      </w:r>
      <w:r w:rsidR="00FE6679" w:rsidRPr="00B148B1">
        <w:rPr>
          <w:rFonts w:cs="Arial"/>
          <w:szCs w:val="20"/>
        </w:rPr>
        <w:t>8</w:t>
      </w:r>
      <w:r w:rsidR="001F1B2E" w:rsidRPr="00B148B1">
        <w:rPr>
          <w:rFonts w:cs="Arial"/>
          <w:szCs w:val="20"/>
        </w:rPr>
        <w:t>.</w:t>
      </w:r>
    </w:p>
    <w:p w:rsidR="001F1B2E" w:rsidRPr="00B148B1" w:rsidRDefault="00D774EB" w:rsidP="004C2581">
      <w:pPr>
        <w:numPr>
          <w:ilvl w:val="0"/>
          <w:numId w:val="5"/>
        </w:numPr>
        <w:tabs>
          <w:tab w:val="left" w:pos="9600"/>
        </w:tabs>
        <w:spacing w:before="120" w:line="280" w:lineRule="atLeast"/>
        <w:rPr>
          <w:szCs w:val="20"/>
        </w:rPr>
      </w:pPr>
      <w:r w:rsidRPr="00B148B1">
        <w:rPr>
          <w:rFonts w:cs="Arial"/>
          <w:szCs w:val="20"/>
        </w:rPr>
        <w:t>Poročilo o delu Inštituta za vode Republike Slovenije za leto 2015</w:t>
      </w:r>
      <w:r w:rsidR="001F1B2E" w:rsidRPr="00B148B1">
        <w:rPr>
          <w:rFonts w:cs="Arial"/>
          <w:szCs w:val="20"/>
        </w:rPr>
        <w:t>.</w:t>
      </w:r>
      <w:r w:rsidRPr="00B148B1">
        <w:rPr>
          <w:rFonts w:cs="Arial"/>
          <w:szCs w:val="20"/>
        </w:rPr>
        <w:t xml:space="preserve"> Naloga: I/5/1, Priprava strokovnih in razvojnih podlag – direktiva o odvajanju in čiščenju komunalne odpadne vode</w:t>
      </w:r>
      <w:r w:rsidR="001F1B2E" w:rsidRPr="00B148B1">
        <w:rPr>
          <w:rFonts w:cs="Arial"/>
          <w:szCs w:val="20"/>
        </w:rPr>
        <w:t>.</w:t>
      </w:r>
      <w:r w:rsidRPr="00B148B1">
        <w:rPr>
          <w:rFonts w:cs="Arial"/>
          <w:szCs w:val="20"/>
        </w:rPr>
        <w:t xml:space="preserve"> Inštitut za vode Republike Slovenije, december 2015</w:t>
      </w:r>
      <w:r w:rsidR="001F1B2E" w:rsidRPr="00B148B1">
        <w:rPr>
          <w:rFonts w:cs="Arial"/>
          <w:szCs w:val="20"/>
        </w:rPr>
        <w:t xml:space="preserve">. </w:t>
      </w:r>
    </w:p>
    <w:p w:rsidR="004A602C" w:rsidRPr="00B148B1" w:rsidRDefault="006D2ABE" w:rsidP="004C2581">
      <w:pPr>
        <w:numPr>
          <w:ilvl w:val="0"/>
          <w:numId w:val="5"/>
        </w:numPr>
        <w:tabs>
          <w:tab w:val="left" w:pos="9600"/>
        </w:tabs>
        <w:spacing w:before="120" w:line="280" w:lineRule="atLeast"/>
        <w:rPr>
          <w:szCs w:val="20"/>
        </w:rPr>
      </w:pPr>
      <w:r w:rsidRPr="00B148B1">
        <w:rPr>
          <w:rFonts w:cs="Arial"/>
          <w:szCs w:val="20"/>
        </w:rPr>
        <w:t>Poročilo o zadolževanju občin in pravnih oseb javnega sektorja na ravni občin na dan 31.</w:t>
      </w:r>
      <w:r w:rsidR="001F1B2E" w:rsidRPr="00B148B1">
        <w:rPr>
          <w:rFonts w:cs="Arial"/>
          <w:szCs w:val="20"/>
        </w:rPr>
        <w:t xml:space="preserve"> </w:t>
      </w:r>
      <w:r w:rsidRPr="00B148B1">
        <w:rPr>
          <w:rFonts w:cs="Arial"/>
          <w:szCs w:val="20"/>
        </w:rPr>
        <w:t>12. 2018</w:t>
      </w:r>
      <w:r w:rsidR="001F1B2E" w:rsidRPr="00B148B1">
        <w:rPr>
          <w:rFonts w:cs="Arial"/>
          <w:szCs w:val="20"/>
        </w:rPr>
        <w:t>.</w:t>
      </w:r>
      <w:r w:rsidRPr="00B148B1">
        <w:rPr>
          <w:rFonts w:cs="Arial"/>
          <w:szCs w:val="20"/>
        </w:rPr>
        <w:t xml:space="preserve"> Ministrstvo za finance</w:t>
      </w:r>
      <w:r w:rsidR="001F1B2E" w:rsidRPr="00B148B1">
        <w:rPr>
          <w:rFonts w:cs="Arial"/>
          <w:szCs w:val="20"/>
        </w:rPr>
        <w:t>.</w:t>
      </w:r>
    </w:p>
    <w:p w:rsidR="006D2ABE" w:rsidRPr="00B148B1" w:rsidRDefault="004A602C" w:rsidP="004C2581">
      <w:pPr>
        <w:numPr>
          <w:ilvl w:val="0"/>
          <w:numId w:val="5"/>
        </w:numPr>
        <w:tabs>
          <w:tab w:val="left" w:pos="9600"/>
        </w:tabs>
        <w:spacing w:before="120" w:line="280" w:lineRule="atLeast"/>
        <w:rPr>
          <w:szCs w:val="20"/>
        </w:rPr>
      </w:pPr>
      <w:r w:rsidRPr="00B148B1">
        <w:rPr>
          <w:rFonts w:cs="Arial"/>
          <w:szCs w:val="20"/>
        </w:rPr>
        <w:t>P</w:t>
      </w:r>
      <w:r w:rsidR="00260868" w:rsidRPr="00B148B1">
        <w:rPr>
          <w:rFonts w:cs="Arial"/>
          <w:szCs w:val="20"/>
        </w:rPr>
        <w:t>roračuni občin – bilance proračunov občin in podatki o nakazilih tekočih in investicijskih transferov iz državnega proračuna občinam 2007</w:t>
      </w:r>
      <w:r w:rsidRPr="00B148B1">
        <w:rPr>
          <w:rFonts w:cs="Arial"/>
          <w:szCs w:val="20"/>
        </w:rPr>
        <w:t>–</w:t>
      </w:r>
      <w:r w:rsidR="00260868" w:rsidRPr="00B148B1">
        <w:rPr>
          <w:rFonts w:cs="Arial"/>
          <w:szCs w:val="20"/>
        </w:rPr>
        <w:t>2019</w:t>
      </w:r>
      <w:r w:rsidR="001F1B2E" w:rsidRPr="00B148B1">
        <w:rPr>
          <w:rFonts w:cs="Arial"/>
          <w:szCs w:val="20"/>
        </w:rPr>
        <w:t>.</w:t>
      </w:r>
      <w:r w:rsidR="00260868" w:rsidRPr="00B148B1">
        <w:rPr>
          <w:rFonts w:cs="Arial"/>
          <w:szCs w:val="20"/>
        </w:rPr>
        <w:t xml:space="preserve"> Ministrstvo za finance.</w:t>
      </w:r>
    </w:p>
    <w:p w:rsidR="00D774EB" w:rsidRPr="00B148B1" w:rsidRDefault="00D774EB" w:rsidP="004C2581">
      <w:pPr>
        <w:numPr>
          <w:ilvl w:val="0"/>
          <w:numId w:val="5"/>
        </w:numPr>
        <w:tabs>
          <w:tab w:val="left" w:pos="9600"/>
        </w:tabs>
        <w:spacing w:before="120" w:line="280" w:lineRule="atLeast"/>
        <w:rPr>
          <w:rFonts w:cs="Arial"/>
          <w:szCs w:val="20"/>
        </w:rPr>
      </w:pPr>
      <w:r w:rsidRPr="00B148B1">
        <w:rPr>
          <w:rFonts w:cs="Arial"/>
          <w:szCs w:val="20"/>
        </w:rPr>
        <w:t xml:space="preserve">Strokovne podlage za </w:t>
      </w:r>
      <w:proofErr w:type="spellStart"/>
      <w:r w:rsidRPr="00B148B1">
        <w:rPr>
          <w:rFonts w:cs="Arial"/>
          <w:szCs w:val="20"/>
        </w:rPr>
        <w:t>novelacijo</w:t>
      </w:r>
      <w:proofErr w:type="spellEnd"/>
      <w:r w:rsidRPr="00B148B1">
        <w:rPr>
          <w:rFonts w:cs="Arial"/>
          <w:szCs w:val="20"/>
        </w:rPr>
        <w:t xml:space="preserve"> Operat</w:t>
      </w:r>
      <w:r w:rsidR="00FE6679" w:rsidRPr="00B148B1">
        <w:rPr>
          <w:rFonts w:cs="Arial"/>
          <w:szCs w:val="20"/>
        </w:rPr>
        <w:t>i</w:t>
      </w:r>
      <w:r w:rsidRPr="00B148B1">
        <w:rPr>
          <w:rFonts w:cs="Arial"/>
          <w:szCs w:val="20"/>
        </w:rPr>
        <w:t>vnega programa odvajanja in čiščenja komunalne odpadne vode</w:t>
      </w:r>
      <w:r w:rsidR="001F1B2E" w:rsidRPr="00B148B1">
        <w:rPr>
          <w:rFonts w:cs="Arial"/>
          <w:szCs w:val="20"/>
        </w:rPr>
        <w:t>.</w:t>
      </w:r>
      <w:r w:rsidRPr="00B148B1">
        <w:rPr>
          <w:rFonts w:cs="Arial"/>
          <w:szCs w:val="20"/>
        </w:rPr>
        <w:t xml:space="preserve"> IEI d.</w:t>
      </w:r>
      <w:r w:rsidR="00430915" w:rsidRPr="00B148B1">
        <w:rPr>
          <w:rFonts w:cs="Arial"/>
          <w:szCs w:val="20"/>
        </w:rPr>
        <w:t xml:space="preserve"> </w:t>
      </w:r>
      <w:r w:rsidRPr="00B148B1">
        <w:rPr>
          <w:rFonts w:cs="Arial"/>
          <w:szCs w:val="20"/>
        </w:rPr>
        <w:t>o.</w:t>
      </w:r>
      <w:r w:rsidR="00430915" w:rsidRPr="00B148B1">
        <w:rPr>
          <w:rFonts w:cs="Arial"/>
          <w:szCs w:val="20"/>
        </w:rPr>
        <w:t xml:space="preserve"> </w:t>
      </w:r>
      <w:r w:rsidRPr="00B148B1">
        <w:rPr>
          <w:rFonts w:cs="Arial"/>
          <w:szCs w:val="20"/>
        </w:rPr>
        <w:t>o., november 2014</w:t>
      </w:r>
      <w:r w:rsidR="001F1B2E" w:rsidRPr="00B148B1">
        <w:rPr>
          <w:rFonts w:cs="Arial"/>
          <w:szCs w:val="20"/>
        </w:rPr>
        <w:t>.</w:t>
      </w:r>
    </w:p>
    <w:p w:rsidR="00D774EB" w:rsidRPr="00B148B1" w:rsidRDefault="00D774EB" w:rsidP="004C2581">
      <w:pPr>
        <w:numPr>
          <w:ilvl w:val="0"/>
          <w:numId w:val="5"/>
        </w:numPr>
        <w:tabs>
          <w:tab w:val="left" w:pos="9600"/>
        </w:tabs>
        <w:spacing w:before="120" w:line="280" w:lineRule="atLeast"/>
        <w:rPr>
          <w:rFonts w:cs="Arial"/>
          <w:szCs w:val="20"/>
        </w:rPr>
      </w:pPr>
      <w:r w:rsidRPr="00B148B1">
        <w:rPr>
          <w:rFonts w:cs="Arial"/>
          <w:szCs w:val="20"/>
        </w:rPr>
        <w:t>Strokovna podpora ekonomski</w:t>
      </w:r>
      <w:r w:rsidR="00ED2D76" w:rsidRPr="00B148B1">
        <w:rPr>
          <w:rFonts w:cs="Arial"/>
          <w:szCs w:val="20"/>
        </w:rPr>
        <w:t>m</w:t>
      </w:r>
      <w:r w:rsidRPr="00B148B1">
        <w:rPr>
          <w:rFonts w:cs="Arial"/>
          <w:szCs w:val="20"/>
        </w:rPr>
        <w:t xml:space="preserve"> vsebinam projekta »Program ukrepov upravljanja voda« (podpora </w:t>
      </w:r>
      <w:r w:rsidR="001F1B2E" w:rsidRPr="00B148B1">
        <w:rPr>
          <w:rFonts w:cs="Arial"/>
          <w:szCs w:val="20"/>
        </w:rPr>
        <w:t>MOP</w:t>
      </w:r>
      <w:r w:rsidRPr="00B148B1">
        <w:rPr>
          <w:rFonts w:cs="Arial"/>
          <w:szCs w:val="20"/>
        </w:rPr>
        <w:t xml:space="preserve"> pri pripravi ukrepov za obdobje 2015</w:t>
      </w:r>
      <w:r w:rsidR="004A602C" w:rsidRPr="00B148B1">
        <w:rPr>
          <w:rFonts w:cs="Arial"/>
          <w:szCs w:val="20"/>
        </w:rPr>
        <w:t>–</w:t>
      </w:r>
      <w:r w:rsidRPr="00B148B1">
        <w:rPr>
          <w:rFonts w:cs="Arial"/>
          <w:szCs w:val="20"/>
        </w:rPr>
        <w:t>2021), sklop Operativni program odvajanja in čiščenja komunalne odpadne vode, končno poročilo, Razvojni center Inženiringi Celje</w:t>
      </w:r>
      <w:r w:rsidR="001F1B2E" w:rsidRPr="00B148B1">
        <w:rPr>
          <w:rFonts w:cs="Arial"/>
          <w:szCs w:val="20"/>
        </w:rPr>
        <w:t>,</w:t>
      </w:r>
      <w:r w:rsidRPr="00B148B1">
        <w:rPr>
          <w:rFonts w:cs="Arial"/>
          <w:szCs w:val="20"/>
        </w:rPr>
        <w:t xml:space="preserve"> d.</w:t>
      </w:r>
      <w:r w:rsidR="001F1B2E" w:rsidRPr="00B148B1">
        <w:rPr>
          <w:rFonts w:cs="Arial"/>
          <w:szCs w:val="20"/>
        </w:rPr>
        <w:t xml:space="preserve"> </w:t>
      </w:r>
      <w:r w:rsidRPr="00B148B1">
        <w:rPr>
          <w:rFonts w:cs="Arial"/>
          <w:szCs w:val="20"/>
        </w:rPr>
        <w:t>o.</w:t>
      </w:r>
      <w:r w:rsidR="001F1B2E" w:rsidRPr="00B148B1">
        <w:rPr>
          <w:rFonts w:cs="Arial"/>
          <w:szCs w:val="20"/>
        </w:rPr>
        <w:t xml:space="preserve"> </w:t>
      </w:r>
      <w:r w:rsidRPr="00B148B1">
        <w:rPr>
          <w:rFonts w:cs="Arial"/>
          <w:szCs w:val="20"/>
        </w:rPr>
        <w:t>o. Celje, december 2015</w:t>
      </w:r>
      <w:r w:rsidR="006E0EA4">
        <w:rPr>
          <w:rFonts w:cs="Arial"/>
          <w:szCs w:val="20"/>
        </w:rPr>
        <w:t>.</w:t>
      </w:r>
    </w:p>
    <w:p w:rsidR="00D774EB" w:rsidRPr="00B148B1" w:rsidRDefault="00D774EB" w:rsidP="004C2581">
      <w:pPr>
        <w:numPr>
          <w:ilvl w:val="0"/>
          <w:numId w:val="5"/>
        </w:numPr>
        <w:tabs>
          <w:tab w:val="left" w:pos="9600"/>
        </w:tabs>
        <w:spacing w:before="120" w:line="280" w:lineRule="atLeast"/>
        <w:rPr>
          <w:rFonts w:cs="Arial"/>
          <w:szCs w:val="20"/>
        </w:rPr>
      </w:pPr>
      <w:r w:rsidRPr="00B148B1">
        <w:rPr>
          <w:rFonts w:cs="Arial"/>
          <w:szCs w:val="20"/>
        </w:rPr>
        <w:t>Uredba o odvajanju in čiščenju komunalne odpadne vode (Uradni list RS, št. 98/15</w:t>
      </w:r>
      <w:r w:rsidR="006C2E70" w:rsidRPr="00B148B1">
        <w:rPr>
          <w:rFonts w:cs="Arial"/>
          <w:szCs w:val="20"/>
        </w:rPr>
        <w:t>,</w:t>
      </w:r>
      <w:r w:rsidR="00685C1C" w:rsidRPr="00B148B1">
        <w:rPr>
          <w:rFonts w:cs="Arial"/>
          <w:szCs w:val="20"/>
        </w:rPr>
        <w:t>76/17</w:t>
      </w:r>
      <w:r w:rsidR="006C2E70" w:rsidRPr="00B148B1">
        <w:rPr>
          <w:rFonts w:cs="Arial"/>
          <w:szCs w:val="20"/>
        </w:rPr>
        <w:t xml:space="preserve"> in 81/19</w:t>
      </w:r>
      <w:r w:rsidRPr="00B148B1">
        <w:rPr>
          <w:rFonts w:cs="Arial"/>
          <w:szCs w:val="20"/>
        </w:rPr>
        <w:t>)</w:t>
      </w:r>
      <w:r w:rsidR="001F1B2E" w:rsidRPr="00B148B1">
        <w:rPr>
          <w:rFonts w:cs="Arial"/>
          <w:szCs w:val="20"/>
        </w:rPr>
        <w:t>.</w:t>
      </w:r>
    </w:p>
    <w:p w:rsidR="00685C1C" w:rsidRPr="00B148B1" w:rsidRDefault="00685C1C" w:rsidP="004C2581">
      <w:pPr>
        <w:numPr>
          <w:ilvl w:val="0"/>
          <w:numId w:val="5"/>
        </w:numPr>
        <w:tabs>
          <w:tab w:val="left" w:pos="9600"/>
        </w:tabs>
        <w:spacing w:before="120" w:line="280" w:lineRule="atLeast"/>
        <w:rPr>
          <w:rFonts w:cs="Arial"/>
          <w:szCs w:val="20"/>
        </w:rPr>
      </w:pPr>
      <w:r w:rsidRPr="00B148B1">
        <w:rPr>
          <w:rFonts w:cs="Arial"/>
          <w:szCs w:val="20"/>
        </w:rPr>
        <w:t>Uredba o emisiji snovi in toplote pri odvajanju odpadnih voda v vode in javno kanalizacijo (Uradni list RS, št. 64/12, 64/14 in 98/15)</w:t>
      </w:r>
      <w:r w:rsidR="001F1B2E" w:rsidRPr="00B148B1">
        <w:rPr>
          <w:rFonts w:cs="Arial"/>
          <w:szCs w:val="20"/>
        </w:rPr>
        <w:t>.</w:t>
      </w:r>
    </w:p>
    <w:p w:rsidR="00D774EB" w:rsidRPr="00B148B1" w:rsidRDefault="00D774EB" w:rsidP="004C2581">
      <w:pPr>
        <w:numPr>
          <w:ilvl w:val="0"/>
          <w:numId w:val="5"/>
        </w:numPr>
        <w:tabs>
          <w:tab w:val="left" w:pos="9600"/>
        </w:tabs>
        <w:spacing w:before="120" w:line="280" w:lineRule="atLeast"/>
        <w:rPr>
          <w:rFonts w:cs="Arial"/>
          <w:szCs w:val="20"/>
        </w:rPr>
      </w:pPr>
      <w:r w:rsidRPr="00B148B1">
        <w:rPr>
          <w:rFonts w:cs="Arial"/>
          <w:szCs w:val="20"/>
        </w:rPr>
        <w:t>Uredba o merilih za določanje razvitosti infrastrukture in obremenjenosti okolja zaradi ugotavljanja deleža plačila občini za koncesijo na naravni dobrini (Uradni list RS, št. 74/04)</w:t>
      </w:r>
      <w:r w:rsidR="001F1B2E" w:rsidRPr="00B148B1">
        <w:rPr>
          <w:rFonts w:cs="Arial"/>
          <w:szCs w:val="20"/>
        </w:rPr>
        <w:t>.</w:t>
      </w:r>
    </w:p>
    <w:p w:rsidR="00D774EB" w:rsidRPr="00B148B1" w:rsidRDefault="00D774EB" w:rsidP="004C2581">
      <w:pPr>
        <w:numPr>
          <w:ilvl w:val="0"/>
          <w:numId w:val="5"/>
        </w:numPr>
        <w:tabs>
          <w:tab w:val="left" w:pos="9600"/>
        </w:tabs>
        <w:spacing w:before="120" w:line="280" w:lineRule="atLeast"/>
        <w:rPr>
          <w:rFonts w:cs="Arial"/>
          <w:szCs w:val="20"/>
        </w:rPr>
      </w:pPr>
      <w:r w:rsidRPr="00B148B1">
        <w:rPr>
          <w:rFonts w:cs="Arial"/>
          <w:szCs w:val="20"/>
        </w:rPr>
        <w:t>Pravilnik o občutljivih območ</w:t>
      </w:r>
      <w:r w:rsidR="004A602C" w:rsidRPr="00B148B1">
        <w:rPr>
          <w:rFonts w:cs="Arial"/>
          <w:szCs w:val="20"/>
        </w:rPr>
        <w:t>jih (Uradni list RS, št. 98/15).</w:t>
      </w:r>
    </w:p>
    <w:p w:rsidR="00D774EB" w:rsidRPr="00B148B1" w:rsidRDefault="00D774EB" w:rsidP="004C2581">
      <w:pPr>
        <w:numPr>
          <w:ilvl w:val="0"/>
          <w:numId w:val="5"/>
        </w:numPr>
        <w:tabs>
          <w:tab w:val="left" w:pos="9600"/>
        </w:tabs>
        <w:spacing w:before="120" w:line="280" w:lineRule="atLeast"/>
        <w:rPr>
          <w:rFonts w:cs="Arial"/>
          <w:szCs w:val="20"/>
        </w:rPr>
      </w:pPr>
      <w:r w:rsidRPr="00B148B1">
        <w:rPr>
          <w:rFonts w:cs="Arial"/>
          <w:szCs w:val="20"/>
        </w:rPr>
        <w:lastRenderedPageBreak/>
        <w:t>Operativni program odvajanja in čiščenja komunalne odpadne vode (</w:t>
      </w:r>
      <w:proofErr w:type="spellStart"/>
      <w:r w:rsidRPr="00B148B1">
        <w:rPr>
          <w:rFonts w:cs="Arial"/>
          <w:szCs w:val="20"/>
        </w:rPr>
        <w:t>novelacija</w:t>
      </w:r>
      <w:proofErr w:type="spellEnd"/>
      <w:r w:rsidRPr="00B148B1">
        <w:rPr>
          <w:rFonts w:cs="Arial"/>
          <w:szCs w:val="20"/>
        </w:rPr>
        <w:t xml:space="preserve"> za obdob</w:t>
      </w:r>
      <w:r w:rsidR="004A602C" w:rsidRPr="00B148B1">
        <w:rPr>
          <w:rFonts w:cs="Arial"/>
          <w:szCs w:val="20"/>
        </w:rPr>
        <w:t>je od leta 2005 do leta 2017), s</w:t>
      </w:r>
      <w:r w:rsidRPr="00B148B1">
        <w:rPr>
          <w:rFonts w:cs="Arial"/>
          <w:szCs w:val="20"/>
        </w:rPr>
        <w:t>klep Vlade RS, št. 35401-</w:t>
      </w:r>
      <w:r w:rsidR="004A602C" w:rsidRPr="00B148B1">
        <w:rPr>
          <w:rFonts w:cs="Arial"/>
          <w:szCs w:val="20"/>
        </w:rPr>
        <w:t>2/2010/3 z dne 11. 11. 2010 in s</w:t>
      </w:r>
      <w:r w:rsidRPr="00B148B1">
        <w:rPr>
          <w:rFonts w:cs="Arial"/>
          <w:szCs w:val="20"/>
        </w:rPr>
        <w:t>klep Vlade RS, št. 3</w:t>
      </w:r>
      <w:r w:rsidR="004A602C" w:rsidRPr="00B148B1">
        <w:rPr>
          <w:rFonts w:cs="Arial"/>
          <w:szCs w:val="20"/>
        </w:rPr>
        <w:t>5401-2/2010/8 z dne 14. 7. 2011.</w:t>
      </w:r>
    </w:p>
    <w:p w:rsidR="00D774EB" w:rsidRPr="00B148B1" w:rsidRDefault="00D774EB" w:rsidP="004C2581">
      <w:pPr>
        <w:numPr>
          <w:ilvl w:val="0"/>
          <w:numId w:val="5"/>
        </w:numPr>
        <w:tabs>
          <w:tab w:val="left" w:pos="9600"/>
        </w:tabs>
        <w:spacing w:before="120" w:line="280" w:lineRule="atLeast"/>
        <w:rPr>
          <w:rFonts w:cs="Arial"/>
          <w:szCs w:val="20"/>
        </w:rPr>
      </w:pPr>
      <w:r w:rsidRPr="00B148B1">
        <w:rPr>
          <w:rFonts w:cs="Arial"/>
          <w:szCs w:val="20"/>
        </w:rPr>
        <w:t>Operativni program za izvajanje evropske kohezijske politike za obdobje 2014–2020</w:t>
      </w:r>
      <w:r w:rsidR="001F1B2E" w:rsidRPr="00B148B1">
        <w:rPr>
          <w:rFonts w:cs="Arial"/>
          <w:szCs w:val="20"/>
        </w:rPr>
        <w:t>.</w:t>
      </w:r>
      <w:r w:rsidRPr="00B148B1">
        <w:rPr>
          <w:rFonts w:cs="Arial"/>
          <w:szCs w:val="20"/>
        </w:rPr>
        <w:t xml:space="preserve"> Ministrstvo za infrastrukturo RS, december 2014</w:t>
      </w:r>
      <w:r w:rsidR="001F1B2E" w:rsidRPr="00B148B1">
        <w:rPr>
          <w:rFonts w:cs="Arial"/>
          <w:szCs w:val="20"/>
        </w:rPr>
        <w:t>.</w:t>
      </w:r>
    </w:p>
    <w:p w:rsidR="00D774EB" w:rsidRPr="00B148B1" w:rsidRDefault="00D774EB" w:rsidP="004C2581">
      <w:pPr>
        <w:numPr>
          <w:ilvl w:val="0"/>
          <w:numId w:val="5"/>
        </w:numPr>
        <w:tabs>
          <w:tab w:val="left" w:pos="9600"/>
        </w:tabs>
        <w:spacing w:before="120" w:line="280" w:lineRule="atLeast"/>
        <w:rPr>
          <w:rFonts w:cs="Arial"/>
          <w:szCs w:val="20"/>
        </w:rPr>
      </w:pPr>
      <w:r w:rsidRPr="00B148B1">
        <w:rPr>
          <w:rFonts w:cs="Arial"/>
          <w:szCs w:val="20"/>
        </w:rPr>
        <w:t xml:space="preserve">Direktiva </w:t>
      </w:r>
      <w:r w:rsidRPr="00B148B1">
        <w:rPr>
          <w:rFonts w:cs="Arial"/>
        </w:rPr>
        <w:t>Sveta št. 91/271/EGS z dne 21. maja 1991 o čiščenju komunalne odpadne vode (UL L št. 135 z dne 30. 5. 1991, str. 40), zadnjič spremenjen</w:t>
      </w:r>
      <w:r w:rsidR="001F1B2E" w:rsidRPr="00B148B1">
        <w:rPr>
          <w:rFonts w:cs="Arial"/>
        </w:rPr>
        <w:t>a</w:t>
      </w:r>
      <w:r w:rsidRPr="00B148B1">
        <w:rPr>
          <w:rFonts w:cs="Arial"/>
        </w:rPr>
        <w:t xml:space="preserve"> z Direktivo Sveta 2013/64/EU z dne 17. decembra 2013 o spremembi direktiv Sveta 91/271/EGS in 1999/74/EC ter direktiv 2000/60/ES, 2006/7/ES, 2006/25/ES in 2011/24/EU Evropskega parlamenta in Sveta zaradi spremembe položaja </w:t>
      </w:r>
      <w:proofErr w:type="spellStart"/>
      <w:r w:rsidRPr="00B148B1">
        <w:rPr>
          <w:rFonts w:cs="Arial"/>
        </w:rPr>
        <w:t>Mayotta</w:t>
      </w:r>
      <w:proofErr w:type="spellEnd"/>
      <w:r w:rsidRPr="00B148B1">
        <w:rPr>
          <w:rFonts w:cs="Arial"/>
        </w:rPr>
        <w:t xml:space="preserve"> v razmerju do Evropske unije (UL L št. 353 z dne 28. 12. 2013, str. 8)</w:t>
      </w:r>
      <w:r w:rsidR="001F1B2E" w:rsidRPr="00B148B1">
        <w:rPr>
          <w:rFonts w:cs="Arial"/>
        </w:rPr>
        <w:t>.</w:t>
      </w:r>
    </w:p>
    <w:p w:rsidR="00D774EB" w:rsidRPr="00B148B1" w:rsidRDefault="00D774EB" w:rsidP="004C2581">
      <w:pPr>
        <w:numPr>
          <w:ilvl w:val="0"/>
          <w:numId w:val="5"/>
        </w:numPr>
        <w:tabs>
          <w:tab w:val="left" w:pos="9600"/>
        </w:tabs>
        <w:spacing w:before="120" w:line="280" w:lineRule="atLeast"/>
        <w:rPr>
          <w:rFonts w:cs="Arial"/>
          <w:szCs w:val="20"/>
        </w:rPr>
      </w:pPr>
      <w:r w:rsidRPr="00B148B1">
        <w:rPr>
          <w:rFonts w:cs="Arial"/>
          <w:szCs w:val="20"/>
        </w:rPr>
        <w:t xml:space="preserve">Akt o </w:t>
      </w:r>
      <w:r w:rsidRPr="00B148B1">
        <w:rPr>
          <w:rFonts w:cs="Arial"/>
        </w:rPr>
        <w:t xml:space="preserve">pogojih pristopa Češke republike, Republike Estonije, Republike Cipra, Republike Latvije, Republike Litve, Republike Madžarske, Republike Malte, Republike Poljske, Republike Slovenije in Slovaške republike in prilagoditvah </w:t>
      </w:r>
      <w:r w:rsidR="00B92D6E" w:rsidRPr="00B148B1">
        <w:rPr>
          <w:rFonts w:cs="Arial"/>
        </w:rPr>
        <w:t>p</w:t>
      </w:r>
      <w:r w:rsidRPr="00B148B1">
        <w:rPr>
          <w:rFonts w:cs="Arial"/>
        </w:rPr>
        <w:t>ogodb, na katerih temelji Evropska unija (UL L št. 236 z dne 23. 9. 2003, str. 33)</w:t>
      </w:r>
      <w:r w:rsidR="00B92D6E" w:rsidRPr="00B148B1">
        <w:rPr>
          <w:rFonts w:cs="Arial"/>
        </w:rPr>
        <w:t>.</w:t>
      </w:r>
    </w:p>
    <w:p w:rsidR="00D774EB" w:rsidRPr="00B148B1" w:rsidRDefault="00D774EB" w:rsidP="004C2581">
      <w:pPr>
        <w:numPr>
          <w:ilvl w:val="0"/>
          <w:numId w:val="5"/>
        </w:numPr>
        <w:tabs>
          <w:tab w:val="left" w:pos="9600"/>
        </w:tabs>
        <w:spacing w:before="120" w:line="280" w:lineRule="atLeast"/>
        <w:rPr>
          <w:rFonts w:cs="Arial"/>
          <w:szCs w:val="20"/>
        </w:rPr>
      </w:pPr>
      <w:r w:rsidRPr="00B148B1">
        <w:rPr>
          <w:rFonts w:cs="Arial"/>
          <w:szCs w:val="20"/>
        </w:rPr>
        <w:t>Direktiva 2008/98/ES Evropskega parlamenta in Sveta z dne 19. novembra 2008 o odpadkih in razveljavitvi nekaterih direktiv (UL L št. 312 z dne 22. 11. 2008, str. 3), zadnjič spremenjeno z Direktivo Komisije (EU) 2015/1127 z dne 10. julija 2015 o spremembi Priloge II k Direktivi 2008/98/ES Evropskega parlamenta in Sveta o odpadkih in razveljavitvi nekaterih direktiv (UL L št. 184 z dne 11. 7. 2015, str. 13)</w:t>
      </w:r>
      <w:r w:rsidR="00B92D6E" w:rsidRPr="00B148B1">
        <w:rPr>
          <w:rFonts w:cs="Arial"/>
          <w:szCs w:val="20"/>
        </w:rPr>
        <w:t>.</w:t>
      </w:r>
    </w:p>
    <w:p w:rsidR="00D774EB" w:rsidRPr="00B148B1" w:rsidRDefault="00D774EB" w:rsidP="004C2581">
      <w:pPr>
        <w:numPr>
          <w:ilvl w:val="0"/>
          <w:numId w:val="5"/>
        </w:numPr>
        <w:tabs>
          <w:tab w:val="left" w:pos="9600"/>
        </w:tabs>
        <w:spacing w:before="120" w:line="280" w:lineRule="atLeast"/>
        <w:rPr>
          <w:rFonts w:cs="Arial"/>
          <w:szCs w:val="20"/>
        </w:rPr>
      </w:pPr>
      <w:r w:rsidRPr="00B148B1">
        <w:rPr>
          <w:rFonts w:cs="Arial"/>
          <w:szCs w:val="20"/>
        </w:rPr>
        <w:t>Direktiva Evropskega parlamenta in Sveta 2000/60/ES z dne 23. oktobra 2000 o določitvi okvira za ukrepe Skupnosti na področju vodne politike (UL L št. 327 z dne 22. 12. 2000, str. 1), zadnjič spremenjena z Direktivo Komisije 2014/101/EU z dne 30. oktobra 2014 o spremembi Direktive Evropskega parlamenta in Sveta 2000/60/ES o določitvi okvira za ukrepe Skupnosti na področju vodne politike (UL L št. 311 z dne 31. 10. 2014, str. 32)</w:t>
      </w:r>
      <w:r w:rsidR="00B92D6E" w:rsidRPr="00B148B1">
        <w:rPr>
          <w:rFonts w:cs="Arial"/>
          <w:szCs w:val="20"/>
        </w:rPr>
        <w:t>.</w:t>
      </w:r>
    </w:p>
    <w:p w:rsidR="00D774EB" w:rsidRPr="00B148B1" w:rsidRDefault="00D774EB" w:rsidP="004C2581">
      <w:pPr>
        <w:numPr>
          <w:ilvl w:val="0"/>
          <w:numId w:val="5"/>
        </w:numPr>
        <w:tabs>
          <w:tab w:val="left" w:pos="9600"/>
        </w:tabs>
        <w:spacing w:before="120" w:line="280" w:lineRule="atLeast"/>
        <w:rPr>
          <w:rFonts w:cs="Arial"/>
          <w:szCs w:val="20"/>
        </w:rPr>
      </w:pPr>
      <w:r w:rsidRPr="00B148B1">
        <w:rPr>
          <w:rFonts w:cs="Arial"/>
          <w:szCs w:val="20"/>
        </w:rPr>
        <w:t xml:space="preserve">Direktiva Evropskega parlamenta in Sveta 2006/7/ES z dne 15. februarja 2006 o upravljanju kakovosti kopalnih voda in razveljavitvi Direktive 76/160/EGS (UL L št. 64, z dne 4. 3. 2006, str. 37), zadnjič spremenjena z Direktivo Sveta 2013/64/EU z dne 17. decembra 2013 o spremembi direktiv Sveta 91/271/EGS in 1999/74/EC ter direktiv 2000/60/ES, 2006/7/ES, 2006/25/ES in 2011/24/EU Evropskega parlamenta in Sveta zaradi spremembe položaja </w:t>
      </w:r>
      <w:proofErr w:type="spellStart"/>
      <w:r w:rsidRPr="00B148B1">
        <w:rPr>
          <w:rFonts w:cs="Arial"/>
          <w:szCs w:val="20"/>
        </w:rPr>
        <w:t>Mayotta</w:t>
      </w:r>
      <w:proofErr w:type="spellEnd"/>
      <w:r w:rsidRPr="00B148B1">
        <w:rPr>
          <w:rFonts w:cs="Arial"/>
          <w:szCs w:val="20"/>
        </w:rPr>
        <w:t xml:space="preserve"> v razmerju do Evropske unije (UL L 353 z dne 28. 12. 2013, str. 8</w:t>
      </w:r>
      <w:r w:rsidR="00BD2B56" w:rsidRPr="00B148B1">
        <w:rPr>
          <w:rFonts w:cs="Arial"/>
          <w:szCs w:val="20"/>
        </w:rPr>
        <w:t>)</w:t>
      </w:r>
      <w:r w:rsidR="00B92D6E" w:rsidRPr="00B148B1">
        <w:rPr>
          <w:rFonts w:cs="Arial"/>
          <w:szCs w:val="20"/>
        </w:rPr>
        <w:t>.</w:t>
      </w:r>
    </w:p>
    <w:p w:rsidR="00BD2B56" w:rsidRPr="00B148B1" w:rsidRDefault="00BD2B56" w:rsidP="004C2581">
      <w:pPr>
        <w:numPr>
          <w:ilvl w:val="0"/>
          <w:numId w:val="5"/>
        </w:numPr>
        <w:tabs>
          <w:tab w:val="left" w:pos="9600"/>
        </w:tabs>
        <w:spacing w:before="120" w:line="280" w:lineRule="atLeast"/>
        <w:rPr>
          <w:rFonts w:cs="Arial"/>
          <w:szCs w:val="20"/>
        </w:rPr>
      </w:pPr>
      <w:proofErr w:type="spellStart"/>
      <w:r w:rsidRPr="00B148B1">
        <w:rPr>
          <w:rFonts w:cs="Arial"/>
          <w:szCs w:val="20"/>
        </w:rPr>
        <w:t>Evaluation</w:t>
      </w:r>
      <w:proofErr w:type="spellEnd"/>
      <w:r w:rsidRPr="00B148B1">
        <w:rPr>
          <w:rFonts w:cs="Arial"/>
          <w:szCs w:val="20"/>
        </w:rPr>
        <w:t xml:space="preserve"> </w:t>
      </w:r>
      <w:proofErr w:type="spellStart"/>
      <w:r w:rsidRPr="00B148B1">
        <w:rPr>
          <w:rFonts w:cs="Arial"/>
          <w:szCs w:val="20"/>
        </w:rPr>
        <w:t>of</w:t>
      </w:r>
      <w:proofErr w:type="spellEnd"/>
      <w:r w:rsidRPr="00B148B1">
        <w:rPr>
          <w:rFonts w:cs="Arial"/>
          <w:szCs w:val="20"/>
        </w:rPr>
        <w:t xml:space="preserve"> </w:t>
      </w:r>
      <w:proofErr w:type="spellStart"/>
      <w:r w:rsidRPr="00B148B1">
        <w:rPr>
          <w:rFonts w:cs="Arial"/>
          <w:szCs w:val="20"/>
        </w:rPr>
        <w:t>Information</w:t>
      </w:r>
      <w:proofErr w:type="spellEnd"/>
      <w:r w:rsidRPr="00B148B1">
        <w:rPr>
          <w:rFonts w:cs="Arial"/>
          <w:szCs w:val="20"/>
        </w:rPr>
        <w:t xml:space="preserve"> </w:t>
      </w:r>
      <w:proofErr w:type="spellStart"/>
      <w:r w:rsidRPr="00B148B1">
        <w:rPr>
          <w:rFonts w:cs="Arial"/>
          <w:szCs w:val="20"/>
        </w:rPr>
        <w:t>reported</w:t>
      </w:r>
      <w:proofErr w:type="spellEnd"/>
      <w:r w:rsidRPr="00B148B1">
        <w:rPr>
          <w:rFonts w:cs="Arial"/>
          <w:szCs w:val="20"/>
        </w:rPr>
        <w:t xml:space="preserve"> in </w:t>
      </w:r>
      <w:proofErr w:type="spellStart"/>
      <w:r w:rsidRPr="00B148B1">
        <w:rPr>
          <w:rFonts w:cs="Arial"/>
          <w:szCs w:val="20"/>
        </w:rPr>
        <w:t>the</w:t>
      </w:r>
      <w:proofErr w:type="spellEnd"/>
      <w:r w:rsidRPr="00B148B1">
        <w:rPr>
          <w:rFonts w:cs="Arial"/>
          <w:szCs w:val="20"/>
        </w:rPr>
        <w:t xml:space="preserve"> </w:t>
      </w:r>
      <w:proofErr w:type="spellStart"/>
      <w:r w:rsidRPr="00B148B1">
        <w:rPr>
          <w:rFonts w:cs="Arial"/>
          <w:szCs w:val="20"/>
        </w:rPr>
        <w:t>Frame</w:t>
      </w:r>
      <w:proofErr w:type="spellEnd"/>
      <w:r w:rsidRPr="00B148B1">
        <w:rPr>
          <w:rFonts w:cs="Arial"/>
          <w:szCs w:val="20"/>
        </w:rPr>
        <w:t xml:space="preserve"> </w:t>
      </w:r>
      <w:proofErr w:type="spellStart"/>
      <w:r w:rsidRPr="00B148B1">
        <w:rPr>
          <w:rFonts w:cs="Arial"/>
          <w:szCs w:val="20"/>
        </w:rPr>
        <w:t>of</w:t>
      </w:r>
      <w:proofErr w:type="spellEnd"/>
      <w:r w:rsidRPr="00B148B1">
        <w:rPr>
          <w:rFonts w:cs="Arial"/>
          <w:szCs w:val="20"/>
        </w:rPr>
        <w:t xml:space="preserve"> UWWTD </w:t>
      </w:r>
      <w:proofErr w:type="spellStart"/>
      <w:r w:rsidRPr="00B148B1">
        <w:rPr>
          <w:rFonts w:cs="Arial"/>
          <w:szCs w:val="20"/>
        </w:rPr>
        <w:t>Questionnaires</w:t>
      </w:r>
      <w:proofErr w:type="spellEnd"/>
      <w:r w:rsidRPr="00B148B1">
        <w:rPr>
          <w:rFonts w:cs="Arial"/>
          <w:szCs w:val="20"/>
        </w:rPr>
        <w:t xml:space="preserve">, General </w:t>
      </w:r>
      <w:proofErr w:type="spellStart"/>
      <w:r w:rsidRPr="00B148B1">
        <w:rPr>
          <w:rFonts w:cs="Arial"/>
          <w:szCs w:val="20"/>
        </w:rPr>
        <w:t>Methodology</w:t>
      </w:r>
      <w:proofErr w:type="spellEnd"/>
      <w:r w:rsidRPr="00B148B1">
        <w:rPr>
          <w:rFonts w:cs="Arial"/>
          <w:szCs w:val="20"/>
        </w:rPr>
        <w:t xml:space="preserve"> </w:t>
      </w:r>
      <w:proofErr w:type="spellStart"/>
      <w:r w:rsidRPr="00B148B1">
        <w:rPr>
          <w:rFonts w:cs="Arial"/>
          <w:szCs w:val="20"/>
        </w:rPr>
        <w:t>and</w:t>
      </w:r>
      <w:proofErr w:type="spellEnd"/>
      <w:r w:rsidRPr="00B148B1">
        <w:rPr>
          <w:rFonts w:cs="Arial"/>
          <w:szCs w:val="20"/>
        </w:rPr>
        <w:t xml:space="preserve"> </w:t>
      </w:r>
      <w:proofErr w:type="spellStart"/>
      <w:r w:rsidRPr="00B148B1">
        <w:rPr>
          <w:rFonts w:cs="Arial"/>
          <w:szCs w:val="20"/>
        </w:rPr>
        <w:t>Working</w:t>
      </w:r>
      <w:proofErr w:type="spellEnd"/>
      <w:r w:rsidRPr="00B148B1">
        <w:rPr>
          <w:rFonts w:cs="Arial"/>
          <w:szCs w:val="20"/>
        </w:rPr>
        <w:t xml:space="preserve"> </w:t>
      </w:r>
      <w:proofErr w:type="spellStart"/>
      <w:r w:rsidRPr="00B148B1">
        <w:rPr>
          <w:rFonts w:cs="Arial"/>
          <w:szCs w:val="20"/>
        </w:rPr>
        <w:t>Steps</w:t>
      </w:r>
      <w:proofErr w:type="spellEnd"/>
      <w:r w:rsidRPr="00B148B1">
        <w:rPr>
          <w:rFonts w:cs="Arial"/>
          <w:szCs w:val="20"/>
        </w:rPr>
        <w:t xml:space="preserve">, </w:t>
      </w:r>
      <w:proofErr w:type="spellStart"/>
      <w:r w:rsidRPr="00B148B1">
        <w:rPr>
          <w:rFonts w:cs="Arial"/>
          <w:szCs w:val="20"/>
        </w:rPr>
        <w:t>March</w:t>
      </w:r>
      <w:proofErr w:type="spellEnd"/>
      <w:r w:rsidRPr="00B148B1">
        <w:rPr>
          <w:rFonts w:cs="Arial"/>
          <w:szCs w:val="20"/>
        </w:rPr>
        <w:t xml:space="preserve"> 2012, </w:t>
      </w:r>
      <w:proofErr w:type="spellStart"/>
      <w:r w:rsidRPr="00B148B1">
        <w:rPr>
          <w:rFonts w:cs="Arial"/>
          <w:szCs w:val="20"/>
        </w:rPr>
        <w:t>revised</w:t>
      </w:r>
      <w:proofErr w:type="spellEnd"/>
      <w:r w:rsidRPr="00B148B1">
        <w:rPr>
          <w:rFonts w:cs="Arial"/>
          <w:szCs w:val="20"/>
        </w:rPr>
        <w:t xml:space="preserve"> </w:t>
      </w:r>
      <w:proofErr w:type="spellStart"/>
      <w:r w:rsidRPr="00B148B1">
        <w:rPr>
          <w:rFonts w:cs="Arial"/>
          <w:szCs w:val="20"/>
        </w:rPr>
        <w:t>October</w:t>
      </w:r>
      <w:proofErr w:type="spellEnd"/>
      <w:r w:rsidRPr="00B148B1">
        <w:rPr>
          <w:rFonts w:cs="Arial"/>
          <w:szCs w:val="20"/>
        </w:rPr>
        <w:t xml:space="preserve"> 2014</w:t>
      </w:r>
      <w:r w:rsidR="00B92D6E" w:rsidRPr="00B148B1">
        <w:rPr>
          <w:rFonts w:cs="Arial"/>
          <w:szCs w:val="20"/>
        </w:rPr>
        <w:t>.</w:t>
      </w:r>
    </w:p>
    <w:p w:rsidR="00BD2B56" w:rsidRPr="00B148B1" w:rsidRDefault="00BD2B56" w:rsidP="004C2581">
      <w:pPr>
        <w:numPr>
          <w:ilvl w:val="0"/>
          <w:numId w:val="5"/>
        </w:numPr>
        <w:tabs>
          <w:tab w:val="left" w:pos="9600"/>
        </w:tabs>
        <w:spacing w:before="120" w:line="280" w:lineRule="atLeast"/>
        <w:rPr>
          <w:rFonts w:cs="Arial"/>
          <w:szCs w:val="20"/>
        </w:rPr>
      </w:pPr>
      <w:r w:rsidRPr="00B148B1">
        <w:rPr>
          <w:rFonts w:cs="Arial"/>
          <w:szCs w:val="20"/>
        </w:rPr>
        <w:t xml:space="preserve">UWWTD legal </w:t>
      </w:r>
      <w:proofErr w:type="spellStart"/>
      <w:r w:rsidRPr="00B148B1">
        <w:rPr>
          <w:rFonts w:cs="Arial"/>
          <w:szCs w:val="20"/>
        </w:rPr>
        <w:t>compliance</w:t>
      </w:r>
      <w:proofErr w:type="spellEnd"/>
      <w:r w:rsidRPr="00B148B1">
        <w:rPr>
          <w:rFonts w:cs="Arial"/>
          <w:szCs w:val="20"/>
        </w:rPr>
        <w:t xml:space="preserve"> </w:t>
      </w:r>
      <w:proofErr w:type="spellStart"/>
      <w:r w:rsidRPr="00B148B1">
        <w:rPr>
          <w:rFonts w:cs="Arial"/>
          <w:szCs w:val="20"/>
        </w:rPr>
        <w:t>assessment</w:t>
      </w:r>
      <w:proofErr w:type="spellEnd"/>
      <w:r w:rsidRPr="00B148B1">
        <w:rPr>
          <w:rFonts w:cs="Arial"/>
          <w:szCs w:val="20"/>
        </w:rPr>
        <w:t xml:space="preserve"> </w:t>
      </w:r>
      <w:proofErr w:type="spellStart"/>
      <w:r w:rsidRPr="00B148B1">
        <w:rPr>
          <w:rFonts w:cs="Arial"/>
          <w:szCs w:val="20"/>
        </w:rPr>
        <w:t>methodology</w:t>
      </w:r>
      <w:proofErr w:type="spellEnd"/>
      <w:r w:rsidRPr="00B148B1">
        <w:rPr>
          <w:rFonts w:cs="Arial"/>
          <w:szCs w:val="20"/>
        </w:rPr>
        <w:t xml:space="preserve"> </w:t>
      </w:r>
      <w:proofErr w:type="spellStart"/>
      <w:r w:rsidRPr="00B148B1">
        <w:rPr>
          <w:rFonts w:cs="Arial"/>
          <w:szCs w:val="20"/>
        </w:rPr>
        <w:t>document</w:t>
      </w:r>
      <w:proofErr w:type="spellEnd"/>
      <w:r w:rsidRPr="00B148B1">
        <w:rPr>
          <w:rFonts w:cs="Arial"/>
          <w:szCs w:val="20"/>
        </w:rPr>
        <w:t xml:space="preserve">, </w:t>
      </w:r>
      <w:proofErr w:type="spellStart"/>
      <w:r w:rsidRPr="00B148B1">
        <w:rPr>
          <w:rFonts w:cs="Arial"/>
          <w:szCs w:val="20"/>
        </w:rPr>
        <w:t>Final</w:t>
      </w:r>
      <w:proofErr w:type="spellEnd"/>
      <w:r w:rsidRPr="00B148B1">
        <w:rPr>
          <w:rFonts w:cs="Arial"/>
          <w:szCs w:val="20"/>
        </w:rPr>
        <w:t xml:space="preserve">, 20 </w:t>
      </w:r>
      <w:proofErr w:type="spellStart"/>
      <w:r w:rsidRPr="00B148B1">
        <w:rPr>
          <w:rFonts w:cs="Arial"/>
          <w:szCs w:val="20"/>
        </w:rPr>
        <w:t>June</w:t>
      </w:r>
      <w:proofErr w:type="spellEnd"/>
      <w:r w:rsidRPr="00B148B1">
        <w:rPr>
          <w:rFonts w:cs="Arial"/>
          <w:szCs w:val="20"/>
        </w:rPr>
        <w:t xml:space="preserve"> 2014.</w:t>
      </w:r>
    </w:p>
    <w:p w:rsidR="00D774EB" w:rsidRPr="00B148B1" w:rsidRDefault="00D774EB" w:rsidP="00D774EB">
      <w:pPr>
        <w:rPr>
          <w:rFonts w:cs="Arial"/>
        </w:rPr>
      </w:pPr>
    </w:p>
    <w:p w:rsidR="00D774EB" w:rsidRPr="00B148B1" w:rsidRDefault="00D774EB" w:rsidP="00B139B4">
      <w:pPr>
        <w:pStyle w:val="Naslov1"/>
      </w:pPr>
      <w:r w:rsidRPr="00B148B1">
        <w:rPr>
          <w:szCs w:val="20"/>
        </w:rPr>
        <w:br w:type="page"/>
      </w:r>
      <w:bookmarkStart w:id="184" w:name="_Toc50628114"/>
      <w:r w:rsidRPr="00B148B1">
        <w:lastRenderedPageBreak/>
        <w:t>PRILOGE</w:t>
      </w:r>
      <w:bookmarkEnd w:id="184"/>
    </w:p>
    <w:p w:rsidR="00D774EB" w:rsidRPr="00B148B1" w:rsidRDefault="00D774EB">
      <w:pPr>
        <w:spacing w:line="240" w:lineRule="auto"/>
        <w:rPr>
          <w:rFonts w:cs="Arial"/>
          <w:szCs w:val="20"/>
        </w:rPr>
      </w:pPr>
    </w:p>
    <w:p w:rsidR="00BB19AC" w:rsidRPr="00B148B1" w:rsidRDefault="00BB19AC" w:rsidP="00761B11">
      <w:pPr>
        <w:rPr>
          <w:rFonts w:cs="Arial"/>
          <w:szCs w:val="20"/>
        </w:rPr>
      </w:pPr>
      <w:bookmarkStart w:id="185" w:name="_Ref527579418"/>
      <w:bookmarkStart w:id="186" w:name="_Toc527125008"/>
      <w:bookmarkStart w:id="187" w:name="_Toc530517782"/>
      <w:r w:rsidRPr="00B148B1">
        <w:rPr>
          <w:rFonts w:cs="Arial"/>
          <w:szCs w:val="20"/>
        </w:rPr>
        <w:t xml:space="preserve">PRILOGA </w:t>
      </w:r>
      <w:r w:rsidR="004A0F03" w:rsidRPr="00B148B1">
        <w:rPr>
          <w:rFonts w:cs="Arial"/>
          <w:szCs w:val="20"/>
        </w:rPr>
        <w:fldChar w:fldCharType="begin"/>
      </w:r>
      <w:r w:rsidR="004A0F03" w:rsidRPr="00B148B1">
        <w:rPr>
          <w:rFonts w:cs="Arial"/>
          <w:szCs w:val="20"/>
        </w:rPr>
        <w:instrText xml:space="preserve"> SEQ PRILOGA \* ARABIC </w:instrText>
      </w:r>
      <w:r w:rsidR="004A0F03" w:rsidRPr="00B148B1">
        <w:rPr>
          <w:rFonts w:cs="Arial"/>
          <w:szCs w:val="20"/>
        </w:rPr>
        <w:fldChar w:fldCharType="separate"/>
      </w:r>
      <w:r w:rsidR="00E92793">
        <w:rPr>
          <w:rFonts w:cs="Arial"/>
          <w:noProof/>
          <w:szCs w:val="20"/>
        </w:rPr>
        <w:t>1</w:t>
      </w:r>
      <w:r w:rsidR="004A0F03" w:rsidRPr="00B148B1">
        <w:rPr>
          <w:rFonts w:cs="Arial"/>
          <w:noProof/>
          <w:szCs w:val="20"/>
        </w:rPr>
        <w:fldChar w:fldCharType="end"/>
      </w:r>
      <w:bookmarkEnd w:id="185"/>
      <w:r w:rsidRPr="00B148B1">
        <w:rPr>
          <w:rFonts w:cs="Arial"/>
          <w:szCs w:val="20"/>
        </w:rPr>
        <w:t>:</w:t>
      </w:r>
      <w:r w:rsidR="003449C1" w:rsidRPr="00B148B1">
        <w:rPr>
          <w:rFonts w:cs="Arial"/>
          <w:szCs w:val="20"/>
        </w:rPr>
        <w:tab/>
      </w:r>
      <w:r w:rsidRPr="00B148B1">
        <w:rPr>
          <w:rFonts w:cs="Arial"/>
          <w:szCs w:val="20"/>
        </w:rPr>
        <w:t xml:space="preserve">Občutljiva območja zaradi </w:t>
      </w:r>
      <w:proofErr w:type="spellStart"/>
      <w:r w:rsidRPr="00B148B1">
        <w:rPr>
          <w:rFonts w:cs="Arial"/>
          <w:szCs w:val="20"/>
        </w:rPr>
        <w:t>evtrofikacije</w:t>
      </w:r>
      <w:proofErr w:type="spellEnd"/>
      <w:r w:rsidRPr="00B148B1">
        <w:rPr>
          <w:rFonts w:cs="Arial"/>
          <w:szCs w:val="20"/>
        </w:rPr>
        <w:t xml:space="preserve"> in njihova prispevna območja</w:t>
      </w:r>
      <w:bookmarkEnd w:id="186"/>
      <w:bookmarkEnd w:id="187"/>
    </w:p>
    <w:p w:rsidR="003449C1" w:rsidRPr="00B148B1" w:rsidRDefault="003449C1" w:rsidP="00761B11">
      <w:pPr>
        <w:rPr>
          <w:rFonts w:cs="Arial"/>
          <w:szCs w:val="20"/>
        </w:rPr>
      </w:pPr>
    </w:p>
    <w:p w:rsidR="00850168" w:rsidRPr="00B148B1" w:rsidRDefault="00850168" w:rsidP="00761B11">
      <w:pPr>
        <w:rPr>
          <w:rFonts w:cs="Arial"/>
          <w:szCs w:val="20"/>
        </w:rPr>
      </w:pPr>
      <w:bookmarkStart w:id="188" w:name="_Ref527579419"/>
      <w:bookmarkStart w:id="189" w:name="_Toc527125009"/>
      <w:bookmarkStart w:id="190" w:name="_Toc530517783"/>
      <w:r w:rsidRPr="00B148B1">
        <w:rPr>
          <w:rFonts w:cs="Arial"/>
          <w:szCs w:val="20"/>
        </w:rPr>
        <w:t xml:space="preserve">PRILOGA </w:t>
      </w:r>
      <w:r w:rsidR="004A0F03" w:rsidRPr="00B148B1">
        <w:rPr>
          <w:rFonts w:cs="Arial"/>
          <w:szCs w:val="20"/>
        </w:rPr>
        <w:fldChar w:fldCharType="begin"/>
      </w:r>
      <w:r w:rsidR="004A0F03" w:rsidRPr="00B148B1">
        <w:rPr>
          <w:rFonts w:cs="Arial"/>
          <w:szCs w:val="20"/>
        </w:rPr>
        <w:instrText xml:space="preserve"> SEQ PRILOGA \* ARABIC </w:instrText>
      </w:r>
      <w:r w:rsidR="004A0F03" w:rsidRPr="00B148B1">
        <w:rPr>
          <w:rFonts w:cs="Arial"/>
          <w:szCs w:val="20"/>
        </w:rPr>
        <w:fldChar w:fldCharType="separate"/>
      </w:r>
      <w:r w:rsidR="00E92793">
        <w:rPr>
          <w:rFonts w:cs="Arial"/>
          <w:noProof/>
          <w:szCs w:val="20"/>
        </w:rPr>
        <w:t>2</w:t>
      </w:r>
      <w:r w:rsidR="004A0F03" w:rsidRPr="00B148B1">
        <w:rPr>
          <w:rFonts w:cs="Arial"/>
          <w:noProof/>
          <w:szCs w:val="20"/>
        </w:rPr>
        <w:fldChar w:fldCharType="end"/>
      </w:r>
      <w:bookmarkEnd w:id="188"/>
      <w:r w:rsidRPr="00B148B1">
        <w:rPr>
          <w:rFonts w:cs="Arial"/>
          <w:szCs w:val="20"/>
        </w:rPr>
        <w:t xml:space="preserve">: </w:t>
      </w:r>
      <w:r w:rsidR="003449C1" w:rsidRPr="00B148B1">
        <w:rPr>
          <w:rFonts w:cs="Arial"/>
          <w:szCs w:val="20"/>
        </w:rPr>
        <w:tab/>
      </w:r>
      <w:r w:rsidRPr="00B148B1">
        <w:rPr>
          <w:rFonts w:cs="Arial"/>
          <w:szCs w:val="20"/>
        </w:rPr>
        <w:t>Občutljiva območja zaradi kopalnih voda in njihova prispevna območja</w:t>
      </w:r>
      <w:bookmarkEnd w:id="189"/>
      <w:bookmarkEnd w:id="190"/>
    </w:p>
    <w:p w:rsidR="003449C1" w:rsidRPr="00B148B1" w:rsidRDefault="003449C1" w:rsidP="00761B11">
      <w:pPr>
        <w:rPr>
          <w:rFonts w:cs="Arial"/>
          <w:szCs w:val="20"/>
        </w:rPr>
      </w:pPr>
    </w:p>
    <w:p w:rsidR="00850168" w:rsidRPr="00B148B1" w:rsidRDefault="00850168" w:rsidP="00761B11">
      <w:pPr>
        <w:ind w:left="1410" w:hanging="1410"/>
        <w:rPr>
          <w:rFonts w:cs="Arial"/>
          <w:szCs w:val="20"/>
        </w:rPr>
      </w:pPr>
      <w:bookmarkStart w:id="191" w:name="_Ref527579420"/>
      <w:bookmarkStart w:id="192" w:name="_Toc527125010"/>
      <w:bookmarkStart w:id="193" w:name="_Ref527132626"/>
      <w:bookmarkStart w:id="194" w:name="_Toc530517784"/>
      <w:r w:rsidRPr="00B148B1">
        <w:rPr>
          <w:rFonts w:cs="Arial"/>
          <w:szCs w:val="20"/>
        </w:rPr>
        <w:t xml:space="preserve">PRILOGA </w:t>
      </w:r>
      <w:r w:rsidR="004A0F03" w:rsidRPr="00B148B1">
        <w:rPr>
          <w:rFonts w:cs="Arial"/>
          <w:szCs w:val="20"/>
        </w:rPr>
        <w:fldChar w:fldCharType="begin"/>
      </w:r>
      <w:r w:rsidR="004A0F03" w:rsidRPr="00B148B1">
        <w:rPr>
          <w:rFonts w:cs="Arial"/>
          <w:szCs w:val="20"/>
        </w:rPr>
        <w:instrText xml:space="preserve"> SEQ PRILOGA \* ARABIC </w:instrText>
      </w:r>
      <w:r w:rsidR="004A0F03" w:rsidRPr="00B148B1">
        <w:rPr>
          <w:rFonts w:cs="Arial"/>
          <w:szCs w:val="20"/>
        </w:rPr>
        <w:fldChar w:fldCharType="separate"/>
      </w:r>
      <w:r w:rsidR="00E92793">
        <w:rPr>
          <w:rFonts w:cs="Arial"/>
          <w:noProof/>
          <w:szCs w:val="20"/>
        </w:rPr>
        <w:t>3</w:t>
      </w:r>
      <w:r w:rsidR="004A0F03" w:rsidRPr="00B148B1">
        <w:rPr>
          <w:rFonts w:cs="Arial"/>
          <w:noProof/>
          <w:szCs w:val="20"/>
        </w:rPr>
        <w:fldChar w:fldCharType="end"/>
      </w:r>
      <w:bookmarkEnd w:id="191"/>
      <w:r w:rsidRPr="00B148B1">
        <w:rPr>
          <w:rFonts w:cs="Arial"/>
          <w:szCs w:val="20"/>
        </w:rPr>
        <w:t xml:space="preserve">: </w:t>
      </w:r>
      <w:r w:rsidR="003449C1" w:rsidRPr="00B148B1">
        <w:rPr>
          <w:rFonts w:cs="Arial"/>
          <w:szCs w:val="20"/>
        </w:rPr>
        <w:tab/>
      </w:r>
      <w:r w:rsidRPr="00B148B1">
        <w:rPr>
          <w:rFonts w:cs="Arial"/>
          <w:szCs w:val="20"/>
        </w:rPr>
        <w:t>Stopnja priključenosti skupne obremenitve na javno kanalizacijsko omrežje in komunalno ali skupno čistilno napravo za posamezno aglomeracijo iz predhodnega operativnega programa</w:t>
      </w:r>
      <w:bookmarkEnd w:id="192"/>
      <w:bookmarkEnd w:id="193"/>
      <w:bookmarkEnd w:id="194"/>
    </w:p>
    <w:p w:rsidR="003449C1" w:rsidRPr="00B148B1" w:rsidRDefault="003449C1" w:rsidP="00761B11">
      <w:pPr>
        <w:rPr>
          <w:rFonts w:cs="Arial"/>
          <w:szCs w:val="20"/>
        </w:rPr>
      </w:pPr>
    </w:p>
    <w:p w:rsidR="00E134AA" w:rsidRPr="00B148B1" w:rsidRDefault="00E134AA" w:rsidP="00761B11">
      <w:pPr>
        <w:ind w:left="1410" w:hanging="1410"/>
        <w:rPr>
          <w:rFonts w:cs="Arial"/>
          <w:szCs w:val="20"/>
        </w:rPr>
      </w:pPr>
      <w:r w:rsidRPr="00B148B1">
        <w:rPr>
          <w:rFonts w:cs="Arial"/>
          <w:szCs w:val="20"/>
        </w:rPr>
        <w:t xml:space="preserve">PRILOGA 4: </w:t>
      </w:r>
      <w:bookmarkStart w:id="195" w:name="_Ref527579421"/>
      <w:bookmarkStart w:id="196" w:name="_Toc527125011"/>
      <w:bookmarkStart w:id="197" w:name="_Toc530517785"/>
      <w:r w:rsidR="003449C1" w:rsidRPr="00B148B1">
        <w:rPr>
          <w:rFonts w:cs="Arial"/>
          <w:szCs w:val="20"/>
        </w:rPr>
        <w:tab/>
      </w:r>
      <w:r w:rsidRPr="00B148B1">
        <w:rPr>
          <w:rFonts w:cs="Arial"/>
          <w:szCs w:val="20"/>
        </w:rPr>
        <w:t>Preliminarna ocena skladnosti za posamezno aglomeracijo iz predhodnega operativnega programa</w:t>
      </w:r>
    </w:p>
    <w:p w:rsidR="00D91F61" w:rsidRPr="00B148B1" w:rsidRDefault="00D91F61" w:rsidP="00761B11">
      <w:pPr>
        <w:ind w:left="1410" w:hanging="1410"/>
        <w:rPr>
          <w:rFonts w:cs="Arial"/>
          <w:szCs w:val="20"/>
        </w:rPr>
      </w:pPr>
    </w:p>
    <w:p w:rsidR="00850168" w:rsidRPr="00B148B1" w:rsidRDefault="00850168" w:rsidP="00761B11">
      <w:pPr>
        <w:rPr>
          <w:rFonts w:cs="Arial"/>
          <w:szCs w:val="20"/>
        </w:rPr>
      </w:pPr>
      <w:r w:rsidRPr="00B148B1">
        <w:rPr>
          <w:rFonts w:cs="Arial"/>
          <w:szCs w:val="20"/>
        </w:rPr>
        <w:t>PRILOGA</w:t>
      </w:r>
      <w:bookmarkEnd w:id="195"/>
      <w:r w:rsidR="00E134AA" w:rsidRPr="00B148B1">
        <w:rPr>
          <w:rFonts w:cs="Arial"/>
          <w:szCs w:val="20"/>
        </w:rPr>
        <w:t xml:space="preserve"> 5</w:t>
      </w:r>
      <w:r w:rsidRPr="00B148B1">
        <w:rPr>
          <w:rFonts w:cs="Arial"/>
          <w:szCs w:val="20"/>
        </w:rPr>
        <w:t xml:space="preserve">: </w:t>
      </w:r>
      <w:r w:rsidR="003449C1" w:rsidRPr="00B148B1">
        <w:rPr>
          <w:rFonts w:cs="Arial"/>
          <w:szCs w:val="20"/>
        </w:rPr>
        <w:tab/>
      </w:r>
      <w:r w:rsidRPr="00B148B1">
        <w:rPr>
          <w:rFonts w:cs="Arial"/>
          <w:szCs w:val="20"/>
        </w:rPr>
        <w:t xml:space="preserve">Povezava aglomeracij iz predhodnega operativnega programa z </w:t>
      </w:r>
      <w:r w:rsidR="00990C36" w:rsidRPr="00B148B1">
        <w:rPr>
          <w:rFonts w:cs="Arial"/>
          <w:szCs w:val="20"/>
        </w:rPr>
        <w:t>veljavnimi</w:t>
      </w:r>
      <w:bookmarkEnd w:id="196"/>
      <w:bookmarkEnd w:id="197"/>
    </w:p>
    <w:p w:rsidR="003449C1" w:rsidRPr="00B148B1" w:rsidRDefault="003449C1" w:rsidP="00761B11">
      <w:pPr>
        <w:rPr>
          <w:rFonts w:cs="Arial"/>
          <w:szCs w:val="20"/>
        </w:rPr>
      </w:pPr>
    </w:p>
    <w:p w:rsidR="00850168" w:rsidRPr="00B148B1" w:rsidRDefault="00850168" w:rsidP="00761B11">
      <w:pPr>
        <w:ind w:left="1410" w:hanging="1410"/>
        <w:rPr>
          <w:rFonts w:cs="Arial"/>
          <w:szCs w:val="20"/>
        </w:rPr>
      </w:pPr>
      <w:bookmarkStart w:id="198" w:name="_Ref527579438"/>
      <w:bookmarkStart w:id="199" w:name="_Toc527125012"/>
      <w:bookmarkStart w:id="200" w:name="_Toc530517786"/>
      <w:r w:rsidRPr="00B148B1">
        <w:rPr>
          <w:rFonts w:cs="Arial"/>
          <w:szCs w:val="20"/>
        </w:rPr>
        <w:t xml:space="preserve">PRILOGA </w:t>
      </w:r>
      <w:bookmarkEnd w:id="198"/>
      <w:r w:rsidR="007A156B" w:rsidRPr="00B148B1">
        <w:rPr>
          <w:rFonts w:cs="Arial"/>
          <w:szCs w:val="20"/>
        </w:rPr>
        <w:t>6</w:t>
      </w:r>
      <w:r w:rsidRPr="00B148B1">
        <w:rPr>
          <w:rFonts w:cs="Arial"/>
          <w:szCs w:val="20"/>
        </w:rPr>
        <w:t xml:space="preserve">: </w:t>
      </w:r>
      <w:r w:rsidR="003449C1" w:rsidRPr="00B148B1">
        <w:rPr>
          <w:rFonts w:cs="Arial"/>
          <w:szCs w:val="20"/>
        </w:rPr>
        <w:tab/>
      </w:r>
      <w:r w:rsidR="00B47D5D" w:rsidRPr="00B148B1">
        <w:rPr>
          <w:rFonts w:cs="Arial"/>
          <w:szCs w:val="20"/>
        </w:rPr>
        <w:t>Ocena stopnje opremljenosti</w:t>
      </w:r>
      <w:r w:rsidR="00B968FB" w:rsidRPr="00B148B1">
        <w:rPr>
          <w:rFonts w:cs="Arial"/>
          <w:szCs w:val="20"/>
        </w:rPr>
        <w:t xml:space="preserve"> veljavnih</w:t>
      </w:r>
      <w:r w:rsidR="00B47D5D" w:rsidRPr="00B148B1">
        <w:rPr>
          <w:rFonts w:cs="Arial"/>
          <w:szCs w:val="20"/>
        </w:rPr>
        <w:t xml:space="preserve"> aglomeracij z javno kanalizacijo</w:t>
      </w:r>
      <w:bookmarkEnd w:id="199"/>
      <w:bookmarkEnd w:id="200"/>
    </w:p>
    <w:p w:rsidR="003449C1" w:rsidRPr="00B148B1" w:rsidRDefault="003449C1" w:rsidP="00761B11">
      <w:pPr>
        <w:rPr>
          <w:rFonts w:cs="Arial"/>
          <w:szCs w:val="20"/>
        </w:rPr>
      </w:pPr>
    </w:p>
    <w:p w:rsidR="006E27CA" w:rsidRPr="00B148B1" w:rsidRDefault="006E27CA" w:rsidP="00761B11">
      <w:pPr>
        <w:ind w:left="1410" w:hanging="1410"/>
        <w:rPr>
          <w:rFonts w:cs="Arial"/>
          <w:szCs w:val="20"/>
        </w:rPr>
      </w:pPr>
      <w:r w:rsidRPr="00B148B1">
        <w:rPr>
          <w:rFonts w:cs="Arial"/>
          <w:szCs w:val="20"/>
        </w:rPr>
        <w:t xml:space="preserve">PRILOGA 7: </w:t>
      </w:r>
      <w:r w:rsidR="003449C1" w:rsidRPr="00B148B1">
        <w:rPr>
          <w:rFonts w:cs="Arial"/>
          <w:szCs w:val="20"/>
        </w:rPr>
        <w:tab/>
      </w:r>
      <w:r w:rsidR="00340C7A" w:rsidRPr="00B148B1">
        <w:rPr>
          <w:rFonts w:cs="Arial"/>
          <w:szCs w:val="20"/>
        </w:rPr>
        <w:t>Stopnja priključenosti na javno kanalizacijsko omrežje in na komunalno ali skupno čistilno napravo za posamezno</w:t>
      </w:r>
      <w:r w:rsidR="00AC0D86" w:rsidRPr="00B148B1">
        <w:rPr>
          <w:rFonts w:cs="Arial"/>
          <w:szCs w:val="20"/>
        </w:rPr>
        <w:t xml:space="preserve"> veljavno</w:t>
      </w:r>
      <w:r w:rsidR="00340C7A" w:rsidRPr="00B148B1">
        <w:rPr>
          <w:rFonts w:cs="Arial"/>
          <w:szCs w:val="20"/>
        </w:rPr>
        <w:t xml:space="preserve"> aglomeracijo</w:t>
      </w:r>
    </w:p>
    <w:p w:rsidR="003449C1" w:rsidRPr="00B148B1" w:rsidRDefault="003449C1" w:rsidP="00761B11">
      <w:pPr>
        <w:rPr>
          <w:rFonts w:cs="Arial"/>
          <w:szCs w:val="20"/>
        </w:rPr>
      </w:pPr>
    </w:p>
    <w:p w:rsidR="00850168" w:rsidRPr="00B148B1" w:rsidRDefault="00850168" w:rsidP="00761B11">
      <w:pPr>
        <w:ind w:left="1410" w:hanging="1410"/>
        <w:rPr>
          <w:rFonts w:cs="Arial"/>
          <w:szCs w:val="20"/>
        </w:rPr>
      </w:pPr>
      <w:bookmarkStart w:id="201" w:name="_Ref527579463"/>
      <w:bookmarkStart w:id="202" w:name="_Toc530517790"/>
      <w:bookmarkStart w:id="203" w:name="_Ref527579451"/>
      <w:bookmarkStart w:id="204" w:name="_Toc530517787"/>
      <w:r w:rsidRPr="00B148B1">
        <w:rPr>
          <w:rFonts w:cs="Arial"/>
          <w:szCs w:val="20"/>
        </w:rPr>
        <w:t xml:space="preserve">PRILOGA </w:t>
      </w:r>
      <w:bookmarkEnd w:id="201"/>
      <w:r w:rsidR="006E27CA" w:rsidRPr="00B148B1">
        <w:rPr>
          <w:rFonts w:cs="Arial"/>
          <w:szCs w:val="20"/>
        </w:rPr>
        <w:t>8</w:t>
      </w:r>
      <w:r w:rsidRPr="00B148B1">
        <w:rPr>
          <w:rFonts w:cs="Arial"/>
          <w:szCs w:val="20"/>
        </w:rPr>
        <w:t xml:space="preserve">: </w:t>
      </w:r>
      <w:r w:rsidR="003449C1" w:rsidRPr="00B148B1">
        <w:rPr>
          <w:rFonts w:cs="Arial"/>
          <w:szCs w:val="20"/>
        </w:rPr>
        <w:tab/>
      </w:r>
      <w:r w:rsidR="00340C7A" w:rsidRPr="00B148B1">
        <w:rPr>
          <w:rFonts w:cs="Arial"/>
          <w:szCs w:val="20"/>
        </w:rPr>
        <w:t>Preliminarna ocena skladnosti za posamezno veljavno aglomeracijo</w:t>
      </w:r>
      <w:bookmarkEnd w:id="202"/>
    </w:p>
    <w:p w:rsidR="00D91F61" w:rsidRPr="00B148B1" w:rsidRDefault="00D91F61" w:rsidP="00761B11">
      <w:pPr>
        <w:ind w:left="1410" w:hanging="1410"/>
        <w:rPr>
          <w:rFonts w:cs="Arial"/>
          <w:szCs w:val="20"/>
        </w:rPr>
      </w:pPr>
    </w:p>
    <w:p w:rsidR="00340C7A" w:rsidRPr="00B148B1" w:rsidRDefault="007A156B" w:rsidP="00761B11">
      <w:pPr>
        <w:ind w:left="1410" w:hanging="1410"/>
        <w:rPr>
          <w:rFonts w:cs="Arial"/>
          <w:szCs w:val="20"/>
        </w:rPr>
      </w:pPr>
      <w:bookmarkStart w:id="205" w:name="_Ref527579549"/>
      <w:bookmarkStart w:id="206" w:name="_Toc530517788"/>
      <w:bookmarkEnd w:id="203"/>
      <w:bookmarkEnd w:id="204"/>
      <w:r w:rsidRPr="00B148B1">
        <w:rPr>
          <w:rFonts w:cs="Arial"/>
          <w:szCs w:val="20"/>
        </w:rPr>
        <w:t xml:space="preserve">PRILOGA </w:t>
      </w:r>
      <w:bookmarkEnd w:id="205"/>
      <w:r w:rsidR="006E27CA" w:rsidRPr="00B148B1">
        <w:rPr>
          <w:rFonts w:cs="Arial"/>
          <w:szCs w:val="20"/>
        </w:rPr>
        <w:t>9</w:t>
      </w:r>
      <w:r w:rsidR="00850168" w:rsidRPr="00B148B1">
        <w:rPr>
          <w:rFonts w:cs="Arial"/>
          <w:szCs w:val="20"/>
        </w:rPr>
        <w:t xml:space="preserve">: </w:t>
      </w:r>
      <w:bookmarkEnd w:id="206"/>
      <w:r w:rsidR="003449C1" w:rsidRPr="00B148B1">
        <w:rPr>
          <w:rFonts w:cs="Arial"/>
          <w:szCs w:val="20"/>
        </w:rPr>
        <w:tab/>
      </w:r>
      <w:r w:rsidR="00340C7A" w:rsidRPr="00B148B1">
        <w:rPr>
          <w:rFonts w:cs="Arial"/>
          <w:szCs w:val="20"/>
        </w:rPr>
        <w:t>Izračun indeksov primernosti infrastrukture za odvajanje in čiščenje komunalne odpadne vode</w:t>
      </w:r>
    </w:p>
    <w:p w:rsidR="003449C1" w:rsidRPr="00B148B1" w:rsidRDefault="003449C1" w:rsidP="00761B11">
      <w:pPr>
        <w:ind w:left="1410" w:hanging="1410"/>
        <w:rPr>
          <w:rFonts w:cs="Arial"/>
          <w:szCs w:val="20"/>
        </w:rPr>
      </w:pPr>
    </w:p>
    <w:p w:rsidR="00451BF7" w:rsidRPr="00B148B1" w:rsidRDefault="00451BF7" w:rsidP="00761B11">
      <w:pPr>
        <w:ind w:left="1410" w:hanging="1410"/>
        <w:rPr>
          <w:rFonts w:cs="Arial"/>
          <w:szCs w:val="20"/>
        </w:rPr>
      </w:pPr>
      <w:r w:rsidRPr="00B148B1">
        <w:rPr>
          <w:rFonts w:cs="Arial"/>
          <w:szCs w:val="20"/>
        </w:rPr>
        <w:t xml:space="preserve">PRILOGA </w:t>
      </w:r>
      <w:r w:rsidR="006E27CA" w:rsidRPr="00B148B1">
        <w:rPr>
          <w:rFonts w:cs="Arial"/>
          <w:szCs w:val="20"/>
        </w:rPr>
        <w:t>10</w:t>
      </w:r>
      <w:r w:rsidRPr="00B148B1">
        <w:rPr>
          <w:rFonts w:cs="Arial"/>
          <w:szCs w:val="20"/>
        </w:rPr>
        <w:t xml:space="preserve">: </w:t>
      </w:r>
      <w:r w:rsidR="003449C1" w:rsidRPr="00B148B1">
        <w:rPr>
          <w:rFonts w:cs="Arial"/>
          <w:szCs w:val="20"/>
        </w:rPr>
        <w:tab/>
      </w:r>
      <w:r w:rsidR="00D91F61" w:rsidRPr="00B148B1">
        <w:rPr>
          <w:rFonts w:cs="Arial"/>
          <w:szCs w:val="20"/>
        </w:rPr>
        <w:t>Veljavne aglomeracije z roki za izpolnitev zahtev glede odvajanja komunalne odpadne vode</w:t>
      </w:r>
    </w:p>
    <w:p w:rsidR="003449C1" w:rsidRPr="00B148B1" w:rsidRDefault="003449C1" w:rsidP="00761B11">
      <w:pPr>
        <w:rPr>
          <w:rFonts w:cs="Arial"/>
          <w:szCs w:val="20"/>
        </w:rPr>
      </w:pPr>
    </w:p>
    <w:p w:rsidR="00D91F61" w:rsidRPr="00B148B1" w:rsidRDefault="00850168" w:rsidP="00761B11">
      <w:pPr>
        <w:ind w:left="1410" w:hanging="1410"/>
        <w:rPr>
          <w:rFonts w:cs="Arial"/>
          <w:szCs w:val="20"/>
        </w:rPr>
      </w:pPr>
      <w:bookmarkStart w:id="207" w:name="_Ref527579772"/>
      <w:bookmarkStart w:id="208" w:name="_Toc530517789"/>
      <w:r w:rsidRPr="00B148B1">
        <w:rPr>
          <w:rFonts w:cs="Arial"/>
          <w:szCs w:val="20"/>
        </w:rPr>
        <w:t xml:space="preserve">PRILOGA </w:t>
      </w:r>
      <w:bookmarkEnd w:id="207"/>
      <w:r w:rsidR="007A156B" w:rsidRPr="00B148B1">
        <w:rPr>
          <w:rFonts w:cs="Arial"/>
          <w:szCs w:val="20"/>
        </w:rPr>
        <w:t>1</w:t>
      </w:r>
      <w:r w:rsidR="006E27CA" w:rsidRPr="00B148B1">
        <w:rPr>
          <w:rFonts w:cs="Arial"/>
          <w:szCs w:val="20"/>
        </w:rPr>
        <w:t>1</w:t>
      </w:r>
      <w:r w:rsidRPr="00B148B1">
        <w:rPr>
          <w:rFonts w:cs="Arial"/>
          <w:szCs w:val="20"/>
        </w:rPr>
        <w:t xml:space="preserve">: </w:t>
      </w:r>
      <w:r w:rsidR="003449C1" w:rsidRPr="00B148B1">
        <w:rPr>
          <w:rFonts w:cs="Arial"/>
          <w:szCs w:val="20"/>
        </w:rPr>
        <w:tab/>
      </w:r>
      <w:r w:rsidR="00D91F61" w:rsidRPr="00B148B1">
        <w:rPr>
          <w:rFonts w:cs="Arial"/>
          <w:szCs w:val="20"/>
        </w:rPr>
        <w:t>Veljavne aglomeracije z roki za izpolnitev zahtev glede sekundarnega čiščenja komunalne odpadne vode</w:t>
      </w:r>
    </w:p>
    <w:bookmarkEnd w:id="208"/>
    <w:p w:rsidR="003449C1" w:rsidRPr="00B148B1" w:rsidRDefault="003449C1" w:rsidP="00761B11">
      <w:pPr>
        <w:ind w:left="1410" w:hanging="1410"/>
        <w:rPr>
          <w:rFonts w:cs="Arial"/>
          <w:szCs w:val="20"/>
        </w:rPr>
      </w:pPr>
    </w:p>
    <w:p w:rsidR="00D91F61" w:rsidRPr="00B148B1" w:rsidRDefault="001834BA" w:rsidP="00761B11">
      <w:pPr>
        <w:ind w:left="1410" w:hanging="1410"/>
        <w:rPr>
          <w:rFonts w:cs="Arial"/>
          <w:szCs w:val="20"/>
        </w:rPr>
      </w:pPr>
      <w:r w:rsidRPr="00B148B1">
        <w:rPr>
          <w:rFonts w:cs="Arial"/>
          <w:szCs w:val="20"/>
        </w:rPr>
        <w:t>PRILOGA</w:t>
      </w:r>
      <w:r w:rsidR="003449C1" w:rsidRPr="00B148B1">
        <w:rPr>
          <w:rFonts w:cs="Arial"/>
          <w:szCs w:val="20"/>
        </w:rPr>
        <w:t xml:space="preserve"> </w:t>
      </w:r>
      <w:r w:rsidR="00451BF7" w:rsidRPr="00B148B1">
        <w:rPr>
          <w:rFonts w:cs="Arial"/>
          <w:szCs w:val="20"/>
        </w:rPr>
        <w:t>1</w:t>
      </w:r>
      <w:r w:rsidR="006E27CA" w:rsidRPr="00B148B1">
        <w:rPr>
          <w:rFonts w:cs="Arial"/>
          <w:szCs w:val="20"/>
        </w:rPr>
        <w:t>2</w:t>
      </w:r>
      <w:r w:rsidRPr="00B148B1">
        <w:rPr>
          <w:rFonts w:cs="Arial"/>
          <w:szCs w:val="20"/>
        </w:rPr>
        <w:t>:</w:t>
      </w:r>
      <w:bookmarkStart w:id="209" w:name="_Toc527125014"/>
      <w:r w:rsidR="003449C1" w:rsidRPr="00B148B1">
        <w:rPr>
          <w:rFonts w:cs="Arial"/>
          <w:szCs w:val="20"/>
        </w:rPr>
        <w:tab/>
      </w:r>
      <w:bookmarkEnd w:id="209"/>
      <w:r w:rsidR="00D91F61" w:rsidRPr="00B148B1">
        <w:rPr>
          <w:rFonts w:cs="Arial"/>
          <w:szCs w:val="20"/>
        </w:rPr>
        <w:t>Veljavne aglomeracije z roki za izpolnitev zahtev glede sekundarnega in terciarnega čiščenja komunalne odpadne vode</w:t>
      </w:r>
    </w:p>
    <w:p w:rsidR="003449C1" w:rsidRPr="00B148B1" w:rsidRDefault="003449C1" w:rsidP="00761B11">
      <w:pPr>
        <w:ind w:left="1410" w:hanging="1410"/>
        <w:rPr>
          <w:rFonts w:cs="Arial"/>
          <w:szCs w:val="20"/>
        </w:rPr>
      </w:pPr>
    </w:p>
    <w:p w:rsidR="003449C1" w:rsidRPr="00B148B1" w:rsidRDefault="003449C1" w:rsidP="00761B11">
      <w:pPr>
        <w:ind w:left="1410" w:hanging="1410"/>
        <w:rPr>
          <w:rFonts w:cs="Arial"/>
          <w:szCs w:val="20"/>
        </w:rPr>
      </w:pPr>
      <w:r w:rsidRPr="00B148B1">
        <w:rPr>
          <w:rFonts w:cs="Arial"/>
          <w:szCs w:val="20"/>
        </w:rPr>
        <w:t xml:space="preserve">PRILOGA 13: </w:t>
      </w:r>
      <w:r w:rsidRPr="00B148B1">
        <w:rPr>
          <w:rFonts w:cs="Arial"/>
          <w:szCs w:val="20"/>
        </w:rPr>
        <w:tab/>
      </w:r>
      <w:r w:rsidR="00D91F61" w:rsidRPr="00B148B1">
        <w:rPr>
          <w:rFonts w:cs="Arial"/>
          <w:szCs w:val="20"/>
        </w:rPr>
        <w:t xml:space="preserve">Veljavne aglomeracije z roki za izpolnitev zahtev glede primernega </w:t>
      </w:r>
      <w:r w:rsidR="006E0EA4">
        <w:rPr>
          <w:rFonts w:cs="Arial"/>
          <w:szCs w:val="20"/>
        </w:rPr>
        <w:t>čiščenja komunalne odpadne vode</w:t>
      </w:r>
    </w:p>
    <w:p w:rsidR="003449C1" w:rsidRPr="00B148B1" w:rsidRDefault="003449C1" w:rsidP="00761B11">
      <w:pPr>
        <w:rPr>
          <w:rFonts w:cs="Arial"/>
          <w:szCs w:val="20"/>
        </w:rPr>
      </w:pPr>
    </w:p>
    <w:p w:rsidR="003449C1" w:rsidRPr="00B148B1" w:rsidRDefault="003449C1" w:rsidP="00761B11">
      <w:pPr>
        <w:ind w:left="1410" w:hanging="1410"/>
        <w:rPr>
          <w:rFonts w:cs="Arial"/>
          <w:szCs w:val="20"/>
        </w:rPr>
      </w:pPr>
      <w:r w:rsidRPr="00B148B1">
        <w:rPr>
          <w:rFonts w:cs="Arial"/>
          <w:szCs w:val="20"/>
        </w:rPr>
        <w:t xml:space="preserve">PRILOGA 14: </w:t>
      </w:r>
      <w:r w:rsidRPr="00B148B1">
        <w:rPr>
          <w:rFonts w:cs="Arial"/>
          <w:szCs w:val="20"/>
        </w:rPr>
        <w:tab/>
      </w:r>
      <w:r w:rsidR="00D91F61" w:rsidRPr="00B148B1">
        <w:rPr>
          <w:rFonts w:cs="Arial"/>
          <w:szCs w:val="20"/>
        </w:rPr>
        <w:t>Ocenjeni investicijski stroški za izvedbo operativnega programa po občinah</w:t>
      </w:r>
    </w:p>
    <w:p w:rsidR="0092172B" w:rsidRPr="00B148B1" w:rsidRDefault="0092172B" w:rsidP="00761B11">
      <w:pPr>
        <w:rPr>
          <w:rFonts w:cs="Arial"/>
          <w:szCs w:val="20"/>
        </w:rPr>
      </w:pPr>
    </w:p>
    <w:p w:rsidR="008514D6" w:rsidRPr="00B148B1" w:rsidRDefault="008514D6" w:rsidP="00C5768E">
      <w:pPr>
        <w:ind w:left="1410" w:hanging="1410"/>
        <w:rPr>
          <w:rFonts w:cs="Arial"/>
          <w:szCs w:val="20"/>
        </w:rPr>
      </w:pPr>
      <w:r w:rsidRPr="00B148B1">
        <w:rPr>
          <w:rFonts w:cs="Arial"/>
          <w:szCs w:val="20"/>
        </w:rPr>
        <w:t xml:space="preserve">PRILOGA 15: </w:t>
      </w:r>
      <w:r w:rsidRPr="00B148B1">
        <w:rPr>
          <w:rFonts w:cs="Arial"/>
          <w:szCs w:val="20"/>
        </w:rPr>
        <w:tab/>
        <w:t>Ocenjeni investicijski stroški za izvedbo operativnega programa po</w:t>
      </w:r>
      <w:r w:rsidR="007E577C" w:rsidRPr="00B148B1">
        <w:rPr>
          <w:rFonts w:cs="Arial"/>
          <w:szCs w:val="20"/>
        </w:rPr>
        <w:t xml:space="preserve"> veljavnih</w:t>
      </w:r>
      <w:r w:rsidRPr="00B148B1">
        <w:rPr>
          <w:rFonts w:cs="Arial"/>
          <w:szCs w:val="20"/>
        </w:rPr>
        <w:t xml:space="preserve"> aglomeracijah</w:t>
      </w:r>
    </w:p>
    <w:p w:rsidR="009A3DD8" w:rsidRPr="00B148B1" w:rsidRDefault="009A3DD8" w:rsidP="00761B11">
      <w:pPr>
        <w:rPr>
          <w:rFonts w:cs="Arial"/>
          <w:szCs w:val="20"/>
        </w:rPr>
      </w:pPr>
    </w:p>
    <w:p w:rsidR="009A3DD8" w:rsidRPr="00B148B1" w:rsidRDefault="009A3DD8" w:rsidP="00761B11">
      <w:pPr>
        <w:ind w:left="1410" w:hanging="1410"/>
        <w:rPr>
          <w:rFonts w:cs="Arial"/>
          <w:szCs w:val="20"/>
        </w:rPr>
      </w:pPr>
      <w:r w:rsidRPr="00B148B1">
        <w:rPr>
          <w:rFonts w:cs="Arial"/>
          <w:szCs w:val="20"/>
        </w:rPr>
        <w:t xml:space="preserve">PRILOGA 16: </w:t>
      </w:r>
      <w:r w:rsidRPr="00B148B1">
        <w:rPr>
          <w:rFonts w:cs="Arial"/>
          <w:szCs w:val="20"/>
        </w:rPr>
        <w:tab/>
      </w:r>
      <w:r w:rsidR="005C51A3" w:rsidRPr="00B148B1">
        <w:rPr>
          <w:rFonts w:cs="Arial"/>
          <w:szCs w:val="20"/>
        </w:rPr>
        <w:t>Ocenjena vrednost načrtovanih ukrepov za obdobje 2018-2028 po posameznih predhodnih aglomeracijah</w:t>
      </w:r>
    </w:p>
    <w:p w:rsidR="005C51A3" w:rsidRPr="00B148B1" w:rsidRDefault="005C51A3" w:rsidP="00761B11">
      <w:pPr>
        <w:ind w:left="1410" w:hanging="1410"/>
        <w:rPr>
          <w:rFonts w:cs="Arial"/>
          <w:szCs w:val="20"/>
        </w:rPr>
      </w:pPr>
    </w:p>
    <w:p w:rsidR="005C51A3" w:rsidRPr="00B148B1" w:rsidRDefault="005C51A3" w:rsidP="005C51A3">
      <w:pPr>
        <w:ind w:left="1410" w:hanging="1410"/>
        <w:rPr>
          <w:rFonts w:cs="Arial"/>
          <w:szCs w:val="20"/>
        </w:rPr>
      </w:pPr>
      <w:r w:rsidRPr="00B148B1">
        <w:rPr>
          <w:rFonts w:cs="Arial"/>
          <w:szCs w:val="20"/>
        </w:rPr>
        <w:t xml:space="preserve">PRILOGA 17: </w:t>
      </w:r>
      <w:r w:rsidRPr="00B148B1">
        <w:rPr>
          <w:rFonts w:cs="Arial"/>
          <w:szCs w:val="20"/>
        </w:rPr>
        <w:tab/>
        <w:t>Ocenjena vrednost načrtovanih ukrepov za obdobje</w:t>
      </w:r>
      <w:r w:rsidR="00EE72F8" w:rsidRPr="00B148B1">
        <w:rPr>
          <w:rFonts w:cs="Arial"/>
          <w:szCs w:val="20"/>
        </w:rPr>
        <w:t xml:space="preserve"> </w:t>
      </w:r>
      <w:r w:rsidRPr="00B148B1">
        <w:rPr>
          <w:rFonts w:cs="Arial"/>
          <w:szCs w:val="20"/>
        </w:rPr>
        <w:t>2018-2028 po posameznih občinah</w:t>
      </w:r>
    </w:p>
    <w:p w:rsidR="005C51A3" w:rsidRPr="00B148B1" w:rsidRDefault="005C51A3" w:rsidP="00761B11">
      <w:pPr>
        <w:ind w:left="1410" w:hanging="1410"/>
        <w:rPr>
          <w:rFonts w:cs="Arial"/>
          <w:szCs w:val="20"/>
        </w:rPr>
      </w:pPr>
    </w:p>
    <w:p w:rsidR="009A3DD8" w:rsidRPr="00B148B1" w:rsidRDefault="009A3DD8" w:rsidP="00761B11">
      <w:pPr>
        <w:rPr>
          <w:rFonts w:cs="Arial"/>
          <w:szCs w:val="20"/>
        </w:rPr>
      </w:pPr>
    </w:p>
    <w:sectPr w:rsidR="009A3DD8" w:rsidRPr="00B148B1" w:rsidSect="002D01F7">
      <w:headerReference w:type="even" r:id="rId55"/>
      <w:headerReference w:type="default" r:id="rId56"/>
      <w:footerReference w:type="even" r:id="rId57"/>
      <w:footerReference w:type="default" r:id="rId58"/>
      <w:headerReference w:type="first" r:id="rId59"/>
      <w:pgSz w:w="11900" w:h="16840" w:code="9"/>
      <w:pgMar w:top="1418" w:right="1418" w:bottom="1559" w:left="1418" w:header="964" w:footer="56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0A3" w:rsidRDefault="003340A3">
      <w:pPr>
        <w:spacing w:line="240" w:lineRule="auto"/>
      </w:pPr>
      <w:r>
        <w:separator/>
      </w:r>
    </w:p>
  </w:endnote>
  <w:endnote w:type="continuationSeparator" w:id="0">
    <w:p w:rsidR="003340A3" w:rsidRDefault="003340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69A" w:rsidRDefault="0067569A" w:rsidP="00EC74A8">
    <w:pPr>
      <w:pStyle w:val="Noga"/>
      <w:pBdr>
        <w:top w:val="single" w:sz="4" w:space="1" w:color="auto"/>
      </w:pBdr>
      <w:jc w:val="center"/>
      <w:rPr>
        <w:bCs/>
        <w:sz w:val="18"/>
        <w:szCs w:val="18"/>
      </w:rPr>
    </w:pPr>
    <w:r w:rsidRPr="001333DC">
      <w:rPr>
        <w:bCs/>
        <w:sz w:val="18"/>
        <w:szCs w:val="18"/>
      </w:rPr>
      <w:fldChar w:fldCharType="begin"/>
    </w:r>
    <w:r w:rsidRPr="001333DC">
      <w:rPr>
        <w:bCs/>
        <w:sz w:val="18"/>
        <w:szCs w:val="18"/>
      </w:rPr>
      <w:instrText>PAGE</w:instrText>
    </w:r>
    <w:r w:rsidRPr="001333DC">
      <w:rPr>
        <w:bCs/>
        <w:sz w:val="18"/>
        <w:szCs w:val="18"/>
      </w:rPr>
      <w:fldChar w:fldCharType="separate"/>
    </w:r>
    <w:r w:rsidR="00CE7C73">
      <w:rPr>
        <w:bCs/>
        <w:noProof/>
        <w:sz w:val="18"/>
        <w:szCs w:val="18"/>
      </w:rPr>
      <w:t>2</w:t>
    </w:r>
    <w:r w:rsidRPr="001333DC">
      <w:rPr>
        <w:bCs/>
        <w:sz w:val="18"/>
        <w:szCs w:val="18"/>
      </w:rPr>
      <w:fldChar w:fldCharType="end"/>
    </w:r>
    <w:r w:rsidRPr="001333DC">
      <w:rPr>
        <w:sz w:val="18"/>
        <w:szCs w:val="18"/>
      </w:rPr>
      <w:t>/</w:t>
    </w:r>
    <w:r w:rsidRPr="001333DC">
      <w:rPr>
        <w:bCs/>
        <w:sz w:val="18"/>
        <w:szCs w:val="18"/>
      </w:rPr>
      <w:fldChar w:fldCharType="begin"/>
    </w:r>
    <w:r w:rsidRPr="001333DC">
      <w:rPr>
        <w:bCs/>
        <w:sz w:val="18"/>
        <w:szCs w:val="18"/>
      </w:rPr>
      <w:instrText>NUMPAGES</w:instrText>
    </w:r>
    <w:r w:rsidRPr="001333DC">
      <w:rPr>
        <w:bCs/>
        <w:sz w:val="18"/>
        <w:szCs w:val="18"/>
      </w:rPr>
      <w:fldChar w:fldCharType="separate"/>
    </w:r>
    <w:r w:rsidR="00CE7C73">
      <w:rPr>
        <w:bCs/>
        <w:noProof/>
        <w:sz w:val="18"/>
        <w:szCs w:val="18"/>
      </w:rPr>
      <w:t>83</w:t>
    </w:r>
    <w:r w:rsidRPr="001333DC">
      <w:rPr>
        <w:bCs/>
        <w:sz w:val="18"/>
        <w:szCs w:val="18"/>
      </w:rPr>
      <w:fldChar w:fldCharType="end"/>
    </w:r>
  </w:p>
  <w:p w:rsidR="0067569A" w:rsidRDefault="0067569A" w:rsidP="00EC74A8">
    <w:pPr>
      <w:pStyle w:val="Noga"/>
      <w:pBdr>
        <w:top w:val="single" w:sz="4" w:space="1" w:color="auto"/>
      </w:pBd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69A" w:rsidRDefault="0067569A" w:rsidP="00C53187">
    <w:pPr>
      <w:pStyle w:val="Noga"/>
      <w:pBdr>
        <w:top w:val="single" w:sz="4" w:space="1" w:color="auto"/>
      </w:pBdr>
      <w:jc w:val="center"/>
      <w:rPr>
        <w:sz w:val="18"/>
        <w:szCs w:val="18"/>
      </w:rPr>
    </w:pPr>
    <w:r w:rsidRPr="001333DC">
      <w:rPr>
        <w:bCs/>
        <w:sz w:val="18"/>
        <w:szCs w:val="18"/>
      </w:rPr>
      <w:fldChar w:fldCharType="begin"/>
    </w:r>
    <w:r w:rsidRPr="001333DC">
      <w:rPr>
        <w:bCs/>
        <w:sz w:val="18"/>
        <w:szCs w:val="18"/>
      </w:rPr>
      <w:instrText>PAGE</w:instrText>
    </w:r>
    <w:r w:rsidRPr="001333DC">
      <w:rPr>
        <w:bCs/>
        <w:sz w:val="18"/>
        <w:szCs w:val="18"/>
      </w:rPr>
      <w:fldChar w:fldCharType="separate"/>
    </w:r>
    <w:r w:rsidR="00CE7C73">
      <w:rPr>
        <w:bCs/>
        <w:noProof/>
        <w:sz w:val="18"/>
        <w:szCs w:val="18"/>
      </w:rPr>
      <w:t>3</w:t>
    </w:r>
    <w:r w:rsidRPr="001333DC">
      <w:rPr>
        <w:bCs/>
        <w:sz w:val="18"/>
        <w:szCs w:val="18"/>
      </w:rPr>
      <w:fldChar w:fldCharType="end"/>
    </w:r>
    <w:r w:rsidRPr="001333DC">
      <w:rPr>
        <w:sz w:val="18"/>
        <w:szCs w:val="18"/>
      </w:rPr>
      <w:t>/</w:t>
    </w:r>
    <w:r w:rsidRPr="001333DC">
      <w:rPr>
        <w:bCs/>
        <w:sz w:val="18"/>
        <w:szCs w:val="18"/>
      </w:rPr>
      <w:fldChar w:fldCharType="begin"/>
    </w:r>
    <w:r w:rsidRPr="001333DC">
      <w:rPr>
        <w:bCs/>
        <w:sz w:val="18"/>
        <w:szCs w:val="18"/>
      </w:rPr>
      <w:instrText>NUMPAGES</w:instrText>
    </w:r>
    <w:r w:rsidRPr="001333DC">
      <w:rPr>
        <w:bCs/>
        <w:sz w:val="18"/>
        <w:szCs w:val="18"/>
      </w:rPr>
      <w:fldChar w:fldCharType="separate"/>
    </w:r>
    <w:r w:rsidR="00CE7C73">
      <w:rPr>
        <w:bCs/>
        <w:noProof/>
        <w:sz w:val="18"/>
        <w:szCs w:val="18"/>
      </w:rPr>
      <w:t>83</w:t>
    </w:r>
    <w:r w:rsidRPr="001333DC">
      <w:rPr>
        <w:bCs/>
        <w:sz w:val="18"/>
        <w:szCs w:val="18"/>
      </w:rPr>
      <w:fldChar w:fldCharType="end"/>
    </w:r>
  </w:p>
  <w:p w:rsidR="0067569A" w:rsidRPr="00C53187" w:rsidRDefault="0067569A" w:rsidP="00C53187">
    <w:pPr>
      <w:pStyle w:val="Noga"/>
      <w:pBdr>
        <w:top w:val="single" w:sz="4" w:space="1" w:color="auto"/>
      </w:pBd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0A3" w:rsidRDefault="003340A3">
      <w:pPr>
        <w:spacing w:line="240" w:lineRule="auto"/>
      </w:pPr>
      <w:r>
        <w:separator/>
      </w:r>
    </w:p>
  </w:footnote>
  <w:footnote w:type="continuationSeparator" w:id="0">
    <w:p w:rsidR="003340A3" w:rsidRDefault="003340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69A" w:rsidRPr="00C53187" w:rsidRDefault="0067569A" w:rsidP="004A4FA3">
    <w:pPr>
      <w:pStyle w:val="Glava"/>
      <w:pBdr>
        <w:bottom w:val="single" w:sz="4" w:space="1" w:color="auto"/>
      </w:pBdr>
      <w:spacing w:line="240" w:lineRule="exact"/>
      <w:rPr>
        <w:rFonts w:cs="Arial"/>
        <w:i/>
        <w:sz w:val="18"/>
        <w:szCs w:val="18"/>
      </w:rPr>
    </w:pPr>
    <w:r w:rsidRPr="002001B6">
      <w:rPr>
        <w:rFonts w:cs="Arial"/>
        <w:i/>
        <w:sz w:val="18"/>
        <w:szCs w:val="18"/>
      </w:rPr>
      <w:t>Operati</w:t>
    </w:r>
    <w:r>
      <w:rPr>
        <w:rFonts w:cs="Arial"/>
        <w:i/>
        <w:sz w:val="18"/>
        <w:szCs w:val="18"/>
      </w:rPr>
      <w:t>vni program odvajanja in čiščenja komunalne odpadne vode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69A" w:rsidRPr="002001B6" w:rsidRDefault="0067569A" w:rsidP="004A4FA3">
    <w:pPr>
      <w:pStyle w:val="Glava"/>
      <w:pBdr>
        <w:bottom w:val="single" w:sz="4" w:space="1" w:color="auto"/>
      </w:pBdr>
      <w:spacing w:line="240" w:lineRule="exact"/>
      <w:jc w:val="right"/>
      <w:rPr>
        <w:rFonts w:cs="Arial"/>
        <w:i/>
        <w:sz w:val="18"/>
        <w:szCs w:val="18"/>
      </w:rPr>
    </w:pPr>
    <w:r w:rsidRPr="002001B6">
      <w:rPr>
        <w:rFonts w:cs="Arial"/>
        <w:i/>
        <w:sz w:val="18"/>
        <w:szCs w:val="18"/>
      </w:rPr>
      <w:t>Operati</w:t>
    </w:r>
    <w:r>
      <w:rPr>
        <w:rFonts w:cs="Arial"/>
        <w:i/>
        <w:sz w:val="18"/>
        <w:szCs w:val="18"/>
      </w:rPr>
      <w:t>vni program odvajanja in čiščenja komunalne odpadne vode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67569A" w:rsidRPr="008F3500">
      <w:trPr>
        <w:cantSplit/>
        <w:trHeight w:hRule="exact" w:val="847"/>
      </w:trPr>
      <w:tc>
        <w:tcPr>
          <w:tcW w:w="567" w:type="dxa"/>
        </w:tcPr>
        <w:p w:rsidR="0067569A" w:rsidRDefault="0067569A" w:rsidP="006A72BD">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67569A" w:rsidRPr="006D42D9" w:rsidRDefault="0067569A" w:rsidP="006A72BD">
          <w:pPr>
            <w:rPr>
              <w:rFonts w:ascii="Republika" w:hAnsi="Republika"/>
              <w:sz w:val="60"/>
              <w:szCs w:val="60"/>
            </w:rPr>
          </w:pPr>
        </w:p>
        <w:p w:rsidR="0067569A" w:rsidRPr="006D42D9" w:rsidRDefault="0067569A" w:rsidP="006A72BD">
          <w:pPr>
            <w:rPr>
              <w:rFonts w:ascii="Republika" w:hAnsi="Republika"/>
              <w:sz w:val="60"/>
              <w:szCs w:val="60"/>
            </w:rPr>
          </w:pPr>
        </w:p>
        <w:p w:rsidR="0067569A" w:rsidRPr="006D42D9" w:rsidRDefault="0067569A" w:rsidP="006A72BD">
          <w:pPr>
            <w:rPr>
              <w:rFonts w:ascii="Republika" w:hAnsi="Republika"/>
              <w:sz w:val="60"/>
              <w:szCs w:val="60"/>
            </w:rPr>
          </w:pPr>
        </w:p>
        <w:p w:rsidR="0067569A" w:rsidRPr="006D42D9" w:rsidRDefault="0067569A" w:rsidP="006A72BD">
          <w:pPr>
            <w:rPr>
              <w:rFonts w:ascii="Republika" w:hAnsi="Republika"/>
              <w:sz w:val="60"/>
              <w:szCs w:val="60"/>
            </w:rPr>
          </w:pPr>
        </w:p>
        <w:p w:rsidR="0067569A" w:rsidRPr="006D42D9" w:rsidRDefault="0067569A" w:rsidP="006A72BD">
          <w:pPr>
            <w:rPr>
              <w:rFonts w:ascii="Republika" w:hAnsi="Republika"/>
              <w:sz w:val="60"/>
              <w:szCs w:val="60"/>
            </w:rPr>
          </w:pPr>
        </w:p>
        <w:p w:rsidR="0067569A" w:rsidRPr="006D42D9" w:rsidRDefault="0067569A" w:rsidP="006A72BD">
          <w:pPr>
            <w:rPr>
              <w:rFonts w:ascii="Republika" w:hAnsi="Republika"/>
              <w:sz w:val="60"/>
              <w:szCs w:val="60"/>
            </w:rPr>
          </w:pPr>
        </w:p>
        <w:p w:rsidR="0067569A" w:rsidRPr="006D42D9" w:rsidRDefault="0067569A" w:rsidP="006A72BD">
          <w:pPr>
            <w:rPr>
              <w:rFonts w:ascii="Republika" w:hAnsi="Republika"/>
              <w:sz w:val="60"/>
              <w:szCs w:val="60"/>
            </w:rPr>
          </w:pPr>
        </w:p>
        <w:p w:rsidR="0067569A" w:rsidRPr="006D42D9" w:rsidRDefault="0067569A" w:rsidP="006A72BD">
          <w:pPr>
            <w:rPr>
              <w:rFonts w:ascii="Republika" w:hAnsi="Republika"/>
              <w:sz w:val="60"/>
              <w:szCs w:val="60"/>
            </w:rPr>
          </w:pPr>
        </w:p>
        <w:p w:rsidR="0067569A" w:rsidRPr="006D42D9" w:rsidRDefault="0067569A" w:rsidP="006A72BD">
          <w:pPr>
            <w:rPr>
              <w:rFonts w:ascii="Republika" w:hAnsi="Republika"/>
              <w:sz w:val="60"/>
              <w:szCs w:val="60"/>
            </w:rPr>
          </w:pPr>
        </w:p>
        <w:p w:rsidR="0067569A" w:rsidRPr="006D42D9" w:rsidRDefault="0067569A" w:rsidP="006A72BD">
          <w:pPr>
            <w:rPr>
              <w:rFonts w:ascii="Republika" w:hAnsi="Republika"/>
              <w:sz w:val="60"/>
              <w:szCs w:val="60"/>
            </w:rPr>
          </w:pPr>
        </w:p>
        <w:p w:rsidR="0067569A" w:rsidRPr="006D42D9" w:rsidRDefault="0067569A" w:rsidP="006A72BD">
          <w:pPr>
            <w:rPr>
              <w:rFonts w:ascii="Republika" w:hAnsi="Republika"/>
              <w:sz w:val="60"/>
              <w:szCs w:val="60"/>
            </w:rPr>
          </w:pPr>
        </w:p>
        <w:p w:rsidR="0067569A" w:rsidRPr="006D42D9" w:rsidRDefault="0067569A" w:rsidP="006A72BD">
          <w:pPr>
            <w:rPr>
              <w:rFonts w:ascii="Republika" w:hAnsi="Republika"/>
              <w:sz w:val="60"/>
              <w:szCs w:val="60"/>
            </w:rPr>
          </w:pPr>
        </w:p>
        <w:p w:rsidR="0067569A" w:rsidRPr="006D42D9" w:rsidRDefault="0067569A" w:rsidP="006A72BD">
          <w:pPr>
            <w:rPr>
              <w:rFonts w:ascii="Republika" w:hAnsi="Republika"/>
              <w:sz w:val="60"/>
              <w:szCs w:val="60"/>
            </w:rPr>
          </w:pPr>
        </w:p>
        <w:p w:rsidR="0067569A" w:rsidRPr="006D42D9" w:rsidRDefault="0067569A" w:rsidP="006A72BD">
          <w:pPr>
            <w:rPr>
              <w:rFonts w:ascii="Republika" w:hAnsi="Republika"/>
              <w:sz w:val="60"/>
              <w:szCs w:val="60"/>
            </w:rPr>
          </w:pPr>
        </w:p>
        <w:p w:rsidR="0067569A" w:rsidRPr="006D42D9" w:rsidRDefault="0067569A" w:rsidP="006A72BD">
          <w:pPr>
            <w:rPr>
              <w:rFonts w:ascii="Republika" w:hAnsi="Republika"/>
              <w:sz w:val="60"/>
              <w:szCs w:val="60"/>
            </w:rPr>
          </w:pPr>
        </w:p>
        <w:p w:rsidR="0067569A" w:rsidRPr="006D42D9" w:rsidRDefault="0067569A" w:rsidP="006A72BD">
          <w:pPr>
            <w:rPr>
              <w:rFonts w:ascii="Republika" w:hAnsi="Republika"/>
              <w:sz w:val="60"/>
              <w:szCs w:val="60"/>
            </w:rPr>
          </w:pPr>
        </w:p>
      </w:tc>
    </w:tr>
  </w:tbl>
  <w:p w:rsidR="0067569A" w:rsidRPr="008F3500" w:rsidRDefault="0067569A" w:rsidP="006A72BD">
    <w:pPr>
      <w:autoSpaceDE w:val="0"/>
      <w:autoSpaceDN w:val="0"/>
      <w:adjustRightInd w:val="0"/>
      <w:spacing w:line="240" w:lineRule="auto"/>
      <w:rPr>
        <w:rFonts w:ascii="Republika" w:hAnsi="Republika"/>
      </w:rPr>
    </w:pPr>
    <w:r w:rsidRPr="008F3500">
      <w:rPr>
        <w:rFonts w:ascii="Republika" w:hAnsi="Republika"/>
      </w:rPr>
      <w:t>REPUBLIKA SLOVENIJA</w:t>
    </w:r>
  </w:p>
  <w:p w:rsidR="0067569A" w:rsidRPr="008F3500" w:rsidRDefault="0067569A" w:rsidP="006A72BD">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VLADA REPUBLIKE SLOVENIJE</w:t>
    </w:r>
  </w:p>
  <w:p w:rsidR="0067569A" w:rsidRPr="008F3500" w:rsidRDefault="0067569A" w:rsidP="006A72BD">
    <w:pPr>
      <w:pStyle w:val="Glava"/>
      <w:tabs>
        <w:tab w:val="clear" w:pos="4320"/>
        <w:tab w:val="clear" w:pos="8640"/>
        <w:tab w:val="left" w:pos="5112"/>
      </w:tabs>
      <w:spacing w:before="120" w:line="240" w:lineRule="exact"/>
      <w:rPr>
        <w:rFonts w:cs="Arial"/>
        <w:sz w:val="16"/>
      </w:rPr>
    </w:pPr>
    <w:r>
      <w:rPr>
        <w:rFonts w:cs="Arial"/>
        <w:sz w:val="16"/>
      </w:rPr>
      <w:t>Gregorčičeva 20-25</w:t>
    </w:r>
    <w:r w:rsidRPr="008F3500">
      <w:rPr>
        <w:rFonts w:cs="Arial"/>
        <w:sz w:val="16"/>
      </w:rPr>
      <w:t xml:space="preserve">, </w:t>
    </w:r>
    <w:r>
      <w:rPr>
        <w:rFonts w:cs="Arial"/>
        <w:sz w:val="16"/>
      </w:rPr>
      <w:t>SI-1001 Ljubljana</w:t>
    </w:r>
    <w:r w:rsidRPr="008F3500">
      <w:rPr>
        <w:rFonts w:cs="Arial"/>
        <w:sz w:val="16"/>
      </w:rPr>
      <w:tab/>
      <w:t xml:space="preserve">T: </w:t>
    </w:r>
    <w:r>
      <w:rPr>
        <w:rFonts w:cs="Arial"/>
        <w:sz w:val="16"/>
      </w:rPr>
      <w:t>01 478 1000</w:t>
    </w:r>
  </w:p>
  <w:p w:rsidR="0067569A" w:rsidRPr="008F3500" w:rsidRDefault="0067569A" w:rsidP="006A72BD">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01 478 1607</w:t>
    </w:r>
    <w:r w:rsidRPr="008F3500">
      <w:rPr>
        <w:rFonts w:cs="Arial"/>
        <w:sz w:val="16"/>
      </w:rPr>
      <w:t xml:space="preserve"> </w:t>
    </w:r>
  </w:p>
  <w:p w:rsidR="0067569A" w:rsidRPr="008F3500" w:rsidRDefault="0067569A" w:rsidP="006A72BD">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gp.gs@gov.si</w:t>
    </w:r>
  </w:p>
  <w:p w:rsidR="0067569A" w:rsidRPr="008F3500" w:rsidRDefault="0067569A" w:rsidP="006A72BD">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http://www.vlada.si/</w:t>
    </w:r>
  </w:p>
  <w:p w:rsidR="0067569A" w:rsidRPr="008F3500" w:rsidRDefault="0067569A" w:rsidP="006A72BD">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3C4"/>
    <w:multiLevelType w:val="multilevel"/>
    <w:tmpl w:val="46768D8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2B75852"/>
    <w:multiLevelType w:val="hybridMultilevel"/>
    <w:tmpl w:val="EF0E8840"/>
    <w:lvl w:ilvl="0" w:tplc="E534BF82">
      <w:numFmt w:val="bullet"/>
      <w:lvlText w:val="–"/>
      <w:lvlJc w:val="left"/>
      <w:pPr>
        <w:ind w:left="360" w:hanging="360"/>
      </w:pPr>
      <w:rPr>
        <w:rFonts w:ascii="Arial" w:eastAsia="Times New Roman" w:hAnsi="Arial" w:cs="Arial" w:hint="default"/>
      </w:rPr>
    </w:lvl>
    <w:lvl w:ilvl="1" w:tplc="0424001B">
      <w:start w:val="1"/>
      <w:numFmt w:val="lowerRoman"/>
      <w:lvlText w:val="%2."/>
      <w:lvlJc w:val="right"/>
      <w:pPr>
        <w:ind w:left="1080" w:hanging="360"/>
      </w:pPr>
      <w:rPr>
        <w:rFont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C57274E"/>
    <w:multiLevelType w:val="hybridMultilevel"/>
    <w:tmpl w:val="1B2A5F70"/>
    <w:lvl w:ilvl="0" w:tplc="E534BF82">
      <w:numFmt w:val="bullet"/>
      <w:lvlText w:val="–"/>
      <w:lvlJc w:val="left"/>
      <w:pPr>
        <w:ind w:left="720" w:hanging="360"/>
      </w:pPr>
      <w:rPr>
        <w:rFonts w:ascii="Arial" w:eastAsia="Times New Roman" w:hAnsi="Arial" w:cs="Arial" w:hint="default"/>
      </w:rPr>
    </w:lvl>
    <w:lvl w:ilvl="1" w:tplc="E534BF82">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2515C8C"/>
    <w:multiLevelType w:val="multilevel"/>
    <w:tmpl w:val="7026E6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2963032"/>
    <w:multiLevelType w:val="hybridMultilevel"/>
    <w:tmpl w:val="6F8A6EDE"/>
    <w:lvl w:ilvl="0" w:tplc="E534BF82">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36F44E5"/>
    <w:multiLevelType w:val="multilevel"/>
    <w:tmpl w:val="3F5C2C90"/>
    <w:lvl w:ilvl="0">
      <w:start w:val="1"/>
      <w:numFmt w:val="decimal"/>
      <w:pStyle w:val="Naslov1"/>
      <w:lvlText w:val="%1."/>
      <w:lvlJc w:val="left"/>
      <w:pPr>
        <w:tabs>
          <w:tab w:val="num" w:pos="4330"/>
        </w:tabs>
        <w:ind w:left="4330" w:hanging="360"/>
      </w:pPr>
      <w:rPr>
        <w:rFonts w:hint="default"/>
      </w:rPr>
    </w:lvl>
    <w:lvl w:ilvl="1">
      <w:start w:val="1"/>
      <w:numFmt w:val="decimal"/>
      <w:pStyle w:val="Naslov2"/>
      <w:lvlText w:val="%1.%2."/>
      <w:lvlJc w:val="left"/>
      <w:pPr>
        <w:tabs>
          <w:tab w:val="num" w:pos="3126"/>
        </w:tabs>
        <w:ind w:left="3126" w:hanging="432"/>
      </w:pPr>
      <w:rPr>
        <w:rFonts w:hint="default"/>
      </w:rPr>
    </w:lvl>
    <w:lvl w:ilvl="2">
      <w:start w:val="1"/>
      <w:numFmt w:val="decimal"/>
      <w:pStyle w:val="Naslov3"/>
      <w:lvlText w:val="%1.%2.%3."/>
      <w:lvlJc w:val="left"/>
      <w:pPr>
        <w:tabs>
          <w:tab w:val="num" w:pos="8160"/>
        </w:tabs>
        <w:ind w:left="8160" w:hanging="504"/>
      </w:pPr>
      <w:rPr>
        <w:rFonts w:hint="default"/>
      </w:rPr>
    </w:lvl>
    <w:lvl w:ilvl="3">
      <w:start w:val="1"/>
      <w:numFmt w:val="decimal"/>
      <w:lvlText w:val="%1.%2.%3.%4."/>
      <w:lvlJc w:val="left"/>
      <w:pPr>
        <w:tabs>
          <w:tab w:val="num" w:pos="2706"/>
        </w:tabs>
        <w:ind w:left="2634" w:hanging="648"/>
      </w:pPr>
      <w:rPr>
        <w:rFonts w:hint="default"/>
      </w:rPr>
    </w:lvl>
    <w:lvl w:ilvl="4">
      <w:start w:val="1"/>
      <w:numFmt w:val="decimal"/>
      <w:lvlText w:val="%1.%2.%3.%4.%5."/>
      <w:lvlJc w:val="left"/>
      <w:pPr>
        <w:tabs>
          <w:tab w:val="num" w:pos="4080"/>
        </w:tabs>
        <w:ind w:left="3792" w:hanging="792"/>
      </w:pPr>
      <w:rPr>
        <w:rFonts w:hint="default"/>
      </w:rPr>
    </w:lvl>
    <w:lvl w:ilvl="5">
      <w:start w:val="1"/>
      <w:numFmt w:val="decimal"/>
      <w:lvlText w:val="%1.%2.%3.%4.%5.%6."/>
      <w:lvlJc w:val="left"/>
      <w:pPr>
        <w:tabs>
          <w:tab w:val="num" w:pos="4440"/>
        </w:tabs>
        <w:ind w:left="4296" w:hanging="936"/>
      </w:pPr>
      <w:rPr>
        <w:rFonts w:hint="default"/>
      </w:rPr>
    </w:lvl>
    <w:lvl w:ilvl="6">
      <w:start w:val="1"/>
      <w:numFmt w:val="decimal"/>
      <w:lvlText w:val="%1.%2.%3.%4.%5.%6.%7."/>
      <w:lvlJc w:val="left"/>
      <w:pPr>
        <w:tabs>
          <w:tab w:val="num" w:pos="5160"/>
        </w:tabs>
        <w:ind w:left="4800" w:hanging="1080"/>
      </w:pPr>
      <w:rPr>
        <w:rFonts w:hint="default"/>
      </w:rPr>
    </w:lvl>
    <w:lvl w:ilvl="7">
      <w:start w:val="1"/>
      <w:numFmt w:val="decimal"/>
      <w:lvlText w:val="%1.%2.%3.%4.%5.%6.%7.%8."/>
      <w:lvlJc w:val="left"/>
      <w:pPr>
        <w:tabs>
          <w:tab w:val="num" w:pos="5520"/>
        </w:tabs>
        <w:ind w:left="5304" w:hanging="1224"/>
      </w:pPr>
      <w:rPr>
        <w:rFonts w:hint="default"/>
      </w:rPr>
    </w:lvl>
    <w:lvl w:ilvl="8">
      <w:start w:val="1"/>
      <w:numFmt w:val="decimal"/>
      <w:lvlText w:val="%1.%2.%3.%4.%5.%6.%7.%8.%9."/>
      <w:lvlJc w:val="left"/>
      <w:pPr>
        <w:tabs>
          <w:tab w:val="num" w:pos="6240"/>
        </w:tabs>
        <w:ind w:left="5880" w:hanging="1440"/>
      </w:pPr>
      <w:rPr>
        <w:rFonts w:hint="default"/>
      </w:rPr>
    </w:lvl>
  </w:abstractNum>
  <w:abstractNum w:abstractNumId="6">
    <w:nsid w:val="172E6AE9"/>
    <w:multiLevelType w:val="hybridMultilevel"/>
    <w:tmpl w:val="8E7CA7F6"/>
    <w:lvl w:ilvl="0" w:tplc="FBB88BC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1EDE6B29"/>
    <w:multiLevelType w:val="multilevel"/>
    <w:tmpl w:val="1720A2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1C9569B"/>
    <w:multiLevelType w:val="hybridMultilevel"/>
    <w:tmpl w:val="7362E0B6"/>
    <w:lvl w:ilvl="0" w:tplc="99609F6A">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3145D0C"/>
    <w:multiLevelType w:val="hybridMultilevel"/>
    <w:tmpl w:val="9A040B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5DC1B5B"/>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2616E14"/>
    <w:multiLevelType w:val="hybridMultilevel"/>
    <w:tmpl w:val="B184A16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nsid w:val="32B21A1E"/>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4183210"/>
    <w:multiLevelType w:val="multilevel"/>
    <w:tmpl w:val="1720A2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CD86B00"/>
    <w:multiLevelType w:val="hybridMultilevel"/>
    <w:tmpl w:val="5E7C1158"/>
    <w:lvl w:ilvl="0" w:tplc="0424000F">
      <w:start w:val="1"/>
      <w:numFmt w:val="decimal"/>
      <w:lvlText w:val="%1."/>
      <w:lvlJc w:val="left"/>
      <w:pPr>
        <w:ind w:left="360" w:hanging="360"/>
      </w:pPr>
      <w:rPr>
        <w:rFonts w:hint="default"/>
      </w:rPr>
    </w:lvl>
    <w:lvl w:ilvl="1" w:tplc="0424001B">
      <w:start w:val="1"/>
      <w:numFmt w:val="lowerRoman"/>
      <w:lvlText w:val="%2."/>
      <w:lvlJc w:val="right"/>
      <w:pPr>
        <w:ind w:left="1080" w:hanging="360"/>
      </w:pPr>
      <w:rPr>
        <w:rFont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415F0C38"/>
    <w:multiLevelType w:val="hybridMultilevel"/>
    <w:tmpl w:val="5748FBF8"/>
    <w:lvl w:ilvl="0" w:tplc="E534BF82">
      <w:numFmt w:val="bullet"/>
      <w:lvlText w:val="–"/>
      <w:lvlJc w:val="left"/>
      <w:pPr>
        <w:ind w:left="720" w:hanging="360"/>
      </w:pPr>
      <w:rPr>
        <w:rFonts w:ascii="Arial" w:eastAsia="Times New Roman" w:hAnsi="Arial" w:cs="Arial" w:hint="default"/>
      </w:rPr>
    </w:lvl>
    <w:lvl w:ilvl="1" w:tplc="0424001B">
      <w:start w:val="1"/>
      <w:numFmt w:val="lowerRoman"/>
      <w:lvlText w:val="%2."/>
      <w:lvlJc w:val="right"/>
      <w:pPr>
        <w:ind w:left="1440" w:hanging="360"/>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3A97C1C"/>
    <w:multiLevelType w:val="hybridMultilevel"/>
    <w:tmpl w:val="4E72F0C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nsid w:val="456049FB"/>
    <w:multiLevelType w:val="hybridMultilevel"/>
    <w:tmpl w:val="E6B696A8"/>
    <w:lvl w:ilvl="0" w:tplc="2D58CE4A">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CCF7716"/>
    <w:multiLevelType w:val="hybridMultilevel"/>
    <w:tmpl w:val="9C90D102"/>
    <w:lvl w:ilvl="0" w:tplc="E534BF82">
      <w:numFmt w:val="bullet"/>
      <w:lvlText w:val="–"/>
      <w:lvlJc w:val="left"/>
      <w:pPr>
        <w:ind w:left="360" w:hanging="360"/>
      </w:pPr>
      <w:rPr>
        <w:rFonts w:ascii="Arial" w:eastAsia="Times New Roman" w:hAnsi="Arial" w:cs="Arial" w:hint="default"/>
      </w:rPr>
    </w:lvl>
    <w:lvl w:ilvl="1" w:tplc="0424001B">
      <w:start w:val="1"/>
      <w:numFmt w:val="lowerRoman"/>
      <w:lvlText w:val="%2."/>
      <w:lvlJc w:val="right"/>
      <w:pPr>
        <w:ind w:left="1080" w:hanging="360"/>
      </w:pPr>
      <w:rPr>
        <w:rFont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4EAE2167"/>
    <w:multiLevelType w:val="multilevel"/>
    <w:tmpl w:val="99CA707C"/>
    <w:lvl w:ilvl="0">
      <w:start w:val="1"/>
      <w:numFmt w:val="decimal"/>
      <w:pStyle w:val="tevilnatoka"/>
      <w:lvlText w:val="%1."/>
      <w:lvlJc w:val="left"/>
      <w:pPr>
        <w:tabs>
          <w:tab w:val="num" w:pos="425"/>
        </w:tabs>
        <w:ind w:left="425" w:hanging="425"/>
      </w:pPr>
      <w:rPr>
        <w:rFonts w:cs="Times New Roman"/>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b w:val="0"/>
        <w:bCs w:val="0"/>
        <w:i w:val="0"/>
        <w:iCs w:val="0"/>
        <w:caps w:val="0"/>
        <w:smallCaps w:val="0"/>
        <w:strike w:val="0"/>
        <w:dstrike w:val="0"/>
        <w:outline w:val="0"/>
        <w:shadow w:val="0"/>
        <w:emboss w:val="0"/>
        <w:imprint w:val="0"/>
        <w:vanish w:val="0"/>
        <w:webHidden w:val="0"/>
        <w:spacing w:val="-20"/>
        <w:kern w:val="0"/>
        <w:position w:val="0"/>
        <w:u w:val="none"/>
        <w:effect w:val="none"/>
        <w:vertAlign w:val="baseline"/>
        <w:em w:val="none"/>
        <w:specVanish w:val="0"/>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0">
    <w:nsid w:val="5273554A"/>
    <w:multiLevelType w:val="hybridMultilevel"/>
    <w:tmpl w:val="94589DF2"/>
    <w:lvl w:ilvl="0" w:tplc="E534BF82">
      <w:numFmt w:val="bullet"/>
      <w:lvlText w:val="–"/>
      <w:lvlJc w:val="left"/>
      <w:pPr>
        <w:ind w:left="360" w:hanging="360"/>
      </w:pPr>
      <w:rPr>
        <w:rFonts w:ascii="Arial" w:eastAsia="Times New Roman" w:hAnsi="Arial" w:cs="Arial" w:hint="default"/>
      </w:rPr>
    </w:lvl>
    <w:lvl w:ilvl="1" w:tplc="0424001B">
      <w:start w:val="1"/>
      <w:numFmt w:val="lowerRoman"/>
      <w:lvlText w:val="%2."/>
      <w:lvlJc w:val="right"/>
      <w:pPr>
        <w:ind w:left="1080" w:hanging="360"/>
      </w:pPr>
      <w:rPr>
        <w:rFont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5682777F"/>
    <w:multiLevelType w:val="hybridMultilevel"/>
    <w:tmpl w:val="065E8D64"/>
    <w:lvl w:ilvl="0" w:tplc="E534BF8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B242F6B"/>
    <w:multiLevelType w:val="hybridMultilevel"/>
    <w:tmpl w:val="99225B42"/>
    <w:lvl w:ilvl="0" w:tplc="E534BF82">
      <w:numFmt w:val="bullet"/>
      <w:lvlText w:val="–"/>
      <w:lvlJc w:val="left"/>
      <w:pPr>
        <w:ind w:left="360" w:hanging="360"/>
      </w:pPr>
      <w:rPr>
        <w:rFonts w:ascii="Arial" w:eastAsia="Times New Roman" w:hAnsi="Arial" w:cs="Arial" w:hint="default"/>
      </w:rPr>
    </w:lvl>
    <w:lvl w:ilvl="1" w:tplc="0424001B">
      <w:start w:val="1"/>
      <w:numFmt w:val="lowerRoman"/>
      <w:lvlText w:val="%2."/>
      <w:lvlJc w:val="right"/>
      <w:pPr>
        <w:ind w:left="1080" w:hanging="360"/>
      </w:pPr>
      <w:rPr>
        <w:rFont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633379CA"/>
    <w:multiLevelType w:val="multilevel"/>
    <w:tmpl w:val="0424001F"/>
    <w:numStyleLink w:val="111111"/>
  </w:abstractNum>
  <w:abstractNum w:abstractNumId="24">
    <w:nsid w:val="65106B2E"/>
    <w:multiLevelType w:val="hybridMultilevel"/>
    <w:tmpl w:val="49662F44"/>
    <w:lvl w:ilvl="0" w:tplc="E534BF82">
      <w:numFmt w:val="bullet"/>
      <w:lvlText w:val="–"/>
      <w:lvlJc w:val="left"/>
      <w:pPr>
        <w:ind w:left="360" w:hanging="360"/>
      </w:pPr>
      <w:rPr>
        <w:rFonts w:ascii="Arial" w:eastAsia="Times New Roman"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nsid w:val="6E09158B"/>
    <w:multiLevelType w:val="hybridMultilevel"/>
    <w:tmpl w:val="39C47416"/>
    <w:lvl w:ilvl="0" w:tplc="E534BF82">
      <w:numFmt w:val="bullet"/>
      <w:lvlText w:val="–"/>
      <w:lvlJc w:val="left"/>
      <w:pPr>
        <w:ind w:left="360" w:hanging="360"/>
      </w:pPr>
      <w:rPr>
        <w:rFonts w:ascii="Arial" w:eastAsia="Times New Roman" w:hAnsi="Arial" w:cs="Arial" w:hint="default"/>
      </w:rPr>
    </w:lvl>
    <w:lvl w:ilvl="1" w:tplc="0424001B">
      <w:start w:val="1"/>
      <w:numFmt w:val="lowerRoman"/>
      <w:lvlText w:val="%2."/>
      <w:lvlJc w:val="right"/>
      <w:pPr>
        <w:ind w:left="1080" w:hanging="360"/>
      </w:pPr>
      <w:rPr>
        <w:rFont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6FAB4BA0"/>
    <w:multiLevelType w:val="hybridMultilevel"/>
    <w:tmpl w:val="D84EB5AA"/>
    <w:lvl w:ilvl="0" w:tplc="C5B8A3A0">
      <w:start w:val="1"/>
      <w:numFmt w:val="bullet"/>
      <w:pStyle w:val="Alineazaodstavkom"/>
      <w:lvlText w:val="-"/>
      <w:lvlJc w:val="left"/>
      <w:pPr>
        <w:ind w:left="360" w:hanging="360"/>
      </w:pPr>
      <w:rPr>
        <w:rFonts w:ascii="Arial" w:hAnsi="Arial" w:cs="Times New Roman" w:hint="default"/>
      </w:rPr>
    </w:lvl>
    <w:lvl w:ilvl="1" w:tplc="04240019">
      <w:start w:val="1"/>
      <w:numFmt w:val="lowerLetter"/>
      <w:lvlText w:val="%2."/>
      <w:lvlJc w:val="left"/>
      <w:pPr>
        <w:ind w:left="795" w:hanging="360"/>
      </w:pPr>
    </w:lvl>
    <w:lvl w:ilvl="2" w:tplc="0424001B" w:tentative="1">
      <w:start w:val="1"/>
      <w:numFmt w:val="lowerRoman"/>
      <w:lvlText w:val="%3."/>
      <w:lvlJc w:val="right"/>
      <w:pPr>
        <w:ind w:left="1515" w:hanging="180"/>
      </w:pPr>
    </w:lvl>
    <w:lvl w:ilvl="3" w:tplc="0424000F" w:tentative="1">
      <w:start w:val="1"/>
      <w:numFmt w:val="decimal"/>
      <w:lvlText w:val="%4."/>
      <w:lvlJc w:val="left"/>
      <w:pPr>
        <w:ind w:left="2235" w:hanging="360"/>
      </w:pPr>
    </w:lvl>
    <w:lvl w:ilvl="4" w:tplc="04240019" w:tentative="1">
      <w:start w:val="1"/>
      <w:numFmt w:val="lowerLetter"/>
      <w:lvlText w:val="%5."/>
      <w:lvlJc w:val="left"/>
      <w:pPr>
        <w:ind w:left="2955" w:hanging="360"/>
      </w:pPr>
    </w:lvl>
    <w:lvl w:ilvl="5" w:tplc="0424001B" w:tentative="1">
      <w:start w:val="1"/>
      <w:numFmt w:val="lowerRoman"/>
      <w:lvlText w:val="%6."/>
      <w:lvlJc w:val="right"/>
      <w:pPr>
        <w:ind w:left="3675" w:hanging="180"/>
      </w:pPr>
    </w:lvl>
    <w:lvl w:ilvl="6" w:tplc="0424000F" w:tentative="1">
      <w:start w:val="1"/>
      <w:numFmt w:val="decimal"/>
      <w:lvlText w:val="%7."/>
      <w:lvlJc w:val="left"/>
      <w:pPr>
        <w:ind w:left="4395" w:hanging="360"/>
      </w:pPr>
    </w:lvl>
    <w:lvl w:ilvl="7" w:tplc="04240019" w:tentative="1">
      <w:start w:val="1"/>
      <w:numFmt w:val="lowerLetter"/>
      <w:lvlText w:val="%8."/>
      <w:lvlJc w:val="left"/>
      <w:pPr>
        <w:ind w:left="5115" w:hanging="360"/>
      </w:pPr>
    </w:lvl>
    <w:lvl w:ilvl="8" w:tplc="0424001B" w:tentative="1">
      <w:start w:val="1"/>
      <w:numFmt w:val="lowerRoman"/>
      <w:lvlText w:val="%9."/>
      <w:lvlJc w:val="right"/>
      <w:pPr>
        <w:ind w:left="5835" w:hanging="180"/>
      </w:pPr>
    </w:lvl>
  </w:abstractNum>
  <w:abstractNum w:abstractNumId="27">
    <w:nsid w:val="6FC34A62"/>
    <w:multiLevelType w:val="hybridMultilevel"/>
    <w:tmpl w:val="939A1A0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nsid w:val="72F749EB"/>
    <w:multiLevelType w:val="hybridMultilevel"/>
    <w:tmpl w:val="62AA81F6"/>
    <w:lvl w:ilvl="0" w:tplc="E534BF82">
      <w:numFmt w:val="bullet"/>
      <w:lvlText w:val="–"/>
      <w:lvlJc w:val="left"/>
      <w:pPr>
        <w:ind w:left="720" w:hanging="360"/>
      </w:pPr>
      <w:rPr>
        <w:rFonts w:ascii="Arial" w:eastAsia="Times New Roman"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738B6F1B"/>
    <w:multiLevelType w:val="multilevel"/>
    <w:tmpl w:val="90B4AEF4"/>
    <w:lvl w:ilvl="0">
      <w:start w:val="1"/>
      <w:numFmt w:val="decimal"/>
      <w:lvlText w:val="%1."/>
      <w:lvlJc w:val="left"/>
      <w:pPr>
        <w:ind w:left="360" w:hanging="360"/>
      </w:pPr>
      <w:rPr>
        <w:rFonts w:hint="default"/>
      </w:rPr>
    </w:lvl>
    <w:lvl w:ilvl="1">
      <w:start w:val="3"/>
      <w:numFmt w:val="decimal"/>
      <w:isLgl/>
      <w:lvlText w:val="%1.%2"/>
      <w:lvlJc w:val="left"/>
      <w:pPr>
        <w:ind w:left="660" w:hanging="660"/>
      </w:pPr>
      <w:rPr>
        <w:rFonts w:hint="default"/>
      </w:rPr>
    </w:lvl>
    <w:lvl w:ilvl="2">
      <w:start w:val="1"/>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7DCF4E0B"/>
    <w:multiLevelType w:val="hybridMultilevel"/>
    <w:tmpl w:val="671029A6"/>
    <w:lvl w:ilvl="0" w:tplc="0424000F">
      <w:start w:val="1"/>
      <w:numFmt w:val="decimal"/>
      <w:lvlText w:val="%1."/>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5"/>
  </w:num>
  <w:num w:numId="2">
    <w:abstractNumId w:val="12"/>
  </w:num>
  <w:num w:numId="3">
    <w:abstractNumId w:val="23"/>
  </w:num>
  <w:num w:numId="4">
    <w:abstractNumId w:val="10"/>
  </w:num>
  <w:num w:numId="5">
    <w:abstractNumId w:val="3"/>
  </w:num>
  <w:num w:numId="6">
    <w:abstractNumId w:val="15"/>
  </w:num>
  <w:num w:numId="7">
    <w:abstractNumId w:val="11"/>
  </w:num>
  <w:num w:numId="8">
    <w:abstractNumId w:val="29"/>
  </w:num>
  <w:num w:numId="9">
    <w:abstractNumId w:val="13"/>
  </w:num>
  <w:num w:numId="10">
    <w:abstractNumId w:val="7"/>
  </w:num>
  <w:num w:numId="11">
    <w:abstractNumId w:val="8"/>
  </w:num>
  <w:num w:numId="12">
    <w:abstractNumId w:val="17"/>
  </w:num>
  <w:num w:numId="13">
    <w:abstractNumId w:val="6"/>
  </w:num>
  <w:num w:numId="14">
    <w:abstractNumId w:val="27"/>
  </w:num>
  <w:num w:numId="15">
    <w:abstractNumId w:val="16"/>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0"/>
  </w:num>
  <w:num w:numId="19">
    <w:abstractNumId w:val="9"/>
  </w:num>
  <w:num w:numId="20">
    <w:abstractNumId w:val="24"/>
  </w:num>
  <w:num w:numId="21">
    <w:abstractNumId w:val="28"/>
  </w:num>
  <w:num w:numId="22">
    <w:abstractNumId w:val="4"/>
  </w:num>
  <w:num w:numId="23">
    <w:abstractNumId w:val="14"/>
  </w:num>
  <w:num w:numId="24">
    <w:abstractNumId w:val="2"/>
  </w:num>
  <w:num w:numId="25">
    <w:abstractNumId w:val="30"/>
  </w:num>
  <w:num w:numId="26">
    <w:abstractNumId w:val="18"/>
  </w:num>
  <w:num w:numId="27">
    <w:abstractNumId w:val="25"/>
  </w:num>
  <w:num w:numId="28">
    <w:abstractNumId w:val="1"/>
  </w:num>
  <w:num w:numId="29">
    <w:abstractNumId w:val="22"/>
  </w:num>
  <w:num w:numId="30">
    <w:abstractNumId w:val="20"/>
  </w:num>
  <w:num w:numId="31">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4EB"/>
    <w:rsid w:val="0000154D"/>
    <w:rsid w:val="00001D2E"/>
    <w:rsid w:val="00001D81"/>
    <w:rsid w:val="00002341"/>
    <w:rsid w:val="00003089"/>
    <w:rsid w:val="00003AC6"/>
    <w:rsid w:val="00003D34"/>
    <w:rsid w:val="000040DB"/>
    <w:rsid w:val="00004CF5"/>
    <w:rsid w:val="000065F9"/>
    <w:rsid w:val="00007664"/>
    <w:rsid w:val="00010001"/>
    <w:rsid w:val="00010B38"/>
    <w:rsid w:val="00010D4A"/>
    <w:rsid w:val="000116AF"/>
    <w:rsid w:val="0001272B"/>
    <w:rsid w:val="00013C11"/>
    <w:rsid w:val="000179E4"/>
    <w:rsid w:val="00017C09"/>
    <w:rsid w:val="000205D1"/>
    <w:rsid w:val="00021E70"/>
    <w:rsid w:val="0002247F"/>
    <w:rsid w:val="00024095"/>
    <w:rsid w:val="00025161"/>
    <w:rsid w:val="000259BC"/>
    <w:rsid w:val="00026E6F"/>
    <w:rsid w:val="0002726E"/>
    <w:rsid w:val="0003100D"/>
    <w:rsid w:val="0003176B"/>
    <w:rsid w:val="000322DB"/>
    <w:rsid w:val="00032D4B"/>
    <w:rsid w:val="000362E1"/>
    <w:rsid w:val="0004061A"/>
    <w:rsid w:val="00040FDC"/>
    <w:rsid w:val="00041A0F"/>
    <w:rsid w:val="00042423"/>
    <w:rsid w:val="00043AC8"/>
    <w:rsid w:val="00043C5C"/>
    <w:rsid w:val="000441CF"/>
    <w:rsid w:val="00047A98"/>
    <w:rsid w:val="000501FC"/>
    <w:rsid w:val="000507B2"/>
    <w:rsid w:val="000509A8"/>
    <w:rsid w:val="00050A92"/>
    <w:rsid w:val="00052654"/>
    <w:rsid w:val="00052D95"/>
    <w:rsid w:val="00052E69"/>
    <w:rsid w:val="00053555"/>
    <w:rsid w:val="0005583F"/>
    <w:rsid w:val="00055870"/>
    <w:rsid w:val="00055ED8"/>
    <w:rsid w:val="00056174"/>
    <w:rsid w:val="00056CF3"/>
    <w:rsid w:val="00056EE8"/>
    <w:rsid w:val="0006053D"/>
    <w:rsid w:val="00062031"/>
    <w:rsid w:val="00062401"/>
    <w:rsid w:val="00062A0D"/>
    <w:rsid w:val="00062E88"/>
    <w:rsid w:val="00073369"/>
    <w:rsid w:val="00073B08"/>
    <w:rsid w:val="000743C6"/>
    <w:rsid w:val="00074920"/>
    <w:rsid w:val="0007559B"/>
    <w:rsid w:val="00075BD4"/>
    <w:rsid w:val="0007789D"/>
    <w:rsid w:val="00077E77"/>
    <w:rsid w:val="00077FA2"/>
    <w:rsid w:val="00080A8C"/>
    <w:rsid w:val="00081030"/>
    <w:rsid w:val="00082DB3"/>
    <w:rsid w:val="00082F8F"/>
    <w:rsid w:val="00083B79"/>
    <w:rsid w:val="00084EF3"/>
    <w:rsid w:val="00085071"/>
    <w:rsid w:val="00085088"/>
    <w:rsid w:val="00085AA9"/>
    <w:rsid w:val="00085B71"/>
    <w:rsid w:val="00086076"/>
    <w:rsid w:val="000869C2"/>
    <w:rsid w:val="00087A7E"/>
    <w:rsid w:val="0009017C"/>
    <w:rsid w:val="00090F15"/>
    <w:rsid w:val="00094087"/>
    <w:rsid w:val="00094193"/>
    <w:rsid w:val="00094ECD"/>
    <w:rsid w:val="000950AF"/>
    <w:rsid w:val="000956F3"/>
    <w:rsid w:val="00095F2C"/>
    <w:rsid w:val="00097C96"/>
    <w:rsid w:val="000A0403"/>
    <w:rsid w:val="000A0DD7"/>
    <w:rsid w:val="000A41B3"/>
    <w:rsid w:val="000A4488"/>
    <w:rsid w:val="000A54A7"/>
    <w:rsid w:val="000A5E01"/>
    <w:rsid w:val="000A717E"/>
    <w:rsid w:val="000A71D3"/>
    <w:rsid w:val="000A752E"/>
    <w:rsid w:val="000A7613"/>
    <w:rsid w:val="000B0759"/>
    <w:rsid w:val="000B0F69"/>
    <w:rsid w:val="000B3734"/>
    <w:rsid w:val="000B37BC"/>
    <w:rsid w:val="000B414A"/>
    <w:rsid w:val="000B47DC"/>
    <w:rsid w:val="000B53FC"/>
    <w:rsid w:val="000B73BD"/>
    <w:rsid w:val="000B76B4"/>
    <w:rsid w:val="000B77AB"/>
    <w:rsid w:val="000C0F89"/>
    <w:rsid w:val="000C1E55"/>
    <w:rsid w:val="000C1ED1"/>
    <w:rsid w:val="000C3B93"/>
    <w:rsid w:val="000C5358"/>
    <w:rsid w:val="000C61E3"/>
    <w:rsid w:val="000C6746"/>
    <w:rsid w:val="000D0F9E"/>
    <w:rsid w:val="000D19E9"/>
    <w:rsid w:val="000D1FB0"/>
    <w:rsid w:val="000D2BCA"/>
    <w:rsid w:val="000D43A5"/>
    <w:rsid w:val="000D542A"/>
    <w:rsid w:val="000D5623"/>
    <w:rsid w:val="000D6840"/>
    <w:rsid w:val="000D6E41"/>
    <w:rsid w:val="000E0113"/>
    <w:rsid w:val="000E02D3"/>
    <w:rsid w:val="000E0B6B"/>
    <w:rsid w:val="000E201C"/>
    <w:rsid w:val="000E274D"/>
    <w:rsid w:val="000E3827"/>
    <w:rsid w:val="000E39A3"/>
    <w:rsid w:val="000E514B"/>
    <w:rsid w:val="000E60AB"/>
    <w:rsid w:val="000F572A"/>
    <w:rsid w:val="000F66CB"/>
    <w:rsid w:val="000F67C4"/>
    <w:rsid w:val="00100708"/>
    <w:rsid w:val="001008BC"/>
    <w:rsid w:val="00100F2F"/>
    <w:rsid w:val="0010161B"/>
    <w:rsid w:val="00102056"/>
    <w:rsid w:val="001030AF"/>
    <w:rsid w:val="001036A6"/>
    <w:rsid w:val="001037CC"/>
    <w:rsid w:val="001041BE"/>
    <w:rsid w:val="001048C8"/>
    <w:rsid w:val="00104A62"/>
    <w:rsid w:val="00104FC1"/>
    <w:rsid w:val="001053B5"/>
    <w:rsid w:val="00107146"/>
    <w:rsid w:val="00110092"/>
    <w:rsid w:val="00110AEC"/>
    <w:rsid w:val="001112C4"/>
    <w:rsid w:val="001115E4"/>
    <w:rsid w:val="001117FD"/>
    <w:rsid w:val="001118BA"/>
    <w:rsid w:val="00112CAB"/>
    <w:rsid w:val="00112EA4"/>
    <w:rsid w:val="001130DC"/>
    <w:rsid w:val="00115FDA"/>
    <w:rsid w:val="00116ED1"/>
    <w:rsid w:val="001175CA"/>
    <w:rsid w:val="001209A7"/>
    <w:rsid w:val="00122736"/>
    <w:rsid w:val="00122FE0"/>
    <w:rsid w:val="00123AEA"/>
    <w:rsid w:val="001245AB"/>
    <w:rsid w:val="00124FBD"/>
    <w:rsid w:val="00125925"/>
    <w:rsid w:val="00126E9F"/>
    <w:rsid w:val="001272BA"/>
    <w:rsid w:val="0013161C"/>
    <w:rsid w:val="00131BE4"/>
    <w:rsid w:val="001329E1"/>
    <w:rsid w:val="00132B9E"/>
    <w:rsid w:val="001333DC"/>
    <w:rsid w:val="00133951"/>
    <w:rsid w:val="00134516"/>
    <w:rsid w:val="001347F8"/>
    <w:rsid w:val="001372B1"/>
    <w:rsid w:val="00137598"/>
    <w:rsid w:val="0014164B"/>
    <w:rsid w:val="00144B1D"/>
    <w:rsid w:val="00145CEB"/>
    <w:rsid w:val="001476BD"/>
    <w:rsid w:val="00150958"/>
    <w:rsid w:val="001539A3"/>
    <w:rsid w:val="00154151"/>
    <w:rsid w:val="00154629"/>
    <w:rsid w:val="001555A2"/>
    <w:rsid w:val="001557E7"/>
    <w:rsid w:val="0015787B"/>
    <w:rsid w:val="00157AA1"/>
    <w:rsid w:val="00160489"/>
    <w:rsid w:val="00161414"/>
    <w:rsid w:val="0016348B"/>
    <w:rsid w:val="00163D6F"/>
    <w:rsid w:val="00164047"/>
    <w:rsid w:val="001656BF"/>
    <w:rsid w:val="00165E95"/>
    <w:rsid w:val="00170220"/>
    <w:rsid w:val="001710CA"/>
    <w:rsid w:val="001719CD"/>
    <w:rsid w:val="00171B94"/>
    <w:rsid w:val="00172A1B"/>
    <w:rsid w:val="0017322A"/>
    <w:rsid w:val="00174757"/>
    <w:rsid w:val="001767B2"/>
    <w:rsid w:val="00176AF2"/>
    <w:rsid w:val="001776C8"/>
    <w:rsid w:val="0018071D"/>
    <w:rsid w:val="00181A0A"/>
    <w:rsid w:val="00181EE0"/>
    <w:rsid w:val="001823AA"/>
    <w:rsid w:val="00183299"/>
    <w:rsid w:val="00183441"/>
    <w:rsid w:val="001834BA"/>
    <w:rsid w:val="00183C94"/>
    <w:rsid w:val="00183FFC"/>
    <w:rsid w:val="001843E3"/>
    <w:rsid w:val="001846F0"/>
    <w:rsid w:val="00186280"/>
    <w:rsid w:val="00186DEA"/>
    <w:rsid w:val="00187974"/>
    <w:rsid w:val="00187C49"/>
    <w:rsid w:val="0019056F"/>
    <w:rsid w:val="00193830"/>
    <w:rsid w:val="0019457A"/>
    <w:rsid w:val="001947EE"/>
    <w:rsid w:val="00194A31"/>
    <w:rsid w:val="0019646A"/>
    <w:rsid w:val="001A0E6A"/>
    <w:rsid w:val="001A0EEE"/>
    <w:rsid w:val="001A1696"/>
    <w:rsid w:val="001A5E60"/>
    <w:rsid w:val="001A5F8F"/>
    <w:rsid w:val="001A6570"/>
    <w:rsid w:val="001A6711"/>
    <w:rsid w:val="001A6977"/>
    <w:rsid w:val="001A6CBC"/>
    <w:rsid w:val="001A7481"/>
    <w:rsid w:val="001B094E"/>
    <w:rsid w:val="001B0F54"/>
    <w:rsid w:val="001B2FD9"/>
    <w:rsid w:val="001B3B8E"/>
    <w:rsid w:val="001B6038"/>
    <w:rsid w:val="001B79FD"/>
    <w:rsid w:val="001C0F6F"/>
    <w:rsid w:val="001C3836"/>
    <w:rsid w:val="001C392E"/>
    <w:rsid w:val="001C4E1B"/>
    <w:rsid w:val="001C5DD3"/>
    <w:rsid w:val="001C6587"/>
    <w:rsid w:val="001C7B76"/>
    <w:rsid w:val="001D06BB"/>
    <w:rsid w:val="001D1A05"/>
    <w:rsid w:val="001D239C"/>
    <w:rsid w:val="001D3029"/>
    <w:rsid w:val="001D4F4E"/>
    <w:rsid w:val="001D4F97"/>
    <w:rsid w:val="001D5294"/>
    <w:rsid w:val="001D562F"/>
    <w:rsid w:val="001D5709"/>
    <w:rsid w:val="001D5F60"/>
    <w:rsid w:val="001D7457"/>
    <w:rsid w:val="001E1D37"/>
    <w:rsid w:val="001E29D7"/>
    <w:rsid w:val="001E2C9D"/>
    <w:rsid w:val="001E37F4"/>
    <w:rsid w:val="001E4E14"/>
    <w:rsid w:val="001E56A3"/>
    <w:rsid w:val="001E6C41"/>
    <w:rsid w:val="001E6E04"/>
    <w:rsid w:val="001F0B9F"/>
    <w:rsid w:val="001F0FF5"/>
    <w:rsid w:val="001F1360"/>
    <w:rsid w:val="001F175B"/>
    <w:rsid w:val="001F1A67"/>
    <w:rsid w:val="001F1B2E"/>
    <w:rsid w:val="001F28B5"/>
    <w:rsid w:val="001F2A5A"/>
    <w:rsid w:val="001F4FFC"/>
    <w:rsid w:val="001F638B"/>
    <w:rsid w:val="001F721C"/>
    <w:rsid w:val="001F78AF"/>
    <w:rsid w:val="001F7EE9"/>
    <w:rsid w:val="002001B6"/>
    <w:rsid w:val="0020103B"/>
    <w:rsid w:val="00201942"/>
    <w:rsid w:val="00203A61"/>
    <w:rsid w:val="00204566"/>
    <w:rsid w:val="00204CFE"/>
    <w:rsid w:val="00205266"/>
    <w:rsid w:val="0020727D"/>
    <w:rsid w:val="00207300"/>
    <w:rsid w:val="00207628"/>
    <w:rsid w:val="00207E65"/>
    <w:rsid w:val="00207F5A"/>
    <w:rsid w:val="002105F2"/>
    <w:rsid w:val="002106A2"/>
    <w:rsid w:val="00210BD5"/>
    <w:rsid w:val="00212D5E"/>
    <w:rsid w:val="00213089"/>
    <w:rsid w:val="00217A9B"/>
    <w:rsid w:val="00217B89"/>
    <w:rsid w:val="00220EF5"/>
    <w:rsid w:val="00221A0C"/>
    <w:rsid w:val="00222467"/>
    <w:rsid w:val="00222871"/>
    <w:rsid w:val="002228C9"/>
    <w:rsid w:val="00223993"/>
    <w:rsid w:val="00223E70"/>
    <w:rsid w:val="0022427E"/>
    <w:rsid w:val="0022448A"/>
    <w:rsid w:val="00226343"/>
    <w:rsid w:val="00226794"/>
    <w:rsid w:val="002309C6"/>
    <w:rsid w:val="0023109A"/>
    <w:rsid w:val="00232069"/>
    <w:rsid w:val="002335AC"/>
    <w:rsid w:val="00233724"/>
    <w:rsid w:val="00233C6D"/>
    <w:rsid w:val="00234156"/>
    <w:rsid w:val="00234AC4"/>
    <w:rsid w:val="00235E6D"/>
    <w:rsid w:val="00236227"/>
    <w:rsid w:val="00240001"/>
    <w:rsid w:val="00240F80"/>
    <w:rsid w:val="0024286F"/>
    <w:rsid w:val="002434DF"/>
    <w:rsid w:val="0024375A"/>
    <w:rsid w:val="002441D8"/>
    <w:rsid w:val="00244F14"/>
    <w:rsid w:val="002462F5"/>
    <w:rsid w:val="002470DF"/>
    <w:rsid w:val="00247608"/>
    <w:rsid w:val="002479C3"/>
    <w:rsid w:val="00251536"/>
    <w:rsid w:val="00251CEA"/>
    <w:rsid w:val="00251F95"/>
    <w:rsid w:val="0025296A"/>
    <w:rsid w:val="00253301"/>
    <w:rsid w:val="00253AF0"/>
    <w:rsid w:val="00253D86"/>
    <w:rsid w:val="00253DC8"/>
    <w:rsid w:val="002546A8"/>
    <w:rsid w:val="00254EF4"/>
    <w:rsid w:val="002555C9"/>
    <w:rsid w:val="00255653"/>
    <w:rsid w:val="0025642F"/>
    <w:rsid w:val="0025702C"/>
    <w:rsid w:val="00260362"/>
    <w:rsid w:val="00260868"/>
    <w:rsid w:val="002616AE"/>
    <w:rsid w:val="002617F9"/>
    <w:rsid w:val="002627DB"/>
    <w:rsid w:val="00263107"/>
    <w:rsid w:val="00263436"/>
    <w:rsid w:val="00265CB0"/>
    <w:rsid w:val="00266CD9"/>
    <w:rsid w:val="00267883"/>
    <w:rsid w:val="00272207"/>
    <w:rsid w:val="00272329"/>
    <w:rsid w:val="0027408B"/>
    <w:rsid w:val="00274362"/>
    <w:rsid w:val="00274C4F"/>
    <w:rsid w:val="00276A3D"/>
    <w:rsid w:val="002775B3"/>
    <w:rsid w:val="002805A3"/>
    <w:rsid w:val="00280FCB"/>
    <w:rsid w:val="002818A5"/>
    <w:rsid w:val="00281F2C"/>
    <w:rsid w:val="0028356E"/>
    <w:rsid w:val="00286568"/>
    <w:rsid w:val="00286D9A"/>
    <w:rsid w:val="00290472"/>
    <w:rsid w:val="00292096"/>
    <w:rsid w:val="0029538E"/>
    <w:rsid w:val="00295FDD"/>
    <w:rsid w:val="00296C49"/>
    <w:rsid w:val="002A0414"/>
    <w:rsid w:val="002A0EFC"/>
    <w:rsid w:val="002A0F63"/>
    <w:rsid w:val="002A21DA"/>
    <w:rsid w:val="002A2D7C"/>
    <w:rsid w:val="002A4B9E"/>
    <w:rsid w:val="002B12F8"/>
    <w:rsid w:val="002B23A5"/>
    <w:rsid w:val="002B2423"/>
    <w:rsid w:val="002B356F"/>
    <w:rsid w:val="002B5F9B"/>
    <w:rsid w:val="002B62DA"/>
    <w:rsid w:val="002C0F05"/>
    <w:rsid w:val="002C2888"/>
    <w:rsid w:val="002C49C1"/>
    <w:rsid w:val="002C4D8C"/>
    <w:rsid w:val="002C6CBC"/>
    <w:rsid w:val="002C7587"/>
    <w:rsid w:val="002C7E53"/>
    <w:rsid w:val="002D01F7"/>
    <w:rsid w:val="002D0481"/>
    <w:rsid w:val="002D0884"/>
    <w:rsid w:val="002D1126"/>
    <w:rsid w:val="002D1343"/>
    <w:rsid w:val="002D397A"/>
    <w:rsid w:val="002D5C50"/>
    <w:rsid w:val="002D64D8"/>
    <w:rsid w:val="002D6A43"/>
    <w:rsid w:val="002D720C"/>
    <w:rsid w:val="002D7793"/>
    <w:rsid w:val="002E2F30"/>
    <w:rsid w:val="002E3777"/>
    <w:rsid w:val="002E4D5C"/>
    <w:rsid w:val="002E65F8"/>
    <w:rsid w:val="002F1622"/>
    <w:rsid w:val="002F23E9"/>
    <w:rsid w:val="002F3815"/>
    <w:rsid w:val="002F4194"/>
    <w:rsid w:val="002F57E7"/>
    <w:rsid w:val="002F6637"/>
    <w:rsid w:val="002F6B55"/>
    <w:rsid w:val="002F7444"/>
    <w:rsid w:val="002F7737"/>
    <w:rsid w:val="00301F59"/>
    <w:rsid w:val="00303B4A"/>
    <w:rsid w:val="00304152"/>
    <w:rsid w:val="0030545B"/>
    <w:rsid w:val="00305892"/>
    <w:rsid w:val="00306492"/>
    <w:rsid w:val="0030740A"/>
    <w:rsid w:val="00307B42"/>
    <w:rsid w:val="003106B8"/>
    <w:rsid w:val="0031072A"/>
    <w:rsid w:val="003131E7"/>
    <w:rsid w:val="00313CB2"/>
    <w:rsid w:val="0031491A"/>
    <w:rsid w:val="00316238"/>
    <w:rsid w:val="00316973"/>
    <w:rsid w:val="00317633"/>
    <w:rsid w:val="00320113"/>
    <w:rsid w:val="003218C1"/>
    <w:rsid w:val="00321D83"/>
    <w:rsid w:val="003228DA"/>
    <w:rsid w:val="0032389C"/>
    <w:rsid w:val="003246F4"/>
    <w:rsid w:val="00324AC5"/>
    <w:rsid w:val="00325B7C"/>
    <w:rsid w:val="0032790E"/>
    <w:rsid w:val="0033019E"/>
    <w:rsid w:val="003304B7"/>
    <w:rsid w:val="00332206"/>
    <w:rsid w:val="0033290D"/>
    <w:rsid w:val="00333749"/>
    <w:rsid w:val="003338DA"/>
    <w:rsid w:val="00333904"/>
    <w:rsid w:val="003340A3"/>
    <w:rsid w:val="00335656"/>
    <w:rsid w:val="003357C3"/>
    <w:rsid w:val="00336FD4"/>
    <w:rsid w:val="003407E5"/>
    <w:rsid w:val="00340C7A"/>
    <w:rsid w:val="0034104D"/>
    <w:rsid w:val="003419D6"/>
    <w:rsid w:val="0034223D"/>
    <w:rsid w:val="003428A9"/>
    <w:rsid w:val="00343A3D"/>
    <w:rsid w:val="00344437"/>
    <w:rsid w:val="003449C1"/>
    <w:rsid w:val="00345804"/>
    <w:rsid w:val="00345904"/>
    <w:rsid w:val="00346439"/>
    <w:rsid w:val="003465B9"/>
    <w:rsid w:val="00346B89"/>
    <w:rsid w:val="00347802"/>
    <w:rsid w:val="00347CAF"/>
    <w:rsid w:val="00353650"/>
    <w:rsid w:val="00354ACD"/>
    <w:rsid w:val="003550D9"/>
    <w:rsid w:val="0035533D"/>
    <w:rsid w:val="00355D3C"/>
    <w:rsid w:val="00356A3A"/>
    <w:rsid w:val="003602C8"/>
    <w:rsid w:val="00362750"/>
    <w:rsid w:val="0036577A"/>
    <w:rsid w:val="003668AF"/>
    <w:rsid w:val="003675A8"/>
    <w:rsid w:val="003703D1"/>
    <w:rsid w:val="00370588"/>
    <w:rsid w:val="003712A5"/>
    <w:rsid w:val="00371371"/>
    <w:rsid w:val="00372930"/>
    <w:rsid w:val="00372DF9"/>
    <w:rsid w:val="0037309D"/>
    <w:rsid w:val="00373B7C"/>
    <w:rsid w:val="00375799"/>
    <w:rsid w:val="00375FDB"/>
    <w:rsid w:val="00376608"/>
    <w:rsid w:val="00377128"/>
    <w:rsid w:val="00377A0F"/>
    <w:rsid w:val="00380110"/>
    <w:rsid w:val="003802F0"/>
    <w:rsid w:val="00382817"/>
    <w:rsid w:val="00382CF1"/>
    <w:rsid w:val="003830D5"/>
    <w:rsid w:val="00383CDB"/>
    <w:rsid w:val="00384690"/>
    <w:rsid w:val="003855CC"/>
    <w:rsid w:val="00385BB8"/>
    <w:rsid w:val="003862B4"/>
    <w:rsid w:val="00386AAC"/>
    <w:rsid w:val="003872FE"/>
    <w:rsid w:val="00390489"/>
    <w:rsid w:val="003914B9"/>
    <w:rsid w:val="00391AFF"/>
    <w:rsid w:val="00392C4D"/>
    <w:rsid w:val="00392D5D"/>
    <w:rsid w:val="003939C2"/>
    <w:rsid w:val="0039590E"/>
    <w:rsid w:val="003A1473"/>
    <w:rsid w:val="003A194D"/>
    <w:rsid w:val="003A1B6B"/>
    <w:rsid w:val="003A1C92"/>
    <w:rsid w:val="003A2396"/>
    <w:rsid w:val="003A2958"/>
    <w:rsid w:val="003A32BD"/>
    <w:rsid w:val="003A3E1E"/>
    <w:rsid w:val="003A50EE"/>
    <w:rsid w:val="003A7262"/>
    <w:rsid w:val="003B0B5B"/>
    <w:rsid w:val="003B2A76"/>
    <w:rsid w:val="003B2D23"/>
    <w:rsid w:val="003B3136"/>
    <w:rsid w:val="003B3785"/>
    <w:rsid w:val="003B3B0E"/>
    <w:rsid w:val="003B45A3"/>
    <w:rsid w:val="003B48D7"/>
    <w:rsid w:val="003B513B"/>
    <w:rsid w:val="003B6022"/>
    <w:rsid w:val="003B754E"/>
    <w:rsid w:val="003B76A0"/>
    <w:rsid w:val="003C04E2"/>
    <w:rsid w:val="003C149D"/>
    <w:rsid w:val="003C35ED"/>
    <w:rsid w:val="003C4B73"/>
    <w:rsid w:val="003C58B5"/>
    <w:rsid w:val="003C5FE2"/>
    <w:rsid w:val="003D04C9"/>
    <w:rsid w:val="003D1994"/>
    <w:rsid w:val="003D375A"/>
    <w:rsid w:val="003D3B76"/>
    <w:rsid w:val="003D451D"/>
    <w:rsid w:val="003D5873"/>
    <w:rsid w:val="003D58F4"/>
    <w:rsid w:val="003D5A8B"/>
    <w:rsid w:val="003D5C16"/>
    <w:rsid w:val="003D636F"/>
    <w:rsid w:val="003E0C20"/>
    <w:rsid w:val="003E1050"/>
    <w:rsid w:val="003E2080"/>
    <w:rsid w:val="003E32A4"/>
    <w:rsid w:val="003E3316"/>
    <w:rsid w:val="003E465B"/>
    <w:rsid w:val="003E5098"/>
    <w:rsid w:val="003E75AF"/>
    <w:rsid w:val="003E7AA8"/>
    <w:rsid w:val="003F241B"/>
    <w:rsid w:val="003F2989"/>
    <w:rsid w:val="003F2AC6"/>
    <w:rsid w:val="003F2D54"/>
    <w:rsid w:val="003F39EA"/>
    <w:rsid w:val="003F5D4E"/>
    <w:rsid w:val="003F6454"/>
    <w:rsid w:val="00400BCA"/>
    <w:rsid w:val="00400D19"/>
    <w:rsid w:val="00401464"/>
    <w:rsid w:val="00402CD4"/>
    <w:rsid w:val="00403933"/>
    <w:rsid w:val="004039E1"/>
    <w:rsid w:val="00404453"/>
    <w:rsid w:val="00405F0D"/>
    <w:rsid w:val="00406C8F"/>
    <w:rsid w:val="00406E3B"/>
    <w:rsid w:val="004075C3"/>
    <w:rsid w:val="00407A76"/>
    <w:rsid w:val="00413760"/>
    <w:rsid w:val="00414157"/>
    <w:rsid w:val="0041475E"/>
    <w:rsid w:val="004172CD"/>
    <w:rsid w:val="00417617"/>
    <w:rsid w:val="00423556"/>
    <w:rsid w:val="0042378B"/>
    <w:rsid w:val="004237A2"/>
    <w:rsid w:val="004243D9"/>
    <w:rsid w:val="0042597C"/>
    <w:rsid w:val="00426034"/>
    <w:rsid w:val="004264DD"/>
    <w:rsid w:val="00426898"/>
    <w:rsid w:val="00426B66"/>
    <w:rsid w:val="00426F76"/>
    <w:rsid w:val="004273BC"/>
    <w:rsid w:val="00427516"/>
    <w:rsid w:val="004276ED"/>
    <w:rsid w:val="00430800"/>
    <w:rsid w:val="004308AE"/>
    <w:rsid w:val="00430915"/>
    <w:rsid w:val="004329F5"/>
    <w:rsid w:val="00432F8B"/>
    <w:rsid w:val="004344FD"/>
    <w:rsid w:val="00434D29"/>
    <w:rsid w:val="004367D8"/>
    <w:rsid w:val="00437A85"/>
    <w:rsid w:val="00437B6F"/>
    <w:rsid w:val="00440170"/>
    <w:rsid w:val="0044180E"/>
    <w:rsid w:val="00442F60"/>
    <w:rsid w:val="004443A1"/>
    <w:rsid w:val="0044485F"/>
    <w:rsid w:val="004453AC"/>
    <w:rsid w:val="0044592A"/>
    <w:rsid w:val="00446331"/>
    <w:rsid w:val="00446B6F"/>
    <w:rsid w:val="00447A04"/>
    <w:rsid w:val="0045087B"/>
    <w:rsid w:val="004512B6"/>
    <w:rsid w:val="00451BF7"/>
    <w:rsid w:val="00452342"/>
    <w:rsid w:val="004576CA"/>
    <w:rsid w:val="004603BE"/>
    <w:rsid w:val="0046096D"/>
    <w:rsid w:val="004638DC"/>
    <w:rsid w:val="00465358"/>
    <w:rsid w:val="00465A78"/>
    <w:rsid w:val="00467315"/>
    <w:rsid w:val="00467A59"/>
    <w:rsid w:val="004712EC"/>
    <w:rsid w:val="00472097"/>
    <w:rsid w:val="004722F9"/>
    <w:rsid w:val="0047415E"/>
    <w:rsid w:val="00476DF6"/>
    <w:rsid w:val="00477017"/>
    <w:rsid w:val="00477335"/>
    <w:rsid w:val="004773B4"/>
    <w:rsid w:val="004777B7"/>
    <w:rsid w:val="00477C0A"/>
    <w:rsid w:val="00480505"/>
    <w:rsid w:val="004805BB"/>
    <w:rsid w:val="004805CB"/>
    <w:rsid w:val="004815BC"/>
    <w:rsid w:val="00482235"/>
    <w:rsid w:val="0048275D"/>
    <w:rsid w:val="0048363B"/>
    <w:rsid w:val="00483C66"/>
    <w:rsid w:val="0048458C"/>
    <w:rsid w:val="00484CCC"/>
    <w:rsid w:val="00484DCC"/>
    <w:rsid w:val="00486A09"/>
    <w:rsid w:val="0048750F"/>
    <w:rsid w:val="00487744"/>
    <w:rsid w:val="00487A80"/>
    <w:rsid w:val="004919BC"/>
    <w:rsid w:val="00491ECE"/>
    <w:rsid w:val="0049224B"/>
    <w:rsid w:val="00493A77"/>
    <w:rsid w:val="00497C6B"/>
    <w:rsid w:val="00497D7B"/>
    <w:rsid w:val="004A003B"/>
    <w:rsid w:val="004A0E62"/>
    <w:rsid w:val="004A0F03"/>
    <w:rsid w:val="004A24D3"/>
    <w:rsid w:val="004A36A5"/>
    <w:rsid w:val="004A4788"/>
    <w:rsid w:val="004A4C8E"/>
    <w:rsid w:val="004A4FA3"/>
    <w:rsid w:val="004A51BF"/>
    <w:rsid w:val="004A602C"/>
    <w:rsid w:val="004A6385"/>
    <w:rsid w:val="004A7406"/>
    <w:rsid w:val="004B0272"/>
    <w:rsid w:val="004B04CA"/>
    <w:rsid w:val="004B05C7"/>
    <w:rsid w:val="004B26B2"/>
    <w:rsid w:val="004B3074"/>
    <w:rsid w:val="004B3FD9"/>
    <w:rsid w:val="004B4484"/>
    <w:rsid w:val="004B4A7B"/>
    <w:rsid w:val="004B63EC"/>
    <w:rsid w:val="004B76CC"/>
    <w:rsid w:val="004B7B6F"/>
    <w:rsid w:val="004C17F4"/>
    <w:rsid w:val="004C204E"/>
    <w:rsid w:val="004C2581"/>
    <w:rsid w:val="004C2F91"/>
    <w:rsid w:val="004C3F47"/>
    <w:rsid w:val="004C5787"/>
    <w:rsid w:val="004D2063"/>
    <w:rsid w:val="004D21D3"/>
    <w:rsid w:val="004D68B6"/>
    <w:rsid w:val="004D6EB9"/>
    <w:rsid w:val="004D7E32"/>
    <w:rsid w:val="004E0E05"/>
    <w:rsid w:val="004E19DA"/>
    <w:rsid w:val="004E1C1A"/>
    <w:rsid w:val="004E2976"/>
    <w:rsid w:val="004E2CC0"/>
    <w:rsid w:val="004E2DEA"/>
    <w:rsid w:val="004E3317"/>
    <w:rsid w:val="004E4E98"/>
    <w:rsid w:val="004E4FED"/>
    <w:rsid w:val="004E63FA"/>
    <w:rsid w:val="004E7710"/>
    <w:rsid w:val="004E7AC7"/>
    <w:rsid w:val="004E7C58"/>
    <w:rsid w:val="004E7EAB"/>
    <w:rsid w:val="004F023D"/>
    <w:rsid w:val="004F04C7"/>
    <w:rsid w:val="004F12D4"/>
    <w:rsid w:val="004F1756"/>
    <w:rsid w:val="004F1C9E"/>
    <w:rsid w:val="004F3B39"/>
    <w:rsid w:val="004F3D31"/>
    <w:rsid w:val="004F3F4B"/>
    <w:rsid w:val="004F411D"/>
    <w:rsid w:val="004F433B"/>
    <w:rsid w:val="004F4F3A"/>
    <w:rsid w:val="004F5036"/>
    <w:rsid w:val="004F56ED"/>
    <w:rsid w:val="004F5F38"/>
    <w:rsid w:val="004F6361"/>
    <w:rsid w:val="004F6FD5"/>
    <w:rsid w:val="00506225"/>
    <w:rsid w:val="00506B97"/>
    <w:rsid w:val="00510E0A"/>
    <w:rsid w:val="00511131"/>
    <w:rsid w:val="005121F3"/>
    <w:rsid w:val="00512ACD"/>
    <w:rsid w:val="00512B82"/>
    <w:rsid w:val="00512D39"/>
    <w:rsid w:val="0051306B"/>
    <w:rsid w:val="0051427B"/>
    <w:rsid w:val="00515DD6"/>
    <w:rsid w:val="00516D29"/>
    <w:rsid w:val="00516EA1"/>
    <w:rsid w:val="00521209"/>
    <w:rsid w:val="00521E84"/>
    <w:rsid w:val="005228F0"/>
    <w:rsid w:val="00524A6D"/>
    <w:rsid w:val="00525003"/>
    <w:rsid w:val="0052570E"/>
    <w:rsid w:val="005258D6"/>
    <w:rsid w:val="005266E5"/>
    <w:rsid w:val="00526AFD"/>
    <w:rsid w:val="005276C3"/>
    <w:rsid w:val="0052799B"/>
    <w:rsid w:val="005301C3"/>
    <w:rsid w:val="00530ED3"/>
    <w:rsid w:val="00531F16"/>
    <w:rsid w:val="0053210A"/>
    <w:rsid w:val="00533E8F"/>
    <w:rsid w:val="00534900"/>
    <w:rsid w:val="00534A93"/>
    <w:rsid w:val="00536824"/>
    <w:rsid w:val="00536CB0"/>
    <w:rsid w:val="00540FE4"/>
    <w:rsid w:val="00541AEC"/>
    <w:rsid w:val="00542030"/>
    <w:rsid w:val="0054231C"/>
    <w:rsid w:val="0054234A"/>
    <w:rsid w:val="00542DAC"/>
    <w:rsid w:val="00543A8C"/>
    <w:rsid w:val="00545A76"/>
    <w:rsid w:val="00546422"/>
    <w:rsid w:val="00546B7F"/>
    <w:rsid w:val="0055170B"/>
    <w:rsid w:val="00551AFE"/>
    <w:rsid w:val="00551F86"/>
    <w:rsid w:val="00552C28"/>
    <w:rsid w:val="005535D3"/>
    <w:rsid w:val="005543B4"/>
    <w:rsid w:val="00555247"/>
    <w:rsid w:val="00555E30"/>
    <w:rsid w:val="0055603D"/>
    <w:rsid w:val="0055695F"/>
    <w:rsid w:val="005572B6"/>
    <w:rsid w:val="0056089D"/>
    <w:rsid w:val="0056102A"/>
    <w:rsid w:val="005621AE"/>
    <w:rsid w:val="0056325E"/>
    <w:rsid w:val="00563D1E"/>
    <w:rsid w:val="005661D5"/>
    <w:rsid w:val="00566322"/>
    <w:rsid w:val="005669D4"/>
    <w:rsid w:val="00567B0E"/>
    <w:rsid w:val="00567D41"/>
    <w:rsid w:val="00567E33"/>
    <w:rsid w:val="005719C2"/>
    <w:rsid w:val="00572C3A"/>
    <w:rsid w:val="00573469"/>
    <w:rsid w:val="00576281"/>
    <w:rsid w:val="00576999"/>
    <w:rsid w:val="005769AC"/>
    <w:rsid w:val="00576CF4"/>
    <w:rsid w:val="0057794D"/>
    <w:rsid w:val="00582DE5"/>
    <w:rsid w:val="00584997"/>
    <w:rsid w:val="00584CA5"/>
    <w:rsid w:val="00587C66"/>
    <w:rsid w:val="005916B4"/>
    <w:rsid w:val="00591CFF"/>
    <w:rsid w:val="00592466"/>
    <w:rsid w:val="00592D50"/>
    <w:rsid w:val="00592DAA"/>
    <w:rsid w:val="00592DBB"/>
    <w:rsid w:val="0059553E"/>
    <w:rsid w:val="00595D42"/>
    <w:rsid w:val="0059603B"/>
    <w:rsid w:val="00596874"/>
    <w:rsid w:val="00597ABC"/>
    <w:rsid w:val="005A0852"/>
    <w:rsid w:val="005A0873"/>
    <w:rsid w:val="005A253B"/>
    <w:rsid w:val="005A2B98"/>
    <w:rsid w:val="005A2F85"/>
    <w:rsid w:val="005A392A"/>
    <w:rsid w:val="005A39C7"/>
    <w:rsid w:val="005A4E37"/>
    <w:rsid w:val="005A63D2"/>
    <w:rsid w:val="005A7796"/>
    <w:rsid w:val="005A78D3"/>
    <w:rsid w:val="005A7B2B"/>
    <w:rsid w:val="005A7F5E"/>
    <w:rsid w:val="005B2420"/>
    <w:rsid w:val="005B2A60"/>
    <w:rsid w:val="005B766B"/>
    <w:rsid w:val="005B76FD"/>
    <w:rsid w:val="005C0275"/>
    <w:rsid w:val="005C1A69"/>
    <w:rsid w:val="005C23BF"/>
    <w:rsid w:val="005C3357"/>
    <w:rsid w:val="005C3707"/>
    <w:rsid w:val="005C3CC5"/>
    <w:rsid w:val="005C45AF"/>
    <w:rsid w:val="005C51A3"/>
    <w:rsid w:val="005C5D64"/>
    <w:rsid w:val="005C5DCE"/>
    <w:rsid w:val="005C60DC"/>
    <w:rsid w:val="005C7DDF"/>
    <w:rsid w:val="005D2A08"/>
    <w:rsid w:val="005D4642"/>
    <w:rsid w:val="005D49D6"/>
    <w:rsid w:val="005D4BF2"/>
    <w:rsid w:val="005D6960"/>
    <w:rsid w:val="005D6BD5"/>
    <w:rsid w:val="005D7ABE"/>
    <w:rsid w:val="005E0427"/>
    <w:rsid w:val="005E1571"/>
    <w:rsid w:val="005E193A"/>
    <w:rsid w:val="005E58D5"/>
    <w:rsid w:val="005E6181"/>
    <w:rsid w:val="005E660E"/>
    <w:rsid w:val="005E6E7F"/>
    <w:rsid w:val="005E717E"/>
    <w:rsid w:val="005F0303"/>
    <w:rsid w:val="005F08C8"/>
    <w:rsid w:val="005F133F"/>
    <w:rsid w:val="005F22F6"/>
    <w:rsid w:val="005F6982"/>
    <w:rsid w:val="005F7476"/>
    <w:rsid w:val="0060178D"/>
    <w:rsid w:val="006020DF"/>
    <w:rsid w:val="00602478"/>
    <w:rsid w:val="00604414"/>
    <w:rsid w:val="00604A48"/>
    <w:rsid w:val="00604AF0"/>
    <w:rsid w:val="00605C77"/>
    <w:rsid w:val="006067AF"/>
    <w:rsid w:val="00607839"/>
    <w:rsid w:val="00611225"/>
    <w:rsid w:val="00613C25"/>
    <w:rsid w:val="0061432C"/>
    <w:rsid w:val="00614B83"/>
    <w:rsid w:val="00614B9B"/>
    <w:rsid w:val="00614C46"/>
    <w:rsid w:val="006152AC"/>
    <w:rsid w:val="00615444"/>
    <w:rsid w:val="00616138"/>
    <w:rsid w:val="00617739"/>
    <w:rsid w:val="006200AD"/>
    <w:rsid w:val="006203F5"/>
    <w:rsid w:val="0062263E"/>
    <w:rsid w:val="00623240"/>
    <w:rsid w:val="00623613"/>
    <w:rsid w:val="006236FB"/>
    <w:rsid w:val="00624C21"/>
    <w:rsid w:val="00625885"/>
    <w:rsid w:val="00625BDE"/>
    <w:rsid w:val="00625CD2"/>
    <w:rsid w:val="00626932"/>
    <w:rsid w:val="00626ADB"/>
    <w:rsid w:val="00626FB9"/>
    <w:rsid w:val="0063377E"/>
    <w:rsid w:val="00634DCA"/>
    <w:rsid w:val="00635C7B"/>
    <w:rsid w:val="00635DAF"/>
    <w:rsid w:val="006366A3"/>
    <w:rsid w:val="0063684D"/>
    <w:rsid w:val="00642553"/>
    <w:rsid w:val="00643D91"/>
    <w:rsid w:val="00645942"/>
    <w:rsid w:val="00645DF5"/>
    <w:rsid w:val="00645F0E"/>
    <w:rsid w:val="00646A75"/>
    <w:rsid w:val="00647A7E"/>
    <w:rsid w:val="0065057A"/>
    <w:rsid w:val="0065087A"/>
    <w:rsid w:val="00651CD3"/>
    <w:rsid w:val="00654785"/>
    <w:rsid w:val="00654B69"/>
    <w:rsid w:val="00654CDA"/>
    <w:rsid w:val="00654F52"/>
    <w:rsid w:val="00655ED0"/>
    <w:rsid w:val="00656955"/>
    <w:rsid w:val="006576C4"/>
    <w:rsid w:val="00657D37"/>
    <w:rsid w:val="00660001"/>
    <w:rsid w:val="0066008A"/>
    <w:rsid w:val="006605C8"/>
    <w:rsid w:val="00661198"/>
    <w:rsid w:val="006629B8"/>
    <w:rsid w:val="006646E3"/>
    <w:rsid w:val="00664A87"/>
    <w:rsid w:val="00664AB4"/>
    <w:rsid w:val="00665BEE"/>
    <w:rsid w:val="006675B6"/>
    <w:rsid w:val="0066795A"/>
    <w:rsid w:val="00667DFE"/>
    <w:rsid w:val="006721AB"/>
    <w:rsid w:val="00672A86"/>
    <w:rsid w:val="00673271"/>
    <w:rsid w:val="0067569A"/>
    <w:rsid w:val="00675988"/>
    <w:rsid w:val="006759AC"/>
    <w:rsid w:val="0067607F"/>
    <w:rsid w:val="00676D42"/>
    <w:rsid w:val="00677A91"/>
    <w:rsid w:val="00680986"/>
    <w:rsid w:val="006829B7"/>
    <w:rsid w:val="00683F80"/>
    <w:rsid w:val="00684C8E"/>
    <w:rsid w:val="00685C1C"/>
    <w:rsid w:val="00687162"/>
    <w:rsid w:val="006879B9"/>
    <w:rsid w:val="0069039D"/>
    <w:rsid w:val="00690CD1"/>
    <w:rsid w:val="00695414"/>
    <w:rsid w:val="00695C3D"/>
    <w:rsid w:val="006A0411"/>
    <w:rsid w:val="006A2524"/>
    <w:rsid w:val="006A341E"/>
    <w:rsid w:val="006A34C1"/>
    <w:rsid w:val="006A36E6"/>
    <w:rsid w:val="006A3AFC"/>
    <w:rsid w:val="006A72BD"/>
    <w:rsid w:val="006A753B"/>
    <w:rsid w:val="006A7EA3"/>
    <w:rsid w:val="006B23F7"/>
    <w:rsid w:val="006B3DB6"/>
    <w:rsid w:val="006B4B3C"/>
    <w:rsid w:val="006B530E"/>
    <w:rsid w:val="006B5C92"/>
    <w:rsid w:val="006B6DA1"/>
    <w:rsid w:val="006B6E68"/>
    <w:rsid w:val="006C0929"/>
    <w:rsid w:val="006C103C"/>
    <w:rsid w:val="006C1481"/>
    <w:rsid w:val="006C2091"/>
    <w:rsid w:val="006C2AC1"/>
    <w:rsid w:val="006C2E70"/>
    <w:rsid w:val="006C4BB1"/>
    <w:rsid w:val="006C4D31"/>
    <w:rsid w:val="006C5052"/>
    <w:rsid w:val="006C5A85"/>
    <w:rsid w:val="006C6951"/>
    <w:rsid w:val="006C7916"/>
    <w:rsid w:val="006C79B3"/>
    <w:rsid w:val="006C7AC4"/>
    <w:rsid w:val="006C7D0C"/>
    <w:rsid w:val="006D09EE"/>
    <w:rsid w:val="006D15A3"/>
    <w:rsid w:val="006D2ABE"/>
    <w:rsid w:val="006D2F16"/>
    <w:rsid w:val="006D3352"/>
    <w:rsid w:val="006D3812"/>
    <w:rsid w:val="006D6B19"/>
    <w:rsid w:val="006D6BDC"/>
    <w:rsid w:val="006D7431"/>
    <w:rsid w:val="006E0DCD"/>
    <w:rsid w:val="006E0EA4"/>
    <w:rsid w:val="006E131D"/>
    <w:rsid w:val="006E1A9E"/>
    <w:rsid w:val="006E2222"/>
    <w:rsid w:val="006E2227"/>
    <w:rsid w:val="006E27CA"/>
    <w:rsid w:val="006E2D81"/>
    <w:rsid w:val="006E454D"/>
    <w:rsid w:val="006E5C05"/>
    <w:rsid w:val="006E60DA"/>
    <w:rsid w:val="006E7BEE"/>
    <w:rsid w:val="006F16CD"/>
    <w:rsid w:val="006F211A"/>
    <w:rsid w:val="006F3D95"/>
    <w:rsid w:val="006F43C6"/>
    <w:rsid w:val="006F4A95"/>
    <w:rsid w:val="006F54FE"/>
    <w:rsid w:val="006F60A7"/>
    <w:rsid w:val="006F61C8"/>
    <w:rsid w:val="006F6AB5"/>
    <w:rsid w:val="006F7E9C"/>
    <w:rsid w:val="006F7EE2"/>
    <w:rsid w:val="00700203"/>
    <w:rsid w:val="00702792"/>
    <w:rsid w:val="00703206"/>
    <w:rsid w:val="0070353A"/>
    <w:rsid w:val="00703CC5"/>
    <w:rsid w:val="00704FE6"/>
    <w:rsid w:val="007069C0"/>
    <w:rsid w:val="00706CB0"/>
    <w:rsid w:val="00706E0E"/>
    <w:rsid w:val="00706F29"/>
    <w:rsid w:val="00712111"/>
    <w:rsid w:val="007138B5"/>
    <w:rsid w:val="00713FA8"/>
    <w:rsid w:val="00714453"/>
    <w:rsid w:val="007167BE"/>
    <w:rsid w:val="00717725"/>
    <w:rsid w:val="00720529"/>
    <w:rsid w:val="00720BDC"/>
    <w:rsid w:val="00721CF0"/>
    <w:rsid w:val="0072382E"/>
    <w:rsid w:val="00724667"/>
    <w:rsid w:val="007253F5"/>
    <w:rsid w:val="007259D7"/>
    <w:rsid w:val="00725DE0"/>
    <w:rsid w:val="00725FB9"/>
    <w:rsid w:val="00726EA1"/>
    <w:rsid w:val="007307CE"/>
    <w:rsid w:val="0073138D"/>
    <w:rsid w:val="007313DB"/>
    <w:rsid w:val="00732F48"/>
    <w:rsid w:val="00733996"/>
    <w:rsid w:val="00734BA2"/>
    <w:rsid w:val="007355F0"/>
    <w:rsid w:val="00735AF5"/>
    <w:rsid w:val="00735C51"/>
    <w:rsid w:val="0073639F"/>
    <w:rsid w:val="00736687"/>
    <w:rsid w:val="007374E4"/>
    <w:rsid w:val="007375CA"/>
    <w:rsid w:val="00737C43"/>
    <w:rsid w:val="0074069F"/>
    <w:rsid w:val="007423BF"/>
    <w:rsid w:val="00742516"/>
    <w:rsid w:val="007446B8"/>
    <w:rsid w:val="00744990"/>
    <w:rsid w:val="00744E13"/>
    <w:rsid w:val="00746435"/>
    <w:rsid w:val="0074677D"/>
    <w:rsid w:val="00747E91"/>
    <w:rsid w:val="00750041"/>
    <w:rsid w:val="00750D95"/>
    <w:rsid w:val="00751D22"/>
    <w:rsid w:val="0075268F"/>
    <w:rsid w:val="0075336B"/>
    <w:rsid w:val="00754887"/>
    <w:rsid w:val="007574AC"/>
    <w:rsid w:val="00761B11"/>
    <w:rsid w:val="00762312"/>
    <w:rsid w:val="0076256E"/>
    <w:rsid w:val="007637BE"/>
    <w:rsid w:val="0076477A"/>
    <w:rsid w:val="00764FCA"/>
    <w:rsid w:val="00770689"/>
    <w:rsid w:val="00770ADC"/>
    <w:rsid w:val="00770C75"/>
    <w:rsid w:val="00770E19"/>
    <w:rsid w:val="0077370C"/>
    <w:rsid w:val="00774DCD"/>
    <w:rsid w:val="00774ED0"/>
    <w:rsid w:val="00775608"/>
    <w:rsid w:val="00775E3F"/>
    <w:rsid w:val="00782916"/>
    <w:rsid w:val="00783F44"/>
    <w:rsid w:val="0078510E"/>
    <w:rsid w:val="007857F6"/>
    <w:rsid w:val="00785F9D"/>
    <w:rsid w:val="0078621F"/>
    <w:rsid w:val="00786449"/>
    <w:rsid w:val="00787856"/>
    <w:rsid w:val="00790E8C"/>
    <w:rsid w:val="007930BE"/>
    <w:rsid w:val="00794C7A"/>
    <w:rsid w:val="00796C44"/>
    <w:rsid w:val="00797BE3"/>
    <w:rsid w:val="00797EDC"/>
    <w:rsid w:val="007A156B"/>
    <w:rsid w:val="007A2A77"/>
    <w:rsid w:val="007A7CD4"/>
    <w:rsid w:val="007B263B"/>
    <w:rsid w:val="007B322A"/>
    <w:rsid w:val="007B3911"/>
    <w:rsid w:val="007B4479"/>
    <w:rsid w:val="007B52D3"/>
    <w:rsid w:val="007B52F5"/>
    <w:rsid w:val="007B5FB9"/>
    <w:rsid w:val="007B6674"/>
    <w:rsid w:val="007B6A90"/>
    <w:rsid w:val="007B6C07"/>
    <w:rsid w:val="007C0F2F"/>
    <w:rsid w:val="007C17D5"/>
    <w:rsid w:val="007C23A2"/>
    <w:rsid w:val="007C4030"/>
    <w:rsid w:val="007C5696"/>
    <w:rsid w:val="007C594C"/>
    <w:rsid w:val="007C5ECD"/>
    <w:rsid w:val="007C633B"/>
    <w:rsid w:val="007D08E9"/>
    <w:rsid w:val="007D0A6E"/>
    <w:rsid w:val="007D0CE3"/>
    <w:rsid w:val="007D2717"/>
    <w:rsid w:val="007D417C"/>
    <w:rsid w:val="007D44BE"/>
    <w:rsid w:val="007D46DF"/>
    <w:rsid w:val="007D5775"/>
    <w:rsid w:val="007D6927"/>
    <w:rsid w:val="007D772F"/>
    <w:rsid w:val="007E118C"/>
    <w:rsid w:val="007E1D94"/>
    <w:rsid w:val="007E2F75"/>
    <w:rsid w:val="007E3156"/>
    <w:rsid w:val="007E321B"/>
    <w:rsid w:val="007E49EF"/>
    <w:rsid w:val="007E577C"/>
    <w:rsid w:val="007E5E48"/>
    <w:rsid w:val="007E6E9A"/>
    <w:rsid w:val="007E71D9"/>
    <w:rsid w:val="007E7D63"/>
    <w:rsid w:val="007F071F"/>
    <w:rsid w:val="007F11F8"/>
    <w:rsid w:val="007F1291"/>
    <w:rsid w:val="007F2384"/>
    <w:rsid w:val="007F2DC3"/>
    <w:rsid w:val="007F4B3D"/>
    <w:rsid w:val="007F5207"/>
    <w:rsid w:val="007F5C55"/>
    <w:rsid w:val="007F630D"/>
    <w:rsid w:val="00803157"/>
    <w:rsid w:val="00803659"/>
    <w:rsid w:val="00803F9D"/>
    <w:rsid w:val="0080408E"/>
    <w:rsid w:val="008048CB"/>
    <w:rsid w:val="008053CD"/>
    <w:rsid w:val="00806611"/>
    <w:rsid w:val="0080779C"/>
    <w:rsid w:val="00810D22"/>
    <w:rsid w:val="00810E46"/>
    <w:rsid w:val="00811E79"/>
    <w:rsid w:val="008125F2"/>
    <w:rsid w:val="008127AF"/>
    <w:rsid w:val="008137D3"/>
    <w:rsid w:val="00814432"/>
    <w:rsid w:val="00816B91"/>
    <w:rsid w:val="00820742"/>
    <w:rsid w:val="008208AA"/>
    <w:rsid w:val="008226BB"/>
    <w:rsid w:val="00822AA2"/>
    <w:rsid w:val="008255D0"/>
    <w:rsid w:val="00826D47"/>
    <w:rsid w:val="008302B7"/>
    <w:rsid w:val="00830EFA"/>
    <w:rsid w:val="008318D0"/>
    <w:rsid w:val="00832939"/>
    <w:rsid w:val="008338BB"/>
    <w:rsid w:val="0083593A"/>
    <w:rsid w:val="00835E2B"/>
    <w:rsid w:val="008371C4"/>
    <w:rsid w:val="00837313"/>
    <w:rsid w:val="00840F83"/>
    <w:rsid w:val="008415D4"/>
    <w:rsid w:val="008416D7"/>
    <w:rsid w:val="0084235B"/>
    <w:rsid w:val="00842584"/>
    <w:rsid w:val="008436AF"/>
    <w:rsid w:val="008436C8"/>
    <w:rsid w:val="008455C1"/>
    <w:rsid w:val="00845ED5"/>
    <w:rsid w:val="00847058"/>
    <w:rsid w:val="00847489"/>
    <w:rsid w:val="00850168"/>
    <w:rsid w:val="008514D6"/>
    <w:rsid w:val="00851587"/>
    <w:rsid w:val="00852656"/>
    <w:rsid w:val="008529DE"/>
    <w:rsid w:val="00854CE8"/>
    <w:rsid w:val="00855F00"/>
    <w:rsid w:val="00861CBD"/>
    <w:rsid w:val="00861FB2"/>
    <w:rsid w:val="0086249A"/>
    <w:rsid w:val="008624CB"/>
    <w:rsid w:val="00862A9A"/>
    <w:rsid w:val="00863381"/>
    <w:rsid w:val="008635D0"/>
    <w:rsid w:val="0086369B"/>
    <w:rsid w:val="00865017"/>
    <w:rsid w:val="00866327"/>
    <w:rsid w:val="00866B34"/>
    <w:rsid w:val="00867B7A"/>
    <w:rsid w:val="0087198A"/>
    <w:rsid w:val="00872038"/>
    <w:rsid w:val="008724DB"/>
    <w:rsid w:val="008727F1"/>
    <w:rsid w:val="00872A68"/>
    <w:rsid w:val="0087300F"/>
    <w:rsid w:val="00873342"/>
    <w:rsid w:val="00875766"/>
    <w:rsid w:val="00875DE7"/>
    <w:rsid w:val="00876C2C"/>
    <w:rsid w:val="00880DB0"/>
    <w:rsid w:val="0088103A"/>
    <w:rsid w:val="00881A72"/>
    <w:rsid w:val="0088359E"/>
    <w:rsid w:val="00884670"/>
    <w:rsid w:val="0088522F"/>
    <w:rsid w:val="00886463"/>
    <w:rsid w:val="00890C64"/>
    <w:rsid w:val="00891322"/>
    <w:rsid w:val="008914D5"/>
    <w:rsid w:val="00891532"/>
    <w:rsid w:val="00892822"/>
    <w:rsid w:val="00892941"/>
    <w:rsid w:val="008940C6"/>
    <w:rsid w:val="00894848"/>
    <w:rsid w:val="008948D3"/>
    <w:rsid w:val="00894961"/>
    <w:rsid w:val="00895586"/>
    <w:rsid w:val="008960C3"/>
    <w:rsid w:val="00896373"/>
    <w:rsid w:val="008964C4"/>
    <w:rsid w:val="008A0DE3"/>
    <w:rsid w:val="008A1211"/>
    <w:rsid w:val="008A1905"/>
    <w:rsid w:val="008A2B25"/>
    <w:rsid w:val="008A2D46"/>
    <w:rsid w:val="008A3133"/>
    <w:rsid w:val="008A3346"/>
    <w:rsid w:val="008A3EB8"/>
    <w:rsid w:val="008A41B2"/>
    <w:rsid w:val="008A4401"/>
    <w:rsid w:val="008A46AE"/>
    <w:rsid w:val="008A4B9E"/>
    <w:rsid w:val="008A5AEE"/>
    <w:rsid w:val="008A75E5"/>
    <w:rsid w:val="008B035B"/>
    <w:rsid w:val="008B0F47"/>
    <w:rsid w:val="008B2085"/>
    <w:rsid w:val="008B3275"/>
    <w:rsid w:val="008B3C91"/>
    <w:rsid w:val="008B4E10"/>
    <w:rsid w:val="008B512A"/>
    <w:rsid w:val="008B576F"/>
    <w:rsid w:val="008B645B"/>
    <w:rsid w:val="008B6D68"/>
    <w:rsid w:val="008B6EA3"/>
    <w:rsid w:val="008C0233"/>
    <w:rsid w:val="008C2A5C"/>
    <w:rsid w:val="008C390E"/>
    <w:rsid w:val="008C3B82"/>
    <w:rsid w:val="008C443B"/>
    <w:rsid w:val="008C6723"/>
    <w:rsid w:val="008C6D60"/>
    <w:rsid w:val="008C74EB"/>
    <w:rsid w:val="008D16E9"/>
    <w:rsid w:val="008D273B"/>
    <w:rsid w:val="008D3063"/>
    <w:rsid w:val="008D33B5"/>
    <w:rsid w:val="008D3F71"/>
    <w:rsid w:val="008D4C09"/>
    <w:rsid w:val="008D6023"/>
    <w:rsid w:val="008D658A"/>
    <w:rsid w:val="008D6998"/>
    <w:rsid w:val="008E0BCA"/>
    <w:rsid w:val="008E0C57"/>
    <w:rsid w:val="008E199D"/>
    <w:rsid w:val="008E1AEC"/>
    <w:rsid w:val="008E35AB"/>
    <w:rsid w:val="008E43CE"/>
    <w:rsid w:val="008E5C2A"/>
    <w:rsid w:val="008E5E8C"/>
    <w:rsid w:val="008E74A6"/>
    <w:rsid w:val="008F0C47"/>
    <w:rsid w:val="008F177A"/>
    <w:rsid w:val="008F18BE"/>
    <w:rsid w:val="008F2011"/>
    <w:rsid w:val="008F36B7"/>
    <w:rsid w:val="008F46A6"/>
    <w:rsid w:val="008F6B51"/>
    <w:rsid w:val="008F6F52"/>
    <w:rsid w:val="008F748A"/>
    <w:rsid w:val="008F76F3"/>
    <w:rsid w:val="00900013"/>
    <w:rsid w:val="00900051"/>
    <w:rsid w:val="0090123C"/>
    <w:rsid w:val="00901D9E"/>
    <w:rsid w:val="009026D4"/>
    <w:rsid w:val="00903212"/>
    <w:rsid w:val="009036DD"/>
    <w:rsid w:val="00904B54"/>
    <w:rsid w:val="00905127"/>
    <w:rsid w:val="0090593F"/>
    <w:rsid w:val="0090653A"/>
    <w:rsid w:val="00906747"/>
    <w:rsid w:val="00906871"/>
    <w:rsid w:val="00911A46"/>
    <w:rsid w:val="0091285E"/>
    <w:rsid w:val="0091285F"/>
    <w:rsid w:val="00912B69"/>
    <w:rsid w:val="00913ABD"/>
    <w:rsid w:val="00914C0B"/>
    <w:rsid w:val="009159A2"/>
    <w:rsid w:val="009159F1"/>
    <w:rsid w:val="00917842"/>
    <w:rsid w:val="00920330"/>
    <w:rsid w:val="0092172B"/>
    <w:rsid w:val="0092183B"/>
    <w:rsid w:val="0092264D"/>
    <w:rsid w:val="00923A48"/>
    <w:rsid w:val="00924D0A"/>
    <w:rsid w:val="009266BD"/>
    <w:rsid w:val="00926BB4"/>
    <w:rsid w:val="0092722B"/>
    <w:rsid w:val="009274A2"/>
    <w:rsid w:val="00930609"/>
    <w:rsid w:val="00931396"/>
    <w:rsid w:val="0093502B"/>
    <w:rsid w:val="009369FC"/>
    <w:rsid w:val="00937C53"/>
    <w:rsid w:val="009403B8"/>
    <w:rsid w:val="00941582"/>
    <w:rsid w:val="00941FA1"/>
    <w:rsid w:val="00942016"/>
    <w:rsid w:val="009424CA"/>
    <w:rsid w:val="009432E0"/>
    <w:rsid w:val="00944B4A"/>
    <w:rsid w:val="0094572D"/>
    <w:rsid w:val="00947B1D"/>
    <w:rsid w:val="009505B4"/>
    <w:rsid w:val="009516D3"/>
    <w:rsid w:val="00951EC1"/>
    <w:rsid w:val="00952CB6"/>
    <w:rsid w:val="0095322D"/>
    <w:rsid w:val="00954076"/>
    <w:rsid w:val="00956409"/>
    <w:rsid w:val="0095650F"/>
    <w:rsid w:val="00956A9F"/>
    <w:rsid w:val="00956C2B"/>
    <w:rsid w:val="00960374"/>
    <w:rsid w:val="009603EE"/>
    <w:rsid w:val="00960D19"/>
    <w:rsid w:val="009614B0"/>
    <w:rsid w:val="00961E01"/>
    <w:rsid w:val="0096271E"/>
    <w:rsid w:val="00962D90"/>
    <w:rsid w:val="009655B2"/>
    <w:rsid w:val="009672BF"/>
    <w:rsid w:val="0096730D"/>
    <w:rsid w:val="00970D30"/>
    <w:rsid w:val="00971748"/>
    <w:rsid w:val="00971B3E"/>
    <w:rsid w:val="00971D2C"/>
    <w:rsid w:val="00972086"/>
    <w:rsid w:val="009727B7"/>
    <w:rsid w:val="009757C3"/>
    <w:rsid w:val="00975EE7"/>
    <w:rsid w:val="0097609B"/>
    <w:rsid w:val="009776CF"/>
    <w:rsid w:val="00980B9C"/>
    <w:rsid w:val="00981051"/>
    <w:rsid w:val="00982508"/>
    <w:rsid w:val="009840C4"/>
    <w:rsid w:val="00984F6E"/>
    <w:rsid w:val="00986897"/>
    <w:rsid w:val="00990C36"/>
    <w:rsid w:val="00992AB8"/>
    <w:rsid w:val="00994015"/>
    <w:rsid w:val="0099551B"/>
    <w:rsid w:val="009966F9"/>
    <w:rsid w:val="0099673F"/>
    <w:rsid w:val="009A0330"/>
    <w:rsid w:val="009A086D"/>
    <w:rsid w:val="009A1169"/>
    <w:rsid w:val="009A1EAC"/>
    <w:rsid w:val="009A20DB"/>
    <w:rsid w:val="009A2B31"/>
    <w:rsid w:val="009A2DAE"/>
    <w:rsid w:val="009A36CF"/>
    <w:rsid w:val="009A3DD8"/>
    <w:rsid w:val="009A3E24"/>
    <w:rsid w:val="009A3E3A"/>
    <w:rsid w:val="009A553D"/>
    <w:rsid w:val="009A61B5"/>
    <w:rsid w:val="009A7BA1"/>
    <w:rsid w:val="009A7E56"/>
    <w:rsid w:val="009B071E"/>
    <w:rsid w:val="009B09F1"/>
    <w:rsid w:val="009B109F"/>
    <w:rsid w:val="009B10C2"/>
    <w:rsid w:val="009B23BD"/>
    <w:rsid w:val="009B268D"/>
    <w:rsid w:val="009B320E"/>
    <w:rsid w:val="009B470C"/>
    <w:rsid w:val="009B7513"/>
    <w:rsid w:val="009B7C1D"/>
    <w:rsid w:val="009B7CD7"/>
    <w:rsid w:val="009C157E"/>
    <w:rsid w:val="009C1FF1"/>
    <w:rsid w:val="009C3586"/>
    <w:rsid w:val="009C3FC4"/>
    <w:rsid w:val="009C54E8"/>
    <w:rsid w:val="009C6562"/>
    <w:rsid w:val="009C7C62"/>
    <w:rsid w:val="009D1536"/>
    <w:rsid w:val="009D1557"/>
    <w:rsid w:val="009D2067"/>
    <w:rsid w:val="009D2E50"/>
    <w:rsid w:val="009D3A88"/>
    <w:rsid w:val="009D4481"/>
    <w:rsid w:val="009D4DE3"/>
    <w:rsid w:val="009D71FE"/>
    <w:rsid w:val="009E0869"/>
    <w:rsid w:val="009E3C40"/>
    <w:rsid w:val="009E5202"/>
    <w:rsid w:val="009E597E"/>
    <w:rsid w:val="009E63C5"/>
    <w:rsid w:val="009F204D"/>
    <w:rsid w:val="009F59CC"/>
    <w:rsid w:val="00A002B4"/>
    <w:rsid w:val="00A010AC"/>
    <w:rsid w:val="00A022DC"/>
    <w:rsid w:val="00A0233B"/>
    <w:rsid w:val="00A03D13"/>
    <w:rsid w:val="00A0518C"/>
    <w:rsid w:val="00A065DD"/>
    <w:rsid w:val="00A07759"/>
    <w:rsid w:val="00A11E2B"/>
    <w:rsid w:val="00A125D5"/>
    <w:rsid w:val="00A12D4F"/>
    <w:rsid w:val="00A13718"/>
    <w:rsid w:val="00A13C59"/>
    <w:rsid w:val="00A13F64"/>
    <w:rsid w:val="00A140F1"/>
    <w:rsid w:val="00A14803"/>
    <w:rsid w:val="00A14D95"/>
    <w:rsid w:val="00A15339"/>
    <w:rsid w:val="00A16DED"/>
    <w:rsid w:val="00A17058"/>
    <w:rsid w:val="00A1772A"/>
    <w:rsid w:val="00A20BE6"/>
    <w:rsid w:val="00A23767"/>
    <w:rsid w:val="00A24A99"/>
    <w:rsid w:val="00A2520F"/>
    <w:rsid w:val="00A26CCB"/>
    <w:rsid w:val="00A26E84"/>
    <w:rsid w:val="00A3092B"/>
    <w:rsid w:val="00A32433"/>
    <w:rsid w:val="00A32639"/>
    <w:rsid w:val="00A3324F"/>
    <w:rsid w:val="00A3383C"/>
    <w:rsid w:val="00A34497"/>
    <w:rsid w:val="00A35A5E"/>
    <w:rsid w:val="00A35E99"/>
    <w:rsid w:val="00A35EF1"/>
    <w:rsid w:val="00A35F45"/>
    <w:rsid w:val="00A36984"/>
    <w:rsid w:val="00A36FD4"/>
    <w:rsid w:val="00A37672"/>
    <w:rsid w:val="00A40593"/>
    <w:rsid w:val="00A40A71"/>
    <w:rsid w:val="00A4289E"/>
    <w:rsid w:val="00A4381B"/>
    <w:rsid w:val="00A448A9"/>
    <w:rsid w:val="00A45928"/>
    <w:rsid w:val="00A4676B"/>
    <w:rsid w:val="00A51992"/>
    <w:rsid w:val="00A52D96"/>
    <w:rsid w:val="00A541D3"/>
    <w:rsid w:val="00A548DC"/>
    <w:rsid w:val="00A55A68"/>
    <w:rsid w:val="00A57588"/>
    <w:rsid w:val="00A57846"/>
    <w:rsid w:val="00A57B53"/>
    <w:rsid w:val="00A57CE8"/>
    <w:rsid w:val="00A61E57"/>
    <w:rsid w:val="00A63E6C"/>
    <w:rsid w:val="00A643F4"/>
    <w:rsid w:val="00A64F4F"/>
    <w:rsid w:val="00A655AE"/>
    <w:rsid w:val="00A65D22"/>
    <w:rsid w:val="00A70544"/>
    <w:rsid w:val="00A75503"/>
    <w:rsid w:val="00A75C64"/>
    <w:rsid w:val="00A762EC"/>
    <w:rsid w:val="00A76558"/>
    <w:rsid w:val="00A77226"/>
    <w:rsid w:val="00A80F5F"/>
    <w:rsid w:val="00A8164B"/>
    <w:rsid w:val="00A81BB9"/>
    <w:rsid w:val="00A82084"/>
    <w:rsid w:val="00A8419F"/>
    <w:rsid w:val="00A85818"/>
    <w:rsid w:val="00A85ACD"/>
    <w:rsid w:val="00A86459"/>
    <w:rsid w:val="00A86BAE"/>
    <w:rsid w:val="00A86DEA"/>
    <w:rsid w:val="00A872FF"/>
    <w:rsid w:val="00A87BC4"/>
    <w:rsid w:val="00A90EEE"/>
    <w:rsid w:val="00A91027"/>
    <w:rsid w:val="00A91CB7"/>
    <w:rsid w:val="00A91D56"/>
    <w:rsid w:val="00A92FC0"/>
    <w:rsid w:val="00A9429A"/>
    <w:rsid w:val="00A94A1E"/>
    <w:rsid w:val="00A94E30"/>
    <w:rsid w:val="00A95671"/>
    <w:rsid w:val="00A95B9B"/>
    <w:rsid w:val="00A972DF"/>
    <w:rsid w:val="00A97D22"/>
    <w:rsid w:val="00AA18D5"/>
    <w:rsid w:val="00AA46ED"/>
    <w:rsid w:val="00AA5E97"/>
    <w:rsid w:val="00AA75DC"/>
    <w:rsid w:val="00AB08D5"/>
    <w:rsid w:val="00AB136A"/>
    <w:rsid w:val="00AB4B0C"/>
    <w:rsid w:val="00AB6772"/>
    <w:rsid w:val="00AB69E9"/>
    <w:rsid w:val="00AB71C7"/>
    <w:rsid w:val="00AB7290"/>
    <w:rsid w:val="00AB7BBD"/>
    <w:rsid w:val="00AC03D6"/>
    <w:rsid w:val="00AC0614"/>
    <w:rsid w:val="00AC0D86"/>
    <w:rsid w:val="00AC368E"/>
    <w:rsid w:val="00AC3C56"/>
    <w:rsid w:val="00AC6421"/>
    <w:rsid w:val="00AC6A83"/>
    <w:rsid w:val="00AD07C2"/>
    <w:rsid w:val="00AD0E24"/>
    <w:rsid w:val="00AD28D6"/>
    <w:rsid w:val="00AD45F5"/>
    <w:rsid w:val="00AD5123"/>
    <w:rsid w:val="00AD785E"/>
    <w:rsid w:val="00AE1099"/>
    <w:rsid w:val="00AE209A"/>
    <w:rsid w:val="00AE26A6"/>
    <w:rsid w:val="00AE4F63"/>
    <w:rsid w:val="00AE53B1"/>
    <w:rsid w:val="00AE7407"/>
    <w:rsid w:val="00AE7EB2"/>
    <w:rsid w:val="00AF1473"/>
    <w:rsid w:val="00AF3261"/>
    <w:rsid w:val="00AF3BA5"/>
    <w:rsid w:val="00AF3E1A"/>
    <w:rsid w:val="00AF4398"/>
    <w:rsid w:val="00AF4432"/>
    <w:rsid w:val="00AF5517"/>
    <w:rsid w:val="00AF57CF"/>
    <w:rsid w:val="00AF6025"/>
    <w:rsid w:val="00AF7F9D"/>
    <w:rsid w:val="00B00309"/>
    <w:rsid w:val="00B004C5"/>
    <w:rsid w:val="00B01F4C"/>
    <w:rsid w:val="00B02178"/>
    <w:rsid w:val="00B02801"/>
    <w:rsid w:val="00B028FD"/>
    <w:rsid w:val="00B029C3"/>
    <w:rsid w:val="00B0357B"/>
    <w:rsid w:val="00B03A3A"/>
    <w:rsid w:val="00B03DD5"/>
    <w:rsid w:val="00B04161"/>
    <w:rsid w:val="00B07A6F"/>
    <w:rsid w:val="00B11190"/>
    <w:rsid w:val="00B1274B"/>
    <w:rsid w:val="00B132D4"/>
    <w:rsid w:val="00B139B4"/>
    <w:rsid w:val="00B13DAE"/>
    <w:rsid w:val="00B148B1"/>
    <w:rsid w:val="00B208BB"/>
    <w:rsid w:val="00B2143A"/>
    <w:rsid w:val="00B22C7D"/>
    <w:rsid w:val="00B2416D"/>
    <w:rsid w:val="00B24DFA"/>
    <w:rsid w:val="00B254A1"/>
    <w:rsid w:val="00B26587"/>
    <w:rsid w:val="00B27362"/>
    <w:rsid w:val="00B277E1"/>
    <w:rsid w:val="00B27859"/>
    <w:rsid w:val="00B27CBF"/>
    <w:rsid w:val="00B30D42"/>
    <w:rsid w:val="00B34D8E"/>
    <w:rsid w:val="00B35B48"/>
    <w:rsid w:val="00B37650"/>
    <w:rsid w:val="00B41029"/>
    <w:rsid w:val="00B42130"/>
    <w:rsid w:val="00B42169"/>
    <w:rsid w:val="00B43709"/>
    <w:rsid w:val="00B4388B"/>
    <w:rsid w:val="00B44CC7"/>
    <w:rsid w:val="00B4546B"/>
    <w:rsid w:val="00B46E41"/>
    <w:rsid w:val="00B47831"/>
    <w:rsid w:val="00B47D5D"/>
    <w:rsid w:val="00B5022C"/>
    <w:rsid w:val="00B50263"/>
    <w:rsid w:val="00B5210B"/>
    <w:rsid w:val="00B52C4D"/>
    <w:rsid w:val="00B52CF6"/>
    <w:rsid w:val="00B530F0"/>
    <w:rsid w:val="00B53C80"/>
    <w:rsid w:val="00B560D3"/>
    <w:rsid w:val="00B568BA"/>
    <w:rsid w:val="00B56DAB"/>
    <w:rsid w:val="00B5764D"/>
    <w:rsid w:val="00B603C7"/>
    <w:rsid w:val="00B61C9E"/>
    <w:rsid w:val="00B6222F"/>
    <w:rsid w:val="00B626CD"/>
    <w:rsid w:val="00B631C0"/>
    <w:rsid w:val="00B64744"/>
    <w:rsid w:val="00B64F1C"/>
    <w:rsid w:val="00B660C4"/>
    <w:rsid w:val="00B67D0C"/>
    <w:rsid w:val="00B734C1"/>
    <w:rsid w:val="00B73D7D"/>
    <w:rsid w:val="00B74C8B"/>
    <w:rsid w:val="00B75D85"/>
    <w:rsid w:val="00B77E72"/>
    <w:rsid w:val="00B80289"/>
    <w:rsid w:val="00B803AE"/>
    <w:rsid w:val="00B80A21"/>
    <w:rsid w:val="00B820A2"/>
    <w:rsid w:val="00B83539"/>
    <w:rsid w:val="00B85903"/>
    <w:rsid w:val="00B87983"/>
    <w:rsid w:val="00B9116C"/>
    <w:rsid w:val="00B913EB"/>
    <w:rsid w:val="00B92D6E"/>
    <w:rsid w:val="00B9403B"/>
    <w:rsid w:val="00B94B8E"/>
    <w:rsid w:val="00B95E82"/>
    <w:rsid w:val="00B9646C"/>
    <w:rsid w:val="00B968FB"/>
    <w:rsid w:val="00B97DD4"/>
    <w:rsid w:val="00BA0687"/>
    <w:rsid w:val="00BA0A93"/>
    <w:rsid w:val="00BA135B"/>
    <w:rsid w:val="00BA2315"/>
    <w:rsid w:val="00BA3787"/>
    <w:rsid w:val="00BA3D7F"/>
    <w:rsid w:val="00BA4117"/>
    <w:rsid w:val="00BA524F"/>
    <w:rsid w:val="00BA52C5"/>
    <w:rsid w:val="00BA763D"/>
    <w:rsid w:val="00BA771A"/>
    <w:rsid w:val="00BA79F2"/>
    <w:rsid w:val="00BB09C2"/>
    <w:rsid w:val="00BB1317"/>
    <w:rsid w:val="00BB1810"/>
    <w:rsid w:val="00BB19AC"/>
    <w:rsid w:val="00BB330B"/>
    <w:rsid w:val="00BB3F6D"/>
    <w:rsid w:val="00BB3FF9"/>
    <w:rsid w:val="00BB51B3"/>
    <w:rsid w:val="00BB5288"/>
    <w:rsid w:val="00BB546F"/>
    <w:rsid w:val="00BB5CCD"/>
    <w:rsid w:val="00BB62EC"/>
    <w:rsid w:val="00BB6C38"/>
    <w:rsid w:val="00BB6EEF"/>
    <w:rsid w:val="00BB724C"/>
    <w:rsid w:val="00BB768A"/>
    <w:rsid w:val="00BC136B"/>
    <w:rsid w:val="00BC247A"/>
    <w:rsid w:val="00BC2F5D"/>
    <w:rsid w:val="00BC3BBF"/>
    <w:rsid w:val="00BC40C6"/>
    <w:rsid w:val="00BC44D5"/>
    <w:rsid w:val="00BC4BC0"/>
    <w:rsid w:val="00BC4F36"/>
    <w:rsid w:val="00BC68D8"/>
    <w:rsid w:val="00BC7154"/>
    <w:rsid w:val="00BC71E5"/>
    <w:rsid w:val="00BD1562"/>
    <w:rsid w:val="00BD1EAD"/>
    <w:rsid w:val="00BD2445"/>
    <w:rsid w:val="00BD247E"/>
    <w:rsid w:val="00BD2B56"/>
    <w:rsid w:val="00BD3B49"/>
    <w:rsid w:val="00BD4AED"/>
    <w:rsid w:val="00BD69B8"/>
    <w:rsid w:val="00BD6CF0"/>
    <w:rsid w:val="00BD7B84"/>
    <w:rsid w:val="00BE0615"/>
    <w:rsid w:val="00BE3338"/>
    <w:rsid w:val="00BE3F07"/>
    <w:rsid w:val="00BE4882"/>
    <w:rsid w:val="00BE6054"/>
    <w:rsid w:val="00BF0491"/>
    <w:rsid w:val="00BF2C6F"/>
    <w:rsid w:val="00BF57D4"/>
    <w:rsid w:val="00BF5CCA"/>
    <w:rsid w:val="00BF6A9A"/>
    <w:rsid w:val="00C0028E"/>
    <w:rsid w:val="00C01B13"/>
    <w:rsid w:val="00C03513"/>
    <w:rsid w:val="00C03E69"/>
    <w:rsid w:val="00C067DE"/>
    <w:rsid w:val="00C06B48"/>
    <w:rsid w:val="00C06F44"/>
    <w:rsid w:val="00C06FFE"/>
    <w:rsid w:val="00C07498"/>
    <w:rsid w:val="00C075CF"/>
    <w:rsid w:val="00C101AA"/>
    <w:rsid w:val="00C117B2"/>
    <w:rsid w:val="00C13C1A"/>
    <w:rsid w:val="00C14FFD"/>
    <w:rsid w:val="00C16BE8"/>
    <w:rsid w:val="00C20B9F"/>
    <w:rsid w:val="00C20F20"/>
    <w:rsid w:val="00C2104F"/>
    <w:rsid w:val="00C21240"/>
    <w:rsid w:val="00C228E8"/>
    <w:rsid w:val="00C22B9B"/>
    <w:rsid w:val="00C22C55"/>
    <w:rsid w:val="00C23EF3"/>
    <w:rsid w:val="00C24B89"/>
    <w:rsid w:val="00C2508F"/>
    <w:rsid w:val="00C272BC"/>
    <w:rsid w:val="00C30485"/>
    <w:rsid w:val="00C308E8"/>
    <w:rsid w:val="00C3195E"/>
    <w:rsid w:val="00C32BEC"/>
    <w:rsid w:val="00C32EB1"/>
    <w:rsid w:val="00C33048"/>
    <w:rsid w:val="00C360E4"/>
    <w:rsid w:val="00C37A53"/>
    <w:rsid w:val="00C40B86"/>
    <w:rsid w:val="00C40D68"/>
    <w:rsid w:val="00C40E1F"/>
    <w:rsid w:val="00C41F94"/>
    <w:rsid w:val="00C435A6"/>
    <w:rsid w:val="00C44266"/>
    <w:rsid w:val="00C452BE"/>
    <w:rsid w:val="00C455DB"/>
    <w:rsid w:val="00C4632A"/>
    <w:rsid w:val="00C50F1A"/>
    <w:rsid w:val="00C52875"/>
    <w:rsid w:val="00C53187"/>
    <w:rsid w:val="00C53781"/>
    <w:rsid w:val="00C53B88"/>
    <w:rsid w:val="00C54331"/>
    <w:rsid w:val="00C55688"/>
    <w:rsid w:val="00C55D75"/>
    <w:rsid w:val="00C567B6"/>
    <w:rsid w:val="00C569E2"/>
    <w:rsid w:val="00C5768E"/>
    <w:rsid w:val="00C62938"/>
    <w:rsid w:val="00C63DDA"/>
    <w:rsid w:val="00C65574"/>
    <w:rsid w:val="00C67583"/>
    <w:rsid w:val="00C702A4"/>
    <w:rsid w:val="00C7052A"/>
    <w:rsid w:val="00C70705"/>
    <w:rsid w:val="00C72FEF"/>
    <w:rsid w:val="00C770E5"/>
    <w:rsid w:val="00C80250"/>
    <w:rsid w:val="00C80D76"/>
    <w:rsid w:val="00C85681"/>
    <w:rsid w:val="00C857DD"/>
    <w:rsid w:val="00C869DE"/>
    <w:rsid w:val="00C87B4F"/>
    <w:rsid w:val="00C87CE4"/>
    <w:rsid w:val="00C90722"/>
    <w:rsid w:val="00C90A4D"/>
    <w:rsid w:val="00C90D6F"/>
    <w:rsid w:val="00C90FBF"/>
    <w:rsid w:val="00C913F9"/>
    <w:rsid w:val="00C91ACF"/>
    <w:rsid w:val="00C9246E"/>
    <w:rsid w:val="00C94646"/>
    <w:rsid w:val="00C94EF9"/>
    <w:rsid w:val="00C959F1"/>
    <w:rsid w:val="00C95E5B"/>
    <w:rsid w:val="00C964DA"/>
    <w:rsid w:val="00C972A2"/>
    <w:rsid w:val="00CA1416"/>
    <w:rsid w:val="00CA3F18"/>
    <w:rsid w:val="00CA413F"/>
    <w:rsid w:val="00CA7680"/>
    <w:rsid w:val="00CA7AB9"/>
    <w:rsid w:val="00CB0600"/>
    <w:rsid w:val="00CB0B16"/>
    <w:rsid w:val="00CB0EE3"/>
    <w:rsid w:val="00CB1845"/>
    <w:rsid w:val="00CB221E"/>
    <w:rsid w:val="00CB2F70"/>
    <w:rsid w:val="00CB2F89"/>
    <w:rsid w:val="00CB32DA"/>
    <w:rsid w:val="00CB3B52"/>
    <w:rsid w:val="00CB5DDC"/>
    <w:rsid w:val="00CB72D9"/>
    <w:rsid w:val="00CB7F4D"/>
    <w:rsid w:val="00CC0733"/>
    <w:rsid w:val="00CC0DD0"/>
    <w:rsid w:val="00CC13C7"/>
    <w:rsid w:val="00CC410C"/>
    <w:rsid w:val="00CC5085"/>
    <w:rsid w:val="00CC5B3D"/>
    <w:rsid w:val="00CC6BFC"/>
    <w:rsid w:val="00CC7330"/>
    <w:rsid w:val="00CC7DED"/>
    <w:rsid w:val="00CC7E7E"/>
    <w:rsid w:val="00CD0171"/>
    <w:rsid w:val="00CD06BD"/>
    <w:rsid w:val="00CD0D38"/>
    <w:rsid w:val="00CD16C1"/>
    <w:rsid w:val="00CD2A84"/>
    <w:rsid w:val="00CD2D18"/>
    <w:rsid w:val="00CD3E84"/>
    <w:rsid w:val="00CD4D31"/>
    <w:rsid w:val="00CD5722"/>
    <w:rsid w:val="00CD5984"/>
    <w:rsid w:val="00CD5EAA"/>
    <w:rsid w:val="00CD68F7"/>
    <w:rsid w:val="00CD7D3E"/>
    <w:rsid w:val="00CE0EFB"/>
    <w:rsid w:val="00CE224C"/>
    <w:rsid w:val="00CE2357"/>
    <w:rsid w:val="00CE3919"/>
    <w:rsid w:val="00CE4506"/>
    <w:rsid w:val="00CE45EA"/>
    <w:rsid w:val="00CE4EFC"/>
    <w:rsid w:val="00CE717C"/>
    <w:rsid w:val="00CE7C73"/>
    <w:rsid w:val="00CF0CE9"/>
    <w:rsid w:val="00CF12C7"/>
    <w:rsid w:val="00CF246A"/>
    <w:rsid w:val="00CF38AB"/>
    <w:rsid w:val="00CF3D30"/>
    <w:rsid w:val="00CF48F3"/>
    <w:rsid w:val="00CF5103"/>
    <w:rsid w:val="00CF63F6"/>
    <w:rsid w:val="00D009DD"/>
    <w:rsid w:val="00D01BCF"/>
    <w:rsid w:val="00D0357C"/>
    <w:rsid w:val="00D036B3"/>
    <w:rsid w:val="00D05B8D"/>
    <w:rsid w:val="00D07C46"/>
    <w:rsid w:val="00D10472"/>
    <w:rsid w:val="00D10A2C"/>
    <w:rsid w:val="00D1120F"/>
    <w:rsid w:val="00D115B8"/>
    <w:rsid w:val="00D12269"/>
    <w:rsid w:val="00D12B35"/>
    <w:rsid w:val="00D12D1B"/>
    <w:rsid w:val="00D14502"/>
    <w:rsid w:val="00D14A1D"/>
    <w:rsid w:val="00D168C6"/>
    <w:rsid w:val="00D16D2B"/>
    <w:rsid w:val="00D17021"/>
    <w:rsid w:val="00D2061D"/>
    <w:rsid w:val="00D2154F"/>
    <w:rsid w:val="00D2157B"/>
    <w:rsid w:val="00D21583"/>
    <w:rsid w:val="00D215B8"/>
    <w:rsid w:val="00D218FA"/>
    <w:rsid w:val="00D21DFC"/>
    <w:rsid w:val="00D2283B"/>
    <w:rsid w:val="00D22F44"/>
    <w:rsid w:val="00D238A8"/>
    <w:rsid w:val="00D25C61"/>
    <w:rsid w:val="00D26B81"/>
    <w:rsid w:val="00D31076"/>
    <w:rsid w:val="00D31539"/>
    <w:rsid w:val="00D319F8"/>
    <w:rsid w:val="00D32212"/>
    <w:rsid w:val="00D32E3D"/>
    <w:rsid w:val="00D331DE"/>
    <w:rsid w:val="00D34718"/>
    <w:rsid w:val="00D353D1"/>
    <w:rsid w:val="00D35B20"/>
    <w:rsid w:val="00D37C17"/>
    <w:rsid w:val="00D37E58"/>
    <w:rsid w:val="00D40E69"/>
    <w:rsid w:val="00D43A05"/>
    <w:rsid w:val="00D43BAF"/>
    <w:rsid w:val="00D466C5"/>
    <w:rsid w:val="00D46B7B"/>
    <w:rsid w:val="00D5223B"/>
    <w:rsid w:val="00D52BCF"/>
    <w:rsid w:val="00D546E0"/>
    <w:rsid w:val="00D5567B"/>
    <w:rsid w:val="00D556ED"/>
    <w:rsid w:val="00D55C42"/>
    <w:rsid w:val="00D56CA5"/>
    <w:rsid w:val="00D577AA"/>
    <w:rsid w:val="00D60FC2"/>
    <w:rsid w:val="00D653ED"/>
    <w:rsid w:val="00D658C2"/>
    <w:rsid w:val="00D6798F"/>
    <w:rsid w:val="00D7171D"/>
    <w:rsid w:val="00D717A8"/>
    <w:rsid w:val="00D71C3D"/>
    <w:rsid w:val="00D7312E"/>
    <w:rsid w:val="00D74150"/>
    <w:rsid w:val="00D7498F"/>
    <w:rsid w:val="00D76BFD"/>
    <w:rsid w:val="00D774EB"/>
    <w:rsid w:val="00D777FA"/>
    <w:rsid w:val="00D814AD"/>
    <w:rsid w:val="00D81D0C"/>
    <w:rsid w:val="00D844C2"/>
    <w:rsid w:val="00D85A31"/>
    <w:rsid w:val="00D87265"/>
    <w:rsid w:val="00D87B55"/>
    <w:rsid w:val="00D90EDA"/>
    <w:rsid w:val="00D91005"/>
    <w:rsid w:val="00D91F61"/>
    <w:rsid w:val="00D92C2E"/>
    <w:rsid w:val="00D9318A"/>
    <w:rsid w:val="00D934DE"/>
    <w:rsid w:val="00D950BF"/>
    <w:rsid w:val="00D951F4"/>
    <w:rsid w:val="00D95518"/>
    <w:rsid w:val="00D9612E"/>
    <w:rsid w:val="00D968E0"/>
    <w:rsid w:val="00D97D34"/>
    <w:rsid w:val="00DA0F38"/>
    <w:rsid w:val="00DA11C9"/>
    <w:rsid w:val="00DA218F"/>
    <w:rsid w:val="00DA2C8F"/>
    <w:rsid w:val="00DA3E33"/>
    <w:rsid w:val="00DA45EC"/>
    <w:rsid w:val="00DA48F5"/>
    <w:rsid w:val="00DA5319"/>
    <w:rsid w:val="00DA60CB"/>
    <w:rsid w:val="00DA7FC2"/>
    <w:rsid w:val="00DB189F"/>
    <w:rsid w:val="00DB473A"/>
    <w:rsid w:val="00DB6507"/>
    <w:rsid w:val="00DB6E58"/>
    <w:rsid w:val="00DB6EFD"/>
    <w:rsid w:val="00DC0749"/>
    <w:rsid w:val="00DC0B86"/>
    <w:rsid w:val="00DC26C5"/>
    <w:rsid w:val="00DC287C"/>
    <w:rsid w:val="00DC45F8"/>
    <w:rsid w:val="00DC511B"/>
    <w:rsid w:val="00DC5351"/>
    <w:rsid w:val="00DC5D1C"/>
    <w:rsid w:val="00DC660E"/>
    <w:rsid w:val="00DC70EB"/>
    <w:rsid w:val="00DC71F4"/>
    <w:rsid w:val="00DC739F"/>
    <w:rsid w:val="00DD2C05"/>
    <w:rsid w:val="00DD327D"/>
    <w:rsid w:val="00DD36C0"/>
    <w:rsid w:val="00DD5334"/>
    <w:rsid w:val="00DD6408"/>
    <w:rsid w:val="00DD64BD"/>
    <w:rsid w:val="00DD66A9"/>
    <w:rsid w:val="00DE0E81"/>
    <w:rsid w:val="00DE18E2"/>
    <w:rsid w:val="00DE22DD"/>
    <w:rsid w:val="00DE2C9A"/>
    <w:rsid w:val="00DE481F"/>
    <w:rsid w:val="00DE4DBD"/>
    <w:rsid w:val="00DE6084"/>
    <w:rsid w:val="00DE7FCC"/>
    <w:rsid w:val="00DF12FB"/>
    <w:rsid w:val="00DF262F"/>
    <w:rsid w:val="00DF3414"/>
    <w:rsid w:val="00DF482E"/>
    <w:rsid w:val="00DF4A5D"/>
    <w:rsid w:val="00DF4DB5"/>
    <w:rsid w:val="00DF7258"/>
    <w:rsid w:val="00DF7447"/>
    <w:rsid w:val="00DF76F1"/>
    <w:rsid w:val="00E0017A"/>
    <w:rsid w:val="00E0274A"/>
    <w:rsid w:val="00E06AC1"/>
    <w:rsid w:val="00E115EB"/>
    <w:rsid w:val="00E132A3"/>
    <w:rsid w:val="00E134AA"/>
    <w:rsid w:val="00E137D8"/>
    <w:rsid w:val="00E1467D"/>
    <w:rsid w:val="00E15146"/>
    <w:rsid w:val="00E15425"/>
    <w:rsid w:val="00E15A9C"/>
    <w:rsid w:val="00E16932"/>
    <w:rsid w:val="00E17A8A"/>
    <w:rsid w:val="00E215DB"/>
    <w:rsid w:val="00E22636"/>
    <w:rsid w:val="00E22BD8"/>
    <w:rsid w:val="00E24D95"/>
    <w:rsid w:val="00E2516E"/>
    <w:rsid w:val="00E25BC9"/>
    <w:rsid w:val="00E276DF"/>
    <w:rsid w:val="00E3069B"/>
    <w:rsid w:val="00E30FEA"/>
    <w:rsid w:val="00E311D4"/>
    <w:rsid w:val="00E32919"/>
    <w:rsid w:val="00E3295C"/>
    <w:rsid w:val="00E336F2"/>
    <w:rsid w:val="00E338FE"/>
    <w:rsid w:val="00E33EA1"/>
    <w:rsid w:val="00E34236"/>
    <w:rsid w:val="00E34802"/>
    <w:rsid w:val="00E35945"/>
    <w:rsid w:val="00E35B33"/>
    <w:rsid w:val="00E37563"/>
    <w:rsid w:val="00E378CD"/>
    <w:rsid w:val="00E40890"/>
    <w:rsid w:val="00E4153F"/>
    <w:rsid w:val="00E41587"/>
    <w:rsid w:val="00E415A2"/>
    <w:rsid w:val="00E41AE6"/>
    <w:rsid w:val="00E425B1"/>
    <w:rsid w:val="00E436E2"/>
    <w:rsid w:val="00E446DD"/>
    <w:rsid w:val="00E44C98"/>
    <w:rsid w:val="00E4536C"/>
    <w:rsid w:val="00E456AF"/>
    <w:rsid w:val="00E475E2"/>
    <w:rsid w:val="00E47B61"/>
    <w:rsid w:val="00E50180"/>
    <w:rsid w:val="00E50754"/>
    <w:rsid w:val="00E50E1E"/>
    <w:rsid w:val="00E51340"/>
    <w:rsid w:val="00E5175B"/>
    <w:rsid w:val="00E54592"/>
    <w:rsid w:val="00E55FB9"/>
    <w:rsid w:val="00E57802"/>
    <w:rsid w:val="00E57AD3"/>
    <w:rsid w:val="00E60B28"/>
    <w:rsid w:val="00E61359"/>
    <w:rsid w:val="00E620C9"/>
    <w:rsid w:val="00E64BFC"/>
    <w:rsid w:val="00E65F4C"/>
    <w:rsid w:val="00E6626B"/>
    <w:rsid w:val="00E66B23"/>
    <w:rsid w:val="00E674FB"/>
    <w:rsid w:val="00E67CA2"/>
    <w:rsid w:val="00E70318"/>
    <w:rsid w:val="00E70617"/>
    <w:rsid w:val="00E71C4A"/>
    <w:rsid w:val="00E743B5"/>
    <w:rsid w:val="00E75C85"/>
    <w:rsid w:val="00E76109"/>
    <w:rsid w:val="00E7746F"/>
    <w:rsid w:val="00E80E3B"/>
    <w:rsid w:val="00E8145A"/>
    <w:rsid w:val="00E8182D"/>
    <w:rsid w:val="00E81D15"/>
    <w:rsid w:val="00E82CA7"/>
    <w:rsid w:val="00E83531"/>
    <w:rsid w:val="00E86FCD"/>
    <w:rsid w:val="00E87006"/>
    <w:rsid w:val="00E911C9"/>
    <w:rsid w:val="00E92280"/>
    <w:rsid w:val="00E923DB"/>
    <w:rsid w:val="00E92793"/>
    <w:rsid w:val="00E93DDF"/>
    <w:rsid w:val="00E94E5A"/>
    <w:rsid w:val="00E963BE"/>
    <w:rsid w:val="00E96755"/>
    <w:rsid w:val="00EA01BA"/>
    <w:rsid w:val="00EA07FA"/>
    <w:rsid w:val="00EA0834"/>
    <w:rsid w:val="00EA098B"/>
    <w:rsid w:val="00EA1378"/>
    <w:rsid w:val="00EA255F"/>
    <w:rsid w:val="00EA28C7"/>
    <w:rsid w:val="00EA2F33"/>
    <w:rsid w:val="00EA390B"/>
    <w:rsid w:val="00EA4A89"/>
    <w:rsid w:val="00EA4DDC"/>
    <w:rsid w:val="00EA56C7"/>
    <w:rsid w:val="00EA66C2"/>
    <w:rsid w:val="00EA79F8"/>
    <w:rsid w:val="00EB05BB"/>
    <w:rsid w:val="00EB1116"/>
    <w:rsid w:val="00EB197A"/>
    <w:rsid w:val="00EB1EBD"/>
    <w:rsid w:val="00EB3811"/>
    <w:rsid w:val="00EB48F9"/>
    <w:rsid w:val="00EB4E36"/>
    <w:rsid w:val="00EB5008"/>
    <w:rsid w:val="00EB6108"/>
    <w:rsid w:val="00EB6245"/>
    <w:rsid w:val="00EB6976"/>
    <w:rsid w:val="00EB6CD9"/>
    <w:rsid w:val="00EB7B7D"/>
    <w:rsid w:val="00EC0B4B"/>
    <w:rsid w:val="00EC137D"/>
    <w:rsid w:val="00EC39BF"/>
    <w:rsid w:val="00EC4499"/>
    <w:rsid w:val="00EC4A02"/>
    <w:rsid w:val="00EC4C34"/>
    <w:rsid w:val="00EC5D91"/>
    <w:rsid w:val="00EC5E05"/>
    <w:rsid w:val="00EC74A8"/>
    <w:rsid w:val="00EC75A7"/>
    <w:rsid w:val="00ED17E0"/>
    <w:rsid w:val="00ED1972"/>
    <w:rsid w:val="00ED2505"/>
    <w:rsid w:val="00ED25E2"/>
    <w:rsid w:val="00ED2D76"/>
    <w:rsid w:val="00ED301B"/>
    <w:rsid w:val="00ED51AB"/>
    <w:rsid w:val="00ED56C2"/>
    <w:rsid w:val="00ED5B54"/>
    <w:rsid w:val="00ED6740"/>
    <w:rsid w:val="00ED6798"/>
    <w:rsid w:val="00EE05CF"/>
    <w:rsid w:val="00EE10BA"/>
    <w:rsid w:val="00EE37C7"/>
    <w:rsid w:val="00EE4218"/>
    <w:rsid w:val="00EE6451"/>
    <w:rsid w:val="00EE69F5"/>
    <w:rsid w:val="00EE6C73"/>
    <w:rsid w:val="00EE72F8"/>
    <w:rsid w:val="00EE78A0"/>
    <w:rsid w:val="00EE7914"/>
    <w:rsid w:val="00EF04E4"/>
    <w:rsid w:val="00EF09C1"/>
    <w:rsid w:val="00EF0B22"/>
    <w:rsid w:val="00EF10DF"/>
    <w:rsid w:val="00EF1823"/>
    <w:rsid w:val="00EF1A88"/>
    <w:rsid w:val="00EF393A"/>
    <w:rsid w:val="00EF3B90"/>
    <w:rsid w:val="00EF46BF"/>
    <w:rsid w:val="00EF4864"/>
    <w:rsid w:val="00EF4AC7"/>
    <w:rsid w:val="00EF4DAE"/>
    <w:rsid w:val="00EF4FC8"/>
    <w:rsid w:val="00EF5697"/>
    <w:rsid w:val="00EF5D45"/>
    <w:rsid w:val="00EF6D6C"/>
    <w:rsid w:val="00EF7711"/>
    <w:rsid w:val="00F01F2A"/>
    <w:rsid w:val="00F021CC"/>
    <w:rsid w:val="00F038AD"/>
    <w:rsid w:val="00F05088"/>
    <w:rsid w:val="00F05155"/>
    <w:rsid w:val="00F107F3"/>
    <w:rsid w:val="00F11691"/>
    <w:rsid w:val="00F11E51"/>
    <w:rsid w:val="00F1266F"/>
    <w:rsid w:val="00F12F99"/>
    <w:rsid w:val="00F14393"/>
    <w:rsid w:val="00F143C9"/>
    <w:rsid w:val="00F149F3"/>
    <w:rsid w:val="00F157AB"/>
    <w:rsid w:val="00F2103D"/>
    <w:rsid w:val="00F21966"/>
    <w:rsid w:val="00F21F6F"/>
    <w:rsid w:val="00F22B3D"/>
    <w:rsid w:val="00F24558"/>
    <w:rsid w:val="00F2558D"/>
    <w:rsid w:val="00F261F2"/>
    <w:rsid w:val="00F304DF"/>
    <w:rsid w:val="00F30ED8"/>
    <w:rsid w:val="00F31428"/>
    <w:rsid w:val="00F31CEF"/>
    <w:rsid w:val="00F3351E"/>
    <w:rsid w:val="00F34487"/>
    <w:rsid w:val="00F35574"/>
    <w:rsid w:val="00F37FC8"/>
    <w:rsid w:val="00F412AF"/>
    <w:rsid w:val="00F41930"/>
    <w:rsid w:val="00F41AD0"/>
    <w:rsid w:val="00F43A15"/>
    <w:rsid w:val="00F43C98"/>
    <w:rsid w:val="00F43FEE"/>
    <w:rsid w:val="00F444AC"/>
    <w:rsid w:val="00F44F64"/>
    <w:rsid w:val="00F46FA6"/>
    <w:rsid w:val="00F4701C"/>
    <w:rsid w:val="00F5113D"/>
    <w:rsid w:val="00F51847"/>
    <w:rsid w:val="00F52421"/>
    <w:rsid w:val="00F528AA"/>
    <w:rsid w:val="00F529DC"/>
    <w:rsid w:val="00F55CC0"/>
    <w:rsid w:val="00F56DE2"/>
    <w:rsid w:val="00F60098"/>
    <w:rsid w:val="00F60A7A"/>
    <w:rsid w:val="00F62D6E"/>
    <w:rsid w:val="00F635D6"/>
    <w:rsid w:val="00F63991"/>
    <w:rsid w:val="00F63A29"/>
    <w:rsid w:val="00F645C4"/>
    <w:rsid w:val="00F6514A"/>
    <w:rsid w:val="00F65D87"/>
    <w:rsid w:val="00F66ED3"/>
    <w:rsid w:val="00F71035"/>
    <w:rsid w:val="00F7390D"/>
    <w:rsid w:val="00F76620"/>
    <w:rsid w:val="00F80C05"/>
    <w:rsid w:val="00F813ED"/>
    <w:rsid w:val="00F81864"/>
    <w:rsid w:val="00F82F35"/>
    <w:rsid w:val="00F85494"/>
    <w:rsid w:val="00F86181"/>
    <w:rsid w:val="00F861A3"/>
    <w:rsid w:val="00F92384"/>
    <w:rsid w:val="00F938EC"/>
    <w:rsid w:val="00F94812"/>
    <w:rsid w:val="00F948F0"/>
    <w:rsid w:val="00F95981"/>
    <w:rsid w:val="00F95AAA"/>
    <w:rsid w:val="00F977EF"/>
    <w:rsid w:val="00F97A70"/>
    <w:rsid w:val="00F97B37"/>
    <w:rsid w:val="00FA0331"/>
    <w:rsid w:val="00FA2560"/>
    <w:rsid w:val="00FA2ABA"/>
    <w:rsid w:val="00FA5D4E"/>
    <w:rsid w:val="00FA6229"/>
    <w:rsid w:val="00FA6466"/>
    <w:rsid w:val="00FA7F98"/>
    <w:rsid w:val="00FB0002"/>
    <w:rsid w:val="00FB0032"/>
    <w:rsid w:val="00FB0676"/>
    <w:rsid w:val="00FB112C"/>
    <w:rsid w:val="00FB1591"/>
    <w:rsid w:val="00FB1B90"/>
    <w:rsid w:val="00FB48F3"/>
    <w:rsid w:val="00FC0A94"/>
    <w:rsid w:val="00FC27A6"/>
    <w:rsid w:val="00FC319E"/>
    <w:rsid w:val="00FC556E"/>
    <w:rsid w:val="00FC58CE"/>
    <w:rsid w:val="00FC5C66"/>
    <w:rsid w:val="00FC5CAC"/>
    <w:rsid w:val="00FC5CD8"/>
    <w:rsid w:val="00FC67F1"/>
    <w:rsid w:val="00FC6B71"/>
    <w:rsid w:val="00FC6DE6"/>
    <w:rsid w:val="00FC6F43"/>
    <w:rsid w:val="00FC78A7"/>
    <w:rsid w:val="00FD028A"/>
    <w:rsid w:val="00FD0C16"/>
    <w:rsid w:val="00FD3111"/>
    <w:rsid w:val="00FD33A2"/>
    <w:rsid w:val="00FD4301"/>
    <w:rsid w:val="00FD4E92"/>
    <w:rsid w:val="00FD4FCE"/>
    <w:rsid w:val="00FD77D3"/>
    <w:rsid w:val="00FE0C93"/>
    <w:rsid w:val="00FE0FFE"/>
    <w:rsid w:val="00FE298C"/>
    <w:rsid w:val="00FE4687"/>
    <w:rsid w:val="00FE4DE3"/>
    <w:rsid w:val="00FE6319"/>
    <w:rsid w:val="00FE6679"/>
    <w:rsid w:val="00FE6CCC"/>
    <w:rsid w:val="00FE75C7"/>
    <w:rsid w:val="00FE7ADF"/>
    <w:rsid w:val="00FF00FB"/>
    <w:rsid w:val="00FF058A"/>
    <w:rsid w:val="00FF065C"/>
    <w:rsid w:val="00FF06D7"/>
    <w:rsid w:val="00FF1C02"/>
    <w:rsid w:val="00FF2BA2"/>
    <w:rsid w:val="00FF4469"/>
    <w:rsid w:val="00FF48CB"/>
    <w:rsid w:val="00FF5988"/>
    <w:rsid w:val="00FF5AFB"/>
    <w:rsid w:val="00FF61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4375A"/>
    <w:pPr>
      <w:spacing w:after="0" w:line="260" w:lineRule="atLeast"/>
      <w:jc w:val="both"/>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B139B4"/>
    <w:pPr>
      <w:keepNext/>
      <w:numPr>
        <w:numId w:val="1"/>
      </w:numPr>
      <w:tabs>
        <w:tab w:val="clear" w:pos="4330"/>
        <w:tab w:val="num" w:pos="993"/>
      </w:tabs>
      <w:spacing w:before="240" w:after="240" w:line="240" w:lineRule="auto"/>
      <w:ind w:left="709" w:hanging="709"/>
      <w:outlineLvl w:val="0"/>
    </w:pPr>
    <w:rPr>
      <w:rFonts w:cs="Arial"/>
      <w:b/>
      <w:kern w:val="32"/>
      <w:sz w:val="28"/>
      <w:szCs w:val="32"/>
      <w:lang w:eastAsia="sl-SI"/>
    </w:rPr>
  </w:style>
  <w:style w:type="paragraph" w:styleId="Naslov2">
    <w:name w:val="heading 2"/>
    <w:basedOn w:val="Navaden"/>
    <w:next w:val="Navaden"/>
    <w:link w:val="Naslov2Znak"/>
    <w:qFormat/>
    <w:rsid w:val="00C63DDA"/>
    <w:pPr>
      <w:keepNext/>
      <w:numPr>
        <w:ilvl w:val="1"/>
        <w:numId w:val="1"/>
      </w:numPr>
      <w:tabs>
        <w:tab w:val="num" w:pos="709"/>
      </w:tabs>
      <w:spacing w:before="480" w:after="240" w:line="240" w:lineRule="auto"/>
      <w:ind w:left="709" w:hanging="709"/>
      <w:outlineLvl w:val="1"/>
    </w:pPr>
    <w:rPr>
      <w:rFonts w:cs="Arial"/>
      <w:b/>
      <w:bCs/>
      <w:i/>
      <w:iCs/>
      <w:sz w:val="24"/>
      <w:lang w:eastAsia="sl-SI"/>
    </w:rPr>
  </w:style>
  <w:style w:type="paragraph" w:styleId="Naslov3">
    <w:name w:val="heading 3"/>
    <w:basedOn w:val="Navaden"/>
    <w:next w:val="Navaden"/>
    <w:link w:val="Naslov3Znak"/>
    <w:unhideWhenUsed/>
    <w:qFormat/>
    <w:rsid w:val="00C770E5"/>
    <w:pPr>
      <w:keepNext/>
      <w:numPr>
        <w:ilvl w:val="2"/>
        <w:numId w:val="1"/>
      </w:numPr>
      <w:tabs>
        <w:tab w:val="num" w:pos="646"/>
        <w:tab w:val="num" w:pos="851"/>
        <w:tab w:val="num" w:pos="2160"/>
      </w:tabs>
      <w:spacing w:before="360" w:after="240"/>
      <w:ind w:left="902" w:hanging="902"/>
      <w:outlineLvl w:val="2"/>
    </w:pPr>
    <w:rPr>
      <w:rFonts w:cs="Arial"/>
      <w:b/>
      <w:bCs/>
      <w:sz w:val="22"/>
      <w:szCs w:val="22"/>
    </w:rPr>
  </w:style>
  <w:style w:type="paragraph" w:styleId="Naslov4">
    <w:name w:val="heading 4"/>
    <w:basedOn w:val="Navaden"/>
    <w:next w:val="Navaden"/>
    <w:link w:val="Naslov4Znak"/>
    <w:qFormat/>
    <w:rsid w:val="00F56DE2"/>
    <w:pPr>
      <w:tabs>
        <w:tab w:val="left" w:pos="9600"/>
      </w:tabs>
      <w:spacing w:before="120" w:line="280" w:lineRule="atLeast"/>
      <w:outlineLvl w:val="3"/>
    </w:pPr>
    <w:rPr>
      <w:rFonts w:cs="Arial"/>
      <w:szCs w:val="20"/>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1"/>
    <w:basedOn w:val="Privzetapisavaodstavka"/>
    <w:link w:val="Naslov1"/>
    <w:rsid w:val="00B139B4"/>
    <w:rPr>
      <w:rFonts w:ascii="Arial" w:eastAsia="Times New Roman" w:hAnsi="Arial" w:cs="Arial"/>
      <w:b/>
      <w:kern w:val="32"/>
      <w:sz w:val="28"/>
      <w:szCs w:val="32"/>
      <w:lang w:eastAsia="sl-SI"/>
    </w:rPr>
  </w:style>
  <w:style w:type="character" w:customStyle="1" w:styleId="Naslov2Znak">
    <w:name w:val="Naslov 2 Znak"/>
    <w:basedOn w:val="Privzetapisavaodstavka"/>
    <w:link w:val="Naslov2"/>
    <w:rsid w:val="00C63DDA"/>
    <w:rPr>
      <w:rFonts w:ascii="Arial" w:eastAsia="Times New Roman" w:hAnsi="Arial" w:cs="Arial"/>
      <w:b/>
      <w:bCs/>
      <w:i/>
      <w:iCs/>
      <w:sz w:val="24"/>
      <w:szCs w:val="24"/>
      <w:lang w:eastAsia="sl-SI"/>
    </w:rPr>
  </w:style>
  <w:style w:type="character" w:customStyle="1" w:styleId="Naslov3Znak">
    <w:name w:val="Naslov 3 Znak"/>
    <w:basedOn w:val="Privzetapisavaodstavka"/>
    <w:link w:val="Naslov3"/>
    <w:rsid w:val="00C770E5"/>
    <w:rPr>
      <w:rFonts w:ascii="Arial" w:eastAsia="Times New Roman" w:hAnsi="Arial" w:cs="Arial"/>
      <w:b/>
      <w:bCs/>
    </w:rPr>
  </w:style>
  <w:style w:type="character" w:customStyle="1" w:styleId="Naslov4Znak">
    <w:name w:val="Naslov 4 Znak"/>
    <w:basedOn w:val="Privzetapisavaodstavka"/>
    <w:link w:val="Naslov4"/>
    <w:rsid w:val="00F56DE2"/>
    <w:rPr>
      <w:rFonts w:ascii="Arial" w:eastAsia="Times New Roman" w:hAnsi="Arial" w:cs="Arial"/>
      <w:sz w:val="20"/>
      <w:szCs w:val="20"/>
    </w:rPr>
  </w:style>
  <w:style w:type="paragraph" w:styleId="Glava">
    <w:name w:val="header"/>
    <w:basedOn w:val="Navaden"/>
    <w:link w:val="GlavaZnak"/>
    <w:uiPriority w:val="99"/>
    <w:rsid w:val="00D774EB"/>
    <w:pPr>
      <w:tabs>
        <w:tab w:val="center" w:pos="4320"/>
        <w:tab w:val="right" w:pos="8640"/>
      </w:tabs>
    </w:pPr>
  </w:style>
  <w:style w:type="character" w:customStyle="1" w:styleId="GlavaZnak">
    <w:name w:val="Glava Znak"/>
    <w:basedOn w:val="Privzetapisavaodstavka"/>
    <w:link w:val="Glava"/>
    <w:uiPriority w:val="99"/>
    <w:rsid w:val="00D774EB"/>
    <w:rPr>
      <w:rFonts w:ascii="Arial" w:eastAsia="Times New Roman" w:hAnsi="Arial" w:cs="Times New Roman"/>
      <w:sz w:val="20"/>
      <w:szCs w:val="24"/>
    </w:rPr>
  </w:style>
  <w:style w:type="paragraph" w:styleId="Noga">
    <w:name w:val="footer"/>
    <w:basedOn w:val="Navaden"/>
    <w:link w:val="NogaZnak"/>
    <w:uiPriority w:val="99"/>
    <w:rsid w:val="00D774EB"/>
    <w:pPr>
      <w:tabs>
        <w:tab w:val="center" w:pos="4320"/>
        <w:tab w:val="right" w:pos="8640"/>
      </w:tabs>
    </w:pPr>
  </w:style>
  <w:style w:type="character" w:customStyle="1" w:styleId="NogaZnak">
    <w:name w:val="Noga Znak"/>
    <w:basedOn w:val="Privzetapisavaodstavka"/>
    <w:link w:val="Noga"/>
    <w:uiPriority w:val="99"/>
    <w:rsid w:val="00D774EB"/>
    <w:rPr>
      <w:rFonts w:ascii="Arial" w:eastAsia="Times New Roman" w:hAnsi="Arial" w:cs="Times New Roman"/>
      <w:sz w:val="20"/>
      <w:szCs w:val="24"/>
    </w:rPr>
  </w:style>
  <w:style w:type="paragraph" w:styleId="Zgradbadokumenta">
    <w:name w:val="Document Map"/>
    <w:basedOn w:val="Navaden"/>
    <w:link w:val="ZgradbadokumentaZnak"/>
    <w:uiPriority w:val="99"/>
    <w:rsid w:val="00D774EB"/>
    <w:rPr>
      <w:rFonts w:ascii="Tahoma" w:hAnsi="Tahoma" w:cs="Tahoma"/>
      <w:sz w:val="16"/>
      <w:szCs w:val="16"/>
    </w:rPr>
  </w:style>
  <w:style w:type="character" w:customStyle="1" w:styleId="ZgradbadokumentaZnak">
    <w:name w:val="Zgradba dokumenta Znak"/>
    <w:basedOn w:val="Privzetapisavaodstavka"/>
    <w:link w:val="Zgradbadokumenta"/>
    <w:uiPriority w:val="99"/>
    <w:rsid w:val="00D774EB"/>
    <w:rPr>
      <w:rFonts w:ascii="Tahoma" w:eastAsia="Times New Roman" w:hAnsi="Tahoma" w:cs="Tahoma"/>
      <w:sz w:val="16"/>
      <w:szCs w:val="16"/>
    </w:rPr>
  </w:style>
  <w:style w:type="table" w:styleId="Tabelamrea">
    <w:name w:val="Table Grid"/>
    <w:basedOn w:val="Navadnatabela"/>
    <w:uiPriority w:val="39"/>
    <w:rsid w:val="00D774E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qFormat/>
    <w:rsid w:val="00D774EB"/>
    <w:pPr>
      <w:tabs>
        <w:tab w:val="left" w:pos="1701"/>
      </w:tabs>
    </w:pPr>
    <w:rPr>
      <w:szCs w:val="20"/>
      <w:lang w:eastAsia="sl-SI"/>
    </w:rPr>
  </w:style>
  <w:style w:type="paragraph" w:customStyle="1" w:styleId="ZADEVA">
    <w:name w:val="ZADEVA"/>
    <w:basedOn w:val="Navaden"/>
    <w:uiPriority w:val="99"/>
    <w:qFormat/>
    <w:rsid w:val="00D774EB"/>
    <w:pPr>
      <w:tabs>
        <w:tab w:val="left" w:pos="1701"/>
      </w:tabs>
      <w:ind w:left="1701" w:hanging="1701"/>
    </w:pPr>
    <w:rPr>
      <w:b/>
      <w:lang w:val="it-IT"/>
    </w:rPr>
  </w:style>
  <w:style w:type="character" w:styleId="Hiperpovezava">
    <w:name w:val="Hyperlink"/>
    <w:uiPriority w:val="99"/>
    <w:rsid w:val="00D774EB"/>
    <w:rPr>
      <w:color w:val="0000FF"/>
      <w:u w:val="single"/>
    </w:rPr>
  </w:style>
  <w:style w:type="paragraph" w:customStyle="1" w:styleId="podpisi">
    <w:name w:val="podpisi"/>
    <w:basedOn w:val="Navaden"/>
    <w:uiPriority w:val="99"/>
    <w:qFormat/>
    <w:rsid w:val="00D774EB"/>
    <w:pPr>
      <w:tabs>
        <w:tab w:val="left" w:pos="3402"/>
      </w:tabs>
    </w:pPr>
    <w:rPr>
      <w:lang w:val="it-IT"/>
    </w:rPr>
  </w:style>
  <w:style w:type="paragraph" w:customStyle="1" w:styleId="Brezrazmikov1">
    <w:name w:val="Brez razmikov1"/>
    <w:uiPriority w:val="99"/>
    <w:qFormat/>
    <w:rsid w:val="00D774EB"/>
    <w:pPr>
      <w:spacing w:after="0" w:line="240" w:lineRule="auto"/>
    </w:pPr>
    <w:rPr>
      <w:rFonts w:ascii="Calibri" w:eastAsia="Calibri" w:hAnsi="Calibri" w:cs="Times New Roman"/>
    </w:rPr>
  </w:style>
  <w:style w:type="character" w:styleId="SledenaHiperpovezava">
    <w:name w:val="FollowedHyperlink"/>
    <w:uiPriority w:val="99"/>
    <w:rsid w:val="00D774EB"/>
    <w:rPr>
      <w:color w:val="800080"/>
      <w:u w:val="single"/>
    </w:rPr>
  </w:style>
  <w:style w:type="paragraph" w:customStyle="1" w:styleId="Default">
    <w:name w:val="Default"/>
    <w:rsid w:val="00D774EB"/>
    <w:pPr>
      <w:autoSpaceDE w:val="0"/>
      <w:autoSpaceDN w:val="0"/>
      <w:adjustRightInd w:val="0"/>
      <w:spacing w:after="0" w:line="240" w:lineRule="auto"/>
    </w:pPr>
    <w:rPr>
      <w:rFonts w:ascii="Arial" w:eastAsia="Times New Roman" w:hAnsi="Arial" w:cs="Arial"/>
      <w:color w:val="000000"/>
      <w:sz w:val="24"/>
      <w:szCs w:val="24"/>
      <w:lang w:eastAsia="sl-SI"/>
    </w:rPr>
  </w:style>
  <w:style w:type="character" w:styleId="Poudarek">
    <w:name w:val="Emphasis"/>
    <w:uiPriority w:val="20"/>
    <w:qFormat/>
    <w:rsid w:val="00D774EB"/>
    <w:rPr>
      <w:i/>
      <w:iCs/>
    </w:rPr>
  </w:style>
  <w:style w:type="paragraph" w:styleId="Navadensplet">
    <w:name w:val="Normal (Web)"/>
    <w:basedOn w:val="Navaden"/>
    <w:uiPriority w:val="99"/>
    <w:unhideWhenUsed/>
    <w:rsid w:val="00D774EB"/>
    <w:pPr>
      <w:spacing w:before="100" w:beforeAutospacing="1" w:after="100" w:afterAutospacing="1" w:line="240" w:lineRule="auto"/>
    </w:pPr>
    <w:rPr>
      <w:rFonts w:ascii="Times New Roman" w:hAnsi="Times New Roman"/>
      <w:sz w:val="24"/>
      <w:lang w:eastAsia="sl-SI"/>
    </w:rPr>
  </w:style>
  <w:style w:type="paragraph" w:customStyle="1" w:styleId="Besedilo">
    <w:name w:val="Besedilo"/>
    <w:basedOn w:val="Navaden"/>
    <w:link w:val="BesediloZnak"/>
    <w:rsid w:val="00D774EB"/>
    <w:pPr>
      <w:spacing w:after="120" w:line="276" w:lineRule="auto"/>
      <w:contextualSpacing/>
    </w:pPr>
    <w:rPr>
      <w:rFonts w:cs="Arial"/>
      <w:szCs w:val="20"/>
    </w:rPr>
  </w:style>
  <w:style w:type="character" w:customStyle="1" w:styleId="BesediloZnak">
    <w:name w:val="Besedilo Znak"/>
    <w:link w:val="Besedilo"/>
    <w:rsid w:val="00D774EB"/>
    <w:rPr>
      <w:rFonts w:ascii="Arial" w:eastAsia="Times New Roman" w:hAnsi="Arial" w:cs="Arial"/>
      <w:sz w:val="20"/>
      <w:szCs w:val="20"/>
    </w:rPr>
  </w:style>
  <w:style w:type="paragraph" w:styleId="Kazalovsebine1">
    <w:name w:val="toc 1"/>
    <w:basedOn w:val="Navaden"/>
    <w:next w:val="Navaden"/>
    <w:autoRedefine/>
    <w:uiPriority w:val="39"/>
    <w:rsid w:val="00D774EB"/>
    <w:pPr>
      <w:tabs>
        <w:tab w:val="left" w:pos="540"/>
        <w:tab w:val="right" w:leader="dot" w:pos="9072"/>
      </w:tabs>
      <w:spacing w:before="120" w:line="280" w:lineRule="atLeast"/>
      <w:ind w:left="539" w:hanging="539"/>
    </w:pPr>
    <w:rPr>
      <w:b/>
      <w:bCs/>
      <w:caps/>
      <w:szCs w:val="20"/>
      <w:lang w:eastAsia="sl-SI"/>
    </w:rPr>
  </w:style>
  <w:style w:type="paragraph" w:styleId="Kazalovsebine2">
    <w:name w:val="toc 2"/>
    <w:basedOn w:val="Navaden"/>
    <w:next w:val="Navaden"/>
    <w:autoRedefine/>
    <w:uiPriority w:val="39"/>
    <w:rsid w:val="00D774EB"/>
    <w:pPr>
      <w:tabs>
        <w:tab w:val="left" w:pos="900"/>
        <w:tab w:val="right" w:leader="dot" w:pos="9062"/>
      </w:tabs>
      <w:spacing w:before="120" w:line="280" w:lineRule="atLeast"/>
      <w:ind w:left="238"/>
    </w:pPr>
    <w:rPr>
      <w:smallCaps/>
      <w:szCs w:val="20"/>
      <w:lang w:eastAsia="sl-SI"/>
    </w:rPr>
  </w:style>
  <w:style w:type="paragraph" w:styleId="Kazalovsebine3">
    <w:name w:val="toc 3"/>
    <w:basedOn w:val="Navaden"/>
    <w:next w:val="Navaden"/>
    <w:link w:val="Kazalovsebine3Znak"/>
    <w:autoRedefine/>
    <w:uiPriority w:val="39"/>
    <w:qFormat/>
    <w:rsid w:val="00EF10DF"/>
    <w:pPr>
      <w:tabs>
        <w:tab w:val="left" w:pos="1134"/>
        <w:tab w:val="right" w:leader="dot" w:pos="9072"/>
        <w:tab w:val="left" w:pos="9356"/>
      </w:tabs>
      <w:spacing w:before="120" w:line="280" w:lineRule="atLeast"/>
    </w:pPr>
    <w:rPr>
      <w:rFonts w:cs="Arial"/>
      <w:i/>
      <w:iCs/>
      <w:noProof/>
      <w:szCs w:val="20"/>
      <w:lang w:eastAsia="sl-SI"/>
    </w:rPr>
  </w:style>
  <w:style w:type="paragraph" w:styleId="Kazalovsebine4">
    <w:name w:val="toc 4"/>
    <w:basedOn w:val="Navaden"/>
    <w:next w:val="Navaden"/>
    <w:autoRedefine/>
    <w:uiPriority w:val="39"/>
    <w:rsid w:val="00D774EB"/>
    <w:pPr>
      <w:tabs>
        <w:tab w:val="left" w:pos="1440"/>
        <w:tab w:val="right" w:leader="dot" w:pos="9062"/>
      </w:tabs>
      <w:spacing w:before="120" w:line="280" w:lineRule="atLeast"/>
      <w:ind w:left="720"/>
    </w:pPr>
    <w:rPr>
      <w:smallCaps/>
      <w:sz w:val="18"/>
      <w:szCs w:val="18"/>
      <w:lang w:eastAsia="sl-SI"/>
    </w:rPr>
  </w:style>
  <w:style w:type="numbering" w:styleId="111111">
    <w:name w:val="Outline List 2"/>
    <w:basedOn w:val="Brezseznama"/>
    <w:rsid w:val="00D774EB"/>
    <w:pPr>
      <w:numPr>
        <w:numId w:val="4"/>
      </w:numPr>
    </w:pPr>
  </w:style>
  <w:style w:type="paragraph" w:styleId="Besedilooblaka">
    <w:name w:val="Balloon Text"/>
    <w:basedOn w:val="Navaden"/>
    <w:link w:val="BesedilooblakaZnak"/>
    <w:uiPriority w:val="99"/>
    <w:rsid w:val="00D774EB"/>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rsid w:val="00D774EB"/>
    <w:rPr>
      <w:rFonts w:ascii="Tahoma" w:eastAsia="Times New Roman" w:hAnsi="Tahoma" w:cs="Tahoma"/>
      <w:sz w:val="16"/>
      <w:szCs w:val="16"/>
    </w:rPr>
  </w:style>
  <w:style w:type="paragraph" w:styleId="Telobesedila-zamik">
    <w:name w:val="Body Text Indent"/>
    <w:basedOn w:val="Navaden"/>
    <w:link w:val="Telobesedila-zamikZnak"/>
    <w:uiPriority w:val="99"/>
    <w:rsid w:val="00D774EB"/>
    <w:pPr>
      <w:spacing w:line="240" w:lineRule="auto"/>
      <w:ind w:left="720" w:hanging="720"/>
    </w:pPr>
    <w:rPr>
      <w:rFonts w:ascii="Times New Roman" w:hAnsi="Times New Roman"/>
      <w:sz w:val="24"/>
      <w:lang w:val="en-GB"/>
    </w:rPr>
  </w:style>
  <w:style w:type="character" w:customStyle="1" w:styleId="Telobesedila-zamikZnak">
    <w:name w:val="Telo besedila - zamik Znak"/>
    <w:basedOn w:val="Privzetapisavaodstavka"/>
    <w:link w:val="Telobesedila-zamik"/>
    <w:uiPriority w:val="99"/>
    <w:rsid w:val="00D774EB"/>
    <w:rPr>
      <w:rFonts w:ascii="Times New Roman" w:eastAsia="Times New Roman" w:hAnsi="Times New Roman" w:cs="Times New Roman"/>
      <w:sz w:val="24"/>
      <w:szCs w:val="24"/>
      <w:lang w:val="en-GB"/>
    </w:rPr>
  </w:style>
  <w:style w:type="paragraph" w:styleId="Napis">
    <w:name w:val="caption"/>
    <w:basedOn w:val="Navaden"/>
    <w:next w:val="Navaden"/>
    <w:uiPriority w:val="35"/>
    <w:qFormat/>
    <w:rsid w:val="00D774EB"/>
    <w:pPr>
      <w:spacing w:before="120" w:after="120" w:line="240" w:lineRule="auto"/>
    </w:pPr>
    <w:rPr>
      <w:rFonts w:ascii="Times New Roman" w:hAnsi="Times New Roman"/>
      <w:b/>
      <w:bCs/>
      <w:szCs w:val="20"/>
      <w:lang w:val="en-GB" w:eastAsia="en-GB"/>
    </w:rPr>
  </w:style>
  <w:style w:type="paragraph" w:styleId="Kazalovsebine5">
    <w:name w:val="toc 5"/>
    <w:basedOn w:val="Navaden"/>
    <w:next w:val="Navaden"/>
    <w:autoRedefine/>
    <w:uiPriority w:val="39"/>
    <w:unhideWhenUsed/>
    <w:rsid w:val="00D774EB"/>
    <w:pPr>
      <w:spacing w:after="100" w:line="276" w:lineRule="auto"/>
      <w:ind w:left="880"/>
    </w:pPr>
    <w:rPr>
      <w:rFonts w:ascii="Calibri" w:hAnsi="Calibri"/>
      <w:sz w:val="22"/>
      <w:szCs w:val="22"/>
      <w:lang w:val="en-GB" w:eastAsia="en-GB"/>
    </w:rPr>
  </w:style>
  <w:style w:type="paragraph" w:styleId="Kazalovsebine6">
    <w:name w:val="toc 6"/>
    <w:basedOn w:val="Navaden"/>
    <w:next w:val="Navaden"/>
    <w:autoRedefine/>
    <w:uiPriority w:val="39"/>
    <w:unhideWhenUsed/>
    <w:rsid w:val="00D774EB"/>
    <w:pPr>
      <w:spacing w:after="100" w:line="276" w:lineRule="auto"/>
      <w:ind w:left="1100"/>
    </w:pPr>
    <w:rPr>
      <w:rFonts w:ascii="Calibri" w:hAnsi="Calibri"/>
      <w:sz w:val="22"/>
      <w:szCs w:val="22"/>
      <w:lang w:val="en-GB" w:eastAsia="en-GB"/>
    </w:rPr>
  </w:style>
  <w:style w:type="paragraph" w:styleId="Kazalovsebine7">
    <w:name w:val="toc 7"/>
    <w:basedOn w:val="Navaden"/>
    <w:next w:val="Navaden"/>
    <w:autoRedefine/>
    <w:uiPriority w:val="39"/>
    <w:unhideWhenUsed/>
    <w:rsid w:val="00D774EB"/>
    <w:pPr>
      <w:spacing w:after="100" w:line="276" w:lineRule="auto"/>
      <w:ind w:left="1320"/>
    </w:pPr>
    <w:rPr>
      <w:rFonts w:ascii="Calibri" w:hAnsi="Calibri"/>
      <w:sz w:val="22"/>
      <w:szCs w:val="22"/>
      <w:lang w:val="en-GB" w:eastAsia="en-GB"/>
    </w:rPr>
  </w:style>
  <w:style w:type="paragraph" w:styleId="Kazalovsebine8">
    <w:name w:val="toc 8"/>
    <w:basedOn w:val="Navaden"/>
    <w:next w:val="Navaden"/>
    <w:autoRedefine/>
    <w:uiPriority w:val="39"/>
    <w:unhideWhenUsed/>
    <w:rsid w:val="00D774EB"/>
    <w:pPr>
      <w:spacing w:after="100" w:line="276" w:lineRule="auto"/>
      <w:ind w:left="1540"/>
    </w:pPr>
    <w:rPr>
      <w:rFonts w:ascii="Calibri" w:hAnsi="Calibri"/>
      <w:sz w:val="22"/>
      <w:szCs w:val="22"/>
      <w:lang w:val="en-GB" w:eastAsia="en-GB"/>
    </w:rPr>
  </w:style>
  <w:style w:type="paragraph" w:styleId="Kazalovsebine9">
    <w:name w:val="toc 9"/>
    <w:basedOn w:val="Navaden"/>
    <w:next w:val="Navaden"/>
    <w:autoRedefine/>
    <w:uiPriority w:val="39"/>
    <w:unhideWhenUsed/>
    <w:rsid w:val="00D774EB"/>
    <w:pPr>
      <w:spacing w:after="100" w:line="276" w:lineRule="auto"/>
      <w:ind w:left="1760"/>
    </w:pPr>
    <w:rPr>
      <w:rFonts w:ascii="Calibri" w:hAnsi="Calibri"/>
      <w:sz w:val="22"/>
      <w:szCs w:val="22"/>
      <w:lang w:val="en-GB" w:eastAsia="en-GB"/>
    </w:rPr>
  </w:style>
  <w:style w:type="paragraph" w:styleId="Naslov">
    <w:name w:val="Title"/>
    <w:basedOn w:val="Navaden"/>
    <w:next w:val="Navaden"/>
    <w:link w:val="NaslovZnak"/>
    <w:uiPriority w:val="99"/>
    <w:qFormat/>
    <w:rsid w:val="00D774EB"/>
    <w:pPr>
      <w:spacing w:after="300" w:line="240" w:lineRule="auto"/>
      <w:contextualSpacing/>
    </w:pPr>
    <w:rPr>
      <w:rFonts w:ascii="Cambria" w:hAnsi="Cambria"/>
      <w:color w:val="17365D"/>
      <w:spacing w:val="5"/>
      <w:kern w:val="28"/>
      <w:sz w:val="52"/>
      <w:szCs w:val="52"/>
    </w:rPr>
  </w:style>
  <w:style w:type="character" w:customStyle="1" w:styleId="NaslovZnak">
    <w:name w:val="Naslov Znak"/>
    <w:basedOn w:val="Privzetapisavaodstavka"/>
    <w:link w:val="Naslov"/>
    <w:uiPriority w:val="99"/>
    <w:rsid w:val="00D774EB"/>
    <w:rPr>
      <w:rFonts w:ascii="Cambria" w:eastAsia="Times New Roman" w:hAnsi="Cambria" w:cs="Times New Roman"/>
      <w:color w:val="17365D"/>
      <w:spacing w:val="5"/>
      <w:kern w:val="28"/>
      <w:sz w:val="52"/>
      <w:szCs w:val="52"/>
    </w:rPr>
  </w:style>
  <w:style w:type="paragraph" w:styleId="Kazaloslik">
    <w:name w:val="table of figures"/>
    <w:basedOn w:val="Navaden"/>
    <w:next w:val="Navaden"/>
    <w:uiPriority w:val="99"/>
    <w:rsid w:val="00D774EB"/>
  </w:style>
  <w:style w:type="paragraph" w:styleId="Konnaopomba-besedilo">
    <w:name w:val="endnote text"/>
    <w:basedOn w:val="Navaden"/>
    <w:link w:val="Konnaopomba-besediloZnak"/>
    <w:uiPriority w:val="99"/>
    <w:rsid w:val="00D774EB"/>
    <w:rPr>
      <w:szCs w:val="20"/>
    </w:rPr>
  </w:style>
  <w:style w:type="character" w:customStyle="1" w:styleId="Konnaopomba-besediloZnak">
    <w:name w:val="Končna opomba - besedilo Znak"/>
    <w:basedOn w:val="Privzetapisavaodstavka"/>
    <w:link w:val="Konnaopomba-besedilo"/>
    <w:uiPriority w:val="99"/>
    <w:rsid w:val="00D774EB"/>
    <w:rPr>
      <w:rFonts w:ascii="Arial" w:eastAsia="Times New Roman" w:hAnsi="Arial" w:cs="Times New Roman"/>
      <w:sz w:val="20"/>
      <w:szCs w:val="20"/>
    </w:rPr>
  </w:style>
  <w:style w:type="character" w:styleId="Konnaopomba-sklic">
    <w:name w:val="endnote reference"/>
    <w:rsid w:val="00D774EB"/>
    <w:rPr>
      <w:vertAlign w:val="superscript"/>
    </w:rPr>
  </w:style>
  <w:style w:type="paragraph" w:styleId="Sprotnaopomba-besedilo">
    <w:name w:val="footnote text"/>
    <w:basedOn w:val="Navaden"/>
    <w:link w:val="Sprotnaopomba-besediloZnak"/>
    <w:uiPriority w:val="99"/>
    <w:rsid w:val="00D774EB"/>
    <w:rPr>
      <w:szCs w:val="20"/>
    </w:rPr>
  </w:style>
  <w:style w:type="character" w:customStyle="1" w:styleId="Sprotnaopomba-besediloZnak">
    <w:name w:val="Sprotna opomba - besedilo Znak"/>
    <w:basedOn w:val="Privzetapisavaodstavka"/>
    <w:link w:val="Sprotnaopomba-besedilo"/>
    <w:uiPriority w:val="99"/>
    <w:rsid w:val="00D774EB"/>
    <w:rPr>
      <w:rFonts w:ascii="Arial" w:eastAsia="Times New Roman" w:hAnsi="Arial" w:cs="Times New Roman"/>
      <w:sz w:val="20"/>
      <w:szCs w:val="20"/>
    </w:rPr>
  </w:style>
  <w:style w:type="character" w:styleId="Sprotnaopomba-sklic">
    <w:name w:val="footnote reference"/>
    <w:uiPriority w:val="99"/>
    <w:rsid w:val="00D774EB"/>
    <w:rPr>
      <w:vertAlign w:val="superscript"/>
    </w:rPr>
  </w:style>
  <w:style w:type="paragraph" w:styleId="Odstavekseznama">
    <w:name w:val="List Paragraph"/>
    <w:aliases w:val="Bulletpoints,Lista viñetas,List Paragraph compact,Normal bullet 2,Paragraphe de liste 2,Reference list,Bullet list,Numbered List,1st level - Bullet List Paragraph,Lettre d'introduction,Paragraph,Bullet EY,List Paragraph11,Odstavec1"/>
    <w:basedOn w:val="Navaden"/>
    <w:link w:val="OdstavekseznamaZnak"/>
    <w:uiPriority w:val="34"/>
    <w:qFormat/>
    <w:rsid w:val="00D774EB"/>
    <w:pPr>
      <w:ind w:left="720"/>
      <w:contextualSpacing/>
    </w:pPr>
  </w:style>
  <w:style w:type="character" w:customStyle="1" w:styleId="highlight1">
    <w:name w:val="highlight1"/>
    <w:basedOn w:val="Privzetapisavaodstavka"/>
    <w:rsid w:val="00D774EB"/>
    <w:rPr>
      <w:shd w:val="clear" w:color="auto" w:fill="FFFF88"/>
    </w:rPr>
  </w:style>
  <w:style w:type="character" w:styleId="Krepko">
    <w:name w:val="Strong"/>
    <w:basedOn w:val="Privzetapisavaodstavka"/>
    <w:uiPriority w:val="22"/>
    <w:qFormat/>
    <w:rsid w:val="00D774EB"/>
    <w:rPr>
      <w:b/>
      <w:bCs/>
    </w:rPr>
  </w:style>
  <w:style w:type="paragraph" w:customStyle="1" w:styleId="doc-ti">
    <w:name w:val="doc-ti"/>
    <w:basedOn w:val="Navaden"/>
    <w:uiPriority w:val="99"/>
    <w:rsid w:val="00D774EB"/>
    <w:pPr>
      <w:spacing w:before="240" w:after="120" w:line="240" w:lineRule="auto"/>
      <w:jc w:val="center"/>
    </w:pPr>
    <w:rPr>
      <w:rFonts w:ascii="Times New Roman" w:hAnsi="Times New Roman"/>
      <w:b/>
      <w:bCs/>
      <w:sz w:val="24"/>
      <w:lang w:eastAsia="sl-SI"/>
    </w:rPr>
  </w:style>
  <w:style w:type="paragraph" w:customStyle="1" w:styleId="Style5">
    <w:name w:val="Style5"/>
    <w:basedOn w:val="Navaden"/>
    <w:uiPriority w:val="99"/>
    <w:rsid w:val="00D774EB"/>
    <w:pPr>
      <w:widowControl w:val="0"/>
      <w:autoSpaceDE w:val="0"/>
      <w:autoSpaceDN w:val="0"/>
      <w:adjustRightInd w:val="0"/>
      <w:spacing w:line="259" w:lineRule="exact"/>
    </w:pPr>
    <w:rPr>
      <w:rFonts w:eastAsiaTheme="minorEastAsia" w:cs="Arial"/>
      <w:sz w:val="24"/>
      <w:lang w:eastAsia="sl-SI"/>
    </w:rPr>
  </w:style>
  <w:style w:type="character" w:customStyle="1" w:styleId="FontStyle21">
    <w:name w:val="Font Style21"/>
    <w:basedOn w:val="Privzetapisavaodstavka"/>
    <w:uiPriority w:val="99"/>
    <w:rsid w:val="00D774EB"/>
    <w:rPr>
      <w:rFonts w:ascii="Arial" w:hAnsi="Arial" w:cs="Arial"/>
      <w:sz w:val="16"/>
      <w:szCs w:val="16"/>
    </w:rPr>
  </w:style>
  <w:style w:type="paragraph" w:customStyle="1" w:styleId="odstavek">
    <w:name w:val="odstavek"/>
    <w:basedOn w:val="Navaden"/>
    <w:uiPriority w:val="99"/>
    <w:rsid w:val="00D774EB"/>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uiPriority w:val="99"/>
    <w:rsid w:val="00D774EB"/>
    <w:pPr>
      <w:spacing w:before="100" w:beforeAutospacing="1" w:after="100" w:afterAutospacing="1" w:line="240" w:lineRule="auto"/>
    </w:pPr>
    <w:rPr>
      <w:rFonts w:ascii="Times New Roman" w:hAnsi="Times New Roman"/>
      <w:sz w:val="24"/>
      <w:lang w:eastAsia="sl-SI"/>
    </w:rPr>
  </w:style>
  <w:style w:type="paragraph" w:customStyle="1" w:styleId="xl63">
    <w:name w:val="xl63"/>
    <w:basedOn w:val="Navaden"/>
    <w:uiPriority w:val="99"/>
    <w:rsid w:val="00D774EB"/>
    <w:pPr>
      <w:spacing w:before="100" w:beforeAutospacing="1" w:after="100" w:afterAutospacing="1" w:line="240" w:lineRule="auto"/>
    </w:pPr>
    <w:rPr>
      <w:rFonts w:ascii="Times New Roman" w:hAnsi="Times New Roman"/>
      <w:sz w:val="18"/>
      <w:szCs w:val="18"/>
      <w:lang w:eastAsia="sl-SI"/>
    </w:rPr>
  </w:style>
  <w:style w:type="paragraph" w:customStyle="1" w:styleId="xl64">
    <w:name w:val="xl64"/>
    <w:basedOn w:val="Navaden"/>
    <w:uiPriority w:val="99"/>
    <w:rsid w:val="00D774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lang w:eastAsia="sl-SI"/>
    </w:rPr>
  </w:style>
  <w:style w:type="paragraph" w:customStyle="1" w:styleId="xl99">
    <w:name w:val="xl99"/>
    <w:basedOn w:val="Navaden"/>
    <w:rsid w:val="00D774EB"/>
    <w:pPr>
      <w:spacing w:before="100" w:beforeAutospacing="1" w:after="100" w:afterAutospacing="1" w:line="240" w:lineRule="auto"/>
    </w:pPr>
    <w:rPr>
      <w:rFonts w:cs="Arial"/>
      <w:szCs w:val="20"/>
      <w:lang w:eastAsia="sl-SI"/>
    </w:rPr>
  </w:style>
  <w:style w:type="paragraph" w:customStyle="1" w:styleId="xl100">
    <w:name w:val="xl100"/>
    <w:basedOn w:val="Navaden"/>
    <w:rsid w:val="00D774EB"/>
    <w:pPr>
      <w:spacing w:before="100" w:beforeAutospacing="1" w:after="100" w:afterAutospacing="1" w:line="240" w:lineRule="auto"/>
    </w:pPr>
    <w:rPr>
      <w:rFonts w:cs="Arial"/>
      <w:szCs w:val="20"/>
      <w:lang w:eastAsia="sl-SI"/>
    </w:rPr>
  </w:style>
  <w:style w:type="paragraph" w:customStyle="1" w:styleId="xl101">
    <w:name w:val="xl101"/>
    <w:basedOn w:val="Navaden"/>
    <w:rsid w:val="00D774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cs="Arial"/>
      <w:b/>
      <w:bCs/>
      <w:color w:val="000000"/>
      <w:szCs w:val="20"/>
      <w:lang w:eastAsia="sl-SI"/>
    </w:rPr>
  </w:style>
  <w:style w:type="paragraph" w:customStyle="1" w:styleId="xl102">
    <w:name w:val="xl102"/>
    <w:basedOn w:val="Navaden"/>
    <w:rsid w:val="00D774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Cs w:val="20"/>
      <w:lang w:eastAsia="sl-SI"/>
    </w:rPr>
  </w:style>
  <w:style w:type="paragraph" w:customStyle="1" w:styleId="xl103">
    <w:name w:val="xl103"/>
    <w:basedOn w:val="Navaden"/>
    <w:rsid w:val="00D774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Cs w:val="20"/>
      <w:lang w:eastAsia="sl-SI"/>
    </w:rPr>
  </w:style>
  <w:style w:type="paragraph" w:customStyle="1" w:styleId="xl104">
    <w:name w:val="xl104"/>
    <w:basedOn w:val="Navaden"/>
    <w:rsid w:val="00D774EB"/>
    <w:pPr>
      <w:spacing w:before="100" w:beforeAutospacing="1" w:after="100" w:afterAutospacing="1" w:line="240" w:lineRule="auto"/>
    </w:pPr>
    <w:rPr>
      <w:rFonts w:cs="Arial"/>
      <w:szCs w:val="20"/>
      <w:lang w:eastAsia="sl-SI"/>
    </w:rPr>
  </w:style>
  <w:style w:type="paragraph" w:customStyle="1" w:styleId="xl105">
    <w:name w:val="xl105"/>
    <w:basedOn w:val="Navaden"/>
    <w:rsid w:val="00D774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cs="Arial"/>
      <w:color w:val="000000"/>
      <w:szCs w:val="20"/>
      <w:lang w:eastAsia="sl-SI"/>
    </w:rPr>
  </w:style>
  <w:style w:type="paragraph" w:customStyle="1" w:styleId="xl106">
    <w:name w:val="xl106"/>
    <w:basedOn w:val="Navaden"/>
    <w:rsid w:val="00D774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cs="Arial"/>
      <w:b/>
      <w:bCs/>
      <w:color w:val="000000"/>
      <w:szCs w:val="20"/>
      <w:lang w:eastAsia="sl-SI"/>
    </w:rPr>
  </w:style>
  <w:style w:type="paragraph" w:customStyle="1" w:styleId="xl107">
    <w:name w:val="xl107"/>
    <w:basedOn w:val="Navaden"/>
    <w:rsid w:val="00D774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cs="Arial"/>
      <w:b/>
      <w:bCs/>
      <w:color w:val="000000"/>
      <w:szCs w:val="20"/>
      <w:lang w:eastAsia="sl-SI"/>
    </w:rPr>
  </w:style>
  <w:style w:type="paragraph" w:customStyle="1" w:styleId="xl108">
    <w:name w:val="xl108"/>
    <w:basedOn w:val="Navaden"/>
    <w:rsid w:val="00D774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cs="Arial"/>
      <w:b/>
      <w:bCs/>
      <w:color w:val="000000"/>
      <w:szCs w:val="20"/>
      <w:lang w:eastAsia="sl-SI"/>
    </w:rPr>
  </w:style>
  <w:style w:type="paragraph" w:customStyle="1" w:styleId="xl109">
    <w:name w:val="xl109"/>
    <w:basedOn w:val="Navaden"/>
    <w:rsid w:val="00D774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cs="Arial"/>
      <w:szCs w:val="20"/>
      <w:lang w:eastAsia="sl-SI"/>
    </w:rPr>
  </w:style>
  <w:style w:type="paragraph" w:customStyle="1" w:styleId="xl110">
    <w:name w:val="xl110"/>
    <w:basedOn w:val="Navaden"/>
    <w:rsid w:val="00D774E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cs="Arial"/>
      <w:b/>
      <w:bCs/>
      <w:color w:val="000000"/>
      <w:szCs w:val="20"/>
      <w:lang w:eastAsia="sl-SI"/>
    </w:rPr>
  </w:style>
  <w:style w:type="paragraph" w:customStyle="1" w:styleId="xl111">
    <w:name w:val="xl111"/>
    <w:basedOn w:val="Navaden"/>
    <w:rsid w:val="00D774EB"/>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lang w:eastAsia="sl-SI"/>
    </w:rPr>
  </w:style>
  <w:style w:type="paragraph" w:customStyle="1" w:styleId="xl112">
    <w:name w:val="xl112"/>
    <w:basedOn w:val="Navaden"/>
    <w:rsid w:val="00D774EB"/>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lang w:eastAsia="sl-SI"/>
    </w:rPr>
  </w:style>
  <w:style w:type="paragraph" w:customStyle="1" w:styleId="xl113">
    <w:name w:val="xl113"/>
    <w:basedOn w:val="Navaden"/>
    <w:rsid w:val="00D774E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eastAsia="sl-SI"/>
    </w:rPr>
  </w:style>
  <w:style w:type="paragraph" w:customStyle="1" w:styleId="xl114">
    <w:name w:val="xl114"/>
    <w:basedOn w:val="Navaden"/>
    <w:rsid w:val="00D774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b/>
      <w:bCs/>
      <w:color w:val="000000"/>
      <w:szCs w:val="20"/>
      <w:lang w:eastAsia="sl-SI"/>
    </w:rPr>
  </w:style>
  <w:style w:type="paragraph" w:customStyle="1" w:styleId="xl115">
    <w:name w:val="xl115"/>
    <w:basedOn w:val="Navaden"/>
    <w:rsid w:val="00D774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b/>
      <w:bCs/>
      <w:color w:val="000000"/>
      <w:szCs w:val="20"/>
      <w:lang w:eastAsia="sl-SI"/>
    </w:rPr>
  </w:style>
  <w:style w:type="paragraph" w:customStyle="1" w:styleId="xl116">
    <w:name w:val="xl116"/>
    <w:basedOn w:val="Navaden"/>
    <w:rsid w:val="00D774EB"/>
    <w:pPr>
      <w:pBdr>
        <w:top w:val="single" w:sz="4" w:space="0" w:color="auto"/>
        <w:left w:val="single" w:sz="4" w:space="0" w:color="auto"/>
        <w:bottom w:val="single" w:sz="4" w:space="0" w:color="auto"/>
      </w:pBdr>
      <w:spacing w:before="100" w:beforeAutospacing="1" w:after="100" w:afterAutospacing="1" w:line="240" w:lineRule="auto"/>
      <w:jc w:val="center"/>
    </w:pPr>
    <w:rPr>
      <w:rFonts w:cs="Arial"/>
      <w:b/>
      <w:bCs/>
      <w:color w:val="000000"/>
      <w:szCs w:val="20"/>
      <w:lang w:eastAsia="sl-SI"/>
    </w:rPr>
  </w:style>
  <w:style w:type="paragraph" w:customStyle="1" w:styleId="xl117">
    <w:name w:val="xl117"/>
    <w:basedOn w:val="Navaden"/>
    <w:rsid w:val="00D774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color w:val="000000"/>
      <w:szCs w:val="20"/>
      <w:lang w:eastAsia="sl-SI"/>
    </w:rPr>
  </w:style>
  <w:style w:type="paragraph" w:customStyle="1" w:styleId="xl118">
    <w:name w:val="xl118"/>
    <w:basedOn w:val="Navaden"/>
    <w:rsid w:val="00D774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color w:val="000000"/>
      <w:szCs w:val="20"/>
      <w:lang w:eastAsia="sl-SI"/>
    </w:rPr>
  </w:style>
  <w:style w:type="paragraph" w:customStyle="1" w:styleId="xl119">
    <w:name w:val="xl119"/>
    <w:basedOn w:val="Navaden"/>
    <w:rsid w:val="00D774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color w:val="000000"/>
      <w:szCs w:val="20"/>
      <w:lang w:eastAsia="sl-SI"/>
    </w:rPr>
  </w:style>
  <w:style w:type="paragraph" w:customStyle="1" w:styleId="xl120">
    <w:name w:val="xl120"/>
    <w:basedOn w:val="Navaden"/>
    <w:rsid w:val="00D774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cs="Arial"/>
      <w:szCs w:val="20"/>
      <w:lang w:eastAsia="sl-SI"/>
    </w:rPr>
  </w:style>
  <w:style w:type="character" w:styleId="Pripombasklic">
    <w:name w:val="annotation reference"/>
    <w:basedOn w:val="Privzetapisavaodstavka"/>
    <w:rsid w:val="00D774EB"/>
    <w:rPr>
      <w:sz w:val="16"/>
      <w:szCs w:val="16"/>
    </w:rPr>
  </w:style>
  <w:style w:type="paragraph" w:styleId="Pripombabesedilo">
    <w:name w:val="annotation text"/>
    <w:basedOn w:val="Navaden"/>
    <w:link w:val="PripombabesediloZnak"/>
    <w:rsid w:val="00D774EB"/>
    <w:pPr>
      <w:spacing w:line="240" w:lineRule="auto"/>
    </w:pPr>
    <w:rPr>
      <w:szCs w:val="20"/>
    </w:rPr>
  </w:style>
  <w:style w:type="character" w:customStyle="1" w:styleId="PripombabesediloZnak">
    <w:name w:val="Pripomba – besedilo Znak"/>
    <w:basedOn w:val="Privzetapisavaodstavka"/>
    <w:link w:val="Pripombabesedilo"/>
    <w:rsid w:val="00D774EB"/>
    <w:rPr>
      <w:rFonts w:ascii="Arial" w:eastAsia="Times New Roman" w:hAnsi="Arial" w:cs="Times New Roman"/>
      <w:sz w:val="20"/>
      <w:szCs w:val="20"/>
    </w:rPr>
  </w:style>
  <w:style w:type="paragraph" w:styleId="Zadevapripombe">
    <w:name w:val="annotation subject"/>
    <w:basedOn w:val="Pripombabesedilo"/>
    <w:next w:val="Pripombabesedilo"/>
    <w:link w:val="ZadevapripombeZnak"/>
    <w:rsid w:val="00D774EB"/>
    <w:rPr>
      <w:b/>
      <w:bCs/>
    </w:rPr>
  </w:style>
  <w:style w:type="character" w:customStyle="1" w:styleId="ZadevapripombeZnak">
    <w:name w:val="Zadeva pripombe Znak"/>
    <w:basedOn w:val="PripombabesediloZnak"/>
    <w:link w:val="Zadevapripombe"/>
    <w:rsid w:val="00D774EB"/>
    <w:rPr>
      <w:rFonts w:ascii="Arial" w:eastAsia="Times New Roman" w:hAnsi="Arial" w:cs="Times New Roman"/>
      <w:b/>
      <w:bCs/>
      <w:sz w:val="20"/>
      <w:szCs w:val="20"/>
    </w:rPr>
  </w:style>
  <w:style w:type="character" w:customStyle="1" w:styleId="Naslov1Znak1">
    <w:name w:val="Naslov 1 Znak1"/>
    <w:aliases w:val="NASLOV Znak"/>
    <w:basedOn w:val="Privzetapisavaodstavka"/>
    <w:rsid w:val="00D774EB"/>
    <w:rPr>
      <w:rFonts w:asciiTheme="majorHAnsi" w:eastAsiaTheme="majorEastAsia" w:hAnsiTheme="majorHAnsi" w:cstheme="majorBidi"/>
      <w:b/>
      <w:bCs/>
      <w:color w:val="365F91" w:themeColor="accent1" w:themeShade="BF"/>
      <w:sz w:val="28"/>
      <w:szCs w:val="28"/>
      <w:lang w:eastAsia="en-US"/>
    </w:rPr>
  </w:style>
  <w:style w:type="paragraph" w:customStyle="1" w:styleId="xl97">
    <w:name w:val="xl97"/>
    <w:basedOn w:val="Navaden"/>
    <w:rsid w:val="00D774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cs="Arial"/>
      <w:b/>
      <w:bCs/>
      <w:sz w:val="18"/>
      <w:szCs w:val="18"/>
      <w:lang w:eastAsia="sl-SI"/>
    </w:rPr>
  </w:style>
  <w:style w:type="paragraph" w:customStyle="1" w:styleId="xl98">
    <w:name w:val="xl98"/>
    <w:basedOn w:val="Navaden"/>
    <w:rsid w:val="00D774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cs="Arial"/>
      <w:b/>
      <w:bCs/>
      <w:sz w:val="18"/>
      <w:szCs w:val="18"/>
      <w:lang w:eastAsia="sl-SI"/>
    </w:rPr>
  </w:style>
  <w:style w:type="paragraph" w:customStyle="1" w:styleId="Kazaloslikmoje">
    <w:name w:val="Kazalo slik moje"/>
    <w:basedOn w:val="Kazalovsebine3"/>
    <w:link w:val="KazaloslikmojeZnak"/>
    <w:qFormat/>
    <w:rsid w:val="0092172B"/>
  </w:style>
  <w:style w:type="character" w:customStyle="1" w:styleId="Kazalovsebine3Znak">
    <w:name w:val="Kazalo vsebine 3 Znak"/>
    <w:basedOn w:val="Privzetapisavaodstavka"/>
    <w:link w:val="Kazalovsebine3"/>
    <w:uiPriority w:val="39"/>
    <w:rsid w:val="00EF10DF"/>
    <w:rPr>
      <w:rFonts w:ascii="Arial" w:eastAsia="Times New Roman" w:hAnsi="Arial" w:cs="Arial"/>
      <w:i/>
      <w:iCs/>
      <w:noProof/>
      <w:sz w:val="20"/>
      <w:szCs w:val="20"/>
      <w:lang w:eastAsia="sl-SI"/>
    </w:rPr>
  </w:style>
  <w:style w:type="character" w:customStyle="1" w:styleId="KazaloslikmojeZnak">
    <w:name w:val="Kazalo slik moje Znak"/>
    <w:basedOn w:val="Kazalovsebine3Znak"/>
    <w:link w:val="Kazaloslikmoje"/>
    <w:rsid w:val="0092172B"/>
    <w:rPr>
      <w:rFonts w:ascii="Arial" w:eastAsia="Times New Roman" w:hAnsi="Arial" w:cs="Arial"/>
      <w:i/>
      <w:iCs/>
      <w:noProof/>
      <w:sz w:val="20"/>
      <w:szCs w:val="20"/>
      <w:lang w:eastAsia="sl-SI"/>
    </w:rPr>
  </w:style>
  <w:style w:type="paragraph" w:customStyle="1" w:styleId="Odstavek0">
    <w:name w:val="Odstavek"/>
    <w:basedOn w:val="Navaden"/>
    <w:link w:val="OdstavekZnak"/>
    <w:qFormat/>
    <w:rsid w:val="00A26CCB"/>
    <w:pPr>
      <w:overflowPunct w:val="0"/>
      <w:autoSpaceDE w:val="0"/>
      <w:autoSpaceDN w:val="0"/>
      <w:adjustRightInd w:val="0"/>
      <w:spacing w:before="240" w:line="240" w:lineRule="auto"/>
      <w:ind w:firstLine="1021"/>
      <w:textAlignment w:val="baseline"/>
    </w:pPr>
    <w:rPr>
      <w:rFonts w:cs="Arial"/>
      <w:sz w:val="22"/>
      <w:szCs w:val="22"/>
      <w:lang w:eastAsia="sl-SI"/>
    </w:rPr>
  </w:style>
  <w:style w:type="character" w:customStyle="1" w:styleId="OdstavekZnak">
    <w:name w:val="Odstavek Znak"/>
    <w:link w:val="Odstavek0"/>
    <w:rsid w:val="00A26CCB"/>
    <w:rPr>
      <w:rFonts w:ascii="Arial" w:eastAsia="Times New Roman" w:hAnsi="Arial" w:cs="Arial"/>
      <w:lang w:eastAsia="sl-SI"/>
    </w:rPr>
  </w:style>
  <w:style w:type="character" w:customStyle="1" w:styleId="AlineazaodstavkomZnak">
    <w:name w:val="Alinea za odstavkom Znak"/>
    <w:basedOn w:val="Privzetapisavaodstavka"/>
    <w:link w:val="Alineazaodstavkom"/>
    <w:locked/>
    <w:rsid w:val="0090653A"/>
    <w:rPr>
      <w:rFonts w:ascii="Arial" w:eastAsia="Times New Roman" w:hAnsi="Arial" w:cs="Arial"/>
    </w:rPr>
  </w:style>
  <w:style w:type="paragraph" w:customStyle="1" w:styleId="Alineazaodstavkom">
    <w:name w:val="Alinea za odstavkom"/>
    <w:basedOn w:val="Navaden"/>
    <w:link w:val="AlineazaodstavkomZnak"/>
    <w:qFormat/>
    <w:rsid w:val="0090653A"/>
    <w:pPr>
      <w:numPr>
        <w:numId w:val="17"/>
      </w:numPr>
      <w:spacing w:line="240" w:lineRule="auto"/>
    </w:pPr>
    <w:rPr>
      <w:rFonts w:cs="Arial"/>
      <w:sz w:val="22"/>
      <w:szCs w:val="22"/>
    </w:rPr>
  </w:style>
  <w:style w:type="paragraph" w:customStyle="1" w:styleId="tevilnatoka111">
    <w:name w:val="Številčna točka 1.1.1"/>
    <w:basedOn w:val="Navaden"/>
    <w:qFormat/>
    <w:rsid w:val="000B414A"/>
    <w:pPr>
      <w:widowControl w:val="0"/>
      <w:numPr>
        <w:ilvl w:val="2"/>
        <w:numId w:val="16"/>
      </w:numPr>
      <w:overflowPunct w:val="0"/>
      <w:autoSpaceDE w:val="0"/>
      <w:autoSpaceDN w:val="0"/>
      <w:adjustRightInd w:val="0"/>
      <w:spacing w:line="240" w:lineRule="auto"/>
    </w:pPr>
    <w:rPr>
      <w:sz w:val="22"/>
      <w:szCs w:val="16"/>
      <w:lang w:eastAsia="sl-SI"/>
    </w:rPr>
  </w:style>
  <w:style w:type="character" w:customStyle="1" w:styleId="tevilnatokaZnak">
    <w:name w:val="Številčna točka Znak"/>
    <w:basedOn w:val="Privzetapisavaodstavka"/>
    <w:link w:val="tevilnatoka"/>
    <w:locked/>
    <w:rsid w:val="000B414A"/>
    <w:rPr>
      <w:rFonts w:ascii="Arial" w:eastAsia="Times New Roman" w:hAnsi="Arial" w:cs="Arial"/>
    </w:rPr>
  </w:style>
  <w:style w:type="paragraph" w:customStyle="1" w:styleId="tevilnatoka">
    <w:name w:val="Številčna točka"/>
    <w:basedOn w:val="Navaden"/>
    <w:link w:val="tevilnatokaZnak"/>
    <w:qFormat/>
    <w:rsid w:val="000B414A"/>
    <w:pPr>
      <w:numPr>
        <w:numId w:val="16"/>
      </w:numPr>
      <w:spacing w:line="240" w:lineRule="auto"/>
    </w:pPr>
    <w:rPr>
      <w:rFonts w:cs="Arial"/>
      <w:sz w:val="22"/>
      <w:szCs w:val="22"/>
    </w:rPr>
  </w:style>
  <w:style w:type="paragraph" w:customStyle="1" w:styleId="tevilnatoka11Nova">
    <w:name w:val="Številčna točka 1.1 Nova"/>
    <w:basedOn w:val="tevilnatoka"/>
    <w:qFormat/>
    <w:rsid w:val="000B414A"/>
    <w:pPr>
      <w:numPr>
        <w:ilvl w:val="1"/>
      </w:numPr>
      <w:tabs>
        <w:tab w:val="clear" w:pos="425"/>
        <w:tab w:val="num" w:pos="360"/>
        <w:tab w:val="num" w:pos="1992"/>
      </w:tabs>
      <w:ind w:left="1992" w:hanging="432"/>
    </w:pPr>
  </w:style>
  <w:style w:type="paragraph" w:styleId="Revizija">
    <w:name w:val="Revision"/>
    <w:hidden/>
    <w:uiPriority w:val="99"/>
    <w:semiHidden/>
    <w:rsid w:val="004264DD"/>
    <w:pPr>
      <w:spacing w:after="0" w:line="240" w:lineRule="auto"/>
    </w:pPr>
    <w:rPr>
      <w:rFonts w:ascii="Arial" w:eastAsia="Times New Roman" w:hAnsi="Arial" w:cs="Times New Roman"/>
      <w:sz w:val="20"/>
      <w:szCs w:val="24"/>
    </w:rPr>
  </w:style>
  <w:style w:type="character" w:customStyle="1" w:styleId="OdstavekseznamaZnak">
    <w:name w:val="Odstavek seznama Znak"/>
    <w:aliases w:val="Bulletpoints Znak,Lista viñetas Znak,List Paragraph compact Znak,Normal bullet 2 Znak,Paragraphe de liste 2 Znak,Reference list Znak,Bullet list Znak,Numbered List Znak,1st level - Bullet List Paragraph Znak,Paragraph Znak"/>
    <w:link w:val="Odstavekseznama"/>
    <w:uiPriority w:val="34"/>
    <w:qFormat/>
    <w:locked/>
    <w:rsid w:val="009A61B5"/>
    <w:rPr>
      <w:rFonts w:ascii="Arial" w:eastAsia="Times New Roman" w:hAnsi="Arial" w:cs="Times New Roman"/>
      <w:sz w:val="20"/>
      <w:szCs w:val="24"/>
    </w:rPr>
  </w:style>
  <w:style w:type="paragraph" w:styleId="Telobesedila">
    <w:name w:val="Body Text"/>
    <w:basedOn w:val="Navaden"/>
    <w:link w:val="TelobesedilaZnak"/>
    <w:uiPriority w:val="99"/>
    <w:semiHidden/>
    <w:unhideWhenUsed/>
    <w:rsid w:val="00B734C1"/>
    <w:pPr>
      <w:spacing w:after="120"/>
    </w:pPr>
  </w:style>
  <w:style w:type="character" w:customStyle="1" w:styleId="TelobesedilaZnak">
    <w:name w:val="Telo besedila Znak"/>
    <w:basedOn w:val="Privzetapisavaodstavka"/>
    <w:link w:val="Telobesedila"/>
    <w:uiPriority w:val="99"/>
    <w:semiHidden/>
    <w:rsid w:val="00B734C1"/>
    <w:rPr>
      <w:rFonts w:ascii="Arial" w:eastAsia="Times New Roman" w:hAnsi="Arial" w:cs="Times New Roman"/>
      <w:sz w:val="20"/>
      <w:szCs w:val="24"/>
    </w:rPr>
  </w:style>
  <w:style w:type="paragraph" w:customStyle="1" w:styleId="Poglavje">
    <w:name w:val="Poglavje"/>
    <w:basedOn w:val="Navaden"/>
    <w:qFormat/>
    <w:rsid w:val="00B734C1"/>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4375A"/>
    <w:pPr>
      <w:spacing w:after="0" w:line="260" w:lineRule="atLeast"/>
      <w:jc w:val="both"/>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B139B4"/>
    <w:pPr>
      <w:keepNext/>
      <w:numPr>
        <w:numId w:val="1"/>
      </w:numPr>
      <w:tabs>
        <w:tab w:val="clear" w:pos="4330"/>
        <w:tab w:val="num" w:pos="993"/>
      </w:tabs>
      <w:spacing w:before="240" w:after="240" w:line="240" w:lineRule="auto"/>
      <w:ind w:left="709" w:hanging="709"/>
      <w:outlineLvl w:val="0"/>
    </w:pPr>
    <w:rPr>
      <w:rFonts w:cs="Arial"/>
      <w:b/>
      <w:kern w:val="32"/>
      <w:sz w:val="28"/>
      <w:szCs w:val="32"/>
      <w:lang w:eastAsia="sl-SI"/>
    </w:rPr>
  </w:style>
  <w:style w:type="paragraph" w:styleId="Naslov2">
    <w:name w:val="heading 2"/>
    <w:basedOn w:val="Navaden"/>
    <w:next w:val="Navaden"/>
    <w:link w:val="Naslov2Znak"/>
    <w:qFormat/>
    <w:rsid w:val="00C63DDA"/>
    <w:pPr>
      <w:keepNext/>
      <w:numPr>
        <w:ilvl w:val="1"/>
        <w:numId w:val="1"/>
      </w:numPr>
      <w:tabs>
        <w:tab w:val="num" w:pos="709"/>
      </w:tabs>
      <w:spacing w:before="480" w:after="240" w:line="240" w:lineRule="auto"/>
      <w:ind w:left="709" w:hanging="709"/>
      <w:outlineLvl w:val="1"/>
    </w:pPr>
    <w:rPr>
      <w:rFonts w:cs="Arial"/>
      <w:b/>
      <w:bCs/>
      <w:i/>
      <w:iCs/>
      <w:sz w:val="24"/>
      <w:lang w:eastAsia="sl-SI"/>
    </w:rPr>
  </w:style>
  <w:style w:type="paragraph" w:styleId="Naslov3">
    <w:name w:val="heading 3"/>
    <w:basedOn w:val="Navaden"/>
    <w:next w:val="Navaden"/>
    <w:link w:val="Naslov3Znak"/>
    <w:unhideWhenUsed/>
    <w:qFormat/>
    <w:rsid w:val="00C770E5"/>
    <w:pPr>
      <w:keepNext/>
      <w:numPr>
        <w:ilvl w:val="2"/>
        <w:numId w:val="1"/>
      </w:numPr>
      <w:tabs>
        <w:tab w:val="num" w:pos="646"/>
        <w:tab w:val="num" w:pos="851"/>
        <w:tab w:val="num" w:pos="2160"/>
      </w:tabs>
      <w:spacing w:before="360" w:after="240"/>
      <w:ind w:left="902" w:hanging="902"/>
      <w:outlineLvl w:val="2"/>
    </w:pPr>
    <w:rPr>
      <w:rFonts w:cs="Arial"/>
      <w:b/>
      <w:bCs/>
      <w:sz w:val="22"/>
      <w:szCs w:val="22"/>
    </w:rPr>
  </w:style>
  <w:style w:type="paragraph" w:styleId="Naslov4">
    <w:name w:val="heading 4"/>
    <w:basedOn w:val="Navaden"/>
    <w:next w:val="Navaden"/>
    <w:link w:val="Naslov4Znak"/>
    <w:qFormat/>
    <w:rsid w:val="00F56DE2"/>
    <w:pPr>
      <w:tabs>
        <w:tab w:val="left" w:pos="9600"/>
      </w:tabs>
      <w:spacing w:before="120" w:line="280" w:lineRule="atLeast"/>
      <w:outlineLvl w:val="3"/>
    </w:pPr>
    <w:rPr>
      <w:rFonts w:cs="Arial"/>
      <w:szCs w:val="20"/>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1"/>
    <w:basedOn w:val="Privzetapisavaodstavka"/>
    <w:link w:val="Naslov1"/>
    <w:rsid w:val="00B139B4"/>
    <w:rPr>
      <w:rFonts w:ascii="Arial" w:eastAsia="Times New Roman" w:hAnsi="Arial" w:cs="Arial"/>
      <w:b/>
      <w:kern w:val="32"/>
      <w:sz w:val="28"/>
      <w:szCs w:val="32"/>
      <w:lang w:eastAsia="sl-SI"/>
    </w:rPr>
  </w:style>
  <w:style w:type="character" w:customStyle="1" w:styleId="Naslov2Znak">
    <w:name w:val="Naslov 2 Znak"/>
    <w:basedOn w:val="Privzetapisavaodstavka"/>
    <w:link w:val="Naslov2"/>
    <w:rsid w:val="00C63DDA"/>
    <w:rPr>
      <w:rFonts w:ascii="Arial" w:eastAsia="Times New Roman" w:hAnsi="Arial" w:cs="Arial"/>
      <w:b/>
      <w:bCs/>
      <w:i/>
      <w:iCs/>
      <w:sz w:val="24"/>
      <w:szCs w:val="24"/>
      <w:lang w:eastAsia="sl-SI"/>
    </w:rPr>
  </w:style>
  <w:style w:type="character" w:customStyle="1" w:styleId="Naslov3Znak">
    <w:name w:val="Naslov 3 Znak"/>
    <w:basedOn w:val="Privzetapisavaodstavka"/>
    <w:link w:val="Naslov3"/>
    <w:rsid w:val="00C770E5"/>
    <w:rPr>
      <w:rFonts w:ascii="Arial" w:eastAsia="Times New Roman" w:hAnsi="Arial" w:cs="Arial"/>
      <w:b/>
      <w:bCs/>
    </w:rPr>
  </w:style>
  <w:style w:type="character" w:customStyle="1" w:styleId="Naslov4Znak">
    <w:name w:val="Naslov 4 Znak"/>
    <w:basedOn w:val="Privzetapisavaodstavka"/>
    <w:link w:val="Naslov4"/>
    <w:rsid w:val="00F56DE2"/>
    <w:rPr>
      <w:rFonts w:ascii="Arial" w:eastAsia="Times New Roman" w:hAnsi="Arial" w:cs="Arial"/>
      <w:sz w:val="20"/>
      <w:szCs w:val="20"/>
    </w:rPr>
  </w:style>
  <w:style w:type="paragraph" w:styleId="Glava">
    <w:name w:val="header"/>
    <w:basedOn w:val="Navaden"/>
    <w:link w:val="GlavaZnak"/>
    <w:uiPriority w:val="99"/>
    <w:rsid w:val="00D774EB"/>
    <w:pPr>
      <w:tabs>
        <w:tab w:val="center" w:pos="4320"/>
        <w:tab w:val="right" w:pos="8640"/>
      </w:tabs>
    </w:pPr>
  </w:style>
  <w:style w:type="character" w:customStyle="1" w:styleId="GlavaZnak">
    <w:name w:val="Glava Znak"/>
    <w:basedOn w:val="Privzetapisavaodstavka"/>
    <w:link w:val="Glava"/>
    <w:uiPriority w:val="99"/>
    <w:rsid w:val="00D774EB"/>
    <w:rPr>
      <w:rFonts w:ascii="Arial" w:eastAsia="Times New Roman" w:hAnsi="Arial" w:cs="Times New Roman"/>
      <w:sz w:val="20"/>
      <w:szCs w:val="24"/>
    </w:rPr>
  </w:style>
  <w:style w:type="paragraph" w:styleId="Noga">
    <w:name w:val="footer"/>
    <w:basedOn w:val="Navaden"/>
    <w:link w:val="NogaZnak"/>
    <w:uiPriority w:val="99"/>
    <w:rsid w:val="00D774EB"/>
    <w:pPr>
      <w:tabs>
        <w:tab w:val="center" w:pos="4320"/>
        <w:tab w:val="right" w:pos="8640"/>
      </w:tabs>
    </w:pPr>
  </w:style>
  <w:style w:type="character" w:customStyle="1" w:styleId="NogaZnak">
    <w:name w:val="Noga Znak"/>
    <w:basedOn w:val="Privzetapisavaodstavka"/>
    <w:link w:val="Noga"/>
    <w:uiPriority w:val="99"/>
    <w:rsid w:val="00D774EB"/>
    <w:rPr>
      <w:rFonts w:ascii="Arial" w:eastAsia="Times New Roman" w:hAnsi="Arial" w:cs="Times New Roman"/>
      <w:sz w:val="20"/>
      <w:szCs w:val="24"/>
    </w:rPr>
  </w:style>
  <w:style w:type="paragraph" w:styleId="Zgradbadokumenta">
    <w:name w:val="Document Map"/>
    <w:basedOn w:val="Navaden"/>
    <w:link w:val="ZgradbadokumentaZnak"/>
    <w:uiPriority w:val="99"/>
    <w:rsid w:val="00D774EB"/>
    <w:rPr>
      <w:rFonts w:ascii="Tahoma" w:hAnsi="Tahoma" w:cs="Tahoma"/>
      <w:sz w:val="16"/>
      <w:szCs w:val="16"/>
    </w:rPr>
  </w:style>
  <w:style w:type="character" w:customStyle="1" w:styleId="ZgradbadokumentaZnak">
    <w:name w:val="Zgradba dokumenta Znak"/>
    <w:basedOn w:val="Privzetapisavaodstavka"/>
    <w:link w:val="Zgradbadokumenta"/>
    <w:uiPriority w:val="99"/>
    <w:rsid w:val="00D774EB"/>
    <w:rPr>
      <w:rFonts w:ascii="Tahoma" w:eastAsia="Times New Roman" w:hAnsi="Tahoma" w:cs="Tahoma"/>
      <w:sz w:val="16"/>
      <w:szCs w:val="16"/>
    </w:rPr>
  </w:style>
  <w:style w:type="table" w:styleId="Tabelamrea">
    <w:name w:val="Table Grid"/>
    <w:basedOn w:val="Navadnatabela"/>
    <w:uiPriority w:val="39"/>
    <w:rsid w:val="00D774E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qFormat/>
    <w:rsid w:val="00D774EB"/>
    <w:pPr>
      <w:tabs>
        <w:tab w:val="left" w:pos="1701"/>
      </w:tabs>
    </w:pPr>
    <w:rPr>
      <w:szCs w:val="20"/>
      <w:lang w:eastAsia="sl-SI"/>
    </w:rPr>
  </w:style>
  <w:style w:type="paragraph" w:customStyle="1" w:styleId="ZADEVA">
    <w:name w:val="ZADEVA"/>
    <w:basedOn w:val="Navaden"/>
    <w:uiPriority w:val="99"/>
    <w:qFormat/>
    <w:rsid w:val="00D774EB"/>
    <w:pPr>
      <w:tabs>
        <w:tab w:val="left" w:pos="1701"/>
      </w:tabs>
      <w:ind w:left="1701" w:hanging="1701"/>
    </w:pPr>
    <w:rPr>
      <w:b/>
      <w:lang w:val="it-IT"/>
    </w:rPr>
  </w:style>
  <w:style w:type="character" w:styleId="Hiperpovezava">
    <w:name w:val="Hyperlink"/>
    <w:uiPriority w:val="99"/>
    <w:rsid w:val="00D774EB"/>
    <w:rPr>
      <w:color w:val="0000FF"/>
      <w:u w:val="single"/>
    </w:rPr>
  </w:style>
  <w:style w:type="paragraph" w:customStyle="1" w:styleId="podpisi">
    <w:name w:val="podpisi"/>
    <w:basedOn w:val="Navaden"/>
    <w:uiPriority w:val="99"/>
    <w:qFormat/>
    <w:rsid w:val="00D774EB"/>
    <w:pPr>
      <w:tabs>
        <w:tab w:val="left" w:pos="3402"/>
      </w:tabs>
    </w:pPr>
    <w:rPr>
      <w:lang w:val="it-IT"/>
    </w:rPr>
  </w:style>
  <w:style w:type="paragraph" w:customStyle="1" w:styleId="Brezrazmikov1">
    <w:name w:val="Brez razmikov1"/>
    <w:uiPriority w:val="99"/>
    <w:qFormat/>
    <w:rsid w:val="00D774EB"/>
    <w:pPr>
      <w:spacing w:after="0" w:line="240" w:lineRule="auto"/>
    </w:pPr>
    <w:rPr>
      <w:rFonts w:ascii="Calibri" w:eastAsia="Calibri" w:hAnsi="Calibri" w:cs="Times New Roman"/>
    </w:rPr>
  </w:style>
  <w:style w:type="character" w:styleId="SledenaHiperpovezava">
    <w:name w:val="FollowedHyperlink"/>
    <w:uiPriority w:val="99"/>
    <w:rsid w:val="00D774EB"/>
    <w:rPr>
      <w:color w:val="800080"/>
      <w:u w:val="single"/>
    </w:rPr>
  </w:style>
  <w:style w:type="paragraph" w:customStyle="1" w:styleId="Default">
    <w:name w:val="Default"/>
    <w:rsid w:val="00D774EB"/>
    <w:pPr>
      <w:autoSpaceDE w:val="0"/>
      <w:autoSpaceDN w:val="0"/>
      <w:adjustRightInd w:val="0"/>
      <w:spacing w:after="0" w:line="240" w:lineRule="auto"/>
    </w:pPr>
    <w:rPr>
      <w:rFonts w:ascii="Arial" w:eastAsia="Times New Roman" w:hAnsi="Arial" w:cs="Arial"/>
      <w:color w:val="000000"/>
      <w:sz w:val="24"/>
      <w:szCs w:val="24"/>
      <w:lang w:eastAsia="sl-SI"/>
    </w:rPr>
  </w:style>
  <w:style w:type="character" w:styleId="Poudarek">
    <w:name w:val="Emphasis"/>
    <w:uiPriority w:val="20"/>
    <w:qFormat/>
    <w:rsid w:val="00D774EB"/>
    <w:rPr>
      <w:i/>
      <w:iCs/>
    </w:rPr>
  </w:style>
  <w:style w:type="paragraph" w:styleId="Navadensplet">
    <w:name w:val="Normal (Web)"/>
    <w:basedOn w:val="Navaden"/>
    <w:uiPriority w:val="99"/>
    <w:unhideWhenUsed/>
    <w:rsid w:val="00D774EB"/>
    <w:pPr>
      <w:spacing w:before="100" w:beforeAutospacing="1" w:after="100" w:afterAutospacing="1" w:line="240" w:lineRule="auto"/>
    </w:pPr>
    <w:rPr>
      <w:rFonts w:ascii="Times New Roman" w:hAnsi="Times New Roman"/>
      <w:sz w:val="24"/>
      <w:lang w:eastAsia="sl-SI"/>
    </w:rPr>
  </w:style>
  <w:style w:type="paragraph" w:customStyle="1" w:styleId="Besedilo">
    <w:name w:val="Besedilo"/>
    <w:basedOn w:val="Navaden"/>
    <w:link w:val="BesediloZnak"/>
    <w:rsid w:val="00D774EB"/>
    <w:pPr>
      <w:spacing w:after="120" w:line="276" w:lineRule="auto"/>
      <w:contextualSpacing/>
    </w:pPr>
    <w:rPr>
      <w:rFonts w:cs="Arial"/>
      <w:szCs w:val="20"/>
    </w:rPr>
  </w:style>
  <w:style w:type="character" w:customStyle="1" w:styleId="BesediloZnak">
    <w:name w:val="Besedilo Znak"/>
    <w:link w:val="Besedilo"/>
    <w:rsid w:val="00D774EB"/>
    <w:rPr>
      <w:rFonts w:ascii="Arial" w:eastAsia="Times New Roman" w:hAnsi="Arial" w:cs="Arial"/>
      <w:sz w:val="20"/>
      <w:szCs w:val="20"/>
    </w:rPr>
  </w:style>
  <w:style w:type="paragraph" w:styleId="Kazalovsebine1">
    <w:name w:val="toc 1"/>
    <w:basedOn w:val="Navaden"/>
    <w:next w:val="Navaden"/>
    <w:autoRedefine/>
    <w:uiPriority w:val="39"/>
    <w:rsid w:val="00D774EB"/>
    <w:pPr>
      <w:tabs>
        <w:tab w:val="left" w:pos="540"/>
        <w:tab w:val="right" w:leader="dot" w:pos="9072"/>
      </w:tabs>
      <w:spacing w:before="120" w:line="280" w:lineRule="atLeast"/>
      <w:ind w:left="539" w:hanging="539"/>
    </w:pPr>
    <w:rPr>
      <w:b/>
      <w:bCs/>
      <w:caps/>
      <w:szCs w:val="20"/>
      <w:lang w:eastAsia="sl-SI"/>
    </w:rPr>
  </w:style>
  <w:style w:type="paragraph" w:styleId="Kazalovsebine2">
    <w:name w:val="toc 2"/>
    <w:basedOn w:val="Navaden"/>
    <w:next w:val="Navaden"/>
    <w:autoRedefine/>
    <w:uiPriority w:val="39"/>
    <w:rsid w:val="00D774EB"/>
    <w:pPr>
      <w:tabs>
        <w:tab w:val="left" w:pos="900"/>
        <w:tab w:val="right" w:leader="dot" w:pos="9062"/>
      </w:tabs>
      <w:spacing w:before="120" w:line="280" w:lineRule="atLeast"/>
      <w:ind w:left="238"/>
    </w:pPr>
    <w:rPr>
      <w:smallCaps/>
      <w:szCs w:val="20"/>
      <w:lang w:eastAsia="sl-SI"/>
    </w:rPr>
  </w:style>
  <w:style w:type="paragraph" w:styleId="Kazalovsebine3">
    <w:name w:val="toc 3"/>
    <w:basedOn w:val="Navaden"/>
    <w:next w:val="Navaden"/>
    <w:link w:val="Kazalovsebine3Znak"/>
    <w:autoRedefine/>
    <w:uiPriority w:val="39"/>
    <w:qFormat/>
    <w:rsid w:val="00EF10DF"/>
    <w:pPr>
      <w:tabs>
        <w:tab w:val="left" w:pos="1134"/>
        <w:tab w:val="right" w:leader="dot" w:pos="9072"/>
        <w:tab w:val="left" w:pos="9356"/>
      </w:tabs>
      <w:spacing w:before="120" w:line="280" w:lineRule="atLeast"/>
    </w:pPr>
    <w:rPr>
      <w:rFonts w:cs="Arial"/>
      <w:i/>
      <w:iCs/>
      <w:noProof/>
      <w:szCs w:val="20"/>
      <w:lang w:eastAsia="sl-SI"/>
    </w:rPr>
  </w:style>
  <w:style w:type="paragraph" w:styleId="Kazalovsebine4">
    <w:name w:val="toc 4"/>
    <w:basedOn w:val="Navaden"/>
    <w:next w:val="Navaden"/>
    <w:autoRedefine/>
    <w:uiPriority w:val="39"/>
    <w:rsid w:val="00D774EB"/>
    <w:pPr>
      <w:tabs>
        <w:tab w:val="left" w:pos="1440"/>
        <w:tab w:val="right" w:leader="dot" w:pos="9062"/>
      </w:tabs>
      <w:spacing w:before="120" w:line="280" w:lineRule="atLeast"/>
      <w:ind w:left="720"/>
    </w:pPr>
    <w:rPr>
      <w:smallCaps/>
      <w:sz w:val="18"/>
      <w:szCs w:val="18"/>
      <w:lang w:eastAsia="sl-SI"/>
    </w:rPr>
  </w:style>
  <w:style w:type="numbering" w:styleId="111111">
    <w:name w:val="Outline List 2"/>
    <w:basedOn w:val="Brezseznama"/>
    <w:rsid w:val="00D774EB"/>
    <w:pPr>
      <w:numPr>
        <w:numId w:val="4"/>
      </w:numPr>
    </w:pPr>
  </w:style>
  <w:style w:type="paragraph" w:styleId="Besedilooblaka">
    <w:name w:val="Balloon Text"/>
    <w:basedOn w:val="Navaden"/>
    <w:link w:val="BesedilooblakaZnak"/>
    <w:uiPriority w:val="99"/>
    <w:rsid w:val="00D774EB"/>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rsid w:val="00D774EB"/>
    <w:rPr>
      <w:rFonts w:ascii="Tahoma" w:eastAsia="Times New Roman" w:hAnsi="Tahoma" w:cs="Tahoma"/>
      <w:sz w:val="16"/>
      <w:szCs w:val="16"/>
    </w:rPr>
  </w:style>
  <w:style w:type="paragraph" w:styleId="Telobesedila-zamik">
    <w:name w:val="Body Text Indent"/>
    <w:basedOn w:val="Navaden"/>
    <w:link w:val="Telobesedila-zamikZnak"/>
    <w:uiPriority w:val="99"/>
    <w:rsid w:val="00D774EB"/>
    <w:pPr>
      <w:spacing w:line="240" w:lineRule="auto"/>
      <w:ind w:left="720" w:hanging="720"/>
    </w:pPr>
    <w:rPr>
      <w:rFonts w:ascii="Times New Roman" w:hAnsi="Times New Roman"/>
      <w:sz w:val="24"/>
      <w:lang w:val="en-GB"/>
    </w:rPr>
  </w:style>
  <w:style w:type="character" w:customStyle="1" w:styleId="Telobesedila-zamikZnak">
    <w:name w:val="Telo besedila - zamik Znak"/>
    <w:basedOn w:val="Privzetapisavaodstavka"/>
    <w:link w:val="Telobesedila-zamik"/>
    <w:uiPriority w:val="99"/>
    <w:rsid w:val="00D774EB"/>
    <w:rPr>
      <w:rFonts w:ascii="Times New Roman" w:eastAsia="Times New Roman" w:hAnsi="Times New Roman" w:cs="Times New Roman"/>
      <w:sz w:val="24"/>
      <w:szCs w:val="24"/>
      <w:lang w:val="en-GB"/>
    </w:rPr>
  </w:style>
  <w:style w:type="paragraph" w:styleId="Napis">
    <w:name w:val="caption"/>
    <w:basedOn w:val="Navaden"/>
    <w:next w:val="Navaden"/>
    <w:uiPriority w:val="35"/>
    <w:qFormat/>
    <w:rsid w:val="00D774EB"/>
    <w:pPr>
      <w:spacing w:before="120" w:after="120" w:line="240" w:lineRule="auto"/>
    </w:pPr>
    <w:rPr>
      <w:rFonts w:ascii="Times New Roman" w:hAnsi="Times New Roman"/>
      <w:b/>
      <w:bCs/>
      <w:szCs w:val="20"/>
      <w:lang w:val="en-GB" w:eastAsia="en-GB"/>
    </w:rPr>
  </w:style>
  <w:style w:type="paragraph" w:styleId="Kazalovsebine5">
    <w:name w:val="toc 5"/>
    <w:basedOn w:val="Navaden"/>
    <w:next w:val="Navaden"/>
    <w:autoRedefine/>
    <w:uiPriority w:val="39"/>
    <w:unhideWhenUsed/>
    <w:rsid w:val="00D774EB"/>
    <w:pPr>
      <w:spacing w:after="100" w:line="276" w:lineRule="auto"/>
      <w:ind w:left="880"/>
    </w:pPr>
    <w:rPr>
      <w:rFonts w:ascii="Calibri" w:hAnsi="Calibri"/>
      <w:sz w:val="22"/>
      <w:szCs w:val="22"/>
      <w:lang w:val="en-GB" w:eastAsia="en-GB"/>
    </w:rPr>
  </w:style>
  <w:style w:type="paragraph" w:styleId="Kazalovsebine6">
    <w:name w:val="toc 6"/>
    <w:basedOn w:val="Navaden"/>
    <w:next w:val="Navaden"/>
    <w:autoRedefine/>
    <w:uiPriority w:val="39"/>
    <w:unhideWhenUsed/>
    <w:rsid w:val="00D774EB"/>
    <w:pPr>
      <w:spacing w:after="100" w:line="276" w:lineRule="auto"/>
      <w:ind w:left="1100"/>
    </w:pPr>
    <w:rPr>
      <w:rFonts w:ascii="Calibri" w:hAnsi="Calibri"/>
      <w:sz w:val="22"/>
      <w:szCs w:val="22"/>
      <w:lang w:val="en-GB" w:eastAsia="en-GB"/>
    </w:rPr>
  </w:style>
  <w:style w:type="paragraph" w:styleId="Kazalovsebine7">
    <w:name w:val="toc 7"/>
    <w:basedOn w:val="Navaden"/>
    <w:next w:val="Navaden"/>
    <w:autoRedefine/>
    <w:uiPriority w:val="39"/>
    <w:unhideWhenUsed/>
    <w:rsid w:val="00D774EB"/>
    <w:pPr>
      <w:spacing w:after="100" w:line="276" w:lineRule="auto"/>
      <w:ind w:left="1320"/>
    </w:pPr>
    <w:rPr>
      <w:rFonts w:ascii="Calibri" w:hAnsi="Calibri"/>
      <w:sz w:val="22"/>
      <w:szCs w:val="22"/>
      <w:lang w:val="en-GB" w:eastAsia="en-GB"/>
    </w:rPr>
  </w:style>
  <w:style w:type="paragraph" w:styleId="Kazalovsebine8">
    <w:name w:val="toc 8"/>
    <w:basedOn w:val="Navaden"/>
    <w:next w:val="Navaden"/>
    <w:autoRedefine/>
    <w:uiPriority w:val="39"/>
    <w:unhideWhenUsed/>
    <w:rsid w:val="00D774EB"/>
    <w:pPr>
      <w:spacing w:after="100" w:line="276" w:lineRule="auto"/>
      <w:ind w:left="1540"/>
    </w:pPr>
    <w:rPr>
      <w:rFonts w:ascii="Calibri" w:hAnsi="Calibri"/>
      <w:sz w:val="22"/>
      <w:szCs w:val="22"/>
      <w:lang w:val="en-GB" w:eastAsia="en-GB"/>
    </w:rPr>
  </w:style>
  <w:style w:type="paragraph" w:styleId="Kazalovsebine9">
    <w:name w:val="toc 9"/>
    <w:basedOn w:val="Navaden"/>
    <w:next w:val="Navaden"/>
    <w:autoRedefine/>
    <w:uiPriority w:val="39"/>
    <w:unhideWhenUsed/>
    <w:rsid w:val="00D774EB"/>
    <w:pPr>
      <w:spacing w:after="100" w:line="276" w:lineRule="auto"/>
      <w:ind w:left="1760"/>
    </w:pPr>
    <w:rPr>
      <w:rFonts w:ascii="Calibri" w:hAnsi="Calibri"/>
      <w:sz w:val="22"/>
      <w:szCs w:val="22"/>
      <w:lang w:val="en-GB" w:eastAsia="en-GB"/>
    </w:rPr>
  </w:style>
  <w:style w:type="paragraph" w:styleId="Naslov">
    <w:name w:val="Title"/>
    <w:basedOn w:val="Navaden"/>
    <w:next w:val="Navaden"/>
    <w:link w:val="NaslovZnak"/>
    <w:uiPriority w:val="99"/>
    <w:qFormat/>
    <w:rsid w:val="00D774EB"/>
    <w:pPr>
      <w:spacing w:after="300" w:line="240" w:lineRule="auto"/>
      <w:contextualSpacing/>
    </w:pPr>
    <w:rPr>
      <w:rFonts w:ascii="Cambria" w:hAnsi="Cambria"/>
      <w:color w:val="17365D"/>
      <w:spacing w:val="5"/>
      <w:kern w:val="28"/>
      <w:sz w:val="52"/>
      <w:szCs w:val="52"/>
    </w:rPr>
  </w:style>
  <w:style w:type="character" w:customStyle="1" w:styleId="NaslovZnak">
    <w:name w:val="Naslov Znak"/>
    <w:basedOn w:val="Privzetapisavaodstavka"/>
    <w:link w:val="Naslov"/>
    <w:uiPriority w:val="99"/>
    <w:rsid w:val="00D774EB"/>
    <w:rPr>
      <w:rFonts w:ascii="Cambria" w:eastAsia="Times New Roman" w:hAnsi="Cambria" w:cs="Times New Roman"/>
      <w:color w:val="17365D"/>
      <w:spacing w:val="5"/>
      <w:kern w:val="28"/>
      <w:sz w:val="52"/>
      <w:szCs w:val="52"/>
    </w:rPr>
  </w:style>
  <w:style w:type="paragraph" w:styleId="Kazaloslik">
    <w:name w:val="table of figures"/>
    <w:basedOn w:val="Navaden"/>
    <w:next w:val="Navaden"/>
    <w:uiPriority w:val="99"/>
    <w:rsid w:val="00D774EB"/>
  </w:style>
  <w:style w:type="paragraph" w:styleId="Konnaopomba-besedilo">
    <w:name w:val="endnote text"/>
    <w:basedOn w:val="Navaden"/>
    <w:link w:val="Konnaopomba-besediloZnak"/>
    <w:uiPriority w:val="99"/>
    <w:rsid w:val="00D774EB"/>
    <w:rPr>
      <w:szCs w:val="20"/>
    </w:rPr>
  </w:style>
  <w:style w:type="character" w:customStyle="1" w:styleId="Konnaopomba-besediloZnak">
    <w:name w:val="Končna opomba - besedilo Znak"/>
    <w:basedOn w:val="Privzetapisavaodstavka"/>
    <w:link w:val="Konnaopomba-besedilo"/>
    <w:uiPriority w:val="99"/>
    <w:rsid w:val="00D774EB"/>
    <w:rPr>
      <w:rFonts w:ascii="Arial" w:eastAsia="Times New Roman" w:hAnsi="Arial" w:cs="Times New Roman"/>
      <w:sz w:val="20"/>
      <w:szCs w:val="20"/>
    </w:rPr>
  </w:style>
  <w:style w:type="character" w:styleId="Konnaopomba-sklic">
    <w:name w:val="endnote reference"/>
    <w:rsid w:val="00D774EB"/>
    <w:rPr>
      <w:vertAlign w:val="superscript"/>
    </w:rPr>
  </w:style>
  <w:style w:type="paragraph" w:styleId="Sprotnaopomba-besedilo">
    <w:name w:val="footnote text"/>
    <w:basedOn w:val="Navaden"/>
    <w:link w:val="Sprotnaopomba-besediloZnak"/>
    <w:uiPriority w:val="99"/>
    <w:rsid w:val="00D774EB"/>
    <w:rPr>
      <w:szCs w:val="20"/>
    </w:rPr>
  </w:style>
  <w:style w:type="character" w:customStyle="1" w:styleId="Sprotnaopomba-besediloZnak">
    <w:name w:val="Sprotna opomba - besedilo Znak"/>
    <w:basedOn w:val="Privzetapisavaodstavka"/>
    <w:link w:val="Sprotnaopomba-besedilo"/>
    <w:uiPriority w:val="99"/>
    <w:rsid w:val="00D774EB"/>
    <w:rPr>
      <w:rFonts w:ascii="Arial" w:eastAsia="Times New Roman" w:hAnsi="Arial" w:cs="Times New Roman"/>
      <w:sz w:val="20"/>
      <w:szCs w:val="20"/>
    </w:rPr>
  </w:style>
  <w:style w:type="character" w:styleId="Sprotnaopomba-sklic">
    <w:name w:val="footnote reference"/>
    <w:uiPriority w:val="99"/>
    <w:rsid w:val="00D774EB"/>
    <w:rPr>
      <w:vertAlign w:val="superscript"/>
    </w:rPr>
  </w:style>
  <w:style w:type="paragraph" w:styleId="Odstavekseznama">
    <w:name w:val="List Paragraph"/>
    <w:aliases w:val="Bulletpoints,Lista viñetas,List Paragraph compact,Normal bullet 2,Paragraphe de liste 2,Reference list,Bullet list,Numbered List,1st level - Bullet List Paragraph,Lettre d'introduction,Paragraph,Bullet EY,List Paragraph11,Odstavec1"/>
    <w:basedOn w:val="Navaden"/>
    <w:link w:val="OdstavekseznamaZnak"/>
    <w:uiPriority w:val="34"/>
    <w:qFormat/>
    <w:rsid w:val="00D774EB"/>
    <w:pPr>
      <w:ind w:left="720"/>
      <w:contextualSpacing/>
    </w:pPr>
  </w:style>
  <w:style w:type="character" w:customStyle="1" w:styleId="highlight1">
    <w:name w:val="highlight1"/>
    <w:basedOn w:val="Privzetapisavaodstavka"/>
    <w:rsid w:val="00D774EB"/>
    <w:rPr>
      <w:shd w:val="clear" w:color="auto" w:fill="FFFF88"/>
    </w:rPr>
  </w:style>
  <w:style w:type="character" w:styleId="Krepko">
    <w:name w:val="Strong"/>
    <w:basedOn w:val="Privzetapisavaodstavka"/>
    <w:uiPriority w:val="22"/>
    <w:qFormat/>
    <w:rsid w:val="00D774EB"/>
    <w:rPr>
      <w:b/>
      <w:bCs/>
    </w:rPr>
  </w:style>
  <w:style w:type="paragraph" w:customStyle="1" w:styleId="doc-ti">
    <w:name w:val="doc-ti"/>
    <w:basedOn w:val="Navaden"/>
    <w:uiPriority w:val="99"/>
    <w:rsid w:val="00D774EB"/>
    <w:pPr>
      <w:spacing w:before="240" w:after="120" w:line="240" w:lineRule="auto"/>
      <w:jc w:val="center"/>
    </w:pPr>
    <w:rPr>
      <w:rFonts w:ascii="Times New Roman" w:hAnsi="Times New Roman"/>
      <w:b/>
      <w:bCs/>
      <w:sz w:val="24"/>
      <w:lang w:eastAsia="sl-SI"/>
    </w:rPr>
  </w:style>
  <w:style w:type="paragraph" w:customStyle="1" w:styleId="Style5">
    <w:name w:val="Style5"/>
    <w:basedOn w:val="Navaden"/>
    <w:uiPriority w:val="99"/>
    <w:rsid w:val="00D774EB"/>
    <w:pPr>
      <w:widowControl w:val="0"/>
      <w:autoSpaceDE w:val="0"/>
      <w:autoSpaceDN w:val="0"/>
      <w:adjustRightInd w:val="0"/>
      <w:spacing w:line="259" w:lineRule="exact"/>
    </w:pPr>
    <w:rPr>
      <w:rFonts w:eastAsiaTheme="minorEastAsia" w:cs="Arial"/>
      <w:sz w:val="24"/>
      <w:lang w:eastAsia="sl-SI"/>
    </w:rPr>
  </w:style>
  <w:style w:type="character" w:customStyle="1" w:styleId="FontStyle21">
    <w:name w:val="Font Style21"/>
    <w:basedOn w:val="Privzetapisavaodstavka"/>
    <w:uiPriority w:val="99"/>
    <w:rsid w:val="00D774EB"/>
    <w:rPr>
      <w:rFonts w:ascii="Arial" w:hAnsi="Arial" w:cs="Arial"/>
      <w:sz w:val="16"/>
      <w:szCs w:val="16"/>
    </w:rPr>
  </w:style>
  <w:style w:type="paragraph" w:customStyle="1" w:styleId="odstavek">
    <w:name w:val="odstavek"/>
    <w:basedOn w:val="Navaden"/>
    <w:uiPriority w:val="99"/>
    <w:rsid w:val="00D774EB"/>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uiPriority w:val="99"/>
    <w:rsid w:val="00D774EB"/>
    <w:pPr>
      <w:spacing w:before="100" w:beforeAutospacing="1" w:after="100" w:afterAutospacing="1" w:line="240" w:lineRule="auto"/>
    </w:pPr>
    <w:rPr>
      <w:rFonts w:ascii="Times New Roman" w:hAnsi="Times New Roman"/>
      <w:sz w:val="24"/>
      <w:lang w:eastAsia="sl-SI"/>
    </w:rPr>
  </w:style>
  <w:style w:type="paragraph" w:customStyle="1" w:styleId="xl63">
    <w:name w:val="xl63"/>
    <w:basedOn w:val="Navaden"/>
    <w:uiPriority w:val="99"/>
    <w:rsid w:val="00D774EB"/>
    <w:pPr>
      <w:spacing w:before="100" w:beforeAutospacing="1" w:after="100" w:afterAutospacing="1" w:line="240" w:lineRule="auto"/>
    </w:pPr>
    <w:rPr>
      <w:rFonts w:ascii="Times New Roman" w:hAnsi="Times New Roman"/>
      <w:sz w:val="18"/>
      <w:szCs w:val="18"/>
      <w:lang w:eastAsia="sl-SI"/>
    </w:rPr>
  </w:style>
  <w:style w:type="paragraph" w:customStyle="1" w:styleId="xl64">
    <w:name w:val="xl64"/>
    <w:basedOn w:val="Navaden"/>
    <w:uiPriority w:val="99"/>
    <w:rsid w:val="00D774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lang w:eastAsia="sl-SI"/>
    </w:rPr>
  </w:style>
  <w:style w:type="paragraph" w:customStyle="1" w:styleId="xl99">
    <w:name w:val="xl99"/>
    <w:basedOn w:val="Navaden"/>
    <w:rsid w:val="00D774EB"/>
    <w:pPr>
      <w:spacing w:before="100" w:beforeAutospacing="1" w:after="100" w:afterAutospacing="1" w:line="240" w:lineRule="auto"/>
    </w:pPr>
    <w:rPr>
      <w:rFonts w:cs="Arial"/>
      <w:szCs w:val="20"/>
      <w:lang w:eastAsia="sl-SI"/>
    </w:rPr>
  </w:style>
  <w:style w:type="paragraph" w:customStyle="1" w:styleId="xl100">
    <w:name w:val="xl100"/>
    <w:basedOn w:val="Navaden"/>
    <w:rsid w:val="00D774EB"/>
    <w:pPr>
      <w:spacing w:before="100" w:beforeAutospacing="1" w:after="100" w:afterAutospacing="1" w:line="240" w:lineRule="auto"/>
    </w:pPr>
    <w:rPr>
      <w:rFonts w:cs="Arial"/>
      <w:szCs w:val="20"/>
      <w:lang w:eastAsia="sl-SI"/>
    </w:rPr>
  </w:style>
  <w:style w:type="paragraph" w:customStyle="1" w:styleId="xl101">
    <w:name w:val="xl101"/>
    <w:basedOn w:val="Navaden"/>
    <w:rsid w:val="00D774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cs="Arial"/>
      <w:b/>
      <w:bCs/>
      <w:color w:val="000000"/>
      <w:szCs w:val="20"/>
      <w:lang w:eastAsia="sl-SI"/>
    </w:rPr>
  </w:style>
  <w:style w:type="paragraph" w:customStyle="1" w:styleId="xl102">
    <w:name w:val="xl102"/>
    <w:basedOn w:val="Navaden"/>
    <w:rsid w:val="00D774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Cs w:val="20"/>
      <w:lang w:eastAsia="sl-SI"/>
    </w:rPr>
  </w:style>
  <w:style w:type="paragraph" w:customStyle="1" w:styleId="xl103">
    <w:name w:val="xl103"/>
    <w:basedOn w:val="Navaden"/>
    <w:rsid w:val="00D774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Cs w:val="20"/>
      <w:lang w:eastAsia="sl-SI"/>
    </w:rPr>
  </w:style>
  <w:style w:type="paragraph" w:customStyle="1" w:styleId="xl104">
    <w:name w:val="xl104"/>
    <w:basedOn w:val="Navaden"/>
    <w:rsid w:val="00D774EB"/>
    <w:pPr>
      <w:spacing w:before="100" w:beforeAutospacing="1" w:after="100" w:afterAutospacing="1" w:line="240" w:lineRule="auto"/>
    </w:pPr>
    <w:rPr>
      <w:rFonts w:cs="Arial"/>
      <w:szCs w:val="20"/>
      <w:lang w:eastAsia="sl-SI"/>
    </w:rPr>
  </w:style>
  <w:style w:type="paragraph" w:customStyle="1" w:styleId="xl105">
    <w:name w:val="xl105"/>
    <w:basedOn w:val="Navaden"/>
    <w:rsid w:val="00D774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cs="Arial"/>
      <w:color w:val="000000"/>
      <w:szCs w:val="20"/>
      <w:lang w:eastAsia="sl-SI"/>
    </w:rPr>
  </w:style>
  <w:style w:type="paragraph" w:customStyle="1" w:styleId="xl106">
    <w:name w:val="xl106"/>
    <w:basedOn w:val="Navaden"/>
    <w:rsid w:val="00D774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cs="Arial"/>
      <w:b/>
      <w:bCs/>
      <w:color w:val="000000"/>
      <w:szCs w:val="20"/>
      <w:lang w:eastAsia="sl-SI"/>
    </w:rPr>
  </w:style>
  <w:style w:type="paragraph" w:customStyle="1" w:styleId="xl107">
    <w:name w:val="xl107"/>
    <w:basedOn w:val="Navaden"/>
    <w:rsid w:val="00D774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cs="Arial"/>
      <w:b/>
      <w:bCs/>
      <w:color w:val="000000"/>
      <w:szCs w:val="20"/>
      <w:lang w:eastAsia="sl-SI"/>
    </w:rPr>
  </w:style>
  <w:style w:type="paragraph" w:customStyle="1" w:styleId="xl108">
    <w:name w:val="xl108"/>
    <w:basedOn w:val="Navaden"/>
    <w:rsid w:val="00D774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cs="Arial"/>
      <w:b/>
      <w:bCs/>
      <w:color w:val="000000"/>
      <w:szCs w:val="20"/>
      <w:lang w:eastAsia="sl-SI"/>
    </w:rPr>
  </w:style>
  <w:style w:type="paragraph" w:customStyle="1" w:styleId="xl109">
    <w:name w:val="xl109"/>
    <w:basedOn w:val="Navaden"/>
    <w:rsid w:val="00D774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cs="Arial"/>
      <w:szCs w:val="20"/>
      <w:lang w:eastAsia="sl-SI"/>
    </w:rPr>
  </w:style>
  <w:style w:type="paragraph" w:customStyle="1" w:styleId="xl110">
    <w:name w:val="xl110"/>
    <w:basedOn w:val="Navaden"/>
    <w:rsid w:val="00D774E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cs="Arial"/>
      <w:b/>
      <w:bCs/>
      <w:color w:val="000000"/>
      <w:szCs w:val="20"/>
      <w:lang w:eastAsia="sl-SI"/>
    </w:rPr>
  </w:style>
  <w:style w:type="paragraph" w:customStyle="1" w:styleId="xl111">
    <w:name w:val="xl111"/>
    <w:basedOn w:val="Navaden"/>
    <w:rsid w:val="00D774EB"/>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lang w:eastAsia="sl-SI"/>
    </w:rPr>
  </w:style>
  <w:style w:type="paragraph" w:customStyle="1" w:styleId="xl112">
    <w:name w:val="xl112"/>
    <w:basedOn w:val="Navaden"/>
    <w:rsid w:val="00D774EB"/>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lang w:eastAsia="sl-SI"/>
    </w:rPr>
  </w:style>
  <w:style w:type="paragraph" w:customStyle="1" w:styleId="xl113">
    <w:name w:val="xl113"/>
    <w:basedOn w:val="Navaden"/>
    <w:rsid w:val="00D774E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eastAsia="sl-SI"/>
    </w:rPr>
  </w:style>
  <w:style w:type="paragraph" w:customStyle="1" w:styleId="xl114">
    <w:name w:val="xl114"/>
    <w:basedOn w:val="Navaden"/>
    <w:rsid w:val="00D774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b/>
      <w:bCs/>
      <w:color w:val="000000"/>
      <w:szCs w:val="20"/>
      <w:lang w:eastAsia="sl-SI"/>
    </w:rPr>
  </w:style>
  <w:style w:type="paragraph" w:customStyle="1" w:styleId="xl115">
    <w:name w:val="xl115"/>
    <w:basedOn w:val="Navaden"/>
    <w:rsid w:val="00D774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b/>
      <w:bCs/>
      <w:color w:val="000000"/>
      <w:szCs w:val="20"/>
      <w:lang w:eastAsia="sl-SI"/>
    </w:rPr>
  </w:style>
  <w:style w:type="paragraph" w:customStyle="1" w:styleId="xl116">
    <w:name w:val="xl116"/>
    <w:basedOn w:val="Navaden"/>
    <w:rsid w:val="00D774EB"/>
    <w:pPr>
      <w:pBdr>
        <w:top w:val="single" w:sz="4" w:space="0" w:color="auto"/>
        <w:left w:val="single" w:sz="4" w:space="0" w:color="auto"/>
        <w:bottom w:val="single" w:sz="4" w:space="0" w:color="auto"/>
      </w:pBdr>
      <w:spacing w:before="100" w:beforeAutospacing="1" w:after="100" w:afterAutospacing="1" w:line="240" w:lineRule="auto"/>
      <w:jc w:val="center"/>
    </w:pPr>
    <w:rPr>
      <w:rFonts w:cs="Arial"/>
      <w:b/>
      <w:bCs/>
      <w:color w:val="000000"/>
      <w:szCs w:val="20"/>
      <w:lang w:eastAsia="sl-SI"/>
    </w:rPr>
  </w:style>
  <w:style w:type="paragraph" w:customStyle="1" w:styleId="xl117">
    <w:name w:val="xl117"/>
    <w:basedOn w:val="Navaden"/>
    <w:rsid w:val="00D774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color w:val="000000"/>
      <w:szCs w:val="20"/>
      <w:lang w:eastAsia="sl-SI"/>
    </w:rPr>
  </w:style>
  <w:style w:type="paragraph" w:customStyle="1" w:styleId="xl118">
    <w:name w:val="xl118"/>
    <w:basedOn w:val="Navaden"/>
    <w:rsid w:val="00D774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color w:val="000000"/>
      <w:szCs w:val="20"/>
      <w:lang w:eastAsia="sl-SI"/>
    </w:rPr>
  </w:style>
  <w:style w:type="paragraph" w:customStyle="1" w:styleId="xl119">
    <w:name w:val="xl119"/>
    <w:basedOn w:val="Navaden"/>
    <w:rsid w:val="00D774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color w:val="000000"/>
      <w:szCs w:val="20"/>
      <w:lang w:eastAsia="sl-SI"/>
    </w:rPr>
  </w:style>
  <w:style w:type="paragraph" w:customStyle="1" w:styleId="xl120">
    <w:name w:val="xl120"/>
    <w:basedOn w:val="Navaden"/>
    <w:rsid w:val="00D774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cs="Arial"/>
      <w:szCs w:val="20"/>
      <w:lang w:eastAsia="sl-SI"/>
    </w:rPr>
  </w:style>
  <w:style w:type="character" w:styleId="Pripombasklic">
    <w:name w:val="annotation reference"/>
    <w:basedOn w:val="Privzetapisavaodstavka"/>
    <w:rsid w:val="00D774EB"/>
    <w:rPr>
      <w:sz w:val="16"/>
      <w:szCs w:val="16"/>
    </w:rPr>
  </w:style>
  <w:style w:type="paragraph" w:styleId="Pripombabesedilo">
    <w:name w:val="annotation text"/>
    <w:basedOn w:val="Navaden"/>
    <w:link w:val="PripombabesediloZnak"/>
    <w:rsid w:val="00D774EB"/>
    <w:pPr>
      <w:spacing w:line="240" w:lineRule="auto"/>
    </w:pPr>
    <w:rPr>
      <w:szCs w:val="20"/>
    </w:rPr>
  </w:style>
  <w:style w:type="character" w:customStyle="1" w:styleId="PripombabesediloZnak">
    <w:name w:val="Pripomba – besedilo Znak"/>
    <w:basedOn w:val="Privzetapisavaodstavka"/>
    <w:link w:val="Pripombabesedilo"/>
    <w:rsid w:val="00D774EB"/>
    <w:rPr>
      <w:rFonts w:ascii="Arial" w:eastAsia="Times New Roman" w:hAnsi="Arial" w:cs="Times New Roman"/>
      <w:sz w:val="20"/>
      <w:szCs w:val="20"/>
    </w:rPr>
  </w:style>
  <w:style w:type="paragraph" w:styleId="Zadevapripombe">
    <w:name w:val="annotation subject"/>
    <w:basedOn w:val="Pripombabesedilo"/>
    <w:next w:val="Pripombabesedilo"/>
    <w:link w:val="ZadevapripombeZnak"/>
    <w:rsid w:val="00D774EB"/>
    <w:rPr>
      <w:b/>
      <w:bCs/>
    </w:rPr>
  </w:style>
  <w:style w:type="character" w:customStyle="1" w:styleId="ZadevapripombeZnak">
    <w:name w:val="Zadeva pripombe Znak"/>
    <w:basedOn w:val="PripombabesediloZnak"/>
    <w:link w:val="Zadevapripombe"/>
    <w:rsid w:val="00D774EB"/>
    <w:rPr>
      <w:rFonts w:ascii="Arial" w:eastAsia="Times New Roman" w:hAnsi="Arial" w:cs="Times New Roman"/>
      <w:b/>
      <w:bCs/>
      <w:sz w:val="20"/>
      <w:szCs w:val="20"/>
    </w:rPr>
  </w:style>
  <w:style w:type="character" w:customStyle="1" w:styleId="Naslov1Znak1">
    <w:name w:val="Naslov 1 Znak1"/>
    <w:aliases w:val="NASLOV Znak"/>
    <w:basedOn w:val="Privzetapisavaodstavka"/>
    <w:rsid w:val="00D774EB"/>
    <w:rPr>
      <w:rFonts w:asciiTheme="majorHAnsi" w:eastAsiaTheme="majorEastAsia" w:hAnsiTheme="majorHAnsi" w:cstheme="majorBidi"/>
      <w:b/>
      <w:bCs/>
      <w:color w:val="365F91" w:themeColor="accent1" w:themeShade="BF"/>
      <w:sz w:val="28"/>
      <w:szCs w:val="28"/>
      <w:lang w:eastAsia="en-US"/>
    </w:rPr>
  </w:style>
  <w:style w:type="paragraph" w:customStyle="1" w:styleId="xl97">
    <w:name w:val="xl97"/>
    <w:basedOn w:val="Navaden"/>
    <w:rsid w:val="00D774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cs="Arial"/>
      <w:b/>
      <w:bCs/>
      <w:sz w:val="18"/>
      <w:szCs w:val="18"/>
      <w:lang w:eastAsia="sl-SI"/>
    </w:rPr>
  </w:style>
  <w:style w:type="paragraph" w:customStyle="1" w:styleId="xl98">
    <w:name w:val="xl98"/>
    <w:basedOn w:val="Navaden"/>
    <w:rsid w:val="00D774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cs="Arial"/>
      <w:b/>
      <w:bCs/>
      <w:sz w:val="18"/>
      <w:szCs w:val="18"/>
      <w:lang w:eastAsia="sl-SI"/>
    </w:rPr>
  </w:style>
  <w:style w:type="paragraph" w:customStyle="1" w:styleId="Kazaloslikmoje">
    <w:name w:val="Kazalo slik moje"/>
    <w:basedOn w:val="Kazalovsebine3"/>
    <w:link w:val="KazaloslikmojeZnak"/>
    <w:qFormat/>
    <w:rsid w:val="0092172B"/>
  </w:style>
  <w:style w:type="character" w:customStyle="1" w:styleId="Kazalovsebine3Znak">
    <w:name w:val="Kazalo vsebine 3 Znak"/>
    <w:basedOn w:val="Privzetapisavaodstavka"/>
    <w:link w:val="Kazalovsebine3"/>
    <w:uiPriority w:val="39"/>
    <w:rsid w:val="00EF10DF"/>
    <w:rPr>
      <w:rFonts w:ascii="Arial" w:eastAsia="Times New Roman" w:hAnsi="Arial" w:cs="Arial"/>
      <w:i/>
      <w:iCs/>
      <w:noProof/>
      <w:sz w:val="20"/>
      <w:szCs w:val="20"/>
      <w:lang w:eastAsia="sl-SI"/>
    </w:rPr>
  </w:style>
  <w:style w:type="character" w:customStyle="1" w:styleId="KazaloslikmojeZnak">
    <w:name w:val="Kazalo slik moje Znak"/>
    <w:basedOn w:val="Kazalovsebine3Znak"/>
    <w:link w:val="Kazaloslikmoje"/>
    <w:rsid w:val="0092172B"/>
    <w:rPr>
      <w:rFonts w:ascii="Arial" w:eastAsia="Times New Roman" w:hAnsi="Arial" w:cs="Arial"/>
      <w:i/>
      <w:iCs/>
      <w:noProof/>
      <w:sz w:val="20"/>
      <w:szCs w:val="20"/>
      <w:lang w:eastAsia="sl-SI"/>
    </w:rPr>
  </w:style>
  <w:style w:type="paragraph" w:customStyle="1" w:styleId="Odstavek0">
    <w:name w:val="Odstavek"/>
    <w:basedOn w:val="Navaden"/>
    <w:link w:val="OdstavekZnak"/>
    <w:qFormat/>
    <w:rsid w:val="00A26CCB"/>
    <w:pPr>
      <w:overflowPunct w:val="0"/>
      <w:autoSpaceDE w:val="0"/>
      <w:autoSpaceDN w:val="0"/>
      <w:adjustRightInd w:val="0"/>
      <w:spacing w:before="240" w:line="240" w:lineRule="auto"/>
      <w:ind w:firstLine="1021"/>
      <w:textAlignment w:val="baseline"/>
    </w:pPr>
    <w:rPr>
      <w:rFonts w:cs="Arial"/>
      <w:sz w:val="22"/>
      <w:szCs w:val="22"/>
      <w:lang w:eastAsia="sl-SI"/>
    </w:rPr>
  </w:style>
  <w:style w:type="character" w:customStyle="1" w:styleId="OdstavekZnak">
    <w:name w:val="Odstavek Znak"/>
    <w:link w:val="Odstavek0"/>
    <w:rsid w:val="00A26CCB"/>
    <w:rPr>
      <w:rFonts w:ascii="Arial" w:eastAsia="Times New Roman" w:hAnsi="Arial" w:cs="Arial"/>
      <w:lang w:eastAsia="sl-SI"/>
    </w:rPr>
  </w:style>
  <w:style w:type="character" w:customStyle="1" w:styleId="AlineazaodstavkomZnak">
    <w:name w:val="Alinea za odstavkom Znak"/>
    <w:basedOn w:val="Privzetapisavaodstavka"/>
    <w:link w:val="Alineazaodstavkom"/>
    <w:locked/>
    <w:rsid w:val="0090653A"/>
    <w:rPr>
      <w:rFonts w:ascii="Arial" w:eastAsia="Times New Roman" w:hAnsi="Arial" w:cs="Arial"/>
    </w:rPr>
  </w:style>
  <w:style w:type="paragraph" w:customStyle="1" w:styleId="Alineazaodstavkom">
    <w:name w:val="Alinea za odstavkom"/>
    <w:basedOn w:val="Navaden"/>
    <w:link w:val="AlineazaodstavkomZnak"/>
    <w:qFormat/>
    <w:rsid w:val="0090653A"/>
    <w:pPr>
      <w:numPr>
        <w:numId w:val="17"/>
      </w:numPr>
      <w:spacing w:line="240" w:lineRule="auto"/>
    </w:pPr>
    <w:rPr>
      <w:rFonts w:cs="Arial"/>
      <w:sz w:val="22"/>
      <w:szCs w:val="22"/>
    </w:rPr>
  </w:style>
  <w:style w:type="paragraph" w:customStyle="1" w:styleId="tevilnatoka111">
    <w:name w:val="Številčna točka 1.1.1"/>
    <w:basedOn w:val="Navaden"/>
    <w:qFormat/>
    <w:rsid w:val="000B414A"/>
    <w:pPr>
      <w:widowControl w:val="0"/>
      <w:numPr>
        <w:ilvl w:val="2"/>
        <w:numId w:val="16"/>
      </w:numPr>
      <w:overflowPunct w:val="0"/>
      <w:autoSpaceDE w:val="0"/>
      <w:autoSpaceDN w:val="0"/>
      <w:adjustRightInd w:val="0"/>
      <w:spacing w:line="240" w:lineRule="auto"/>
    </w:pPr>
    <w:rPr>
      <w:sz w:val="22"/>
      <w:szCs w:val="16"/>
      <w:lang w:eastAsia="sl-SI"/>
    </w:rPr>
  </w:style>
  <w:style w:type="character" w:customStyle="1" w:styleId="tevilnatokaZnak">
    <w:name w:val="Številčna točka Znak"/>
    <w:basedOn w:val="Privzetapisavaodstavka"/>
    <w:link w:val="tevilnatoka"/>
    <w:locked/>
    <w:rsid w:val="000B414A"/>
    <w:rPr>
      <w:rFonts w:ascii="Arial" w:eastAsia="Times New Roman" w:hAnsi="Arial" w:cs="Arial"/>
    </w:rPr>
  </w:style>
  <w:style w:type="paragraph" w:customStyle="1" w:styleId="tevilnatoka">
    <w:name w:val="Številčna točka"/>
    <w:basedOn w:val="Navaden"/>
    <w:link w:val="tevilnatokaZnak"/>
    <w:qFormat/>
    <w:rsid w:val="000B414A"/>
    <w:pPr>
      <w:numPr>
        <w:numId w:val="16"/>
      </w:numPr>
      <w:spacing w:line="240" w:lineRule="auto"/>
    </w:pPr>
    <w:rPr>
      <w:rFonts w:cs="Arial"/>
      <w:sz w:val="22"/>
      <w:szCs w:val="22"/>
    </w:rPr>
  </w:style>
  <w:style w:type="paragraph" w:customStyle="1" w:styleId="tevilnatoka11Nova">
    <w:name w:val="Številčna točka 1.1 Nova"/>
    <w:basedOn w:val="tevilnatoka"/>
    <w:qFormat/>
    <w:rsid w:val="000B414A"/>
    <w:pPr>
      <w:numPr>
        <w:ilvl w:val="1"/>
      </w:numPr>
      <w:tabs>
        <w:tab w:val="clear" w:pos="425"/>
        <w:tab w:val="num" w:pos="360"/>
        <w:tab w:val="num" w:pos="1992"/>
      </w:tabs>
      <w:ind w:left="1992" w:hanging="432"/>
    </w:pPr>
  </w:style>
  <w:style w:type="paragraph" w:styleId="Revizija">
    <w:name w:val="Revision"/>
    <w:hidden/>
    <w:uiPriority w:val="99"/>
    <w:semiHidden/>
    <w:rsid w:val="004264DD"/>
    <w:pPr>
      <w:spacing w:after="0" w:line="240" w:lineRule="auto"/>
    </w:pPr>
    <w:rPr>
      <w:rFonts w:ascii="Arial" w:eastAsia="Times New Roman" w:hAnsi="Arial" w:cs="Times New Roman"/>
      <w:sz w:val="20"/>
      <w:szCs w:val="24"/>
    </w:rPr>
  </w:style>
  <w:style w:type="character" w:customStyle="1" w:styleId="OdstavekseznamaZnak">
    <w:name w:val="Odstavek seznama Znak"/>
    <w:aliases w:val="Bulletpoints Znak,Lista viñetas Znak,List Paragraph compact Znak,Normal bullet 2 Znak,Paragraphe de liste 2 Znak,Reference list Znak,Bullet list Znak,Numbered List Znak,1st level - Bullet List Paragraph Znak,Paragraph Znak"/>
    <w:link w:val="Odstavekseznama"/>
    <w:uiPriority w:val="34"/>
    <w:qFormat/>
    <w:locked/>
    <w:rsid w:val="009A61B5"/>
    <w:rPr>
      <w:rFonts w:ascii="Arial" w:eastAsia="Times New Roman" w:hAnsi="Arial" w:cs="Times New Roman"/>
      <w:sz w:val="20"/>
      <w:szCs w:val="24"/>
    </w:rPr>
  </w:style>
  <w:style w:type="paragraph" w:styleId="Telobesedila">
    <w:name w:val="Body Text"/>
    <w:basedOn w:val="Navaden"/>
    <w:link w:val="TelobesedilaZnak"/>
    <w:uiPriority w:val="99"/>
    <w:semiHidden/>
    <w:unhideWhenUsed/>
    <w:rsid w:val="00B734C1"/>
    <w:pPr>
      <w:spacing w:after="120"/>
    </w:pPr>
  </w:style>
  <w:style w:type="character" w:customStyle="1" w:styleId="TelobesedilaZnak">
    <w:name w:val="Telo besedila Znak"/>
    <w:basedOn w:val="Privzetapisavaodstavka"/>
    <w:link w:val="Telobesedila"/>
    <w:uiPriority w:val="99"/>
    <w:semiHidden/>
    <w:rsid w:val="00B734C1"/>
    <w:rPr>
      <w:rFonts w:ascii="Arial" w:eastAsia="Times New Roman" w:hAnsi="Arial" w:cs="Times New Roman"/>
      <w:sz w:val="20"/>
      <w:szCs w:val="24"/>
    </w:rPr>
  </w:style>
  <w:style w:type="paragraph" w:customStyle="1" w:styleId="Poglavje">
    <w:name w:val="Poglavje"/>
    <w:basedOn w:val="Navaden"/>
    <w:qFormat/>
    <w:rsid w:val="00B734C1"/>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6940">
      <w:bodyDiv w:val="1"/>
      <w:marLeft w:val="0"/>
      <w:marRight w:val="0"/>
      <w:marTop w:val="0"/>
      <w:marBottom w:val="0"/>
      <w:divBdr>
        <w:top w:val="none" w:sz="0" w:space="0" w:color="auto"/>
        <w:left w:val="none" w:sz="0" w:space="0" w:color="auto"/>
        <w:bottom w:val="none" w:sz="0" w:space="0" w:color="auto"/>
        <w:right w:val="none" w:sz="0" w:space="0" w:color="auto"/>
      </w:divBdr>
    </w:div>
    <w:div w:id="38820447">
      <w:bodyDiv w:val="1"/>
      <w:marLeft w:val="0"/>
      <w:marRight w:val="0"/>
      <w:marTop w:val="0"/>
      <w:marBottom w:val="0"/>
      <w:divBdr>
        <w:top w:val="none" w:sz="0" w:space="0" w:color="auto"/>
        <w:left w:val="none" w:sz="0" w:space="0" w:color="auto"/>
        <w:bottom w:val="none" w:sz="0" w:space="0" w:color="auto"/>
        <w:right w:val="none" w:sz="0" w:space="0" w:color="auto"/>
      </w:divBdr>
    </w:div>
    <w:div w:id="45380073">
      <w:bodyDiv w:val="1"/>
      <w:marLeft w:val="0"/>
      <w:marRight w:val="0"/>
      <w:marTop w:val="0"/>
      <w:marBottom w:val="0"/>
      <w:divBdr>
        <w:top w:val="none" w:sz="0" w:space="0" w:color="auto"/>
        <w:left w:val="none" w:sz="0" w:space="0" w:color="auto"/>
        <w:bottom w:val="none" w:sz="0" w:space="0" w:color="auto"/>
        <w:right w:val="none" w:sz="0" w:space="0" w:color="auto"/>
      </w:divBdr>
    </w:div>
    <w:div w:id="81224572">
      <w:bodyDiv w:val="1"/>
      <w:marLeft w:val="0"/>
      <w:marRight w:val="0"/>
      <w:marTop w:val="0"/>
      <w:marBottom w:val="0"/>
      <w:divBdr>
        <w:top w:val="none" w:sz="0" w:space="0" w:color="auto"/>
        <w:left w:val="none" w:sz="0" w:space="0" w:color="auto"/>
        <w:bottom w:val="none" w:sz="0" w:space="0" w:color="auto"/>
        <w:right w:val="none" w:sz="0" w:space="0" w:color="auto"/>
      </w:divBdr>
    </w:div>
    <w:div w:id="87432888">
      <w:bodyDiv w:val="1"/>
      <w:marLeft w:val="0"/>
      <w:marRight w:val="0"/>
      <w:marTop w:val="0"/>
      <w:marBottom w:val="0"/>
      <w:divBdr>
        <w:top w:val="none" w:sz="0" w:space="0" w:color="auto"/>
        <w:left w:val="none" w:sz="0" w:space="0" w:color="auto"/>
        <w:bottom w:val="none" w:sz="0" w:space="0" w:color="auto"/>
        <w:right w:val="none" w:sz="0" w:space="0" w:color="auto"/>
      </w:divBdr>
    </w:div>
    <w:div w:id="100807713">
      <w:bodyDiv w:val="1"/>
      <w:marLeft w:val="0"/>
      <w:marRight w:val="0"/>
      <w:marTop w:val="0"/>
      <w:marBottom w:val="0"/>
      <w:divBdr>
        <w:top w:val="none" w:sz="0" w:space="0" w:color="auto"/>
        <w:left w:val="none" w:sz="0" w:space="0" w:color="auto"/>
        <w:bottom w:val="none" w:sz="0" w:space="0" w:color="auto"/>
        <w:right w:val="none" w:sz="0" w:space="0" w:color="auto"/>
      </w:divBdr>
    </w:div>
    <w:div w:id="182939156">
      <w:bodyDiv w:val="1"/>
      <w:marLeft w:val="0"/>
      <w:marRight w:val="0"/>
      <w:marTop w:val="0"/>
      <w:marBottom w:val="0"/>
      <w:divBdr>
        <w:top w:val="none" w:sz="0" w:space="0" w:color="auto"/>
        <w:left w:val="none" w:sz="0" w:space="0" w:color="auto"/>
        <w:bottom w:val="none" w:sz="0" w:space="0" w:color="auto"/>
        <w:right w:val="none" w:sz="0" w:space="0" w:color="auto"/>
      </w:divBdr>
    </w:div>
    <w:div w:id="240287669">
      <w:bodyDiv w:val="1"/>
      <w:marLeft w:val="0"/>
      <w:marRight w:val="0"/>
      <w:marTop w:val="0"/>
      <w:marBottom w:val="0"/>
      <w:divBdr>
        <w:top w:val="none" w:sz="0" w:space="0" w:color="auto"/>
        <w:left w:val="none" w:sz="0" w:space="0" w:color="auto"/>
        <w:bottom w:val="none" w:sz="0" w:space="0" w:color="auto"/>
        <w:right w:val="none" w:sz="0" w:space="0" w:color="auto"/>
      </w:divBdr>
    </w:div>
    <w:div w:id="271278993">
      <w:bodyDiv w:val="1"/>
      <w:marLeft w:val="0"/>
      <w:marRight w:val="0"/>
      <w:marTop w:val="0"/>
      <w:marBottom w:val="0"/>
      <w:divBdr>
        <w:top w:val="none" w:sz="0" w:space="0" w:color="auto"/>
        <w:left w:val="none" w:sz="0" w:space="0" w:color="auto"/>
        <w:bottom w:val="none" w:sz="0" w:space="0" w:color="auto"/>
        <w:right w:val="none" w:sz="0" w:space="0" w:color="auto"/>
      </w:divBdr>
    </w:div>
    <w:div w:id="317420702">
      <w:bodyDiv w:val="1"/>
      <w:marLeft w:val="0"/>
      <w:marRight w:val="0"/>
      <w:marTop w:val="0"/>
      <w:marBottom w:val="0"/>
      <w:divBdr>
        <w:top w:val="none" w:sz="0" w:space="0" w:color="auto"/>
        <w:left w:val="none" w:sz="0" w:space="0" w:color="auto"/>
        <w:bottom w:val="none" w:sz="0" w:space="0" w:color="auto"/>
        <w:right w:val="none" w:sz="0" w:space="0" w:color="auto"/>
      </w:divBdr>
    </w:div>
    <w:div w:id="343821608">
      <w:bodyDiv w:val="1"/>
      <w:marLeft w:val="0"/>
      <w:marRight w:val="0"/>
      <w:marTop w:val="0"/>
      <w:marBottom w:val="0"/>
      <w:divBdr>
        <w:top w:val="none" w:sz="0" w:space="0" w:color="auto"/>
        <w:left w:val="none" w:sz="0" w:space="0" w:color="auto"/>
        <w:bottom w:val="none" w:sz="0" w:space="0" w:color="auto"/>
        <w:right w:val="none" w:sz="0" w:space="0" w:color="auto"/>
      </w:divBdr>
    </w:div>
    <w:div w:id="370883056">
      <w:bodyDiv w:val="1"/>
      <w:marLeft w:val="0"/>
      <w:marRight w:val="0"/>
      <w:marTop w:val="0"/>
      <w:marBottom w:val="0"/>
      <w:divBdr>
        <w:top w:val="none" w:sz="0" w:space="0" w:color="auto"/>
        <w:left w:val="none" w:sz="0" w:space="0" w:color="auto"/>
        <w:bottom w:val="none" w:sz="0" w:space="0" w:color="auto"/>
        <w:right w:val="none" w:sz="0" w:space="0" w:color="auto"/>
      </w:divBdr>
    </w:div>
    <w:div w:id="391000574">
      <w:bodyDiv w:val="1"/>
      <w:marLeft w:val="0"/>
      <w:marRight w:val="0"/>
      <w:marTop w:val="0"/>
      <w:marBottom w:val="0"/>
      <w:divBdr>
        <w:top w:val="none" w:sz="0" w:space="0" w:color="auto"/>
        <w:left w:val="none" w:sz="0" w:space="0" w:color="auto"/>
        <w:bottom w:val="none" w:sz="0" w:space="0" w:color="auto"/>
        <w:right w:val="none" w:sz="0" w:space="0" w:color="auto"/>
      </w:divBdr>
    </w:div>
    <w:div w:id="394089156">
      <w:bodyDiv w:val="1"/>
      <w:marLeft w:val="0"/>
      <w:marRight w:val="0"/>
      <w:marTop w:val="0"/>
      <w:marBottom w:val="0"/>
      <w:divBdr>
        <w:top w:val="none" w:sz="0" w:space="0" w:color="auto"/>
        <w:left w:val="none" w:sz="0" w:space="0" w:color="auto"/>
        <w:bottom w:val="none" w:sz="0" w:space="0" w:color="auto"/>
        <w:right w:val="none" w:sz="0" w:space="0" w:color="auto"/>
      </w:divBdr>
    </w:div>
    <w:div w:id="473333249">
      <w:bodyDiv w:val="1"/>
      <w:marLeft w:val="0"/>
      <w:marRight w:val="0"/>
      <w:marTop w:val="0"/>
      <w:marBottom w:val="0"/>
      <w:divBdr>
        <w:top w:val="none" w:sz="0" w:space="0" w:color="auto"/>
        <w:left w:val="none" w:sz="0" w:space="0" w:color="auto"/>
        <w:bottom w:val="none" w:sz="0" w:space="0" w:color="auto"/>
        <w:right w:val="none" w:sz="0" w:space="0" w:color="auto"/>
      </w:divBdr>
    </w:div>
    <w:div w:id="485710281">
      <w:bodyDiv w:val="1"/>
      <w:marLeft w:val="0"/>
      <w:marRight w:val="0"/>
      <w:marTop w:val="0"/>
      <w:marBottom w:val="0"/>
      <w:divBdr>
        <w:top w:val="none" w:sz="0" w:space="0" w:color="auto"/>
        <w:left w:val="none" w:sz="0" w:space="0" w:color="auto"/>
        <w:bottom w:val="none" w:sz="0" w:space="0" w:color="auto"/>
        <w:right w:val="none" w:sz="0" w:space="0" w:color="auto"/>
      </w:divBdr>
    </w:div>
    <w:div w:id="497892688">
      <w:bodyDiv w:val="1"/>
      <w:marLeft w:val="0"/>
      <w:marRight w:val="0"/>
      <w:marTop w:val="0"/>
      <w:marBottom w:val="0"/>
      <w:divBdr>
        <w:top w:val="none" w:sz="0" w:space="0" w:color="auto"/>
        <w:left w:val="none" w:sz="0" w:space="0" w:color="auto"/>
        <w:bottom w:val="none" w:sz="0" w:space="0" w:color="auto"/>
        <w:right w:val="none" w:sz="0" w:space="0" w:color="auto"/>
      </w:divBdr>
    </w:div>
    <w:div w:id="521942168">
      <w:bodyDiv w:val="1"/>
      <w:marLeft w:val="0"/>
      <w:marRight w:val="0"/>
      <w:marTop w:val="0"/>
      <w:marBottom w:val="0"/>
      <w:divBdr>
        <w:top w:val="none" w:sz="0" w:space="0" w:color="auto"/>
        <w:left w:val="none" w:sz="0" w:space="0" w:color="auto"/>
        <w:bottom w:val="none" w:sz="0" w:space="0" w:color="auto"/>
        <w:right w:val="none" w:sz="0" w:space="0" w:color="auto"/>
      </w:divBdr>
    </w:div>
    <w:div w:id="543717681">
      <w:bodyDiv w:val="1"/>
      <w:marLeft w:val="0"/>
      <w:marRight w:val="0"/>
      <w:marTop w:val="0"/>
      <w:marBottom w:val="0"/>
      <w:divBdr>
        <w:top w:val="none" w:sz="0" w:space="0" w:color="auto"/>
        <w:left w:val="none" w:sz="0" w:space="0" w:color="auto"/>
        <w:bottom w:val="none" w:sz="0" w:space="0" w:color="auto"/>
        <w:right w:val="none" w:sz="0" w:space="0" w:color="auto"/>
      </w:divBdr>
    </w:div>
    <w:div w:id="564337528">
      <w:bodyDiv w:val="1"/>
      <w:marLeft w:val="0"/>
      <w:marRight w:val="0"/>
      <w:marTop w:val="0"/>
      <w:marBottom w:val="0"/>
      <w:divBdr>
        <w:top w:val="none" w:sz="0" w:space="0" w:color="auto"/>
        <w:left w:val="none" w:sz="0" w:space="0" w:color="auto"/>
        <w:bottom w:val="none" w:sz="0" w:space="0" w:color="auto"/>
        <w:right w:val="none" w:sz="0" w:space="0" w:color="auto"/>
      </w:divBdr>
    </w:div>
    <w:div w:id="571358358">
      <w:bodyDiv w:val="1"/>
      <w:marLeft w:val="0"/>
      <w:marRight w:val="0"/>
      <w:marTop w:val="0"/>
      <w:marBottom w:val="0"/>
      <w:divBdr>
        <w:top w:val="none" w:sz="0" w:space="0" w:color="auto"/>
        <w:left w:val="none" w:sz="0" w:space="0" w:color="auto"/>
        <w:bottom w:val="none" w:sz="0" w:space="0" w:color="auto"/>
        <w:right w:val="none" w:sz="0" w:space="0" w:color="auto"/>
      </w:divBdr>
    </w:div>
    <w:div w:id="583337601">
      <w:bodyDiv w:val="1"/>
      <w:marLeft w:val="0"/>
      <w:marRight w:val="0"/>
      <w:marTop w:val="0"/>
      <w:marBottom w:val="0"/>
      <w:divBdr>
        <w:top w:val="none" w:sz="0" w:space="0" w:color="auto"/>
        <w:left w:val="none" w:sz="0" w:space="0" w:color="auto"/>
        <w:bottom w:val="none" w:sz="0" w:space="0" w:color="auto"/>
        <w:right w:val="none" w:sz="0" w:space="0" w:color="auto"/>
      </w:divBdr>
    </w:div>
    <w:div w:id="603225354">
      <w:bodyDiv w:val="1"/>
      <w:marLeft w:val="0"/>
      <w:marRight w:val="0"/>
      <w:marTop w:val="0"/>
      <w:marBottom w:val="0"/>
      <w:divBdr>
        <w:top w:val="none" w:sz="0" w:space="0" w:color="auto"/>
        <w:left w:val="none" w:sz="0" w:space="0" w:color="auto"/>
        <w:bottom w:val="none" w:sz="0" w:space="0" w:color="auto"/>
        <w:right w:val="none" w:sz="0" w:space="0" w:color="auto"/>
      </w:divBdr>
    </w:div>
    <w:div w:id="648243554">
      <w:bodyDiv w:val="1"/>
      <w:marLeft w:val="0"/>
      <w:marRight w:val="0"/>
      <w:marTop w:val="0"/>
      <w:marBottom w:val="0"/>
      <w:divBdr>
        <w:top w:val="none" w:sz="0" w:space="0" w:color="auto"/>
        <w:left w:val="none" w:sz="0" w:space="0" w:color="auto"/>
        <w:bottom w:val="none" w:sz="0" w:space="0" w:color="auto"/>
        <w:right w:val="none" w:sz="0" w:space="0" w:color="auto"/>
      </w:divBdr>
    </w:div>
    <w:div w:id="661351509">
      <w:bodyDiv w:val="1"/>
      <w:marLeft w:val="0"/>
      <w:marRight w:val="0"/>
      <w:marTop w:val="0"/>
      <w:marBottom w:val="0"/>
      <w:divBdr>
        <w:top w:val="none" w:sz="0" w:space="0" w:color="auto"/>
        <w:left w:val="none" w:sz="0" w:space="0" w:color="auto"/>
        <w:bottom w:val="none" w:sz="0" w:space="0" w:color="auto"/>
        <w:right w:val="none" w:sz="0" w:space="0" w:color="auto"/>
      </w:divBdr>
    </w:div>
    <w:div w:id="662464857">
      <w:bodyDiv w:val="1"/>
      <w:marLeft w:val="0"/>
      <w:marRight w:val="0"/>
      <w:marTop w:val="0"/>
      <w:marBottom w:val="0"/>
      <w:divBdr>
        <w:top w:val="none" w:sz="0" w:space="0" w:color="auto"/>
        <w:left w:val="none" w:sz="0" w:space="0" w:color="auto"/>
        <w:bottom w:val="none" w:sz="0" w:space="0" w:color="auto"/>
        <w:right w:val="none" w:sz="0" w:space="0" w:color="auto"/>
      </w:divBdr>
    </w:div>
    <w:div w:id="677269377">
      <w:bodyDiv w:val="1"/>
      <w:marLeft w:val="0"/>
      <w:marRight w:val="0"/>
      <w:marTop w:val="0"/>
      <w:marBottom w:val="0"/>
      <w:divBdr>
        <w:top w:val="none" w:sz="0" w:space="0" w:color="auto"/>
        <w:left w:val="none" w:sz="0" w:space="0" w:color="auto"/>
        <w:bottom w:val="none" w:sz="0" w:space="0" w:color="auto"/>
        <w:right w:val="none" w:sz="0" w:space="0" w:color="auto"/>
      </w:divBdr>
    </w:div>
    <w:div w:id="869759509">
      <w:bodyDiv w:val="1"/>
      <w:marLeft w:val="0"/>
      <w:marRight w:val="0"/>
      <w:marTop w:val="0"/>
      <w:marBottom w:val="0"/>
      <w:divBdr>
        <w:top w:val="none" w:sz="0" w:space="0" w:color="auto"/>
        <w:left w:val="none" w:sz="0" w:space="0" w:color="auto"/>
        <w:bottom w:val="none" w:sz="0" w:space="0" w:color="auto"/>
        <w:right w:val="none" w:sz="0" w:space="0" w:color="auto"/>
      </w:divBdr>
    </w:div>
    <w:div w:id="876283135">
      <w:bodyDiv w:val="1"/>
      <w:marLeft w:val="0"/>
      <w:marRight w:val="0"/>
      <w:marTop w:val="0"/>
      <w:marBottom w:val="0"/>
      <w:divBdr>
        <w:top w:val="none" w:sz="0" w:space="0" w:color="auto"/>
        <w:left w:val="none" w:sz="0" w:space="0" w:color="auto"/>
        <w:bottom w:val="none" w:sz="0" w:space="0" w:color="auto"/>
        <w:right w:val="none" w:sz="0" w:space="0" w:color="auto"/>
      </w:divBdr>
    </w:div>
    <w:div w:id="892544799">
      <w:bodyDiv w:val="1"/>
      <w:marLeft w:val="0"/>
      <w:marRight w:val="0"/>
      <w:marTop w:val="0"/>
      <w:marBottom w:val="0"/>
      <w:divBdr>
        <w:top w:val="none" w:sz="0" w:space="0" w:color="auto"/>
        <w:left w:val="none" w:sz="0" w:space="0" w:color="auto"/>
        <w:bottom w:val="none" w:sz="0" w:space="0" w:color="auto"/>
        <w:right w:val="none" w:sz="0" w:space="0" w:color="auto"/>
      </w:divBdr>
    </w:div>
    <w:div w:id="935403196">
      <w:bodyDiv w:val="1"/>
      <w:marLeft w:val="0"/>
      <w:marRight w:val="0"/>
      <w:marTop w:val="0"/>
      <w:marBottom w:val="0"/>
      <w:divBdr>
        <w:top w:val="none" w:sz="0" w:space="0" w:color="auto"/>
        <w:left w:val="none" w:sz="0" w:space="0" w:color="auto"/>
        <w:bottom w:val="none" w:sz="0" w:space="0" w:color="auto"/>
        <w:right w:val="none" w:sz="0" w:space="0" w:color="auto"/>
      </w:divBdr>
    </w:div>
    <w:div w:id="947813193">
      <w:bodyDiv w:val="1"/>
      <w:marLeft w:val="0"/>
      <w:marRight w:val="0"/>
      <w:marTop w:val="0"/>
      <w:marBottom w:val="0"/>
      <w:divBdr>
        <w:top w:val="none" w:sz="0" w:space="0" w:color="auto"/>
        <w:left w:val="none" w:sz="0" w:space="0" w:color="auto"/>
        <w:bottom w:val="none" w:sz="0" w:space="0" w:color="auto"/>
        <w:right w:val="none" w:sz="0" w:space="0" w:color="auto"/>
      </w:divBdr>
    </w:div>
    <w:div w:id="973174394">
      <w:bodyDiv w:val="1"/>
      <w:marLeft w:val="0"/>
      <w:marRight w:val="0"/>
      <w:marTop w:val="0"/>
      <w:marBottom w:val="0"/>
      <w:divBdr>
        <w:top w:val="none" w:sz="0" w:space="0" w:color="auto"/>
        <w:left w:val="none" w:sz="0" w:space="0" w:color="auto"/>
        <w:bottom w:val="none" w:sz="0" w:space="0" w:color="auto"/>
        <w:right w:val="none" w:sz="0" w:space="0" w:color="auto"/>
      </w:divBdr>
    </w:div>
    <w:div w:id="1003044902">
      <w:bodyDiv w:val="1"/>
      <w:marLeft w:val="0"/>
      <w:marRight w:val="0"/>
      <w:marTop w:val="0"/>
      <w:marBottom w:val="0"/>
      <w:divBdr>
        <w:top w:val="none" w:sz="0" w:space="0" w:color="auto"/>
        <w:left w:val="none" w:sz="0" w:space="0" w:color="auto"/>
        <w:bottom w:val="none" w:sz="0" w:space="0" w:color="auto"/>
        <w:right w:val="none" w:sz="0" w:space="0" w:color="auto"/>
      </w:divBdr>
    </w:div>
    <w:div w:id="1053892704">
      <w:bodyDiv w:val="1"/>
      <w:marLeft w:val="0"/>
      <w:marRight w:val="0"/>
      <w:marTop w:val="0"/>
      <w:marBottom w:val="0"/>
      <w:divBdr>
        <w:top w:val="none" w:sz="0" w:space="0" w:color="auto"/>
        <w:left w:val="none" w:sz="0" w:space="0" w:color="auto"/>
        <w:bottom w:val="none" w:sz="0" w:space="0" w:color="auto"/>
        <w:right w:val="none" w:sz="0" w:space="0" w:color="auto"/>
      </w:divBdr>
    </w:div>
    <w:div w:id="1078861956">
      <w:bodyDiv w:val="1"/>
      <w:marLeft w:val="0"/>
      <w:marRight w:val="0"/>
      <w:marTop w:val="0"/>
      <w:marBottom w:val="0"/>
      <w:divBdr>
        <w:top w:val="none" w:sz="0" w:space="0" w:color="auto"/>
        <w:left w:val="none" w:sz="0" w:space="0" w:color="auto"/>
        <w:bottom w:val="none" w:sz="0" w:space="0" w:color="auto"/>
        <w:right w:val="none" w:sz="0" w:space="0" w:color="auto"/>
      </w:divBdr>
    </w:div>
    <w:div w:id="1105266354">
      <w:bodyDiv w:val="1"/>
      <w:marLeft w:val="0"/>
      <w:marRight w:val="0"/>
      <w:marTop w:val="0"/>
      <w:marBottom w:val="0"/>
      <w:divBdr>
        <w:top w:val="none" w:sz="0" w:space="0" w:color="auto"/>
        <w:left w:val="none" w:sz="0" w:space="0" w:color="auto"/>
        <w:bottom w:val="none" w:sz="0" w:space="0" w:color="auto"/>
        <w:right w:val="none" w:sz="0" w:space="0" w:color="auto"/>
      </w:divBdr>
    </w:div>
    <w:div w:id="1116829456">
      <w:bodyDiv w:val="1"/>
      <w:marLeft w:val="0"/>
      <w:marRight w:val="0"/>
      <w:marTop w:val="0"/>
      <w:marBottom w:val="0"/>
      <w:divBdr>
        <w:top w:val="none" w:sz="0" w:space="0" w:color="auto"/>
        <w:left w:val="none" w:sz="0" w:space="0" w:color="auto"/>
        <w:bottom w:val="none" w:sz="0" w:space="0" w:color="auto"/>
        <w:right w:val="none" w:sz="0" w:space="0" w:color="auto"/>
      </w:divBdr>
    </w:div>
    <w:div w:id="1167599081">
      <w:bodyDiv w:val="1"/>
      <w:marLeft w:val="0"/>
      <w:marRight w:val="0"/>
      <w:marTop w:val="0"/>
      <w:marBottom w:val="0"/>
      <w:divBdr>
        <w:top w:val="none" w:sz="0" w:space="0" w:color="auto"/>
        <w:left w:val="none" w:sz="0" w:space="0" w:color="auto"/>
        <w:bottom w:val="none" w:sz="0" w:space="0" w:color="auto"/>
        <w:right w:val="none" w:sz="0" w:space="0" w:color="auto"/>
      </w:divBdr>
    </w:div>
    <w:div w:id="1178546744">
      <w:bodyDiv w:val="1"/>
      <w:marLeft w:val="0"/>
      <w:marRight w:val="0"/>
      <w:marTop w:val="0"/>
      <w:marBottom w:val="0"/>
      <w:divBdr>
        <w:top w:val="none" w:sz="0" w:space="0" w:color="auto"/>
        <w:left w:val="none" w:sz="0" w:space="0" w:color="auto"/>
        <w:bottom w:val="none" w:sz="0" w:space="0" w:color="auto"/>
        <w:right w:val="none" w:sz="0" w:space="0" w:color="auto"/>
      </w:divBdr>
    </w:div>
    <w:div w:id="1178886443">
      <w:bodyDiv w:val="1"/>
      <w:marLeft w:val="0"/>
      <w:marRight w:val="0"/>
      <w:marTop w:val="0"/>
      <w:marBottom w:val="0"/>
      <w:divBdr>
        <w:top w:val="none" w:sz="0" w:space="0" w:color="auto"/>
        <w:left w:val="none" w:sz="0" w:space="0" w:color="auto"/>
        <w:bottom w:val="none" w:sz="0" w:space="0" w:color="auto"/>
        <w:right w:val="none" w:sz="0" w:space="0" w:color="auto"/>
      </w:divBdr>
    </w:div>
    <w:div w:id="1196386376">
      <w:bodyDiv w:val="1"/>
      <w:marLeft w:val="0"/>
      <w:marRight w:val="0"/>
      <w:marTop w:val="0"/>
      <w:marBottom w:val="0"/>
      <w:divBdr>
        <w:top w:val="none" w:sz="0" w:space="0" w:color="auto"/>
        <w:left w:val="none" w:sz="0" w:space="0" w:color="auto"/>
        <w:bottom w:val="none" w:sz="0" w:space="0" w:color="auto"/>
        <w:right w:val="none" w:sz="0" w:space="0" w:color="auto"/>
      </w:divBdr>
    </w:div>
    <w:div w:id="1209339488">
      <w:bodyDiv w:val="1"/>
      <w:marLeft w:val="0"/>
      <w:marRight w:val="0"/>
      <w:marTop w:val="0"/>
      <w:marBottom w:val="0"/>
      <w:divBdr>
        <w:top w:val="none" w:sz="0" w:space="0" w:color="auto"/>
        <w:left w:val="none" w:sz="0" w:space="0" w:color="auto"/>
        <w:bottom w:val="none" w:sz="0" w:space="0" w:color="auto"/>
        <w:right w:val="none" w:sz="0" w:space="0" w:color="auto"/>
      </w:divBdr>
    </w:div>
    <w:div w:id="1223249818">
      <w:bodyDiv w:val="1"/>
      <w:marLeft w:val="0"/>
      <w:marRight w:val="0"/>
      <w:marTop w:val="0"/>
      <w:marBottom w:val="0"/>
      <w:divBdr>
        <w:top w:val="none" w:sz="0" w:space="0" w:color="auto"/>
        <w:left w:val="none" w:sz="0" w:space="0" w:color="auto"/>
        <w:bottom w:val="none" w:sz="0" w:space="0" w:color="auto"/>
        <w:right w:val="none" w:sz="0" w:space="0" w:color="auto"/>
      </w:divBdr>
    </w:div>
    <w:div w:id="1226839567">
      <w:bodyDiv w:val="1"/>
      <w:marLeft w:val="0"/>
      <w:marRight w:val="0"/>
      <w:marTop w:val="0"/>
      <w:marBottom w:val="0"/>
      <w:divBdr>
        <w:top w:val="none" w:sz="0" w:space="0" w:color="auto"/>
        <w:left w:val="none" w:sz="0" w:space="0" w:color="auto"/>
        <w:bottom w:val="none" w:sz="0" w:space="0" w:color="auto"/>
        <w:right w:val="none" w:sz="0" w:space="0" w:color="auto"/>
      </w:divBdr>
      <w:divsChild>
        <w:div w:id="516382351">
          <w:marLeft w:val="274"/>
          <w:marRight w:val="0"/>
          <w:marTop w:val="0"/>
          <w:marBottom w:val="0"/>
          <w:divBdr>
            <w:top w:val="none" w:sz="0" w:space="0" w:color="auto"/>
            <w:left w:val="none" w:sz="0" w:space="0" w:color="auto"/>
            <w:bottom w:val="none" w:sz="0" w:space="0" w:color="auto"/>
            <w:right w:val="none" w:sz="0" w:space="0" w:color="auto"/>
          </w:divBdr>
        </w:div>
        <w:div w:id="958535680">
          <w:marLeft w:val="274"/>
          <w:marRight w:val="0"/>
          <w:marTop w:val="0"/>
          <w:marBottom w:val="0"/>
          <w:divBdr>
            <w:top w:val="none" w:sz="0" w:space="0" w:color="auto"/>
            <w:left w:val="none" w:sz="0" w:space="0" w:color="auto"/>
            <w:bottom w:val="none" w:sz="0" w:space="0" w:color="auto"/>
            <w:right w:val="none" w:sz="0" w:space="0" w:color="auto"/>
          </w:divBdr>
        </w:div>
        <w:div w:id="1535000280">
          <w:marLeft w:val="274"/>
          <w:marRight w:val="0"/>
          <w:marTop w:val="0"/>
          <w:marBottom w:val="0"/>
          <w:divBdr>
            <w:top w:val="none" w:sz="0" w:space="0" w:color="auto"/>
            <w:left w:val="none" w:sz="0" w:space="0" w:color="auto"/>
            <w:bottom w:val="none" w:sz="0" w:space="0" w:color="auto"/>
            <w:right w:val="none" w:sz="0" w:space="0" w:color="auto"/>
          </w:divBdr>
        </w:div>
      </w:divsChild>
    </w:div>
    <w:div w:id="1252004476">
      <w:bodyDiv w:val="1"/>
      <w:marLeft w:val="0"/>
      <w:marRight w:val="0"/>
      <w:marTop w:val="0"/>
      <w:marBottom w:val="0"/>
      <w:divBdr>
        <w:top w:val="none" w:sz="0" w:space="0" w:color="auto"/>
        <w:left w:val="none" w:sz="0" w:space="0" w:color="auto"/>
        <w:bottom w:val="none" w:sz="0" w:space="0" w:color="auto"/>
        <w:right w:val="none" w:sz="0" w:space="0" w:color="auto"/>
      </w:divBdr>
    </w:div>
    <w:div w:id="1268927120">
      <w:bodyDiv w:val="1"/>
      <w:marLeft w:val="0"/>
      <w:marRight w:val="0"/>
      <w:marTop w:val="0"/>
      <w:marBottom w:val="0"/>
      <w:divBdr>
        <w:top w:val="none" w:sz="0" w:space="0" w:color="auto"/>
        <w:left w:val="none" w:sz="0" w:space="0" w:color="auto"/>
        <w:bottom w:val="none" w:sz="0" w:space="0" w:color="auto"/>
        <w:right w:val="none" w:sz="0" w:space="0" w:color="auto"/>
      </w:divBdr>
    </w:div>
    <w:div w:id="1326395151">
      <w:bodyDiv w:val="1"/>
      <w:marLeft w:val="0"/>
      <w:marRight w:val="0"/>
      <w:marTop w:val="0"/>
      <w:marBottom w:val="0"/>
      <w:divBdr>
        <w:top w:val="none" w:sz="0" w:space="0" w:color="auto"/>
        <w:left w:val="none" w:sz="0" w:space="0" w:color="auto"/>
        <w:bottom w:val="none" w:sz="0" w:space="0" w:color="auto"/>
        <w:right w:val="none" w:sz="0" w:space="0" w:color="auto"/>
      </w:divBdr>
    </w:div>
    <w:div w:id="1331257642">
      <w:bodyDiv w:val="1"/>
      <w:marLeft w:val="0"/>
      <w:marRight w:val="0"/>
      <w:marTop w:val="0"/>
      <w:marBottom w:val="0"/>
      <w:divBdr>
        <w:top w:val="none" w:sz="0" w:space="0" w:color="auto"/>
        <w:left w:val="none" w:sz="0" w:space="0" w:color="auto"/>
        <w:bottom w:val="none" w:sz="0" w:space="0" w:color="auto"/>
        <w:right w:val="none" w:sz="0" w:space="0" w:color="auto"/>
      </w:divBdr>
    </w:div>
    <w:div w:id="1336566480">
      <w:bodyDiv w:val="1"/>
      <w:marLeft w:val="0"/>
      <w:marRight w:val="0"/>
      <w:marTop w:val="0"/>
      <w:marBottom w:val="0"/>
      <w:divBdr>
        <w:top w:val="none" w:sz="0" w:space="0" w:color="auto"/>
        <w:left w:val="none" w:sz="0" w:space="0" w:color="auto"/>
        <w:bottom w:val="none" w:sz="0" w:space="0" w:color="auto"/>
        <w:right w:val="none" w:sz="0" w:space="0" w:color="auto"/>
      </w:divBdr>
    </w:div>
    <w:div w:id="1365711279">
      <w:bodyDiv w:val="1"/>
      <w:marLeft w:val="0"/>
      <w:marRight w:val="0"/>
      <w:marTop w:val="0"/>
      <w:marBottom w:val="0"/>
      <w:divBdr>
        <w:top w:val="none" w:sz="0" w:space="0" w:color="auto"/>
        <w:left w:val="none" w:sz="0" w:space="0" w:color="auto"/>
        <w:bottom w:val="none" w:sz="0" w:space="0" w:color="auto"/>
        <w:right w:val="none" w:sz="0" w:space="0" w:color="auto"/>
      </w:divBdr>
    </w:div>
    <w:div w:id="1370494315">
      <w:bodyDiv w:val="1"/>
      <w:marLeft w:val="0"/>
      <w:marRight w:val="0"/>
      <w:marTop w:val="0"/>
      <w:marBottom w:val="0"/>
      <w:divBdr>
        <w:top w:val="none" w:sz="0" w:space="0" w:color="auto"/>
        <w:left w:val="none" w:sz="0" w:space="0" w:color="auto"/>
        <w:bottom w:val="none" w:sz="0" w:space="0" w:color="auto"/>
        <w:right w:val="none" w:sz="0" w:space="0" w:color="auto"/>
      </w:divBdr>
    </w:div>
    <w:div w:id="1377664037">
      <w:bodyDiv w:val="1"/>
      <w:marLeft w:val="0"/>
      <w:marRight w:val="0"/>
      <w:marTop w:val="0"/>
      <w:marBottom w:val="0"/>
      <w:divBdr>
        <w:top w:val="none" w:sz="0" w:space="0" w:color="auto"/>
        <w:left w:val="none" w:sz="0" w:space="0" w:color="auto"/>
        <w:bottom w:val="none" w:sz="0" w:space="0" w:color="auto"/>
        <w:right w:val="none" w:sz="0" w:space="0" w:color="auto"/>
      </w:divBdr>
    </w:div>
    <w:div w:id="1387291296">
      <w:bodyDiv w:val="1"/>
      <w:marLeft w:val="0"/>
      <w:marRight w:val="0"/>
      <w:marTop w:val="0"/>
      <w:marBottom w:val="0"/>
      <w:divBdr>
        <w:top w:val="none" w:sz="0" w:space="0" w:color="auto"/>
        <w:left w:val="none" w:sz="0" w:space="0" w:color="auto"/>
        <w:bottom w:val="none" w:sz="0" w:space="0" w:color="auto"/>
        <w:right w:val="none" w:sz="0" w:space="0" w:color="auto"/>
      </w:divBdr>
    </w:div>
    <w:div w:id="1406606904">
      <w:bodyDiv w:val="1"/>
      <w:marLeft w:val="0"/>
      <w:marRight w:val="0"/>
      <w:marTop w:val="0"/>
      <w:marBottom w:val="0"/>
      <w:divBdr>
        <w:top w:val="none" w:sz="0" w:space="0" w:color="auto"/>
        <w:left w:val="none" w:sz="0" w:space="0" w:color="auto"/>
        <w:bottom w:val="none" w:sz="0" w:space="0" w:color="auto"/>
        <w:right w:val="none" w:sz="0" w:space="0" w:color="auto"/>
      </w:divBdr>
    </w:div>
    <w:div w:id="1406756222">
      <w:bodyDiv w:val="1"/>
      <w:marLeft w:val="0"/>
      <w:marRight w:val="0"/>
      <w:marTop w:val="0"/>
      <w:marBottom w:val="0"/>
      <w:divBdr>
        <w:top w:val="none" w:sz="0" w:space="0" w:color="auto"/>
        <w:left w:val="none" w:sz="0" w:space="0" w:color="auto"/>
        <w:bottom w:val="none" w:sz="0" w:space="0" w:color="auto"/>
        <w:right w:val="none" w:sz="0" w:space="0" w:color="auto"/>
      </w:divBdr>
    </w:div>
    <w:div w:id="1429156885">
      <w:bodyDiv w:val="1"/>
      <w:marLeft w:val="0"/>
      <w:marRight w:val="0"/>
      <w:marTop w:val="0"/>
      <w:marBottom w:val="0"/>
      <w:divBdr>
        <w:top w:val="none" w:sz="0" w:space="0" w:color="auto"/>
        <w:left w:val="none" w:sz="0" w:space="0" w:color="auto"/>
        <w:bottom w:val="none" w:sz="0" w:space="0" w:color="auto"/>
        <w:right w:val="none" w:sz="0" w:space="0" w:color="auto"/>
      </w:divBdr>
    </w:div>
    <w:div w:id="1441603623">
      <w:bodyDiv w:val="1"/>
      <w:marLeft w:val="0"/>
      <w:marRight w:val="0"/>
      <w:marTop w:val="0"/>
      <w:marBottom w:val="0"/>
      <w:divBdr>
        <w:top w:val="none" w:sz="0" w:space="0" w:color="auto"/>
        <w:left w:val="none" w:sz="0" w:space="0" w:color="auto"/>
        <w:bottom w:val="none" w:sz="0" w:space="0" w:color="auto"/>
        <w:right w:val="none" w:sz="0" w:space="0" w:color="auto"/>
      </w:divBdr>
    </w:div>
    <w:div w:id="1472793711">
      <w:bodyDiv w:val="1"/>
      <w:marLeft w:val="0"/>
      <w:marRight w:val="0"/>
      <w:marTop w:val="0"/>
      <w:marBottom w:val="0"/>
      <w:divBdr>
        <w:top w:val="none" w:sz="0" w:space="0" w:color="auto"/>
        <w:left w:val="none" w:sz="0" w:space="0" w:color="auto"/>
        <w:bottom w:val="none" w:sz="0" w:space="0" w:color="auto"/>
        <w:right w:val="none" w:sz="0" w:space="0" w:color="auto"/>
      </w:divBdr>
    </w:div>
    <w:div w:id="1480072799">
      <w:bodyDiv w:val="1"/>
      <w:marLeft w:val="0"/>
      <w:marRight w:val="0"/>
      <w:marTop w:val="0"/>
      <w:marBottom w:val="0"/>
      <w:divBdr>
        <w:top w:val="none" w:sz="0" w:space="0" w:color="auto"/>
        <w:left w:val="none" w:sz="0" w:space="0" w:color="auto"/>
        <w:bottom w:val="none" w:sz="0" w:space="0" w:color="auto"/>
        <w:right w:val="none" w:sz="0" w:space="0" w:color="auto"/>
      </w:divBdr>
    </w:div>
    <w:div w:id="1509558982">
      <w:bodyDiv w:val="1"/>
      <w:marLeft w:val="0"/>
      <w:marRight w:val="0"/>
      <w:marTop w:val="0"/>
      <w:marBottom w:val="0"/>
      <w:divBdr>
        <w:top w:val="none" w:sz="0" w:space="0" w:color="auto"/>
        <w:left w:val="none" w:sz="0" w:space="0" w:color="auto"/>
        <w:bottom w:val="none" w:sz="0" w:space="0" w:color="auto"/>
        <w:right w:val="none" w:sz="0" w:space="0" w:color="auto"/>
      </w:divBdr>
    </w:div>
    <w:div w:id="1531333790">
      <w:bodyDiv w:val="1"/>
      <w:marLeft w:val="0"/>
      <w:marRight w:val="0"/>
      <w:marTop w:val="0"/>
      <w:marBottom w:val="0"/>
      <w:divBdr>
        <w:top w:val="none" w:sz="0" w:space="0" w:color="auto"/>
        <w:left w:val="none" w:sz="0" w:space="0" w:color="auto"/>
        <w:bottom w:val="none" w:sz="0" w:space="0" w:color="auto"/>
        <w:right w:val="none" w:sz="0" w:space="0" w:color="auto"/>
      </w:divBdr>
    </w:div>
    <w:div w:id="1536193190">
      <w:bodyDiv w:val="1"/>
      <w:marLeft w:val="0"/>
      <w:marRight w:val="0"/>
      <w:marTop w:val="0"/>
      <w:marBottom w:val="0"/>
      <w:divBdr>
        <w:top w:val="none" w:sz="0" w:space="0" w:color="auto"/>
        <w:left w:val="none" w:sz="0" w:space="0" w:color="auto"/>
        <w:bottom w:val="none" w:sz="0" w:space="0" w:color="auto"/>
        <w:right w:val="none" w:sz="0" w:space="0" w:color="auto"/>
      </w:divBdr>
    </w:div>
    <w:div w:id="1548108794">
      <w:bodyDiv w:val="1"/>
      <w:marLeft w:val="0"/>
      <w:marRight w:val="0"/>
      <w:marTop w:val="0"/>
      <w:marBottom w:val="0"/>
      <w:divBdr>
        <w:top w:val="none" w:sz="0" w:space="0" w:color="auto"/>
        <w:left w:val="none" w:sz="0" w:space="0" w:color="auto"/>
        <w:bottom w:val="none" w:sz="0" w:space="0" w:color="auto"/>
        <w:right w:val="none" w:sz="0" w:space="0" w:color="auto"/>
      </w:divBdr>
    </w:div>
    <w:div w:id="1573198807">
      <w:bodyDiv w:val="1"/>
      <w:marLeft w:val="0"/>
      <w:marRight w:val="0"/>
      <w:marTop w:val="0"/>
      <w:marBottom w:val="0"/>
      <w:divBdr>
        <w:top w:val="none" w:sz="0" w:space="0" w:color="auto"/>
        <w:left w:val="none" w:sz="0" w:space="0" w:color="auto"/>
        <w:bottom w:val="none" w:sz="0" w:space="0" w:color="auto"/>
        <w:right w:val="none" w:sz="0" w:space="0" w:color="auto"/>
      </w:divBdr>
    </w:div>
    <w:div w:id="1623610986">
      <w:bodyDiv w:val="1"/>
      <w:marLeft w:val="0"/>
      <w:marRight w:val="0"/>
      <w:marTop w:val="0"/>
      <w:marBottom w:val="0"/>
      <w:divBdr>
        <w:top w:val="none" w:sz="0" w:space="0" w:color="auto"/>
        <w:left w:val="none" w:sz="0" w:space="0" w:color="auto"/>
        <w:bottom w:val="none" w:sz="0" w:space="0" w:color="auto"/>
        <w:right w:val="none" w:sz="0" w:space="0" w:color="auto"/>
      </w:divBdr>
    </w:div>
    <w:div w:id="1646734485">
      <w:bodyDiv w:val="1"/>
      <w:marLeft w:val="0"/>
      <w:marRight w:val="0"/>
      <w:marTop w:val="0"/>
      <w:marBottom w:val="0"/>
      <w:divBdr>
        <w:top w:val="none" w:sz="0" w:space="0" w:color="auto"/>
        <w:left w:val="none" w:sz="0" w:space="0" w:color="auto"/>
        <w:bottom w:val="none" w:sz="0" w:space="0" w:color="auto"/>
        <w:right w:val="none" w:sz="0" w:space="0" w:color="auto"/>
      </w:divBdr>
    </w:div>
    <w:div w:id="1673140948">
      <w:bodyDiv w:val="1"/>
      <w:marLeft w:val="0"/>
      <w:marRight w:val="0"/>
      <w:marTop w:val="0"/>
      <w:marBottom w:val="0"/>
      <w:divBdr>
        <w:top w:val="none" w:sz="0" w:space="0" w:color="auto"/>
        <w:left w:val="none" w:sz="0" w:space="0" w:color="auto"/>
        <w:bottom w:val="none" w:sz="0" w:space="0" w:color="auto"/>
        <w:right w:val="none" w:sz="0" w:space="0" w:color="auto"/>
      </w:divBdr>
    </w:div>
    <w:div w:id="1708872201">
      <w:bodyDiv w:val="1"/>
      <w:marLeft w:val="0"/>
      <w:marRight w:val="0"/>
      <w:marTop w:val="0"/>
      <w:marBottom w:val="0"/>
      <w:divBdr>
        <w:top w:val="none" w:sz="0" w:space="0" w:color="auto"/>
        <w:left w:val="none" w:sz="0" w:space="0" w:color="auto"/>
        <w:bottom w:val="none" w:sz="0" w:space="0" w:color="auto"/>
        <w:right w:val="none" w:sz="0" w:space="0" w:color="auto"/>
      </w:divBdr>
    </w:div>
    <w:div w:id="1734966600">
      <w:bodyDiv w:val="1"/>
      <w:marLeft w:val="0"/>
      <w:marRight w:val="0"/>
      <w:marTop w:val="0"/>
      <w:marBottom w:val="0"/>
      <w:divBdr>
        <w:top w:val="none" w:sz="0" w:space="0" w:color="auto"/>
        <w:left w:val="none" w:sz="0" w:space="0" w:color="auto"/>
        <w:bottom w:val="none" w:sz="0" w:space="0" w:color="auto"/>
        <w:right w:val="none" w:sz="0" w:space="0" w:color="auto"/>
      </w:divBdr>
    </w:div>
    <w:div w:id="1746338118">
      <w:bodyDiv w:val="1"/>
      <w:marLeft w:val="0"/>
      <w:marRight w:val="0"/>
      <w:marTop w:val="0"/>
      <w:marBottom w:val="0"/>
      <w:divBdr>
        <w:top w:val="none" w:sz="0" w:space="0" w:color="auto"/>
        <w:left w:val="none" w:sz="0" w:space="0" w:color="auto"/>
        <w:bottom w:val="none" w:sz="0" w:space="0" w:color="auto"/>
        <w:right w:val="none" w:sz="0" w:space="0" w:color="auto"/>
      </w:divBdr>
    </w:div>
    <w:div w:id="1831093536">
      <w:bodyDiv w:val="1"/>
      <w:marLeft w:val="0"/>
      <w:marRight w:val="0"/>
      <w:marTop w:val="0"/>
      <w:marBottom w:val="0"/>
      <w:divBdr>
        <w:top w:val="none" w:sz="0" w:space="0" w:color="auto"/>
        <w:left w:val="none" w:sz="0" w:space="0" w:color="auto"/>
        <w:bottom w:val="none" w:sz="0" w:space="0" w:color="auto"/>
        <w:right w:val="none" w:sz="0" w:space="0" w:color="auto"/>
      </w:divBdr>
    </w:div>
    <w:div w:id="1844932700">
      <w:bodyDiv w:val="1"/>
      <w:marLeft w:val="0"/>
      <w:marRight w:val="0"/>
      <w:marTop w:val="0"/>
      <w:marBottom w:val="0"/>
      <w:divBdr>
        <w:top w:val="none" w:sz="0" w:space="0" w:color="auto"/>
        <w:left w:val="none" w:sz="0" w:space="0" w:color="auto"/>
        <w:bottom w:val="none" w:sz="0" w:space="0" w:color="auto"/>
        <w:right w:val="none" w:sz="0" w:space="0" w:color="auto"/>
      </w:divBdr>
    </w:div>
    <w:div w:id="1859931626">
      <w:bodyDiv w:val="1"/>
      <w:marLeft w:val="0"/>
      <w:marRight w:val="0"/>
      <w:marTop w:val="0"/>
      <w:marBottom w:val="0"/>
      <w:divBdr>
        <w:top w:val="none" w:sz="0" w:space="0" w:color="auto"/>
        <w:left w:val="none" w:sz="0" w:space="0" w:color="auto"/>
        <w:bottom w:val="none" w:sz="0" w:space="0" w:color="auto"/>
        <w:right w:val="none" w:sz="0" w:space="0" w:color="auto"/>
      </w:divBdr>
    </w:div>
    <w:div w:id="1895891019">
      <w:bodyDiv w:val="1"/>
      <w:marLeft w:val="0"/>
      <w:marRight w:val="0"/>
      <w:marTop w:val="0"/>
      <w:marBottom w:val="0"/>
      <w:divBdr>
        <w:top w:val="none" w:sz="0" w:space="0" w:color="auto"/>
        <w:left w:val="none" w:sz="0" w:space="0" w:color="auto"/>
        <w:bottom w:val="none" w:sz="0" w:space="0" w:color="auto"/>
        <w:right w:val="none" w:sz="0" w:space="0" w:color="auto"/>
      </w:divBdr>
    </w:div>
    <w:div w:id="1899239458">
      <w:bodyDiv w:val="1"/>
      <w:marLeft w:val="0"/>
      <w:marRight w:val="0"/>
      <w:marTop w:val="0"/>
      <w:marBottom w:val="0"/>
      <w:divBdr>
        <w:top w:val="none" w:sz="0" w:space="0" w:color="auto"/>
        <w:left w:val="none" w:sz="0" w:space="0" w:color="auto"/>
        <w:bottom w:val="none" w:sz="0" w:space="0" w:color="auto"/>
        <w:right w:val="none" w:sz="0" w:space="0" w:color="auto"/>
      </w:divBdr>
    </w:div>
    <w:div w:id="1911035119">
      <w:bodyDiv w:val="1"/>
      <w:marLeft w:val="0"/>
      <w:marRight w:val="0"/>
      <w:marTop w:val="0"/>
      <w:marBottom w:val="0"/>
      <w:divBdr>
        <w:top w:val="none" w:sz="0" w:space="0" w:color="auto"/>
        <w:left w:val="none" w:sz="0" w:space="0" w:color="auto"/>
        <w:bottom w:val="none" w:sz="0" w:space="0" w:color="auto"/>
        <w:right w:val="none" w:sz="0" w:space="0" w:color="auto"/>
      </w:divBdr>
    </w:div>
    <w:div w:id="1912544759">
      <w:bodyDiv w:val="1"/>
      <w:marLeft w:val="0"/>
      <w:marRight w:val="0"/>
      <w:marTop w:val="0"/>
      <w:marBottom w:val="0"/>
      <w:divBdr>
        <w:top w:val="none" w:sz="0" w:space="0" w:color="auto"/>
        <w:left w:val="none" w:sz="0" w:space="0" w:color="auto"/>
        <w:bottom w:val="none" w:sz="0" w:space="0" w:color="auto"/>
        <w:right w:val="none" w:sz="0" w:space="0" w:color="auto"/>
      </w:divBdr>
    </w:div>
    <w:div w:id="1982273014">
      <w:bodyDiv w:val="1"/>
      <w:marLeft w:val="0"/>
      <w:marRight w:val="0"/>
      <w:marTop w:val="0"/>
      <w:marBottom w:val="0"/>
      <w:divBdr>
        <w:top w:val="none" w:sz="0" w:space="0" w:color="auto"/>
        <w:left w:val="none" w:sz="0" w:space="0" w:color="auto"/>
        <w:bottom w:val="none" w:sz="0" w:space="0" w:color="auto"/>
        <w:right w:val="none" w:sz="0" w:space="0" w:color="auto"/>
      </w:divBdr>
    </w:div>
    <w:div w:id="2006937412">
      <w:bodyDiv w:val="1"/>
      <w:marLeft w:val="0"/>
      <w:marRight w:val="0"/>
      <w:marTop w:val="0"/>
      <w:marBottom w:val="0"/>
      <w:divBdr>
        <w:top w:val="none" w:sz="0" w:space="0" w:color="auto"/>
        <w:left w:val="none" w:sz="0" w:space="0" w:color="auto"/>
        <w:bottom w:val="none" w:sz="0" w:space="0" w:color="auto"/>
        <w:right w:val="none" w:sz="0" w:space="0" w:color="auto"/>
      </w:divBdr>
    </w:div>
    <w:div w:id="2010716094">
      <w:bodyDiv w:val="1"/>
      <w:marLeft w:val="0"/>
      <w:marRight w:val="0"/>
      <w:marTop w:val="0"/>
      <w:marBottom w:val="0"/>
      <w:divBdr>
        <w:top w:val="none" w:sz="0" w:space="0" w:color="auto"/>
        <w:left w:val="none" w:sz="0" w:space="0" w:color="auto"/>
        <w:bottom w:val="none" w:sz="0" w:space="0" w:color="auto"/>
        <w:right w:val="none" w:sz="0" w:space="0" w:color="auto"/>
      </w:divBdr>
    </w:div>
    <w:div w:id="2023818867">
      <w:bodyDiv w:val="1"/>
      <w:marLeft w:val="0"/>
      <w:marRight w:val="0"/>
      <w:marTop w:val="0"/>
      <w:marBottom w:val="0"/>
      <w:divBdr>
        <w:top w:val="none" w:sz="0" w:space="0" w:color="auto"/>
        <w:left w:val="none" w:sz="0" w:space="0" w:color="auto"/>
        <w:bottom w:val="none" w:sz="0" w:space="0" w:color="auto"/>
        <w:right w:val="none" w:sz="0" w:space="0" w:color="auto"/>
      </w:divBdr>
    </w:div>
    <w:div w:id="2089228256">
      <w:bodyDiv w:val="1"/>
      <w:marLeft w:val="0"/>
      <w:marRight w:val="0"/>
      <w:marTop w:val="0"/>
      <w:marBottom w:val="0"/>
      <w:divBdr>
        <w:top w:val="none" w:sz="0" w:space="0" w:color="auto"/>
        <w:left w:val="none" w:sz="0" w:space="0" w:color="auto"/>
        <w:bottom w:val="none" w:sz="0" w:space="0" w:color="auto"/>
        <w:right w:val="none" w:sz="0" w:space="0" w:color="auto"/>
      </w:divBdr>
    </w:div>
    <w:div w:id="212364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8-01-4120" TargetMode="External"/><Relationship Id="rId18" Type="http://schemas.openxmlformats.org/officeDocument/2006/relationships/hyperlink" Target="http://www.uradni-list.si/1/objava.jsp?sop=2018-01-0887" TargetMode="External"/><Relationship Id="rId26" Type="http://schemas.openxmlformats.org/officeDocument/2006/relationships/hyperlink" Target="http://www.uradni-list.si/1/objava.jsp?sop=2020-01-1235" TargetMode="External"/><Relationship Id="rId39" Type="http://schemas.openxmlformats.org/officeDocument/2006/relationships/hyperlink" Target="http://www.uradni-list.si/1/objava.jsp?sop=2014-01-1618" TargetMode="External"/><Relationship Id="rId21" Type="http://schemas.openxmlformats.org/officeDocument/2006/relationships/hyperlink" Target="http://www.uradni-list.si/1/objava.jsp?sop=2006-01-2567" TargetMode="External"/><Relationship Id="rId34" Type="http://schemas.openxmlformats.org/officeDocument/2006/relationships/hyperlink" Target="http://www.uradni-list.si/1/objava.jsp?sop=2004-01-0064" TargetMode="External"/><Relationship Id="rId42" Type="http://schemas.openxmlformats.org/officeDocument/2006/relationships/chart" Target="charts/chart3.xml"/><Relationship Id="rId47" Type="http://schemas.openxmlformats.org/officeDocument/2006/relationships/hyperlink" Target="https://www.gov.si/teme/financiranje-obcin/" TargetMode="External"/><Relationship Id="rId50" Type="http://schemas.openxmlformats.org/officeDocument/2006/relationships/hyperlink" Target="https://www.gov.si/teme/financiranje-obcin/" TargetMode="External"/><Relationship Id="rId55"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radni-list.si/1/objava.jsp?sop=2016-01-1264" TargetMode="External"/><Relationship Id="rId20" Type="http://schemas.openxmlformats.org/officeDocument/2006/relationships/hyperlink" Target="http://www.uradni-list.si/1/objava.jsp?sop=2004-01-4233" TargetMode="External"/><Relationship Id="rId29" Type="http://schemas.openxmlformats.org/officeDocument/2006/relationships/chart" Target="charts/chart2.xml"/><Relationship Id="rId41" Type="http://schemas.openxmlformats.org/officeDocument/2006/relationships/hyperlink" Target="http://www.uradni-list.si/1/objava.jsp?sop=2020-01-0975" TargetMode="External"/><Relationship Id="rId54"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8-01-0887" TargetMode="External"/><Relationship Id="rId24" Type="http://schemas.openxmlformats.org/officeDocument/2006/relationships/hyperlink" Target="http://www.uradni-list.si/1/objava.jsp?sop=2018-01-0887" TargetMode="External"/><Relationship Id="rId32" Type="http://schemas.openxmlformats.org/officeDocument/2006/relationships/hyperlink" Target="https://ec.europa.eu/commission/sites/beta-political/files/budget-june2018-what-is-investeu_sl.pdf" TargetMode="External"/><Relationship Id="rId37" Type="http://schemas.openxmlformats.org/officeDocument/2006/relationships/hyperlink" Target="http://www.uradni-list.si/1/objava.jsp?sop=2012-01-2418" TargetMode="External"/><Relationship Id="rId40" Type="http://schemas.openxmlformats.org/officeDocument/2006/relationships/hyperlink" Target="http://www.uradni-list.si/1/objava.jsp?sop=2015-01-2360" TargetMode="External"/><Relationship Id="rId45" Type="http://schemas.openxmlformats.org/officeDocument/2006/relationships/hyperlink" Target="http://www.uradni-list.si/1/objava.jsp?sop=2007-01-3639" TargetMode="External"/><Relationship Id="rId53" Type="http://schemas.openxmlformats.org/officeDocument/2006/relationships/chart" Target="charts/chart7.xml"/><Relationship Id="rId58"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ijsvo.si/" TargetMode="External"/><Relationship Id="rId23" Type="http://schemas.openxmlformats.org/officeDocument/2006/relationships/hyperlink" Target="http://www.uradni-list.si/1/objava.jsp?sop=2014-01-1918" TargetMode="External"/><Relationship Id="rId28" Type="http://schemas.openxmlformats.org/officeDocument/2006/relationships/chart" Target="charts/chart1.xml"/><Relationship Id="rId36" Type="http://schemas.openxmlformats.org/officeDocument/2006/relationships/hyperlink" Target="http://www.uradni-list.si/1/objava.jsp?sop=2008-01-2417" TargetMode="External"/><Relationship Id="rId49" Type="http://schemas.openxmlformats.org/officeDocument/2006/relationships/hyperlink" Target="https://www.gov.si/teme/financiranje-obcin/" TargetMode="External"/><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hyperlink" Target="http://www.uradni-list.si/1/objava.jsp?sop=2017-01-2914" TargetMode="External"/><Relationship Id="rId19" Type="http://schemas.openxmlformats.org/officeDocument/2006/relationships/hyperlink" Target="http://www.uradni-list.si/1/objava.jsp?sop=2018-01-4120" TargetMode="External"/><Relationship Id="rId31" Type="http://schemas.openxmlformats.org/officeDocument/2006/relationships/image" Target="media/image2.png"/><Relationship Id="rId44" Type="http://schemas.openxmlformats.org/officeDocument/2006/relationships/hyperlink" Target="http://www.uradni-list.si/1/objava.jsp?sop=2004-01-1694" TargetMode="External"/><Relationship Id="rId52" Type="http://schemas.openxmlformats.org/officeDocument/2006/relationships/chart" Target="charts/chart6.xm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radni-list.si/1/objava.jsp?sop=2016-01-1264" TargetMode="External"/><Relationship Id="rId14" Type="http://schemas.openxmlformats.org/officeDocument/2006/relationships/hyperlink" Target="http://www.uradni-list.si/1/objava.jsp?sop=2020-01-1195" TargetMode="External"/><Relationship Id="rId22" Type="http://schemas.openxmlformats.org/officeDocument/2006/relationships/hyperlink" Target="http://www.uradni-list.si/1/objava.jsp?sop=2010-01-0254" TargetMode="External"/><Relationship Id="rId27" Type="http://schemas.openxmlformats.org/officeDocument/2006/relationships/hyperlink" Target="http://www.arhiv.mop.gov.si/si/zakonodaja_in_dokumenti/veljavni_predpisi/zakon_o_varstvu_okolja/programi_in_nacrti_varstva_okolja/" TargetMode="External"/><Relationship Id="rId30" Type="http://schemas.openxmlformats.org/officeDocument/2006/relationships/image" Target="media/image1.png"/><Relationship Id="rId35" Type="http://schemas.openxmlformats.org/officeDocument/2006/relationships/hyperlink" Target="http://www.uradni-list.si/1/objava.jsp?sop=2004-01-1694" TargetMode="External"/><Relationship Id="rId43" Type="http://schemas.openxmlformats.org/officeDocument/2006/relationships/hyperlink" Target="http://www.uradni-list.si/1/objava.jsp?sop=2002-01-3709" TargetMode="External"/><Relationship Id="rId48" Type="http://schemas.openxmlformats.org/officeDocument/2006/relationships/hyperlink" Target="https://www.uradni-list.si/glasilo-uradni-list-rs/vsebina/2020-01-1195/zakon-o-interventnih-ukrepih-za-omilitev-in-odpravo-posledic-epidemije-covid-19-ziuoope" TargetMode="External"/><Relationship Id="rId56"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chart" Target="charts/chart5.xml"/><Relationship Id="rId3" Type="http://schemas.openxmlformats.org/officeDocument/2006/relationships/styles" Target="styles.xml"/><Relationship Id="rId12" Type="http://schemas.openxmlformats.org/officeDocument/2006/relationships/hyperlink" Target="http://www.uradni-list.si/1/objava.jsp?sop=2018-01-4120" TargetMode="External"/><Relationship Id="rId17" Type="http://schemas.openxmlformats.org/officeDocument/2006/relationships/hyperlink" Target="http://www.uradni-list.si/1/objava.jsp?sop=2017-01-2914" TargetMode="External"/><Relationship Id="rId25" Type="http://schemas.openxmlformats.org/officeDocument/2006/relationships/hyperlink" Target="http://www.uradni-list.si/1/objava.jsp?sop=2018-01-1402" TargetMode="External"/><Relationship Id="rId33" Type="http://schemas.openxmlformats.org/officeDocument/2006/relationships/hyperlink" Target="http://www.uradni-list.si/1/objava.jsp?sop=2002-01-3237" TargetMode="External"/><Relationship Id="rId38" Type="http://schemas.openxmlformats.org/officeDocument/2006/relationships/hyperlink" Target="http://www.uradni-list.si/1/objava.jsp?sop=2013-01-3602" TargetMode="External"/><Relationship Id="rId46" Type="http://schemas.openxmlformats.org/officeDocument/2006/relationships/chart" Target="charts/chart4.xml"/><Relationship Id="rId59"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laz.pokersnik\AppData\Local\Temp\notesC3AE8B\~956856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laz.pokersnik\AppData\Local\Temp\notesC3AE8B\~956856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OP\2020\OD_KP_ob&#269;ine_2007_201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OP\2020\OD_KP_ob&#269;ine_2007_201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OP\2020\Stanje_zadol&#382;enosti_ob&#269;in_201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OP\2020\Stanje_zadol&#382;enosti_ob&#269;in_201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Zvezek2"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OP\2020\stro&#353;ki_OP2020_skupaj.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4836825221408728"/>
          <c:y val="0.10934222633935464"/>
          <c:w val="0.56513453362189381"/>
          <c:h val="0.73441902115176783"/>
        </c:manualLayout>
      </c:layout>
      <c:barChart>
        <c:barDir val="col"/>
        <c:grouping val="stacked"/>
        <c:varyColors val="0"/>
        <c:ser>
          <c:idx val="3"/>
          <c:order val="0"/>
          <c:tx>
            <c:strRef>
              <c:f>GRAFIKON!$A$9</c:f>
              <c:strCache>
                <c:ptCount val="1"/>
                <c:pt idx="0">
                  <c:v>OBČINSKI PRORAČUNI</c:v>
                </c:pt>
              </c:strCache>
            </c:strRef>
          </c:tx>
          <c:invertIfNegative val="0"/>
          <c:cat>
            <c:numRef>
              <c:f>GRAFIKON!$B$4:$N$4</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GRAFIKON!$B$9:$N$9</c:f>
              <c:numCache>
                <c:formatCode>#,##0.0</c:formatCode>
                <c:ptCount val="13"/>
                <c:pt idx="0">
                  <c:v>64.330819370000015</c:v>
                </c:pt>
                <c:pt idx="1">
                  <c:v>73.555945489999985</c:v>
                </c:pt>
                <c:pt idx="2">
                  <c:v>82.43071689999995</c:v>
                </c:pt>
                <c:pt idx="3">
                  <c:v>75.945978359999998</c:v>
                </c:pt>
                <c:pt idx="4">
                  <c:v>62.567980100000028</c:v>
                </c:pt>
                <c:pt idx="5">
                  <c:v>63.188372719999926</c:v>
                </c:pt>
                <c:pt idx="6">
                  <c:v>62.270212410000013</c:v>
                </c:pt>
                <c:pt idx="7">
                  <c:v>84.463502939999898</c:v>
                </c:pt>
                <c:pt idx="8">
                  <c:v>100.41093650000001</c:v>
                </c:pt>
                <c:pt idx="9">
                  <c:v>22.77398625</c:v>
                </c:pt>
                <c:pt idx="10">
                  <c:v>55.233906470000001</c:v>
                </c:pt>
                <c:pt idx="11">
                  <c:v>62.284959310000005</c:v>
                </c:pt>
                <c:pt idx="12">
                  <c:v>76.550098829999996</c:v>
                </c:pt>
              </c:numCache>
            </c:numRef>
          </c:val>
        </c:ser>
        <c:ser>
          <c:idx val="2"/>
          <c:order val="1"/>
          <c:tx>
            <c:strRef>
              <c:f>GRAFIKON!$A$8</c:f>
              <c:strCache>
                <c:ptCount val="1"/>
                <c:pt idx="0">
                  <c:v>PRORAČUN RS</c:v>
                </c:pt>
              </c:strCache>
            </c:strRef>
          </c:tx>
          <c:invertIfNegative val="0"/>
          <c:cat>
            <c:numRef>
              <c:f>GRAFIKON!$B$4:$N$4</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GRAFIKON!$B$8:$N$8</c:f>
              <c:numCache>
                <c:formatCode>#,##0.0</c:formatCode>
                <c:ptCount val="13"/>
                <c:pt idx="0">
                  <c:v>6.8826079200000017</c:v>
                </c:pt>
                <c:pt idx="1">
                  <c:v>21.269386670000003</c:v>
                </c:pt>
                <c:pt idx="2">
                  <c:v>37.403713370000006</c:v>
                </c:pt>
                <c:pt idx="3">
                  <c:v>3.2957615999999792</c:v>
                </c:pt>
                <c:pt idx="4">
                  <c:v>-4.5543008299999759</c:v>
                </c:pt>
                <c:pt idx="5">
                  <c:v>10.197254880000026</c:v>
                </c:pt>
                <c:pt idx="6">
                  <c:v>4.229375849999979</c:v>
                </c:pt>
                <c:pt idx="7">
                  <c:v>38.871652090000005</c:v>
                </c:pt>
                <c:pt idx="8">
                  <c:v>39.811940999999997</c:v>
                </c:pt>
                <c:pt idx="9">
                  <c:v>10.654376460000002</c:v>
                </c:pt>
                <c:pt idx="10">
                  <c:v>-1.6363565399999991</c:v>
                </c:pt>
                <c:pt idx="11">
                  <c:v>0</c:v>
                </c:pt>
                <c:pt idx="12">
                  <c:v>0</c:v>
                </c:pt>
              </c:numCache>
            </c:numRef>
          </c:val>
        </c:ser>
        <c:ser>
          <c:idx val="1"/>
          <c:order val="2"/>
          <c:tx>
            <c:strRef>
              <c:f>GRAFIKON!$A$7</c:f>
              <c:strCache>
                <c:ptCount val="1"/>
                <c:pt idx="0">
                  <c:v>ISPA</c:v>
                </c:pt>
              </c:strCache>
            </c:strRef>
          </c:tx>
          <c:invertIfNegative val="0"/>
          <c:cat>
            <c:numRef>
              <c:f>GRAFIKON!$B$4:$N$4</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GRAFIKON!$B$7:$N$7</c:f>
              <c:numCache>
                <c:formatCode>#,##0.0</c:formatCode>
                <c:ptCount val="13"/>
                <c:pt idx="0">
                  <c:v>2.860608</c:v>
                </c:pt>
                <c:pt idx="1">
                  <c:v>5.8201559999999999</c:v>
                </c:pt>
                <c:pt idx="2">
                  <c:v>12.367751999999999</c:v>
                </c:pt>
                <c:pt idx="3">
                  <c:v>2.037423</c:v>
                </c:pt>
                <c:pt idx="4">
                  <c:v>1.48498</c:v>
                </c:pt>
                <c:pt idx="5">
                  <c:v>0</c:v>
                </c:pt>
                <c:pt idx="6">
                  <c:v>0</c:v>
                </c:pt>
                <c:pt idx="7">
                  <c:v>0</c:v>
                </c:pt>
                <c:pt idx="8">
                  <c:v>0</c:v>
                </c:pt>
                <c:pt idx="9">
                  <c:v>0</c:v>
                </c:pt>
                <c:pt idx="10">
                  <c:v>0</c:v>
                </c:pt>
                <c:pt idx="11">
                  <c:v>0</c:v>
                </c:pt>
                <c:pt idx="12">
                  <c:v>0</c:v>
                </c:pt>
              </c:numCache>
            </c:numRef>
          </c:val>
        </c:ser>
        <c:ser>
          <c:idx val="0"/>
          <c:order val="3"/>
          <c:tx>
            <c:strRef>
              <c:f>GRAFIKON!$A$6</c:f>
              <c:strCache>
                <c:ptCount val="1"/>
                <c:pt idx="0">
                  <c:v>KS + ESRR</c:v>
                </c:pt>
              </c:strCache>
            </c:strRef>
          </c:tx>
          <c:invertIfNegative val="0"/>
          <c:cat>
            <c:numRef>
              <c:f>GRAFIKON!$B$4:$N$4</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GRAFIKON!$B$6:$N$6</c:f>
              <c:numCache>
                <c:formatCode>#,##0.0</c:formatCode>
                <c:ptCount val="13"/>
                <c:pt idx="0">
                  <c:v>0</c:v>
                </c:pt>
                <c:pt idx="1">
                  <c:v>0.76962713000000005</c:v>
                </c:pt>
                <c:pt idx="2">
                  <c:v>13.422095969999999</c:v>
                </c:pt>
                <c:pt idx="3">
                  <c:v>28.034123999999998</c:v>
                </c:pt>
                <c:pt idx="4">
                  <c:v>43.77019717999999</c:v>
                </c:pt>
                <c:pt idx="5">
                  <c:v>42.296267</c:v>
                </c:pt>
                <c:pt idx="6">
                  <c:v>57.231166999999999</c:v>
                </c:pt>
                <c:pt idx="7">
                  <c:v>93.305445040000009</c:v>
                </c:pt>
                <c:pt idx="8">
                  <c:v>100.1049055</c:v>
                </c:pt>
                <c:pt idx="9">
                  <c:v>23.525677290000001</c:v>
                </c:pt>
                <c:pt idx="10">
                  <c:v>0.82588706999999995</c:v>
                </c:pt>
                <c:pt idx="11">
                  <c:v>3.7432585300000003</c:v>
                </c:pt>
                <c:pt idx="12">
                  <c:v>8.3340990000000004E-2</c:v>
                </c:pt>
              </c:numCache>
            </c:numRef>
          </c:val>
        </c:ser>
        <c:dLbls>
          <c:showLegendKey val="0"/>
          <c:showVal val="0"/>
          <c:showCatName val="0"/>
          <c:showSerName val="0"/>
          <c:showPercent val="0"/>
          <c:showBubbleSize val="0"/>
        </c:dLbls>
        <c:gapWidth val="150"/>
        <c:overlap val="100"/>
        <c:axId val="222863360"/>
        <c:axId val="222864896"/>
      </c:barChart>
      <c:catAx>
        <c:axId val="222863360"/>
        <c:scaling>
          <c:orientation val="minMax"/>
        </c:scaling>
        <c:delete val="0"/>
        <c:axPos val="b"/>
        <c:numFmt formatCode="General" sourceLinked="1"/>
        <c:majorTickMark val="out"/>
        <c:minorTickMark val="none"/>
        <c:tickLblPos val="low"/>
        <c:txPr>
          <a:bodyPr/>
          <a:lstStyle/>
          <a:p>
            <a:pPr>
              <a:defRPr sz="900" baseline="0"/>
            </a:pPr>
            <a:endParaRPr lang="sl-SI"/>
          </a:p>
        </c:txPr>
        <c:crossAx val="222864896"/>
        <c:crosses val="autoZero"/>
        <c:auto val="1"/>
        <c:lblAlgn val="ctr"/>
        <c:lblOffset val="100"/>
        <c:noMultiLvlLbl val="0"/>
      </c:catAx>
      <c:valAx>
        <c:axId val="222864896"/>
        <c:scaling>
          <c:orientation val="minMax"/>
        </c:scaling>
        <c:delete val="0"/>
        <c:axPos val="l"/>
        <c:majorGridlines>
          <c:spPr>
            <a:ln w="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title>
          <c:tx>
            <c:strRef>
              <c:f>GRAFIKON!$E$35</c:f>
              <c:strCache>
                <c:ptCount val="1"/>
                <c:pt idx="0">
                  <c:v>Investicijski izdatki za odvajanje in čiščenje odpadne vode (v mio EUR)</c:v>
                </c:pt>
              </c:strCache>
            </c:strRef>
          </c:tx>
          <c:layout>
            <c:manualLayout>
              <c:xMode val="edge"/>
              <c:yMode val="edge"/>
              <c:x val="2.5507246376811593E-2"/>
              <c:y val="0.12227121947408305"/>
            </c:manualLayout>
          </c:layout>
          <c:overlay val="0"/>
          <c:txPr>
            <a:bodyPr rot="-5400000" vert="horz"/>
            <a:lstStyle/>
            <a:p>
              <a:pPr>
                <a:defRPr/>
              </a:pPr>
              <a:endParaRPr lang="sl-SI"/>
            </a:p>
          </c:txPr>
        </c:title>
        <c:numFmt formatCode="#,##0" sourceLinked="0"/>
        <c:majorTickMark val="out"/>
        <c:minorTickMark val="none"/>
        <c:tickLblPos val="nextTo"/>
        <c:txPr>
          <a:bodyPr/>
          <a:lstStyle/>
          <a:p>
            <a:pPr>
              <a:defRPr sz="900" baseline="0"/>
            </a:pPr>
            <a:endParaRPr lang="sl-SI"/>
          </a:p>
        </c:txPr>
        <c:crossAx val="222863360"/>
        <c:crosses val="autoZero"/>
        <c:crossBetween val="between"/>
      </c:valAx>
    </c:plotArea>
    <c:legend>
      <c:legendPos val="r"/>
      <c:layout>
        <c:manualLayout>
          <c:xMode val="edge"/>
          <c:yMode val="edge"/>
          <c:x val="0.7005312274562171"/>
          <c:y val="0.21803320954618319"/>
          <c:w val="0.27281022354518819"/>
          <c:h val="0.3890301845277272"/>
        </c:manualLayout>
      </c:layout>
      <c:overlay val="0"/>
      <c:txPr>
        <a:bodyPr/>
        <a:lstStyle/>
        <a:p>
          <a:pPr>
            <a:defRPr sz="900" baseline="0"/>
          </a:pPr>
          <a:endParaRPr lang="sl-SI"/>
        </a:p>
      </c:txPr>
    </c:legend>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sl-SI"/>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923592178096381E-2"/>
          <c:y val="4.3981481481481483E-2"/>
          <c:w val="0.55561139603312293"/>
          <c:h val="0.86111111111111116"/>
        </c:manualLayout>
      </c:layout>
      <c:pie3DChart>
        <c:varyColors val="1"/>
        <c:ser>
          <c:idx val="0"/>
          <c:order val="0"/>
          <c:tx>
            <c:strRef>
              <c:f>GRAFIKON!$B$21</c:f>
              <c:strCache>
                <c:ptCount val="1"/>
                <c:pt idx="0">
                  <c:v>SKUPAJ</c:v>
                </c:pt>
              </c:strCache>
            </c:strRef>
          </c:tx>
          <c:explosion val="25"/>
          <c:dLbls>
            <c:dLbl>
              <c:idx val="0"/>
              <c:layout>
                <c:manualLayout>
                  <c:x val="-9.1512735459462341E-2"/>
                  <c:y val="6.3417283950617284E-2"/>
                </c:manualLayout>
              </c:layout>
              <c:tx>
                <c:rich>
                  <a:bodyPr/>
                  <a:lstStyle/>
                  <a:p>
                    <a:r>
                      <a:rPr lang="en-US"/>
                      <a:t>27,4</a:t>
                    </a:r>
                    <a:r>
                      <a:rPr lang="sl-SI"/>
                      <a:t> </a:t>
                    </a:r>
                    <a:r>
                      <a:rPr lang="en-US"/>
                      <a:t>%</a:t>
                    </a:r>
                  </a:p>
                </c:rich>
              </c:tx>
              <c:showLegendKey val="0"/>
              <c:showVal val="0"/>
              <c:showCatName val="0"/>
              <c:showSerName val="0"/>
              <c:showPercent val="1"/>
              <c:showBubbleSize val="0"/>
            </c:dLbl>
            <c:dLbl>
              <c:idx val="1"/>
              <c:layout>
                <c:manualLayout>
                  <c:x val="-2.1429524699243102E-4"/>
                  <c:y val="-6.6399095946340039E-2"/>
                </c:manualLayout>
              </c:layout>
              <c:tx>
                <c:rich>
                  <a:bodyPr/>
                  <a:lstStyle/>
                  <a:p>
                    <a:r>
                      <a:rPr lang="en-US"/>
                      <a:t>1,7</a:t>
                    </a:r>
                    <a:r>
                      <a:rPr lang="sl-SI"/>
                      <a:t> </a:t>
                    </a:r>
                    <a:r>
                      <a:rPr lang="en-US"/>
                      <a:t>%</a:t>
                    </a:r>
                  </a:p>
                </c:rich>
              </c:tx>
              <c:showLegendKey val="0"/>
              <c:showVal val="0"/>
              <c:showCatName val="0"/>
              <c:showSerName val="0"/>
              <c:showPercent val="1"/>
              <c:showBubbleSize val="0"/>
            </c:dLbl>
            <c:dLbl>
              <c:idx val="2"/>
              <c:layout>
                <c:manualLayout>
                  <c:x val="-8.8820771054805112E-2"/>
                  <c:y val="-0.13088938271604939"/>
                </c:manualLayout>
              </c:layout>
              <c:tx>
                <c:rich>
                  <a:bodyPr/>
                  <a:lstStyle/>
                  <a:p>
                    <a:r>
                      <a:rPr lang="en-US"/>
                      <a:t>11,2</a:t>
                    </a:r>
                    <a:r>
                      <a:rPr lang="sl-SI"/>
                      <a:t> </a:t>
                    </a:r>
                    <a:r>
                      <a:rPr lang="en-US"/>
                      <a:t>%</a:t>
                    </a:r>
                  </a:p>
                </c:rich>
              </c:tx>
              <c:showLegendKey val="0"/>
              <c:showVal val="0"/>
              <c:showCatName val="0"/>
              <c:showSerName val="0"/>
              <c:showPercent val="1"/>
              <c:showBubbleSize val="0"/>
            </c:dLbl>
            <c:dLbl>
              <c:idx val="3"/>
              <c:layout>
                <c:manualLayout>
                  <c:x val="0.14940678869261717"/>
                  <c:y val="-0.10284172839506173"/>
                </c:manualLayout>
              </c:layout>
              <c:tx>
                <c:rich>
                  <a:bodyPr/>
                  <a:lstStyle/>
                  <a:p>
                    <a:r>
                      <a:rPr lang="en-US"/>
                      <a:t>59,7</a:t>
                    </a:r>
                    <a:r>
                      <a:rPr lang="sl-SI"/>
                      <a:t> </a:t>
                    </a:r>
                    <a:r>
                      <a:rPr lang="en-US"/>
                      <a:t>%</a:t>
                    </a:r>
                  </a:p>
                </c:rich>
              </c:tx>
              <c:showLegendKey val="0"/>
              <c:showVal val="0"/>
              <c:showCatName val="0"/>
              <c:showSerName val="0"/>
              <c:showPercent val="1"/>
              <c:showBubbleSize val="0"/>
            </c:dLbl>
            <c:numFmt formatCode="0.0%" sourceLinked="0"/>
            <c:showLegendKey val="0"/>
            <c:showVal val="0"/>
            <c:showCatName val="0"/>
            <c:showSerName val="0"/>
            <c:showPercent val="1"/>
            <c:showBubbleSize val="0"/>
            <c:showLeaderLines val="1"/>
          </c:dLbls>
          <c:cat>
            <c:strRef>
              <c:f>GRAFIKON!$A$22:$A$25</c:f>
              <c:strCache>
                <c:ptCount val="4"/>
                <c:pt idx="0">
                  <c:v>KS + ESRR</c:v>
                </c:pt>
                <c:pt idx="1">
                  <c:v>ISPA</c:v>
                </c:pt>
                <c:pt idx="2">
                  <c:v>PRORAČUN RS</c:v>
                </c:pt>
                <c:pt idx="3">
                  <c:v>OBČINSKI PRORAČUNI</c:v>
                </c:pt>
              </c:strCache>
            </c:strRef>
          </c:cat>
          <c:val>
            <c:numRef>
              <c:f>GRAFIKON!$B$22:$B$25</c:f>
              <c:numCache>
                <c:formatCode>0%</c:formatCode>
                <c:ptCount val="4"/>
                <c:pt idx="0">
                  <c:v>0.27431283273727503</c:v>
                </c:pt>
                <c:pt idx="1">
                  <c:v>1.6555931819023813E-2</c:v>
                </c:pt>
                <c:pt idx="2">
                  <c:v>0.11213775853504851</c:v>
                </c:pt>
                <c:pt idx="3">
                  <c:v>0.59699347690865323</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8202678055073629"/>
          <c:y val="0.20976305045202684"/>
          <c:w val="0.28568911936855351"/>
          <c:h val="0.43232575094779818"/>
        </c:manualLayout>
      </c:layout>
      <c:overlay val="0"/>
      <c:txPr>
        <a:bodyPr/>
        <a:lstStyle/>
        <a:p>
          <a:pPr>
            <a:defRPr sz="900" baseline="0"/>
          </a:pPr>
          <a:endParaRPr lang="sl-SI"/>
        </a:p>
      </c:txPr>
    </c:legend>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sl-SI"/>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086044323112674"/>
          <c:y val="7.3394495412844041E-2"/>
          <c:w val="0.767790693729547"/>
          <c:h val="0.8540925618242674"/>
        </c:manualLayout>
      </c:layout>
      <c:barChart>
        <c:barDir val="col"/>
        <c:grouping val="clustered"/>
        <c:varyColors val="0"/>
        <c:ser>
          <c:idx val="0"/>
          <c:order val="0"/>
          <c:tx>
            <c:strRef>
              <c:f>'Okoljska dajatev'!$C$3:$O$3</c:f>
              <c:strCache>
                <c:ptCount val="1"/>
                <c:pt idx="0">
                  <c:v>Okoljska dajatev za onesnaževanje okolja zaradi odvajanja odpadnih voda po občinah</c:v>
                </c:pt>
              </c:strCache>
            </c:strRef>
          </c:tx>
          <c:invertIfNegative val="0"/>
          <c:cat>
            <c:numRef>
              <c:f>'Okoljska dajatev'!$C$220:$O$220</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'Okoljska dajatev'!$C$219:$O$219</c:f>
              <c:numCache>
                <c:formatCode>#,##0</c:formatCode>
                <c:ptCount val="13"/>
                <c:pt idx="0">
                  <c:v>29598636.059999999</c:v>
                </c:pt>
                <c:pt idx="1">
                  <c:v>29414229.41</c:v>
                </c:pt>
                <c:pt idx="2">
                  <c:v>28550184.739999998</c:v>
                </c:pt>
                <c:pt idx="3">
                  <c:v>32579853.190000001</c:v>
                </c:pt>
                <c:pt idx="4">
                  <c:v>32580464.07</c:v>
                </c:pt>
                <c:pt idx="5">
                  <c:v>29799048.75</c:v>
                </c:pt>
                <c:pt idx="6">
                  <c:v>28718414.98</c:v>
                </c:pt>
                <c:pt idx="7">
                  <c:v>28148163.190000001</c:v>
                </c:pt>
                <c:pt idx="8">
                  <c:v>26576418.710000001</c:v>
                </c:pt>
                <c:pt idx="9">
                  <c:v>27089408.809999999</c:v>
                </c:pt>
                <c:pt idx="10">
                  <c:v>23694249.68</c:v>
                </c:pt>
                <c:pt idx="11">
                  <c:v>23385492.989999998</c:v>
                </c:pt>
                <c:pt idx="12">
                  <c:v>22210735.739999998</c:v>
                </c:pt>
              </c:numCache>
            </c:numRef>
          </c:val>
        </c:ser>
        <c:dLbls>
          <c:showLegendKey val="0"/>
          <c:showVal val="0"/>
          <c:showCatName val="0"/>
          <c:showSerName val="0"/>
          <c:showPercent val="0"/>
          <c:showBubbleSize val="0"/>
        </c:dLbls>
        <c:gapWidth val="150"/>
        <c:axId val="223612928"/>
        <c:axId val="223614464"/>
      </c:barChart>
      <c:catAx>
        <c:axId val="223612928"/>
        <c:scaling>
          <c:orientation val="minMax"/>
        </c:scaling>
        <c:delete val="0"/>
        <c:axPos val="b"/>
        <c:numFmt formatCode="General" sourceLinked="1"/>
        <c:majorTickMark val="out"/>
        <c:minorTickMark val="none"/>
        <c:tickLblPos val="nextTo"/>
        <c:txPr>
          <a:bodyPr/>
          <a:lstStyle/>
          <a:p>
            <a:pPr>
              <a:defRPr sz="900" baseline="0"/>
            </a:pPr>
            <a:endParaRPr lang="sl-SI"/>
          </a:p>
        </c:txPr>
        <c:crossAx val="223614464"/>
        <c:crosses val="autoZero"/>
        <c:auto val="1"/>
        <c:lblAlgn val="ctr"/>
        <c:lblOffset val="100"/>
        <c:noMultiLvlLbl val="0"/>
      </c:catAx>
      <c:valAx>
        <c:axId val="223614464"/>
        <c:scaling>
          <c:orientation val="minMax"/>
        </c:scaling>
        <c:delete val="0"/>
        <c:axPos val="l"/>
        <c:majorGridlines>
          <c:spPr>
            <a:ln w="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sysDot"/>
            </a:ln>
          </c:spPr>
        </c:majorGridlines>
        <c:title>
          <c:tx>
            <c:rich>
              <a:bodyPr rot="-5400000" vert="horz"/>
              <a:lstStyle/>
              <a:p>
                <a:pPr>
                  <a:defRPr/>
                </a:pPr>
                <a:r>
                  <a:rPr lang="en-US"/>
                  <a:t>Prihodki iz naslova okoljske dajatve </a:t>
                </a:r>
                <a:endParaRPr lang="sl-SI"/>
              </a:p>
              <a:p>
                <a:pPr>
                  <a:defRPr/>
                </a:pPr>
                <a:r>
                  <a:rPr lang="en-US"/>
                  <a:t>(v EUR)</a:t>
                </a:r>
              </a:p>
            </c:rich>
          </c:tx>
          <c:layout>
            <c:manualLayout>
              <c:xMode val="edge"/>
              <c:yMode val="edge"/>
              <c:x val="1.6135196466903114E-2"/>
              <c:y val="0.16769142016923122"/>
            </c:manualLayout>
          </c:layout>
          <c:overlay val="0"/>
        </c:title>
        <c:numFmt formatCode="#,##0" sourceLinked="1"/>
        <c:majorTickMark val="out"/>
        <c:minorTickMark val="none"/>
        <c:tickLblPos val="nextTo"/>
        <c:txPr>
          <a:bodyPr/>
          <a:lstStyle/>
          <a:p>
            <a:pPr>
              <a:defRPr sz="900" baseline="0"/>
            </a:pPr>
            <a:endParaRPr lang="sl-SI"/>
          </a:p>
        </c:txPr>
        <c:crossAx val="223612928"/>
        <c:crosses val="autoZero"/>
        <c:crossBetween val="between"/>
      </c:valAx>
    </c:plotArea>
    <c:plotVisOnly val="1"/>
    <c:dispBlanksAs val="gap"/>
    <c:showDLblsOverMax val="0"/>
  </c:chart>
  <c:spPr>
    <a:ln>
      <a:noFill/>
    </a:ln>
  </c:spPr>
  <c:txPr>
    <a:bodyPr/>
    <a:lstStyle/>
    <a:p>
      <a:pPr>
        <a:defRPr sz="1000">
          <a:latin typeface="Arial" panose="020B0604020202020204" pitchFamily="34" charset="0"/>
          <a:cs typeface="Arial" panose="020B0604020202020204" pitchFamily="34" charset="0"/>
        </a:defRPr>
      </a:pPr>
      <a:endParaRPr lang="sl-SI"/>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172894297303745"/>
          <c:y val="3.4348165495706483E-2"/>
          <c:w val="0.74604883480474027"/>
          <c:h val="0.86663003190175003"/>
        </c:manualLayout>
      </c:layout>
      <c:barChart>
        <c:barDir val="col"/>
        <c:grouping val="clustered"/>
        <c:varyColors val="0"/>
        <c:ser>
          <c:idx val="0"/>
          <c:order val="0"/>
          <c:tx>
            <c:strRef>
              <c:f>'Komunalni prispevek'!$C$3:$O$3</c:f>
              <c:strCache>
                <c:ptCount val="1"/>
                <c:pt idx="0">
                  <c:v>Prihodki od komunalnih prispevkov po občinah</c:v>
                </c:pt>
              </c:strCache>
            </c:strRef>
          </c:tx>
          <c:invertIfNegative val="0"/>
          <c:cat>
            <c:numRef>
              <c:f>'Komunalni prispevek'!$C$220:$O$220</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'Komunalni prispevek'!$C$219:$O$219</c:f>
              <c:numCache>
                <c:formatCode>#,##0</c:formatCode>
                <c:ptCount val="13"/>
                <c:pt idx="0">
                  <c:v>68313381.540000007</c:v>
                </c:pt>
                <c:pt idx="1">
                  <c:v>90764382.590000004</c:v>
                </c:pt>
                <c:pt idx="2">
                  <c:v>55680378.009999998</c:v>
                </c:pt>
                <c:pt idx="3">
                  <c:v>50532554.920000002</c:v>
                </c:pt>
                <c:pt idx="4">
                  <c:v>49594826.439999998</c:v>
                </c:pt>
                <c:pt idx="5">
                  <c:v>43794146.130000003</c:v>
                </c:pt>
                <c:pt idx="6">
                  <c:v>35123740.090000004</c:v>
                </c:pt>
                <c:pt idx="7">
                  <c:v>27662516.399999999</c:v>
                </c:pt>
                <c:pt idx="8">
                  <c:v>37387999.390000001</c:v>
                </c:pt>
                <c:pt idx="9">
                  <c:v>44127328.100000001</c:v>
                </c:pt>
                <c:pt idx="10">
                  <c:v>48119628.32</c:v>
                </c:pt>
                <c:pt idx="11">
                  <c:v>61997300.32</c:v>
                </c:pt>
                <c:pt idx="12">
                  <c:v>69071156.599999994</c:v>
                </c:pt>
              </c:numCache>
            </c:numRef>
          </c:val>
        </c:ser>
        <c:dLbls>
          <c:showLegendKey val="0"/>
          <c:showVal val="0"/>
          <c:showCatName val="0"/>
          <c:showSerName val="0"/>
          <c:showPercent val="0"/>
          <c:showBubbleSize val="0"/>
        </c:dLbls>
        <c:gapWidth val="150"/>
        <c:axId val="223642752"/>
        <c:axId val="223644288"/>
      </c:barChart>
      <c:catAx>
        <c:axId val="223642752"/>
        <c:scaling>
          <c:orientation val="minMax"/>
        </c:scaling>
        <c:delete val="0"/>
        <c:axPos val="b"/>
        <c:numFmt formatCode="General" sourceLinked="1"/>
        <c:majorTickMark val="out"/>
        <c:minorTickMark val="none"/>
        <c:tickLblPos val="nextTo"/>
        <c:txPr>
          <a:bodyPr/>
          <a:lstStyle/>
          <a:p>
            <a:pPr>
              <a:defRPr sz="900" baseline="0"/>
            </a:pPr>
            <a:endParaRPr lang="sl-SI"/>
          </a:p>
        </c:txPr>
        <c:crossAx val="223644288"/>
        <c:crosses val="autoZero"/>
        <c:auto val="1"/>
        <c:lblAlgn val="ctr"/>
        <c:lblOffset val="100"/>
        <c:noMultiLvlLbl val="0"/>
      </c:catAx>
      <c:valAx>
        <c:axId val="223644288"/>
        <c:scaling>
          <c:orientation val="minMax"/>
        </c:scaling>
        <c:delete val="0"/>
        <c:axPos val="l"/>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sysDot"/>
            </a:ln>
          </c:spPr>
        </c:majorGridlines>
        <c:title>
          <c:tx>
            <c:rich>
              <a:bodyPr rot="-5400000" vert="horz"/>
              <a:lstStyle/>
              <a:p>
                <a:pPr>
                  <a:defRPr/>
                </a:pPr>
                <a:r>
                  <a:rPr lang="en-US"/>
                  <a:t>Prihodki iz naslova komunalnega prispevka </a:t>
                </a:r>
                <a:endParaRPr lang="sl-SI"/>
              </a:p>
              <a:p>
                <a:pPr>
                  <a:defRPr/>
                </a:pPr>
                <a:r>
                  <a:rPr lang="en-US"/>
                  <a:t>(v EUR)</a:t>
                </a:r>
              </a:p>
            </c:rich>
          </c:tx>
          <c:layout>
            <c:manualLayout>
              <c:xMode val="edge"/>
              <c:yMode val="edge"/>
              <c:x val="2.2222222222222223E-2"/>
              <c:y val="0.17211283015852527"/>
            </c:manualLayout>
          </c:layout>
          <c:overlay val="0"/>
        </c:title>
        <c:numFmt formatCode="#,##0" sourceLinked="1"/>
        <c:majorTickMark val="out"/>
        <c:minorTickMark val="none"/>
        <c:tickLblPos val="nextTo"/>
        <c:txPr>
          <a:bodyPr/>
          <a:lstStyle/>
          <a:p>
            <a:pPr>
              <a:defRPr sz="900" baseline="0"/>
            </a:pPr>
            <a:endParaRPr lang="sl-SI"/>
          </a:p>
        </c:txPr>
        <c:crossAx val="223642752"/>
        <c:crosses val="autoZero"/>
        <c:crossBetween val="between"/>
      </c:valAx>
    </c:plotArea>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sl-SI"/>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numRef>
              <c:f>'TAB4 dolg občin 2010-2018'!$D$242:$D$250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('TAB4 dolg občin 2010-2018'!$C$217;'TAB4 dolg občin 2010-2018'!$E$217;'TAB4 dolg občin 2010-2018'!$G$217;'TAB4 dolg občin 2010-2018'!$I$217;'TAB4 dolg občin 2010-2018'!$K$217;'TAB4 dolg občin 2010-2018'!$M$217;'TAB4 dolg občin 2010-2018'!$O$217;'TAB4 dolg občin 2010-2018'!$Q$217;'TAB4 dolg občin 2010-2018'!$S$217)</c:f>
              <c:numCache>
                <c:formatCode>#,##0</c:formatCode>
                <c:ptCount val="9"/>
                <c:pt idx="0">
                  <c:v>555835182.98731899</c:v>
                </c:pt>
                <c:pt idx="1">
                  <c:v>624303023.60807276</c:v>
                </c:pt>
                <c:pt idx="2">
                  <c:v>652623768</c:v>
                </c:pt>
                <c:pt idx="3">
                  <c:v>669669165</c:v>
                </c:pt>
                <c:pt idx="4">
                  <c:v>731892320</c:v>
                </c:pt>
                <c:pt idx="5">
                  <c:v>723322927</c:v>
                </c:pt>
                <c:pt idx="6">
                  <c:v>710476342</c:v>
                </c:pt>
                <c:pt idx="7">
                  <c:v>708610499</c:v>
                </c:pt>
                <c:pt idx="8">
                  <c:v>714474635</c:v>
                </c:pt>
              </c:numCache>
            </c:numRef>
          </c:val>
        </c:ser>
        <c:dLbls>
          <c:showLegendKey val="0"/>
          <c:showVal val="0"/>
          <c:showCatName val="0"/>
          <c:showSerName val="0"/>
          <c:showPercent val="0"/>
          <c:showBubbleSize val="0"/>
        </c:dLbls>
        <c:gapWidth val="150"/>
        <c:axId val="223639808"/>
        <c:axId val="223875072"/>
      </c:barChart>
      <c:catAx>
        <c:axId val="223639808"/>
        <c:scaling>
          <c:orientation val="minMax"/>
        </c:scaling>
        <c:delete val="0"/>
        <c:axPos val="b"/>
        <c:numFmt formatCode="General" sourceLinked="1"/>
        <c:majorTickMark val="out"/>
        <c:minorTickMark val="none"/>
        <c:tickLblPos val="nextTo"/>
        <c:txPr>
          <a:bodyPr/>
          <a:lstStyle/>
          <a:p>
            <a:pPr>
              <a:defRPr sz="900" baseline="0"/>
            </a:pPr>
            <a:endParaRPr lang="sl-SI"/>
          </a:p>
        </c:txPr>
        <c:crossAx val="223875072"/>
        <c:crosses val="autoZero"/>
        <c:auto val="1"/>
        <c:lblAlgn val="ctr"/>
        <c:lblOffset val="100"/>
        <c:noMultiLvlLbl val="0"/>
      </c:catAx>
      <c:valAx>
        <c:axId val="223875072"/>
        <c:scaling>
          <c:orientation val="minMax"/>
        </c:scaling>
        <c:delete val="0"/>
        <c:axPos val="l"/>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sysDot"/>
            </a:ln>
          </c:spPr>
        </c:majorGridlines>
        <c:title>
          <c:tx>
            <c:rich>
              <a:bodyPr rot="-5400000" vert="horz"/>
              <a:lstStyle/>
              <a:p>
                <a:pPr>
                  <a:defRPr/>
                </a:pPr>
                <a:r>
                  <a:rPr lang="en-US"/>
                  <a:t>Zadolženost občin </a:t>
                </a:r>
                <a:endParaRPr lang="sl-SI"/>
              </a:p>
              <a:p>
                <a:pPr>
                  <a:defRPr/>
                </a:pPr>
                <a:r>
                  <a:rPr lang="en-US"/>
                  <a:t>(v EUR)</a:t>
                </a:r>
              </a:p>
            </c:rich>
          </c:tx>
          <c:overlay val="0"/>
        </c:title>
        <c:numFmt formatCode="#,##0" sourceLinked="1"/>
        <c:majorTickMark val="out"/>
        <c:minorTickMark val="none"/>
        <c:tickLblPos val="nextTo"/>
        <c:txPr>
          <a:bodyPr/>
          <a:lstStyle/>
          <a:p>
            <a:pPr>
              <a:defRPr sz="900" baseline="0"/>
            </a:pPr>
            <a:endParaRPr lang="sl-SI"/>
          </a:p>
        </c:txPr>
        <c:crossAx val="223639808"/>
        <c:crosses val="autoZero"/>
        <c:crossBetween val="between"/>
      </c:valAx>
    </c:plotArea>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sl-SI"/>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2998419065749579"/>
          <c:y val="3.1903870919267677E-2"/>
          <c:w val="0.7494824777337552"/>
          <c:h val="0.83986631889848751"/>
        </c:manualLayout>
      </c:layout>
      <c:barChart>
        <c:barDir val="col"/>
        <c:grouping val="stacked"/>
        <c:varyColors val="0"/>
        <c:ser>
          <c:idx val="0"/>
          <c:order val="0"/>
          <c:invertIfNegative val="0"/>
          <c:dPt>
            <c:idx val="1"/>
            <c:invertIfNegative val="0"/>
            <c:bubble3D val="0"/>
            <c:spPr>
              <a:solidFill>
                <a:srgbClr val="C00000"/>
              </a:solidFill>
            </c:spPr>
          </c:dPt>
          <c:dPt>
            <c:idx val="2"/>
            <c:invertIfNegative val="0"/>
            <c:bubble3D val="0"/>
            <c:spPr>
              <a:solidFill>
                <a:schemeClr val="accent1">
                  <a:lumMod val="40000"/>
                  <a:lumOff val="60000"/>
                </a:schemeClr>
              </a:solidFill>
            </c:spPr>
          </c:dPt>
          <c:dPt>
            <c:idx val="3"/>
            <c:invertIfNegative val="0"/>
            <c:bubble3D val="0"/>
            <c:spPr>
              <a:solidFill>
                <a:srgbClr val="00B050"/>
              </a:solidFill>
            </c:spPr>
          </c:dPt>
          <c:dLbls>
            <c:dLbl>
              <c:idx val="1"/>
              <c:layout>
                <c:manualLayout>
                  <c:x val="6.6002094194049831E-3"/>
                  <c:y val="-6.1805813903830269E-2"/>
                </c:manualLayout>
              </c:layout>
              <c:showLegendKey val="0"/>
              <c:showVal val="1"/>
              <c:showCatName val="0"/>
              <c:showSerName val="0"/>
              <c:showPercent val="0"/>
              <c:showBubbleSize val="0"/>
            </c:dLbl>
            <c:dLbl>
              <c:idx val="3"/>
              <c:layout>
                <c:manualLayout>
                  <c:x val="-2.1555041817629748E-3"/>
                  <c:y val="-5.9405940594059528E-2"/>
                </c:manualLayout>
              </c:layout>
              <c:showLegendKey val="0"/>
              <c:showVal val="1"/>
              <c:showCatName val="0"/>
              <c:showSerName val="0"/>
              <c:showPercent val="0"/>
              <c:showBubbleSize val="0"/>
            </c:dLbl>
            <c:numFmt formatCode="#,##0" sourceLinked="0"/>
            <c:showLegendKey val="0"/>
            <c:showVal val="0"/>
            <c:showCatName val="0"/>
            <c:showSerName val="0"/>
            <c:showPercent val="0"/>
            <c:showBubbleSize val="0"/>
          </c:dLbls>
          <c:cat>
            <c:strRef>
              <c:f>'TAB6 vrsta zadolžitve.'!$C$225:$F$225</c:f>
              <c:strCache>
                <c:ptCount val="4"/>
                <c:pt idx="0">
                  <c:v>Dolg občine
na dan 31.12. 2018</c:v>
                </c:pt>
                <c:pt idx="1">
                  <c:v>Kratkoročni krediti</c:v>
                </c:pt>
                <c:pt idx="2">
                  <c:v>Dolgoročni krediti</c:v>
                </c:pt>
                <c:pt idx="3">
                  <c:v>Finančni najemi</c:v>
                </c:pt>
              </c:strCache>
            </c:strRef>
          </c:cat>
          <c:val>
            <c:numRef>
              <c:f>'TAB6 vrsta zadolžitve.'!$C$226:$F$226</c:f>
              <c:numCache>
                <c:formatCode>#,##0.0</c:formatCode>
                <c:ptCount val="4"/>
                <c:pt idx="0">
                  <c:v>714474635</c:v>
                </c:pt>
                <c:pt idx="1">
                  <c:v>4507139</c:v>
                </c:pt>
                <c:pt idx="2">
                  <c:v>702433546</c:v>
                </c:pt>
                <c:pt idx="3">
                  <c:v>7533950</c:v>
                </c:pt>
              </c:numCache>
            </c:numRef>
          </c:val>
        </c:ser>
        <c:dLbls>
          <c:showLegendKey val="0"/>
          <c:showVal val="0"/>
          <c:showCatName val="0"/>
          <c:showSerName val="0"/>
          <c:showPercent val="0"/>
          <c:showBubbleSize val="0"/>
        </c:dLbls>
        <c:gapWidth val="150"/>
        <c:overlap val="100"/>
        <c:axId val="223884800"/>
        <c:axId val="223886336"/>
      </c:barChart>
      <c:catAx>
        <c:axId val="223884800"/>
        <c:scaling>
          <c:orientation val="minMax"/>
        </c:scaling>
        <c:delete val="0"/>
        <c:axPos val="b"/>
        <c:majorTickMark val="out"/>
        <c:minorTickMark val="none"/>
        <c:tickLblPos val="nextTo"/>
        <c:txPr>
          <a:bodyPr/>
          <a:lstStyle/>
          <a:p>
            <a:pPr>
              <a:defRPr sz="900" baseline="0"/>
            </a:pPr>
            <a:endParaRPr lang="sl-SI"/>
          </a:p>
        </c:txPr>
        <c:crossAx val="223886336"/>
        <c:crosses val="autoZero"/>
        <c:auto val="1"/>
        <c:lblAlgn val="ctr"/>
        <c:lblOffset val="100"/>
        <c:noMultiLvlLbl val="0"/>
      </c:catAx>
      <c:valAx>
        <c:axId val="223886336"/>
        <c:scaling>
          <c:orientation val="minMax"/>
          <c:min val="0"/>
        </c:scaling>
        <c:delete val="0"/>
        <c:axPos val="l"/>
        <c:majorGridlines>
          <c:spPr>
            <a:ln w="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sysDot"/>
            </a:ln>
          </c:spPr>
        </c:majorGridlines>
        <c:title>
          <c:tx>
            <c:rich>
              <a:bodyPr rot="-5400000" vert="horz"/>
              <a:lstStyle/>
              <a:p>
                <a:pPr>
                  <a:defRPr/>
                </a:pPr>
                <a:r>
                  <a:rPr lang="en-US"/>
                  <a:t>Obseg zadolženosti </a:t>
                </a:r>
                <a:endParaRPr lang="sl-SI"/>
              </a:p>
              <a:p>
                <a:pPr>
                  <a:defRPr/>
                </a:pPr>
                <a:r>
                  <a:rPr lang="en-US"/>
                  <a:t>(v EUR)</a:t>
                </a:r>
              </a:p>
            </c:rich>
          </c:tx>
          <c:layout>
            <c:manualLayout>
              <c:xMode val="edge"/>
              <c:yMode val="edge"/>
              <c:x val="3.5466663687839267E-2"/>
              <c:y val="0.25055249419986714"/>
            </c:manualLayout>
          </c:layout>
          <c:overlay val="0"/>
        </c:title>
        <c:numFmt formatCode="#,##0" sourceLinked="0"/>
        <c:majorTickMark val="out"/>
        <c:minorTickMark val="none"/>
        <c:tickLblPos val="nextTo"/>
        <c:txPr>
          <a:bodyPr/>
          <a:lstStyle/>
          <a:p>
            <a:pPr>
              <a:defRPr sz="900" baseline="0"/>
            </a:pPr>
            <a:endParaRPr lang="sl-SI"/>
          </a:p>
        </c:txPr>
        <c:crossAx val="223884800"/>
        <c:crosses val="autoZero"/>
        <c:crossBetween val="between"/>
        <c:majorUnit val="100000000"/>
      </c:valAx>
    </c:plotArea>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sl-SI"/>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18511153545501491"/>
          <c:y val="7.4950209387598263E-2"/>
          <c:w val="0.61943624086130333"/>
          <c:h val="0.79020212631264897"/>
        </c:manualLayout>
      </c:layout>
      <c:barChart>
        <c:barDir val="col"/>
        <c:grouping val="stacked"/>
        <c:varyColors val="0"/>
        <c:ser>
          <c:idx val="1"/>
          <c:order val="0"/>
          <c:tx>
            <c:strRef>
              <c:f>'IJSVO 2020'!$B$8</c:f>
              <c:strCache>
                <c:ptCount val="1"/>
                <c:pt idx="0">
                  <c:v>Načrtovani ukrepi v JKO </c:v>
                </c:pt>
              </c:strCache>
            </c:strRef>
          </c:tx>
          <c:invertIfNegative val="0"/>
          <c:cat>
            <c:numRef>
              <c:f>'IJSVO 2020'!$C$3:$M$3</c:f>
              <c:numCache>
                <c:formatCode>General</c:formatCode>
                <c:ptCount val="11"/>
                <c:pt idx="0">
                  <c:v>2018</c:v>
                </c:pt>
                <c:pt idx="1">
                  <c:v>2019</c:v>
                </c:pt>
                <c:pt idx="2">
                  <c:v>2020</c:v>
                </c:pt>
                <c:pt idx="3">
                  <c:v>2021</c:v>
                </c:pt>
                <c:pt idx="4">
                  <c:v>2022</c:v>
                </c:pt>
                <c:pt idx="5">
                  <c:v>2023</c:v>
                </c:pt>
                <c:pt idx="6">
                  <c:v>2024</c:v>
                </c:pt>
                <c:pt idx="7">
                  <c:v>2025</c:v>
                </c:pt>
                <c:pt idx="8">
                  <c:v>2026</c:v>
                </c:pt>
                <c:pt idx="9">
                  <c:v>2027</c:v>
                </c:pt>
                <c:pt idx="10">
                  <c:v>2028</c:v>
                </c:pt>
              </c:numCache>
            </c:numRef>
          </c:cat>
          <c:val>
            <c:numRef>
              <c:f>'IJSVO 2020'!$C$8:$M$8</c:f>
              <c:numCache>
                <c:formatCode>0.0</c:formatCode>
                <c:ptCount val="11"/>
                <c:pt idx="0">
                  <c:v>67.800351000000006</c:v>
                </c:pt>
                <c:pt idx="1">
                  <c:v>77.919694000000007</c:v>
                </c:pt>
                <c:pt idx="2">
                  <c:v>106.480507</c:v>
                </c:pt>
                <c:pt idx="3">
                  <c:v>88.379199999999997</c:v>
                </c:pt>
                <c:pt idx="4">
                  <c:v>72.604865000000004</c:v>
                </c:pt>
                <c:pt idx="5">
                  <c:v>46.983519999999999</c:v>
                </c:pt>
                <c:pt idx="6">
                  <c:v>17.345196000000001</c:v>
                </c:pt>
                <c:pt idx="7">
                  <c:v>17.944416</c:v>
                </c:pt>
                <c:pt idx="8">
                  <c:v>15.011512</c:v>
                </c:pt>
                <c:pt idx="9">
                  <c:v>16.082923999999998</c:v>
                </c:pt>
                <c:pt idx="10">
                  <c:v>45.700405000000003</c:v>
                </c:pt>
              </c:numCache>
            </c:numRef>
          </c:val>
        </c:ser>
        <c:ser>
          <c:idx val="2"/>
          <c:order val="1"/>
          <c:tx>
            <c:strRef>
              <c:f>'IJSVO 2020'!$B$9</c:f>
              <c:strCache>
                <c:ptCount val="1"/>
                <c:pt idx="0">
                  <c:v>Načrtovani ukrepi v KČN </c:v>
                </c:pt>
              </c:strCache>
            </c:strRef>
          </c:tx>
          <c:invertIfNegative val="0"/>
          <c:cat>
            <c:numRef>
              <c:f>'IJSVO 2020'!$C$3:$M$3</c:f>
              <c:numCache>
                <c:formatCode>General</c:formatCode>
                <c:ptCount val="11"/>
                <c:pt idx="0">
                  <c:v>2018</c:v>
                </c:pt>
                <c:pt idx="1">
                  <c:v>2019</c:v>
                </c:pt>
                <c:pt idx="2">
                  <c:v>2020</c:v>
                </c:pt>
                <c:pt idx="3">
                  <c:v>2021</c:v>
                </c:pt>
                <c:pt idx="4">
                  <c:v>2022</c:v>
                </c:pt>
                <c:pt idx="5">
                  <c:v>2023</c:v>
                </c:pt>
                <c:pt idx="6">
                  <c:v>2024</c:v>
                </c:pt>
                <c:pt idx="7">
                  <c:v>2025</c:v>
                </c:pt>
                <c:pt idx="8">
                  <c:v>2026</c:v>
                </c:pt>
                <c:pt idx="9">
                  <c:v>2027</c:v>
                </c:pt>
                <c:pt idx="10">
                  <c:v>2028</c:v>
                </c:pt>
              </c:numCache>
            </c:numRef>
          </c:cat>
          <c:val>
            <c:numRef>
              <c:f>'IJSVO 2020'!$C$9:$M$9</c:f>
              <c:numCache>
                <c:formatCode>0.0</c:formatCode>
                <c:ptCount val="11"/>
                <c:pt idx="0">
                  <c:v>20.916242</c:v>
                </c:pt>
                <c:pt idx="1">
                  <c:v>36.155645999999997</c:v>
                </c:pt>
                <c:pt idx="2">
                  <c:v>24.331631000000002</c:v>
                </c:pt>
                <c:pt idx="3">
                  <c:v>33.359419000000003</c:v>
                </c:pt>
                <c:pt idx="4">
                  <c:v>4.9332320000000003</c:v>
                </c:pt>
                <c:pt idx="5">
                  <c:v>2.862625</c:v>
                </c:pt>
                <c:pt idx="6">
                  <c:v>1.095016</c:v>
                </c:pt>
                <c:pt idx="7">
                  <c:v>0.76869699999999996</c:v>
                </c:pt>
                <c:pt idx="8">
                  <c:v>1.2418940000000001</c:v>
                </c:pt>
                <c:pt idx="9">
                  <c:v>1.0309999999999999</c:v>
                </c:pt>
                <c:pt idx="10">
                  <c:v>3.3005</c:v>
                </c:pt>
              </c:numCache>
            </c:numRef>
          </c:val>
        </c:ser>
        <c:dLbls>
          <c:showLegendKey val="0"/>
          <c:showVal val="0"/>
          <c:showCatName val="0"/>
          <c:showSerName val="0"/>
          <c:showPercent val="0"/>
          <c:showBubbleSize val="0"/>
        </c:dLbls>
        <c:gapWidth val="150"/>
        <c:overlap val="100"/>
        <c:axId val="223923584"/>
        <c:axId val="224462336"/>
      </c:barChart>
      <c:catAx>
        <c:axId val="223923584"/>
        <c:scaling>
          <c:orientation val="minMax"/>
        </c:scaling>
        <c:delete val="0"/>
        <c:axPos val="b"/>
        <c:majorGridlines>
          <c:spPr>
            <a:ln w="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sysDot"/>
            </a:ln>
          </c:spPr>
        </c:majorGridlines>
        <c:title>
          <c:tx>
            <c:strRef>
              <c:f>'IJSVO 2020'!$B$12</c:f>
              <c:strCache>
                <c:ptCount val="1"/>
                <c:pt idx="0">
                  <c:v>Vir: IJSVO, 2020.</c:v>
                </c:pt>
              </c:strCache>
            </c:strRef>
          </c:tx>
          <c:layout>
            <c:manualLayout>
              <c:xMode val="edge"/>
              <c:yMode val="edge"/>
              <c:x val="0.1518069370569671"/>
              <c:y val="0.94029852617275"/>
            </c:manualLayout>
          </c:layout>
          <c:overlay val="0"/>
          <c:txPr>
            <a:bodyPr/>
            <a:lstStyle/>
            <a:p>
              <a:pPr>
                <a:defRPr sz="800" baseline="0"/>
              </a:pPr>
              <a:endParaRPr lang="sl-SI"/>
            </a:p>
          </c:txPr>
        </c:title>
        <c:numFmt formatCode="General" sourceLinked="1"/>
        <c:majorTickMark val="out"/>
        <c:minorTickMark val="none"/>
        <c:tickLblPos val="nextTo"/>
        <c:txPr>
          <a:bodyPr/>
          <a:lstStyle/>
          <a:p>
            <a:pPr>
              <a:defRPr sz="900" baseline="0"/>
            </a:pPr>
            <a:endParaRPr lang="sl-SI"/>
          </a:p>
        </c:txPr>
        <c:crossAx val="224462336"/>
        <c:crosses val="autoZero"/>
        <c:auto val="1"/>
        <c:lblAlgn val="ctr"/>
        <c:lblOffset val="100"/>
        <c:noMultiLvlLbl val="0"/>
      </c:catAx>
      <c:valAx>
        <c:axId val="224462336"/>
        <c:scaling>
          <c:orientation val="minMax"/>
        </c:scaling>
        <c:delete val="0"/>
        <c:axPos val="l"/>
        <c:majorGridlines>
          <c:spPr>
            <a:ln w="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sysDot"/>
            </a:ln>
          </c:spPr>
        </c:majorGridlines>
        <c:title>
          <c:tx>
            <c:rich>
              <a:bodyPr rot="-5400000" vert="horz"/>
              <a:lstStyle/>
              <a:p>
                <a:pPr>
                  <a:defRPr sz="900" b="1" baseline="0"/>
                </a:pPr>
                <a:r>
                  <a:rPr lang="en-US" sz="900" b="1" baseline="0"/>
                  <a:t>Predvidena sredstva za izvajanje ukrepov </a:t>
                </a:r>
                <a:r>
                  <a:rPr lang="sl-SI" sz="900" b="1" baseline="0"/>
                  <a:t>        </a:t>
                </a:r>
              </a:p>
              <a:p>
                <a:pPr>
                  <a:defRPr sz="900" b="1" baseline="0"/>
                </a:pPr>
                <a:r>
                  <a:rPr lang="sl-SI" sz="900" b="1" baseline="0"/>
                  <a:t> </a:t>
                </a:r>
                <a:r>
                  <a:rPr lang="en-US" sz="900" b="1" baseline="0"/>
                  <a:t>(v mio EUR)</a:t>
                </a:r>
              </a:p>
            </c:rich>
          </c:tx>
          <c:layout>
            <c:manualLayout>
              <c:xMode val="edge"/>
              <c:yMode val="edge"/>
              <c:x val="3.8122459847218987E-2"/>
              <c:y val="0.11106821324753763"/>
            </c:manualLayout>
          </c:layout>
          <c:overlay val="0"/>
        </c:title>
        <c:numFmt formatCode="0.0" sourceLinked="1"/>
        <c:majorTickMark val="out"/>
        <c:minorTickMark val="none"/>
        <c:tickLblPos val="nextTo"/>
        <c:spPr>
          <a:ln>
            <a:noFill/>
          </a:ln>
        </c:spPr>
        <c:txPr>
          <a:bodyPr/>
          <a:lstStyle/>
          <a:p>
            <a:pPr>
              <a:defRPr sz="900" baseline="0"/>
            </a:pPr>
            <a:endParaRPr lang="sl-SI"/>
          </a:p>
        </c:txPr>
        <c:crossAx val="223923584"/>
        <c:crosses val="autoZero"/>
        <c:crossBetween val="between"/>
      </c:valAx>
      <c:spPr>
        <a:noFill/>
      </c:spPr>
    </c:plotArea>
    <c:legend>
      <c:legendPos val="r"/>
      <c:legendEntry>
        <c:idx val="0"/>
        <c:txPr>
          <a:bodyPr/>
          <a:lstStyle/>
          <a:p>
            <a:pPr>
              <a:defRPr sz="900" baseline="0"/>
            </a:pPr>
            <a:endParaRPr lang="sl-SI"/>
          </a:p>
        </c:txPr>
      </c:legendEntry>
      <c:legendEntry>
        <c:idx val="1"/>
        <c:txPr>
          <a:bodyPr/>
          <a:lstStyle/>
          <a:p>
            <a:pPr>
              <a:defRPr sz="900" baseline="0"/>
            </a:pPr>
            <a:endParaRPr lang="sl-SI"/>
          </a:p>
        </c:txPr>
      </c:legendEntry>
      <c:layout>
        <c:manualLayout>
          <c:xMode val="edge"/>
          <c:yMode val="edge"/>
          <c:x val="0.81274198085262306"/>
          <c:y val="0.23348406750361025"/>
          <c:w val="0.16748622450916958"/>
          <c:h val="0.35541243760714891"/>
        </c:manualLayout>
      </c:layout>
      <c:overlay val="0"/>
    </c:legend>
    <c:plotVisOnly val="1"/>
    <c:dispBlanksAs val="gap"/>
    <c:showDLblsOverMax val="0"/>
  </c:chart>
  <c:spPr>
    <a:noFill/>
    <a:ln>
      <a:noFill/>
    </a:ln>
  </c:spPr>
  <c:txPr>
    <a:bodyPr/>
    <a:lstStyle/>
    <a:p>
      <a:pPr>
        <a:defRPr b="0">
          <a:latin typeface="Arial" panose="020B0604020202020204" pitchFamily="34" charset="0"/>
          <a:cs typeface="Arial" panose="020B0604020202020204" pitchFamily="34" charset="0"/>
        </a:defRPr>
      </a:pPr>
      <a:endParaRPr lang="sl-SI"/>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stacked"/>
        <c:varyColors val="0"/>
        <c:ser>
          <c:idx val="0"/>
          <c:order val="0"/>
          <c:tx>
            <c:strRef>
              <c:f>'OP2020-IJSVO'!$I$27</c:f>
              <c:strCache>
                <c:ptCount val="1"/>
                <c:pt idx="0">
                  <c:v>JKO</c:v>
                </c:pt>
              </c:strCache>
            </c:strRef>
          </c:tx>
          <c:spPr>
            <a:solidFill>
              <a:schemeClr val="accent2">
                <a:lumMod val="75000"/>
              </a:schemeClr>
            </a:solidFill>
          </c:spPr>
          <c:invertIfNegative val="0"/>
          <c:dLbls>
            <c:txPr>
              <a:bodyPr/>
              <a:lstStyle/>
              <a:p>
                <a:pPr>
                  <a:defRPr b="1">
                    <a:solidFill>
                      <a:schemeClr val="bg1"/>
                    </a:solidFill>
                  </a:defRPr>
                </a:pPr>
                <a:endParaRPr lang="sl-SI"/>
              </a:p>
            </c:txPr>
            <c:showLegendKey val="0"/>
            <c:showVal val="1"/>
            <c:showCatName val="0"/>
            <c:showSerName val="0"/>
            <c:showPercent val="0"/>
            <c:showBubbleSize val="0"/>
            <c:showLeaderLines val="0"/>
          </c:dLbls>
          <c:cat>
            <c:strRef>
              <c:f>'OP2020-IJSVO'!$J$26:$K$26</c:f>
              <c:strCache>
                <c:ptCount val="2"/>
                <c:pt idx="0">
                  <c:v>OP2020</c:v>
                </c:pt>
                <c:pt idx="1">
                  <c:v>IJSVO</c:v>
                </c:pt>
              </c:strCache>
            </c:strRef>
          </c:cat>
          <c:val>
            <c:numRef>
              <c:f>'OP2020-IJSVO'!$J$27:$K$27</c:f>
              <c:numCache>
                <c:formatCode>_-* #,##0.0\ _€_-;\-* #,##0.0\ _€_-;_-* "-"??\ _€_-;_-@_-</c:formatCode>
                <c:ptCount val="2"/>
                <c:pt idx="0">
                  <c:v>925.1</c:v>
                </c:pt>
                <c:pt idx="1">
                  <c:v>572.25259000000005</c:v>
                </c:pt>
              </c:numCache>
            </c:numRef>
          </c:val>
        </c:ser>
        <c:ser>
          <c:idx val="1"/>
          <c:order val="1"/>
          <c:tx>
            <c:strRef>
              <c:f>'OP2020-IJSVO'!$I$28</c:f>
              <c:strCache>
                <c:ptCount val="1"/>
                <c:pt idx="0">
                  <c:v>KČN</c:v>
                </c:pt>
              </c:strCache>
            </c:strRef>
          </c:tx>
          <c:spPr>
            <a:solidFill>
              <a:schemeClr val="accent2">
                <a:lumMod val="60000"/>
                <a:lumOff val="40000"/>
              </a:schemeClr>
            </a:solidFill>
          </c:spPr>
          <c:invertIfNegative val="0"/>
          <c:dLbls>
            <c:txPr>
              <a:bodyPr/>
              <a:lstStyle/>
              <a:p>
                <a:pPr>
                  <a:defRPr b="1">
                    <a:solidFill>
                      <a:schemeClr val="bg1"/>
                    </a:solidFill>
                  </a:defRPr>
                </a:pPr>
                <a:endParaRPr lang="sl-SI"/>
              </a:p>
            </c:txPr>
            <c:showLegendKey val="0"/>
            <c:showVal val="1"/>
            <c:showCatName val="0"/>
            <c:showSerName val="0"/>
            <c:showPercent val="0"/>
            <c:showBubbleSize val="0"/>
            <c:showLeaderLines val="0"/>
          </c:dLbls>
          <c:cat>
            <c:strRef>
              <c:f>'OP2020-IJSVO'!$J$26:$K$26</c:f>
              <c:strCache>
                <c:ptCount val="2"/>
                <c:pt idx="0">
                  <c:v>OP2020</c:v>
                </c:pt>
                <c:pt idx="1">
                  <c:v>IJSVO</c:v>
                </c:pt>
              </c:strCache>
            </c:strRef>
          </c:cat>
          <c:val>
            <c:numRef>
              <c:f>'OP2020-IJSVO'!$J$28:$K$28</c:f>
              <c:numCache>
                <c:formatCode>_-* #,##0.0\ _€_-;\-* #,##0.0\ _€_-;_-* "-"??\ _€_-;_-@_-</c:formatCode>
                <c:ptCount val="2"/>
                <c:pt idx="0">
                  <c:v>240.30774300000002</c:v>
                </c:pt>
                <c:pt idx="1">
                  <c:v>129.995902</c:v>
                </c:pt>
              </c:numCache>
            </c:numRef>
          </c:val>
        </c:ser>
        <c:ser>
          <c:idx val="2"/>
          <c:order val="2"/>
          <c:tx>
            <c:strRef>
              <c:f>'OP2020-IJSVO'!$I$29</c:f>
              <c:strCache>
                <c:ptCount val="1"/>
                <c:pt idx="0">
                  <c:v>MKČN</c:v>
                </c:pt>
              </c:strCache>
            </c:strRef>
          </c:tx>
          <c:invertIfNegative val="0"/>
          <c:dLbls>
            <c:txPr>
              <a:bodyPr/>
              <a:lstStyle/>
              <a:p>
                <a:pPr>
                  <a:defRPr b="1">
                    <a:solidFill>
                      <a:schemeClr val="bg1"/>
                    </a:solidFill>
                  </a:defRPr>
                </a:pPr>
                <a:endParaRPr lang="sl-SI"/>
              </a:p>
            </c:txPr>
            <c:showLegendKey val="0"/>
            <c:showVal val="1"/>
            <c:showCatName val="0"/>
            <c:showSerName val="0"/>
            <c:showPercent val="0"/>
            <c:showBubbleSize val="0"/>
            <c:showLeaderLines val="0"/>
          </c:dLbls>
          <c:cat>
            <c:strRef>
              <c:f>'OP2020-IJSVO'!$J$26:$K$26</c:f>
              <c:strCache>
                <c:ptCount val="2"/>
                <c:pt idx="0">
                  <c:v>OP2020</c:v>
                </c:pt>
                <c:pt idx="1">
                  <c:v>IJSVO</c:v>
                </c:pt>
              </c:strCache>
            </c:strRef>
          </c:cat>
          <c:val>
            <c:numRef>
              <c:f>'OP2020-IJSVO'!$J$29:$K$29</c:f>
              <c:numCache>
                <c:formatCode>General</c:formatCode>
                <c:ptCount val="2"/>
                <c:pt idx="0" formatCode="_-* #,##0.0\ _€_-;\-* #,##0.0\ _€_-;_-* &quot;-&quot;??\ _€_-;_-@_-">
                  <c:v>216.9</c:v>
                </c:pt>
              </c:numCache>
            </c:numRef>
          </c:val>
        </c:ser>
        <c:dLbls>
          <c:showLegendKey val="0"/>
          <c:showVal val="0"/>
          <c:showCatName val="0"/>
          <c:showSerName val="0"/>
          <c:showPercent val="0"/>
          <c:showBubbleSize val="0"/>
        </c:dLbls>
        <c:gapWidth val="150"/>
        <c:overlap val="100"/>
        <c:axId val="224502912"/>
        <c:axId val="224504448"/>
      </c:barChart>
      <c:catAx>
        <c:axId val="224502912"/>
        <c:scaling>
          <c:orientation val="minMax"/>
        </c:scaling>
        <c:delete val="0"/>
        <c:axPos val="b"/>
        <c:majorTickMark val="out"/>
        <c:minorTickMark val="none"/>
        <c:tickLblPos val="nextTo"/>
        <c:txPr>
          <a:bodyPr/>
          <a:lstStyle/>
          <a:p>
            <a:pPr>
              <a:defRPr sz="900" baseline="0"/>
            </a:pPr>
            <a:endParaRPr lang="sl-SI"/>
          </a:p>
        </c:txPr>
        <c:crossAx val="224504448"/>
        <c:crosses val="autoZero"/>
        <c:auto val="1"/>
        <c:lblAlgn val="ctr"/>
        <c:lblOffset val="100"/>
        <c:noMultiLvlLbl val="0"/>
      </c:catAx>
      <c:valAx>
        <c:axId val="224504448"/>
        <c:scaling>
          <c:orientation val="minMax"/>
        </c:scaling>
        <c:delete val="0"/>
        <c:axPos val="l"/>
        <c:majorGridlines>
          <c:spPr>
            <a:ln w="9525">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sysDot"/>
            </a:ln>
          </c:spPr>
        </c:majorGridlines>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sl-SI" sz="1000" b="1" i="0" baseline="0">
                    <a:effectLst/>
                  </a:rPr>
                  <a:t>I</a:t>
                </a:r>
                <a:r>
                  <a:rPr lang="en-US" sz="1000" b="1" i="0" baseline="0">
                    <a:effectLst/>
                  </a:rPr>
                  <a:t>nvesticijski stroški (v mio EUR)</a:t>
                </a:r>
                <a:endParaRPr lang="sl-SI" sz="1000">
                  <a:effectLst/>
                </a:endParaRP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l-SI" sz="1000"/>
              </a:p>
            </c:rich>
          </c:tx>
          <c:overlay val="0"/>
        </c:title>
        <c:numFmt formatCode="#,##0" sourceLinked="0"/>
        <c:majorTickMark val="out"/>
        <c:minorTickMark val="none"/>
        <c:tickLblPos val="nextTo"/>
        <c:txPr>
          <a:bodyPr/>
          <a:lstStyle/>
          <a:p>
            <a:pPr>
              <a:defRPr sz="900" baseline="0"/>
            </a:pPr>
            <a:endParaRPr lang="sl-SI"/>
          </a:p>
        </c:txPr>
        <c:crossAx val="224502912"/>
        <c:crosses val="autoZero"/>
        <c:crossBetween val="between"/>
      </c:valAx>
    </c:plotArea>
    <c:legend>
      <c:legendPos val="r"/>
      <c:overlay val="0"/>
      <c:txPr>
        <a:bodyPr/>
        <a:lstStyle/>
        <a:p>
          <a:pPr>
            <a:defRPr sz="900" baseline="0"/>
          </a:pPr>
          <a:endParaRPr lang="sl-SI"/>
        </a:p>
      </c:txPr>
    </c:legend>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sl-SI"/>
    </a:p>
  </c:txPr>
  <c:externalData r:id="rId1">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A5368-4588-499C-9395-5AA032937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83</Pages>
  <Words>35432</Words>
  <Characters>201967</Characters>
  <Application>Microsoft Office Word</Application>
  <DocSecurity>0</DocSecurity>
  <Lines>1683</Lines>
  <Paragraphs>473</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236926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Janez.Dodic</dc:creator>
  <cp:lastModifiedBy>Blaz.Pokersnik</cp:lastModifiedBy>
  <cp:revision>22</cp:revision>
  <cp:lastPrinted>2020-09-18T09:58:00Z</cp:lastPrinted>
  <dcterms:created xsi:type="dcterms:W3CDTF">2020-09-08T11:22:00Z</dcterms:created>
  <dcterms:modified xsi:type="dcterms:W3CDTF">2020-09-18T11:56:00Z</dcterms:modified>
</cp:coreProperties>
</file>