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E46E1" w14:textId="0612C2DA" w:rsidR="00422C3C" w:rsidRPr="009509BA" w:rsidRDefault="00E35D26">
      <w:pPr>
        <w:pStyle w:val="Header"/>
        <w:tabs>
          <w:tab w:val="clear" w:pos="4536"/>
          <w:tab w:val="clear" w:pos="9072"/>
        </w:tabs>
        <w:rPr>
          <w:rFonts w:ascii="Arial" w:hAnsi="Arial" w:cs="Arial"/>
        </w:rPr>
      </w:pPr>
      <w:r w:rsidRPr="004568BD">
        <w:rPr>
          <w:noProof/>
        </w:rPr>
        <w:drawing>
          <wp:inline distT="0" distB="0" distL="0" distR="0" wp14:anchorId="178A7E35" wp14:editId="5F84D601">
            <wp:extent cx="5762625" cy="6477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647700"/>
                    </a:xfrm>
                    <a:prstGeom prst="rect">
                      <a:avLst/>
                    </a:prstGeom>
                    <a:noFill/>
                    <a:ln>
                      <a:noFill/>
                    </a:ln>
                  </pic:spPr>
                </pic:pic>
              </a:graphicData>
            </a:graphic>
          </wp:inline>
        </w:drawing>
      </w:r>
    </w:p>
    <w:p w14:paraId="64BB55F2" w14:textId="77777777" w:rsidR="0007739C" w:rsidRPr="00893C09" w:rsidRDefault="0007739C" w:rsidP="0007739C">
      <w:pPr>
        <w:rPr>
          <w:rFonts w:ascii="Inria Sans" w:hAnsi="Inria Sans" w:cs="Arial"/>
          <w:sz w:val="16"/>
          <w:szCs w:val="16"/>
        </w:rPr>
      </w:pPr>
    </w:p>
    <w:p w14:paraId="170BF971" w14:textId="77777777" w:rsidR="0007739C" w:rsidRPr="00893C09" w:rsidRDefault="0007739C" w:rsidP="0007739C">
      <w:pPr>
        <w:rPr>
          <w:rFonts w:ascii="Inria Sans" w:hAnsi="Inria Sans" w:cs="Arial"/>
          <w:sz w:val="16"/>
          <w:szCs w:val="16"/>
        </w:rPr>
      </w:pPr>
    </w:p>
    <w:p w14:paraId="40D6CDAC" w14:textId="7DBB3DF6" w:rsidR="00C109E3" w:rsidRPr="00663B92" w:rsidRDefault="00C109E3" w:rsidP="00C109E3">
      <w:pPr>
        <w:rPr>
          <w:rFonts w:ascii="Inria Sans" w:hAnsi="Inria Sans" w:cs="Arial"/>
          <w:sz w:val="22"/>
          <w:szCs w:val="22"/>
        </w:rPr>
      </w:pPr>
      <w:r w:rsidRPr="00663B92">
        <w:rPr>
          <w:rFonts w:ascii="Inria Sans" w:hAnsi="Inria Sans" w:cs="Arial"/>
          <w:sz w:val="22"/>
          <w:szCs w:val="22"/>
        </w:rPr>
        <w:t xml:space="preserve">Datum: </w:t>
      </w:r>
      <w:r w:rsidR="001C1333">
        <w:rPr>
          <w:rFonts w:ascii="Inria Sans" w:hAnsi="Inria Sans" w:cs="Arial"/>
          <w:sz w:val="22"/>
          <w:szCs w:val="22"/>
        </w:rPr>
        <w:t>4</w:t>
      </w:r>
      <w:r w:rsidRPr="00663B92">
        <w:rPr>
          <w:rFonts w:ascii="Inria Sans" w:hAnsi="Inria Sans" w:cs="Arial"/>
          <w:sz w:val="22"/>
          <w:szCs w:val="22"/>
        </w:rPr>
        <w:t xml:space="preserve">. </w:t>
      </w:r>
      <w:r w:rsidR="001C1333">
        <w:rPr>
          <w:rFonts w:ascii="Inria Sans" w:hAnsi="Inria Sans" w:cs="Arial"/>
          <w:sz w:val="22"/>
          <w:szCs w:val="22"/>
        </w:rPr>
        <w:t>5</w:t>
      </w:r>
      <w:r w:rsidRPr="00663B92">
        <w:rPr>
          <w:rFonts w:ascii="Inria Sans" w:hAnsi="Inria Sans" w:cs="Arial"/>
          <w:sz w:val="22"/>
          <w:szCs w:val="22"/>
        </w:rPr>
        <w:t>. 202</w:t>
      </w:r>
      <w:r>
        <w:rPr>
          <w:rFonts w:ascii="Inria Sans" w:hAnsi="Inria Sans" w:cs="Arial"/>
          <w:sz w:val="22"/>
          <w:szCs w:val="22"/>
        </w:rPr>
        <w:t>6</w:t>
      </w:r>
    </w:p>
    <w:p w14:paraId="0B9D276A" w14:textId="77777777" w:rsidR="00C109E3" w:rsidRPr="00663B92" w:rsidRDefault="00C109E3" w:rsidP="00C109E3">
      <w:pPr>
        <w:rPr>
          <w:rFonts w:ascii="Inria Sans" w:hAnsi="Inria Sans" w:cs="Arial"/>
          <w:sz w:val="22"/>
          <w:szCs w:val="22"/>
        </w:rPr>
      </w:pPr>
    </w:p>
    <w:p w14:paraId="26FDBE83" w14:textId="345A0B11" w:rsidR="00C109E3" w:rsidRPr="00663B92" w:rsidRDefault="00C109E3" w:rsidP="00C109E3">
      <w:pPr>
        <w:rPr>
          <w:rFonts w:ascii="Inria Sans" w:hAnsi="Inria Sans" w:cs="Arial"/>
          <w:b/>
          <w:sz w:val="22"/>
          <w:szCs w:val="22"/>
        </w:rPr>
      </w:pPr>
      <w:r w:rsidRPr="00663B92">
        <w:rPr>
          <w:rFonts w:ascii="Inria Sans" w:hAnsi="Inria Sans" w:cs="Arial"/>
          <w:sz w:val="22"/>
          <w:szCs w:val="22"/>
        </w:rPr>
        <w:t>Zadeva:</w:t>
      </w:r>
      <w:r w:rsidRPr="00663B92">
        <w:rPr>
          <w:rFonts w:ascii="Inria Sans" w:hAnsi="Inria Sans" w:cs="Arial"/>
          <w:b/>
          <w:sz w:val="22"/>
          <w:szCs w:val="22"/>
        </w:rPr>
        <w:t xml:space="preserve"> </w:t>
      </w:r>
      <w:r>
        <w:rPr>
          <w:rFonts w:ascii="Inria Sans" w:hAnsi="Inria Sans" w:cs="Arial"/>
          <w:b/>
          <w:sz w:val="22"/>
          <w:szCs w:val="22"/>
        </w:rPr>
        <w:t xml:space="preserve">Območja za izločitev </w:t>
      </w:r>
      <w:proofErr w:type="spellStart"/>
      <w:r>
        <w:rPr>
          <w:rFonts w:ascii="Inria Sans" w:hAnsi="Inria Sans" w:cs="Arial"/>
          <w:b/>
          <w:sz w:val="22"/>
          <w:szCs w:val="22"/>
        </w:rPr>
        <w:t>ekocelic</w:t>
      </w:r>
      <w:proofErr w:type="spellEnd"/>
      <w:r w:rsidR="008C3B1A">
        <w:rPr>
          <w:rFonts w:ascii="Inria Sans" w:hAnsi="Inria Sans" w:cs="Arial"/>
          <w:b/>
          <w:sz w:val="22"/>
          <w:szCs w:val="22"/>
        </w:rPr>
        <w:t xml:space="preserve"> – izzivi pri izločanju območij gozdov iz gospodarjenja</w:t>
      </w:r>
    </w:p>
    <w:p w14:paraId="6F82797C" w14:textId="77777777" w:rsidR="00C109E3" w:rsidRPr="00663B92" w:rsidRDefault="00C109E3" w:rsidP="00C109E3">
      <w:pPr>
        <w:rPr>
          <w:rFonts w:ascii="Inria Sans" w:hAnsi="Inria Sans" w:cs="Arial"/>
          <w:b/>
          <w:sz w:val="22"/>
          <w:szCs w:val="22"/>
        </w:rPr>
      </w:pPr>
    </w:p>
    <w:p w14:paraId="221CEE43" w14:textId="54EE00C6" w:rsidR="00C109E3" w:rsidRPr="0048257B" w:rsidRDefault="00C109E3" w:rsidP="00C109E3">
      <w:pPr>
        <w:spacing w:before="120" w:after="120"/>
        <w:jc w:val="both"/>
        <w:rPr>
          <w:rFonts w:ascii="Inria Sans" w:hAnsi="Inria Sans" w:cs="Arial"/>
        </w:rPr>
      </w:pPr>
      <w:r w:rsidRPr="0048257B">
        <w:rPr>
          <w:rFonts w:ascii="Inria Sans" w:hAnsi="Inria Sans" w:cs="Arial"/>
        </w:rPr>
        <w:t xml:space="preserve">Ukrep </w:t>
      </w:r>
      <w:r w:rsidR="008C3B1A">
        <w:rPr>
          <w:rFonts w:ascii="Inria Sans" w:hAnsi="Inria Sans" w:cs="Arial"/>
        </w:rPr>
        <w:t xml:space="preserve">prepuščanja gozdov naravnemu razvoju oz. ukrep </w:t>
      </w:r>
      <w:r w:rsidRPr="0048257B">
        <w:rPr>
          <w:rFonts w:ascii="Inria Sans" w:hAnsi="Inria Sans" w:cs="Arial"/>
        </w:rPr>
        <w:t xml:space="preserve">izločanja </w:t>
      </w:r>
      <w:proofErr w:type="spellStart"/>
      <w:r w:rsidRPr="0048257B">
        <w:rPr>
          <w:rFonts w:ascii="Inria Sans" w:hAnsi="Inria Sans" w:cs="Arial"/>
        </w:rPr>
        <w:t>ekocelic</w:t>
      </w:r>
      <w:proofErr w:type="spellEnd"/>
      <w:r w:rsidRPr="0048257B">
        <w:rPr>
          <w:rFonts w:ascii="Inria Sans" w:hAnsi="Inria Sans" w:cs="Arial"/>
        </w:rPr>
        <w:t xml:space="preserve"> </w:t>
      </w:r>
      <w:r w:rsidR="008C3B1A">
        <w:rPr>
          <w:rFonts w:ascii="Inria Sans" w:hAnsi="Inria Sans" w:cs="Arial"/>
        </w:rPr>
        <w:t xml:space="preserve">omeji gospodarjenje z gozdovi na določenem območju za določeno obdobje, za kar lastnik dobi denarno nadomestilo. Ta ukrep </w:t>
      </w:r>
      <w:r w:rsidRPr="0048257B">
        <w:rPr>
          <w:rFonts w:ascii="Inria Sans" w:hAnsi="Inria Sans" w:cs="Arial"/>
        </w:rPr>
        <w:t>mora biti skrbno načrtovan</w:t>
      </w:r>
      <w:r w:rsidR="008C3B1A">
        <w:rPr>
          <w:rFonts w:ascii="Inria Sans" w:hAnsi="Inria Sans" w:cs="Arial"/>
        </w:rPr>
        <w:t xml:space="preserve"> v območjih, kjer ima ukrep največji učinek</w:t>
      </w:r>
      <w:r w:rsidRPr="0048257B">
        <w:rPr>
          <w:rFonts w:ascii="Inria Sans" w:hAnsi="Inria Sans" w:cs="Arial"/>
        </w:rPr>
        <w:t>, saj so živalske vrste vezane na odmrlo drevje večjih dimenzij točno določene drevesne vrste in živijo v specifičnih ekoloških razmerah (npr. v določenih višinskih pasovih). Za uspešno implementacijo ukrepa je zato potrebno dobro poznavanje zahtev vrst, za katere se območje izloča iz gospodarjenja (npr. za izboljšanje stanja vrste triprsti detel ima smisel izločan</w:t>
      </w:r>
      <w:r w:rsidR="00010B16">
        <w:rPr>
          <w:rFonts w:ascii="Inria Sans" w:hAnsi="Inria Sans" w:cs="Arial"/>
        </w:rPr>
        <w:t>j</w:t>
      </w:r>
      <w:r w:rsidRPr="0048257B">
        <w:rPr>
          <w:rFonts w:ascii="Inria Sans" w:hAnsi="Inria Sans" w:cs="Arial"/>
        </w:rPr>
        <w:t>e iz gospodarjenja le sestoje z večjim deležem smreke). Ob pogoju ustreznega habitata pa naravnemu razvoju prepuščamo predvsem težje dostopne in za gozdno proizvodnjo neodprte predele, predele gozdov z oteženimi pogoji za gospodarjenje ter predele gozdov z drevjem slabše kakovosti. Izogibati se moramo predelov, kjer je zaradi spremenjene drevesne sestave (</w:t>
      </w:r>
      <w:proofErr w:type="spellStart"/>
      <w:r w:rsidRPr="0048257B">
        <w:rPr>
          <w:rFonts w:ascii="Inria Sans" w:hAnsi="Inria Sans" w:cs="Arial"/>
        </w:rPr>
        <w:t>zasmrečeni</w:t>
      </w:r>
      <w:proofErr w:type="spellEnd"/>
      <w:r w:rsidRPr="0048257B">
        <w:rPr>
          <w:rFonts w:ascii="Inria Sans" w:hAnsi="Inria Sans" w:cs="Arial"/>
        </w:rPr>
        <w:t xml:space="preserve"> gozdovi) ob </w:t>
      </w:r>
      <w:proofErr w:type="spellStart"/>
      <w:r w:rsidRPr="0048257B">
        <w:rPr>
          <w:rFonts w:ascii="Inria Sans" w:hAnsi="Inria Sans" w:cs="Arial"/>
        </w:rPr>
        <w:t>neukrepanju</w:t>
      </w:r>
      <w:proofErr w:type="spellEnd"/>
      <w:r w:rsidRPr="0048257B">
        <w:rPr>
          <w:rFonts w:ascii="Inria Sans" w:hAnsi="Inria Sans" w:cs="Arial"/>
        </w:rPr>
        <w:t xml:space="preserve"> nevarnost širjenja podlubnikov velika, saj bi s tem dolgoročno negativno vplivali na vrsto. Ukrep je manj primeren tudi v območjih visoko produktivnih gozdov, kjer namesto prepuščanja površin gozdov naravnemu razvoju puščamo posamično debelo drevje primernih drevesnih vrst, ki se ga do propada pusti v gozdu.</w:t>
      </w:r>
      <w:r>
        <w:rPr>
          <w:rFonts w:ascii="Inria Sans" w:hAnsi="Inria Sans" w:cs="Arial"/>
        </w:rPr>
        <w:t xml:space="preserve"> Pri koriščenju sredstev gozdnega sklada pa je potrebno upoštevati, da je koriščenje sredstev mogoče le znotraj območja natura 2000 v gozdovih v zasebni lasti.</w:t>
      </w:r>
    </w:p>
    <w:p w14:paraId="4AED45CC" w14:textId="77777777" w:rsidR="00C109E3" w:rsidRPr="0048257B" w:rsidRDefault="00C109E3" w:rsidP="00C109E3">
      <w:pPr>
        <w:spacing w:before="120" w:after="120"/>
        <w:jc w:val="both"/>
        <w:rPr>
          <w:rFonts w:ascii="Inria Sans" w:hAnsi="Inria Sans" w:cs="Arial"/>
        </w:rPr>
      </w:pPr>
      <w:r w:rsidRPr="0048257B">
        <w:rPr>
          <w:rFonts w:ascii="Inria Sans" w:hAnsi="Inria Sans" w:cs="Arial"/>
        </w:rPr>
        <w:t xml:space="preserve">Dodatni pogoji, ki so vezani na vrsto (opisani zgoraj), za katere izboljšanje življenjskega okolja v prvi meri izločamo </w:t>
      </w:r>
      <w:proofErr w:type="spellStart"/>
      <w:r w:rsidRPr="0048257B">
        <w:rPr>
          <w:rFonts w:ascii="Inria Sans" w:hAnsi="Inria Sans" w:cs="Arial"/>
        </w:rPr>
        <w:t>ekocelice</w:t>
      </w:r>
      <w:proofErr w:type="spellEnd"/>
      <w:r w:rsidRPr="0048257B">
        <w:rPr>
          <w:rFonts w:ascii="Inria Sans" w:hAnsi="Inria Sans" w:cs="Arial"/>
        </w:rPr>
        <w:t xml:space="preserve"> in zelo pogosto še dodatno zožijo območje v analizo niso zajeti. </w:t>
      </w:r>
    </w:p>
    <w:p w14:paraId="75A67A73" w14:textId="02A42CBC" w:rsidR="00010B16" w:rsidRDefault="008C3B1A" w:rsidP="00C109E3">
      <w:pPr>
        <w:spacing w:before="120" w:after="120"/>
        <w:jc w:val="both"/>
        <w:rPr>
          <w:rFonts w:ascii="Inria Sans" w:hAnsi="Inria Sans" w:cs="Arial"/>
        </w:rPr>
      </w:pPr>
      <w:r>
        <w:rPr>
          <w:rFonts w:ascii="Inria Sans" w:hAnsi="Inria Sans" w:cs="Arial"/>
        </w:rPr>
        <w:t xml:space="preserve">Podlaga za izločanje </w:t>
      </w:r>
      <w:proofErr w:type="spellStart"/>
      <w:r>
        <w:rPr>
          <w:rFonts w:ascii="Inria Sans" w:hAnsi="Inria Sans" w:cs="Arial"/>
        </w:rPr>
        <w:t>ekocelic</w:t>
      </w:r>
      <w:proofErr w:type="spellEnd"/>
      <w:r>
        <w:rPr>
          <w:rFonts w:ascii="Inria Sans" w:hAnsi="Inria Sans" w:cs="Arial"/>
        </w:rPr>
        <w:t xml:space="preserve"> so tako upravljavske cone vrst vezane na </w:t>
      </w:r>
      <w:proofErr w:type="spellStart"/>
      <w:r>
        <w:rPr>
          <w:rFonts w:ascii="Inria Sans" w:hAnsi="Inria Sans" w:cs="Arial"/>
        </w:rPr>
        <w:t>negospodarjene</w:t>
      </w:r>
      <w:proofErr w:type="spellEnd"/>
      <w:r>
        <w:rPr>
          <w:rFonts w:ascii="Inria Sans" w:hAnsi="Inria Sans" w:cs="Arial"/>
        </w:rPr>
        <w:t xml:space="preserve"> gozdove, ki s</w:t>
      </w:r>
      <w:r w:rsidR="00C109E3" w:rsidRPr="0048257B">
        <w:rPr>
          <w:rFonts w:ascii="Inria Sans" w:hAnsi="Inria Sans" w:cs="Arial"/>
        </w:rPr>
        <w:t xml:space="preserve">o jih pripravili na Zavodu Republike Slovenije za varstvo narave </w:t>
      </w:r>
      <w:r w:rsidR="00C109E3" w:rsidRPr="00010B16">
        <w:rPr>
          <w:rFonts w:ascii="Inria Sans" w:hAnsi="Inria Sans" w:cs="Arial"/>
          <w:b/>
          <w:bCs/>
        </w:rPr>
        <w:t>leta 2019</w:t>
      </w:r>
      <w:r>
        <w:rPr>
          <w:rFonts w:ascii="Inria Sans" w:hAnsi="Inria Sans" w:cs="Arial"/>
          <w:b/>
          <w:bCs/>
        </w:rPr>
        <w:t xml:space="preserve"> </w:t>
      </w:r>
      <w:r w:rsidR="00C109E3">
        <w:rPr>
          <w:rFonts w:ascii="Inria Sans" w:hAnsi="Inria Sans" w:cs="Arial"/>
        </w:rPr>
        <w:t>(slika 2: Prioriteta 2)</w:t>
      </w:r>
      <w:r w:rsidR="00C109E3" w:rsidRPr="0048257B">
        <w:rPr>
          <w:rFonts w:ascii="Inria Sans" w:hAnsi="Inria Sans" w:cs="Arial"/>
        </w:rPr>
        <w:t xml:space="preserve">, </w:t>
      </w:r>
      <w:r w:rsidR="00C109E3" w:rsidRPr="00010B16">
        <w:rPr>
          <w:rFonts w:ascii="Inria Sans" w:hAnsi="Inria Sans" w:cs="Arial"/>
          <w:b/>
          <w:bCs/>
        </w:rPr>
        <w:t xml:space="preserve">drugi sloj pa je bil na podlagi upravljavskih con pripravljen kot sloj vrst ptic vezanih na </w:t>
      </w:r>
      <w:proofErr w:type="spellStart"/>
      <w:r w:rsidR="00C109E3" w:rsidRPr="00010B16">
        <w:rPr>
          <w:rFonts w:ascii="Inria Sans" w:hAnsi="Inria Sans" w:cs="Arial"/>
          <w:b/>
          <w:bCs/>
        </w:rPr>
        <w:t>negospodarjene</w:t>
      </w:r>
      <w:proofErr w:type="spellEnd"/>
      <w:r w:rsidR="00C109E3" w:rsidRPr="00010B16">
        <w:rPr>
          <w:rFonts w:ascii="Inria Sans" w:hAnsi="Inria Sans" w:cs="Arial"/>
          <w:b/>
          <w:bCs/>
        </w:rPr>
        <w:t xml:space="preserve"> gozdove v sklopu priprave Območnih gozdnogospodarskih načrtov za obdobje 2021-2030, kateremu so bile dodane določene površine poslane s strani</w:t>
      </w:r>
      <w:r>
        <w:rPr>
          <w:rFonts w:ascii="Inria Sans" w:hAnsi="Inria Sans" w:cs="Arial"/>
          <w:b/>
          <w:bCs/>
        </w:rPr>
        <w:t xml:space="preserve"> ZRSVN</w:t>
      </w:r>
      <w:r w:rsidR="00C109E3" w:rsidRPr="00010B16">
        <w:rPr>
          <w:rFonts w:ascii="Inria Sans" w:hAnsi="Inria Sans" w:cs="Arial"/>
          <w:b/>
          <w:bCs/>
        </w:rPr>
        <w:t xml:space="preserve"> v letu 2025 (Slika 2: Prioriteta 1).</w:t>
      </w:r>
      <w:r w:rsidR="00C109E3" w:rsidRPr="0048257B">
        <w:rPr>
          <w:rFonts w:ascii="Inria Sans" w:hAnsi="Inria Sans" w:cs="Arial"/>
        </w:rPr>
        <w:t xml:space="preserve"> Oba sloja skupaj predstavljata območje znotraj katerega na Zavodu za gozdove</w:t>
      </w:r>
      <w:r w:rsidR="00010B16">
        <w:rPr>
          <w:rFonts w:ascii="Inria Sans" w:hAnsi="Inria Sans" w:cs="Arial"/>
        </w:rPr>
        <w:t xml:space="preserve"> Slovenije</w:t>
      </w:r>
      <w:r w:rsidR="00C109E3" w:rsidRPr="0048257B">
        <w:rPr>
          <w:rFonts w:ascii="Inria Sans" w:hAnsi="Inria Sans" w:cs="Arial"/>
        </w:rPr>
        <w:t xml:space="preserve"> iščemo primerna območja za določitev </w:t>
      </w:r>
      <w:proofErr w:type="spellStart"/>
      <w:r w:rsidR="00C109E3" w:rsidRPr="0048257B">
        <w:rPr>
          <w:rFonts w:ascii="Inria Sans" w:hAnsi="Inria Sans" w:cs="Arial"/>
        </w:rPr>
        <w:t>ekocelic</w:t>
      </w:r>
      <w:proofErr w:type="spellEnd"/>
      <w:r w:rsidR="00C109E3" w:rsidRPr="0048257B">
        <w:rPr>
          <w:rFonts w:ascii="Inria Sans" w:hAnsi="Inria Sans" w:cs="Arial"/>
        </w:rPr>
        <w:t xml:space="preserve"> in nato v primeru strinjanja lastnika sklenemo pogodbo in </w:t>
      </w:r>
      <w:proofErr w:type="spellStart"/>
      <w:r w:rsidR="00C109E3" w:rsidRPr="0048257B">
        <w:rPr>
          <w:rFonts w:ascii="Inria Sans" w:hAnsi="Inria Sans" w:cs="Arial"/>
        </w:rPr>
        <w:t>ekocelico</w:t>
      </w:r>
      <w:proofErr w:type="spellEnd"/>
      <w:r w:rsidR="00C109E3" w:rsidRPr="0048257B">
        <w:rPr>
          <w:rFonts w:ascii="Inria Sans" w:hAnsi="Inria Sans" w:cs="Arial"/>
        </w:rPr>
        <w:t xml:space="preserve"> na terenu tudi označimo. Celotno območje obsega </w:t>
      </w:r>
      <w:r>
        <w:rPr>
          <w:rFonts w:ascii="Inria Sans" w:hAnsi="Inria Sans" w:cs="Arial"/>
          <w:b/>
          <w:bCs/>
        </w:rPr>
        <w:t>skoraj 300.000</w:t>
      </w:r>
      <w:r w:rsidR="00C109E3" w:rsidRPr="0048257B">
        <w:rPr>
          <w:rFonts w:ascii="Inria Sans" w:hAnsi="Inria Sans" w:cs="Arial"/>
          <w:b/>
          <w:bCs/>
        </w:rPr>
        <w:t xml:space="preserve"> ha</w:t>
      </w:r>
      <w:r w:rsidR="00C109E3" w:rsidRPr="0048257B">
        <w:rPr>
          <w:rFonts w:ascii="Inria Sans" w:hAnsi="Inria Sans" w:cs="Arial"/>
        </w:rPr>
        <w:t xml:space="preserve"> </w:t>
      </w:r>
      <w:r w:rsidR="00010B16">
        <w:rPr>
          <w:rFonts w:ascii="Inria Sans" w:hAnsi="Inria Sans" w:cs="Arial"/>
        </w:rPr>
        <w:t xml:space="preserve">(prioriteta 1 in 2) </w:t>
      </w:r>
      <w:r w:rsidR="00C109E3" w:rsidRPr="0048257B">
        <w:rPr>
          <w:rFonts w:ascii="Inria Sans" w:hAnsi="Inria Sans" w:cs="Arial"/>
        </w:rPr>
        <w:t>gozdov v območju nature 2000 (Slika 1</w:t>
      </w:r>
      <w:r>
        <w:rPr>
          <w:rFonts w:ascii="Inria Sans" w:hAnsi="Inria Sans" w:cs="Arial"/>
        </w:rPr>
        <w:t>), prva prioriteta obsega 61 % te površine. Znotraj teh območij pa povsod ni mogoče koristiti sredstev gozdnega sklada, zato smo morali iz celotnega območja izločiti površine v katerih gozdnega sklada ni mogoče izločiti:</w:t>
      </w:r>
      <w:r w:rsidR="00C109E3" w:rsidRPr="0048257B">
        <w:rPr>
          <w:rFonts w:ascii="Inria Sans" w:hAnsi="Inria Sans" w:cs="Arial"/>
        </w:rPr>
        <w:t xml:space="preserve"> </w:t>
      </w:r>
    </w:p>
    <w:p w14:paraId="5B9D0F7C" w14:textId="09FD4884" w:rsidR="00010B16" w:rsidRPr="00010B16" w:rsidRDefault="00010B16" w:rsidP="00010B16">
      <w:pPr>
        <w:pStyle w:val="ListParagraph"/>
        <w:numPr>
          <w:ilvl w:val="0"/>
          <w:numId w:val="24"/>
        </w:numPr>
        <w:spacing w:before="120" w:after="120"/>
        <w:jc w:val="both"/>
        <w:rPr>
          <w:rFonts w:ascii="Inria Sans" w:hAnsi="Inria Sans" w:cs="Arial"/>
          <w:b/>
          <w:bCs/>
        </w:rPr>
      </w:pPr>
      <w:r w:rsidRPr="00010B16">
        <w:rPr>
          <w:rFonts w:ascii="Inria Sans" w:hAnsi="Inria Sans" w:cs="Arial"/>
          <w:b/>
          <w:bCs/>
        </w:rPr>
        <w:t>Izločitev gozdov, ki niso v zasebni lasti</w:t>
      </w:r>
    </w:p>
    <w:p w14:paraId="6945CEBA" w14:textId="25B533B8" w:rsidR="00C109E3" w:rsidRPr="00010B16" w:rsidRDefault="00C109E3" w:rsidP="00010B16">
      <w:pPr>
        <w:pStyle w:val="ListParagraph"/>
        <w:spacing w:before="120" w:after="120"/>
        <w:jc w:val="both"/>
        <w:rPr>
          <w:rStyle w:val="markedcontent"/>
          <w:rFonts w:ascii="Inria Sans" w:hAnsi="Inria Sans" w:cs="Arial"/>
        </w:rPr>
      </w:pPr>
      <w:r w:rsidRPr="00010B16">
        <w:rPr>
          <w:rFonts w:ascii="Inria Sans" w:hAnsi="Inria Sans" w:cs="Arial"/>
        </w:rPr>
        <w:t xml:space="preserve">Gozdni sklad je </w:t>
      </w:r>
      <w:r w:rsidRPr="00010B16">
        <w:rPr>
          <w:rStyle w:val="markedcontent"/>
          <w:rFonts w:ascii="Inria Sans" w:hAnsi="Inria Sans" w:cs="Arial"/>
        </w:rPr>
        <w:t xml:space="preserve">med drugim namenjen tudi za financiranje ukrepov na območju Nature 2000 </w:t>
      </w:r>
      <w:r w:rsidRPr="00010B16">
        <w:rPr>
          <w:rStyle w:val="markedcontent"/>
          <w:rFonts w:ascii="Inria Sans" w:hAnsi="Inria Sans" w:cs="Arial"/>
          <w:b/>
          <w:bCs/>
        </w:rPr>
        <w:t>v zasebnih gozdovih</w:t>
      </w:r>
      <w:r w:rsidRPr="00010B16">
        <w:rPr>
          <w:rStyle w:val="markedcontent"/>
          <w:rFonts w:ascii="Inria Sans" w:hAnsi="Inria Sans" w:cs="Arial"/>
        </w:rPr>
        <w:t>. Zato je iz osnovne površine prioritete 1 potrebno izločiti gozdove v lasti RS ali v lasti občin.</w:t>
      </w:r>
    </w:p>
    <w:p w14:paraId="0BA40B8E" w14:textId="77777777" w:rsidR="00010B16" w:rsidRPr="00010B16" w:rsidRDefault="00010B16" w:rsidP="00010B16">
      <w:pPr>
        <w:pStyle w:val="ListParagraph"/>
        <w:numPr>
          <w:ilvl w:val="0"/>
          <w:numId w:val="24"/>
        </w:numPr>
        <w:spacing w:before="120" w:after="120"/>
        <w:jc w:val="both"/>
        <w:rPr>
          <w:rStyle w:val="markedcontent"/>
          <w:rFonts w:ascii="Inria Sans" w:hAnsi="Inria Sans" w:cs="Arial"/>
          <w:b/>
          <w:bCs/>
        </w:rPr>
      </w:pPr>
      <w:r w:rsidRPr="00010B16">
        <w:rPr>
          <w:rStyle w:val="markedcontent"/>
          <w:rFonts w:ascii="Inria Sans" w:hAnsi="Inria Sans" w:cs="Arial"/>
          <w:b/>
          <w:bCs/>
        </w:rPr>
        <w:t>Izločitev gozdnih rezervatov</w:t>
      </w:r>
    </w:p>
    <w:p w14:paraId="3618B759" w14:textId="2AC0CCA8" w:rsidR="00C109E3" w:rsidRPr="00010B16" w:rsidRDefault="00C109E3" w:rsidP="00010B16">
      <w:pPr>
        <w:pStyle w:val="ListParagraph"/>
        <w:spacing w:before="120" w:after="120"/>
        <w:jc w:val="both"/>
        <w:rPr>
          <w:rStyle w:val="markedcontent"/>
          <w:rFonts w:ascii="Inria Sans" w:hAnsi="Inria Sans" w:cs="Arial"/>
        </w:rPr>
      </w:pPr>
      <w:r w:rsidRPr="00010B16">
        <w:rPr>
          <w:rStyle w:val="markedcontent"/>
          <w:rFonts w:ascii="Inria Sans" w:hAnsi="Inria Sans" w:cs="Arial"/>
        </w:rPr>
        <w:lastRenderedPageBreak/>
        <w:t>V predlagani površini</w:t>
      </w:r>
      <w:r w:rsidR="00010B16" w:rsidRPr="00010B16">
        <w:rPr>
          <w:rStyle w:val="markedcontent"/>
          <w:rFonts w:ascii="Inria Sans" w:hAnsi="Inria Sans" w:cs="Arial"/>
        </w:rPr>
        <w:t xml:space="preserve"> za izločitev </w:t>
      </w:r>
      <w:proofErr w:type="spellStart"/>
      <w:r w:rsidR="00010B16" w:rsidRPr="00010B16">
        <w:rPr>
          <w:rStyle w:val="markedcontent"/>
          <w:rFonts w:ascii="Inria Sans" w:hAnsi="Inria Sans" w:cs="Arial"/>
        </w:rPr>
        <w:t>ekocalic</w:t>
      </w:r>
      <w:proofErr w:type="spellEnd"/>
      <w:r w:rsidR="00010B16" w:rsidRPr="00010B16">
        <w:rPr>
          <w:rStyle w:val="markedcontent"/>
          <w:rFonts w:ascii="Inria Sans" w:hAnsi="Inria Sans" w:cs="Arial"/>
        </w:rPr>
        <w:t xml:space="preserve"> (prioriteta 1)</w:t>
      </w:r>
      <w:r w:rsidRPr="00010B16">
        <w:rPr>
          <w:rStyle w:val="markedcontent"/>
          <w:rFonts w:ascii="Inria Sans" w:hAnsi="Inria Sans" w:cs="Arial"/>
        </w:rPr>
        <w:t xml:space="preserve"> so tudi že </w:t>
      </w:r>
      <w:r w:rsidR="00010B16" w:rsidRPr="00010B16">
        <w:rPr>
          <w:rStyle w:val="markedcontent"/>
          <w:rFonts w:ascii="Inria Sans" w:hAnsi="Inria Sans" w:cs="Arial"/>
        </w:rPr>
        <w:t>obstoječi</w:t>
      </w:r>
      <w:r w:rsidRPr="00010B16">
        <w:rPr>
          <w:rStyle w:val="markedcontent"/>
          <w:rFonts w:ascii="Inria Sans" w:hAnsi="Inria Sans" w:cs="Arial"/>
        </w:rPr>
        <w:t xml:space="preserve"> gozdni rezervati, kjer je gospodarjenje z gozdovi prepovedano, zato na teh površinah </w:t>
      </w:r>
      <w:r w:rsidRPr="00010B16">
        <w:rPr>
          <w:rStyle w:val="markedcontent"/>
          <w:rFonts w:ascii="Inria Sans" w:hAnsi="Inria Sans" w:cs="Arial"/>
          <w:b/>
          <w:bCs/>
        </w:rPr>
        <w:t xml:space="preserve">izločitev </w:t>
      </w:r>
      <w:proofErr w:type="spellStart"/>
      <w:r w:rsidRPr="00010B16">
        <w:rPr>
          <w:rStyle w:val="markedcontent"/>
          <w:rFonts w:ascii="Inria Sans" w:hAnsi="Inria Sans" w:cs="Arial"/>
          <w:b/>
          <w:bCs/>
        </w:rPr>
        <w:t>ekocelic</w:t>
      </w:r>
      <w:proofErr w:type="spellEnd"/>
      <w:r w:rsidRPr="00010B16">
        <w:rPr>
          <w:rStyle w:val="markedcontent"/>
          <w:rFonts w:ascii="Inria Sans" w:hAnsi="Inria Sans" w:cs="Arial"/>
          <w:b/>
          <w:bCs/>
        </w:rPr>
        <w:t xml:space="preserve"> ni mogoča.</w:t>
      </w:r>
      <w:r w:rsidRPr="00010B16">
        <w:rPr>
          <w:rStyle w:val="markedcontent"/>
          <w:rFonts w:ascii="Inria Sans" w:hAnsi="Inria Sans" w:cs="Arial"/>
        </w:rPr>
        <w:t xml:space="preserve"> </w:t>
      </w:r>
    </w:p>
    <w:p w14:paraId="5E9463F7" w14:textId="77777777" w:rsidR="00010B16" w:rsidRPr="00010B16" w:rsidRDefault="00010B16" w:rsidP="00010B16">
      <w:pPr>
        <w:pStyle w:val="ListParagraph"/>
        <w:numPr>
          <w:ilvl w:val="0"/>
          <w:numId w:val="24"/>
        </w:numPr>
        <w:spacing w:before="120" w:after="120"/>
        <w:jc w:val="both"/>
        <w:rPr>
          <w:rStyle w:val="markedcontent"/>
          <w:rFonts w:ascii="Inria Sans" w:hAnsi="Inria Sans"/>
          <w:b/>
          <w:bCs/>
        </w:rPr>
      </w:pPr>
      <w:r w:rsidRPr="00010B16">
        <w:rPr>
          <w:rStyle w:val="markedcontent"/>
          <w:rFonts w:ascii="Inria Sans" w:hAnsi="Inria Sans" w:cs="Arial"/>
          <w:b/>
          <w:bCs/>
        </w:rPr>
        <w:t>Izločitev območja 1. cone TNP</w:t>
      </w:r>
    </w:p>
    <w:p w14:paraId="6D3E9BE2" w14:textId="040FE4D5" w:rsidR="00C109E3" w:rsidRPr="00010B16" w:rsidRDefault="00C109E3" w:rsidP="00010B16">
      <w:pPr>
        <w:pStyle w:val="ListParagraph"/>
        <w:spacing w:before="120" w:after="120"/>
        <w:jc w:val="both"/>
        <w:rPr>
          <w:rFonts w:ascii="Inria Sans" w:hAnsi="Inria Sans"/>
        </w:rPr>
      </w:pPr>
      <w:r w:rsidRPr="00010B16">
        <w:rPr>
          <w:rStyle w:val="markedcontent"/>
          <w:rFonts w:ascii="Inria Sans" w:hAnsi="Inria Sans" w:cs="Arial"/>
        </w:rPr>
        <w:t>Podoben status kot gozdni rezervati ima tudi prvo varstveno območje Triglavskega narodnega parka, za katerega je skladno z Zakonom o Triglavskem narodnem parku navedeno: »P</w:t>
      </w:r>
      <w:r w:rsidRPr="00010B16">
        <w:rPr>
          <w:rFonts w:ascii="Inria Sans" w:hAnsi="Inria Sans"/>
        </w:rPr>
        <w:t xml:space="preserve">rvo varstveno območje je osrednje območje in je prednostno namenjeno uresničevanju varstva in ohranjanja naravnih vrednot, prvobitnih naravnih območij divjine, rastlinskih in živalskih vrst, njihovih osebkov in habitatov, naravnega razvoja ekosistemov in naravnih procesov brez človekovih negovalnih, vzdrževalnih in drugih posegov. Dopuščena je tudi tradicionalna paša na urejenih pašnih planinah v visokogorju in ohranjanje s tem povezane kulturne dediščine.« Posledično se znotraj tega območja </w:t>
      </w:r>
      <w:proofErr w:type="spellStart"/>
      <w:r w:rsidRPr="00010B16">
        <w:rPr>
          <w:rFonts w:ascii="Inria Sans" w:hAnsi="Inria Sans"/>
        </w:rPr>
        <w:t>ekocelice</w:t>
      </w:r>
      <w:proofErr w:type="spellEnd"/>
      <w:r w:rsidRPr="00010B16">
        <w:rPr>
          <w:rFonts w:ascii="Inria Sans" w:hAnsi="Inria Sans"/>
        </w:rPr>
        <w:t xml:space="preserve"> ne izločajo in se površina območja za izločanje </w:t>
      </w:r>
      <w:proofErr w:type="spellStart"/>
      <w:r w:rsidRPr="00010B16">
        <w:rPr>
          <w:rFonts w:ascii="Inria Sans" w:hAnsi="Inria Sans"/>
        </w:rPr>
        <w:t>ekocelic</w:t>
      </w:r>
      <w:proofErr w:type="spellEnd"/>
      <w:r w:rsidRPr="00010B16">
        <w:rPr>
          <w:rFonts w:ascii="Inria Sans" w:hAnsi="Inria Sans"/>
        </w:rPr>
        <w:t xml:space="preserve"> dodatno zmanjša</w:t>
      </w:r>
      <w:r w:rsidR="008C3B1A">
        <w:rPr>
          <w:rFonts w:ascii="Inria Sans" w:hAnsi="Inria Sans"/>
        </w:rPr>
        <w:t>.</w:t>
      </w:r>
    </w:p>
    <w:p w14:paraId="54183DFA" w14:textId="77777777" w:rsidR="00010B16" w:rsidRPr="00010B16" w:rsidRDefault="00010B16" w:rsidP="00C109E3">
      <w:pPr>
        <w:pStyle w:val="ListParagraph"/>
        <w:numPr>
          <w:ilvl w:val="0"/>
          <w:numId w:val="24"/>
        </w:numPr>
        <w:spacing w:before="120" w:after="120"/>
        <w:jc w:val="both"/>
        <w:rPr>
          <w:rStyle w:val="markedcontent"/>
          <w:rFonts w:ascii="Inria Sans" w:hAnsi="Inria Sans"/>
          <w:b/>
          <w:bCs/>
        </w:rPr>
      </w:pPr>
      <w:r w:rsidRPr="00010B16">
        <w:rPr>
          <w:rStyle w:val="markedcontent"/>
          <w:rFonts w:ascii="Inria Sans" w:hAnsi="Inria Sans" w:cs="Arial"/>
          <w:b/>
          <w:bCs/>
        </w:rPr>
        <w:t xml:space="preserve">Izločitev v preteklosti izločenih </w:t>
      </w:r>
      <w:proofErr w:type="spellStart"/>
      <w:r w:rsidRPr="00010B16">
        <w:rPr>
          <w:rStyle w:val="markedcontent"/>
          <w:rFonts w:ascii="Inria Sans" w:hAnsi="Inria Sans" w:cs="Arial"/>
          <w:b/>
          <w:bCs/>
        </w:rPr>
        <w:t>ekocelic</w:t>
      </w:r>
      <w:proofErr w:type="spellEnd"/>
    </w:p>
    <w:p w14:paraId="15EF230B" w14:textId="70CA5F72" w:rsidR="00C109E3" w:rsidRPr="00010B16" w:rsidRDefault="00C109E3" w:rsidP="00010B16">
      <w:pPr>
        <w:pStyle w:val="ListParagraph"/>
        <w:spacing w:before="120" w:after="120"/>
        <w:jc w:val="both"/>
        <w:rPr>
          <w:rFonts w:ascii="Inria Sans" w:hAnsi="Inria Sans"/>
          <w:b/>
          <w:bCs/>
        </w:rPr>
      </w:pPr>
      <w:r w:rsidRPr="00010B16">
        <w:rPr>
          <w:rFonts w:ascii="Inria Sans" w:hAnsi="Inria Sans"/>
        </w:rPr>
        <w:t xml:space="preserve">Izločiti je potrebno tudi območje že v preteklih letih iz gozdnega sklada izločenih </w:t>
      </w:r>
      <w:proofErr w:type="spellStart"/>
      <w:r w:rsidRPr="00010B16">
        <w:rPr>
          <w:rFonts w:ascii="Inria Sans" w:hAnsi="Inria Sans"/>
        </w:rPr>
        <w:t>ekocelic</w:t>
      </w:r>
      <w:proofErr w:type="spellEnd"/>
      <w:r w:rsidRPr="00010B16">
        <w:rPr>
          <w:rFonts w:ascii="Inria Sans" w:hAnsi="Inria Sans"/>
        </w:rPr>
        <w:t>, tako se površina dodatno zmanjša.</w:t>
      </w:r>
    </w:p>
    <w:p w14:paraId="03C9ADDF" w14:textId="77777777" w:rsidR="00010B16" w:rsidRDefault="00010B16" w:rsidP="00C109E3">
      <w:pPr>
        <w:pStyle w:val="ListParagraph"/>
        <w:numPr>
          <w:ilvl w:val="0"/>
          <w:numId w:val="24"/>
        </w:numPr>
        <w:spacing w:before="120" w:after="120"/>
        <w:jc w:val="both"/>
        <w:rPr>
          <w:rStyle w:val="markedcontent"/>
          <w:rFonts w:cs="Arial"/>
          <w:b/>
          <w:bCs/>
        </w:rPr>
      </w:pPr>
      <w:r w:rsidRPr="00010B16">
        <w:rPr>
          <w:rStyle w:val="markedcontent"/>
          <w:rFonts w:cs="Arial"/>
          <w:b/>
          <w:bCs/>
        </w:rPr>
        <w:t xml:space="preserve">Izločitev </w:t>
      </w:r>
      <w:proofErr w:type="spellStart"/>
      <w:r w:rsidRPr="00010B16">
        <w:rPr>
          <w:rStyle w:val="markedcontent"/>
          <w:rFonts w:cs="Arial"/>
          <w:b/>
          <w:bCs/>
        </w:rPr>
        <w:t>drogovnjakov</w:t>
      </w:r>
      <w:proofErr w:type="spellEnd"/>
      <w:r w:rsidRPr="00010B16">
        <w:rPr>
          <w:rStyle w:val="markedcontent"/>
          <w:rFonts w:cs="Arial"/>
          <w:b/>
          <w:bCs/>
        </w:rPr>
        <w:t xml:space="preserve"> in mladovij</w:t>
      </w:r>
    </w:p>
    <w:p w14:paraId="12200CE1" w14:textId="1EBC8EBA" w:rsidR="00C109E3" w:rsidRDefault="00C109E3" w:rsidP="00010B16">
      <w:pPr>
        <w:pStyle w:val="ListParagraph"/>
        <w:spacing w:before="120" w:after="120"/>
        <w:jc w:val="both"/>
        <w:rPr>
          <w:rFonts w:ascii="Inria Sans" w:hAnsi="Inria Sans"/>
        </w:rPr>
      </w:pPr>
      <w:r w:rsidRPr="00010B16">
        <w:rPr>
          <w:rFonts w:ascii="Inria Sans" w:hAnsi="Inria Sans"/>
        </w:rPr>
        <w:t xml:space="preserve">Za večino vrst vezanih na večji delež </w:t>
      </w:r>
      <w:proofErr w:type="spellStart"/>
      <w:r w:rsidRPr="00010B16">
        <w:rPr>
          <w:rFonts w:ascii="Inria Sans" w:hAnsi="Inria Sans"/>
        </w:rPr>
        <w:t>negospodarjenih</w:t>
      </w:r>
      <w:proofErr w:type="spellEnd"/>
      <w:r w:rsidRPr="00010B16">
        <w:rPr>
          <w:rFonts w:ascii="Inria Sans" w:hAnsi="Inria Sans"/>
        </w:rPr>
        <w:t xml:space="preserve"> gozdov prepuščanje gozdov v razvojni fazi mladovje ali </w:t>
      </w:r>
      <w:proofErr w:type="spellStart"/>
      <w:r w:rsidRPr="00010B16">
        <w:rPr>
          <w:rFonts w:ascii="Inria Sans" w:hAnsi="Inria Sans"/>
        </w:rPr>
        <w:t>drogovnjak</w:t>
      </w:r>
      <w:proofErr w:type="spellEnd"/>
      <w:r w:rsidRPr="00010B16">
        <w:rPr>
          <w:rFonts w:ascii="Inria Sans" w:hAnsi="Inria Sans"/>
        </w:rPr>
        <w:t xml:space="preserve"> za obdobje 20 let ne predstavlja izboljšanja stanja vrst, zato izločanje v teh razvojnih fazah ni smiselno in tudi ekonomsko nezanimivo za lastnika (izračun nadomestila je vezan na posek, ki ga v območju brez lesne zaloge ali z zelo nizko lesno zalogo skoraj ni), zato se te površine iz območja dodatno izloči. </w:t>
      </w:r>
    </w:p>
    <w:p w14:paraId="7A1B92D3" w14:textId="436FECD6" w:rsidR="00864A01" w:rsidRPr="00864A01" w:rsidRDefault="00864A01" w:rsidP="004B258D">
      <w:pPr>
        <w:pStyle w:val="ListParagraph"/>
        <w:numPr>
          <w:ilvl w:val="0"/>
          <w:numId w:val="24"/>
        </w:numPr>
        <w:spacing w:before="120" w:after="120"/>
        <w:jc w:val="both"/>
        <w:rPr>
          <w:rFonts w:cs="Arial"/>
          <w:b/>
          <w:bCs/>
        </w:rPr>
      </w:pPr>
      <w:r w:rsidRPr="00864A01">
        <w:rPr>
          <w:rFonts w:ascii="Inria Sans" w:hAnsi="Inria Sans"/>
          <w:b/>
          <w:bCs/>
        </w:rPr>
        <w:t>I</w:t>
      </w:r>
      <w:r w:rsidR="004B258D" w:rsidRPr="00864A01">
        <w:rPr>
          <w:rFonts w:ascii="Inria Sans" w:hAnsi="Inria Sans"/>
          <w:b/>
          <w:bCs/>
        </w:rPr>
        <w:t xml:space="preserve">zločitev območij gozdov, kjer je velika verjetnost gradacij podlubnikov </w:t>
      </w:r>
    </w:p>
    <w:p w14:paraId="18F58CE9" w14:textId="657F37DC" w:rsidR="004B258D" w:rsidRPr="00010B16" w:rsidRDefault="008C3B1A" w:rsidP="00864A01">
      <w:pPr>
        <w:pStyle w:val="ListParagraph"/>
        <w:spacing w:before="120" w:after="120"/>
        <w:jc w:val="both"/>
        <w:rPr>
          <w:rFonts w:cs="Arial"/>
          <w:b/>
          <w:bCs/>
        </w:rPr>
      </w:pPr>
      <w:r>
        <w:rPr>
          <w:rFonts w:ascii="Inria Sans" w:hAnsi="Inria Sans"/>
        </w:rPr>
        <w:t>Te zožitve zaenkrat nismo naredili ampak je pri vsaki vlogi potrebno presoditi verjetnost za gradacije podlubnikov. Ta omejitev je zelo problematična za vrste vezane na smreko (triprsti detel).</w:t>
      </w:r>
    </w:p>
    <w:p w14:paraId="6D38358D" w14:textId="00FC5CF6" w:rsidR="00864A01" w:rsidRPr="00864A01" w:rsidRDefault="00864A01" w:rsidP="00864A01">
      <w:pPr>
        <w:pStyle w:val="ListParagraph"/>
        <w:numPr>
          <w:ilvl w:val="0"/>
          <w:numId w:val="24"/>
        </w:numPr>
        <w:spacing w:before="120" w:after="120"/>
        <w:jc w:val="both"/>
        <w:rPr>
          <w:rFonts w:ascii="Inria Sans" w:hAnsi="Inria Sans" w:cs="Arial"/>
          <w:b/>
          <w:bCs/>
        </w:rPr>
      </w:pPr>
      <w:r w:rsidRPr="00864A01">
        <w:rPr>
          <w:rFonts w:ascii="Inria Sans" w:hAnsi="Inria Sans" w:cs="Arial"/>
          <w:b/>
          <w:bCs/>
        </w:rPr>
        <w:t xml:space="preserve">Izločitev v preteklem obdobju </w:t>
      </w:r>
      <w:proofErr w:type="spellStart"/>
      <w:r w:rsidRPr="00864A01">
        <w:rPr>
          <w:rFonts w:ascii="Inria Sans" w:hAnsi="Inria Sans" w:cs="Arial"/>
          <w:b/>
          <w:bCs/>
        </w:rPr>
        <w:t>gospodarjenih</w:t>
      </w:r>
      <w:proofErr w:type="spellEnd"/>
      <w:r w:rsidRPr="00864A01">
        <w:rPr>
          <w:rFonts w:ascii="Inria Sans" w:hAnsi="Inria Sans" w:cs="Arial"/>
          <w:b/>
          <w:bCs/>
        </w:rPr>
        <w:t xml:space="preserve"> gozdov</w:t>
      </w:r>
    </w:p>
    <w:p w14:paraId="729AC9D5" w14:textId="2D646BE2" w:rsidR="00C109E3" w:rsidRDefault="00C109E3" w:rsidP="00864A01">
      <w:pPr>
        <w:pStyle w:val="ListParagraph"/>
        <w:spacing w:before="120" w:after="120"/>
        <w:jc w:val="both"/>
        <w:rPr>
          <w:rFonts w:ascii="Inria Sans" w:hAnsi="Inria Sans"/>
          <w:b/>
          <w:bCs/>
        </w:rPr>
      </w:pPr>
      <w:r w:rsidRPr="00864A01">
        <w:rPr>
          <w:rFonts w:ascii="Inria Sans" w:hAnsi="Inria Sans"/>
        </w:rPr>
        <w:t xml:space="preserve">Znotraj </w:t>
      </w:r>
      <w:r w:rsidR="008C3B1A">
        <w:rPr>
          <w:rFonts w:ascii="Inria Sans" w:hAnsi="Inria Sans"/>
        </w:rPr>
        <w:t>osnovnih</w:t>
      </w:r>
      <w:r w:rsidRPr="00864A01">
        <w:rPr>
          <w:rFonts w:ascii="Inria Sans" w:hAnsi="Inria Sans"/>
        </w:rPr>
        <w:t xml:space="preserve"> površin so tudi območja, kjer se je v preteklih letih lahko izvajala sečnja in vsekakor niso vse površine primerne, prav tako vsi sestoji v tem območju po drevesni sestavi ne ustrezajo vrstam, za katere se gozdove prepušča naravnemu razvoju, zato bi se ob upoštevanju preteklih sečenj to območje še dodatno skrčilo.</w:t>
      </w:r>
      <w:r w:rsidR="00864A01">
        <w:rPr>
          <w:rFonts w:ascii="Inria Sans" w:hAnsi="Inria Sans"/>
        </w:rPr>
        <w:t xml:space="preserve"> </w:t>
      </w:r>
      <w:r w:rsidR="00864A01" w:rsidRPr="00864A01">
        <w:rPr>
          <w:rFonts w:ascii="Inria Sans" w:hAnsi="Inria Sans"/>
          <w:b/>
          <w:bCs/>
        </w:rPr>
        <w:t xml:space="preserve">To je zapisano informativno, je pa potrebno to upoštevati pri presojah ali je izločitev </w:t>
      </w:r>
      <w:proofErr w:type="spellStart"/>
      <w:r w:rsidR="00864A01" w:rsidRPr="00864A01">
        <w:rPr>
          <w:rFonts w:ascii="Inria Sans" w:hAnsi="Inria Sans"/>
          <w:b/>
          <w:bCs/>
        </w:rPr>
        <w:t>ekocelice</w:t>
      </w:r>
      <w:proofErr w:type="spellEnd"/>
      <w:r w:rsidR="00864A01" w:rsidRPr="00864A01">
        <w:rPr>
          <w:rFonts w:ascii="Inria Sans" w:hAnsi="Inria Sans"/>
          <w:b/>
          <w:bCs/>
        </w:rPr>
        <w:t xml:space="preserve"> </w:t>
      </w:r>
      <w:r w:rsidR="008C3B1A">
        <w:rPr>
          <w:rFonts w:ascii="Inria Sans" w:hAnsi="Inria Sans"/>
          <w:b/>
          <w:bCs/>
        </w:rPr>
        <w:t>smiselna</w:t>
      </w:r>
      <w:r w:rsidR="00864A01" w:rsidRPr="00864A01">
        <w:rPr>
          <w:rFonts w:ascii="Inria Sans" w:hAnsi="Inria Sans"/>
          <w:b/>
          <w:bCs/>
        </w:rPr>
        <w:t xml:space="preserve"> ali ne.</w:t>
      </w:r>
    </w:p>
    <w:p w14:paraId="008B8CD5" w14:textId="04A66A30" w:rsidR="008C3B1A" w:rsidRDefault="008C3B1A" w:rsidP="00864A01">
      <w:pPr>
        <w:pStyle w:val="ListParagraph"/>
        <w:spacing w:before="120" w:after="120"/>
        <w:jc w:val="both"/>
        <w:rPr>
          <w:rFonts w:ascii="Inria Sans" w:hAnsi="Inria Sans"/>
          <w:b/>
          <w:bCs/>
        </w:rPr>
      </w:pPr>
    </w:p>
    <w:p w14:paraId="5762AF6E" w14:textId="77777777" w:rsidR="00550086" w:rsidRDefault="00550086">
      <w:pPr>
        <w:rPr>
          <w:rFonts w:ascii="Inria Sans" w:hAnsi="Inria Sans" w:cs="Arial"/>
          <w:sz w:val="22"/>
          <w:szCs w:val="22"/>
        </w:rPr>
      </w:pPr>
      <w:r>
        <w:rPr>
          <w:rFonts w:ascii="Inria Sans" w:hAnsi="Inria Sans" w:cs="Arial"/>
          <w:sz w:val="22"/>
          <w:szCs w:val="22"/>
        </w:rPr>
        <w:br w:type="page"/>
      </w:r>
    </w:p>
    <w:p w14:paraId="5F05B53A" w14:textId="0D1E1D9C" w:rsidR="008C3B1A" w:rsidRPr="004B258D" w:rsidRDefault="008C3B1A" w:rsidP="008C3B1A">
      <w:pPr>
        <w:jc w:val="both"/>
        <w:rPr>
          <w:rFonts w:ascii="Inria Sans" w:hAnsi="Inria Sans" w:cs="Arial"/>
          <w:sz w:val="22"/>
          <w:szCs w:val="22"/>
        </w:rPr>
      </w:pPr>
      <w:r>
        <w:rPr>
          <w:rFonts w:ascii="Inria Sans" w:hAnsi="Inria Sans" w:cs="Arial"/>
          <w:sz w:val="22"/>
          <w:szCs w:val="22"/>
        </w:rPr>
        <w:lastRenderedPageBreak/>
        <w:t xml:space="preserve">Preglednica 1: Spremembe površin ob upoštevanju kriterijev za izločitev </w:t>
      </w:r>
      <w:proofErr w:type="spellStart"/>
      <w:r>
        <w:rPr>
          <w:rFonts w:ascii="Inria Sans" w:hAnsi="Inria Sans" w:cs="Arial"/>
          <w:sz w:val="22"/>
          <w:szCs w:val="22"/>
        </w:rPr>
        <w:t>ekocelic</w:t>
      </w:r>
      <w:proofErr w:type="spellEnd"/>
      <w:r>
        <w:rPr>
          <w:rFonts w:ascii="Inria Sans" w:hAnsi="Inria Sans" w:cs="Arial"/>
          <w:sz w:val="22"/>
          <w:szCs w:val="22"/>
        </w:rPr>
        <w:t xml:space="preserve"> v prvi in drugi prioriteti</w:t>
      </w:r>
    </w:p>
    <w:tbl>
      <w:tblPr>
        <w:tblW w:w="9214" w:type="dxa"/>
        <w:tblCellMar>
          <w:left w:w="70" w:type="dxa"/>
          <w:right w:w="70" w:type="dxa"/>
        </w:tblCellMar>
        <w:tblLook w:val="04A0" w:firstRow="1" w:lastRow="0" w:firstColumn="1" w:lastColumn="0" w:noHBand="0" w:noVBand="1"/>
      </w:tblPr>
      <w:tblGrid>
        <w:gridCol w:w="4395"/>
        <w:gridCol w:w="1559"/>
        <w:gridCol w:w="142"/>
        <w:gridCol w:w="1417"/>
        <w:gridCol w:w="142"/>
        <w:gridCol w:w="1400"/>
        <w:gridCol w:w="159"/>
      </w:tblGrid>
      <w:tr w:rsidR="008C3B1A" w14:paraId="501A10CF" w14:textId="77777777" w:rsidTr="008C3B1A">
        <w:trPr>
          <w:trHeight w:val="1515"/>
        </w:trPr>
        <w:tc>
          <w:tcPr>
            <w:tcW w:w="6096" w:type="dxa"/>
            <w:gridSpan w:val="3"/>
            <w:tcBorders>
              <w:top w:val="single" w:sz="8" w:space="0" w:color="auto"/>
              <w:left w:val="nil"/>
              <w:bottom w:val="single" w:sz="8" w:space="0" w:color="auto"/>
              <w:right w:val="nil"/>
            </w:tcBorders>
            <w:vAlign w:val="center"/>
            <w:hideMark/>
          </w:tcPr>
          <w:p w14:paraId="79066A2D" w14:textId="77777777" w:rsidR="008C3B1A" w:rsidRDefault="008C3B1A" w:rsidP="00BC69AF">
            <w:pPr>
              <w:jc w:val="center"/>
              <w:rPr>
                <w:rFonts w:ascii="Calibri" w:hAnsi="Calibri"/>
                <w:color w:val="000000"/>
                <w:sz w:val="22"/>
                <w:szCs w:val="22"/>
              </w:rPr>
            </w:pPr>
            <w:r>
              <w:rPr>
                <w:rFonts w:ascii="Calibri" w:hAnsi="Calibri"/>
                <w:color w:val="000000"/>
                <w:sz w:val="22"/>
                <w:szCs w:val="22"/>
              </w:rPr>
              <w:t>Kaj sloj vsebuje</w:t>
            </w:r>
          </w:p>
        </w:tc>
        <w:tc>
          <w:tcPr>
            <w:tcW w:w="1417" w:type="dxa"/>
            <w:tcBorders>
              <w:top w:val="single" w:sz="8" w:space="0" w:color="auto"/>
              <w:left w:val="nil"/>
              <w:bottom w:val="single" w:sz="8" w:space="0" w:color="auto"/>
              <w:right w:val="nil"/>
            </w:tcBorders>
            <w:noWrap/>
            <w:vAlign w:val="center"/>
            <w:hideMark/>
          </w:tcPr>
          <w:p w14:paraId="06244713" w14:textId="77777777" w:rsidR="008C3B1A" w:rsidRDefault="008C3B1A" w:rsidP="00BC69AF">
            <w:pPr>
              <w:jc w:val="center"/>
              <w:rPr>
                <w:rFonts w:ascii="Calibri" w:hAnsi="Calibri"/>
                <w:color w:val="000000"/>
                <w:sz w:val="22"/>
                <w:szCs w:val="22"/>
              </w:rPr>
            </w:pPr>
            <w:r>
              <w:rPr>
                <w:rFonts w:ascii="Calibri" w:hAnsi="Calibri"/>
                <w:color w:val="000000"/>
                <w:sz w:val="22"/>
                <w:szCs w:val="22"/>
              </w:rPr>
              <w:t>Površina (ha)</w:t>
            </w:r>
          </w:p>
        </w:tc>
        <w:tc>
          <w:tcPr>
            <w:tcW w:w="1701" w:type="dxa"/>
            <w:gridSpan w:val="3"/>
            <w:tcBorders>
              <w:top w:val="single" w:sz="8" w:space="0" w:color="auto"/>
              <w:left w:val="nil"/>
              <w:bottom w:val="single" w:sz="8" w:space="0" w:color="auto"/>
              <w:right w:val="nil"/>
            </w:tcBorders>
            <w:vAlign w:val="center"/>
            <w:hideMark/>
          </w:tcPr>
          <w:p w14:paraId="38C747CB" w14:textId="77777777" w:rsidR="008C3B1A" w:rsidRDefault="008C3B1A" w:rsidP="00BC69AF">
            <w:pPr>
              <w:jc w:val="center"/>
              <w:rPr>
                <w:rFonts w:ascii="Calibri" w:hAnsi="Calibri"/>
                <w:color w:val="000000"/>
                <w:sz w:val="22"/>
                <w:szCs w:val="22"/>
              </w:rPr>
            </w:pPr>
            <w:r>
              <w:rPr>
                <w:rFonts w:ascii="Calibri" w:hAnsi="Calibri"/>
                <w:color w:val="000000"/>
                <w:sz w:val="22"/>
                <w:szCs w:val="22"/>
              </w:rPr>
              <w:t>Indeks glede na območje Natura 2000</w:t>
            </w:r>
          </w:p>
        </w:tc>
      </w:tr>
      <w:tr w:rsidR="008C3B1A" w14:paraId="5ED24097" w14:textId="77777777" w:rsidTr="008C3B1A">
        <w:trPr>
          <w:gridAfter w:val="1"/>
          <w:wAfter w:w="159" w:type="dxa"/>
          <w:trHeight w:val="300"/>
        </w:trPr>
        <w:tc>
          <w:tcPr>
            <w:tcW w:w="4395" w:type="dxa"/>
            <w:tcBorders>
              <w:top w:val="nil"/>
              <w:left w:val="nil"/>
              <w:bottom w:val="single" w:sz="4" w:space="0" w:color="auto"/>
              <w:right w:val="nil"/>
            </w:tcBorders>
            <w:vAlign w:val="center"/>
            <w:hideMark/>
          </w:tcPr>
          <w:p w14:paraId="1303BBC7" w14:textId="77777777" w:rsidR="008C3B1A" w:rsidRDefault="008C3B1A" w:rsidP="008C3B1A">
            <w:pPr>
              <w:rPr>
                <w:rFonts w:ascii="Calibri" w:hAnsi="Calibri" w:cs="Calibri"/>
                <w:color w:val="000000"/>
                <w:sz w:val="22"/>
                <w:szCs w:val="22"/>
              </w:rPr>
            </w:pPr>
            <w:r>
              <w:rPr>
                <w:rFonts w:ascii="Calibri" w:hAnsi="Calibri" w:cs="Calibri"/>
                <w:color w:val="000000"/>
                <w:sz w:val="22"/>
                <w:szCs w:val="22"/>
              </w:rPr>
              <w:t>Območje gozdov v omrežju Natura 2000</w:t>
            </w:r>
          </w:p>
        </w:tc>
        <w:tc>
          <w:tcPr>
            <w:tcW w:w="1559" w:type="dxa"/>
            <w:tcBorders>
              <w:top w:val="nil"/>
              <w:left w:val="nil"/>
              <w:bottom w:val="single" w:sz="4" w:space="0" w:color="auto"/>
              <w:right w:val="nil"/>
            </w:tcBorders>
            <w:noWrap/>
            <w:vAlign w:val="center"/>
          </w:tcPr>
          <w:p w14:paraId="11478E53" w14:textId="75F3E339" w:rsidR="008C3B1A" w:rsidRPr="00C07E2E" w:rsidRDefault="008C3B1A" w:rsidP="008C3B1A">
            <w:pPr>
              <w:jc w:val="center"/>
              <w:rPr>
                <w:rFonts w:ascii="Calibri" w:hAnsi="Calibri" w:cs="Calibri"/>
                <w:b/>
                <w:bCs/>
                <w:color w:val="000000"/>
                <w:sz w:val="22"/>
                <w:szCs w:val="22"/>
              </w:rPr>
            </w:pPr>
          </w:p>
        </w:tc>
        <w:tc>
          <w:tcPr>
            <w:tcW w:w="1701" w:type="dxa"/>
            <w:gridSpan w:val="3"/>
            <w:tcBorders>
              <w:top w:val="nil"/>
              <w:left w:val="nil"/>
              <w:bottom w:val="single" w:sz="4" w:space="0" w:color="auto"/>
              <w:right w:val="nil"/>
            </w:tcBorders>
            <w:noWrap/>
            <w:vAlign w:val="center"/>
          </w:tcPr>
          <w:p w14:paraId="012BAF24" w14:textId="764F9B5D" w:rsidR="008C3B1A" w:rsidRDefault="008C3B1A" w:rsidP="008C3B1A">
            <w:pPr>
              <w:jc w:val="center"/>
              <w:rPr>
                <w:rFonts w:ascii="Calibri" w:hAnsi="Calibri" w:cs="Calibri"/>
                <w:color w:val="000000"/>
                <w:sz w:val="22"/>
                <w:szCs w:val="22"/>
              </w:rPr>
            </w:pPr>
            <w:r w:rsidRPr="00C07E2E">
              <w:rPr>
                <w:rFonts w:ascii="Calibri" w:hAnsi="Calibri" w:cs="Calibri"/>
                <w:b/>
                <w:bCs/>
                <w:color w:val="000000"/>
                <w:sz w:val="22"/>
                <w:szCs w:val="22"/>
              </w:rPr>
              <w:t>524.593</w:t>
            </w:r>
          </w:p>
        </w:tc>
        <w:tc>
          <w:tcPr>
            <w:tcW w:w="1400" w:type="dxa"/>
            <w:tcBorders>
              <w:top w:val="nil"/>
              <w:left w:val="nil"/>
              <w:bottom w:val="single" w:sz="4" w:space="0" w:color="auto"/>
              <w:right w:val="nil"/>
            </w:tcBorders>
            <w:noWrap/>
            <w:vAlign w:val="center"/>
            <w:hideMark/>
          </w:tcPr>
          <w:p w14:paraId="03EAB945" w14:textId="7A0157D7" w:rsidR="008C3B1A" w:rsidRDefault="008C3B1A" w:rsidP="008C3B1A">
            <w:pPr>
              <w:jc w:val="center"/>
              <w:rPr>
                <w:rFonts w:ascii="Calibri" w:hAnsi="Calibri" w:cs="Calibri"/>
                <w:color w:val="000000"/>
                <w:sz w:val="22"/>
                <w:szCs w:val="22"/>
              </w:rPr>
            </w:pPr>
            <w:r>
              <w:rPr>
                <w:rFonts w:ascii="Calibri" w:hAnsi="Calibri" w:cs="Calibri"/>
                <w:color w:val="000000"/>
                <w:sz w:val="22"/>
                <w:szCs w:val="22"/>
              </w:rPr>
              <w:t>100</w:t>
            </w:r>
          </w:p>
        </w:tc>
      </w:tr>
      <w:tr w:rsidR="008C3B1A" w:rsidRPr="00611088" w14:paraId="31BA368C" w14:textId="77777777" w:rsidTr="008C3B1A">
        <w:trPr>
          <w:trHeight w:val="315"/>
        </w:trPr>
        <w:tc>
          <w:tcPr>
            <w:tcW w:w="6096" w:type="dxa"/>
            <w:gridSpan w:val="3"/>
            <w:tcBorders>
              <w:top w:val="nil"/>
              <w:left w:val="nil"/>
              <w:bottom w:val="single" w:sz="8" w:space="0" w:color="auto"/>
              <w:right w:val="nil"/>
            </w:tcBorders>
            <w:vAlign w:val="center"/>
            <w:hideMark/>
          </w:tcPr>
          <w:p w14:paraId="4304D2DB" w14:textId="77777777" w:rsidR="008C3B1A" w:rsidRPr="00611088" w:rsidRDefault="008C3B1A" w:rsidP="008C3B1A">
            <w:pPr>
              <w:rPr>
                <w:rFonts w:ascii="Calibri" w:hAnsi="Calibri"/>
                <w:b/>
                <w:bCs/>
                <w:color w:val="000000"/>
                <w:sz w:val="22"/>
                <w:szCs w:val="22"/>
              </w:rPr>
            </w:pPr>
            <w:r w:rsidRPr="00611088">
              <w:rPr>
                <w:rFonts w:ascii="Calibri" w:hAnsi="Calibri"/>
                <w:b/>
                <w:bCs/>
                <w:color w:val="000000"/>
                <w:sz w:val="22"/>
                <w:szCs w:val="22"/>
              </w:rPr>
              <w:t xml:space="preserve">Območje gozdov v Naturi 2000 s prioriteto 1 in 2 za izločanje </w:t>
            </w:r>
            <w:proofErr w:type="spellStart"/>
            <w:r w:rsidRPr="00611088">
              <w:rPr>
                <w:rFonts w:ascii="Calibri" w:hAnsi="Calibri"/>
                <w:b/>
                <w:bCs/>
                <w:color w:val="000000"/>
                <w:sz w:val="22"/>
                <w:szCs w:val="22"/>
              </w:rPr>
              <w:t>ekocelic</w:t>
            </w:r>
            <w:proofErr w:type="spellEnd"/>
          </w:p>
        </w:tc>
        <w:tc>
          <w:tcPr>
            <w:tcW w:w="1417" w:type="dxa"/>
            <w:tcBorders>
              <w:top w:val="nil"/>
              <w:left w:val="nil"/>
              <w:bottom w:val="single" w:sz="8" w:space="0" w:color="auto"/>
              <w:right w:val="nil"/>
            </w:tcBorders>
            <w:noWrap/>
            <w:vAlign w:val="center"/>
            <w:hideMark/>
          </w:tcPr>
          <w:p w14:paraId="2B19E8A9" w14:textId="77777777" w:rsidR="008C3B1A" w:rsidRPr="00611088" w:rsidRDefault="008C3B1A" w:rsidP="008C3B1A">
            <w:pPr>
              <w:jc w:val="center"/>
              <w:rPr>
                <w:rFonts w:ascii="Calibri" w:hAnsi="Calibri"/>
                <w:b/>
                <w:bCs/>
                <w:color w:val="000000"/>
                <w:sz w:val="22"/>
                <w:szCs w:val="22"/>
              </w:rPr>
            </w:pPr>
            <w:r w:rsidRPr="00611088">
              <w:rPr>
                <w:rFonts w:ascii="Calibri" w:hAnsi="Calibri"/>
                <w:b/>
                <w:bCs/>
                <w:color w:val="000000"/>
                <w:sz w:val="22"/>
                <w:szCs w:val="22"/>
              </w:rPr>
              <w:t>299.589</w:t>
            </w:r>
          </w:p>
        </w:tc>
        <w:tc>
          <w:tcPr>
            <w:tcW w:w="1701" w:type="dxa"/>
            <w:gridSpan w:val="3"/>
            <w:tcBorders>
              <w:top w:val="nil"/>
              <w:left w:val="nil"/>
              <w:bottom w:val="single" w:sz="8" w:space="0" w:color="auto"/>
              <w:right w:val="nil"/>
            </w:tcBorders>
            <w:noWrap/>
            <w:vAlign w:val="center"/>
            <w:hideMark/>
          </w:tcPr>
          <w:p w14:paraId="1BFF71B7" w14:textId="77777777" w:rsidR="008C3B1A" w:rsidRPr="00611088" w:rsidRDefault="008C3B1A" w:rsidP="008C3B1A">
            <w:pPr>
              <w:jc w:val="center"/>
              <w:rPr>
                <w:rFonts w:ascii="Calibri" w:hAnsi="Calibri"/>
                <w:b/>
                <w:bCs/>
                <w:color w:val="000000"/>
                <w:sz w:val="22"/>
                <w:szCs w:val="22"/>
              </w:rPr>
            </w:pPr>
            <w:r w:rsidRPr="00611088">
              <w:rPr>
                <w:rFonts w:ascii="Calibri" w:hAnsi="Calibri"/>
                <w:b/>
                <w:bCs/>
                <w:color w:val="000000"/>
                <w:sz w:val="22"/>
                <w:szCs w:val="22"/>
              </w:rPr>
              <w:t>57</w:t>
            </w:r>
          </w:p>
        </w:tc>
      </w:tr>
      <w:tr w:rsidR="008C3B1A" w14:paraId="02F544F4" w14:textId="77777777" w:rsidTr="008C3B1A">
        <w:trPr>
          <w:trHeight w:val="915"/>
        </w:trPr>
        <w:tc>
          <w:tcPr>
            <w:tcW w:w="6096" w:type="dxa"/>
            <w:gridSpan w:val="3"/>
            <w:tcBorders>
              <w:top w:val="nil"/>
              <w:left w:val="nil"/>
              <w:bottom w:val="single" w:sz="8" w:space="0" w:color="auto"/>
              <w:right w:val="nil"/>
            </w:tcBorders>
            <w:shd w:val="clear" w:color="auto" w:fill="BFBFBF" w:themeFill="background1" w:themeFillShade="BF"/>
            <w:vAlign w:val="center"/>
            <w:hideMark/>
          </w:tcPr>
          <w:p w14:paraId="4FCB741F" w14:textId="77777777" w:rsidR="008C3B1A" w:rsidRDefault="008C3B1A" w:rsidP="008C3B1A">
            <w:pPr>
              <w:rPr>
                <w:rFonts w:ascii="Calibri" w:hAnsi="Calibri"/>
                <w:color w:val="000000"/>
                <w:sz w:val="22"/>
                <w:szCs w:val="22"/>
              </w:rPr>
            </w:pPr>
            <w:r>
              <w:rPr>
                <w:rFonts w:ascii="Calibri" w:hAnsi="Calibri"/>
                <w:color w:val="000000"/>
                <w:sz w:val="22"/>
                <w:szCs w:val="22"/>
              </w:rPr>
              <w:t xml:space="preserve">Območje gozdov v Naturi 2000 s prioriteto 1  za izločanje </w:t>
            </w:r>
            <w:proofErr w:type="spellStart"/>
            <w:r>
              <w:rPr>
                <w:rFonts w:ascii="Calibri" w:hAnsi="Calibri"/>
                <w:color w:val="000000"/>
                <w:sz w:val="22"/>
                <w:szCs w:val="22"/>
              </w:rPr>
              <w:t>ekocelic</w:t>
            </w:r>
            <w:proofErr w:type="spellEnd"/>
            <w:r>
              <w:rPr>
                <w:rFonts w:ascii="Calibri" w:hAnsi="Calibri"/>
                <w:color w:val="000000"/>
                <w:sz w:val="22"/>
                <w:szCs w:val="22"/>
              </w:rPr>
              <w:t xml:space="preserve"> (izločeni gozdovi v državni in občinski lasti, gozdni rezervati, 1. cona TNP, s pogodbami že določene </w:t>
            </w:r>
            <w:proofErr w:type="spellStart"/>
            <w:r>
              <w:rPr>
                <w:rFonts w:ascii="Calibri" w:hAnsi="Calibri"/>
                <w:color w:val="000000"/>
                <w:sz w:val="22"/>
                <w:szCs w:val="22"/>
              </w:rPr>
              <w:t>ekocelice</w:t>
            </w:r>
            <w:proofErr w:type="spellEnd"/>
            <w:r>
              <w:rPr>
                <w:rFonts w:ascii="Calibri" w:hAnsi="Calibri"/>
                <w:color w:val="000000"/>
                <w:sz w:val="22"/>
                <w:szCs w:val="22"/>
              </w:rPr>
              <w:t xml:space="preserve"> in izločeni gozdovi mladovij in </w:t>
            </w:r>
            <w:proofErr w:type="spellStart"/>
            <w:r>
              <w:rPr>
                <w:rFonts w:ascii="Calibri" w:hAnsi="Calibri"/>
                <w:color w:val="000000"/>
                <w:sz w:val="22"/>
                <w:szCs w:val="22"/>
              </w:rPr>
              <w:t>drogovnjakov</w:t>
            </w:r>
            <w:proofErr w:type="spellEnd"/>
            <w:r>
              <w:rPr>
                <w:rFonts w:ascii="Calibri" w:hAnsi="Calibri"/>
                <w:color w:val="000000"/>
                <w:sz w:val="22"/>
                <w:szCs w:val="22"/>
              </w:rPr>
              <w:t>, izločeni gozdovi v lasti nadškofije)</w:t>
            </w:r>
          </w:p>
        </w:tc>
        <w:tc>
          <w:tcPr>
            <w:tcW w:w="1417" w:type="dxa"/>
            <w:tcBorders>
              <w:top w:val="nil"/>
              <w:left w:val="nil"/>
              <w:bottom w:val="single" w:sz="8" w:space="0" w:color="auto"/>
              <w:right w:val="nil"/>
            </w:tcBorders>
            <w:shd w:val="clear" w:color="auto" w:fill="BFBFBF" w:themeFill="background1" w:themeFillShade="BF"/>
            <w:noWrap/>
            <w:vAlign w:val="center"/>
            <w:hideMark/>
          </w:tcPr>
          <w:p w14:paraId="4B32AC3E" w14:textId="77777777" w:rsidR="008C3B1A" w:rsidRDefault="008C3B1A" w:rsidP="008C3B1A">
            <w:pPr>
              <w:jc w:val="center"/>
              <w:rPr>
                <w:rFonts w:ascii="Calibri" w:hAnsi="Calibri"/>
                <w:color w:val="000000"/>
                <w:sz w:val="22"/>
                <w:szCs w:val="22"/>
              </w:rPr>
            </w:pPr>
            <w:r>
              <w:rPr>
                <w:rFonts w:ascii="Calibri" w:hAnsi="Calibri"/>
                <w:color w:val="000000"/>
                <w:sz w:val="22"/>
                <w:szCs w:val="22"/>
              </w:rPr>
              <w:t>112.274</w:t>
            </w:r>
          </w:p>
        </w:tc>
        <w:tc>
          <w:tcPr>
            <w:tcW w:w="1701" w:type="dxa"/>
            <w:gridSpan w:val="3"/>
            <w:tcBorders>
              <w:top w:val="nil"/>
              <w:left w:val="nil"/>
              <w:bottom w:val="single" w:sz="8" w:space="0" w:color="auto"/>
              <w:right w:val="nil"/>
            </w:tcBorders>
            <w:shd w:val="clear" w:color="auto" w:fill="BFBFBF" w:themeFill="background1" w:themeFillShade="BF"/>
            <w:noWrap/>
            <w:vAlign w:val="center"/>
            <w:hideMark/>
          </w:tcPr>
          <w:p w14:paraId="72069E56" w14:textId="77777777" w:rsidR="008C3B1A" w:rsidRDefault="008C3B1A" w:rsidP="008C3B1A">
            <w:pPr>
              <w:jc w:val="center"/>
              <w:rPr>
                <w:rFonts w:ascii="Calibri" w:hAnsi="Calibri"/>
                <w:color w:val="000000"/>
                <w:sz w:val="22"/>
                <w:szCs w:val="22"/>
              </w:rPr>
            </w:pPr>
            <w:r>
              <w:rPr>
                <w:rFonts w:ascii="Calibri" w:hAnsi="Calibri"/>
                <w:color w:val="000000"/>
                <w:sz w:val="22"/>
                <w:szCs w:val="22"/>
              </w:rPr>
              <w:t>21</w:t>
            </w:r>
          </w:p>
        </w:tc>
      </w:tr>
    </w:tbl>
    <w:p w14:paraId="58BDEB08" w14:textId="77777777" w:rsidR="00550086" w:rsidRDefault="00550086" w:rsidP="00C109E3">
      <w:pPr>
        <w:spacing w:before="120" w:after="120"/>
        <w:jc w:val="both"/>
        <w:rPr>
          <w:rFonts w:ascii="Inria Sans" w:hAnsi="Inria Sans" w:cs="Arial"/>
        </w:rPr>
      </w:pPr>
    </w:p>
    <w:p w14:paraId="2D40DF5D" w14:textId="7FF0ECEB" w:rsidR="00C109E3" w:rsidRDefault="00C109E3" w:rsidP="00C109E3">
      <w:pPr>
        <w:spacing w:before="120" w:after="120"/>
        <w:jc w:val="both"/>
        <w:rPr>
          <w:rFonts w:ascii="Inria Sans" w:hAnsi="Inria Sans" w:cs="Arial"/>
        </w:rPr>
      </w:pPr>
      <w:r w:rsidRPr="00C07E2E">
        <w:rPr>
          <w:rFonts w:ascii="Inria Sans" w:hAnsi="Inria Sans" w:cs="Arial"/>
        </w:rPr>
        <w:t>Iz prikazane analize je ključno sporočilo, da se večina ukrepov iz gozdnega sklada lahko izvaja po celotni naturi 2000 (524.593 ha), ta specifičen ukrep pa je potencialno možen zgolj na</w:t>
      </w:r>
      <w:r w:rsidR="008C3B1A">
        <w:rPr>
          <w:rFonts w:ascii="Inria Sans" w:hAnsi="Inria Sans" w:cs="Arial"/>
        </w:rPr>
        <w:t xml:space="preserve"> 112.274 ha površin s prvo in drugo stopnjo prioritete (21 % površine gozdov v območju natura 2000)  oz. na </w:t>
      </w:r>
      <w:r w:rsidRPr="00B050A8">
        <w:rPr>
          <w:rFonts w:ascii="Inria Sans" w:hAnsi="Inria Sans" w:cs="Arial"/>
          <w:b/>
          <w:bCs/>
        </w:rPr>
        <w:t>6</w:t>
      </w:r>
      <w:r w:rsidR="008C3B1A">
        <w:rPr>
          <w:rFonts w:ascii="Inria Sans" w:hAnsi="Inria Sans" w:cs="Arial"/>
          <w:b/>
          <w:bCs/>
        </w:rPr>
        <w:t>6</w:t>
      </w:r>
      <w:r w:rsidRPr="00B050A8">
        <w:rPr>
          <w:rFonts w:ascii="Inria Sans" w:hAnsi="Inria Sans" w:cs="Arial"/>
          <w:b/>
          <w:bCs/>
        </w:rPr>
        <w:t>.</w:t>
      </w:r>
      <w:r w:rsidR="008C3B1A">
        <w:rPr>
          <w:rFonts w:ascii="Inria Sans" w:hAnsi="Inria Sans" w:cs="Arial"/>
          <w:b/>
          <w:bCs/>
        </w:rPr>
        <w:t>61</w:t>
      </w:r>
      <w:r w:rsidRPr="00B050A8">
        <w:rPr>
          <w:rFonts w:ascii="Inria Sans" w:hAnsi="Inria Sans" w:cs="Arial"/>
          <w:b/>
          <w:bCs/>
        </w:rPr>
        <w:t>6 ha</w:t>
      </w:r>
      <w:r w:rsidRPr="00C07E2E">
        <w:rPr>
          <w:rFonts w:ascii="Inria Sans" w:hAnsi="Inria Sans" w:cs="Arial"/>
        </w:rPr>
        <w:t xml:space="preserve"> </w:t>
      </w:r>
      <w:r w:rsidR="008C3B1A">
        <w:rPr>
          <w:rFonts w:ascii="Inria Sans" w:hAnsi="Inria Sans" w:cs="Arial"/>
        </w:rPr>
        <w:t xml:space="preserve"> površin s prvo stopnjo prioritete (slabih</w:t>
      </w:r>
      <w:r w:rsidRPr="00C07E2E">
        <w:rPr>
          <w:rFonts w:ascii="Inria Sans" w:hAnsi="Inria Sans" w:cs="Arial"/>
        </w:rPr>
        <w:t xml:space="preserve"> 13 % območij nature 2000</w:t>
      </w:r>
      <w:r w:rsidR="008C3B1A">
        <w:rPr>
          <w:rFonts w:ascii="Inria Sans" w:hAnsi="Inria Sans" w:cs="Arial"/>
        </w:rPr>
        <w:t>)</w:t>
      </w:r>
      <w:r>
        <w:rPr>
          <w:rFonts w:ascii="Inria Sans" w:hAnsi="Inria Sans" w:cs="Arial"/>
        </w:rPr>
        <w:t xml:space="preserve">, pri čemer iz te številke niso izločeni v preteklih letih preredčeni (gospodarjeni gozdovi). ZRSVN dodatno predlaga še izločanje </w:t>
      </w:r>
      <w:proofErr w:type="spellStart"/>
      <w:r>
        <w:rPr>
          <w:rFonts w:ascii="Inria Sans" w:hAnsi="Inria Sans" w:cs="Arial"/>
        </w:rPr>
        <w:t>ekocelic</w:t>
      </w:r>
      <w:proofErr w:type="spellEnd"/>
      <w:r>
        <w:rPr>
          <w:rFonts w:ascii="Inria Sans" w:hAnsi="Inria Sans" w:cs="Arial"/>
        </w:rPr>
        <w:t xml:space="preserve"> v vodnem in obvodnem prostoru, ki ob izločenih omejitvah za koriščenje sredstev iz gozdnega sklada obsega skoraj </w:t>
      </w:r>
      <w:r w:rsidRPr="00B050A8">
        <w:rPr>
          <w:rFonts w:ascii="Inria Sans" w:hAnsi="Inria Sans" w:cs="Arial"/>
          <w:b/>
          <w:bCs/>
        </w:rPr>
        <w:t>12.500</w:t>
      </w:r>
      <w:r>
        <w:rPr>
          <w:rFonts w:ascii="Inria Sans" w:hAnsi="Inria Sans" w:cs="Arial"/>
        </w:rPr>
        <w:t xml:space="preserve"> dodatnih ha površine, pri čemer pa je potrebno biti pri upoštevanju teh površin previden, da se ne izloči površin v katerih bodo potrebni ukrepi za izboljšanje poplavne varnosti in uresničevanje prepovedi iz </w:t>
      </w:r>
      <w:proofErr w:type="spellStart"/>
      <w:r>
        <w:rPr>
          <w:rFonts w:ascii="Inria Sans" w:hAnsi="Inria Sans" w:cs="Arial"/>
        </w:rPr>
        <w:t>ekocelice</w:t>
      </w:r>
      <w:proofErr w:type="spellEnd"/>
      <w:r>
        <w:rPr>
          <w:rFonts w:ascii="Inria Sans" w:hAnsi="Inria Sans" w:cs="Arial"/>
        </w:rPr>
        <w:t xml:space="preserve"> ne bo mogoče.</w:t>
      </w:r>
      <w:r w:rsidR="004B258D">
        <w:rPr>
          <w:rFonts w:ascii="Inria Sans" w:hAnsi="Inria Sans" w:cs="Arial"/>
        </w:rPr>
        <w:t xml:space="preserve"> Predloga za izločanje </w:t>
      </w:r>
      <w:proofErr w:type="spellStart"/>
      <w:r w:rsidR="004B258D">
        <w:rPr>
          <w:rFonts w:ascii="Inria Sans" w:hAnsi="Inria Sans" w:cs="Arial"/>
        </w:rPr>
        <w:t>ekocelic</w:t>
      </w:r>
      <w:proofErr w:type="spellEnd"/>
      <w:r w:rsidR="004B258D">
        <w:rPr>
          <w:rFonts w:ascii="Inria Sans" w:hAnsi="Inria Sans" w:cs="Arial"/>
        </w:rPr>
        <w:t xml:space="preserve"> v vodnem in obvodnem prostoru nismo dodali v prioriteto 1 ali 2.</w:t>
      </w:r>
    </w:p>
    <w:p w14:paraId="2CC5BF10" w14:textId="77777777" w:rsidR="00C109E3" w:rsidRDefault="00C109E3" w:rsidP="00C109E3">
      <w:pPr>
        <w:spacing w:before="120" w:after="120"/>
        <w:jc w:val="both"/>
        <w:rPr>
          <w:rFonts w:ascii="Inria Sans" w:hAnsi="Inria Sans" w:cs="Arial"/>
        </w:rPr>
      </w:pPr>
      <w:r w:rsidRPr="00B050A8">
        <w:rPr>
          <w:rFonts w:ascii="Inria Sans" w:hAnsi="Inria Sans" w:cs="Arial"/>
        </w:rPr>
        <w:t xml:space="preserve">Pri dilemah glede smiselnosti koriščenja sredstev gozdnega sklada za financiranje temeljnih gozdarskih ukrepov izrecno izpostavljamo, da so ti ukrepi prav tako namenjeni ciljnim vrstam in zagotavljanju splošne </w:t>
      </w:r>
      <w:proofErr w:type="spellStart"/>
      <w:r w:rsidRPr="00B050A8">
        <w:rPr>
          <w:rFonts w:ascii="Inria Sans" w:hAnsi="Inria Sans" w:cs="Arial"/>
        </w:rPr>
        <w:t>biodiverzitete</w:t>
      </w:r>
      <w:proofErr w:type="spellEnd"/>
      <w:r w:rsidRPr="00B050A8">
        <w:rPr>
          <w:rFonts w:ascii="Inria Sans" w:hAnsi="Inria Sans" w:cs="Arial"/>
        </w:rPr>
        <w:t xml:space="preserve">, ki je v območjih Natura 2000 še posebej pomemben cilj. To pa zato, ker je varovanje narave in ohranjanje biotske pestrosti vgrajeno v način ravnanja z gozdom, ki ga v Sloveniji prakticiramo na celotni površini gozdov. </w:t>
      </w:r>
      <w:proofErr w:type="spellStart"/>
      <w:r w:rsidRPr="00B050A8">
        <w:rPr>
          <w:rFonts w:ascii="Inria Sans" w:hAnsi="Inria Sans" w:cs="Arial"/>
        </w:rPr>
        <w:t>Ekocelice</w:t>
      </w:r>
      <w:proofErr w:type="spellEnd"/>
      <w:r w:rsidRPr="00B050A8">
        <w:rPr>
          <w:rFonts w:ascii="Inria Sans" w:hAnsi="Inria Sans" w:cs="Arial"/>
        </w:rPr>
        <w:t xml:space="preserve"> in drugi specifični ukrepi so pomembni vendar je glede na kriterije, ki so predstavljeni v zgornji analizi njihova implementacija močno omejena. Ukrepi obnove, nege, varstva in ostali ukrepi na celotnem območju nature 2000 prispevajo v prvi vrsti k stabilnosti in odpornosti gozdov šele nato zagotavljanju različnih ciljev, ki jih imamo v določenem gozdu (les, </w:t>
      </w:r>
      <w:proofErr w:type="spellStart"/>
      <w:r w:rsidRPr="00B050A8">
        <w:rPr>
          <w:rFonts w:ascii="Inria Sans" w:hAnsi="Inria Sans" w:cs="Arial"/>
        </w:rPr>
        <w:t>biodiverziteta</w:t>
      </w:r>
      <w:proofErr w:type="spellEnd"/>
      <w:r w:rsidRPr="00B050A8">
        <w:rPr>
          <w:rFonts w:ascii="Inria Sans" w:hAnsi="Inria Sans" w:cs="Arial"/>
        </w:rPr>
        <w:t xml:space="preserve">, pitna voda….). Ker je prav biotsko pestri gozd tudi najbolj odporen, </w:t>
      </w:r>
      <w:proofErr w:type="spellStart"/>
      <w:r w:rsidRPr="00B050A8">
        <w:rPr>
          <w:rFonts w:ascii="Inria Sans" w:hAnsi="Inria Sans" w:cs="Arial"/>
        </w:rPr>
        <w:t>biodiverziteta</w:t>
      </w:r>
      <w:proofErr w:type="spellEnd"/>
      <w:r w:rsidRPr="00B050A8">
        <w:rPr>
          <w:rFonts w:ascii="Inria Sans" w:hAnsi="Inria Sans" w:cs="Arial"/>
        </w:rPr>
        <w:t xml:space="preserve"> ni le cilj gospodarjenja z gozdovi, ki ga narekuje naravovarstvena stroka temveč ga gozdarji smatramo kot pomemben element za zmanjševanje tveganj pri gospodarjenju z gozdovi in uresničevanju vseh ciljev, ki jih od gozda pričakujemo (tudi </w:t>
      </w:r>
      <w:proofErr w:type="spellStart"/>
      <w:r w:rsidRPr="00B050A8">
        <w:rPr>
          <w:rFonts w:ascii="Inria Sans" w:hAnsi="Inria Sans" w:cs="Arial"/>
        </w:rPr>
        <w:t>biodiverzitete</w:t>
      </w:r>
      <w:proofErr w:type="spellEnd"/>
      <w:r w:rsidRPr="00B050A8">
        <w:rPr>
          <w:rFonts w:ascii="Inria Sans" w:hAnsi="Inria Sans" w:cs="Arial"/>
        </w:rPr>
        <w:t xml:space="preserve"> v smislu ciljev ohranjanja vrst in habitatnih tipov Nature 2000). Glede na ta dejstva je zagotavljanje vseh ukrepov predvidenih v območjih natura 2000 nujno tudi z vidika zagotavljanja specifičnih ciljev Nature 2000 in jih je zato povsem legitimno izvajati na širšem prostoru, njihovo (so)financiranje iz gozdnega sklada pa argumentirano upravičena.</w:t>
      </w:r>
    </w:p>
    <w:p w14:paraId="393F9F35" w14:textId="77777777" w:rsidR="00C109E3" w:rsidRDefault="00C109E3" w:rsidP="00C109E3">
      <w:pPr>
        <w:jc w:val="both"/>
        <w:rPr>
          <w:rFonts w:ascii="Inria Sans" w:hAnsi="Inria Sans" w:cs="Arial"/>
        </w:rPr>
      </w:pPr>
      <w:r>
        <w:rPr>
          <w:rFonts w:ascii="Inria Sans" w:hAnsi="Inria Sans" w:cs="Arial"/>
        </w:rPr>
        <w:t xml:space="preserve">Na podlagi zgoraj navedenega menimo, </w:t>
      </w:r>
      <w:r w:rsidRPr="00B050A8">
        <w:rPr>
          <w:rFonts w:ascii="Inria Sans" w:hAnsi="Inria Sans" w:cs="Arial"/>
        </w:rPr>
        <w:t xml:space="preserve">da prioritetno potrebno iskati primerne predele za izločanje </w:t>
      </w:r>
      <w:proofErr w:type="spellStart"/>
      <w:r w:rsidRPr="00B050A8">
        <w:rPr>
          <w:rFonts w:ascii="Inria Sans" w:hAnsi="Inria Sans" w:cs="Arial"/>
        </w:rPr>
        <w:t>ekocelic</w:t>
      </w:r>
      <w:proofErr w:type="spellEnd"/>
      <w:r w:rsidRPr="00B050A8">
        <w:rPr>
          <w:rFonts w:ascii="Inria Sans" w:hAnsi="Inria Sans" w:cs="Arial"/>
        </w:rPr>
        <w:t xml:space="preserve"> znotraj predlaganih območij za </w:t>
      </w:r>
      <w:proofErr w:type="spellStart"/>
      <w:r w:rsidRPr="00B050A8">
        <w:rPr>
          <w:rFonts w:ascii="Inria Sans" w:hAnsi="Inria Sans" w:cs="Arial"/>
        </w:rPr>
        <w:t>ekocelice</w:t>
      </w:r>
      <w:proofErr w:type="spellEnd"/>
      <w:r w:rsidRPr="00B050A8">
        <w:rPr>
          <w:rFonts w:ascii="Inria Sans" w:hAnsi="Inria Sans" w:cs="Arial"/>
        </w:rPr>
        <w:t xml:space="preserve">, kar se na Zavodu za gozdove Slovenije od leta 2018 dalje trudimo, je pa smiselno izkoristiti gozdni sklad tudi v smislu </w:t>
      </w:r>
      <w:r w:rsidRPr="00B050A8">
        <w:rPr>
          <w:rFonts w:ascii="Inria Sans" w:hAnsi="Inria Sans" w:cs="Arial"/>
        </w:rPr>
        <w:lastRenderedPageBreak/>
        <w:t xml:space="preserve">krepitve splošne </w:t>
      </w:r>
      <w:proofErr w:type="spellStart"/>
      <w:r w:rsidRPr="00B050A8">
        <w:rPr>
          <w:rFonts w:ascii="Inria Sans" w:hAnsi="Inria Sans" w:cs="Arial"/>
        </w:rPr>
        <w:t>biodiverzitete</w:t>
      </w:r>
      <w:proofErr w:type="spellEnd"/>
      <w:r w:rsidRPr="00B050A8">
        <w:rPr>
          <w:rFonts w:ascii="Inria Sans" w:hAnsi="Inria Sans" w:cs="Arial"/>
        </w:rPr>
        <w:t xml:space="preserve"> ter odpornosti in stabilnosti vseh gozdov v Naturi 2000. S tem ustvarjamo boljše pogoje tudi za specifične vrste in zmanjšujemo tveganja za poslabšanje njihovega stanja v naravi. Tako predlagamo tudi, da se pri koriščenju sredstev iz gozdnega sklada za izločanje »habitatnih dreves« ukrepa ne omejuje na ožja območja ampak mora biti z vidika krepitve splošne </w:t>
      </w:r>
      <w:proofErr w:type="spellStart"/>
      <w:r w:rsidRPr="00B050A8">
        <w:rPr>
          <w:rFonts w:ascii="Inria Sans" w:hAnsi="Inria Sans" w:cs="Arial"/>
        </w:rPr>
        <w:t>biodiverzitete</w:t>
      </w:r>
      <w:proofErr w:type="spellEnd"/>
      <w:r w:rsidRPr="00B050A8">
        <w:rPr>
          <w:rFonts w:ascii="Inria Sans" w:hAnsi="Inria Sans" w:cs="Arial"/>
        </w:rPr>
        <w:t xml:space="preserve"> omogočen na celotnem območju nature 2000.</w:t>
      </w:r>
    </w:p>
    <w:p w14:paraId="58CB784A" w14:textId="77777777" w:rsidR="00C109E3" w:rsidRDefault="00C109E3" w:rsidP="00C109E3">
      <w:pPr>
        <w:jc w:val="both"/>
        <w:rPr>
          <w:rFonts w:ascii="Inria Sans" w:hAnsi="Inria Sans" w:cs="Arial"/>
        </w:rPr>
      </w:pPr>
    </w:p>
    <w:p w14:paraId="2955E197" w14:textId="77777777" w:rsidR="00C109E3" w:rsidRPr="00B050A8" w:rsidRDefault="00C109E3" w:rsidP="00C109E3">
      <w:pPr>
        <w:jc w:val="both"/>
        <w:rPr>
          <w:rFonts w:ascii="Inria Sans" w:hAnsi="Inria Sans" w:cs="Arial"/>
        </w:rPr>
      </w:pPr>
    </w:p>
    <w:p w14:paraId="5EBC34D8" w14:textId="77777777" w:rsidR="00C109E3" w:rsidRPr="00663B92" w:rsidRDefault="00C109E3" w:rsidP="00C109E3">
      <w:pPr>
        <w:pStyle w:val="BodyText"/>
        <w:rPr>
          <w:rFonts w:ascii="Inria Sans" w:hAnsi="Inria Sans" w:cs="Arial"/>
          <w:sz w:val="20"/>
          <w:szCs w:val="22"/>
        </w:rPr>
      </w:pPr>
      <w:r w:rsidRPr="00663B92">
        <w:rPr>
          <w:rFonts w:ascii="Inria Sans" w:hAnsi="Inria Sans" w:cs="Arial"/>
          <w:sz w:val="20"/>
          <w:szCs w:val="22"/>
        </w:rPr>
        <w:t>Pripravil</w:t>
      </w:r>
      <w:r>
        <w:rPr>
          <w:rFonts w:ascii="Inria Sans" w:hAnsi="Inria Sans" w:cs="Arial"/>
          <w:sz w:val="20"/>
          <w:szCs w:val="22"/>
        </w:rPr>
        <w:t>i</w:t>
      </w:r>
      <w:r w:rsidRPr="00663B92">
        <w:rPr>
          <w:rFonts w:ascii="Inria Sans" w:hAnsi="Inria Sans" w:cs="Arial"/>
          <w:sz w:val="20"/>
          <w:szCs w:val="22"/>
        </w:rPr>
        <w:t xml:space="preserve">: </w:t>
      </w:r>
    </w:p>
    <w:p w14:paraId="75443E3F" w14:textId="77777777" w:rsidR="00C109E3" w:rsidRPr="00663B92" w:rsidRDefault="00C109E3" w:rsidP="00C109E3">
      <w:pPr>
        <w:pStyle w:val="BodyText"/>
        <w:rPr>
          <w:rFonts w:ascii="Inria Sans" w:hAnsi="Inria Sans" w:cs="Arial"/>
          <w:sz w:val="20"/>
          <w:szCs w:val="22"/>
        </w:rPr>
      </w:pPr>
      <w:r>
        <w:rPr>
          <w:rFonts w:ascii="Inria Sans" w:hAnsi="Inria Sans" w:cs="Arial"/>
          <w:sz w:val="20"/>
          <w:szCs w:val="22"/>
        </w:rPr>
        <w:t>m</w:t>
      </w:r>
      <w:r w:rsidRPr="00663B92">
        <w:rPr>
          <w:rFonts w:ascii="Inria Sans" w:hAnsi="Inria Sans" w:cs="Arial"/>
          <w:sz w:val="20"/>
          <w:szCs w:val="22"/>
        </w:rPr>
        <w:t>ag. Matjaž Guček</w:t>
      </w:r>
      <w:r>
        <w:rPr>
          <w:rFonts w:ascii="Inria Sans" w:hAnsi="Inria Sans" w:cs="Arial"/>
          <w:sz w:val="20"/>
          <w:szCs w:val="22"/>
        </w:rPr>
        <w:t>, dr. Aleš Poljanec in Gregor Senegačnik</w:t>
      </w:r>
    </w:p>
    <w:p w14:paraId="5614F9C9" w14:textId="77777777" w:rsidR="00C109E3" w:rsidRDefault="00C109E3" w:rsidP="00C109E3">
      <w:pPr>
        <w:rPr>
          <w:rFonts w:ascii="Inria Sans" w:hAnsi="Inria Sans" w:cs="Arial"/>
          <w:sz w:val="22"/>
          <w:szCs w:val="22"/>
        </w:rPr>
      </w:pPr>
    </w:p>
    <w:p w14:paraId="7DBF7A71" w14:textId="77777777" w:rsidR="00C109E3" w:rsidRDefault="00C109E3" w:rsidP="00C109E3">
      <w:pPr>
        <w:rPr>
          <w:rFonts w:ascii="Inria Sans" w:hAnsi="Inria Sans" w:cs="Arial"/>
          <w:sz w:val="22"/>
          <w:szCs w:val="22"/>
        </w:rPr>
      </w:pPr>
    </w:p>
    <w:p w14:paraId="297A0343" w14:textId="35C94CDE" w:rsidR="001E11AF" w:rsidRDefault="00C109E3" w:rsidP="00C109E3">
      <w:pPr>
        <w:rPr>
          <w:rFonts w:ascii="Inria Sans" w:hAnsi="Inria Sans" w:cs="Arial"/>
          <w:sz w:val="22"/>
          <w:szCs w:val="22"/>
        </w:rPr>
        <w:sectPr w:rsidR="001E11AF" w:rsidSect="00457AEC">
          <w:footerReference w:type="default" r:id="rId9"/>
          <w:pgSz w:w="11906" w:h="16838"/>
          <w:pgMar w:top="1417" w:right="1417" w:bottom="1417" w:left="1417" w:header="709" w:footer="709" w:gutter="0"/>
          <w:cols w:space="708"/>
          <w:docGrid w:linePitch="326"/>
        </w:sectPr>
      </w:pPr>
      <w:r>
        <w:rPr>
          <w:rFonts w:ascii="Inria Sans" w:hAnsi="Inria Sans" w:cs="Arial"/>
          <w:sz w:val="22"/>
          <w:szCs w:val="22"/>
        </w:rPr>
        <w:t>Slikovne priloge v nadaljevanju.</w:t>
      </w:r>
      <w:r>
        <w:rPr>
          <w:rFonts w:ascii="Inria Sans" w:hAnsi="Inria Sans" w:cs="Arial"/>
          <w:sz w:val="22"/>
          <w:szCs w:val="22"/>
        </w:rPr>
        <w:br w:type="page"/>
      </w:r>
    </w:p>
    <w:p w14:paraId="0E73380C" w14:textId="1CDF00E1" w:rsidR="001E11AF" w:rsidRDefault="001E11AF">
      <w:pPr>
        <w:rPr>
          <w:rFonts w:ascii="Inria Sans" w:hAnsi="Inria Sans" w:cs="Arial"/>
          <w:sz w:val="22"/>
          <w:szCs w:val="22"/>
        </w:rPr>
      </w:pPr>
      <w:r>
        <w:rPr>
          <w:rFonts w:ascii="Inria Sans" w:hAnsi="Inria Sans" w:cs="Arial"/>
          <w:sz w:val="22"/>
          <w:szCs w:val="22"/>
        </w:rPr>
        <w:lastRenderedPageBreak/>
        <w:t xml:space="preserve">Slika 1: Prikaz območij natura 2000 </w:t>
      </w:r>
      <w:r w:rsidRPr="001D6FEB">
        <w:rPr>
          <w:rFonts w:ascii="Inria Sans" w:hAnsi="Inria Sans" w:cs="Arial"/>
          <w:b/>
          <w:bCs/>
          <w:sz w:val="22"/>
          <w:szCs w:val="22"/>
        </w:rPr>
        <w:t>(Površina = 524.593 ha)</w:t>
      </w:r>
      <w:r>
        <w:rPr>
          <w:rFonts w:ascii="Inria Sans" w:hAnsi="Inria Sans" w:cs="Arial"/>
          <w:noProof/>
          <w:sz w:val="22"/>
          <w:szCs w:val="22"/>
        </w:rPr>
        <w:drawing>
          <wp:inline distT="0" distB="0" distL="0" distR="0" wp14:anchorId="6CED673B" wp14:editId="00830B26">
            <wp:extent cx="13078047" cy="8708151"/>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pic:cNvPicPr/>
                  </pic:nvPicPr>
                  <pic:blipFill rotWithShape="1">
                    <a:blip r:embed="rId10">
                      <a:extLst>
                        <a:ext uri="{28A0092B-C50C-407E-A947-70E740481C1C}">
                          <a14:useLocalDpi xmlns:a14="http://schemas.microsoft.com/office/drawing/2010/main" val="0"/>
                        </a:ext>
                      </a:extLst>
                    </a:blip>
                    <a:srcRect l="6068" t="11112" r="6697" b="6748"/>
                    <a:stretch/>
                  </pic:blipFill>
                  <pic:spPr bwMode="auto">
                    <a:xfrm>
                      <a:off x="0" y="0"/>
                      <a:ext cx="13090897" cy="8716707"/>
                    </a:xfrm>
                    <a:prstGeom prst="rect">
                      <a:avLst/>
                    </a:prstGeom>
                    <a:ln>
                      <a:noFill/>
                    </a:ln>
                    <a:extLst>
                      <a:ext uri="{53640926-AAD7-44D8-BBD7-CCE9431645EC}">
                        <a14:shadowObscured xmlns:a14="http://schemas.microsoft.com/office/drawing/2010/main"/>
                      </a:ext>
                    </a:extLst>
                  </pic:spPr>
                </pic:pic>
              </a:graphicData>
            </a:graphic>
          </wp:inline>
        </w:drawing>
      </w:r>
      <w:r>
        <w:rPr>
          <w:rFonts w:ascii="Inria Sans" w:hAnsi="Inria Sans" w:cs="Arial"/>
          <w:sz w:val="22"/>
          <w:szCs w:val="22"/>
        </w:rPr>
        <w:br w:type="page"/>
      </w:r>
    </w:p>
    <w:p w14:paraId="2A43906E" w14:textId="31DF035B" w:rsidR="001E11AF" w:rsidRDefault="001E11AF" w:rsidP="001E11AF">
      <w:pPr>
        <w:jc w:val="both"/>
        <w:rPr>
          <w:rFonts w:ascii="Inria Sans" w:hAnsi="Inria Sans" w:cs="Arial"/>
          <w:sz w:val="22"/>
          <w:szCs w:val="22"/>
        </w:rPr>
      </w:pPr>
      <w:r>
        <w:rPr>
          <w:rFonts w:ascii="Inria Sans" w:hAnsi="Inria Sans" w:cs="Arial"/>
          <w:sz w:val="22"/>
          <w:szCs w:val="22"/>
        </w:rPr>
        <w:lastRenderedPageBreak/>
        <w:t xml:space="preserve">Slika 2: Območje za izločanje </w:t>
      </w:r>
      <w:proofErr w:type="spellStart"/>
      <w:r>
        <w:rPr>
          <w:rFonts w:ascii="Inria Sans" w:hAnsi="Inria Sans" w:cs="Arial"/>
          <w:sz w:val="22"/>
          <w:szCs w:val="22"/>
        </w:rPr>
        <w:t>ekocelice</w:t>
      </w:r>
      <w:proofErr w:type="spellEnd"/>
      <w:r>
        <w:rPr>
          <w:rFonts w:ascii="Inria Sans" w:hAnsi="Inria Sans" w:cs="Arial"/>
          <w:sz w:val="22"/>
          <w:szCs w:val="22"/>
        </w:rPr>
        <w:t>, usklajeno z ZRSVN na dveh prioritetah, pri čemer 2. prioriteta temelji na upravljavskih conah iz leta 2019</w:t>
      </w:r>
      <w:r w:rsidR="00EF3164">
        <w:rPr>
          <w:rFonts w:ascii="Inria Sans" w:hAnsi="Inria Sans" w:cs="Arial"/>
          <w:sz w:val="22"/>
          <w:szCs w:val="22"/>
        </w:rPr>
        <w:t xml:space="preserve"> (Površina: 299.589 ha)</w:t>
      </w:r>
    </w:p>
    <w:p w14:paraId="7A3B29C5" w14:textId="16B9BE48" w:rsidR="001E11AF" w:rsidRDefault="001E11AF">
      <w:pPr>
        <w:rPr>
          <w:rFonts w:ascii="Inria Sans" w:hAnsi="Inria Sans" w:cs="Arial"/>
          <w:sz w:val="22"/>
          <w:szCs w:val="22"/>
        </w:rPr>
      </w:pPr>
      <w:r>
        <w:rPr>
          <w:rFonts w:ascii="Inria Sans" w:hAnsi="Inria Sans" w:cs="Arial"/>
          <w:noProof/>
          <w:sz w:val="22"/>
          <w:szCs w:val="22"/>
        </w:rPr>
        <w:drawing>
          <wp:inline distT="0" distB="0" distL="0" distR="0" wp14:anchorId="3C7AD6E1" wp14:editId="36D14E68">
            <wp:extent cx="12898365" cy="8270129"/>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pic:cNvPicPr/>
                  </pic:nvPicPr>
                  <pic:blipFill rotWithShape="1">
                    <a:blip r:embed="rId11" cstate="print">
                      <a:extLst>
                        <a:ext uri="{28A0092B-C50C-407E-A947-70E740481C1C}">
                          <a14:useLocalDpi xmlns:a14="http://schemas.microsoft.com/office/drawing/2010/main" val="0"/>
                        </a:ext>
                      </a:extLst>
                    </a:blip>
                    <a:srcRect l="5702" t="11843" r="3415" b="5754"/>
                    <a:stretch/>
                  </pic:blipFill>
                  <pic:spPr bwMode="auto">
                    <a:xfrm>
                      <a:off x="0" y="0"/>
                      <a:ext cx="12915630" cy="8281199"/>
                    </a:xfrm>
                    <a:prstGeom prst="rect">
                      <a:avLst/>
                    </a:prstGeom>
                    <a:ln>
                      <a:noFill/>
                    </a:ln>
                    <a:extLst>
                      <a:ext uri="{53640926-AAD7-44D8-BBD7-CCE9431645EC}">
                        <a14:shadowObscured xmlns:a14="http://schemas.microsoft.com/office/drawing/2010/main"/>
                      </a:ext>
                    </a:extLst>
                  </pic:spPr>
                </pic:pic>
              </a:graphicData>
            </a:graphic>
          </wp:inline>
        </w:drawing>
      </w:r>
    </w:p>
    <w:p w14:paraId="02B4801D" w14:textId="77777777" w:rsidR="001E11AF" w:rsidRDefault="001E11AF">
      <w:pPr>
        <w:rPr>
          <w:rFonts w:ascii="Inria Sans" w:hAnsi="Inria Sans" w:cs="Arial"/>
          <w:sz w:val="22"/>
          <w:szCs w:val="22"/>
        </w:rPr>
      </w:pPr>
    </w:p>
    <w:p w14:paraId="5C86A682" w14:textId="77777777" w:rsidR="001E11AF" w:rsidRDefault="001E11AF">
      <w:pPr>
        <w:rPr>
          <w:rFonts w:ascii="Inria Sans" w:hAnsi="Inria Sans" w:cs="Arial"/>
          <w:sz w:val="22"/>
          <w:szCs w:val="22"/>
        </w:rPr>
      </w:pPr>
    </w:p>
    <w:p w14:paraId="6307AE4D" w14:textId="4B5B197F" w:rsidR="00EF3164" w:rsidRDefault="00EF3164" w:rsidP="00EF3164">
      <w:pPr>
        <w:jc w:val="both"/>
        <w:rPr>
          <w:rFonts w:ascii="Inria Sans" w:hAnsi="Inria Sans" w:cs="Arial"/>
          <w:sz w:val="22"/>
          <w:szCs w:val="22"/>
        </w:rPr>
      </w:pPr>
      <w:r>
        <w:rPr>
          <w:rFonts w:ascii="Inria Sans" w:hAnsi="Inria Sans" w:cs="Arial"/>
          <w:sz w:val="22"/>
          <w:szCs w:val="22"/>
        </w:rPr>
        <w:lastRenderedPageBreak/>
        <w:t xml:space="preserve">Slika 3: Območje za izločanje </w:t>
      </w:r>
      <w:proofErr w:type="spellStart"/>
      <w:r>
        <w:rPr>
          <w:rFonts w:ascii="Inria Sans" w:hAnsi="Inria Sans" w:cs="Arial"/>
          <w:sz w:val="22"/>
          <w:szCs w:val="22"/>
        </w:rPr>
        <w:t>ekocelice</w:t>
      </w:r>
      <w:proofErr w:type="spellEnd"/>
      <w:r>
        <w:rPr>
          <w:rFonts w:ascii="Inria Sans" w:hAnsi="Inria Sans" w:cs="Arial"/>
          <w:sz w:val="22"/>
          <w:szCs w:val="22"/>
        </w:rPr>
        <w:t xml:space="preserve">, z odstranjenimi površinami kjer izločanje </w:t>
      </w:r>
      <w:proofErr w:type="spellStart"/>
      <w:r>
        <w:rPr>
          <w:rFonts w:ascii="Inria Sans" w:hAnsi="Inria Sans" w:cs="Arial"/>
          <w:sz w:val="22"/>
          <w:szCs w:val="22"/>
        </w:rPr>
        <w:t>ekocelic</w:t>
      </w:r>
      <w:proofErr w:type="spellEnd"/>
      <w:r>
        <w:rPr>
          <w:rFonts w:ascii="Inria Sans" w:hAnsi="Inria Sans" w:cs="Arial"/>
          <w:sz w:val="22"/>
          <w:szCs w:val="22"/>
        </w:rPr>
        <w:t xml:space="preserve"> iz gozdnega sklada ni mogoče (112.274 ha – 21 % gozda v natura 2000)</w:t>
      </w:r>
    </w:p>
    <w:p w14:paraId="7A81B869" w14:textId="77777777" w:rsidR="00EF3164" w:rsidRDefault="00EF3164">
      <w:pPr>
        <w:rPr>
          <w:rFonts w:ascii="Inria Sans" w:hAnsi="Inria Sans" w:cs="Arial"/>
          <w:sz w:val="22"/>
          <w:szCs w:val="22"/>
        </w:rPr>
      </w:pPr>
    </w:p>
    <w:p w14:paraId="72668BA2" w14:textId="77777777" w:rsidR="00EF3164" w:rsidRDefault="00EF3164">
      <w:pPr>
        <w:rPr>
          <w:rFonts w:ascii="Inria Sans" w:hAnsi="Inria Sans" w:cs="Arial"/>
          <w:sz w:val="22"/>
          <w:szCs w:val="22"/>
        </w:rPr>
      </w:pPr>
    </w:p>
    <w:p w14:paraId="72484195" w14:textId="5D8C8210" w:rsidR="001E11AF" w:rsidRDefault="001E11AF">
      <w:pPr>
        <w:rPr>
          <w:rFonts w:ascii="Inria Sans" w:hAnsi="Inria Sans" w:cs="Arial"/>
          <w:sz w:val="22"/>
          <w:szCs w:val="22"/>
        </w:rPr>
        <w:sectPr w:rsidR="001E11AF" w:rsidSect="001E11AF">
          <w:pgSz w:w="23808" w:h="16840" w:orient="landscape" w:code="8"/>
          <w:pgMar w:top="1418" w:right="1418" w:bottom="1418" w:left="1418" w:header="709" w:footer="709" w:gutter="0"/>
          <w:cols w:space="708"/>
          <w:docGrid w:linePitch="326"/>
        </w:sectPr>
      </w:pPr>
      <w:r>
        <w:rPr>
          <w:rFonts w:ascii="Inria Sans" w:hAnsi="Inria Sans" w:cs="Arial"/>
          <w:noProof/>
          <w:sz w:val="22"/>
          <w:szCs w:val="22"/>
        </w:rPr>
        <w:drawing>
          <wp:inline distT="0" distB="0" distL="0" distR="0" wp14:anchorId="37208A24" wp14:editId="13AB412C">
            <wp:extent cx="12609825" cy="8358226"/>
            <wp:effectExtent l="0" t="0" r="1905" b="508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12" cstate="print">
                      <a:extLst>
                        <a:ext uri="{28A0092B-C50C-407E-A947-70E740481C1C}">
                          <a14:useLocalDpi xmlns:a14="http://schemas.microsoft.com/office/drawing/2010/main" val="0"/>
                        </a:ext>
                      </a:extLst>
                    </a:blip>
                    <a:srcRect l="6167" t="12376" r="7103" b="6329"/>
                    <a:stretch/>
                  </pic:blipFill>
                  <pic:spPr bwMode="auto">
                    <a:xfrm>
                      <a:off x="0" y="0"/>
                      <a:ext cx="12634980" cy="8374900"/>
                    </a:xfrm>
                    <a:prstGeom prst="rect">
                      <a:avLst/>
                    </a:prstGeom>
                    <a:ln>
                      <a:noFill/>
                    </a:ln>
                    <a:extLst>
                      <a:ext uri="{53640926-AAD7-44D8-BBD7-CCE9431645EC}">
                        <a14:shadowObscured xmlns:a14="http://schemas.microsoft.com/office/drawing/2010/main"/>
                      </a:ext>
                    </a:extLst>
                  </pic:spPr>
                </pic:pic>
              </a:graphicData>
            </a:graphic>
          </wp:inline>
        </w:drawing>
      </w:r>
    </w:p>
    <w:p w14:paraId="7E6A31B7" w14:textId="77777777" w:rsidR="00EF3164" w:rsidRDefault="00EF3164" w:rsidP="008C3B1A">
      <w:pPr>
        <w:pStyle w:val="NormalWeb"/>
        <w:jc w:val="both"/>
        <w:rPr>
          <w:rStyle w:val="Strong"/>
          <w:rFonts w:ascii="Inria Sans" w:hAnsi="Inria Sans"/>
        </w:rPr>
      </w:pPr>
    </w:p>
    <w:sectPr w:rsidR="00EF3164" w:rsidSect="008C3B1A">
      <w:pgSz w:w="23808" w:h="16840" w:orient="landscape" w:code="8"/>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92E5" w14:textId="77777777" w:rsidR="0042204E" w:rsidRDefault="0042204E">
      <w:r>
        <w:separator/>
      </w:r>
    </w:p>
  </w:endnote>
  <w:endnote w:type="continuationSeparator" w:id="0">
    <w:p w14:paraId="73BB9020" w14:textId="77777777" w:rsidR="0042204E" w:rsidRDefault="0042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ria Sans">
    <w:altName w:val="Calibri"/>
    <w:charset w:val="EE"/>
    <w:family w:val="auto"/>
    <w:pitch w:val="variable"/>
    <w:sig w:usb0="A00000AF" w:usb1="5000207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ria Sans Regular">
    <w:altName w:val="Cambria"/>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9735F" w14:textId="77777777" w:rsidR="004568BD" w:rsidRPr="00196D07" w:rsidRDefault="004568BD" w:rsidP="004568BD">
    <w:pPr>
      <w:rPr>
        <w:rFonts w:ascii="Inria Sans" w:eastAsia="Inria Sans" w:hAnsi="Inria Sans" w:cs="Inria Sans"/>
        <w:color w:val="666666"/>
        <w:sz w:val="16"/>
        <w:szCs w:val="16"/>
      </w:rPr>
    </w:pPr>
    <w:r w:rsidRPr="00196D07">
      <w:rPr>
        <w:rFonts w:ascii="Inria Sans" w:eastAsia="Inria Sans" w:hAnsi="Inria Sans" w:cs="Inria Sans"/>
        <w:color w:val="666666"/>
        <w:sz w:val="16"/>
        <w:szCs w:val="16"/>
      </w:rPr>
      <w:t xml:space="preserve">Večna pot 2, </w:t>
    </w:r>
    <w:proofErr w:type="spellStart"/>
    <w:r w:rsidRPr="00196D07">
      <w:rPr>
        <w:rFonts w:ascii="Inria Sans" w:eastAsia="Inria Sans" w:hAnsi="Inria Sans" w:cs="Inria Sans"/>
        <w:color w:val="666666"/>
        <w:sz w:val="16"/>
        <w:szCs w:val="16"/>
      </w:rPr>
      <w:t>p.p</w:t>
    </w:r>
    <w:proofErr w:type="spellEnd"/>
    <w:r w:rsidRPr="00196D07">
      <w:rPr>
        <w:rFonts w:ascii="Inria Sans" w:eastAsia="Inria Sans" w:hAnsi="Inria Sans" w:cs="Inria Sans"/>
        <w:color w:val="666666"/>
        <w:sz w:val="16"/>
        <w:szCs w:val="16"/>
      </w:rPr>
      <w:t>. 29 71  —  1001 Ljubljana  —  +386 (0)1 470 00 50  —  www.zgs.si</w:t>
    </w:r>
  </w:p>
  <w:p w14:paraId="145BF7E1" w14:textId="77777777" w:rsidR="00422C3C" w:rsidRPr="00A31B21" w:rsidRDefault="00422C3C" w:rsidP="00A31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F0BD" w14:textId="77777777" w:rsidR="0042204E" w:rsidRDefault="0042204E">
      <w:r>
        <w:separator/>
      </w:r>
    </w:p>
  </w:footnote>
  <w:footnote w:type="continuationSeparator" w:id="0">
    <w:p w14:paraId="5D714DFF" w14:textId="77777777" w:rsidR="0042204E" w:rsidRDefault="00422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C50"/>
    <w:multiLevelType w:val="hybridMultilevel"/>
    <w:tmpl w:val="D1B0CAAE"/>
    <w:lvl w:ilvl="0" w:tplc="1DA6F2B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97FF8"/>
    <w:multiLevelType w:val="hybridMultilevel"/>
    <w:tmpl w:val="71A4265A"/>
    <w:lvl w:ilvl="0" w:tplc="285C96DE">
      <w:numFmt w:val="bullet"/>
      <w:lvlText w:val="-"/>
      <w:lvlJc w:val="left"/>
      <w:pPr>
        <w:ind w:left="720" w:hanging="360"/>
      </w:pPr>
      <w:rPr>
        <w:rFonts w:ascii="Inria Sans" w:eastAsia="Times New Roman" w:hAnsi="Inria Sans"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000591"/>
    <w:multiLevelType w:val="hybridMultilevel"/>
    <w:tmpl w:val="90E2C9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51A98"/>
    <w:multiLevelType w:val="hybridMultilevel"/>
    <w:tmpl w:val="EEE2E3AA"/>
    <w:lvl w:ilvl="0" w:tplc="1DA6F2B6">
      <w:start w:val="1"/>
      <w:numFmt w:val="bullet"/>
      <w:lvlText w:val=""/>
      <w:lvlJc w:val="left"/>
      <w:pPr>
        <w:tabs>
          <w:tab w:val="num" w:pos="1004"/>
        </w:tabs>
        <w:ind w:left="1004" w:hanging="360"/>
      </w:pPr>
      <w:rPr>
        <w:rFonts w:ascii="Symbol" w:hAnsi="Symbol" w:hint="default"/>
      </w:rPr>
    </w:lvl>
    <w:lvl w:ilvl="1" w:tplc="04240003" w:tentative="1">
      <w:start w:val="1"/>
      <w:numFmt w:val="bullet"/>
      <w:lvlText w:val="o"/>
      <w:lvlJc w:val="left"/>
      <w:pPr>
        <w:tabs>
          <w:tab w:val="num" w:pos="1724"/>
        </w:tabs>
        <w:ind w:left="1724" w:hanging="360"/>
      </w:pPr>
      <w:rPr>
        <w:rFonts w:ascii="Courier New" w:hAnsi="Courier New" w:hint="default"/>
      </w:rPr>
    </w:lvl>
    <w:lvl w:ilvl="2" w:tplc="04240005" w:tentative="1">
      <w:start w:val="1"/>
      <w:numFmt w:val="bullet"/>
      <w:lvlText w:val=""/>
      <w:lvlJc w:val="left"/>
      <w:pPr>
        <w:tabs>
          <w:tab w:val="num" w:pos="2444"/>
        </w:tabs>
        <w:ind w:left="2444" w:hanging="360"/>
      </w:pPr>
      <w:rPr>
        <w:rFonts w:ascii="Wingdings" w:hAnsi="Wingdings" w:hint="default"/>
      </w:rPr>
    </w:lvl>
    <w:lvl w:ilvl="3" w:tplc="04240001" w:tentative="1">
      <w:start w:val="1"/>
      <w:numFmt w:val="bullet"/>
      <w:lvlText w:val=""/>
      <w:lvlJc w:val="left"/>
      <w:pPr>
        <w:tabs>
          <w:tab w:val="num" w:pos="3164"/>
        </w:tabs>
        <w:ind w:left="3164" w:hanging="360"/>
      </w:pPr>
      <w:rPr>
        <w:rFonts w:ascii="Symbol" w:hAnsi="Symbol" w:hint="default"/>
      </w:rPr>
    </w:lvl>
    <w:lvl w:ilvl="4" w:tplc="04240003" w:tentative="1">
      <w:start w:val="1"/>
      <w:numFmt w:val="bullet"/>
      <w:lvlText w:val="o"/>
      <w:lvlJc w:val="left"/>
      <w:pPr>
        <w:tabs>
          <w:tab w:val="num" w:pos="3884"/>
        </w:tabs>
        <w:ind w:left="3884" w:hanging="360"/>
      </w:pPr>
      <w:rPr>
        <w:rFonts w:ascii="Courier New" w:hAnsi="Courier New" w:hint="default"/>
      </w:rPr>
    </w:lvl>
    <w:lvl w:ilvl="5" w:tplc="04240005" w:tentative="1">
      <w:start w:val="1"/>
      <w:numFmt w:val="bullet"/>
      <w:lvlText w:val=""/>
      <w:lvlJc w:val="left"/>
      <w:pPr>
        <w:tabs>
          <w:tab w:val="num" w:pos="4604"/>
        </w:tabs>
        <w:ind w:left="4604" w:hanging="360"/>
      </w:pPr>
      <w:rPr>
        <w:rFonts w:ascii="Wingdings" w:hAnsi="Wingdings" w:hint="default"/>
      </w:rPr>
    </w:lvl>
    <w:lvl w:ilvl="6" w:tplc="04240001" w:tentative="1">
      <w:start w:val="1"/>
      <w:numFmt w:val="bullet"/>
      <w:lvlText w:val=""/>
      <w:lvlJc w:val="left"/>
      <w:pPr>
        <w:tabs>
          <w:tab w:val="num" w:pos="5324"/>
        </w:tabs>
        <w:ind w:left="5324" w:hanging="360"/>
      </w:pPr>
      <w:rPr>
        <w:rFonts w:ascii="Symbol" w:hAnsi="Symbol" w:hint="default"/>
      </w:rPr>
    </w:lvl>
    <w:lvl w:ilvl="7" w:tplc="04240003" w:tentative="1">
      <w:start w:val="1"/>
      <w:numFmt w:val="bullet"/>
      <w:lvlText w:val="o"/>
      <w:lvlJc w:val="left"/>
      <w:pPr>
        <w:tabs>
          <w:tab w:val="num" w:pos="6044"/>
        </w:tabs>
        <w:ind w:left="6044" w:hanging="360"/>
      </w:pPr>
      <w:rPr>
        <w:rFonts w:ascii="Courier New" w:hAnsi="Courier New" w:hint="default"/>
      </w:rPr>
    </w:lvl>
    <w:lvl w:ilvl="8" w:tplc="0424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1CB86CE5"/>
    <w:multiLevelType w:val="hybridMultilevel"/>
    <w:tmpl w:val="293059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810720"/>
    <w:multiLevelType w:val="hybridMultilevel"/>
    <w:tmpl w:val="701ECBF2"/>
    <w:lvl w:ilvl="0" w:tplc="C688CFE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A222BD"/>
    <w:multiLevelType w:val="hybridMultilevel"/>
    <w:tmpl w:val="3A3EABB2"/>
    <w:lvl w:ilvl="0" w:tplc="A8CC2C06">
      <w:start w:val="100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35107113"/>
    <w:multiLevelType w:val="hybridMultilevel"/>
    <w:tmpl w:val="6674FBE4"/>
    <w:lvl w:ilvl="0" w:tplc="50923FDA">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8CB7876"/>
    <w:multiLevelType w:val="hybridMultilevel"/>
    <w:tmpl w:val="522CC7C6"/>
    <w:lvl w:ilvl="0" w:tplc="FAAC5410">
      <w:start w:val="1"/>
      <w:numFmt w:val="bullet"/>
      <w:lvlText w:val=""/>
      <w:lvlJc w:val="left"/>
      <w:pPr>
        <w:tabs>
          <w:tab w:val="num" w:pos="720"/>
        </w:tabs>
        <w:ind w:left="720" w:hanging="360"/>
      </w:pPr>
      <w:rPr>
        <w:rFonts w:ascii="Symbol" w:hAnsi="Symbol" w:hint="default"/>
        <w:sz w:val="16"/>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106DFB"/>
    <w:multiLevelType w:val="hybridMultilevel"/>
    <w:tmpl w:val="0792D0B0"/>
    <w:lvl w:ilvl="0" w:tplc="D9EE3BDE">
      <w:start w:val="1000"/>
      <w:numFmt w:val="bullet"/>
      <w:lvlText w:val="-"/>
      <w:lvlJc w:val="left"/>
      <w:pPr>
        <w:ind w:left="1095" w:hanging="360"/>
      </w:pPr>
      <w:rPr>
        <w:rFonts w:ascii="Arial" w:eastAsia="Times New Roman" w:hAnsi="Arial" w:cs="Arial" w:hint="default"/>
      </w:rPr>
    </w:lvl>
    <w:lvl w:ilvl="1" w:tplc="04240003" w:tentative="1">
      <w:start w:val="1"/>
      <w:numFmt w:val="bullet"/>
      <w:lvlText w:val="o"/>
      <w:lvlJc w:val="left"/>
      <w:pPr>
        <w:ind w:left="1815" w:hanging="360"/>
      </w:pPr>
      <w:rPr>
        <w:rFonts w:ascii="Courier New" w:hAnsi="Courier New" w:cs="Courier New" w:hint="default"/>
      </w:rPr>
    </w:lvl>
    <w:lvl w:ilvl="2" w:tplc="04240005" w:tentative="1">
      <w:start w:val="1"/>
      <w:numFmt w:val="bullet"/>
      <w:lvlText w:val=""/>
      <w:lvlJc w:val="left"/>
      <w:pPr>
        <w:ind w:left="2535" w:hanging="360"/>
      </w:pPr>
      <w:rPr>
        <w:rFonts w:ascii="Wingdings" w:hAnsi="Wingdings" w:hint="default"/>
      </w:rPr>
    </w:lvl>
    <w:lvl w:ilvl="3" w:tplc="04240001" w:tentative="1">
      <w:start w:val="1"/>
      <w:numFmt w:val="bullet"/>
      <w:lvlText w:val=""/>
      <w:lvlJc w:val="left"/>
      <w:pPr>
        <w:ind w:left="3255" w:hanging="360"/>
      </w:pPr>
      <w:rPr>
        <w:rFonts w:ascii="Symbol" w:hAnsi="Symbol" w:hint="default"/>
      </w:rPr>
    </w:lvl>
    <w:lvl w:ilvl="4" w:tplc="04240003" w:tentative="1">
      <w:start w:val="1"/>
      <w:numFmt w:val="bullet"/>
      <w:lvlText w:val="o"/>
      <w:lvlJc w:val="left"/>
      <w:pPr>
        <w:ind w:left="3975" w:hanging="360"/>
      </w:pPr>
      <w:rPr>
        <w:rFonts w:ascii="Courier New" w:hAnsi="Courier New" w:cs="Courier New" w:hint="default"/>
      </w:rPr>
    </w:lvl>
    <w:lvl w:ilvl="5" w:tplc="04240005" w:tentative="1">
      <w:start w:val="1"/>
      <w:numFmt w:val="bullet"/>
      <w:lvlText w:val=""/>
      <w:lvlJc w:val="left"/>
      <w:pPr>
        <w:ind w:left="4695" w:hanging="360"/>
      </w:pPr>
      <w:rPr>
        <w:rFonts w:ascii="Wingdings" w:hAnsi="Wingdings" w:hint="default"/>
      </w:rPr>
    </w:lvl>
    <w:lvl w:ilvl="6" w:tplc="04240001" w:tentative="1">
      <w:start w:val="1"/>
      <w:numFmt w:val="bullet"/>
      <w:lvlText w:val=""/>
      <w:lvlJc w:val="left"/>
      <w:pPr>
        <w:ind w:left="5415" w:hanging="360"/>
      </w:pPr>
      <w:rPr>
        <w:rFonts w:ascii="Symbol" w:hAnsi="Symbol" w:hint="default"/>
      </w:rPr>
    </w:lvl>
    <w:lvl w:ilvl="7" w:tplc="04240003" w:tentative="1">
      <w:start w:val="1"/>
      <w:numFmt w:val="bullet"/>
      <w:lvlText w:val="o"/>
      <w:lvlJc w:val="left"/>
      <w:pPr>
        <w:ind w:left="6135" w:hanging="360"/>
      </w:pPr>
      <w:rPr>
        <w:rFonts w:ascii="Courier New" w:hAnsi="Courier New" w:cs="Courier New" w:hint="default"/>
      </w:rPr>
    </w:lvl>
    <w:lvl w:ilvl="8" w:tplc="04240005" w:tentative="1">
      <w:start w:val="1"/>
      <w:numFmt w:val="bullet"/>
      <w:lvlText w:val=""/>
      <w:lvlJc w:val="left"/>
      <w:pPr>
        <w:ind w:left="6855" w:hanging="360"/>
      </w:pPr>
      <w:rPr>
        <w:rFonts w:ascii="Wingdings" w:hAnsi="Wingdings" w:hint="default"/>
      </w:rPr>
    </w:lvl>
  </w:abstractNum>
  <w:abstractNum w:abstractNumId="10" w15:restartNumberingAfterBreak="0">
    <w:nsid w:val="40B94BEE"/>
    <w:multiLevelType w:val="hybridMultilevel"/>
    <w:tmpl w:val="B1548F6C"/>
    <w:lvl w:ilvl="0" w:tplc="A9BE8068">
      <w:start w:val="1000"/>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 w15:restartNumberingAfterBreak="0">
    <w:nsid w:val="424F12EB"/>
    <w:multiLevelType w:val="hybridMultilevel"/>
    <w:tmpl w:val="D3223F96"/>
    <w:lvl w:ilvl="0" w:tplc="75DCD9FE">
      <w:start w:val="1"/>
      <w:numFmt w:val="bullet"/>
      <w:lvlText w:val=""/>
      <w:lvlJc w:val="left"/>
      <w:pPr>
        <w:ind w:left="340" w:hanging="34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4A294799"/>
    <w:multiLevelType w:val="hybridMultilevel"/>
    <w:tmpl w:val="FB26A55C"/>
    <w:lvl w:ilvl="0" w:tplc="F57E8DF4">
      <w:numFmt w:val="bullet"/>
      <w:lvlText w:val="-"/>
      <w:lvlJc w:val="left"/>
      <w:pPr>
        <w:tabs>
          <w:tab w:val="num" w:pos="1004"/>
        </w:tabs>
        <w:ind w:left="1004" w:hanging="360"/>
      </w:pPr>
      <w:rPr>
        <w:rFonts w:ascii="Times New Roman" w:eastAsia="Times New Roman" w:hAnsi="Times New Roman" w:cs="Times New Roman" w:hint="default"/>
      </w:rPr>
    </w:lvl>
    <w:lvl w:ilvl="1" w:tplc="04240003" w:tentative="1">
      <w:start w:val="1"/>
      <w:numFmt w:val="bullet"/>
      <w:lvlText w:val="o"/>
      <w:lvlJc w:val="left"/>
      <w:pPr>
        <w:tabs>
          <w:tab w:val="num" w:pos="1724"/>
        </w:tabs>
        <w:ind w:left="1724" w:hanging="360"/>
      </w:pPr>
      <w:rPr>
        <w:rFonts w:ascii="Courier New" w:hAnsi="Courier New" w:hint="default"/>
      </w:rPr>
    </w:lvl>
    <w:lvl w:ilvl="2" w:tplc="04240005" w:tentative="1">
      <w:start w:val="1"/>
      <w:numFmt w:val="bullet"/>
      <w:lvlText w:val=""/>
      <w:lvlJc w:val="left"/>
      <w:pPr>
        <w:tabs>
          <w:tab w:val="num" w:pos="2444"/>
        </w:tabs>
        <w:ind w:left="2444" w:hanging="360"/>
      </w:pPr>
      <w:rPr>
        <w:rFonts w:ascii="Wingdings" w:hAnsi="Wingdings" w:hint="default"/>
      </w:rPr>
    </w:lvl>
    <w:lvl w:ilvl="3" w:tplc="04240001" w:tentative="1">
      <w:start w:val="1"/>
      <w:numFmt w:val="bullet"/>
      <w:lvlText w:val=""/>
      <w:lvlJc w:val="left"/>
      <w:pPr>
        <w:tabs>
          <w:tab w:val="num" w:pos="3164"/>
        </w:tabs>
        <w:ind w:left="3164" w:hanging="360"/>
      </w:pPr>
      <w:rPr>
        <w:rFonts w:ascii="Symbol" w:hAnsi="Symbol" w:hint="default"/>
      </w:rPr>
    </w:lvl>
    <w:lvl w:ilvl="4" w:tplc="04240003" w:tentative="1">
      <w:start w:val="1"/>
      <w:numFmt w:val="bullet"/>
      <w:lvlText w:val="o"/>
      <w:lvlJc w:val="left"/>
      <w:pPr>
        <w:tabs>
          <w:tab w:val="num" w:pos="3884"/>
        </w:tabs>
        <w:ind w:left="3884" w:hanging="360"/>
      </w:pPr>
      <w:rPr>
        <w:rFonts w:ascii="Courier New" w:hAnsi="Courier New" w:hint="default"/>
      </w:rPr>
    </w:lvl>
    <w:lvl w:ilvl="5" w:tplc="04240005" w:tentative="1">
      <w:start w:val="1"/>
      <w:numFmt w:val="bullet"/>
      <w:lvlText w:val=""/>
      <w:lvlJc w:val="left"/>
      <w:pPr>
        <w:tabs>
          <w:tab w:val="num" w:pos="4604"/>
        </w:tabs>
        <w:ind w:left="4604" w:hanging="360"/>
      </w:pPr>
      <w:rPr>
        <w:rFonts w:ascii="Wingdings" w:hAnsi="Wingdings" w:hint="default"/>
      </w:rPr>
    </w:lvl>
    <w:lvl w:ilvl="6" w:tplc="04240001" w:tentative="1">
      <w:start w:val="1"/>
      <w:numFmt w:val="bullet"/>
      <w:lvlText w:val=""/>
      <w:lvlJc w:val="left"/>
      <w:pPr>
        <w:tabs>
          <w:tab w:val="num" w:pos="5324"/>
        </w:tabs>
        <w:ind w:left="5324" w:hanging="360"/>
      </w:pPr>
      <w:rPr>
        <w:rFonts w:ascii="Symbol" w:hAnsi="Symbol" w:hint="default"/>
      </w:rPr>
    </w:lvl>
    <w:lvl w:ilvl="7" w:tplc="04240003" w:tentative="1">
      <w:start w:val="1"/>
      <w:numFmt w:val="bullet"/>
      <w:lvlText w:val="o"/>
      <w:lvlJc w:val="left"/>
      <w:pPr>
        <w:tabs>
          <w:tab w:val="num" w:pos="6044"/>
        </w:tabs>
        <w:ind w:left="6044" w:hanging="360"/>
      </w:pPr>
      <w:rPr>
        <w:rFonts w:ascii="Courier New" w:hAnsi="Courier New" w:hint="default"/>
      </w:rPr>
    </w:lvl>
    <w:lvl w:ilvl="8" w:tplc="0424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53227C26"/>
    <w:multiLevelType w:val="hybridMultilevel"/>
    <w:tmpl w:val="3530F03A"/>
    <w:lvl w:ilvl="0" w:tplc="92A8C87E">
      <w:numFmt w:val="bullet"/>
      <w:lvlText w:val="-"/>
      <w:lvlJc w:val="left"/>
      <w:pPr>
        <w:ind w:left="720" w:hanging="360"/>
      </w:pPr>
      <w:rPr>
        <w:rFonts w:ascii="Inria Sans" w:eastAsia="Times New Roman" w:hAnsi="Inria San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66A7909"/>
    <w:multiLevelType w:val="hybridMultilevel"/>
    <w:tmpl w:val="10C849DC"/>
    <w:lvl w:ilvl="0" w:tplc="DD967D38">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A3E3884"/>
    <w:multiLevelType w:val="hybridMultilevel"/>
    <w:tmpl w:val="C664926E"/>
    <w:lvl w:ilvl="0" w:tplc="1DA6F2B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BA0B5C"/>
    <w:multiLevelType w:val="hybridMultilevel"/>
    <w:tmpl w:val="EEFCFFD4"/>
    <w:lvl w:ilvl="0" w:tplc="4948D864">
      <w:numFmt w:val="bullet"/>
      <w:lvlText w:val="-"/>
      <w:lvlJc w:val="left"/>
      <w:pPr>
        <w:ind w:left="1788" w:hanging="360"/>
      </w:pPr>
      <w:rPr>
        <w:rFonts w:ascii="Arial" w:eastAsia="Times New Roman" w:hAnsi="Arial" w:cs="Arial"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7" w15:restartNumberingAfterBreak="0">
    <w:nsid w:val="65D976FE"/>
    <w:multiLevelType w:val="hybridMultilevel"/>
    <w:tmpl w:val="88AA8314"/>
    <w:lvl w:ilvl="0" w:tplc="92A8C87E">
      <w:numFmt w:val="bullet"/>
      <w:lvlText w:val="-"/>
      <w:lvlJc w:val="left"/>
      <w:pPr>
        <w:ind w:left="720" w:hanging="360"/>
      </w:pPr>
      <w:rPr>
        <w:rFonts w:ascii="Inria Sans" w:eastAsia="Times New Roman" w:hAnsi="Inria San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8222E23"/>
    <w:multiLevelType w:val="hybridMultilevel"/>
    <w:tmpl w:val="C0E82C70"/>
    <w:lvl w:ilvl="0" w:tplc="BA5E1B3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E8D5EC2"/>
    <w:multiLevelType w:val="hybridMultilevel"/>
    <w:tmpl w:val="6062F0EA"/>
    <w:lvl w:ilvl="0" w:tplc="41804592">
      <w:numFmt w:val="bullet"/>
      <w:lvlText w:val="-"/>
      <w:lvlJc w:val="left"/>
      <w:pPr>
        <w:ind w:left="720" w:hanging="360"/>
      </w:pPr>
      <w:rPr>
        <w:rFonts w:ascii="Inria Sans" w:eastAsia="Times New Roman" w:hAnsi="Inria San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F56792B"/>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14655E7"/>
    <w:multiLevelType w:val="hybridMultilevel"/>
    <w:tmpl w:val="73A2A3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5D415D1"/>
    <w:multiLevelType w:val="hybridMultilevel"/>
    <w:tmpl w:val="679E8D6C"/>
    <w:lvl w:ilvl="0" w:tplc="50923FDA">
      <w:start w:val="1"/>
      <w:numFmt w:val="bullet"/>
      <w:lvlText w:val=""/>
      <w:lvlJc w:val="left"/>
      <w:pPr>
        <w:ind w:left="1428"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672499">
    <w:abstractNumId w:val="8"/>
  </w:num>
  <w:num w:numId="2" w16cid:durableId="1100297231">
    <w:abstractNumId w:val="12"/>
  </w:num>
  <w:num w:numId="3" w16cid:durableId="628442080">
    <w:abstractNumId w:val="3"/>
  </w:num>
  <w:num w:numId="4" w16cid:durableId="1931891043">
    <w:abstractNumId w:val="20"/>
  </w:num>
  <w:num w:numId="5" w16cid:durableId="654452917">
    <w:abstractNumId w:val="7"/>
  </w:num>
  <w:num w:numId="6" w16cid:durableId="1801418309">
    <w:abstractNumId w:val="15"/>
  </w:num>
  <w:num w:numId="7" w16cid:durableId="1448429083">
    <w:abstractNumId w:val="0"/>
  </w:num>
  <w:num w:numId="8" w16cid:durableId="1097021079">
    <w:abstractNumId w:val="20"/>
  </w:num>
  <w:num w:numId="9" w16cid:durableId="2050105494">
    <w:abstractNumId w:val="11"/>
  </w:num>
  <w:num w:numId="10" w16cid:durableId="1397701659">
    <w:abstractNumId w:val="5"/>
  </w:num>
  <w:num w:numId="11" w16cid:durableId="1069577469">
    <w:abstractNumId w:val="6"/>
  </w:num>
  <w:num w:numId="12" w16cid:durableId="1841843628">
    <w:abstractNumId w:val="9"/>
  </w:num>
  <w:num w:numId="13" w16cid:durableId="1044520139">
    <w:abstractNumId w:val="10"/>
  </w:num>
  <w:num w:numId="14" w16cid:durableId="790629829">
    <w:abstractNumId w:val="16"/>
  </w:num>
  <w:num w:numId="15" w16cid:durableId="1258445591">
    <w:abstractNumId w:val="22"/>
  </w:num>
  <w:num w:numId="16" w16cid:durableId="63724574">
    <w:abstractNumId w:val="18"/>
  </w:num>
  <w:num w:numId="17" w16cid:durableId="1567062672">
    <w:abstractNumId w:val="1"/>
  </w:num>
  <w:num w:numId="18" w16cid:durableId="1273050306">
    <w:abstractNumId w:val="14"/>
  </w:num>
  <w:num w:numId="19" w16cid:durableId="1509172848">
    <w:abstractNumId w:val="21"/>
  </w:num>
  <w:num w:numId="20" w16cid:durableId="993996426">
    <w:abstractNumId w:val="13"/>
  </w:num>
  <w:num w:numId="21" w16cid:durableId="1659503085">
    <w:abstractNumId w:val="17"/>
  </w:num>
  <w:num w:numId="22" w16cid:durableId="1150828311">
    <w:abstractNumId w:val="2"/>
  </w:num>
  <w:num w:numId="23" w16cid:durableId="1197695624">
    <w:abstractNumId w:val="19"/>
  </w:num>
  <w:num w:numId="24" w16cid:durableId="12367426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991"/>
    <w:rsid w:val="00010B16"/>
    <w:rsid w:val="000133CA"/>
    <w:rsid w:val="00017F09"/>
    <w:rsid w:val="00020EEF"/>
    <w:rsid w:val="00021C2E"/>
    <w:rsid w:val="00023D66"/>
    <w:rsid w:val="00024A61"/>
    <w:rsid w:val="00032EED"/>
    <w:rsid w:val="000347E9"/>
    <w:rsid w:val="00042048"/>
    <w:rsid w:val="00046606"/>
    <w:rsid w:val="0007739C"/>
    <w:rsid w:val="000850CE"/>
    <w:rsid w:val="000865BA"/>
    <w:rsid w:val="00090611"/>
    <w:rsid w:val="00094C39"/>
    <w:rsid w:val="000979D9"/>
    <w:rsid w:val="000A531E"/>
    <w:rsid w:val="000B2427"/>
    <w:rsid w:val="000C2B9D"/>
    <w:rsid w:val="000C5560"/>
    <w:rsid w:val="000D0112"/>
    <w:rsid w:val="000D75F9"/>
    <w:rsid w:val="000E2F9D"/>
    <w:rsid w:val="000E54C8"/>
    <w:rsid w:val="000F3224"/>
    <w:rsid w:val="000F4F8A"/>
    <w:rsid w:val="000F72B6"/>
    <w:rsid w:val="0010282A"/>
    <w:rsid w:val="001038CF"/>
    <w:rsid w:val="00105CBE"/>
    <w:rsid w:val="0010625F"/>
    <w:rsid w:val="001125E0"/>
    <w:rsid w:val="001266C0"/>
    <w:rsid w:val="001332B7"/>
    <w:rsid w:val="0014568E"/>
    <w:rsid w:val="001461CD"/>
    <w:rsid w:val="001575B9"/>
    <w:rsid w:val="00171265"/>
    <w:rsid w:val="00177BC8"/>
    <w:rsid w:val="00193F29"/>
    <w:rsid w:val="0019724E"/>
    <w:rsid w:val="00197430"/>
    <w:rsid w:val="001B43AF"/>
    <w:rsid w:val="001C1333"/>
    <w:rsid w:val="001D26D6"/>
    <w:rsid w:val="001D5C47"/>
    <w:rsid w:val="001D6FEB"/>
    <w:rsid w:val="001D751A"/>
    <w:rsid w:val="001E11AF"/>
    <w:rsid w:val="001E5E7B"/>
    <w:rsid w:val="001F3F6E"/>
    <w:rsid w:val="001F704E"/>
    <w:rsid w:val="001F790F"/>
    <w:rsid w:val="00207180"/>
    <w:rsid w:val="00225488"/>
    <w:rsid w:val="00225FE0"/>
    <w:rsid w:val="00260606"/>
    <w:rsid w:val="002767AD"/>
    <w:rsid w:val="00277504"/>
    <w:rsid w:val="0029010C"/>
    <w:rsid w:val="002962F4"/>
    <w:rsid w:val="002A2B9F"/>
    <w:rsid w:val="002A3B74"/>
    <w:rsid w:val="002B0D25"/>
    <w:rsid w:val="002B2AD8"/>
    <w:rsid w:val="002B5ABD"/>
    <w:rsid w:val="002C0810"/>
    <w:rsid w:val="002C1219"/>
    <w:rsid w:val="002C517A"/>
    <w:rsid w:val="002C55F7"/>
    <w:rsid w:val="002D0C3F"/>
    <w:rsid w:val="002E0019"/>
    <w:rsid w:val="002F2CCF"/>
    <w:rsid w:val="00304BFD"/>
    <w:rsid w:val="00306C38"/>
    <w:rsid w:val="00306F02"/>
    <w:rsid w:val="00312DB2"/>
    <w:rsid w:val="00312DE7"/>
    <w:rsid w:val="003178FD"/>
    <w:rsid w:val="00321488"/>
    <w:rsid w:val="00332393"/>
    <w:rsid w:val="00333C3A"/>
    <w:rsid w:val="00337888"/>
    <w:rsid w:val="003513E6"/>
    <w:rsid w:val="00352680"/>
    <w:rsid w:val="00353B2F"/>
    <w:rsid w:val="003568A1"/>
    <w:rsid w:val="00383484"/>
    <w:rsid w:val="003A2A0C"/>
    <w:rsid w:val="003A537E"/>
    <w:rsid w:val="003B0828"/>
    <w:rsid w:val="003C784F"/>
    <w:rsid w:val="003D000A"/>
    <w:rsid w:val="003D654F"/>
    <w:rsid w:val="003F4DAE"/>
    <w:rsid w:val="00400E8F"/>
    <w:rsid w:val="00413991"/>
    <w:rsid w:val="0042204E"/>
    <w:rsid w:val="00422C3C"/>
    <w:rsid w:val="00424EAC"/>
    <w:rsid w:val="004275A5"/>
    <w:rsid w:val="00437750"/>
    <w:rsid w:val="00440BDC"/>
    <w:rsid w:val="00440DEE"/>
    <w:rsid w:val="00446F8A"/>
    <w:rsid w:val="00450AB0"/>
    <w:rsid w:val="004568BD"/>
    <w:rsid w:val="00457AEC"/>
    <w:rsid w:val="00474FB2"/>
    <w:rsid w:val="004750CC"/>
    <w:rsid w:val="0048257B"/>
    <w:rsid w:val="00495613"/>
    <w:rsid w:val="00495DE6"/>
    <w:rsid w:val="00495E3D"/>
    <w:rsid w:val="004B1138"/>
    <w:rsid w:val="004B258D"/>
    <w:rsid w:val="004C263D"/>
    <w:rsid w:val="004C74DD"/>
    <w:rsid w:val="004D1986"/>
    <w:rsid w:val="004D4182"/>
    <w:rsid w:val="004F2F18"/>
    <w:rsid w:val="00506BAF"/>
    <w:rsid w:val="00513D89"/>
    <w:rsid w:val="00520DF4"/>
    <w:rsid w:val="00521FFB"/>
    <w:rsid w:val="00522966"/>
    <w:rsid w:val="0053021D"/>
    <w:rsid w:val="005325E4"/>
    <w:rsid w:val="00543BAD"/>
    <w:rsid w:val="00547297"/>
    <w:rsid w:val="00550086"/>
    <w:rsid w:val="00555391"/>
    <w:rsid w:val="005561C7"/>
    <w:rsid w:val="00575157"/>
    <w:rsid w:val="00575CEA"/>
    <w:rsid w:val="00580561"/>
    <w:rsid w:val="005824F9"/>
    <w:rsid w:val="0059626F"/>
    <w:rsid w:val="005A2015"/>
    <w:rsid w:val="005B617A"/>
    <w:rsid w:val="005C579D"/>
    <w:rsid w:val="005F32AA"/>
    <w:rsid w:val="005F3D9D"/>
    <w:rsid w:val="00611088"/>
    <w:rsid w:val="00611474"/>
    <w:rsid w:val="00650913"/>
    <w:rsid w:val="00663B92"/>
    <w:rsid w:val="00664747"/>
    <w:rsid w:val="00666EB3"/>
    <w:rsid w:val="00670626"/>
    <w:rsid w:val="006771C8"/>
    <w:rsid w:val="00680B8F"/>
    <w:rsid w:val="0069719F"/>
    <w:rsid w:val="006B23D2"/>
    <w:rsid w:val="006B41C9"/>
    <w:rsid w:val="006C6C23"/>
    <w:rsid w:val="006E165B"/>
    <w:rsid w:val="006E1B8A"/>
    <w:rsid w:val="00711882"/>
    <w:rsid w:val="00717933"/>
    <w:rsid w:val="00721E76"/>
    <w:rsid w:val="007226F2"/>
    <w:rsid w:val="007267E4"/>
    <w:rsid w:val="007354A1"/>
    <w:rsid w:val="007424A2"/>
    <w:rsid w:val="00743FF7"/>
    <w:rsid w:val="00773CDF"/>
    <w:rsid w:val="0077523E"/>
    <w:rsid w:val="00781B73"/>
    <w:rsid w:val="0078287E"/>
    <w:rsid w:val="007B320B"/>
    <w:rsid w:val="007C184D"/>
    <w:rsid w:val="007D12B5"/>
    <w:rsid w:val="007D58E6"/>
    <w:rsid w:val="007E7795"/>
    <w:rsid w:val="008109E2"/>
    <w:rsid w:val="00826C90"/>
    <w:rsid w:val="008455DF"/>
    <w:rsid w:val="008468EC"/>
    <w:rsid w:val="00847A1A"/>
    <w:rsid w:val="008527EC"/>
    <w:rsid w:val="008532ED"/>
    <w:rsid w:val="00864A01"/>
    <w:rsid w:val="00864F44"/>
    <w:rsid w:val="0087101D"/>
    <w:rsid w:val="008714ED"/>
    <w:rsid w:val="00871D23"/>
    <w:rsid w:val="008775FA"/>
    <w:rsid w:val="00877F2A"/>
    <w:rsid w:val="0089070E"/>
    <w:rsid w:val="00893C09"/>
    <w:rsid w:val="008A209F"/>
    <w:rsid w:val="008A2C18"/>
    <w:rsid w:val="008B5E48"/>
    <w:rsid w:val="008C3B1A"/>
    <w:rsid w:val="008D2D62"/>
    <w:rsid w:val="008E5F1F"/>
    <w:rsid w:val="008E7D43"/>
    <w:rsid w:val="008F20EF"/>
    <w:rsid w:val="008F2B20"/>
    <w:rsid w:val="009032F9"/>
    <w:rsid w:val="00905EEC"/>
    <w:rsid w:val="00910F1C"/>
    <w:rsid w:val="0091543D"/>
    <w:rsid w:val="009230C5"/>
    <w:rsid w:val="00932967"/>
    <w:rsid w:val="00935C89"/>
    <w:rsid w:val="00946E80"/>
    <w:rsid w:val="009509BA"/>
    <w:rsid w:val="009545E2"/>
    <w:rsid w:val="00965789"/>
    <w:rsid w:val="009A4AD2"/>
    <w:rsid w:val="009B2E4A"/>
    <w:rsid w:val="009B5D31"/>
    <w:rsid w:val="009B625D"/>
    <w:rsid w:val="009B779B"/>
    <w:rsid w:val="009F406A"/>
    <w:rsid w:val="00A15382"/>
    <w:rsid w:val="00A23638"/>
    <w:rsid w:val="00A31B21"/>
    <w:rsid w:val="00A37F60"/>
    <w:rsid w:val="00A400C3"/>
    <w:rsid w:val="00A407AF"/>
    <w:rsid w:val="00A40950"/>
    <w:rsid w:val="00A4431F"/>
    <w:rsid w:val="00A4494E"/>
    <w:rsid w:val="00A55D1B"/>
    <w:rsid w:val="00A6051B"/>
    <w:rsid w:val="00A607D4"/>
    <w:rsid w:val="00A75A4C"/>
    <w:rsid w:val="00A772B0"/>
    <w:rsid w:val="00A86D4E"/>
    <w:rsid w:val="00A87DE1"/>
    <w:rsid w:val="00A92010"/>
    <w:rsid w:val="00AA2711"/>
    <w:rsid w:val="00AA4040"/>
    <w:rsid w:val="00AB243B"/>
    <w:rsid w:val="00AB379D"/>
    <w:rsid w:val="00AC3A7E"/>
    <w:rsid w:val="00AC7F42"/>
    <w:rsid w:val="00AD77EB"/>
    <w:rsid w:val="00AF1304"/>
    <w:rsid w:val="00AF50C9"/>
    <w:rsid w:val="00B012FE"/>
    <w:rsid w:val="00B050A8"/>
    <w:rsid w:val="00B05336"/>
    <w:rsid w:val="00B248FF"/>
    <w:rsid w:val="00B27A8F"/>
    <w:rsid w:val="00B344CF"/>
    <w:rsid w:val="00B350CE"/>
    <w:rsid w:val="00B4727B"/>
    <w:rsid w:val="00B64EBF"/>
    <w:rsid w:val="00B66C51"/>
    <w:rsid w:val="00B70046"/>
    <w:rsid w:val="00B74D57"/>
    <w:rsid w:val="00BA7F2C"/>
    <w:rsid w:val="00BB2EC3"/>
    <w:rsid w:val="00BD207A"/>
    <w:rsid w:val="00BD3995"/>
    <w:rsid w:val="00BD46D6"/>
    <w:rsid w:val="00BF4431"/>
    <w:rsid w:val="00BF6512"/>
    <w:rsid w:val="00C07E2E"/>
    <w:rsid w:val="00C10635"/>
    <w:rsid w:val="00C106BD"/>
    <w:rsid w:val="00C109E3"/>
    <w:rsid w:val="00C57562"/>
    <w:rsid w:val="00C653BF"/>
    <w:rsid w:val="00C713FB"/>
    <w:rsid w:val="00C77744"/>
    <w:rsid w:val="00C83F9F"/>
    <w:rsid w:val="00C92BBF"/>
    <w:rsid w:val="00CA31EC"/>
    <w:rsid w:val="00CD1D5A"/>
    <w:rsid w:val="00CD41B3"/>
    <w:rsid w:val="00CE2C37"/>
    <w:rsid w:val="00CE2D20"/>
    <w:rsid w:val="00CE41D7"/>
    <w:rsid w:val="00CE49FE"/>
    <w:rsid w:val="00CE7813"/>
    <w:rsid w:val="00D01972"/>
    <w:rsid w:val="00D136BE"/>
    <w:rsid w:val="00D162FD"/>
    <w:rsid w:val="00D223A0"/>
    <w:rsid w:val="00D26CED"/>
    <w:rsid w:val="00D41CFE"/>
    <w:rsid w:val="00D4765D"/>
    <w:rsid w:val="00D719B1"/>
    <w:rsid w:val="00D811E7"/>
    <w:rsid w:val="00DA1DB5"/>
    <w:rsid w:val="00DC2F15"/>
    <w:rsid w:val="00DC6989"/>
    <w:rsid w:val="00DD0B9A"/>
    <w:rsid w:val="00DD2787"/>
    <w:rsid w:val="00DD39E5"/>
    <w:rsid w:val="00DE497E"/>
    <w:rsid w:val="00DF37B9"/>
    <w:rsid w:val="00DF4DE3"/>
    <w:rsid w:val="00E102AF"/>
    <w:rsid w:val="00E20B13"/>
    <w:rsid w:val="00E20E67"/>
    <w:rsid w:val="00E35D26"/>
    <w:rsid w:val="00E555E8"/>
    <w:rsid w:val="00E6174E"/>
    <w:rsid w:val="00E64A6B"/>
    <w:rsid w:val="00E6505A"/>
    <w:rsid w:val="00E67C73"/>
    <w:rsid w:val="00E705EE"/>
    <w:rsid w:val="00E74D2E"/>
    <w:rsid w:val="00E7513E"/>
    <w:rsid w:val="00E80833"/>
    <w:rsid w:val="00E906FE"/>
    <w:rsid w:val="00E92999"/>
    <w:rsid w:val="00E94627"/>
    <w:rsid w:val="00E96443"/>
    <w:rsid w:val="00EA3112"/>
    <w:rsid w:val="00EA59DC"/>
    <w:rsid w:val="00EA5CEB"/>
    <w:rsid w:val="00EB201C"/>
    <w:rsid w:val="00EC6624"/>
    <w:rsid w:val="00EC6E7F"/>
    <w:rsid w:val="00EC777D"/>
    <w:rsid w:val="00ED6C00"/>
    <w:rsid w:val="00EE1724"/>
    <w:rsid w:val="00EF2DDD"/>
    <w:rsid w:val="00EF3164"/>
    <w:rsid w:val="00EF6437"/>
    <w:rsid w:val="00F157C9"/>
    <w:rsid w:val="00F30864"/>
    <w:rsid w:val="00F31669"/>
    <w:rsid w:val="00F64780"/>
    <w:rsid w:val="00F66E13"/>
    <w:rsid w:val="00F75C41"/>
    <w:rsid w:val="00F82951"/>
    <w:rsid w:val="00F91880"/>
    <w:rsid w:val="00FA11C0"/>
    <w:rsid w:val="00FB0191"/>
    <w:rsid w:val="00FB0620"/>
    <w:rsid w:val="00FC565B"/>
    <w:rsid w:val="00FC5E32"/>
    <w:rsid w:val="00FC69C0"/>
    <w:rsid w:val="00FD08D7"/>
    <w:rsid w:val="00FD5B0F"/>
    <w:rsid w:val="00FE1973"/>
    <w:rsid w:val="00FF00DF"/>
    <w:rsid w:val="00FF0E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D0BCD"/>
  <w15:chartTrackingRefBased/>
  <w15:docId w15:val="{E477A97E-6E34-4579-BFB5-7B033C7C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0A531E"/>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pPr>
      <w:tabs>
        <w:tab w:val="center" w:pos="4536"/>
        <w:tab w:val="right" w:pos="9072"/>
      </w:tabs>
    </w:pPr>
  </w:style>
  <w:style w:type="paragraph" w:styleId="BodyTextIndent2">
    <w:name w:val="Body Text Indent 2"/>
    <w:basedOn w:val="Normal"/>
    <w:semiHidden/>
    <w:pPr>
      <w:tabs>
        <w:tab w:val="num" w:pos="851"/>
      </w:tabs>
      <w:ind w:firstLine="284"/>
    </w:pPr>
    <w:rPr>
      <w:rFonts w:ascii="Arial" w:hAnsi="Arial"/>
      <w:sz w:val="22"/>
      <w:szCs w:val="20"/>
      <w:lang w:eastAsia="en-US"/>
    </w:rPr>
  </w:style>
  <w:style w:type="paragraph" w:styleId="BodyText">
    <w:name w:val="Body Text"/>
    <w:basedOn w:val="Normal"/>
    <w:link w:val="BodyTextChar"/>
    <w:semiHidden/>
    <w:rPr>
      <w:rFonts w:ascii="Arial" w:hAnsi="Arial"/>
      <w:sz w:val="18"/>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91543D"/>
    <w:rPr>
      <w:rFonts w:ascii="Tahoma" w:hAnsi="Tahoma" w:cs="Tahoma"/>
      <w:sz w:val="16"/>
      <w:szCs w:val="16"/>
    </w:rPr>
  </w:style>
  <w:style w:type="character" w:customStyle="1" w:styleId="BalloonTextChar">
    <w:name w:val="Balloon Text Char"/>
    <w:link w:val="BalloonText"/>
    <w:uiPriority w:val="99"/>
    <w:semiHidden/>
    <w:rsid w:val="0091543D"/>
    <w:rPr>
      <w:rFonts w:ascii="Tahoma" w:hAnsi="Tahoma" w:cs="Tahoma"/>
      <w:sz w:val="16"/>
      <w:szCs w:val="16"/>
    </w:rPr>
  </w:style>
  <w:style w:type="character" w:customStyle="1" w:styleId="FooterChar">
    <w:name w:val="Footer Char"/>
    <w:link w:val="Footer"/>
    <w:semiHidden/>
    <w:rsid w:val="00680B8F"/>
    <w:rPr>
      <w:sz w:val="24"/>
      <w:szCs w:val="24"/>
    </w:rPr>
  </w:style>
  <w:style w:type="paragraph" w:customStyle="1" w:styleId="Body">
    <w:name w:val="Body"/>
    <w:rsid w:val="002A3B74"/>
    <w:pPr>
      <w:pBdr>
        <w:top w:val="nil"/>
        <w:left w:val="nil"/>
        <w:bottom w:val="nil"/>
        <w:right w:val="nil"/>
        <w:between w:val="nil"/>
        <w:bar w:val="nil"/>
      </w:pBdr>
    </w:pPr>
    <w:rPr>
      <w:rFonts w:ascii="Inria Sans Regular" w:eastAsia="Arial Unicode MS" w:hAnsi="Inria Sans Regular" w:cs="Arial Unicode MS"/>
      <w:color w:val="000000"/>
      <w:sz w:val="18"/>
      <w:szCs w:val="18"/>
      <w:u w:color="000000"/>
      <w:bdr w:val="nil"/>
    </w:rPr>
  </w:style>
  <w:style w:type="character" w:customStyle="1" w:styleId="Nerazreenaomemba1">
    <w:name w:val="Nerazrešena omemba1"/>
    <w:basedOn w:val="DefaultParagraphFont"/>
    <w:uiPriority w:val="99"/>
    <w:semiHidden/>
    <w:unhideWhenUsed/>
    <w:rsid w:val="00543BAD"/>
    <w:rPr>
      <w:color w:val="605E5C"/>
      <w:shd w:val="clear" w:color="auto" w:fill="E1DFDD"/>
    </w:rPr>
  </w:style>
  <w:style w:type="paragraph" w:styleId="ListParagraph">
    <w:name w:val="List Paragraph"/>
    <w:basedOn w:val="Normal"/>
    <w:uiPriority w:val="34"/>
    <w:qFormat/>
    <w:rsid w:val="00D162FD"/>
    <w:pPr>
      <w:ind w:left="720"/>
      <w:contextualSpacing/>
    </w:pPr>
  </w:style>
  <w:style w:type="character" w:customStyle="1" w:styleId="BodyTextChar">
    <w:name w:val="Body Text Char"/>
    <w:basedOn w:val="DefaultParagraphFont"/>
    <w:link w:val="BodyText"/>
    <w:semiHidden/>
    <w:rsid w:val="00383484"/>
    <w:rPr>
      <w:rFonts w:ascii="Arial" w:hAnsi="Arial"/>
      <w:sz w:val="18"/>
      <w:szCs w:val="24"/>
    </w:rPr>
  </w:style>
  <w:style w:type="character" w:styleId="UnresolvedMention">
    <w:name w:val="Unresolved Mention"/>
    <w:basedOn w:val="DefaultParagraphFont"/>
    <w:uiPriority w:val="99"/>
    <w:semiHidden/>
    <w:unhideWhenUsed/>
    <w:rsid w:val="00663B92"/>
    <w:rPr>
      <w:color w:val="605E5C"/>
      <w:shd w:val="clear" w:color="auto" w:fill="E1DFDD"/>
    </w:rPr>
  </w:style>
  <w:style w:type="character" w:customStyle="1" w:styleId="Heading1Char">
    <w:name w:val="Heading 1 Char"/>
    <w:basedOn w:val="DefaultParagraphFont"/>
    <w:link w:val="Heading1"/>
    <w:uiPriority w:val="9"/>
    <w:rsid w:val="000A531E"/>
    <w:rPr>
      <w:b/>
      <w:bCs/>
      <w:kern w:val="36"/>
      <w:sz w:val="48"/>
      <w:szCs w:val="48"/>
    </w:rPr>
  </w:style>
  <w:style w:type="character" w:customStyle="1" w:styleId="datalabel">
    <w:name w:val="datalabel"/>
    <w:basedOn w:val="DefaultParagraphFont"/>
    <w:rsid w:val="00A87DE1"/>
  </w:style>
  <w:style w:type="character" w:customStyle="1" w:styleId="markedcontent">
    <w:name w:val="markedcontent"/>
    <w:basedOn w:val="DefaultParagraphFont"/>
    <w:rsid w:val="00A37F60"/>
  </w:style>
  <w:style w:type="character" w:styleId="CommentReference">
    <w:name w:val="annotation reference"/>
    <w:basedOn w:val="DefaultParagraphFont"/>
    <w:uiPriority w:val="99"/>
    <w:semiHidden/>
    <w:unhideWhenUsed/>
    <w:rsid w:val="001266C0"/>
    <w:rPr>
      <w:sz w:val="16"/>
      <w:szCs w:val="16"/>
    </w:rPr>
  </w:style>
  <w:style w:type="paragraph" w:styleId="CommentText">
    <w:name w:val="annotation text"/>
    <w:basedOn w:val="Normal"/>
    <w:link w:val="CommentTextChar"/>
    <w:uiPriority w:val="99"/>
    <w:semiHidden/>
    <w:unhideWhenUsed/>
    <w:rsid w:val="001266C0"/>
    <w:rPr>
      <w:sz w:val="20"/>
      <w:szCs w:val="20"/>
    </w:rPr>
  </w:style>
  <w:style w:type="character" w:customStyle="1" w:styleId="CommentTextChar">
    <w:name w:val="Comment Text Char"/>
    <w:basedOn w:val="DefaultParagraphFont"/>
    <w:link w:val="CommentText"/>
    <w:uiPriority w:val="99"/>
    <w:semiHidden/>
    <w:rsid w:val="001266C0"/>
  </w:style>
  <w:style w:type="paragraph" w:styleId="CommentSubject">
    <w:name w:val="annotation subject"/>
    <w:basedOn w:val="CommentText"/>
    <w:next w:val="CommentText"/>
    <w:link w:val="CommentSubjectChar"/>
    <w:uiPriority w:val="99"/>
    <w:semiHidden/>
    <w:unhideWhenUsed/>
    <w:rsid w:val="001266C0"/>
    <w:rPr>
      <w:b/>
      <w:bCs/>
    </w:rPr>
  </w:style>
  <w:style w:type="character" w:customStyle="1" w:styleId="CommentSubjectChar">
    <w:name w:val="Comment Subject Char"/>
    <w:basedOn w:val="CommentTextChar"/>
    <w:link w:val="CommentSubject"/>
    <w:uiPriority w:val="99"/>
    <w:semiHidden/>
    <w:rsid w:val="001266C0"/>
    <w:rPr>
      <w:b/>
      <w:bCs/>
    </w:rPr>
  </w:style>
  <w:style w:type="paragraph" w:styleId="NormalWeb">
    <w:name w:val="Normal (Web)"/>
    <w:basedOn w:val="Normal"/>
    <w:uiPriority w:val="99"/>
    <w:unhideWhenUsed/>
    <w:rsid w:val="00B050A8"/>
    <w:pPr>
      <w:spacing w:before="100" w:beforeAutospacing="1" w:after="100" w:afterAutospacing="1"/>
    </w:pPr>
  </w:style>
  <w:style w:type="character" w:styleId="Strong">
    <w:name w:val="Strong"/>
    <w:basedOn w:val="DefaultParagraphFont"/>
    <w:uiPriority w:val="22"/>
    <w:qFormat/>
    <w:rsid w:val="00B050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55727">
      <w:bodyDiv w:val="1"/>
      <w:marLeft w:val="0"/>
      <w:marRight w:val="0"/>
      <w:marTop w:val="0"/>
      <w:marBottom w:val="0"/>
      <w:divBdr>
        <w:top w:val="none" w:sz="0" w:space="0" w:color="auto"/>
        <w:left w:val="none" w:sz="0" w:space="0" w:color="auto"/>
        <w:bottom w:val="none" w:sz="0" w:space="0" w:color="auto"/>
        <w:right w:val="none" w:sz="0" w:space="0" w:color="auto"/>
      </w:divBdr>
    </w:div>
    <w:div w:id="183443247">
      <w:bodyDiv w:val="1"/>
      <w:marLeft w:val="0"/>
      <w:marRight w:val="0"/>
      <w:marTop w:val="0"/>
      <w:marBottom w:val="0"/>
      <w:divBdr>
        <w:top w:val="none" w:sz="0" w:space="0" w:color="auto"/>
        <w:left w:val="none" w:sz="0" w:space="0" w:color="auto"/>
        <w:bottom w:val="none" w:sz="0" w:space="0" w:color="auto"/>
        <w:right w:val="none" w:sz="0" w:space="0" w:color="auto"/>
      </w:divBdr>
    </w:div>
    <w:div w:id="192571755">
      <w:bodyDiv w:val="1"/>
      <w:marLeft w:val="0"/>
      <w:marRight w:val="0"/>
      <w:marTop w:val="0"/>
      <w:marBottom w:val="0"/>
      <w:divBdr>
        <w:top w:val="none" w:sz="0" w:space="0" w:color="auto"/>
        <w:left w:val="none" w:sz="0" w:space="0" w:color="auto"/>
        <w:bottom w:val="none" w:sz="0" w:space="0" w:color="auto"/>
        <w:right w:val="none" w:sz="0" w:space="0" w:color="auto"/>
      </w:divBdr>
    </w:div>
    <w:div w:id="528951105">
      <w:bodyDiv w:val="1"/>
      <w:marLeft w:val="0"/>
      <w:marRight w:val="0"/>
      <w:marTop w:val="0"/>
      <w:marBottom w:val="0"/>
      <w:divBdr>
        <w:top w:val="none" w:sz="0" w:space="0" w:color="auto"/>
        <w:left w:val="none" w:sz="0" w:space="0" w:color="auto"/>
        <w:bottom w:val="none" w:sz="0" w:space="0" w:color="auto"/>
        <w:right w:val="none" w:sz="0" w:space="0" w:color="auto"/>
      </w:divBdr>
    </w:div>
    <w:div w:id="580262310">
      <w:bodyDiv w:val="1"/>
      <w:marLeft w:val="0"/>
      <w:marRight w:val="0"/>
      <w:marTop w:val="0"/>
      <w:marBottom w:val="0"/>
      <w:divBdr>
        <w:top w:val="none" w:sz="0" w:space="0" w:color="auto"/>
        <w:left w:val="none" w:sz="0" w:space="0" w:color="auto"/>
        <w:bottom w:val="none" w:sz="0" w:space="0" w:color="auto"/>
        <w:right w:val="none" w:sz="0" w:space="0" w:color="auto"/>
      </w:divBdr>
    </w:div>
    <w:div w:id="607468273">
      <w:bodyDiv w:val="1"/>
      <w:marLeft w:val="0"/>
      <w:marRight w:val="0"/>
      <w:marTop w:val="0"/>
      <w:marBottom w:val="0"/>
      <w:divBdr>
        <w:top w:val="none" w:sz="0" w:space="0" w:color="auto"/>
        <w:left w:val="none" w:sz="0" w:space="0" w:color="auto"/>
        <w:bottom w:val="none" w:sz="0" w:space="0" w:color="auto"/>
        <w:right w:val="none" w:sz="0" w:space="0" w:color="auto"/>
      </w:divBdr>
    </w:div>
    <w:div w:id="836532020">
      <w:bodyDiv w:val="1"/>
      <w:marLeft w:val="0"/>
      <w:marRight w:val="0"/>
      <w:marTop w:val="0"/>
      <w:marBottom w:val="0"/>
      <w:divBdr>
        <w:top w:val="none" w:sz="0" w:space="0" w:color="auto"/>
        <w:left w:val="none" w:sz="0" w:space="0" w:color="auto"/>
        <w:bottom w:val="none" w:sz="0" w:space="0" w:color="auto"/>
        <w:right w:val="none" w:sz="0" w:space="0" w:color="auto"/>
      </w:divBdr>
    </w:div>
    <w:div w:id="1038090320">
      <w:bodyDiv w:val="1"/>
      <w:marLeft w:val="0"/>
      <w:marRight w:val="0"/>
      <w:marTop w:val="0"/>
      <w:marBottom w:val="0"/>
      <w:divBdr>
        <w:top w:val="none" w:sz="0" w:space="0" w:color="auto"/>
        <w:left w:val="none" w:sz="0" w:space="0" w:color="auto"/>
        <w:bottom w:val="none" w:sz="0" w:space="0" w:color="auto"/>
        <w:right w:val="none" w:sz="0" w:space="0" w:color="auto"/>
      </w:divBdr>
    </w:div>
    <w:div w:id="1419474144">
      <w:bodyDiv w:val="1"/>
      <w:marLeft w:val="0"/>
      <w:marRight w:val="0"/>
      <w:marTop w:val="0"/>
      <w:marBottom w:val="0"/>
      <w:divBdr>
        <w:top w:val="none" w:sz="0" w:space="0" w:color="auto"/>
        <w:left w:val="none" w:sz="0" w:space="0" w:color="auto"/>
        <w:bottom w:val="none" w:sz="0" w:space="0" w:color="auto"/>
        <w:right w:val="none" w:sz="0" w:space="0" w:color="auto"/>
      </w:divBdr>
      <w:divsChild>
        <w:div w:id="264191246">
          <w:marLeft w:val="75"/>
          <w:marRight w:val="0"/>
          <w:marTop w:val="0"/>
          <w:marBottom w:val="0"/>
          <w:divBdr>
            <w:top w:val="none" w:sz="0" w:space="0" w:color="auto"/>
            <w:left w:val="none" w:sz="0" w:space="0" w:color="auto"/>
            <w:bottom w:val="none" w:sz="0" w:space="0" w:color="auto"/>
            <w:right w:val="none" w:sz="0" w:space="0" w:color="auto"/>
          </w:divBdr>
        </w:div>
      </w:divsChild>
    </w:div>
    <w:div w:id="1560359512">
      <w:bodyDiv w:val="1"/>
      <w:marLeft w:val="0"/>
      <w:marRight w:val="0"/>
      <w:marTop w:val="0"/>
      <w:marBottom w:val="0"/>
      <w:divBdr>
        <w:top w:val="none" w:sz="0" w:space="0" w:color="auto"/>
        <w:left w:val="none" w:sz="0" w:space="0" w:color="auto"/>
        <w:bottom w:val="none" w:sz="0" w:space="0" w:color="auto"/>
        <w:right w:val="none" w:sz="0" w:space="0" w:color="auto"/>
      </w:divBdr>
    </w:div>
    <w:div w:id="1704020316">
      <w:bodyDiv w:val="1"/>
      <w:marLeft w:val="0"/>
      <w:marRight w:val="0"/>
      <w:marTop w:val="0"/>
      <w:marBottom w:val="0"/>
      <w:divBdr>
        <w:top w:val="none" w:sz="0" w:space="0" w:color="auto"/>
        <w:left w:val="none" w:sz="0" w:space="0" w:color="auto"/>
        <w:bottom w:val="none" w:sz="0" w:space="0" w:color="auto"/>
        <w:right w:val="none" w:sz="0" w:space="0" w:color="auto"/>
      </w:divBdr>
    </w:div>
    <w:div w:id="1759978471">
      <w:bodyDiv w:val="1"/>
      <w:marLeft w:val="0"/>
      <w:marRight w:val="0"/>
      <w:marTop w:val="0"/>
      <w:marBottom w:val="0"/>
      <w:divBdr>
        <w:top w:val="none" w:sz="0" w:space="0" w:color="auto"/>
        <w:left w:val="none" w:sz="0" w:space="0" w:color="auto"/>
        <w:bottom w:val="none" w:sz="0" w:space="0" w:color="auto"/>
        <w:right w:val="none" w:sz="0" w:space="0" w:color="auto"/>
      </w:divBdr>
    </w:div>
    <w:div w:id="190298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CB8C55E-FCBD-4215-948B-3159F7E2E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1462</Words>
  <Characters>8337</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9780</CharactersWithSpaces>
  <SharedDoc>false</SharedDoc>
  <HLinks>
    <vt:vector size="6" baseType="variant">
      <vt:variant>
        <vt:i4>8192007</vt:i4>
      </vt:variant>
      <vt:variant>
        <vt:i4>0</vt:i4>
      </vt:variant>
      <vt:variant>
        <vt:i4>0</vt:i4>
      </vt:variant>
      <vt:variant>
        <vt:i4>5</vt:i4>
      </vt:variant>
      <vt:variant>
        <vt:lpwstr>mailto:oekocevje@zgs.gov.si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Draganm</dc:creator>
  <cp:keywords/>
  <cp:lastModifiedBy>Daša Majcen</cp:lastModifiedBy>
  <cp:revision>3</cp:revision>
  <cp:lastPrinted>2026-05-04T07:32:00Z</cp:lastPrinted>
  <dcterms:created xsi:type="dcterms:W3CDTF">2026-09-30T19:54:00Z</dcterms:created>
  <dcterms:modified xsi:type="dcterms:W3CDTF">2026-10-01T12:47:00Z</dcterms:modified>
</cp:coreProperties>
</file>