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bookmarkStart w:id="0" w:name="_GoBack"/>
      <w:bookmarkEnd w:id="0"/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r>
        <w:fldChar w:fldCharType="begin"/>
      </w:r>
      <w:r>
        <w:instrText xml:space="preserve"> HYPERLINK "http://www.uradni-list.si/1/objava.jsp?sop=2007-01-3411" \t "_blank" \o "Zakon o javnih uslužbencih (uradno prečiščeno besedilo)" </w:instrText>
      </w:r>
      <w:r>
        <w:fldChar w:fldCharType="separate"/>
      </w:r>
      <w:r w:rsidRPr="00260EED">
        <w:rPr>
          <w:lang w:val="sl-SI"/>
        </w:rPr>
        <w:t>63/07</w:t>
      </w:r>
      <w:r>
        <w:rPr>
          <w:lang w:val="sl-SI"/>
        </w:rPr>
        <w:fldChar w:fldCharType="end"/>
      </w:r>
      <w:r w:rsidRPr="00260EED">
        <w:rPr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</w:t>
      </w:r>
      <w:r w:rsidR="00C65148">
        <w:rPr>
          <w:szCs w:val="20"/>
          <w:lang w:val="sl-SI"/>
        </w:rPr>
        <w:t xml:space="preserve">202/21 – odl. US in 3/22 - </w:t>
      </w:r>
      <w:proofErr w:type="spellStart"/>
      <w:r w:rsidR="00C65148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>;</w:t>
      </w:r>
      <w:r w:rsidR="00C65148">
        <w:rPr>
          <w:szCs w:val="20"/>
          <w:lang w:val="sl-SI"/>
        </w:rPr>
        <w:t xml:space="preserve"> v</w:t>
      </w:r>
      <w:r w:rsidRPr="00260EED">
        <w:rPr>
          <w:szCs w:val="20"/>
          <w:lang w:val="sl-SI"/>
        </w:rPr>
        <w:t xml:space="preserve"> nadaljnjem besedilu: ZJU</w:t>
      </w:r>
      <w:r w:rsidRPr="00503B6D">
        <w:rPr>
          <w:szCs w:val="20"/>
          <w:lang w:val="sl-SI"/>
        </w:rPr>
        <w:t xml:space="preserve">) </w:t>
      </w:r>
    </w:p>
    <w:p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C65148">
        <w:rPr>
          <w:bCs/>
          <w:szCs w:val="20"/>
          <w:lang w:val="sl-SI"/>
        </w:rPr>
        <w:t>:</w:t>
      </w:r>
      <w:r w:rsidR="00520935">
        <w:rPr>
          <w:bCs/>
          <w:szCs w:val="20"/>
          <w:lang w:val="sl-SI"/>
        </w:rPr>
        <w:t xml:space="preserve">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8B6844">
        <w:rPr>
          <w:b/>
          <w:sz w:val="22"/>
          <w:szCs w:val="22"/>
          <w:lang w:val="sl-SI"/>
        </w:rPr>
        <w:t>VIŠJI SVETOVALEC ZA STANDARDIZACIJO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:rsidR="007B22BD" w:rsidRDefault="007B22BD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Direktoratu za logistiko, Sektorju za raziskave, razvoj in opremljanje, </w:t>
      </w:r>
    </w:p>
    <w:p w:rsidR="00B23142" w:rsidRDefault="007B22BD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Oddelku za standardizacijo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8B6844">
        <w:rPr>
          <w:b/>
          <w:sz w:val="22"/>
          <w:szCs w:val="22"/>
          <w:lang w:val="sl-SI"/>
        </w:rPr>
        <w:t>703004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="00A66488">
        <w:rPr>
          <w:b/>
          <w:sz w:val="22"/>
          <w:szCs w:val="22"/>
          <w:lang w:val="sl-SI"/>
        </w:rPr>
        <w:t>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proofErr w:type="gramStart"/>
      <w:r w:rsidRPr="00787EF7">
        <w:rPr>
          <w:lang w:eastAsia="sl-SI"/>
        </w:rPr>
        <w:t>najmanj</w:t>
      </w:r>
      <w:proofErr w:type="spellEnd"/>
      <w:proofErr w:type="gram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:rsidR="00F833BA" w:rsidRDefault="00F833BA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1F06D0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leta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80335E" w:rsidRDefault="0080335E" w:rsidP="00B3482E">
      <w:pPr>
        <w:pStyle w:val="Glava"/>
        <w:jc w:val="both"/>
        <w:rPr>
          <w:szCs w:val="20"/>
          <w:lang w:val="sl-SI"/>
        </w:rPr>
      </w:pPr>
    </w:p>
    <w:p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proofErr w:type="gramStart"/>
      <w:r w:rsidRPr="00B54039">
        <w:rPr>
          <w:bCs/>
        </w:rPr>
        <w:t>ali</w:t>
      </w:r>
      <w:proofErr w:type="spellEnd"/>
      <w:proofErr w:type="gram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</w:p>
    <w:p w:rsidR="00F833BA" w:rsidRDefault="00F833BA" w:rsidP="00F833BA">
      <w:pPr>
        <w:pStyle w:val="Glava"/>
        <w:jc w:val="both"/>
        <w:rPr>
          <w:szCs w:val="20"/>
          <w:lang w:val="sl-SI"/>
        </w:rPr>
      </w:pP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7B22BD">
        <w:rPr>
          <w:szCs w:val="20"/>
          <w:lang w:val="sl-SI" w:eastAsia="sl-SI"/>
        </w:rPr>
        <w:t>tajn</w:t>
      </w:r>
      <w:r w:rsidR="00F7670E">
        <w:rPr>
          <w:szCs w:val="20"/>
          <w:lang w:val="sl-SI" w:eastAsia="sl-SI"/>
        </w:rPr>
        <w:t>o« (</w:t>
      </w:r>
      <w:r w:rsidR="007B22BD">
        <w:rPr>
          <w:szCs w:val="20"/>
          <w:lang w:val="sl-SI" w:eastAsia="sl-SI"/>
        </w:rPr>
        <w:t>T</w:t>
      </w:r>
      <w:r w:rsidR="00F7670E">
        <w:rPr>
          <w:szCs w:val="20"/>
          <w:lang w:val="sl-SI" w:eastAsia="sl-SI"/>
        </w:rPr>
        <w:t xml:space="preserve">, </w:t>
      </w:r>
      <w:r w:rsidR="007B22BD">
        <w:rPr>
          <w:szCs w:val="20"/>
          <w:lang w:val="sl-SI" w:eastAsia="sl-SI"/>
        </w:rPr>
        <w:t>T</w:t>
      </w:r>
      <w:r w:rsidR="00CC01A6">
        <w:rPr>
          <w:szCs w:val="20"/>
          <w:lang w:val="sl-SI" w:eastAsia="sl-SI"/>
        </w:rPr>
        <w:t xml:space="preserve">-E, </w:t>
      </w:r>
      <w:r w:rsidR="007B22BD">
        <w:rPr>
          <w:szCs w:val="20"/>
          <w:lang w:val="sl-SI" w:eastAsia="sl-SI"/>
        </w:rPr>
        <w:t>T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7B22BD">
        <w:rPr>
          <w:szCs w:val="20"/>
          <w:lang w:val="sl-SI"/>
        </w:rPr>
        <w:t>sabljanje za imenovanje v naziv,</w:t>
      </w:r>
    </w:p>
    <w:p w:rsidR="007B22BD" w:rsidRPr="00F833BA" w:rsidRDefault="005B1199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proofErr w:type="spellStart"/>
      <w:proofErr w:type="gramStart"/>
      <w:r>
        <w:t>osnovna</w:t>
      </w:r>
      <w:proofErr w:type="spellEnd"/>
      <w:proofErr w:type="gramEnd"/>
      <w:r>
        <w:t xml:space="preserve"> raven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angleškega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gramStart"/>
      <w:r w:rsidRPr="005F07C9">
        <w:rPr>
          <w:bCs/>
        </w:rPr>
        <w:t>člena</w:t>
      </w:r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podlagi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</w:t>
      </w:r>
      <w:r w:rsidR="007B22BD">
        <w:t>333</w:t>
      </w:r>
      <w:r>
        <w:t>2</w:t>
      </w:r>
      <w:r w:rsidR="007B22BD">
        <w:t>,</w:t>
      </w:r>
    </w:p>
    <w:p w:rsidR="007B22BD" w:rsidRDefault="007B22BD" w:rsidP="002B11E2">
      <w:pPr>
        <w:numPr>
          <w:ilvl w:val="0"/>
          <w:numId w:val="16"/>
        </w:numPr>
        <w:spacing w:line="240" w:lineRule="auto"/>
        <w:jc w:val="both"/>
      </w:pPr>
      <w:r>
        <w:t xml:space="preserve">NATO </w:t>
      </w:r>
      <w:proofErr w:type="spellStart"/>
      <w:r>
        <w:t>tečaj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standardizacijo</w:t>
      </w:r>
      <w:proofErr w:type="spellEnd"/>
      <w:r>
        <w:t>.</w:t>
      </w: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:rsidR="005B1199" w:rsidRDefault="005B1199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7B22BD" w:rsidTr="008B6844">
        <w:tc>
          <w:tcPr>
            <w:tcW w:w="8606" w:type="dxa"/>
          </w:tcPr>
          <w:p w:rsidR="00B23142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organiziranje medsebojnega sodelovanja in usklajevanja notranjih organizacijskih enot </w:t>
            </w:r>
            <w:r w:rsidR="007B22BD">
              <w:rPr>
                <w:lang w:val="sl-SI"/>
              </w:rPr>
              <w:t>in sodelovanja z drugimi organi,</w:t>
            </w:r>
          </w:p>
        </w:tc>
      </w:tr>
      <w:tr w:rsidR="008B6844" w:rsidRPr="00F26000" w:rsidTr="008B6844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organiziranje in nadzor nad pravilnim in pravočasnim izvajanjem nalog na delovnem področju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oblikovanju sistemskih rešitev in drugih najzahtevnejših gradiv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samostojna priprava zahtevnih analiz, razvojnih projektov, informacij, poročil in drugih zahtevnih gradiv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izvajanje standardizacijskih nalog v pristojnosti NOE za standardizacijo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koordiniranje in izvajanje postopkov nacionalnega potrjevanja Natovih Stanagov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koordiniranje in izvajanje postopkov nacionalnega poročanja o uveljavitvi in</w:t>
            </w:r>
            <w:r w:rsidR="007B22BD">
              <w:rPr>
                <w:lang w:val="sl-SI"/>
              </w:rPr>
              <w:t xml:space="preserve"> </w:t>
            </w:r>
            <w:r>
              <w:rPr>
                <w:lang w:val="sl-SI"/>
              </w:rPr>
              <w:t>izvajanju Natovih Stanagov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opravljanje zahtevnejših nalog na področju razvoja Slovenskih vojaških standardov (SVS)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vodenje </w:t>
            </w:r>
            <w:proofErr w:type="spellStart"/>
            <w:r>
              <w:rPr>
                <w:lang w:val="sl-SI"/>
              </w:rPr>
              <w:t>standardoteke</w:t>
            </w:r>
            <w:proofErr w:type="spellEnd"/>
            <w:r>
              <w:rPr>
                <w:lang w:val="sl-SI"/>
              </w:rPr>
              <w:t>, zbirk ter evidenc Slovenskih vojaških standardov (SVS), Natovih in drugih standardov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priprava in urejanje javnih informacij o obrambni standardizaciji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koordiniranje in izvajanje usposabljanja s področja standardizacije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v delovnih telesih doma  in v tujini  na področju standardizacije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pomoč pri pripravi predpisov in drugih zahtevnejših gradiv</w:t>
            </w:r>
            <w:r w:rsidR="007B22BD">
              <w:rPr>
                <w:lang w:val="sl-SI"/>
              </w:rPr>
              <w:t>,</w:t>
            </w:r>
          </w:p>
        </w:tc>
      </w:tr>
      <w:tr w:rsidR="008B6844" w:rsidRPr="00F26000" w:rsidTr="00B57A8E">
        <w:tc>
          <w:tcPr>
            <w:tcW w:w="8606" w:type="dxa"/>
          </w:tcPr>
          <w:p w:rsidR="008B6844" w:rsidRPr="00F26000" w:rsidRDefault="008B6844" w:rsidP="007B22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</w:t>
            </w:r>
            <w:r w:rsidR="007B22BD">
              <w:rPr>
                <w:lang w:val="sl-SI"/>
              </w:rPr>
              <w:t>.</w:t>
            </w:r>
          </w:p>
        </w:tc>
      </w:tr>
    </w:tbl>
    <w:p w:rsidR="00B23142" w:rsidRPr="00847CD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  <w:bookmarkStart w:id="1" w:name="KADR_SD"/>
      <w:bookmarkEnd w:id="1"/>
    </w:p>
    <w:p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:rsidR="0080335E" w:rsidRDefault="0080335E" w:rsidP="0080335E"/>
    <w:p w:rsidR="00E0209E" w:rsidRDefault="0080335E" w:rsidP="0080335E">
      <w:pPr>
        <w:jc w:val="both"/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upoštevale</w:t>
      </w:r>
      <w:proofErr w:type="spellEnd"/>
      <w:r>
        <w:t xml:space="preserve"> </w:t>
      </w:r>
      <w:proofErr w:type="spellStart"/>
      <w:r w:rsidRPr="00F833BA">
        <w:t>delovne</w:t>
      </w:r>
      <w:proofErr w:type="spellEnd"/>
      <w:r w:rsidRPr="00F833BA">
        <w:t xml:space="preserve"> </w:t>
      </w:r>
      <w:proofErr w:type="spellStart"/>
      <w:r w:rsidRPr="00F833BA">
        <w:t>izkušnje</w:t>
      </w:r>
      <w:proofErr w:type="spellEnd"/>
      <w:r w:rsidR="00E0209E" w:rsidRPr="00F833BA">
        <w:t xml:space="preserve">, </w:t>
      </w:r>
      <w:proofErr w:type="spellStart"/>
      <w:r w:rsidR="00E0209E" w:rsidRPr="00F833BA">
        <w:t>usposobljenost</w:t>
      </w:r>
      <w:proofErr w:type="spellEnd"/>
      <w:r w:rsidR="00E0209E" w:rsidRPr="00F833BA">
        <w:t xml:space="preserve"> </w:t>
      </w:r>
      <w:proofErr w:type="spellStart"/>
      <w:r w:rsidR="007B22BD" w:rsidRPr="003D051D">
        <w:t>drugih</w:t>
      </w:r>
      <w:proofErr w:type="spellEnd"/>
      <w:r w:rsidR="007B22BD" w:rsidRPr="003D051D">
        <w:t xml:space="preserve"> </w:t>
      </w:r>
      <w:proofErr w:type="spellStart"/>
      <w:r w:rsidR="007B22BD" w:rsidRPr="003D051D">
        <w:t>aktivnosti</w:t>
      </w:r>
      <w:proofErr w:type="spellEnd"/>
      <w:r w:rsidR="007B22BD" w:rsidRPr="003D051D">
        <w:t xml:space="preserve"> s </w:t>
      </w:r>
      <w:proofErr w:type="spellStart"/>
      <w:r w:rsidR="007B22BD" w:rsidRPr="003D051D">
        <w:t>področja</w:t>
      </w:r>
      <w:proofErr w:type="spellEnd"/>
      <w:r w:rsidR="007B22BD" w:rsidRPr="003D051D">
        <w:t xml:space="preserve"> </w:t>
      </w:r>
      <w:proofErr w:type="spellStart"/>
      <w:r w:rsidR="007B22BD" w:rsidRPr="003D051D">
        <w:t>delovanja</w:t>
      </w:r>
      <w:proofErr w:type="spellEnd"/>
      <w:r w:rsidR="007B22BD" w:rsidRPr="003D051D">
        <w:t xml:space="preserve"> </w:t>
      </w:r>
      <w:proofErr w:type="spellStart"/>
      <w:r w:rsidR="007B22BD" w:rsidRPr="003D051D">
        <w:t>Ministrstva</w:t>
      </w:r>
      <w:proofErr w:type="spellEnd"/>
      <w:r w:rsidR="007B22BD" w:rsidRPr="003D051D">
        <w:t xml:space="preserve"> </w:t>
      </w:r>
      <w:proofErr w:type="spellStart"/>
      <w:r w:rsidR="007B22BD" w:rsidRPr="003D051D">
        <w:t>za</w:t>
      </w:r>
      <w:proofErr w:type="spellEnd"/>
      <w:r w:rsidR="007B22BD" w:rsidRPr="003D051D">
        <w:t xml:space="preserve"> </w:t>
      </w:r>
      <w:proofErr w:type="spellStart"/>
      <w:r w:rsidR="007B22BD" w:rsidRPr="003D051D">
        <w:t>obrambo</w:t>
      </w:r>
      <w:proofErr w:type="spellEnd"/>
      <w:r w:rsidR="007B22BD" w:rsidRPr="003D051D">
        <w:t xml:space="preserve"> in </w:t>
      </w:r>
      <w:proofErr w:type="spellStart"/>
      <w:r w:rsidR="007B22BD" w:rsidRPr="003D051D">
        <w:t>Oddelka</w:t>
      </w:r>
      <w:proofErr w:type="spellEnd"/>
      <w:r w:rsidR="007B22BD" w:rsidRPr="003D051D">
        <w:t xml:space="preserve"> </w:t>
      </w:r>
      <w:proofErr w:type="spellStart"/>
      <w:r w:rsidR="007B22BD" w:rsidRPr="003D051D">
        <w:t>za</w:t>
      </w:r>
      <w:proofErr w:type="spellEnd"/>
      <w:r w:rsidR="007B22BD" w:rsidRPr="003D051D">
        <w:t xml:space="preserve"> </w:t>
      </w:r>
      <w:proofErr w:type="spellStart"/>
      <w:r w:rsidR="007B22BD" w:rsidRPr="003D051D">
        <w:t>standardizacijo</w:t>
      </w:r>
      <w:proofErr w:type="spellEnd"/>
      <w:r w:rsidR="007B22BD">
        <w:t>.</w:t>
      </w:r>
    </w:p>
    <w:p w:rsidR="007B22BD" w:rsidRDefault="007B22BD" w:rsidP="0080335E">
      <w:pPr>
        <w:jc w:val="both"/>
      </w:pPr>
    </w:p>
    <w:p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</w:t>
      </w:r>
      <w:proofErr w:type="spellStart"/>
      <w:r w:rsidRPr="007501FD">
        <w:t>dela</w:t>
      </w:r>
      <w:proofErr w:type="spellEnd"/>
      <w:r w:rsidRPr="007501FD">
        <w:t xml:space="preserve">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</w:t>
      </w:r>
      <w:proofErr w:type="spellStart"/>
      <w:r w:rsidRPr="007501FD">
        <w:t>ki</w:t>
      </w:r>
      <w:proofErr w:type="spellEnd"/>
      <w:r w:rsidRPr="007501FD">
        <w:t xml:space="preserve"> </w:t>
      </w:r>
      <w:proofErr w:type="spellStart"/>
      <w:r w:rsidRPr="007501FD">
        <w:t>ga</w:t>
      </w:r>
      <w:proofErr w:type="spellEnd"/>
      <w:r w:rsidRPr="007501FD">
        <w:t xml:space="preserve">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7B22BD">
        <w:t>tajno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</w:t>
      </w:r>
      <w:proofErr w:type="gramStart"/>
      <w:r w:rsidRPr="007501FD">
        <w:t>50/06</w:t>
      </w:r>
      <w:proofErr w:type="gramEnd"/>
      <w:r w:rsidRPr="007501FD">
        <w:t xml:space="preserve">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lastRenderedPageBreak/>
        <w:t>izjavo</w:t>
      </w:r>
      <w:proofErr w:type="spellEnd"/>
      <w:proofErr w:type="gramEnd"/>
      <w:r w:rsidRPr="007501FD">
        <w:t xml:space="preserve">, da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9B46E6" w:rsidRPr="0016200D" w:rsidRDefault="00E0209E" w:rsidP="009B46E6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8B6844">
        <w:rPr>
          <w:b/>
          <w:szCs w:val="20"/>
          <w:lang w:val="sl-SI"/>
        </w:rPr>
        <w:t>VIŠJI SVETOVALEC ZA STANDARDIZACIJO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9B46E6">
        <w:rPr>
          <w:lang w:val="sl-SI"/>
        </w:rPr>
        <w:t xml:space="preserve">višji </w:t>
      </w:r>
      <w:r w:rsidR="009B46E6" w:rsidRPr="007501FD">
        <w:rPr>
          <w:lang w:val="sl-SI"/>
        </w:rPr>
        <w:t>svetovalec I</w:t>
      </w:r>
      <w:r w:rsidR="009B46E6">
        <w:rPr>
          <w:lang w:val="sl-SI"/>
        </w:rPr>
        <w:t>I</w:t>
      </w:r>
      <w:r w:rsidR="009B46E6" w:rsidRPr="007501FD">
        <w:rPr>
          <w:lang w:val="sl-SI"/>
        </w:rPr>
        <w:t>I</w:t>
      </w:r>
      <w:r w:rsidR="009B46E6">
        <w:rPr>
          <w:lang w:val="sl-SI"/>
        </w:rPr>
        <w:t xml:space="preserve"> (izhodiščni plačni razred: 22 oz. 2.332,62 evra bruto)</w:t>
      </w:r>
      <w:r w:rsidR="009B46E6" w:rsidRPr="007501FD">
        <w:rPr>
          <w:lang w:val="sl-SI"/>
        </w:rPr>
        <w:t xml:space="preserve">, z možnostjo napredovanja v naziv </w:t>
      </w:r>
      <w:r w:rsidR="009B46E6">
        <w:rPr>
          <w:lang w:val="sl-SI"/>
        </w:rPr>
        <w:t xml:space="preserve">višji </w:t>
      </w:r>
      <w:r w:rsidR="009B46E6" w:rsidRPr="007501FD">
        <w:rPr>
          <w:lang w:val="sl-SI"/>
        </w:rPr>
        <w:t>svetovalec I</w:t>
      </w:r>
      <w:r w:rsidR="009B46E6">
        <w:rPr>
          <w:lang w:val="sl-SI"/>
        </w:rPr>
        <w:t>I in višji svetovalec I</w:t>
      </w:r>
      <w:r w:rsidR="009B46E6" w:rsidRPr="007501FD">
        <w:rPr>
          <w:lang w:val="sl-SI"/>
        </w:rPr>
        <w:t xml:space="preserve">. </w:t>
      </w:r>
      <w:r w:rsidR="009B46E6" w:rsidRPr="0016200D">
        <w:rPr>
          <w:lang w:val="sl-SI"/>
        </w:rPr>
        <w:t>Izbrani kandidat pridobi pravico do izplačila osnovne plače v vrednosti plačnega razreda postopno, na način iz 2. in 3. točke prvega odstavka 101. člena Zakona o skupnih temeljih sistema plač v javnem sektorju (Uradni list RS, št. 95/24)</w:t>
      </w:r>
      <w:r w:rsidR="009B46E6">
        <w:rPr>
          <w:lang w:val="sl-SI"/>
        </w:rPr>
        <w:t>.</w:t>
      </w:r>
    </w:p>
    <w:p w:rsidR="00881686" w:rsidRDefault="00881686" w:rsidP="0080335E">
      <w:pPr>
        <w:jc w:val="both"/>
        <w:rPr>
          <w:lang w:val="sl-SI"/>
        </w:rPr>
      </w:pPr>
    </w:p>
    <w:p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</w:t>
      </w:r>
      <w:proofErr w:type="spellStart"/>
      <w:r w:rsidR="00881686">
        <w:t>po</w:t>
      </w:r>
      <w:proofErr w:type="spellEnd"/>
      <w:r w:rsidR="00881686">
        <w:t xml:space="preserve">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</w:t>
      </w:r>
      <w:proofErr w:type="spellStart"/>
      <w:r w:rsidR="00881686">
        <w:t>za</w:t>
      </w:r>
      <w:proofErr w:type="spellEnd"/>
      <w:r w:rsidR="00881686">
        <w:t xml:space="preserve">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>
        <w:t xml:space="preserve"> </w:t>
      </w:r>
      <w:r w:rsidR="00881686" w:rsidRPr="00CF6E7A">
        <w:rPr>
          <w:szCs w:val="20"/>
          <w:lang w:val="sl-SI"/>
        </w:rPr>
        <w:t>in 3 mesečnim poskusnim delom</w:t>
      </w:r>
      <w:r w:rsidR="00881686" w:rsidRPr="007D43EA">
        <w:rPr>
          <w:lang w:val="sl-SI"/>
        </w:rPr>
        <w:t xml:space="preserve">. </w:t>
      </w:r>
    </w:p>
    <w:p w:rsidR="00881686" w:rsidRDefault="00881686" w:rsidP="0080335E">
      <w:pPr>
        <w:jc w:val="both"/>
        <w:rPr>
          <w:lang w:val="sl-SI"/>
        </w:rPr>
      </w:pPr>
    </w:p>
    <w:p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7B22BD">
        <w:rPr>
          <w:lang w:val="sl-SI"/>
        </w:rPr>
        <w:t>Direktorata za logistiko, Sektorja za raziskave, razvoj in opremljanje, Oddelka za standardizacijo</w:t>
      </w:r>
      <w:r w:rsidR="007B22BD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B72EEC">
        <w:rPr>
          <w:szCs w:val="20"/>
          <w:lang w:val="sl-SI"/>
        </w:rPr>
        <w:t xml:space="preserve"> </w:t>
      </w:r>
      <w:r w:rsidR="007B22BD">
        <w:rPr>
          <w:szCs w:val="20"/>
          <w:lang w:val="sl-SI"/>
        </w:rPr>
        <w:t>Vojkovi cesti 55a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:rsidR="0080335E" w:rsidRPr="00B72EEC" w:rsidRDefault="0080335E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r w:rsidR="008B6844">
        <w:t>VIŠJI SVETOVALEC ZA STANDARDIZACIJO</w:t>
      </w:r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9B46E6">
        <w:rPr>
          <w:b/>
          <w:bCs/>
          <w:szCs w:val="20"/>
          <w:lang w:val="sl-SI"/>
        </w:rPr>
        <w:t>169</w:t>
      </w:r>
      <w:r w:rsidRPr="00F833BA">
        <w:rPr>
          <w:b/>
          <w:bCs/>
          <w:szCs w:val="20"/>
          <w:lang w:val="sl-SI"/>
        </w:rPr>
        <w:t>/202</w:t>
      </w:r>
      <w:r w:rsidR="009B46E6">
        <w:rPr>
          <w:b/>
          <w:bCs/>
          <w:szCs w:val="20"/>
          <w:lang w:val="sl-SI"/>
        </w:rPr>
        <w:t>5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B851B2">
        <w:rPr>
          <w:b/>
          <w:szCs w:val="20"/>
          <w:lang w:val="sl-SI"/>
        </w:rPr>
        <w:t xml:space="preserve">v roku </w:t>
      </w:r>
      <w:r w:rsidR="009B46E6">
        <w:rPr>
          <w:b/>
          <w:szCs w:val="20"/>
          <w:lang w:val="sl-SI"/>
        </w:rPr>
        <w:t>8</w:t>
      </w:r>
      <w:r w:rsidRPr="00B851B2">
        <w:rPr>
          <w:b/>
          <w:szCs w:val="20"/>
          <w:lang w:val="sl-SI"/>
        </w:rPr>
        <w:t xml:space="preserve"> dni </w:t>
      </w:r>
      <w:r w:rsidRPr="00B851B2">
        <w:rPr>
          <w:szCs w:val="20"/>
          <w:lang w:val="sl-SI"/>
        </w:rPr>
        <w:t>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5B1199">
        <w:rPr>
          <w:b/>
          <w:bCs/>
          <w:szCs w:val="20"/>
          <w:lang w:val="sl-SI"/>
        </w:rPr>
        <w:t>2</w:t>
      </w:r>
      <w:r w:rsidR="009B46E6">
        <w:rPr>
          <w:b/>
          <w:bCs/>
          <w:szCs w:val="20"/>
          <w:lang w:val="sl-SI"/>
        </w:rPr>
        <w:t>4</w:t>
      </w:r>
      <w:r w:rsidRPr="00F833BA">
        <w:rPr>
          <w:b/>
          <w:bCs/>
          <w:szCs w:val="20"/>
          <w:lang w:val="sl-SI"/>
        </w:rPr>
        <w:t xml:space="preserve">. </w:t>
      </w:r>
      <w:r w:rsidR="009B46E6">
        <w:rPr>
          <w:b/>
          <w:bCs/>
          <w:szCs w:val="20"/>
          <w:lang w:val="sl-SI"/>
        </w:rPr>
        <w:t>6</w:t>
      </w:r>
      <w:r w:rsidRPr="00F833BA">
        <w:rPr>
          <w:b/>
          <w:bCs/>
          <w:szCs w:val="20"/>
          <w:lang w:val="sl-SI"/>
        </w:rPr>
        <w:t>. 202</w:t>
      </w:r>
      <w:r w:rsidR="009B46E6">
        <w:rPr>
          <w:b/>
          <w:bCs/>
          <w:szCs w:val="20"/>
          <w:lang w:val="sl-SI"/>
        </w:rPr>
        <w:t>5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2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80335E" w:rsidRDefault="00030BFD" w:rsidP="0080335E">
      <w:pPr>
        <w:jc w:val="both"/>
        <w:rPr>
          <w:szCs w:val="20"/>
          <w:lang w:val="sl-SI" w:eastAsia="sl-SI"/>
        </w:rPr>
      </w:pPr>
      <w:proofErr w:type="spellStart"/>
      <w:r w:rsidRPr="002242AA">
        <w:t>Informacije</w:t>
      </w:r>
      <w:proofErr w:type="spellEnd"/>
      <w:r w:rsidRPr="002242AA">
        <w:t xml:space="preserve"> o </w:t>
      </w:r>
      <w:proofErr w:type="spellStart"/>
      <w:r w:rsidRPr="002242AA">
        <w:t>izvedbi</w:t>
      </w:r>
      <w:proofErr w:type="spellEnd"/>
      <w:r w:rsidRPr="002242AA">
        <w:t xml:space="preserve"> </w:t>
      </w:r>
      <w:proofErr w:type="spellStart"/>
      <w:r w:rsidRPr="002242AA">
        <w:t>javnega</w:t>
      </w:r>
      <w:proofErr w:type="spellEnd"/>
      <w:r w:rsidRPr="002242AA">
        <w:t xml:space="preserve"> </w:t>
      </w:r>
      <w:proofErr w:type="spellStart"/>
      <w:r w:rsidRPr="002242AA">
        <w:t>natečaja</w:t>
      </w:r>
      <w:proofErr w:type="spellEnd"/>
      <w:r w:rsidRPr="002242AA">
        <w:t xml:space="preserve"> </w:t>
      </w:r>
      <w:r>
        <w:t xml:space="preserve">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pri</w:t>
      </w:r>
      <w:proofErr w:type="spellEnd"/>
      <w:r w:rsidRPr="002242AA">
        <w:t xml:space="preserve"> </w:t>
      </w:r>
      <w:r>
        <w:t xml:space="preserve">mag. </w:t>
      </w:r>
      <w:proofErr w:type="spellStart"/>
      <w:r w:rsidRPr="00BB6CF8">
        <w:t>Samu</w:t>
      </w:r>
      <w:proofErr w:type="spellEnd"/>
      <w:r w:rsidRPr="00BB6CF8">
        <w:t xml:space="preserve"> </w:t>
      </w:r>
      <w:proofErr w:type="spellStart"/>
      <w:r w:rsidRPr="00BB6CF8">
        <w:t>Podgorniku</w:t>
      </w:r>
      <w:proofErr w:type="spellEnd"/>
      <w:r w:rsidRPr="00BB6CF8">
        <w:t xml:space="preserve">, tel. </w:t>
      </w:r>
      <w:proofErr w:type="spellStart"/>
      <w:r w:rsidRPr="00BB6CF8">
        <w:t>št</w:t>
      </w:r>
      <w:proofErr w:type="spellEnd"/>
      <w:r w:rsidRPr="00BB6CF8">
        <w:t>. 0</w:t>
      </w:r>
      <w:r>
        <w:t>4</w:t>
      </w:r>
      <w:r w:rsidRPr="00BB6CF8">
        <w:t>1</w:t>
      </w:r>
      <w:r>
        <w:t xml:space="preserve"> 397 961</w:t>
      </w:r>
      <w:r w:rsidR="0080335E">
        <w:rPr>
          <w:szCs w:val="20"/>
          <w:lang w:val="sl-SI" w:eastAsia="sl-SI"/>
        </w:rPr>
        <w:t>.</w:t>
      </w:r>
    </w:p>
    <w:p w:rsidR="0080335E" w:rsidRDefault="0080335E" w:rsidP="0080335E">
      <w:pPr>
        <w:jc w:val="both"/>
        <w:rPr>
          <w:szCs w:val="20"/>
          <w:lang w:val="sl-SI" w:eastAsia="sl-SI"/>
        </w:rPr>
      </w:pPr>
    </w:p>
    <w:p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3"/>
      <w:footerReference w:type="first" r:id="rId14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09" w:rsidRDefault="00E03C09">
      <w:r>
        <w:separator/>
      </w:r>
    </w:p>
  </w:endnote>
  <w:endnote w:type="continuationSeparator" w:id="0">
    <w:p w:rsidR="00E03C09" w:rsidRDefault="00E0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09" w:rsidRDefault="00E03C09">
      <w:r>
        <w:separator/>
      </w:r>
    </w:p>
  </w:footnote>
  <w:footnote w:type="continuationSeparator" w:id="0">
    <w:p w:rsidR="00E03C09" w:rsidRDefault="00E0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30BFD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06962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56E2C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96770"/>
    <w:rsid w:val="004973BE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37089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119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5F3435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22BD"/>
    <w:rsid w:val="007B78CB"/>
    <w:rsid w:val="007C2884"/>
    <w:rsid w:val="007C4A00"/>
    <w:rsid w:val="007D190E"/>
    <w:rsid w:val="007D642B"/>
    <w:rsid w:val="007E197C"/>
    <w:rsid w:val="007E5D26"/>
    <w:rsid w:val="007E7AF0"/>
    <w:rsid w:val="007F060D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1686"/>
    <w:rsid w:val="008863D1"/>
    <w:rsid w:val="00887E41"/>
    <w:rsid w:val="0089592A"/>
    <w:rsid w:val="00897C7E"/>
    <w:rsid w:val="00897CDE"/>
    <w:rsid w:val="008A3507"/>
    <w:rsid w:val="008B4059"/>
    <w:rsid w:val="008B6844"/>
    <w:rsid w:val="008C2FEE"/>
    <w:rsid w:val="008C580A"/>
    <w:rsid w:val="008D50AB"/>
    <w:rsid w:val="008E068A"/>
    <w:rsid w:val="008E1989"/>
    <w:rsid w:val="008F6EA9"/>
    <w:rsid w:val="00903E3A"/>
    <w:rsid w:val="009124F8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B46E6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57A8E"/>
    <w:rsid w:val="00B72EEC"/>
    <w:rsid w:val="00B745BF"/>
    <w:rsid w:val="00B82F5C"/>
    <w:rsid w:val="00B84C76"/>
    <w:rsid w:val="00B851B2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BF7AB8"/>
    <w:rsid w:val="00C03E0B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5148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B48CA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145B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03C09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90302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15EA5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847C9D6-E2B8-4DE8-A062-218F3C8B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0056-E46A-4183-A14A-60541F12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3</Pages>
  <Words>1512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10112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2018-01-29T07:33:00Z</cp:lastPrinted>
  <dcterms:created xsi:type="dcterms:W3CDTF">2025-06-10T14:29:00Z</dcterms:created>
  <dcterms:modified xsi:type="dcterms:W3CDTF">2025-06-10T14:29:00Z</dcterms:modified>
</cp:coreProperties>
</file>