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540807" w:rsidRDefault="007D75CF" w:rsidP="00DC6A71">
      <w:pPr>
        <w:pStyle w:val="datumtevilka"/>
        <w:rPr>
          <w:lang w:val="sl-SI"/>
        </w:rPr>
      </w:pPr>
      <w:bookmarkStart w:id="0" w:name="_GoBack"/>
      <w:bookmarkEnd w:id="0"/>
      <w:r w:rsidRPr="00540807">
        <w:rPr>
          <w:lang w:val="sl-SI"/>
        </w:rPr>
        <w:t xml:space="preserve">Številka: </w:t>
      </w:r>
      <w:r w:rsidRPr="00540807">
        <w:rPr>
          <w:lang w:val="sl-SI"/>
        </w:rPr>
        <w:tab/>
      </w:r>
      <w:r w:rsidR="00D77B92">
        <w:rPr>
          <w:rFonts w:ascii="ArialMT" w:hAnsi="ArialMT" w:cs="ArialMT"/>
          <w:lang w:eastAsia="sl-SI"/>
        </w:rPr>
        <w:t>478-295/2021-1</w:t>
      </w:r>
    </w:p>
    <w:p w:rsidR="007D75CF" w:rsidRPr="00540807" w:rsidRDefault="00C250D5" w:rsidP="00DC6A71">
      <w:pPr>
        <w:pStyle w:val="datumtevilka"/>
        <w:rPr>
          <w:lang w:val="sl-SI"/>
        </w:rPr>
      </w:pPr>
      <w:r w:rsidRPr="00540807">
        <w:rPr>
          <w:lang w:val="sl-SI"/>
        </w:rPr>
        <w:t xml:space="preserve">Datum: </w:t>
      </w:r>
      <w:r w:rsidRPr="00540807">
        <w:rPr>
          <w:lang w:val="sl-SI"/>
        </w:rPr>
        <w:tab/>
      </w:r>
      <w:bookmarkStart w:id="1" w:name="DatumDokumenta"/>
      <w:r w:rsidR="00D77B92">
        <w:rPr>
          <w:rFonts w:ascii="ArialMT" w:hAnsi="ArialMT" w:cs="ArialMT"/>
          <w:lang w:eastAsia="sl-SI"/>
        </w:rPr>
        <w:t>02. 12. 2021</w:t>
      </w:r>
      <w:bookmarkEnd w:id="1"/>
    </w:p>
    <w:p w:rsidR="007D75CF" w:rsidRDefault="007D75CF" w:rsidP="007D75CF"/>
    <w:p w:rsidR="00540807" w:rsidRDefault="00540807" w:rsidP="007D75CF"/>
    <w:p w:rsidR="00540807" w:rsidRPr="00540807" w:rsidRDefault="00540807" w:rsidP="007D75CF"/>
    <w:p w:rsidR="00540807" w:rsidRDefault="00540807" w:rsidP="00540807">
      <w:pPr>
        <w:pStyle w:val="Default"/>
        <w:jc w:val="both"/>
        <w:rPr>
          <w:sz w:val="20"/>
          <w:szCs w:val="20"/>
        </w:rPr>
      </w:pPr>
      <w:bookmarkStart w:id="2" w:name="CrtnaKoda"/>
      <w:bookmarkEnd w:id="2"/>
      <w:r w:rsidRPr="00540807">
        <w:rPr>
          <w:sz w:val="20"/>
          <w:szCs w:val="20"/>
        </w:rPr>
        <w:t xml:space="preserve">Na podlagi  52. in 62. člena Zakona o stvarnem premoženju države in samoupravnih lokalnih skupnosti (Uradni list RS št. 11/2018,79/18- ZSPDSLS-1)  in 19. člena </w:t>
      </w:r>
      <w:r w:rsidRPr="00540807">
        <w:rPr>
          <w:rFonts w:ascii="ArialMT" w:hAnsi="ArialMT" w:cs="ArialMT"/>
          <w:sz w:val="20"/>
          <w:szCs w:val="20"/>
        </w:rPr>
        <w:t xml:space="preserve">Uredbe o stvarnem premoženju države in samoupravnih lokalnih skupnosti (Uradni list RS, št. 31/2018) </w:t>
      </w:r>
      <w:r w:rsidRPr="00540807">
        <w:rPr>
          <w:sz w:val="20"/>
          <w:szCs w:val="20"/>
        </w:rPr>
        <w:t>Ministrstvo za obrambo objavlja</w:t>
      </w:r>
    </w:p>
    <w:p w:rsidR="00E41756" w:rsidRPr="00540807" w:rsidRDefault="00E41756" w:rsidP="00540807">
      <w:pPr>
        <w:pStyle w:val="Default"/>
        <w:jc w:val="both"/>
        <w:rPr>
          <w:sz w:val="20"/>
          <w:szCs w:val="20"/>
        </w:rPr>
      </w:pPr>
    </w:p>
    <w:p w:rsidR="00540807" w:rsidRPr="00540807" w:rsidRDefault="00540807" w:rsidP="00540807">
      <w:pPr>
        <w:pStyle w:val="Default"/>
        <w:jc w:val="both"/>
        <w:rPr>
          <w:sz w:val="20"/>
          <w:szCs w:val="20"/>
        </w:rPr>
      </w:pPr>
    </w:p>
    <w:p w:rsidR="00D60547" w:rsidRDefault="00540807" w:rsidP="00540807">
      <w:pPr>
        <w:pStyle w:val="Default"/>
        <w:jc w:val="center"/>
        <w:rPr>
          <w:b/>
          <w:sz w:val="20"/>
          <w:szCs w:val="20"/>
        </w:rPr>
      </w:pPr>
      <w:r w:rsidRPr="00540807">
        <w:rPr>
          <w:b/>
          <w:sz w:val="20"/>
          <w:szCs w:val="20"/>
        </w:rPr>
        <w:t xml:space="preserve">NAMERO </w:t>
      </w:r>
    </w:p>
    <w:p w:rsidR="00540807" w:rsidRPr="00540807" w:rsidRDefault="00E41756" w:rsidP="00D60547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ODDAJI NEPREMIČNIN V BREZPLAČNO UPORABO</w:t>
      </w:r>
      <w:r w:rsidRPr="00540807">
        <w:rPr>
          <w:b/>
          <w:sz w:val="20"/>
          <w:szCs w:val="20"/>
        </w:rPr>
        <w:t xml:space="preserve"> </w:t>
      </w:r>
    </w:p>
    <w:p w:rsidR="00540807" w:rsidRDefault="00540807" w:rsidP="00540807">
      <w:pPr>
        <w:pStyle w:val="Default"/>
        <w:jc w:val="both"/>
        <w:rPr>
          <w:sz w:val="20"/>
          <w:szCs w:val="20"/>
        </w:rPr>
      </w:pPr>
    </w:p>
    <w:p w:rsidR="00E41756" w:rsidRPr="00540807" w:rsidRDefault="00E41756" w:rsidP="00540807">
      <w:pPr>
        <w:pStyle w:val="Default"/>
        <w:jc w:val="both"/>
        <w:rPr>
          <w:sz w:val="20"/>
          <w:szCs w:val="20"/>
        </w:rPr>
      </w:pPr>
    </w:p>
    <w:p w:rsidR="00540807" w:rsidRPr="00540807" w:rsidRDefault="00540807" w:rsidP="00540807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40807">
        <w:rPr>
          <w:rFonts w:ascii="Arial" w:hAnsi="Arial" w:cs="Arial"/>
          <w:b/>
          <w:sz w:val="20"/>
          <w:szCs w:val="20"/>
        </w:rPr>
        <w:t>Naziv, sedež organizatorja in upravljavca stvarnega premoženja:</w:t>
      </w:r>
    </w:p>
    <w:p w:rsidR="00540807" w:rsidRPr="00540807" w:rsidRDefault="00540807" w:rsidP="00540807">
      <w:pPr>
        <w:jc w:val="both"/>
        <w:rPr>
          <w:szCs w:val="20"/>
        </w:rPr>
      </w:pPr>
      <w:r w:rsidRPr="00540807">
        <w:rPr>
          <w:szCs w:val="20"/>
        </w:rPr>
        <w:t>Ministrstvo za obrambo, Vojkova cesta 55, 1000 Ljubljana.</w:t>
      </w:r>
    </w:p>
    <w:p w:rsidR="00540807" w:rsidRPr="00540807" w:rsidRDefault="00540807" w:rsidP="00540807">
      <w:pPr>
        <w:rPr>
          <w:szCs w:val="20"/>
        </w:rPr>
      </w:pPr>
    </w:p>
    <w:p w:rsidR="00540807" w:rsidRPr="00540807" w:rsidRDefault="00540807" w:rsidP="00540807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40807">
        <w:rPr>
          <w:rFonts w:ascii="Arial" w:hAnsi="Arial" w:cs="Arial"/>
          <w:b/>
          <w:sz w:val="20"/>
          <w:szCs w:val="20"/>
        </w:rPr>
        <w:t>Pre</w:t>
      </w:r>
      <w:r w:rsidR="009D6E27">
        <w:rPr>
          <w:rFonts w:ascii="Arial" w:hAnsi="Arial" w:cs="Arial"/>
          <w:b/>
          <w:sz w:val="20"/>
          <w:szCs w:val="20"/>
        </w:rPr>
        <w:t>dmet oddaje v brezplačno uporabo:</w:t>
      </w:r>
    </w:p>
    <w:p w:rsidR="00540807" w:rsidRPr="00540807" w:rsidRDefault="000922C8" w:rsidP="009575E5">
      <w:pPr>
        <w:pStyle w:val="Navadensplet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naslednji </w:t>
      </w:r>
      <w:r w:rsidR="00A87537">
        <w:rPr>
          <w:rFonts w:ascii="Arial" w:hAnsi="Arial" w:cs="Arial"/>
          <w:sz w:val="20"/>
          <w:szCs w:val="20"/>
        </w:rPr>
        <w:t>poslovni prostori, v stavbi</w:t>
      </w:r>
      <w:r w:rsidR="00540807" w:rsidRPr="00540807">
        <w:rPr>
          <w:rFonts w:ascii="Arial" w:hAnsi="Arial" w:cs="Arial"/>
          <w:sz w:val="20"/>
          <w:szCs w:val="20"/>
        </w:rPr>
        <w:t xml:space="preserve"> št. </w:t>
      </w:r>
      <w:r w:rsidR="00540807">
        <w:rPr>
          <w:rFonts w:ascii="Arial" w:hAnsi="Arial" w:cs="Arial"/>
          <w:sz w:val="20"/>
          <w:szCs w:val="20"/>
        </w:rPr>
        <w:t>364</w:t>
      </w:r>
      <w:r w:rsidR="00840BE9">
        <w:rPr>
          <w:rFonts w:ascii="Arial" w:hAnsi="Arial" w:cs="Arial"/>
          <w:sz w:val="20"/>
          <w:szCs w:val="20"/>
        </w:rPr>
        <w:t xml:space="preserve"> (id.</w:t>
      </w:r>
      <w:r w:rsidR="00540807" w:rsidRPr="00540807">
        <w:rPr>
          <w:rFonts w:ascii="Arial" w:hAnsi="Arial" w:cs="Arial"/>
          <w:sz w:val="20"/>
          <w:szCs w:val="20"/>
        </w:rPr>
        <w:t xml:space="preserve"> </w:t>
      </w:r>
      <w:r w:rsidR="00540807">
        <w:rPr>
          <w:rFonts w:ascii="Arial" w:hAnsi="Arial" w:cs="Arial"/>
          <w:sz w:val="20"/>
          <w:szCs w:val="20"/>
        </w:rPr>
        <w:t>št. 2101-364-1</w:t>
      </w:r>
      <w:r w:rsidR="00540807" w:rsidRPr="00540807">
        <w:rPr>
          <w:rFonts w:ascii="Arial" w:hAnsi="Arial" w:cs="Arial"/>
          <w:sz w:val="20"/>
          <w:szCs w:val="20"/>
        </w:rPr>
        <w:t xml:space="preserve">), </w:t>
      </w:r>
      <w:r w:rsidR="00510A39">
        <w:rPr>
          <w:rFonts w:ascii="Arial" w:hAnsi="Arial" w:cs="Arial"/>
          <w:sz w:val="20"/>
          <w:szCs w:val="20"/>
        </w:rPr>
        <w:t>tablica MO 12253</w:t>
      </w:r>
      <w:r w:rsidR="00E41756">
        <w:rPr>
          <w:rFonts w:ascii="Arial" w:hAnsi="Arial" w:cs="Arial"/>
          <w:sz w:val="20"/>
          <w:szCs w:val="20"/>
        </w:rPr>
        <w:t xml:space="preserve">, zgrajeni leta 1958, </w:t>
      </w:r>
      <w:r w:rsidR="00540807" w:rsidRPr="00540807">
        <w:rPr>
          <w:rFonts w:ascii="Arial" w:hAnsi="Arial" w:cs="Arial"/>
          <w:sz w:val="20"/>
          <w:szCs w:val="20"/>
        </w:rPr>
        <w:t xml:space="preserve">parc. št. </w:t>
      </w:r>
      <w:r w:rsidR="00540807">
        <w:rPr>
          <w:rFonts w:ascii="Arial" w:hAnsi="Arial" w:cs="Arial"/>
          <w:sz w:val="20"/>
          <w:szCs w:val="20"/>
        </w:rPr>
        <w:t>212/1</w:t>
      </w:r>
      <w:r w:rsidR="00D60547">
        <w:rPr>
          <w:rFonts w:ascii="Arial" w:hAnsi="Arial" w:cs="Arial"/>
          <w:sz w:val="20"/>
          <w:szCs w:val="20"/>
        </w:rPr>
        <w:t xml:space="preserve"> (ID znak 2101 212/1</w:t>
      </w:r>
      <w:r w:rsidR="0087777B">
        <w:rPr>
          <w:rFonts w:ascii="Arial" w:hAnsi="Arial" w:cs="Arial"/>
          <w:sz w:val="20"/>
          <w:szCs w:val="20"/>
        </w:rPr>
        <w:t>, ID 416773</w:t>
      </w:r>
      <w:r w:rsidR="00540807" w:rsidRPr="00540807">
        <w:rPr>
          <w:rFonts w:ascii="Arial" w:hAnsi="Arial" w:cs="Arial"/>
          <w:sz w:val="20"/>
          <w:szCs w:val="20"/>
        </w:rPr>
        <w:t xml:space="preserve">), </w:t>
      </w:r>
      <w:r w:rsidR="00D60547">
        <w:rPr>
          <w:rFonts w:ascii="Arial" w:hAnsi="Arial" w:cs="Arial"/>
          <w:sz w:val="20"/>
          <w:szCs w:val="20"/>
        </w:rPr>
        <w:t>k</w:t>
      </w:r>
      <w:r w:rsidR="00E41756">
        <w:rPr>
          <w:rFonts w:ascii="Arial" w:hAnsi="Arial" w:cs="Arial"/>
          <w:sz w:val="20"/>
          <w:szCs w:val="20"/>
        </w:rPr>
        <w:t xml:space="preserve">.o. 2101 Rupa, </w:t>
      </w:r>
      <w:r w:rsidR="00540807" w:rsidRPr="00540807">
        <w:rPr>
          <w:rFonts w:ascii="Arial" w:hAnsi="Arial" w:cs="Arial"/>
          <w:sz w:val="20"/>
          <w:szCs w:val="20"/>
        </w:rPr>
        <w:t>za pot</w:t>
      </w:r>
      <w:r w:rsidR="00D60547">
        <w:rPr>
          <w:rFonts w:ascii="Arial" w:hAnsi="Arial" w:cs="Arial"/>
          <w:sz w:val="20"/>
          <w:szCs w:val="20"/>
        </w:rPr>
        <w:t xml:space="preserve">rebe skladiščenja </w:t>
      </w:r>
      <w:r w:rsidR="006E69F1">
        <w:rPr>
          <w:rFonts w:ascii="Arial" w:hAnsi="Arial" w:cs="Arial"/>
          <w:sz w:val="20"/>
          <w:szCs w:val="20"/>
        </w:rPr>
        <w:t>opreme</w:t>
      </w:r>
      <w:r w:rsidR="0059732F">
        <w:rPr>
          <w:rFonts w:ascii="Arial" w:hAnsi="Arial" w:cs="Arial"/>
          <w:sz w:val="20"/>
          <w:szCs w:val="20"/>
        </w:rPr>
        <w:t>, potrebne</w:t>
      </w:r>
      <w:r w:rsidR="006E69F1">
        <w:rPr>
          <w:rFonts w:ascii="Arial" w:hAnsi="Arial" w:cs="Arial"/>
          <w:sz w:val="20"/>
          <w:szCs w:val="20"/>
        </w:rPr>
        <w:t xml:space="preserve"> v primeru </w:t>
      </w:r>
      <w:r w:rsidR="00D60547">
        <w:rPr>
          <w:rFonts w:ascii="Arial" w:hAnsi="Arial" w:cs="Arial"/>
          <w:sz w:val="20"/>
          <w:szCs w:val="20"/>
        </w:rPr>
        <w:t>naravnih in drugih nesreč</w:t>
      </w:r>
      <w:r w:rsidR="00D60547" w:rsidRPr="00540807">
        <w:rPr>
          <w:rFonts w:ascii="Arial" w:hAnsi="Arial" w:cs="Arial"/>
          <w:sz w:val="20"/>
          <w:szCs w:val="20"/>
        </w:rPr>
        <w:t xml:space="preserve">, </w:t>
      </w:r>
      <w:r w:rsidR="00540807" w:rsidRPr="00540807">
        <w:rPr>
          <w:rFonts w:ascii="Arial" w:hAnsi="Arial" w:cs="Arial"/>
          <w:sz w:val="20"/>
          <w:szCs w:val="20"/>
        </w:rPr>
        <w:t>kot je razvidno iz prilo</w:t>
      </w:r>
      <w:r w:rsidR="0059732F">
        <w:rPr>
          <w:rFonts w:ascii="Arial" w:hAnsi="Arial" w:cs="Arial"/>
          <w:sz w:val="20"/>
          <w:szCs w:val="20"/>
        </w:rPr>
        <w:t>žene skice št. 1</w:t>
      </w:r>
      <w:r w:rsidR="00214736">
        <w:rPr>
          <w:rFonts w:ascii="Arial" w:hAnsi="Arial" w:cs="Arial"/>
          <w:sz w:val="20"/>
          <w:szCs w:val="20"/>
        </w:rPr>
        <w:t>, s souporabo hodnikov, v izmeri 134,80 in 21 m2, sanitarij, v izmeri 17,80 m2</w:t>
      </w:r>
      <w:r w:rsidR="009575E5">
        <w:rPr>
          <w:rFonts w:ascii="Arial" w:hAnsi="Arial" w:cs="Arial"/>
          <w:sz w:val="20"/>
          <w:szCs w:val="20"/>
        </w:rPr>
        <w:t>, učilnice, v izmeri 22,80 m2:</w:t>
      </w:r>
    </w:p>
    <w:p w:rsidR="00540807" w:rsidRPr="00540807" w:rsidRDefault="00540807" w:rsidP="00540807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2127"/>
      </w:tblGrid>
      <w:tr w:rsidR="00540807" w:rsidRPr="00540807" w:rsidTr="009575E5">
        <w:tc>
          <w:tcPr>
            <w:tcW w:w="567" w:type="dxa"/>
            <w:shd w:val="pct10" w:color="auto" w:fill="auto"/>
          </w:tcPr>
          <w:p w:rsidR="00540807" w:rsidRPr="00540807" w:rsidRDefault="0054080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 w:rsidRPr="00540807">
              <w:rPr>
                <w:szCs w:val="20"/>
                <w:lang w:eastAsia="sl-SI"/>
              </w:rPr>
              <w:t>št. posl. prostora</w:t>
            </w:r>
          </w:p>
        </w:tc>
        <w:tc>
          <w:tcPr>
            <w:tcW w:w="2127" w:type="dxa"/>
            <w:shd w:val="pct10" w:color="auto" w:fill="auto"/>
          </w:tcPr>
          <w:p w:rsidR="00540807" w:rsidRPr="00540807" w:rsidRDefault="0054080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 w:rsidRPr="00540807">
              <w:rPr>
                <w:szCs w:val="20"/>
                <w:lang w:eastAsia="sl-SI"/>
              </w:rPr>
              <w:t>velikost prostorov/m2</w:t>
            </w:r>
          </w:p>
        </w:tc>
      </w:tr>
      <w:tr w:rsidR="00540807" w:rsidRPr="00540807" w:rsidTr="009575E5">
        <w:tc>
          <w:tcPr>
            <w:tcW w:w="567" w:type="dxa"/>
            <w:shd w:val="clear" w:color="auto" w:fill="auto"/>
          </w:tcPr>
          <w:p w:rsidR="00540807" w:rsidRPr="00540807" w:rsidRDefault="0054080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 w:rsidRPr="00540807">
              <w:rPr>
                <w:szCs w:val="20"/>
                <w:lang w:eastAsia="sl-SI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40807" w:rsidRPr="00540807" w:rsidRDefault="009D6E2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40,80</w:t>
            </w:r>
          </w:p>
        </w:tc>
      </w:tr>
      <w:tr w:rsidR="00540807" w:rsidRPr="00540807" w:rsidTr="009575E5">
        <w:tc>
          <w:tcPr>
            <w:tcW w:w="567" w:type="dxa"/>
            <w:shd w:val="clear" w:color="auto" w:fill="auto"/>
          </w:tcPr>
          <w:p w:rsidR="00540807" w:rsidRPr="00540807" w:rsidRDefault="0054080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 w:rsidRPr="00540807">
              <w:rPr>
                <w:szCs w:val="20"/>
                <w:lang w:eastAsia="sl-SI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40807" w:rsidRPr="00540807" w:rsidRDefault="009D6E2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40,80</w:t>
            </w:r>
          </w:p>
        </w:tc>
      </w:tr>
      <w:tr w:rsidR="00540807" w:rsidRPr="00540807" w:rsidTr="009575E5">
        <w:tc>
          <w:tcPr>
            <w:tcW w:w="567" w:type="dxa"/>
            <w:shd w:val="clear" w:color="auto" w:fill="auto"/>
          </w:tcPr>
          <w:p w:rsidR="00540807" w:rsidRPr="00540807" w:rsidRDefault="0054080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 w:rsidRPr="00540807">
              <w:rPr>
                <w:szCs w:val="20"/>
                <w:lang w:eastAsia="sl-SI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40807" w:rsidRPr="00540807" w:rsidRDefault="009D6E2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40,80</w:t>
            </w:r>
          </w:p>
        </w:tc>
      </w:tr>
      <w:tr w:rsidR="00540807" w:rsidRPr="00540807" w:rsidTr="009575E5">
        <w:tc>
          <w:tcPr>
            <w:tcW w:w="567" w:type="dxa"/>
            <w:shd w:val="clear" w:color="auto" w:fill="auto"/>
          </w:tcPr>
          <w:p w:rsidR="00540807" w:rsidRPr="00540807" w:rsidRDefault="0054080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 w:rsidRPr="00540807">
              <w:rPr>
                <w:szCs w:val="20"/>
                <w:lang w:eastAsia="sl-SI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40807" w:rsidRPr="00540807" w:rsidRDefault="009D6E2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40,80</w:t>
            </w:r>
          </w:p>
        </w:tc>
      </w:tr>
      <w:tr w:rsidR="00540807" w:rsidRPr="00540807" w:rsidTr="009575E5">
        <w:tc>
          <w:tcPr>
            <w:tcW w:w="567" w:type="dxa"/>
            <w:shd w:val="clear" w:color="auto" w:fill="auto"/>
          </w:tcPr>
          <w:p w:rsidR="00540807" w:rsidRPr="00540807" w:rsidRDefault="0054080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540807" w:rsidRPr="00540807" w:rsidRDefault="009D6E27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96,00</w:t>
            </w:r>
          </w:p>
        </w:tc>
      </w:tr>
    </w:tbl>
    <w:p w:rsidR="00540807" w:rsidRDefault="00540807" w:rsidP="00540807">
      <w:pPr>
        <w:rPr>
          <w:szCs w:val="20"/>
        </w:rPr>
      </w:pPr>
    </w:p>
    <w:p w:rsidR="009575E5" w:rsidRDefault="009575E5" w:rsidP="009575E5">
      <w:pPr>
        <w:pStyle w:val="Navadensplet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575E5">
        <w:rPr>
          <w:rFonts w:ascii="Arial" w:hAnsi="Arial" w:cs="Arial"/>
          <w:sz w:val="20"/>
          <w:szCs w:val="20"/>
        </w:rPr>
        <w:t>del</w:t>
      </w:r>
      <w:r w:rsidR="0059732F">
        <w:rPr>
          <w:rFonts w:ascii="Arial" w:hAnsi="Arial" w:cs="Arial"/>
          <w:sz w:val="20"/>
          <w:szCs w:val="20"/>
        </w:rPr>
        <w:t>i</w:t>
      </w:r>
      <w:r w:rsidRPr="009575E5">
        <w:rPr>
          <w:rFonts w:ascii="Arial" w:hAnsi="Arial" w:cs="Arial"/>
          <w:sz w:val="20"/>
          <w:szCs w:val="20"/>
        </w:rPr>
        <w:t xml:space="preserve"> zemljišča, </w:t>
      </w:r>
      <w:r w:rsidRPr="00540807">
        <w:rPr>
          <w:rFonts w:ascii="Arial" w:hAnsi="Arial" w:cs="Arial"/>
          <w:sz w:val="20"/>
          <w:szCs w:val="20"/>
        </w:rPr>
        <w:t xml:space="preserve">parc. št. </w:t>
      </w:r>
      <w:r>
        <w:rPr>
          <w:rFonts w:ascii="Arial" w:hAnsi="Arial" w:cs="Arial"/>
          <w:sz w:val="20"/>
          <w:szCs w:val="20"/>
        </w:rPr>
        <w:t>212/1 (ID znak 2101 212/1</w:t>
      </w:r>
      <w:r w:rsidRPr="00540807">
        <w:rPr>
          <w:rFonts w:ascii="Arial" w:hAnsi="Arial" w:cs="Arial"/>
          <w:sz w:val="20"/>
          <w:szCs w:val="20"/>
        </w:rPr>
        <w:t xml:space="preserve">), </w:t>
      </w:r>
      <w:r w:rsidR="000E7D4F">
        <w:rPr>
          <w:rFonts w:ascii="Arial" w:hAnsi="Arial" w:cs="Arial"/>
          <w:sz w:val="20"/>
          <w:szCs w:val="20"/>
        </w:rPr>
        <w:t>parc. št. 214/1 (ID znak 2101 214/1),</w:t>
      </w:r>
      <w:r w:rsidR="00E13B88">
        <w:rPr>
          <w:rFonts w:ascii="Arial" w:hAnsi="Arial" w:cs="Arial"/>
          <w:sz w:val="20"/>
          <w:szCs w:val="20"/>
        </w:rPr>
        <w:t xml:space="preserve"> obe </w:t>
      </w:r>
      <w:r>
        <w:rPr>
          <w:rFonts w:ascii="Arial" w:hAnsi="Arial" w:cs="Arial"/>
          <w:sz w:val="20"/>
          <w:szCs w:val="20"/>
        </w:rPr>
        <w:t xml:space="preserve">k.o. 2101 Rupa, </w:t>
      </w:r>
      <w:r w:rsidRPr="009575E5">
        <w:rPr>
          <w:rFonts w:ascii="Arial" w:hAnsi="Arial" w:cs="Arial"/>
          <w:sz w:val="20"/>
          <w:szCs w:val="20"/>
        </w:rPr>
        <w:t>kot je razvidno iz priložene skice</w:t>
      </w:r>
      <w:r w:rsidR="0059732F">
        <w:rPr>
          <w:rFonts w:ascii="Arial" w:hAnsi="Arial" w:cs="Arial"/>
          <w:sz w:val="20"/>
          <w:szCs w:val="20"/>
        </w:rPr>
        <w:t xml:space="preserve"> št. 2</w:t>
      </w:r>
      <w:r w:rsidRPr="009575E5">
        <w:rPr>
          <w:rFonts w:ascii="Arial" w:hAnsi="Arial" w:cs="Arial"/>
          <w:sz w:val="20"/>
          <w:szCs w:val="20"/>
        </w:rPr>
        <w:t xml:space="preserve">, za potrebe </w:t>
      </w:r>
      <w:r w:rsidR="000922C8">
        <w:rPr>
          <w:rFonts w:ascii="Arial" w:hAnsi="Arial" w:cs="Arial"/>
          <w:sz w:val="20"/>
          <w:szCs w:val="20"/>
        </w:rPr>
        <w:t>parkiranja vozil</w:t>
      </w:r>
      <w:r w:rsidR="000922C8" w:rsidRPr="009575E5">
        <w:rPr>
          <w:rFonts w:ascii="Arial" w:hAnsi="Arial" w:cs="Arial"/>
          <w:sz w:val="20"/>
          <w:szCs w:val="20"/>
        </w:rPr>
        <w:t xml:space="preserve"> </w:t>
      </w:r>
      <w:r w:rsidR="000922C8">
        <w:rPr>
          <w:rFonts w:ascii="Arial" w:hAnsi="Arial" w:cs="Arial"/>
          <w:sz w:val="20"/>
          <w:szCs w:val="20"/>
        </w:rPr>
        <w:t xml:space="preserve">in </w:t>
      </w:r>
      <w:r w:rsidRPr="009575E5">
        <w:rPr>
          <w:rFonts w:ascii="Arial" w:hAnsi="Arial" w:cs="Arial"/>
          <w:sz w:val="20"/>
          <w:szCs w:val="20"/>
        </w:rPr>
        <w:t>postavitve kontejnerjev</w:t>
      </w:r>
      <w:r>
        <w:rPr>
          <w:rFonts w:ascii="Arial" w:hAnsi="Arial" w:cs="Arial"/>
          <w:sz w:val="20"/>
          <w:szCs w:val="20"/>
        </w:rPr>
        <w:t xml:space="preserve"> </w:t>
      </w:r>
      <w:r w:rsidR="0059732F">
        <w:rPr>
          <w:rFonts w:ascii="Arial" w:hAnsi="Arial" w:cs="Arial"/>
          <w:sz w:val="20"/>
          <w:szCs w:val="20"/>
        </w:rPr>
        <w:t>zaradi skladiščenja opreme</w:t>
      </w:r>
      <w:r w:rsidR="000922C8">
        <w:rPr>
          <w:rFonts w:ascii="Arial" w:hAnsi="Arial" w:cs="Arial"/>
          <w:sz w:val="20"/>
          <w:szCs w:val="20"/>
        </w:rPr>
        <w:t>,</w:t>
      </w:r>
      <w:r w:rsidR="0059732F">
        <w:rPr>
          <w:rFonts w:ascii="Arial" w:hAnsi="Arial" w:cs="Arial"/>
          <w:sz w:val="20"/>
          <w:szCs w:val="20"/>
        </w:rPr>
        <w:t xml:space="preserve"> potrebne v primeru naravnih in drugih nesreč</w:t>
      </w:r>
      <w:r w:rsidR="000922C8">
        <w:rPr>
          <w:rFonts w:ascii="Arial" w:hAnsi="Arial" w:cs="Arial"/>
          <w:sz w:val="20"/>
          <w:szCs w:val="20"/>
        </w:rPr>
        <w:t>:</w:t>
      </w:r>
    </w:p>
    <w:p w:rsidR="009575E5" w:rsidRDefault="009575E5" w:rsidP="009575E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2127"/>
        <w:gridCol w:w="2127"/>
      </w:tblGrid>
      <w:tr w:rsidR="00D83AAB" w:rsidRPr="00540807" w:rsidTr="00D83AAB">
        <w:tc>
          <w:tcPr>
            <w:tcW w:w="950" w:type="dxa"/>
            <w:shd w:val="pct10" w:color="auto" w:fill="auto"/>
          </w:tcPr>
          <w:p w:rsidR="00D83AAB" w:rsidRPr="00540807" w:rsidRDefault="00D83AAB" w:rsidP="006E69F1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 w:rsidRPr="00540807">
              <w:rPr>
                <w:szCs w:val="20"/>
                <w:lang w:eastAsia="sl-SI"/>
              </w:rPr>
              <w:t xml:space="preserve">št. </w:t>
            </w:r>
          </w:p>
        </w:tc>
        <w:tc>
          <w:tcPr>
            <w:tcW w:w="2127" w:type="dxa"/>
            <w:shd w:val="pct10" w:color="auto" w:fill="auto"/>
          </w:tcPr>
          <w:p w:rsidR="00D83AAB" w:rsidRPr="00540807" w:rsidRDefault="00D83AAB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Izmera/m2</w:t>
            </w:r>
          </w:p>
        </w:tc>
        <w:tc>
          <w:tcPr>
            <w:tcW w:w="2127" w:type="dxa"/>
            <w:shd w:val="pct10" w:color="auto" w:fill="auto"/>
          </w:tcPr>
          <w:p w:rsidR="00D83AAB" w:rsidRDefault="0059732F" w:rsidP="00B51A9E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namen</w:t>
            </w:r>
          </w:p>
        </w:tc>
      </w:tr>
      <w:tr w:rsidR="000922C8" w:rsidRPr="00540807" w:rsidTr="00D83AAB">
        <w:tc>
          <w:tcPr>
            <w:tcW w:w="950" w:type="dxa"/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42</w:t>
            </w:r>
          </w:p>
        </w:tc>
        <w:tc>
          <w:tcPr>
            <w:tcW w:w="2127" w:type="dxa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Postavitev kontejnerja</w:t>
            </w:r>
          </w:p>
        </w:tc>
      </w:tr>
      <w:tr w:rsidR="000922C8" w:rsidRPr="00540807" w:rsidTr="00D83AAB">
        <w:tc>
          <w:tcPr>
            <w:tcW w:w="950" w:type="dxa"/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25</w:t>
            </w:r>
          </w:p>
        </w:tc>
        <w:tc>
          <w:tcPr>
            <w:tcW w:w="2127" w:type="dxa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Parkirni prostor</w:t>
            </w:r>
          </w:p>
        </w:tc>
      </w:tr>
      <w:tr w:rsidR="000922C8" w:rsidRPr="00540807" w:rsidTr="00D83AAB">
        <w:tc>
          <w:tcPr>
            <w:tcW w:w="950" w:type="dxa"/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25</w:t>
            </w:r>
          </w:p>
        </w:tc>
        <w:tc>
          <w:tcPr>
            <w:tcW w:w="2127" w:type="dxa"/>
          </w:tcPr>
          <w:p w:rsidR="000922C8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Parkirni prostor</w:t>
            </w:r>
          </w:p>
        </w:tc>
      </w:tr>
      <w:tr w:rsidR="000922C8" w:rsidRPr="00540807" w:rsidTr="00D83AAB">
        <w:tc>
          <w:tcPr>
            <w:tcW w:w="950" w:type="dxa"/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32</w:t>
            </w:r>
          </w:p>
        </w:tc>
        <w:tc>
          <w:tcPr>
            <w:tcW w:w="2127" w:type="dxa"/>
          </w:tcPr>
          <w:p w:rsidR="000922C8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Parkirni prostor</w:t>
            </w:r>
          </w:p>
        </w:tc>
      </w:tr>
      <w:tr w:rsidR="000922C8" w:rsidTr="00D83AAB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2C8" w:rsidRPr="00540807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C8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Postavitev kontejnerja</w:t>
            </w:r>
          </w:p>
          <w:p w:rsidR="000922C8" w:rsidRDefault="000922C8" w:rsidP="000922C8">
            <w:pPr>
              <w:autoSpaceDE w:val="0"/>
              <w:autoSpaceDN w:val="0"/>
              <w:adjustRightInd w:val="0"/>
              <w:jc w:val="center"/>
              <w:rPr>
                <w:szCs w:val="20"/>
                <w:lang w:eastAsia="sl-SI"/>
              </w:rPr>
            </w:pPr>
            <w:r>
              <w:rPr>
                <w:szCs w:val="20"/>
                <w:lang w:eastAsia="sl-SI"/>
              </w:rPr>
              <w:t>Parkirni prostor</w:t>
            </w:r>
          </w:p>
        </w:tc>
      </w:tr>
    </w:tbl>
    <w:p w:rsidR="009575E5" w:rsidRPr="009575E5" w:rsidRDefault="009575E5" w:rsidP="009575E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41756" w:rsidRPr="005A1618" w:rsidRDefault="00E41756" w:rsidP="00E41756">
      <w:pPr>
        <w:spacing w:line="240" w:lineRule="auto"/>
        <w:jc w:val="both"/>
        <w:rPr>
          <w:color w:val="333333"/>
          <w:lang w:eastAsia="sl-SI"/>
        </w:rPr>
      </w:pPr>
      <w:r w:rsidRPr="005A1618">
        <w:rPr>
          <w:color w:val="333333"/>
          <w:lang w:eastAsia="sl-SI"/>
        </w:rPr>
        <w:t xml:space="preserve">Za oddajo </w:t>
      </w:r>
      <w:r w:rsidR="006E69F1">
        <w:rPr>
          <w:color w:val="333333"/>
          <w:lang w:eastAsia="sl-SI"/>
        </w:rPr>
        <w:t>navedenih nepremičnin</w:t>
      </w:r>
      <w:r w:rsidRPr="005A1618">
        <w:rPr>
          <w:color w:val="333333"/>
          <w:lang w:eastAsia="sl-SI"/>
        </w:rPr>
        <w:t xml:space="preserve"> v brezp</w:t>
      </w:r>
      <w:r>
        <w:rPr>
          <w:color w:val="333333"/>
          <w:lang w:eastAsia="sl-SI"/>
        </w:rPr>
        <w:t xml:space="preserve">lačno uporabo </w:t>
      </w:r>
      <w:r w:rsidRPr="005A1618">
        <w:rPr>
          <w:color w:val="333333"/>
          <w:lang w:eastAsia="sl-SI"/>
        </w:rPr>
        <w:t>bo</w:t>
      </w:r>
      <w:r w:rsidR="006E69F1">
        <w:rPr>
          <w:color w:val="333333"/>
          <w:lang w:eastAsia="sl-SI"/>
        </w:rPr>
        <w:t>do</w:t>
      </w:r>
      <w:r>
        <w:rPr>
          <w:color w:val="333333"/>
          <w:lang w:eastAsia="sl-SI"/>
        </w:rPr>
        <w:t xml:space="preserve"> skladno z 69. členom </w:t>
      </w:r>
      <w:r w:rsidRPr="00E41756">
        <w:rPr>
          <w:rFonts w:eastAsia="Calibri"/>
          <w:color w:val="333333"/>
          <w:szCs w:val="20"/>
          <w:lang w:eastAsia="sl-SI"/>
        </w:rPr>
        <w:t>Zakona o stvarnem premoženju države in samoupravnih lokalnih skupnosti (Uradni list RS, št. 11/18 in 79/18 -ZSPDSLS-1)</w:t>
      </w:r>
      <w:r w:rsidRPr="00E41756">
        <w:rPr>
          <w:color w:val="333333"/>
          <w:szCs w:val="20"/>
          <w:lang w:eastAsia="sl-SI"/>
        </w:rPr>
        <w:t xml:space="preserve">, </w:t>
      </w:r>
      <w:r w:rsidR="006E69F1">
        <w:rPr>
          <w:color w:val="333333"/>
          <w:lang w:eastAsia="sl-SI"/>
        </w:rPr>
        <w:t xml:space="preserve"> sklenjene</w:t>
      </w:r>
      <w:r w:rsidRPr="005A1618">
        <w:rPr>
          <w:color w:val="333333"/>
          <w:lang w:eastAsia="sl-SI"/>
        </w:rPr>
        <w:t xml:space="preserve"> </w:t>
      </w:r>
      <w:r w:rsidR="006E69F1">
        <w:rPr>
          <w:color w:val="333333"/>
          <w:lang w:eastAsia="sl-SI"/>
        </w:rPr>
        <w:t>neposredne pogodbe</w:t>
      </w:r>
      <w:r>
        <w:rPr>
          <w:color w:val="333333"/>
          <w:lang w:eastAsia="sl-SI"/>
        </w:rPr>
        <w:t xml:space="preserve"> za obdobje 20 </w:t>
      </w:r>
      <w:r w:rsidRPr="005A1618">
        <w:rPr>
          <w:color w:val="333333"/>
          <w:lang w:eastAsia="sl-SI"/>
        </w:rPr>
        <w:t xml:space="preserve">let. </w:t>
      </w:r>
    </w:p>
    <w:p w:rsidR="00540807" w:rsidRPr="00540807" w:rsidRDefault="00540807" w:rsidP="00540807">
      <w:pPr>
        <w:jc w:val="both"/>
        <w:rPr>
          <w:b/>
          <w:szCs w:val="20"/>
        </w:rPr>
      </w:pPr>
      <w:r w:rsidRPr="00540807">
        <w:rPr>
          <w:b/>
          <w:szCs w:val="20"/>
        </w:rPr>
        <w:lastRenderedPageBreak/>
        <w:t>Ponudba:</w:t>
      </w:r>
    </w:p>
    <w:p w:rsidR="00540807" w:rsidRDefault="00D60547" w:rsidP="00540807">
      <w:pPr>
        <w:jc w:val="both"/>
        <w:rPr>
          <w:szCs w:val="20"/>
        </w:rPr>
      </w:pPr>
      <w:r w:rsidRPr="00D60547">
        <w:rPr>
          <w:szCs w:val="20"/>
        </w:rPr>
        <w:t xml:space="preserve">Ponudnik mora poslati ponudbo v 20 dneh </w:t>
      </w:r>
      <w:r>
        <w:rPr>
          <w:szCs w:val="20"/>
        </w:rPr>
        <w:t xml:space="preserve">od dneva objave namere spletnem portalu </w:t>
      </w:r>
      <w:r w:rsidRPr="00D60547">
        <w:rPr>
          <w:szCs w:val="20"/>
        </w:rPr>
        <w:t xml:space="preserve">Gov.si, na elektronski naslov: </w:t>
      </w:r>
      <w:hyperlink r:id="rId8" w:history="1">
        <w:r w:rsidRPr="00D60547">
          <w:rPr>
            <w:rStyle w:val="Hiperpovezava"/>
            <w:szCs w:val="20"/>
          </w:rPr>
          <w:t>glavna.pisarna@mors.si</w:t>
        </w:r>
      </w:hyperlink>
      <w:r w:rsidRPr="00D60547">
        <w:rPr>
          <w:szCs w:val="20"/>
        </w:rPr>
        <w:t xml:space="preserve"> ali s priporočeno pošiljko na naslov: Ministrstvo za obrambo, Direktorat za logistiko, Sektor za gospodarjenje z nepremičninami, Vojkova cesta 61, 100</w:t>
      </w:r>
      <w:r w:rsidR="009D6E27">
        <w:rPr>
          <w:szCs w:val="20"/>
        </w:rPr>
        <w:t xml:space="preserve">0 Ljubljana. Upoštevane bodo </w:t>
      </w:r>
      <w:r>
        <w:rPr>
          <w:szCs w:val="20"/>
        </w:rPr>
        <w:t xml:space="preserve">ponudbe, ki bodo prispele na elektronski </w:t>
      </w:r>
      <w:r w:rsidRPr="00D60547">
        <w:rPr>
          <w:szCs w:val="20"/>
        </w:rPr>
        <w:t>naslov do izteka zadnjega dne objave oz. ki bodo oddane po pošti z oznako priporočeno najkasneje zadnji dan objave</w:t>
      </w:r>
      <w:r>
        <w:rPr>
          <w:szCs w:val="20"/>
        </w:rPr>
        <w:t>.</w:t>
      </w:r>
    </w:p>
    <w:p w:rsidR="00D60547" w:rsidRPr="00540807" w:rsidRDefault="00D60547" w:rsidP="00540807">
      <w:pPr>
        <w:jc w:val="both"/>
        <w:rPr>
          <w:szCs w:val="20"/>
        </w:rPr>
      </w:pPr>
    </w:p>
    <w:p w:rsidR="00D60547" w:rsidRPr="005A1618" w:rsidRDefault="00D60547" w:rsidP="00D60547">
      <w:pPr>
        <w:jc w:val="both"/>
        <w:rPr>
          <w:szCs w:val="20"/>
          <w:lang w:eastAsia="sl-SI"/>
        </w:rPr>
      </w:pPr>
      <w:r w:rsidRPr="005A1618">
        <w:rPr>
          <w:szCs w:val="20"/>
          <w:lang w:eastAsia="sl-SI"/>
        </w:rPr>
        <w:t xml:space="preserve">Pisna ponudba mora vsebovati: osnovne podatke o subjektu (naziv, naslov, matična in davčna številka, pooblaščena oseba za zastopanje, izpis iz poslovnega registra, </w:t>
      </w:r>
      <w:r w:rsidR="009D6E27">
        <w:rPr>
          <w:szCs w:val="20"/>
          <w:lang w:eastAsia="sl-SI"/>
        </w:rPr>
        <w:t>navedba po</w:t>
      </w:r>
      <w:r w:rsidR="00C45301">
        <w:rPr>
          <w:szCs w:val="20"/>
          <w:lang w:eastAsia="sl-SI"/>
        </w:rPr>
        <w:t>slovnega prostora</w:t>
      </w:r>
      <w:r w:rsidR="000148CA">
        <w:rPr>
          <w:szCs w:val="20"/>
          <w:lang w:eastAsia="sl-SI"/>
        </w:rPr>
        <w:t xml:space="preserve"> (skica št. 1)</w:t>
      </w:r>
      <w:r w:rsidR="00C45301">
        <w:rPr>
          <w:szCs w:val="20"/>
          <w:lang w:eastAsia="sl-SI"/>
        </w:rPr>
        <w:t xml:space="preserve"> oz.</w:t>
      </w:r>
      <w:r w:rsidR="009D6E27">
        <w:rPr>
          <w:szCs w:val="20"/>
          <w:lang w:eastAsia="sl-SI"/>
        </w:rPr>
        <w:t xml:space="preserve"> </w:t>
      </w:r>
      <w:r w:rsidR="000148CA">
        <w:rPr>
          <w:szCs w:val="20"/>
          <w:lang w:eastAsia="sl-SI"/>
        </w:rPr>
        <w:t>dela zemljišča (skica št. 2),</w:t>
      </w:r>
      <w:r w:rsidR="00C45301">
        <w:rPr>
          <w:szCs w:val="20"/>
          <w:lang w:eastAsia="sl-SI"/>
        </w:rPr>
        <w:t xml:space="preserve"> </w:t>
      </w:r>
      <w:r w:rsidR="009D6E27">
        <w:rPr>
          <w:szCs w:val="20"/>
          <w:lang w:eastAsia="sl-SI"/>
        </w:rPr>
        <w:t xml:space="preserve">ki ga uporabnik želi uporabljati, </w:t>
      </w:r>
      <w:r w:rsidR="00C45301">
        <w:rPr>
          <w:szCs w:val="20"/>
          <w:lang w:eastAsia="sl-SI"/>
        </w:rPr>
        <w:t xml:space="preserve">namen uporabe, </w:t>
      </w:r>
      <w:r w:rsidRPr="005A1618">
        <w:rPr>
          <w:szCs w:val="20"/>
          <w:lang w:eastAsia="sl-SI"/>
        </w:rPr>
        <w:t xml:space="preserve">dokazila o izpolnjevanju pogojev po 68. členu Zakona o stvarnem premoženju države in samoupravnih lokalnih skupnosti (Uradni list RS št. 11/18 in 79/18), podpis, žig. </w:t>
      </w:r>
    </w:p>
    <w:p w:rsidR="00540807" w:rsidRPr="00540807" w:rsidRDefault="006E69F1" w:rsidP="0054080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Neposredne pogodbe</w:t>
      </w:r>
      <w:r w:rsidR="00540807" w:rsidRPr="00540807">
        <w:rPr>
          <w:sz w:val="20"/>
          <w:szCs w:val="20"/>
        </w:rPr>
        <w:t xml:space="preserve"> bo</w:t>
      </w:r>
      <w:r>
        <w:rPr>
          <w:sz w:val="20"/>
          <w:szCs w:val="20"/>
        </w:rPr>
        <w:t>do sklenjene</w:t>
      </w:r>
      <w:r w:rsidR="00540807" w:rsidRPr="00540807">
        <w:rPr>
          <w:sz w:val="20"/>
          <w:szCs w:val="20"/>
        </w:rPr>
        <w:t xml:space="preserve"> po poteku 20 dni od objave te namere na spletni strani.</w:t>
      </w:r>
    </w:p>
    <w:p w:rsidR="009575E5" w:rsidRDefault="009575E5" w:rsidP="00540807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540807" w:rsidRPr="00540807" w:rsidRDefault="00540807" w:rsidP="00540807">
      <w:pPr>
        <w:pStyle w:val="Navadensplet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40807">
        <w:rPr>
          <w:rFonts w:ascii="Arial" w:hAnsi="Arial" w:cs="Arial"/>
          <w:b/>
          <w:sz w:val="20"/>
          <w:szCs w:val="20"/>
        </w:rPr>
        <w:t>Ogled, dodatna pojasnila in kontaktna oseba:</w:t>
      </w:r>
    </w:p>
    <w:p w:rsidR="00540807" w:rsidRPr="00540807" w:rsidRDefault="00540807" w:rsidP="00540807">
      <w:pPr>
        <w:rPr>
          <w:szCs w:val="20"/>
        </w:rPr>
      </w:pPr>
      <w:r w:rsidRPr="00540807">
        <w:rPr>
          <w:szCs w:val="20"/>
        </w:rPr>
        <w:t>Ogled je možen po predhodni najavi.</w:t>
      </w:r>
    </w:p>
    <w:p w:rsidR="00540807" w:rsidRPr="00540807" w:rsidRDefault="00540807" w:rsidP="00540807">
      <w:pPr>
        <w:rPr>
          <w:szCs w:val="20"/>
        </w:rPr>
      </w:pPr>
      <w:r w:rsidRPr="00540807">
        <w:rPr>
          <w:szCs w:val="20"/>
        </w:rPr>
        <w:t>Ponudniki lahko postavijo vprašanja in zahteve za dodatna pojasnila kontaktni osebi:</w:t>
      </w:r>
    </w:p>
    <w:p w:rsidR="00540807" w:rsidRPr="00540807" w:rsidRDefault="00E41756" w:rsidP="00B51A9E">
      <w:pPr>
        <w:tabs>
          <w:tab w:val="center" w:pos="1418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Marjeta Šinigoj, elektronski naslov</w:t>
      </w:r>
      <w:r w:rsidR="00540807" w:rsidRPr="00540807">
        <w:rPr>
          <w:rFonts w:cs="Arial"/>
          <w:szCs w:val="20"/>
        </w:rPr>
        <w:t xml:space="preserve">: </w:t>
      </w:r>
      <w:hyperlink r:id="rId9" w:history="1">
        <w:r w:rsidR="00540807" w:rsidRPr="00540807">
          <w:rPr>
            <w:rStyle w:val="Hiperpovezava"/>
            <w:rFonts w:cs="Arial"/>
            <w:szCs w:val="20"/>
          </w:rPr>
          <w:t>marjeta.sinigoj@mors.si</w:t>
        </w:r>
      </w:hyperlink>
      <w:r w:rsidR="00540807" w:rsidRPr="00540807">
        <w:rPr>
          <w:rFonts w:cs="Arial"/>
          <w:szCs w:val="20"/>
        </w:rPr>
        <w:t>.</w:t>
      </w:r>
    </w:p>
    <w:p w:rsidR="00540807" w:rsidRPr="00540807" w:rsidRDefault="00540807" w:rsidP="00540807">
      <w:pPr>
        <w:tabs>
          <w:tab w:val="center" w:pos="1418"/>
        </w:tabs>
        <w:jc w:val="both"/>
        <w:rPr>
          <w:szCs w:val="20"/>
        </w:rPr>
      </w:pPr>
    </w:p>
    <w:p w:rsidR="00540807" w:rsidRPr="00540807" w:rsidRDefault="00540807" w:rsidP="00540807">
      <w:pPr>
        <w:rPr>
          <w:b/>
          <w:szCs w:val="20"/>
        </w:rPr>
      </w:pPr>
      <w:r w:rsidRPr="00540807">
        <w:rPr>
          <w:b/>
          <w:szCs w:val="20"/>
        </w:rPr>
        <w:t xml:space="preserve">Drugi pogoji: </w:t>
      </w:r>
    </w:p>
    <w:p w:rsidR="00540807" w:rsidRPr="00540807" w:rsidRDefault="00540807" w:rsidP="00B51A9E">
      <w:pPr>
        <w:pStyle w:val="Odstavekseznama1"/>
        <w:numPr>
          <w:ilvl w:val="0"/>
          <w:numId w:val="8"/>
        </w:numPr>
        <w:rPr>
          <w:b/>
        </w:rPr>
      </w:pPr>
      <w:r w:rsidRPr="00540807">
        <w:rPr>
          <w:rFonts w:ascii="Arial" w:hAnsi="Arial" w:cs="Arial"/>
          <w:sz w:val="20"/>
        </w:rPr>
        <w:t>uporabnik nosi vse obratovalne stroške, stroške rednega vzdrževanja in javne dajatve, zavarovanja nepremičnine za čas trajanja te pogodbe, stroške škode, povzročeno na neprem</w:t>
      </w:r>
      <w:r w:rsidR="00E41756">
        <w:rPr>
          <w:rFonts w:ascii="Arial" w:hAnsi="Arial" w:cs="Arial"/>
          <w:sz w:val="20"/>
        </w:rPr>
        <w:t>ičninah po svoji krivdi.</w:t>
      </w:r>
    </w:p>
    <w:p w:rsidR="00540807" w:rsidRPr="00540807" w:rsidRDefault="00540807" w:rsidP="00540807">
      <w:pPr>
        <w:rPr>
          <w:szCs w:val="20"/>
        </w:rPr>
      </w:pPr>
    </w:p>
    <w:p w:rsidR="00540807" w:rsidRPr="00540807" w:rsidRDefault="00540807" w:rsidP="00540807">
      <w:pPr>
        <w:jc w:val="both"/>
        <w:rPr>
          <w:szCs w:val="20"/>
        </w:rPr>
      </w:pPr>
      <w:r w:rsidRPr="00540807">
        <w:rPr>
          <w:b/>
          <w:szCs w:val="20"/>
        </w:rPr>
        <w:t>Upravljavec ali pooblaščena oseba lahko s soglasjem predstojnika, postopek oddaje ustavi do sklenitve pravnega posla</w:t>
      </w:r>
      <w:r w:rsidRPr="00540807">
        <w:rPr>
          <w:szCs w:val="20"/>
        </w:rPr>
        <w:t>.</w:t>
      </w:r>
    </w:p>
    <w:p w:rsidR="00540807" w:rsidRPr="00540807" w:rsidRDefault="00540807" w:rsidP="00540807">
      <w:pPr>
        <w:pStyle w:val="Default"/>
        <w:jc w:val="both"/>
        <w:rPr>
          <w:b/>
          <w:bCs/>
          <w:sz w:val="20"/>
          <w:szCs w:val="20"/>
        </w:rPr>
      </w:pPr>
    </w:p>
    <w:p w:rsidR="00540807" w:rsidRPr="00540807" w:rsidRDefault="00540807" w:rsidP="00540807">
      <w:pPr>
        <w:pStyle w:val="Default"/>
        <w:jc w:val="both"/>
        <w:rPr>
          <w:b/>
          <w:bCs/>
          <w:sz w:val="20"/>
          <w:szCs w:val="20"/>
        </w:rPr>
      </w:pPr>
    </w:p>
    <w:p w:rsidR="00540807" w:rsidRPr="00540807" w:rsidRDefault="00540807" w:rsidP="00540807">
      <w:pPr>
        <w:pStyle w:val="Default"/>
        <w:jc w:val="both"/>
        <w:rPr>
          <w:b/>
          <w:bCs/>
          <w:sz w:val="20"/>
          <w:szCs w:val="20"/>
        </w:rPr>
      </w:pPr>
    </w:p>
    <w:p w:rsidR="00540807" w:rsidRPr="00540807" w:rsidRDefault="00540807" w:rsidP="00540807">
      <w:pPr>
        <w:pStyle w:val="podpisi"/>
        <w:rPr>
          <w:b/>
          <w:lang w:val="sl-SI"/>
        </w:rPr>
      </w:pPr>
      <w:r w:rsidRPr="00540807">
        <w:rPr>
          <w:lang w:val="sl-SI"/>
        </w:rPr>
        <w:tab/>
      </w:r>
      <w:r w:rsidRPr="00540807">
        <w:rPr>
          <w:lang w:val="sl-SI"/>
        </w:rPr>
        <w:tab/>
      </w:r>
      <w:r w:rsidRPr="00540807">
        <w:rPr>
          <w:lang w:val="sl-SI"/>
        </w:rPr>
        <w:tab/>
      </w:r>
      <w:r w:rsidRPr="00540807">
        <w:rPr>
          <w:lang w:val="sl-SI"/>
        </w:rPr>
        <w:tab/>
      </w:r>
      <w:r w:rsidRPr="00540807">
        <w:rPr>
          <w:b/>
          <w:lang w:val="sl-SI"/>
        </w:rPr>
        <w:t>mag. Matej Tonin</w:t>
      </w:r>
    </w:p>
    <w:p w:rsidR="00540807" w:rsidRPr="00540807" w:rsidRDefault="00540807" w:rsidP="00540807">
      <w:pPr>
        <w:pStyle w:val="podpisi"/>
        <w:rPr>
          <w:lang w:val="sl-SI"/>
        </w:rPr>
      </w:pPr>
      <w:r w:rsidRPr="00540807">
        <w:rPr>
          <w:lang w:val="sl-SI"/>
        </w:rPr>
        <w:tab/>
      </w:r>
      <w:r w:rsidRPr="00540807">
        <w:rPr>
          <w:lang w:val="sl-SI"/>
        </w:rPr>
        <w:tab/>
      </w:r>
      <w:r w:rsidRPr="00540807">
        <w:rPr>
          <w:lang w:val="sl-SI"/>
        </w:rPr>
        <w:tab/>
      </w:r>
      <w:r w:rsidRPr="00540807">
        <w:rPr>
          <w:lang w:val="sl-SI"/>
        </w:rPr>
        <w:tab/>
        <w:t xml:space="preserve">      minister</w:t>
      </w:r>
    </w:p>
    <w:p w:rsidR="00540807" w:rsidRPr="00540807" w:rsidRDefault="00540807" w:rsidP="00540807">
      <w:pPr>
        <w:pStyle w:val="podpisi"/>
        <w:rPr>
          <w:lang w:val="sl-SI"/>
        </w:rPr>
      </w:pPr>
    </w:p>
    <w:p w:rsidR="00540807" w:rsidRPr="00540807" w:rsidRDefault="00540807" w:rsidP="00540807">
      <w:pPr>
        <w:pStyle w:val="podpisi"/>
        <w:rPr>
          <w:lang w:val="sl-SI"/>
        </w:rPr>
      </w:pPr>
    </w:p>
    <w:p w:rsidR="00540807" w:rsidRPr="00540807" w:rsidRDefault="00540807" w:rsidP="00540807"/>
    <w:p w:rsidR="00540807" w:rsidRPr="00540807" w:rsidRDefault="00540807" w:rsidP="00540807">
      <w:r w:rsidRPr="00540807">
        <w:t>Priloga:</w:t>
      </w:r>
    </w:p>
    <w:p w:rsidR="00540807" w:rsidRDefault="00540807" w:rsidP="00540807">
      <w:pPr>
        <w:numPr>
          <w:ilvl w:val="0"/>
          <w:numId w:val="8"/>
        </w:numPr>
      </w:pPr>
      <w:r w:rsidRPr="00540807">
        <w:t>skica</w:t>
      </w:r>
      <w:r w:rsidR="0087777B">
        <w:t xml:space="preserve"> št.1- poslovni prostori</w:t>
      </w:r>
      <w:r w:rsidRPr="00540807">
        <w:t xml:space="preserve"> v</w:t>
      </w:r>
      <w:r w:rsidR="0087777B">
        <w:t xml:space="preserve"> stavbi št. 364, k.o. 2101 Rupa,</w:t>
      </w:r>
    </w:p>
    <w:p w:rsidR="004A6859" w:rsidRPr="0087777B" w:rsidRDefault="0087777B" w:rsidP="0087777B">
      <w:pPr>
        <w:numPr>
          <w:ilvl w:val="0"/>
          <w:numId w:val="8"/>
        </w:numPr>
      </w:pPr>
      <w:r>
        <w:t xml:space="preserve">skica št. 2- označeni deli zemljišča, parc. št. 212/1, </w:t>
      </w:r>
      <w:r w:rsidR="00C45301">
        <w:t xml:space="preserve">214/1, obe </w:t>
      </w:r>
      <w:r>
        <w:t>k.o. 2101 Rupa, za postavitev kontejnerjev in parkiranje vozil.</w:t>
      </w:r>
    </w:p>
    <w:sectPr w:rsidR="004A6859" w:rsidRPr="0087777B" w:rsidSect="00783310"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02" w:rsidRDefault="00A76A02">
      <w:r>
        <w:separator/>
      </w:r>
    </w:p>
  </w:endnote>
  <w:endnote w:type="continuationSeparator" w:id="0">
    <w:p w:rsidR="00A76A02" w:rsidRDefault="00A7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31" w:rsidRPr="00610C31" w:rsidRDefault="00610C31" w:rsidP="00610C31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</w:t>
    </w:r>
    <w:r w:rsidR="00446E71">
      <w:rPr>
        <w:sz w:val="16"/>
        <w:szCs w:val="16"/>
      </w:rPr>
      <w:t>000</w:t>
    </w:r>
    <w:r>
      <w:rPr>
        <w:sz w:val="16"/>
        <w:szCs w:val="16"/>
      </w:rPr>
      <w:t>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02" w:rsidRDefault="00A76A02">
      <w:r>
        <w:separator/>
      </w:r>
    </w:p>
  </w:footnote>
  <w:footnote w:type="continuationSeparator" w:id="0">
    <w:p w:rsidR="00A76A02" w:rsidRDefault="00A7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A7" w:rsidRPr="008F3500" w:rsidRDefault="00AB17DA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FA7" w:rsidRPr="008F3500">
      <w:rPr>
        <w:rFonts w:ascii="Republika" w:hAnsi="Republika"/>
      </w:rPr>
      <w:t>REPUBLIKA SLOVENIJA</w:t>
    </w:r>
  </w:p>
  <w:p w:rsidR="00F53FA7" w:rsidRPr="00554EE6" w:rsidRDefault="00554EE6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obrambo</w:t>
    </w:r>
  </w:p>
  <w:p w:rsidR="00F53FA7" w:rsidRPr="008F3500" w:rsidRDefault="00554EE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Vojkova cesta 55</w:t>
    </w:r>
    <w:r w:rsidR="00F53FA7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F53FA7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01 471 22 11</w:t>
    </w:r>
  </w:p>
  <w:p w:rsidR="00F53FA7" w:rsidRPr="008F3500" w:rsidRDefault="00F53FA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554EE6">
      <w:rPr>
        <w:rFonts w:cs="Arial"/>
        <w:sz w:val="16"/>
      </w:rPr>
      <w:t>01 471 29 78</w:t>
    </w:r>
    <w:r w:rsidRPr="008F3500">
      <w:rPr>
        <w:rFonts w:cs="Arial"/>
        <w:sz w:val="16"/>
      </w:rPr>
      <w:t xml:space="preserve"> </w:t>
    </w:r>
  </w:p>
  <w:p w:rsidR="00F53FA7" w:rsidRPr="008F3500" w:rsidRDefault="00F53FA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554EE6">
      <w:rPr>
        <w:rFonts w:cs="Arial"/>
        <w:sz w:val="16"/>
      </w:rPr>
      <w:t>glavna.pisarna@mors.si</w:t>
    </w:r>
  </w:p>
  <w:p w:rsidR="00F53FA7" w:rsidRDefault="00F53FA7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54EE6">
      <w:rPr>
        <w:rFonts w:cs="Arial"/>
        <w:sz w:val="16"/>
      </w:rPr>
      <w:t>www.mors.si</w:t>
    </w:r>
  </w:p>
  <w:p w:rsidR="00215D26" w:rsidRPr="00610C31" w:rsidRDefault="00215D26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B1BA0"/>
    <w:multiLevelType w:val="hybridMultilevel"/>
    <w:tmpl w:val="02C8EF7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7083C"/>
    <w:multiLevelType w:val="hybridMultilevel"/>
    <w:tmpl w:val="452E7146"/>
    <w:lvl w:ilvl="0" w:tplc="D79CF7B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0C09A6"/>
    <w:multiLevelType w:val="hybridMultilevel"/>
    <w:tmpl w:val="50A8CFE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50"/>
    <w:rsid w:val="000148CA"/>
    <w:rsid w:val="0002337D"/>
    <w:rsid w:val="00023A88"/>
    <w:rsid w:val="00032CD2"/>
    <w:rsid w:val="00035250"/>
    <w:rsid w:val="000922C8"/>
    <w:rsid w:val="000A6B98"/>
    <w:rsid w:val="000A7238"/>
    <w:rsid w:val="000E7D4F"/>
    <w:rsid w:val="001357B2"/>
    <w:rsid w:val="001D3212"/>
    <w:rsid w:val="00202A77"/>
    <w:rsid w:val="00214736"/>
    <w:rsid w:val="00215D26"/>
    <w:rsid w:val="00271CE5"/>
    <w:rsid w:val="00282020"/>
    <w:rsid w:val="002A6E80"/>
    <w:rsid w:val="00314CDA"/>
    <w:rsid w:val="0035531A"/>
    <w:rsid w:val="003636BF"/>
    <w:rsid w:val="0037479F"/>
    <w:rsid w:val="003845B4"/>
    <w:rsid w:val="00387B1A"/>
    <w:rsid w:val="00393256"/>
    <w:rsid w:val="003B0F41"/>
    <w:rsid w:val="003D3F31"/>
    <w:rsid w:val="003E1C74"/>
    <w:rsid w:val="00446E71"/>
    <w:rsid w:val="004521E6"/>
    <w:rsid w:val="004A6859"/>
    <w:rsid w:val="004A7C5C"/>
    <w:rsid w:val="004F5D46"/>
    <w:rsid w:val="00502ABF"/>
    <w:rsid w:val="00510A39"/>
    <w:rsid w:val="00526246"/>
    <w:rsid w:val="00540807"/>
    <w:rsid w:val="00554EE6"/>
    <w:rsid w:val="00567106"/>
    <w:rsid w:val="0059732F"/>
    <w:rsid w:val="005E1D3C"/>
    <w:rsid w:val="00610C31"/>
    <w:rsid w:val="00632253"/>
    <w:rsid w:val="00642714"/>
    <w:rsid w:val="006455CE"/>
    <w:rsid w:val="006519C9"/>
    <w:rsid w:val="006D42D9"/>
    <w:rsid w:val="006E69F1"/>
    <w:rsid w:val="00733017"/>
    <w:rsid w:val="0074036D"/>
    <w:rsid w:val="00783310"/>
    <w:rsid w:val="007A4A6D"/>
    <w:rsid w:val="007C3A5D"/>
    <w:rsid w:val="007D1BCF"/>
    <w:rsid w:val="007D75CF"/>
    <w:rsid w:val="007E6DC5"/>
    <w:rsid w:val="00814481"/>
    <w:rsid w:val="00840BE9"/>
    <w:rsid w:val="00862CFD"/>
    <w:rsid w:val="0087777B"/>
    <w:rsid w:val="0088043C"/>
    <w:rsid w:val="008906C9"/>
    <w:rsid w:val="00892AE3"/>
    <w:rsid w:val="008C5738"/>
    <w:rsid w:val="008D04F0"/>
    <w:rsid w:val="008D2B86"/>
    <w:rsid w:val="008F3500"/>
    <w:rsid w:val="00924E3C"/>
    <w:rsid w:val="009575E5"/>
    <w:rsid w:val="009612BB"/>
    <w:rsid w:val="009709F3"/>
    <w:rsid w:val="009D6E27"/>
    <w:rsid w:val="00A125C5"/>
    <w:rsid w:val="00A34338"/>
    <w:rsid w:val="00A5039D"/>
    <w:rsid w:val="00A65EE7"/>
    <w:rsid w:val="00A70133"/>
    <w:rsid w:val="00A76A02"/>
    <w:rsid w:val="00A87537"/>
    <w:rsid w:val="00AB17DA"/>
    <w:rsid w:val="00AF60DC"/>
    <w:rsid w:val="00B17141"/>
    <w:rsid w:val="00B31575"/>
    <w:rsid w:val="00B50D91"/>
    <w:rsid w:val="00B51A9E"/>
    <w:rsid w:val="00B8547D"/>
    <w:rsid w:val="00BE0F89"/>
    <w:rsid w:val="00C022AF"/>
    <w:rsid w:val="00C250D5"/>
    <w:rsid w:val="00C45301"/>
    <w:rsid w:val="00C92898"/>
    <w:rsid w:val="00CE659A"/>
    <w:rsid w:val="00CE7514"/>
    <w:rsid w:val="00D248DE"/>
    <w:rsid w:val="00D60547"/>
    <w:rsid w:val="00D7623E"/>
    <w:rsid w:val="00D77B92"/>
    <w:rsid w:val="00D83AAB"/>
    <w:rsid w:val="00D8542D"/>
    <w:rsid w:val="00DA418C"/>
    <w:rsid w:val="00DC6A71"/>
    <w:rsid w:val="00DE5B46"/>
    <w:rsid w:val="00E0357D"/>
    <w:rsid w:val="00E13B88"/>
    <w:rsid w:val="00E24EC2"/>
    <w:rsid w:val="00E36745"/>
    <w:rsid w:val="00E41756"/>
    <w:rsid w:val="00ED612E"/>
    <w:rsid w:val="00F240BB"/>
    <w:rsid w:val="00F46724"/>
    <w:rsid w:val="00F50529"/>
    <w:rsid w:val="00F53FA7"/>
    <w:rsid w:val="00F57FED"/>
    <w:rsid w:val="00FE0B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64588B5-2300-45E4-9AEE-1071F25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75E5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color w:val="000000"/>
      <w:sz w:val="22"/>
      <w:lang w:eastAsia="sl-SI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Navadensplet">
    <w:name w:val="Normal (Web)"/>
    <w:basedOn w:val="Navaden"/>
    <w:rsid w:val="0054080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efault">
    <w:name w:val="Default"/>
    <w:rsid w:val="005408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540807"/>
    <w:pPr>
      <w:overflowPunct w:val="0"/>
      <w:autoSpaceDE w:val="0"/>
      <w:autoSpaceDN w:val="0"/>
      <w:adjustRightInd w:val="0"/>
      <w:spacing w:line="240" w:lineRule="auto"/>
      <w:ind w:left="720"/>
      <w:contextualSpacing/>
      <w:jc w:val="both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sinigoj@mo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Temp\Temporary%20Internet%20Files\Content.IE5\TQA2W1DX\MO%5b1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772D15-61C0-4D96-9BA7-4917BC28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MO[1]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3676</CharactersWithSpaces>
  <SharedDoc>false</SharedDoc>
  <HLinks>
    <vt:vector size="12" baseType="variant">
      <vt:variant>
        <vt:i4>3211355</vt:i4>
      </vt:variant>
      <vt:variant>
        <vt:i4>3</vt:i4>
      </vt:variant>
      <vt:variant>
        <vt:i4>0</vt:i4>
      </vt:variant>
      <vt:variant>
        <vt:i4>5</vt:i4>
      </vt:variant>
      <vt:variant>
        <vt:lpwstr>mailto:marjeta.sinigoj@mors.si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MORS</dc:creator>
  <cp:keywords/>
  <cp:lastModifiedBy>Windows User</cp:lastModifiedBy>
  <cp:revision>2</cp:revision>
  <cp:lastPrinted>2021-11-12T11:48:00Z</cp:lastPrinted>
  <dcterms:created xsi:type="dcterms:W3CDTF">2021-12-02T12:26:00Z</dcterms:created>
  <dcterms:modified xsi:type="dcterms:W3CDTF">2021-12-02T12:26:00Z</dcterms:modified>
</cp:coreProperties>
</file>