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0F734F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4672FD">
        <w:rPr>
          <w:rFonts w:cs="Arial"/>
          <w:sz w:val="20"/>
        </w:rPr>
        <w:t>8-55/2019/</w:t>
      </w:r>
      <w:r w:rsidR="0020359F">
        <w:rPr>
          <w:rFonts w:cs="Arial"/>
          <w:sz w:val="20"/>
        </w:rPr>
        <w:t>66</w:t>
      </w:r>
    </w:p>
    <w:p w14:paraId="022DD924" w14:textId="138163F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05521">
        <w:rPr>
          <w:rFonts w:cs="Arial"/>
          <w:sz w:val="20"/>
        </w:rPr>
        <w:t>1</w:t>
      </w:r>
      <w:r w:rsidR="004672FD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4672FD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34D9311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>SOLASTNIŠKEGA DELEŽA (1/2) NA PARC. ŠT. 748/8, K. O. 134-DOKLEŽOVJE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45E37E54" w14:textId="02C401B9" w:rsidR="00E44C83" w:rsidRDefault="00E44C83" w:rsidP="00E44C83">
      <w:pPr>
        <w:jc w:val="both"/>
        <w:rPr>
          <w:rFonts w:cs="Arial"/>
          <w:sz w:val="20"/>
        </w:rPr>
      </w:pP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46142A71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 xml:space="preserve">je </w:t>
      </w:r>
      <w:r w:rsidR="00AA45B4">
        <w:rPr>
          <w:rFonts w:cs="Arial"/>
          <w:sz w:val="20"/>
        </w:rPr>
        <w:t>nepremičnin</w:t>
      </w:r>
      <w:r w:rsidR="002E0E21">
        <w:rPr>
          <w:rFonts w:cs="Arial"/>
          <w:sz w:val="20"/>
        </w:rPr>
        <w:t>a</w:t>
      </w:r>
      <w:r w:rsidR="003F63FC">
        <w:rPr>
          <w:rFonts w:cs="Arial"/>
          <w:sz w:val="20"/>
        </w:rPr>
        <w:t xml:space="preserve">: </w:t>
      </w:r>
    </w:p>
    <w:p w14:paraId="51450971" w14:textId="77777777" w:rsidR="00501A21" w:rsidRDefault="00501A2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3FC3D0" w14:textId="234B3ECD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4672FD">
              <w:rPr>
                <w:rFonts w:cs="Arial"/>
                <w:sz w:val="20"/>
              </w:rPr>
              <w:t>134 748/8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247EDEF" w14:textId="75B29156" w:rsidR="00AA45B4" w:rsidRPr="00DA117E" w:rsidRDefault="004672FD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782,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5C7FCEE7" w14:textId="672DDE52" w:rsidR="00AA45B4" w:rsidRPr="00DA117E" w:rsidRDefault="004672FD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2E314F08" w14:textId="35BA399A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 w:rsidR="004672FD">
              <w:rPr>
                <w:rFonts w:cs="Arial"/>
                <w:sz w:val="20"/>
              </w:rPr>
              <w:t>2</w:t>
            </w:r>
          </w:p>
        </w:tc>
      </w:tr>
    </w:tbl>
    <w:p w14:paraId="4A04E803" w14:textId="77777777"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57AEAF" w14:textId="77777777" w:rsidR="00960C9C" w:rsidRDefault="001534FA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Občini Beltinci. </w:t>
      </w:r>
    </w:p>
    <w:p w14:paraId="35E13402" w14:textId="77777777" w:rsidR="00960C9C" w:rsidRDefault="00960C9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5EC7E6" w14:textId="74D54C68" w:rsidR="00A87A51" w:rsidRPr="00A87A51" w:rsidRDefault="004672F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Na njej stoji stanovanjska stavba z id. št. stavbe 258</w:t>
      </w:r>
      <w:r w:rsidR="00A87A51" w:rsidRPr="00A87A51">
        <w:rPr>
          <w:rFonts w:cs="Arial"/>
          <w:sz w:val="20"/>
        </w:rPr>
        <w:t>:</w:t>
      </w:r>
    </w:p>
    <w:p w14:paraId="3EC34C53" w14:textId="72595259" w:rsidR="002E0E21" w:rsidRPr="00A87A51" w:rsidRDefault="004672FD" w:rsidP="002E0E21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del 1</w:t>
      </w:r>
      <w:r w:rsidR="002E0E21">
        <w:rPr>
          <w:rFonts w:cs="Arial"/>
          <w:sz w:val="20"/>
        </w:rPr>
        <w:t>, ki ima po podatkih GURS</w:t>
      </w:r>
      <w:r w:rsidRPr="00A87A51">
        <w:rPr>
          <w:rFonts w:cs="Arial"/>
          <w:sz w:val="20"/>
        </w:rPr>
        <w:t xml:space="preserve"> </w:t>
      </w:r>
      <w:r w:rsidR="002E0E21">
        <w:rPr>
          <w:rFonts w:cs="Arial"/>
          <w:sz w:val="20"/>
        </w:rPr>
        <w:t>178,8 m2 površine</w:t>
      </w:r>
      <w:r w:rsidR="00960C9C">
        <w:rPr>
          <w:rFonts w:cs="Arial"/>
          <w:sz w:val="20"/>
        </w:rPr>
        <w:t xml:space="preserve">, gre za </w:t>
      </w:r>
      <w:r w:rsidRPr="00A87A51">
        <w:rPr>
          <w:rFonts w:cs="Arial"/>
          <w:sz w:val="20"/>
        </w:rPr>
        <w:t xml:space="preserve">stanovanje v enostanovanjski stavbi </w:t>
      </w:r>
      <w:r w:rsidR="002E0E21" w:rsidRPr="00A87A51">
        <w:rPr>
          <w:rFonts w:cs="Arial"/>
          <w:sz w:val="20"/>
        </w:rPr>
        <w:t>z naslovom Letališka ulica 12, Dokležovje, Beltinci</w:t>
      </w:r>
      <w:r w:rsidR="002E0E21">
        <w:rPr>
          <w:rFonts w:cs="Arial"/>
          <w:sz w:val="20"/>
        </w:rPr>
        <w:t xml:space="preserve"> ter</w:t>
      </w:r>
      <w:r w:rsidR="002E0E21" w:rsidRPr="00A87A51">
        <w:rPr>
          <w:rFonts w:cs="Arial"/>
          <w:sz w:val="20"/>
        </w:rPr>
        <w:t xml:space="preserve"> </w:t>
      </w:r>
    </w:p>
    <w:p w14:paraId="16F3A792" w14:textId="0E528128" w:rsidR="002E0E21" w:rsidRPr="001262E2" w:rsidRDefault="00A87A51" w:rsidP="007A5B17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2E0E21">
        <w:rPr>
          <w:rFonts w:cs="Arial"/>
          <w:sz w:val="20"/>
        </w:rPr>
        <w:t>del 2</w:t>
      </w:r>
      <w:r w:rsidR="002E0E21">
        <w:rPr>
          <w:rFonts w:cs="Arial"/>
          <w:sz w:val="20"/>
        </w:rPr>
        <w:t>, ki ima po podatkih GURS 78,6 m2 površine</w:t>
      </w:r>
      <w:r w:rsidR="00960C9C">
        <w:rPr>
          <w:rFonts w:cs="Arial"/>
          <w:sz w:val="20"/>
        </w:rPr>
        <w:t xml:space="preserve">, gre za </w:t>
      </w:r>
      <w:r w:rsidRPr="002E0E21">
        <w:rPr>
          <w:sz w:val="20"/>
        </w:rPr>
        <w:t>pomožni kmetijski del stavbe</w:t>
      </w:r>
      <w:r w:rsidR="002E0E21">
        <w:rPr>
          <w:sz w:val="20"/>
        </w:rPr>
        <w:t xml:space="preserve">. </w:t>
      </w:r>
    </w:p>
    <w:p w14:paraId="6844F275" w14:textId="77777777" w:rsidR="001262E2" w:rsidRPr="001262E2" w:rsidRDefault="001262E2" w:rsidP="001262E2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165064" w14:textId="77777777" w:rsidR="001262E2" w:rsidRPr="001262E2" w:rsidRDefault="001262E2" w:rsidP="001262E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262E2">
        <w:rPr>
          <w:rFonts w:cs="Arial"/>
          <w:sz w:val="20"/>
        </w:rPr>
        <w:t xml:space="preserve">Stanovanjski objekt je </w:t>
      </w:r>
      <w:proofErr w:type="spellStart"/>
      <w:r w:rsidRPr="001262E2">
        <w:rPr>
          <w:rFonts w:cs="Arial"/>
          <w:sz w:val="20"/>
        </w:rPr>
        <w:t>etažnosti</w:t>
      </w:r>
      <w:proofErr w:type="spellEnd"/>
      <w:r w:rsidRPr="001262E2">
        <w:rPr>
          <w:rFonts w:cs="Arial"/>
          <w:sz w:val="20"/>
        </w:rPr>
        <w:t xml:space="preserve"> K + P + N. Grajen je iz različnih materialov. Del objekta v pritličju naj bi bil  namenjen poslovni dejavnosti. Objekt je potreben temeljite prenove.</w:t>
      </w:r>
    </w:p>
    <w:p w14:paraId="38113863" w14:textId="52DD82E7" w:rsidR="00A87A51" w:rsidRPr="002E0E21" w:rsidRDefault="00A87A51" w:rsidP="002E0E2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2E0E21">
        <w:rPr>
          <w:sz w:val="20"/>
        </w:rPr>
        <w:t xml:space="preserve"> </w:t>
      </w:r>
    </w:p>
    <w:p w14:paraId="5F4667CE" w14:textId="4CEEDDE9" w:rsidR="00A87A51" w:rsidRPr="00A87A51" w:rsidRDefault="00A87A51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Po podatkih GURS je bil </w:t>
      </w:r>
      <w:r w:rsidR="00EF2E65">
        <w:rPr>
          <w:rFonts w:cs="Arial"/>
          <w:sz w:val="20"/>
        </w:rPr>
        <w:t xml:space="preserve">objekt </w:t>
      </w:r>
      <w:r w:rsidRPr="00A87A51">
        <w:rPr>
          <w:rFonts w:cs="Arial"/>
          <w:sz w:val="20"/>
        </w:rPr>
        <w:t xml:space="preserve">zgrajen leta 1982. Skladno z določilom 118. člena Gradbenega zakona (Uradni list RS, št. </w:t>
      </w:r>
      <w:hyperlink r:id="rId8" w:tgtFrame="_blank" w:tooltip="Gradbeni zakon (GZ)" w:history="1">
        <w:r w:rsidRPr="00A87A51">
          <w:rPr>
            <w:rFonts w:cs="Arial"/>
            <w:sz w:val="20"/>
            <w:shd w:val="clear" w:color="auto" w:fill="FFFFFF"/>
          </w:rPr>
          <w:t>61/17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 w:rsidR="00F96C39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A87A51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A87A51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A87A51">
          <w:rPr>
            <w:rFonts w:cs="Arial"/>
            <w:sz w:val="20"/>
            <w:shd w:val="clear" w:color="auto" w:fill="FFFFFF"/>
          </w:rPr>
          <w:t>.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 w:rsidR="00F96C39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A87A51">
          <w:rPr>
            <w:rFonts w:cs="Arial"/>
            <w:sz w:val="20"/>
            <w:shd w:val="clear" w:color="auto" w:fill="FFFFFF"/>
          </w:rPr>
          <w:t>65/20</w:t>
        </w:r>
      </w:hyperlink>
      <w:r w:rsidR="00F96C39"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in</w:t>
      </w:r>
      <w:r w:rsidR="00F96C39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A87A51">
          <w:rPr>
            <w:rFonts w:cs="Arial"/>
            <w:sz w:val="20"/>
            <w:shd w:val="clear" w:color="auto" w:fill="FFFFFF"/>
          </w:rPr>
          <w:t>15/21</w:t>
        </w:r>
      </w:hyperlink>
      <w:r w:rsidR="00F96C39"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je bila na UE Murska Sobota pridobljena odločba, da ima objekt pridobljeno gradbeno in uporabno dovoljenje po zakonu. </w:t>
      </w:r>
    </w:p>
    <w:p w14:paraId="35762B12" w14:textId="77777777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4E1468" w14:textId="5856D7D2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pridobljena energetska izkaznica št. 2020-709-208-83698, ki velja do 3. 12. 2030, pri čemer je bilo ugotovljeno, da objekt sodi v </w:t>
      </w:r>
      <w:r w:rsidR="002E0E21">
        <w:rPr>
          <w:rFonts w:cs="Arial"/>
          <w:sz w:val="20"/>
        </w:rPr>
        <w:t>energetski razred E</w:t>
      </w:r>
      <w:r>
        <w:rPr>
          <w:rFonts w:cs="Arial"/>
          <w:sz w:val="20"/>
        </w:rPr>
        <w:t>.</w:t>
      </w:r>
      <w:r w:rsidR="002E0E21">
        <w:rPr>
          <w:rFonts w:cs="Arial"/>
          <w:sz w:val="20"/>
        </w:rPr>
        <w:t xml:space="preserve"> </w:t>
      </w:r>
    </w:p>
    <w:p w14:paraId="0688BAFA" w14:textId="77777777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3F4612" w14:textId="77777777" w:rsidR="001262E2" w:rsidRDefault="00A87A5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</w:t>
      </w:r>
      <w:r w:rsidR="001262E2">
        <w:rPr>
          <w:rFonts w:cs="Arial"/>
          <w:sz w:val="20"/>
        </w:rPr>
        <w:t>.</w:t>
      </w:r>
    </w:p>
    <w:p w14:paraId="0B5B331F" w14:textId="77777777" w:rsidR="001262E2" w:rsidRDefault="001262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B31CFC" w14:textId="2CF45D2E" w:rsidR="004672FD" w:rsidRPr="001262E2" w:rsidRDefault="001262E2" w:rsidP="00151D8D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</w:t>
      </w:r>
      <w:r w:rsidR="00A87A51" w:rsidRPr="001262E2">
        <w:rPr>
          <w:rFonts w:cs="Arial"/>
          <w:b/>
          <w:bCs/>
          <w:sz w:val="20"/>
          <w:u w:val="single"/>
        </w:rPr>
        <w:t>olastniški delež drugega solastnika NI predmet prodaje</w:t>
      </w:r>
      <w:r w:rsidR="00A87A51" w:rsidRPr="001262E2">
        <w:rPr>
          <w:rFonts w:cs="Arial"/>
          <w:sz w:val="20"/>
          <w:u w:val="single"/>
        </w:rPr>
        <w:t xml:space="preserve">. </w:t>
      </w:r>
    </w:p>
    <w:p w14:paraId="3ECB107C" w14:textId="1A0CBE67"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8D0E0B4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z ID znakom </w:t>
      </w:r>
      <w:r w:rsidR="003E35E1">
        <w:rPr>
          <w:rFonts w:cs="Arial"/>
          <w:sz w:val="20"/>
        </w:rPr>
        <w:t xml:space="preserve">parcela </w:t>
      </w:r>
      <w:r w:rsidR="00960C9C">
        <w:rPr>
          <w:rFonts w:cs="Arial"/>
          <w:sz w:val="20"/>
        </w:rPr>
        <w:t>134 748/8, v deležu 1/2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60C9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3E35E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CC88FC1" w14:textId="5E16560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960C9C">
        <w:rPr>
          <w:rFonts w:cs="Arial"/>
          <w:sz w:val="20"/>
        </w:rPr>
        <w:t>, v kolikor drugi solastnik ne bo uveljavljal zakonite predkupne pravice</w:t>
      </w:r>
      <w:r w:rsidR="003E35E1">
        <w:rPr>
          <w:rFonts w:cs="Arial"/>
          <w:sz w:val="20"/>
        </w:rPr>
        <w:t xml:space="preserve">. </w:t>
      </w:r>
    </w:p>
    <w:p w14:paraId="653FC6BD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441E984C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60C9C">
        <w:rPr>
          <w:b/>
          <w:bCs/>
          <w:color w:val="000000"/>
          <w:sz w:val="20"/>
          <w:shd w:val="clear" w:color="auto" w:fill="DEEAF6"/>
        </w:rPr>
        <w:t>7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960C9C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4C216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</w:t>
      </w:r>
      <w:r w:rsidR="00960C9C">
        <w:rPr>
          <w:rFonts w:cs="Arial"/>
          <w:sz w:val="20"/>
        </w:rPr>
        <w:t>8-55/2019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404926DE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60C9C">
        <w:rPr>
          <w:b/>
          <w:bCs/>
          <w:color w:val="000000"/>
          <w:sz w:val="20"/>
          <w:shd w:val="clear" w:color="auto" w:fill="DEEAF6"/>
        </w:rPr>
        <w:t>7.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6563C2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774BD3F" w14:textId="77777777" w:rsidR="00983BBC" w:rsidRDefault="00B77620" w:rsidP="00983BBC">
      <w:pPr>
        <w:rPr>
          <w:rFonts w:ascii="Calibri" w:hAnsi="Calibri"/>
        </w:rPr>
      </w:pPr>
      <w:hyperlink r:id="rId13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14109CEF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2566AC22" w14:textId="7176C083" w:rsidR="00AD5F71" w:rsidRDefault="00960C9C" w:rsidP="007434F9">
      <w:pPr>
        <w:jc w:val="both"/>
        <w:rPr>
          <w:rFonts w:cs="Arial"/>
          <w:sz w:val="20"/>
        </w:rPr>
      </w:pPr>
      <w:r w:rsidRPr="00960C9C">
        <w:rPr>
          <w:rFonts w:cs="Arial"/>
          <w:noProof/>
          <w:sz w:val="20"/>
        </w:rPr>
        <w:lastRenderedPageBreak/>
        <w:drawing>
          <wp:inline distT="0" distB="0" distL="0" distR="0" wp14:anchorId="627A9963" wp14:editId="64BADE6C">
            <wp:extent cx="5396230" cy="5328285"/>
            <wp:effectExtent l="0" t="0" r="0" b="5715"/>
            <wp:docPr id="3" name="Slika 3" descr="Na sliki je razvidna lokacija solastniškega delež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lokacija solastniškega delež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3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F7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87A5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152</TotalTime>
  <Pages>4</Pages>
  <Words>838</Words>
  <Characters>5629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</vt:lpstr>
    </vt:vector>
  </TitlesOfParts>
  <Company>Indea d.o.o.</Company>
  <LinksUpToDate>false</LinksUpToDate>
  <CharactersWithSpaces>6455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np-k.o.Doklezovje16.3.21</dc:title>
  <dc:subject/>
  <dc:creator>Marija Petek</dc:creator>
  <cp:keywords/>
  <dc:description/>
  <cp:lastModifiedBy>Marija Petek</cp:lastModifiedBy>
  <cp:revision>19</cp:revision>
  <cp:lastPrinted>2019-07-25T11:29:00Z</cp:lastPrinted>
  <dcterms:created xsi:type="dcterms:W3CDTF">2020-12-09T13:01:00Z</dcterms:created>
  <dcterms:modified xsi:type="dcterms:W3CDTF">2021-03-16T11:47:00Z</dcterms:modified>
</cp:coreProperties>
</file>