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EBED" w14:textId="77777777" w:rsidR="00907E8E" w:rsidRPr="00AC504C" w:rsidRDefault="00907E8E" w:rsidP="007472B2">
      <w:pPr>
        <w:spacing w:after="160" w:line="240" w:lineRule="auto"/>
        <w:jc w:val="both"/>
        <w:rPr>
          <w:rFonts w:ascii="Century Gothic" w:hAnsi="Century Gothic"/>
          <w:b/>
          <w:bCs/>
          <w:sz w:val="22"/>
          <w:szCs w:val="22"/>
        </w:rPr>
      </w:pPr>
    </w:p>
    <w:p w14:paraId="706AE35F" w14:textId="77777777" w:rsidR="00907E8E" w:rsidRPr="00AC504C" w:rsidRDefault="00907E8E" w:rsidP="37481F17">
      <w:pPr>
        <w:spacing w:after="160" w:line="240" w:lineRule="auto"/>
        <w:rPr>
          <w:rFonts w:ascii="Cambria" w:eastAsiaTheme="minorEastAsia" w:hAnsi="Cambria" w:cs="Cambria"/>
          <w:b/>
          <w:bCs/>
          <w:color w:val="2F5496" w:themeColor="accent1" w:themeShade="BF"/>
          <w:sz w:val="32"/>
          <w:szCs w:val="32"/>
          <w:u w:val="single"/>
        </w:rPr>
      </w:pPr>
    </w:p>
    <w:p w14:paraId="4FA1B284" w14:textId="77777777" w:rsidR="00907E8E" w:rsidRPr="00AC504C" w:rsidRDefault="00907E8E" w:rsidP="007472B2">
      <w:pPr>
        <w:spacing w:after="160" w:line="240" w:lineRule="auto"/>
        <w:jc w:val="both"/>
        <w:rPr>
          <w:rFonts w:ascii="Century Gothic" w:hAnsi="Century Gothic"/>
          <w:b/>
          <w:bCs/>
          <w:sz w:val="22"/>
          <w:szCs w:val="22"/>
        </w:rPr>
      </w:pPr>
    </w:p>
    <w:tbl>
      <w:tblPr>
        <w:tblStyle w:val="Tabelamrea"/>
        <w:tblpPr w:leftFromText="141" w:rightFromText="141" w:vertAnchor="page" w:horzAnchor="margin" w:tblpXSpec="center" w:tblpY="4591"/>
        <w:tblW w:w="9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6"/>
      </w:tblGrid>
      <w:tr w:rsidR="00BB7375" w:rsidRPr="00F7597C" w14:paraId="5C7D441A" w14:textId="77777777" w:rsidTr="005253F3">
        <w:trPr>
          <w:trHeight w:val="2604"/>
        </w:trPr>
        <w:tc>
          <w:tcPr>
            <w:tcW w:w="9186" w:type="dxa"/>
          </w:tcPr>
          <w:p w14:paraId="094A474D" w14:textId="77777777" w:rsidR="001D0423" w:rsidRPr="00BB7375" w:rsidRDefault="001D0423" w:rsidP="001D0423">
            <w:pPr>
              <w:pStyle w:val="datumtevilka"/>
              <w:rPr>
                <w:rFonts w:ascii="Century Gothic" w:hAnsi="Century Gothic"/>
                <w:sz w:val="22"/>
                <w:szCs w:val="22"/>
              </w:rPr>
            </w:pPr>
            <w:r>
              <w:rPr>
                <w:rFonts w:ascii="Century Gothic" w:hAnsi="Century Gothic"/>
                <w:sz w:val="22"/>
                <w:szCs w:val="22"/>
                <w:lang w:val="en-GB"/>
              </w:rPr>
              <w:t xml:space="preserve">Number: </w:t>
            </w:r>
            <w:r>
              <w:rPr>
                <w:rFonts w:ascii="Century Gothic" w:hAnsi="Century Gothic"/>
                <w:sz w:val="22"/>
                <w:szCs w:val="22"/>
                <w:lang w:val="en-GB"/>
              </w:rPr>
              <w:tab/>
              <w:t>38100-4/2022/5</w:t>
            </w:r>
          </w:p>
          <w:p w14:paraId="019E042E" w14:textId="77777777" w:rsidR="001D0423" w:rsidRPr="00BB7375" w:rsidRDefault="001D0423" w:rsidP="001D0423">
            <w:pPr>
              <w:pStyle w:val="datumtevilka"/>
              <w:rPr>
                <w:rFonts w:ascii="Century Gothic" w:hAnsi="Century Gothic"/>
                <w:sz w:val="22"/>
                <w:szCs w:val="22"/>
              </w:rPr>
            </w:pPr>
            <w:r>
              <w:rPr>
                <w:rFonts w:ascii="Century Gothic" w:hAnsi="Century Gothic"/>
                <w:sz w:val="22"/>
                <w:szCs w:val="22"/>
                <w:lang w:val="en-GB"/>
              </w:rPr>
              <w:t xml:space="preserve">Date: </w:t>
            </w:r>
            <w:r>
              <w:rPr>
                <w:rFonts w:ascii="Century Gothic" w:hAnsi="Century Gothic"/>
                <w:sz w:val="22"/>
                <w:szCs w:val="22"/>
                <w:lang w:val="en-GB"/>
              </w:rPr>
              <w:tab/>
              <w:t xml:space="preserve">25 August 2022 </w:t>
            </w:r>
          </w:p>
          <w:p w14:paraId="26131CD3" w14:textId="77777777" w:rsidR="00591AEF" w:rsidRPr="00BB7375" w:rsidRDefault="00591AEF" w:rsidP="00CF0C18">
            <w:pPr>
              <w:autoSpaceDE w:val="0"/>
              <w:autoSpaceDN w:val="0"/>
              <w:adjustRightInd w:val="0"/>
              <w:spacing w:line="240" w:lineRule="auto"/>
              <w:rPr>
                <w:rFonts w:ascii="Cambria" w:eastAsiaTheme="minorEastAsia" w:hAnsi="Cambria" w:cs="Cambria"/>
                <w:b/>
                <w:sz w:val="32"/>
                <w:szCs w:val="32"/>
                <w:u w:val="single"/>
              </w:rPr>
            </w:pPr>
          </w:p>
          <w:p w14:paraId="46458266" w14:textId="77777777" w:rsidR="00863F47" w:rsidRPr="00BB7375" w:rsidRDefault="00863F47" w:rsidP="00CF0C18">
            <w:pPr>
              <w:autoSpaceDE w:val="0"/>
              <w:autoSpaceDN w:val="0"/>
              <w:adjustRightInd w:val="0"/>
              <w:spacing w:line="240" w:lineRule="auto"/>
              <w:rPr>
                <w:rFonts w:ascii="Cambria" w:eastAsiaTheme="minorEastAsia" w:hAnsi="Cambria" w:cs="Cambria"/>
                <w:b/>
                <w:sz w:val="96"/>
                <w:szCs w:val="96"/>
              </w:rPr>
            </w:pPr>
          </w:p>
          <w:p w14:paraId="73A86DCA" w14:textId="77777777" w:rsidR="0085081A" w:rsidRPr="00C00696" w:rsidRDefault="0085081A" w:rsidP="003D0650">
            <w:pPr>
              <w:autoSpaceDE w:val="0"/>
              <w:autoSpaceDN w:val="0"/>
              <w:adjustRightInd w:val="0"/>
              <w:spacing w:line="240" w:lineRule="auto"/>
              <w:jc w:val="center"/>
              <w:rPr>
                <w:rFonts w:ascii="Century Gothic" w:eastAsiaTheme="minorHAnsi" w:hAnsi="Century Gothic" w:cs="Cambria"/>
                <w:b/>
                <w:bCs/>
                <w:sz w:val="72"/>
                <w:szCs w:val="96"/>
              </w:rPr>
            </w:pPr>
            <w:r>
              <w:rPr>
                <w:rFonts w:ascii="Century Gothic" w:eastAsiaTheme="minorHAnsi" w:hAnsi="Century Gothic" w:cs="Cambria"/>
                <w:b/>
                <w:bCs/>
                <w:sz w:val="72"/>
                <w:szCs w:val="96"/>
                <w:lang w:val="en-GB"/>
              </w:rPr>
              <w:t xml:space="preserve">GIGABIT </w:t>
            </w:r>
          </w:p>
          <w:p w14:paraId="1F88C1BD" w14:textId="77777777" w:rsidR="00CF0C18" w:rsidRPr="00BB7375" w:rsidRDefault="00CF0C18" w:rsidP="003D0650">
            <w:pPr>
              <w:autoSpaceDE w:val="0"/>
              <w:autoSpaceDN w:val="0"/>
              <w:adjustRightInd w:val="0"/>
              <w:spacing w:line="240" w:lineRule="auto"/>
              <w:jc w:val="center"/>
              <w:rPr>
                <w:rFonts w:ascii="Cambria" w:eastAsiaTheme="minorHAnsi" w:hAnsi="Cambria" w:cs="Cambria"/>
                <w:sz w:val="96"/>
                <w:szCs w:val="96"/>
              </w:rPr>
            </w:pPr>
            <w:r>
              <w:rPr>
                <w:rFonts w:ascii="Century Gothic" w:eastAsiaTheme="minorHAnsi" w:hAnsi="Century Gothic" w:cs="Cambria"/>
                <w:b/>
                <w:bCs/>
                <w:sz w:val="72"/>
                <w:szCs w:val="96"/>
                <w:lang w:val="en-GB"/>
              </w:rPr>
              <w:t xml:space="preserve">INFRASTRUCTURE </w:t>
            </w:r>
            <w:r>
              <w:rPr>
                <w:rFonts w:ascii="Century Gothic" w:eastAsiaTheme="minorHAnsi" w:hAnsi="Century Gothic" w:cs="Cambria"/>
                <w:sz w:val="72"/>
                <w:szCs w:val="96"/>
                <w:lang w:val="en-GB"/>
              </w:rPr>
              <w:br/>
            </w:r>
            <w:r>
              <w:rPr>
                <w:rFonts w:ascii="Century Gothic" w:eastAsiaTheme="minorHAnsi" w:hAnsi="Century Gothic" w:cs="Cambria"/>
                <w:b/>
                <w:bCs/>
                <w:sz w:val="72"/>
                <w:szCs w:val="96"/>
                <w:lang w:val="en-GB"/>
              </w:rPr>
              <w:t>DEVELOPMENT PLAN 2030</w:t>
            </w:r>
          </w:p>
        </w:tc>
      </w:tr>
    </w:tbl>
    <w:p w14:paraId="4CAA8E7C" w14:textId="77777777" w:rsidR="00907E8E" w:rsidRPr="00BB7375" w:rsidRDefault="00907E8E" w:rsidP="007472B2">
      <w:pPr>
        <w:spacing w:after="160" w:line="240" w:lineRule="auto"/>
        <w:jc w:val="both"/>
        <w:rPr>
          <w:rFonts w:ascii="Century Gothic" w:hAnsi="Century Gothic"/>
          <w:b/>
          <w:bCs/>
          <w:sz w:val="22"/>
          <w:szCs w:val="22"/>
        </w:rPr>
      </w:pPr>
    </w:p>
    <w:p w14:paraId="4628FA3F" w14:textId="77777777" w:rsidR="00907E8E" w:rsidRPr="00BB7375" w:rsidRDefault="00907E8E" w:rsidP="007472B2">
      <w:pPr>
        <w:spacing w:after="160" w:line="240" w:lineRule="auto"/>
        <w:jc w:val="both"/>
        <w:rPr>
          <w:rFonts w:ascii="Century Gothic" w:hAnsi="Century Gothic"/>
          <w:b/>
          <w:bCs/>
          <w:sz w:val="22"/>
          <w:szCs w:val="22"/>
        </w:rPr>
      </w:pPr>
    </w:p>
    <w:p w14:paraId="2D151C81" w14:textId="77777777" w:rsidR="00907E8E" w:rsidRPr="00AC504C" w:rsidRDefault="00907E8E" w:rsidP="007472B2">
      <w:pPr>
        <w:spacing w:after="160" w:line="240" w:lineRule="auto"/>
        <w:jc w:val="both"/>
        <w:rPr>
          <w:rFonts w:ascii="Century Gothic" w:hAnsi="Century Gothic"/>
          <w:b/>
          <w:bCs/>
          <w:sz w:val="22"/>
          <w:szCs w:val="22"/>
        </w:rPr>
      </w:pPr>
    </w:p>
    <w:p w14:paraId="1DF33DA2" w14:textId="77777777" w:rsidR="00907E8E" w:rsidRPr="00AC504C" w:rsidRDefault="00907E8E" w:rsidP="007472B2">
      <w:pPr>
        <w:spacing w:after="160" w:line="240" w:lineRule="auto"/>
        <w:jc w:val="both"/>
        <w:rPr>
          <w:rFonts w:ascii="Century Gothic" w:hAnsi="Century Gothic"/>
          <w:b/>
          <w:bCs/>
          <w:sz w:val="22"/>
          <w:szCs w:val="22"/>
        </w:rPr>
      </w:pPr>
    </w:p>
    <w:p w14:paraId="17902F3E" w14:textId="77777777" w:rsidR="00907E8E" w:rsidRPr="00AC504C" w:rsidRDefault="00907E8E" w:rsidP="00267E30">
      <w:pPr>
        <w:tabs>
          <w:tab w:val="left" w:pos="6435"/>
        </w:tabs>
        <w:spacing w:after="160" w:line="240" w:lineRule="auto"/>
        <w:jc w:val="both"/>
        <w:rPr>
          <w:rFonts w:ascii="Century Gothic" w:hAnsi="Century Gothic"/>
          <w:b/>
          <w:bCs/>
          <w:sz w:val="22"/>
          <w:szCs w:val="22"/>
        </w:rPr>
      </w:pPr>
    </w:p>
    <w:p w14:paraId="11712AA1" w14:textId="77777777" w:rsidR="00907E8E" w:rsidRPr="00AC504C" w:rsidRDefault="00907E8E" w:rsidP="007472B2">
      <w:pPr>
        <w:spacing w:after="160" w:line="240" w:lineRule="auto"/>
        <w:jc w:val="both"/>
        <w:rPr>
          <w:rFonts w:ascii="Century Gothic" w:hAnsi="Century Gothic"/>
          <w:b/>
          <w:bCs/>
          <w:sz w:val="22"/>
          <w:szCs w:val="22"/>
        </w:rPr>
      </w:pPr>
    </w:p>
    <w:p w14:paraId="3D7D1271" w14:textId="77777777" w:rsidR="00907E8E" w:rsidRDefault="00907E8E" w:rsidP="007472B2">
      <w:pPr>
        <w:spacing w:after="160" w:line="240" w:lineRule="auto"/>
        <w:jc w:val="both"/>
        <w:rPr>
          <w:rFonts w:ascii="Century Gothic" w:hAnsi="Century Gothic"/>
          <w:b/>
          <w:bCs/>
          <w:sz w:val="22"/>
          <w:szCs w:val="22"/>
        </w:rPr>
      </w:pPr>
    </w:p>
    <w:p w14:paraId="02395C7C" w14:textId="2B0D3E9A" w:rsidR="00C00696" w:rsidRDefault="00C00696" w:rsidP="007472B2">
      <w:pPr>
        <w:spacing w:after="160" w:line="240" w:lineRule="auto"/>
        <w:jc w:val="both"/>
        <w:rPr>
          <w:rFonts w:ascii="Century Gothic" w:hAnsi="Century Gothic"/>
          <w:b/>
          <w:bCs/>
          <w:sz w:val="22"/>
          <w:szCs w:val="22"/>
        </w:rPr>
      </w:pPr>
    </w:p>
    <w:p w14:paraId="36275DAE" w14:textId="1F41BDD8" w:rsidR="005253F3" w:rsidRDefault="005253F3" w:rsidP="007472B2">
      <w:pPr>
        <w:spacing w:after="160" w:line="240" w:lineRule="auto"/>
        <w:jc w:val="both"/>
        <w:rPr>
          <w:rFonts w:ascii="Century Gothic" w:hAnsi="Century Gothic"/>
          <w:b/>
          <w:bCs/>
          <w:sz w:val="22"/>
          <w:szCs w:val="22"/>
        </w:rPr>
      </w:pPr>
    </w:p>
    <w:p w14:paraId="486786F1" w14:textId="77777777" w:rsidR="005253F3" w:rsidRDefault="005253F3" w:rsidP="007472B2">
      <w:pPr>
        <w:spacing w:after="160" w:line="240" w:lineRule="auto"/>
        <w:jc w:val="both"/>
        <w:rPr>
          <w:rFonts w:ascii="Century Gothic" w:hAnsi="Century Gothic"/>
          <w:b/>
          <w:bCs/>
          <w:sz w:val="22"/>
          <w:szCs w:val="22"/>
        </w:rPr>
      </w:pPr>
    </w:p>
    <w:p w14:paraId="6D9DB5F2" w14:textId="77777777" w:rsidR="00C00696" w:rsidRPr="00AC504C" w:rsidRDefault="00C00696" w:rsidP="007472B2">
      <w:pPr>
        <w:spacing w:after="160" w:line="240" w:lineRule="auto"/>
        <w:jc w:val="both"/>
        <w:rPr>
          <w:rFonts w:ascii="Century Gothic" w:hAnsi="Century Gothic"/>
          <w:b/>
          <w:bCs/>
          <w:sz w:val="22"/>
          <w:szCs w:val="22"/>
        </w:rPr>
      </w:pPr>
    </w:p>
    <w:p w14:paraId="5659E7E5" w14:textId="77777777" w:rsidR="00907E8E" w:rsidRDefault="00907E8E" w:rsidP="007472B2">
      <w:pPr>
        <w:spacing w:after="160" w:line="240" w:lineRule="auto"/>
        <w:jc w:val="both"/>
        <w:rPr>
          <w:rFonts w:ascii="Century Gothic" w:hAnsi="Century Gothic"/>
          <w:b/>
          <w:bCs/>
          <w:sz w:val="22"/>
          <w:szCs w:val="22"/>
        </w:rPr>
      </w:pPr>
    </w:p>
    <w:p w14:paraId="52222B02" w14:textId="77777777" w:rsidR="003A585E" w:rsidRPr="00AC504C" w:rsidRDefault="003A585E" w:rsidP="007472B2">
      <w:pPr>
        <w:spacing w:after="160" w:line="240" w:lineRule="auto"/>
        <w:jc w:val="both"/>
        <w:rPr>
          <w:rFonts w:ascii="Century Gothic" w:hAnsi="Century Gothic"/>
          <w:b/>
          <w:bCs/>
          <w:sz w:val="22"/>
          <w:szCs w:val="22"/>
        </w:rPr>
      </w:pPr>
    </w:p>
    <w:p w14:paraId="03D8DE5F" w14:textId="77777777" w:rsidR="00907E8E" w:rsidRPr="00AC504C" w:rsidRDefault="00907E8E" w:rsidP="007472B2">
      <w:pPr>
        <w:spacing w:after="160" w:line="240" w:lineRule="auto"/>
        <w:jc w:val="both"/>
        <w:rPr>
          <w:rFonts w:ascii="Century Gothic" w:hAnsi="Century Gothic"/>
          <w:b/>
          <w:bCs/>
          <w:sz w:val="22"/>
          <w:szCs w:val="22"/>
        </w:rPr>
      </w:pPr>
    </w:p>
    <w:sdt>
      <w:sdtPr>
        <w:rPr>
          <w:rFonts w:ascii="Arial" w:eastAsia="Times New Roman" w:hAnsi="Arial" w:cs="Times New Roman"/>
          <w:color w:val="auto"/>
          <w:sz w:val="20"/>
          <w:szCs w:val="24"/>
          <w:lang w:val="en-US" w:eastAsia="en-US"/>
        </w:rPr>
        <w:id w:val="1319390860"/>
        <w:docPartObj>
          <w:docPartGallery w:val="Table of Contents"/>
          <w:docPartUnique/>
        </w:docPartObj>
      </w:sdtPr>
      <w:sdtEndPr>
        <w:rPr>
          <w:rFonts w:ascii="Century Gothic" w:hAnsi="Century Gothic"/>
          <w:b/>
          <w:bCs/>
        </w:rPr>
      </w:sdtEndPr>
      <w:sdtContent>
        <w:p w14:paraId="31D7928B" w14:textId="77777777" w:rsidR="00127F9B" w:rsidRPr="00AC504C" w:rsidRDefault="00127F9B" w:rsidP="00127F9B">
          <w:pPr>
            <w:pStyle w:val="NaslovTOC"/>
          </w:pPr>
          <w:r>
            <w:rPr>
              <w:lang w:val="en-GB"/>
            </w:rPr>
            <w:t>Table of Contents</w:t>
          </w:r>
        </w:p>
        <w:p w14:paraId="3B118164" w14:textId="77777777" w:rsidR="001030D5" w:rsidRDefault="00127F9B">
          <w:pPr>
            <w:pStyle w:val="Kazalovsebine1"/>
            <w:rPr>
              <w:rFonts w:asciiTheme="minorHAnsi" w:hAnsiTheme="minorHAnsi" w:cstheme="minorBidi"/>
            </w:rPr>
          </w:pPr>
          <w:r>
            <w:rPr>
              <w:lang w:val="en-GB"/>
            </w:rPr>
            <w:fldChar w:fldCharType="begin"/>
          </w:r>
          <w:r>
            <w:instrText xml:space="preserve"> TOC \o "1-3" \h \z \u </w:instrText>
          </w:r>
          <w:r>
            <w:fldChar w:fldCharType="separate"/>
          </w:r>
          <w:hyperlink w:anchor="_Toc140746429" w:history="1">
            <w:r w:rsidR="001030D5" w:rsidRPr="00353D2A">
              <w:rPr>
                <w:rStyle w:val="Hiperpovezava"/>
              </w:rPr>
              <w:t>1</w:t>
            </w:r>
            <w:r w:rsidR="001030D5">
              <w:rPr>
                <w:rFonts w:asciiTheme="minorHAnsi" w:hAnsiTheme="minorHAnsi" w:cstheme="minorBidi"/>
              </w:rPr>
              <w:tab/>
            </w:r>
            <w:r w:rsidR="001030D5" w:rsidRPr="00353D2A">
              <w:rPr>
                <w:rStyle w:val="Hiperpovezava"/>
                <w:bCs/>
                <w:lang w:val="en-GB"/>
              </w:rPr>
              <w:t>INTRODUCTION</w:t>
            </w:r>
            <w:r w:rsidR="001030D5">
              <w:rPr>
                <w:webHidden/>
              </w:rPr>
              <w:tab/>
            </w:r>
            <w:r w:rsidR="001030D5">
              <w:rPr>
                <w:webHidden/>
              </w:rPr>
              <w:fldChar w:fldCharType="begin"/>
            </w:r>
            <w:r w:rsidR="001030D5">
              <w:rPr>
                <w:webHidden/>
              </w:rPr>
              <w:instrText xml:space="preserve"> PAGEREF _Toc140746429 \h </w:instrText>
            </w:r>
            <w:r w:rsidR="001030D5">
              <w:rPr>
                <w:webHidden/>
              </w:rPr>
            </w:r>
            <w:r w:rsidR="001030D5">
              <w:rPr>
                <w:webHidden/>
              </w:rPr>
              <w:fldChar w:fldCharType="separate"/>
            </w:r>
            <w:r w:rsidR="001030D5">
              <w:rPr>
                <w:webHidden/>
              </w:rPr>
              <w:t>4</w:t>
            </w:r>
            <w:r w:rsidR="001030D5">
              <w:rPr>
                <w:webHidden/>
              </w:rPr>
              <w:fldChar w:fldCharType="end"/>
            </w:r>
          </w:hyperlink>
        </w:p>
        <w:p w14:paraId="299DBEDC" w14:textId="77777777" w:rsidR="001030D5" w:rsidRDefault="005253F3">
          <w:pPr>
            <w:pStyle w:val="Kazalovsebine1"/>
            <w:rPr>
              <w:rFonts w:asciiTheme="minorHAnsi" w:hAnsiTheme="minorHAnsi" w:cstheme="minorBidi"/>
            </w:rPr>
          </w:pPr>
          <w:hyperlink w:anchor="_Toc140746430" w:history="1">
            <w:r w:rsidR="001030D5" w:rsidRPr="00353D2A">
              <w:rPr>
                <w:rStyle w:val="Hiperpovezava"/>
              </w:rPr>
              <w:t>2</w:t>
            </w:r>
            <w:r w:rsidR="001030D5">
              <w:rPr>
                <w:rFonts w:asciiTheme="minorHAnsi" w:hAnsiTheme="minorHAnsi" w:cstheme="minorBidi"/>
              </w:rPr>
              <w:tab/>
            </w:r>
            <w:r w:rsidR="001030D5" w:rsidRPr="00353D2A">
              <w:rPr>
                <w:rStyle w:val="Hiperpovezava"/>
                <w:bCs/>
                <w:lang w:val="en-GB"/>
              </w:rPr>
              <w:t>EU TARGETS AND OBJECTIVES</w:t>
            </w:r>
            <w:r w:rsidR="001030D5">
              <w:rPr>
                <w:webHidden/>
              </w:rPr>
              <w:tab/>
            </w:r>
            <w:r w:rsidR="001030D5">
              <w:rPr>
                <w:webHidden/>
              </w:rPr>
              <w:fldChar w:fldCharType="begin"/>
            </w:r>
            <w:r w:rsidR="001030D5">
              <w:rPr>
                <w:webHidden/>
              </w:rPr>
              <w:instrText xml:space="preserve"> PAGEREF _Toc140746430 \h </w:instrText>
            </w:r>
            <w:r w:rsidR="001030D5">
              <w:rPr>
                <w:webHidden/>
              </w:rPr>
            </w:r>
            <w:r w:rsidR="001030D5">
              <w:rPr>
                <w:webHidden/>
              </w:rPr>
              <w:fldChar w:fldCharType="separate"/>
            </w:r>
            <w:r w:rsidR="001030D5">
              <w:rPr>
                <w:webHidden/>
              </w:rPr>
              <w:t>8</w:t>
            </w:r>
            <w:r w:rsidR="001030D5">
              <w:rPr>
                <w:webHidden/>
              </w:rPr>
              <w:fldChar w:fldCharType="end"/>
            </w:r>
          </w:hyperlink>
        </w:p>
        <w:p w14:paraId="23AFB61F" w14:textId="77777777" w:rsidR="001030D5" w:rsidRDefault="005253F3">
          <w:pPr>
            <w:pStyle w:val="Kazalovsebine2"/>
            <w:rPr>
              <w:rFonts w:cstheme="minorBidi"/>
              <w:noProof/>
            </w:rPr>
          </w:pPr>
          <w:hyperlink w:anchor="_Toc140746431" w:history="1">
            <w:r w:rsidR="001030D5" w:rsidRPr="00353D2A">
              <w:rPr>
                <w:rStyle w:val="Hiperpovezava"/>
                <w:noProof/>
                <w:lang w:val="en-GB"/>
              </w:rPr>
              <w:t>2.1 Connectivity for a Competitive Digital Single Market – Towards a European Gigabit Society</w:t>
            </w:r>
            <w:r w:rsidR="001030D5">
              <w:rPr>
                <w:noProof/>
                <w:webHidden/>
              </w:rPr>
              <w:tab/>
            </w:r>
            <w:r w:rsidR="001030D5">
              <w:rPr>
                <w:noProof/>
                <w:webHidden/>
              </w:rPr>
              <w:fldChar w:fldCharType="begin"/>
            </w:r>
            <w:r w:rsidR="001030D5">
              <w:rPr>
                <w:noProof/>
                <w:webHidden/>
              </w:rPr>
              <w:instrText xml:space="preserve"> PAGEREF _Toc140746431 \h </w:instrText>
            </w:r>
            <w:r w:rsidR="001030D5">
              <w:rPr>
                <w:noProof/>
                <w:webHidden/>
              </w:rPr>
            </w:r>
            <w:r w:rsidR="001030D5">
              <w:rPr>
                <w:noProof/>
                <w:webHidden/>
              </w:rPr>
              <w:fldChar w:fldCharType="separate"/>
            </w:r>
            <w:r w:rsidR="001030D5">
              <w:rPr>
                <w:noProof/>
                <w:webHidden/>
              </w:rPr>
              <w:t>9</w:t>
            </w:r>
            <w:r w:rsidR="001030D5">
              <w:rPr>
                <w:noProof/>
                <w:webHidden/>
              </w:rPr>
              <w:fldChar w:fldCharType="end"/>
            </w:r>
          </w:hyperlink>
        </w:p>
        <w:p w14:paraId="26EA7F95" w14:textId="77777777" w:rsidR="001030D5" w:rsidRDefault="005253F3">
          <w:pPr>
            <w:pStyle w:val="Kazalovsebine2"/>
            <w:rPr>
              <w:rFonts w:cstheme="minorBidi"/>
              <w:noProof/>
            </w:rPr>
          </w:pPr>
          <w:hyperlink w:anchor="_Toc140746432" w:history="1">
            <w:r w:rsidR="001030D5" w:rsidRPr="00353D2A">
              <w:rPr>
                <w:rStyle w:val="Hiperpovezava"/>
                <w:noProof/>
                <w:lang w:val="en-GB"/>
              </w:rPr>
              <w:t>2.2 5G for Europe: An Action Plan</w:t>
            </w:r>
            <w:r w:rsidR="001030D5">
              <w:rPr>
                <w:noProof/>
                <w:webHidden/>
              </w:rPr>
              <w:tab/>
            </w:r>
            <w:r w:rsidR="001030D5">
              <w:rPr>
                <w:noProof/>
                <w:webHidden/>
              </w:rPr>
              <w:fldChar w:fldCharType="begin"/>
            </w:r>
            <w:r w:rsidR="001030D5">
              <w:rPr>
                <w:noProof/>
                <w:webHidden/>
              </w:rPr>
              <w:instrText xml:space="preserve"> PAGEREF _Toc140746432 \h </w:instrText>
            </w:r>
            <w:r w:rsidR="001030D5">
              <w:rPr>
                <w:noProof/>
                <w:webHidden/>
              </w:rPr>
            </w:r>
            <w:r w:rsidR="001030D5">
              <w:rPr>
                <w:noProof/>
                <w:webHidden/>
              </w:rPr>
              <w:fldChar w:fldCharType="separate"/>
            </w:r>
            <w:r w:rsidR="001030D5">
              <w:rPr>
                <w:noProof/>
                <w:webHidden/>
              </w:rPr>
              <w:t>9</w:t>
            </w:r>
            <w:r w:rsidR="001030D5">
              <w:rPr>
                <w:noProof/>
                <w:webHidden/>
              </w:rPr>
              <w:fldChar w:fldCharType="end"/>
            </w:r>
          </w:hyperlink>
        </w:p>
        <w:p w14:paraId="0D2D3313" w14:textId="77777777" w:rsidR="001030D5" w:rsidRDefault="005253F3">
          <w:pPr>
            <w:pStyle w:val="Kazalovsebine2"/>
            <w:rPr>
              <w:rFonts w:cstheme="minorBidi"/>
              <w:noProof/>
            </w:rPr>
          </w:pPr>
          <w:hyperlink w:anchor="_Toc140746433" w:history="1">
            <w:r w:rsidR="001030D5" w:rsidRPr="00353D2A">
              <w:rPr>
                <w:rStyle w:val="Hiperpovezava"/>
                <w:noProof/>
                <w:lang w:val="en-GB"/>
              </w:rPr>
              <w:t>2.3 2030 Digital Compass: the European way for the Digital Decade</w:t>
            </w:r>
            <w:r w:rsidR="001030D5">
              <w:rPr>
                <w:noProof/>
                <w:webHidden/>
              </w:rPr>
              <w:tab/>
            </w:r>
            <w:r w:rsidR="001030D5">
              <w:rPr>
                <w:noProof/>
                <w:webHidden/>
              </w:rPr>
              <w:fldChar w:fldCharType="begin"/>
            </w:r>
            <w:r w:rsidR="001030D5">
              <w:rPr>
                <w:noProof/>
                <w:webHidden/>
              </w:rPr>
              <w:instrText xml:space="preserve"> PAGEREF _Toc140746433 \h </w:instrText>
            </w:r>
            <w:r w:rsidR="001030D5">
              <w:rPr>
                <w:noProof/>
                <w:webHidden/>
              </w:rPr>
            </w:r>
            <w:r w:rsidR="001030D5">
              <w:rPr>
                <w:noProof/>
                <w:webHidden/>
              </w:rPr>
              <w:fldChar w:fldCharType="separate"/>
            </w:r>
            <w:r w:rsidR="001030D5">
              <w:rPr>
                <w:noProof/>
                <w:webHidden/>
              </w:rPr>
              <w:t>9</w:t>
            </w:r>
            <w:r w:rsidR="001030D5">
              <w:rPr>
                <w:noProof/>
                <w:webHidden/>
              </w:rPr>
              <w:fldChar w:fldCharType="end"/>
            </w:r>
          </w:hyperlink>
        </w:p>
        <w:p w14:paraId="1A0D1F5F" w14:textId="77777777" w:rsidR="001030D5" w:rsidRDefault="005253F3">
          <w:pPr>
            <w:pStyle w:val="Kazalovsebine2"/>
            <w:rPr>
              <w:rFonts w:cstheme="minorBidi"/>
              <w:noProof/>
            </w:rPr>
          </w:pPr>
          <w:hyperlink w:anchor="_Toc140746434" w:history="1">
            <w:r w:rsidR="001030D5" w:rsidRPr="00353D2A">
              <w:rPr>
                <w:rStyle w:val="Hiperpovezava"/>
                <w:noProof/>
                <w:lang w:val="en-GB"/>
              </w:rPr>
              <w:t>2.4 2030 Policy Programme "Path to the Digital Decade"</w:t>
            </w:r>
            <w:r w:rsidR="001030D5">
              <w:rPr>
                <w:noProof/>
                <w:webHidden/>
              </w:rPr>
              <w:tab/>
            </w:r>
            <w:r w:rsidR="001030D5">
              <w:rPr>
                <w:noProof/>
                <w:webHidden/>
              </w:rPr>
              <w:fldChar w:fldCharType="begin"/>
            </w:r>
            <w:r w:rsidR="001030D5">
              <w:rPr>
                <w:noProof/>
                <w:webHidden/>
              </w:rPr>
              <w:instrText xml:space="preserve"> PAGEREF _Toc140746434 \h </w:instrText>
            </w:r>
            <w:r w:rsidR="001030D5">
              <w:rPr>
                <w:noProof/>
                <w:webHidden/>
              </w:rPr>
            </w:r>
            <w:r w:rsidR="001030D5">
              <w:rPr>
                <w:noProof/>
                <w:webHidden/>
              </w:rPr>
              <w:fldChar w:fldCharType="separate"/>
            </w:r>
            <w:r w:rsidR="001030D5">
              <w:rPr>
                <w:noProof/>
                <w:webHidden/>
              </w:rPr>
              <w:t>10</w:t>
            </w:r>
            <w:r w:rsidR="001030D5">
              <w:rPr>
                <w:noProof/>
                <w:webHidden/>
              </w:rPr>
              <w:fldChar w:fldCharType="end"/>
            </w:r>
          </w:hyperlink>
        </w:p>
        <w:p w14:paraId="04792D39" w14:textId="77777777" w:rsidR="001030D5" w:rsidRDefault="005253F3">
          <w:pPr>
            <w:pStyle w:val="Kazalovsebine1"/>
            <w:rPr>
              <w:rFonts w:asciiTheme="minorHAnsi" w:hAnsiTheme="minorHAnsi" w:cstheme="minorBidi"/>
            </w:rPr>
          </w:pPr>
          <w:hyperlink w:anchor="_Toc140746435" w:history="1">
            <w:r w:rsidR="001030D5" w:rsidRPr="00353D2A">
              <w:rPr>
                <w:rStyle w:val="Hiperpovezava"/>
              </w:rPr>
              <w:t>3</w:t>
            </w:r>
            <w:r w:rsidR="001030D5">
              <w:rPr>
                <w:rFonts w:asciiTheme="minorHAnsi" w:hAnsiTheme="minorHAnsi" w:cstheme="minorBidi"/>
              </w:rPr>
              <w:tab/>
            </w:r>
            <w:r w:rsidR="001030D5" w:rsidRPr="00353D2A">
              <w:rPr>
                <w:rStyle w:val="Hiperpovezava"/>
                <w:bCs/>
                <w:lang w:val="en-GB"/>
              </w:rPr>
              <w:t>THE STATE OF BROADBAND NETWORK DEVELOPMENT IN SLOVENIA</w:t>
            </w:r>
            <w:r w:rsidR="001030D5">
              <w:rPr>
                <w:webHidden/>
              </w:rPr>
              <w:tab/>
            </w:r>
            <w:r w:rsidR="001030D5">
              <w:rPr>
                <w:webHidden/>
              </w:rPr>
              <w:fldChar w:fldCharType="begin"/>
            </w:r>
            <w:r w:rsidR="001030D5">
              <w:rPr>
                <w:webHidden/>
              </w:rPr>
              <w:instrText xml:space="preserve"> PAGEREF _Toc140746435 \h </w:instrText>
            </w:r>
            <w:r w:rsidR="001030D5">
              <w:rPr>
                <w:webHidden/>
              </w:rPr>
            </w:r>
            <w:r w:rsidR="001030D5">
              <w:rPr>
                <w:webHidden/>
              </w:rPr>
              <w:fldChar w:fldCharType="separate"/>
            </w:r>
            <w:r w:rsidR="001030D5">
              <w:rPr>
                <w:webHidden/>
              </w:rPr>
              <w:t>10</w:t>
            </w:r>
            <w:r w:rsidR="001030D5">
              <w:rPr>
                <w:webHidden/>
              </w:rPr>
              <w:fldChar w:fldCharType="end"/>
            </w:r>
          </w:hyperlink>
        </w:p>
        <w:p w14:paraId="37C88F8A" w14:textId="77777777" w:rsidR="001030D5" w:rsidRDefault="005253F3">
          <w:pPr>
            <w:pStyle w:val="Kazalovsebine2"/>
            <w:rPr>
              <w:rFonts w:cstheme="minorBidi"/>
              <w:noProof/>
            </w:rPr>
          </w:pPr>
          <w:hyperlink w:anchor="_Toc140746436" w:history="1">
            <w:r w:rsidR="001030D5" w:rsidRPr="00353D2A">
              <w:rPr>
                <w:rStyle w:val="Hiperpovezava"/>
                <w:noProof/>
                <w:lang w:val="en-GB"/>
              </w:rPr>
              <w:t>3.1 Analytical overview of the main indicators</w:t>
            </w:r>
            <w:r w:rsidR="001030D5">
              <w:rPr>
                <w:noProof/>
                <w:webHidden/>
              </w:rPr>
              <w:tab/>
            </w:r>
            <w:r w:rsidR="001030D5">
              <w:rPr>
                <w:noProof/>
                <w:webHidden/>
              </w:rPr>
              <w:fldChar w:fldCharType="begin"/>
            </w:r>
            <w:r w:rsidR="001030D5">
              <w:rPr>
                <w:noProof/>
                <w:webHidden/>
              </w:rPr>
              <w:instrText xml:space="preserve"> PAGEREF _Toc140746436 \h </w:instrText>
            </w:r>
            <w:r w:rsidR="001030D5">
              <w:rPr>
                <w:noProof/>
                <w:webHidden/>
              </w:rPr>
            </w:r>
            <w:r w:rsidR="001030D5">
              <w:rPr>
                <w:noProof/>
                <w:webHidden/>
              </w:rPr>
              <w:fldChar w:fldCharType="separate"/>
            </w:r>
            <w:r w:rsidR="001030D5">
              <w:rPr>
                <w:noProof/>
                <w:webHidden/>
              </w:rPr>
              <w:t>10</w:t>
            </w:r>
            <w:r w:rsidR="001030D5">
              <w:rPr>
                <w:noProof/>
                <w:webHidden/>
              </w:rPr>
              <w:fldChar w:fldCharType="end"/>
            </w:r>
          </w:hyperlink>
        </w:p>
        <w:p w14:paraId="243784F0" w14:textId="77777777" w:rsidR="001030D5" w:rsidRDefault="005253F3">
          <w:pPr>
            <w:pStyle w:val="Kazalovsebine2"/>
            <w:rPr>
              <w:rFonts w:cstheme="minorBidi"/>
              <w:noProof/>
            </w:rPr>
          </w:pPr>
          <w:hyperlink w:anchor="_Toc140746437" w:history="1">
            <w:r w:rsidR="001030D5" w:rsidRPr="00353D2A">
              <w:rPr>
                <w:rStyle w:val="Hiperpovezava"/>
                <w:noProof/>
                <w:lang w:val="en-GB"/>
              </w:rPr>
              <w:t>3.2 Granting radio spectrum for the construction of 5G networks and the deployment of 5G technology</w:t>
            </w:r>
            <w:r w:rsidR="001030D5">
              <w:rPr>
                <w:noProof/>
                <w:webHidden/>
              </w:rPr>
              <w:tab/>
            </w:r>
            <w:r w:rsidR="001030D5">
              <w:rPr>
                <w:noProof/>
                <w:webHidden/>
              </w:rPr>
              <w:fldChar w:fldCharType="begin"/>
            </w:r>
            <w:r w:rsidR="001030D5">
              <w:rPr>
                <w:noProof/>
                <w:webHidden/>
              </w:rPr>
              <w:instrText xml:space="preserve"> PAGEREF _Toc140746437 \h </w:instrText>
            </w:r>
            <w:r w:rsidR="001030D5">
              <w:rPr>
                <w:noProof/>
                <w:webHidden/>
              </w:rPr>
            </w:r>
            <w:r w:rsidR="001030D5">
              <w:rPr>
                <w:noProof/>
                <w:webHidden/>
              </w:rPr>
              <w:fldChar w:fldCharType="separate"/>
            </w:r>
            <w:r w:rsidR="001030D5">
              <w:rPr>
                <w:noProof/>
                <w:webHidden/>
              </w:rPr>
              <w:t>14</w:t>
            </w:r>
            <w:r w:rsidR="001030D5">
              <w:rPr>
                <w:noProof/>
                <w:webHidden/>
              </w:rPr>
              <w:fldChar w:fldCharType="end"/>
            </w:r>
          </w:hyperlink>
        </w:p>
        <w:p w14:paraId="00F3C2EF" w14:textId="77777777" w:rsidR="001030D5" w:rsidRDefault="005253F3">
          <w:pPr>
            <w:pStyle w:val="Kazalovsebine2"/>
            <w:rPr>
              <w:rFonts w:cstheme="minorBidi"/>
              <w:noProof/>
            </w:rPr>
          </w:pPr>
          <w:hyperlink w:anchor="_Toc140746438" w:history="1">
            <w:r w:rsidR="001030D5" w:rsidRPr="00353D2A">
              <w:rPr>
                <w:rStyle w:val="Hiperpovezava"/>
                <w:noProof/>
                <w:lang w:val="en-GB"/>
              </w:rPr>
              <w:t>3.3 Comparing connectivity in Slovenia with the EU average</w:t>
            </w:r>
            <w:r w:rsidR="001030D5">
              <w:rPr>
                <w:noProof/>
                <w:webHidden/>
              </w:rPr>
              <w:tab/>
            </w:r>
            <w:r w:rsidR="001030D5">
              <w:rPr>
                <w:noProof/>
                <w:webHidden/>
              </w:rPr>
              <w:fldChar w:fldCharType="begin"/>
            </w:r>
            <w:r w:rsidR="001030D5">
              <w:rPr>
                <w:noProof/>
                <w:webHidden/>
              </w:rPr>
              <w:instrText xml:space="preserve"> PAGEREF _Toc140746438 \h </w:instrText>
            </w:r>
            <w:r w:rsidR="001030D5">
              <w:rPr>
                <w:noProof/>
                <w:webHidden/>
              </w:rPr>
            </w:r>
            <w:r w:rsidR="001030D5">
              <w:rPr>
                <w:noProof/>
                <w:webHidden/>
              </w:rPr>
              <w:fldChar w:fldCharType="separate"/>
            </w:r>
            <w:r w:rsidR="001030D5">
              <w:rPr>
                <w:noProof/>
                <w:webHidden/>
              </w:rPr>
              <w:t>17</w:t>
            </w:r>
            <w:r w:rsidR="001030D5">
              <w:rPr>
                <w:noProof/>
                <w:webHidden/>
              </w:rPr>
              <w:fldChar w:fldCharType="end"/>
            </w:r>
          </w:hyperlink>
        </w:p>
        <w:p w14:paraId="2289F2D7" w14:textId="77777777" w:rsidR="001030D5" w:rsidRDefault="005253F3">
          <w:pPr>
            <w:pStyle w:val="Kazalovsebine1"/>
            <w:rPr>
              <w:rFonts w:asciiTheme="minorHAnsi" w:hAnsiTheme="minorHAnsi" w:cstheme="minorBidi"/>
            </w:rPr>
          </w:pPr>
          <w:hyperlink w:anchor="_Toc140746439" w:history="1">
            <w:r w:rsidR="001030D5" w:rsidRPr="00353D2A">
              <w:rPr>
                <w:rStyle w:val="Hiperpovezava"/>
              </w:rPr>
              <w:t>4</w:t>
            </w:r>
            <w:r w:rsidR="001030D5">
              <w:rPr>
                <w:rFonts w:asciiTheme="minorHAnsi" w:hAnsiTheme="minorHAnsi" w:cstheme="minorBidi"/>
              </w:rPr>
              <w:tab/>
            </w:r>
            <w:r w:rsidR="001030D5" w:rsidRPr="00353D2A">
              <w:rPr>
                <w:rStyle w:val="Hiperpovezava"/>
                <w:bCs/>
                <w:lang w:val="en-GB"/>
              </w:rPr>
              <w:t>SLOVENIA’S STRATEGIC OBJECTIVES FOR GIGABIT INFRASTRUCTURE DEVELOPMENT</w:t>
            </w:r>
            <w:r w:rsidR="001030D5">
              <w:rPr>
                <w:webHidden/>
              </w:rPr>
              <w:tab/>
            </w:r>
            <w:r w:rsidR="001030D5">
              <w:rPr>
                <w:webHidden/>
              </w:rPr>
              <w:fldChar w:fldCharType="begin"/>
            </w:r>
            <w:r w:rsidR="001030D5">
              <w:rPr>
                <w:webHidden/>
              </w:rPr>
              <w:instrText xml:space="preserve"> PAGEREF _Toc140746439 \h </w:instrText>
            </w:r>
            <w:r w:rsidR="001030D5">
              <w:rPr>
                <w:webHidden/>
              </w:rPr>
            </w:r>
            <w:r w:rsidR="001030D5">
              <w:rPr>
                <w:webHidden/>
              </w:rPr>
              <w:fldChar w:fldCharType="separate"/>
            </w:r>
            <w:r w:rsidR="001030D5">
              <w:rPr>
                <w:webHidden/>
              </w:rPr>
              <w:t>19</w:t>
            </w:r>
            <w:r w:rsidR="001030D5">
              <w:rPr>
                <w:webHidden/>
              </w:rPr>
              <w:fldChar w:fldCharType="end"/>
            </w:r>
          </w:hyperlink>
        </w:p>
        <w:p w14:paraId="2135D56F" w14:textId="77777777" w:rsidR="001030D5" w:rsidRDefault="005253F3">
          <w:pPr>
            <w:pStyle w:val="Kazalovsebine1"/>
            <w:rPr>
              <w:rFonts w:asciiTheme="minorHAnsi" w:hAnsiTheme="minorHAnsi" w:cstheme="minorBidi"/>
            </w:rPr>
          </w:pPr>
          <w:hyperlink w:anchor="_Toc140746440" w:history="1">
            <w:r w:rsidR="001030D5" w:rsidRPr="00353D2A">
              <w:rPr>
                <w:rStyle w:val="Hiperpovezava"/>
              </w:rPr>
              <w:t>5</w:t>
            </w:r>
            <w:r w:rsidR="001030D5">
              <w:rPr>
                <w:rFonts w:asciiTheme="minorHAnsi" w:hAnsiTheme="minorHAnsi" w:cstheme="minorBidi"/>
              </w:rPr>
              <w:tab/>
            </w:r>
            <w:r w:rsidR="001030D5" w:rsidRPr="00353D2A">
              <w:rPr>
                <w:rStyle w:val="Hiperpovezava"/>
                <w:bCs/>
                <w:lang w:val="en-GB"/>
              </w:rPr>
              <w:t>PLANNED INVESTMENT TO ACHIEVE OBJECTIVES</w:t>
            </w:r>
            <w:r w:rsidR="001030D5">
              <w:rPr>
                <w:webHidden/>
              </w:rPr>
              <w:tab/>
            </w:r>
            <w:r w:rsidR="001030D5">
              <w:rPr>
                <w:webHidden/>
              </w:rPr>
              <w:fldChar w:fldCharType="begin"/>
            </w:r>
            <w:r w:rsidR="001030D5">
              <w:rPr>
                <w:webHidden/>
              </w:rPr>
              <w:instrText xml:space="preserve"> PAGEREF _Toc140746440 \h </w:instrText>
            </w:r>
            <w:r w:rsidR="001030D5">
              <w:rPr>
                <w:webHidden/>
              </w:rPr>
            </w:r>
            <w:r w:rsidR="001030D5">
              <w:rPr>
                <w:webHidden/>
              </w:rPr>
              <w:fldChar w:fldCharType="separate"/>
            </w:r>
            <w:r w:rsidR="001030D5">
              <w:rPr>
                <w:webHidden/>
              </w:rPr>
              <w:t>19</w:t>
            </w:r>
            <w:r w:rsidR="001030D5">
              <w:rPr>
                <w:webHidden/>
              </w:rPr>
              <w:fldChar w:fldCharType="end"/>
            </w:r>
          </w:hyperlink>
        </w:p>
        <w:p w14:paraId="2949D290" w14:textId="77777777" w:rsidR="001030D5" w:rsidRDefault="005253F3">
          <w:pPr>
            <w:pStyle w:val="Kazalovsebine2"/>
            <w:rPr>
              <w:rFonts w:cstheme="minorBidi"/>
              <w:noProof/>
            </w:rPr>
          </w:pPr>
          <w:hyperlink w:anchor="_Toc140746441" w:history="1">
            <w:r w:rsidR="001030D5" w:rsidRPr="00353D2A">
              <w:rPr>
                <w:rStyle w:val="Hiperpovezava"/>
                <w:noProof/>
                <w:lang w:val="en-GB"/>
              </w:rPr>
              <w:t>5.1 Strategic definition</w:t>
            </w:r>
            <w:r w:rsidR="001030D5">
              <w:rPr>
                <w:noProof/>
                <w:webHidden/>
              </w:rPr>
              <w:tab/>
            </w:r>
            <w:r w:rsidR="001030D5">
              <w:rPr>
                <w:noProof/>
                <w:webHidden/>
              </w:rPr>
              <w:fldChar w:fldCharType="begin"/>
            </w:r>
            <w:r w:rsidR="001030D5">
              <w:rPr>
                <w:noProof/>
                <w:webHidden/>
              </w:rPr>
              <w:instrText xml:space="preserve"> PAGEREF _Toc140746441 \h </w:instrText>
            </w:r>
            <w:r w:rsidR="001030D5">
              <w:rPr>
                <w:noProof/>
                <w:webHidden/>
              </w:rPr>
            </w:r>
            <w:r w:rsidR="001030D5">
              <w:rPr>
                <w:noProof/>
                <w:webHidden/>
              </w:rPr>
              <w:fldChar w:fldCharType="separate"/>
            </w:r>
            <w:r w:rsidR="001030D5">
              <w:rPr>
                <w:noProof/>
                <w:webHidden/>
              </w:rPr>
              <w:t>20</w:t>
            </w:r>
            <w:r w:rsidR="001030D5">
              <w:rPr>
                <w:noProof/>
                <w:webHidden/>
              </w:rPr>
              <w:fldChar w:fldCharType="end"/>
            </w:r>
          </w:hyperlink>
        </w:p>
        <w:p w14:paraId="101FA83C" w14:textId="77777777" w:rsidR="001030D5" w:rsidRDefault="005253F3">
          <w:pPr>
            <w:pStyle w:val="Kazalovsebine2"/>
            <w:rPr>
              <w:rFonts w:cstheme="minorBidi"/>
              <w:noProof/>
            </w:rPr>
          </w:pPr>
          <w:hyperlink w:anchor="_Toc140746442" w:history="1">
            <w:r w:rsidR="001030D5" w:rsidRPr="00353D2A">
              <w:rPr>
                <w:rStyle w:val="Hiperpovezava"/>
                <w:noProof/>
                <w:lang w:val="en-GB"/>
              </w:rPr>
              <w:t>5.2 Assessment of the investment gap</w:t>
            </w:r>
            <w:r w:rsidR="001030D5">
              <w:rPr>
                <w:noProof/>
                <w:webHidden/>
              </w:rPr>
              <w:tab/>
            </w:r>
            <w:r w:rsidR="001030D5">
              <w:rPr>
                <w:noProof/>
                <w:webHidden/>
              </w:rPr>
              <w:fldChar w:fldCharType="begin"/>
            </w:r>
            <w:r w:rsidR="001030D5">
              <w:rPr>
                <w:noProof/>
                <w:webHidden/>
              </w:rPr>
              <w:instrText xml:space="preserve"> PAGEREF _Toc140746442 \h </w:instrText>
            </w:r>
            <w:r w:rsidR="001030D5">
              <w:rPr>
                <w:noProof/>
                <w:webHidden/>
              </w:rPr>
            </w:r>
            <w:r w:rsidR="001030D5">
              <w:rPr>
                <w:noProof/>
                <w:webHidden/>
              </w:rPr>
              <w:fldChar w:fldCharType="separate"/>
            </w:r>
            <w:r w:rsidR="001030D5">
              <w:rPr>
                <w:noProof/>
                <w:webHidden/>
              </w:rPr>
              <w:t>22</w:t>
            </w:r>
            <w:r w:rsidR="001030D5">
              <w:rPr>
                <w:noProof/>
                <w:webHidden/>
              </w:rPr>
              <w:fldChar w:fldCharType="end"/>
            </w:r>
          </w:hyperlink>
        </w:p>
        <w:p w14:paraId="2985AD53" w14:textId="77777777" w:rsidR="001030D5" w:rsidRDefault="005253F3">
          <w:pPr>
            <w:pStyle w:val="Kazalovsebine1"/>
            <w:rPr>
              <w:rFonts w:asciiTheme="minorHAnsi" w:hAnsiTheme="minorHAnsi" w:cstheme="minorBidi"/>
            </w:rPr>
          </w:pPr>
          <w:hyperlink w:anchor="_Toc140746443" w:history="1">
            <w:r w:rsidR="001030D5" w:rsidRPr="00353D2A">
              <w:rPr>
                <w:rStyle w:val="Hiperpovezava"/>
              </w:rPr>
              <w:t>6</w:t>
            </w:r>
            <w:r w:rsidR="001030D5">
              <w:rPr>
                <w:rFonts w:asciiTheme="minorHAnsi" w:hAnsiTheme="minorHAnsi" w:cstheme="minorBidi"/>
              </w:rPr>
              <w:tab/>
            </w:r>
            <w:r w:rsidR="001030D5" w:rsidRPr="00353D2A">
              <w:rPr>
                <w:rStyle w:val="Hiperpovezava"/>
                <w:bCs/>
                <w:lang w:val="en-GB"/>
              </w:rPr>
              <w:t>MEASURES TO ACHIEVE THE OBJECTIVES</w:t>
            </w:r>
            <w:r w:rsidR="001030D5">
              <w:rPr>
                <w:webHidden/>
              </w:rPr>
              <w:tab/>
            </w:r>
            <w:r w:rsidR="001030D5">
              <w:rPr>
                <w:webHidden/>
              </w:rPr>
              <w:fldChar w:fldCharType="begin"/>
            </w:r>
            <w:r w:rsidR="001030D5">
              <w:rPr>
                <w:webHidden/>
              </w:rPr>
              <w:instrText xml:space="preserve"> PAGEREF _Toc140746443 \h </w:instrText>
            </w:r>
            <w:r w:rsidR="001030D5">
              <w:rPr>
                <w:webHidden/>
              </w:rPr>
            </w:r>
            <w:r w:rsidR="001030D5">
              <w:rPr>
                <w:webHidden/>
              </w:rPr>
              <w:fldChar w:fldCharType="separate"/>
            </w:r>
            <w:r w:rsidR="001030D5">
              <w:rPr>
                <w:webHidden/>
              </w:rPr>
              <w:t>24</w:t>
            </w:r>
            <w:r w:rsidR="001030D5">
              <w:rPr>
                <w:webHidden/>
              </w:rPr>
              <w:fldChar w:fldCharType="end"/>
            </w:r>
          </w:hyperlink>
        </w:p>
        <w:p w14:paraId="085708BC" w14:textId="77777777" w:rsidR="001030D5" w:rsidRDefault="005253F3">
          <w:pPr>
            <w:pStyle w:val="Kazalovsebine2"/>
            <w:rPr>
              <w:rFonts w:cstheme="minorBidi"/>
              <w:noProof/>
            </w:rPr>
          </w:pPr>
          <w:hyperlink w:anchor="_Toc140746444" w:history="1">
            <w:r w:rsidR="001030D5" w:rsidRPr="00353D2A">
              <w:rPr>
                <w:rStyle w:val="Hiperpovezava"/>
                <w:noProof/>
                <w:lang w:val="en-GB"/>
              </w:rPr>
              <w:t>6.1 Legislative measures</w:t>
            </w:r>
            <w:r w:rsidR="001030D5">
              <w:rPr>
                <w:noProof/>
                <w:webHidden/>
              </w:rPr>
              <w:tab/>
            </w:r>
            <w:r w:rsidR="001030D5">
              <w:rPr>
                <w:noProof/>
                <w:webHidden/>
              </w:rPr>
              <w:fldChar w:fldCharType="begin"/>
            </w:r>
            <w:r w:rsidR="001030D5">
              <w:rPr>
                <w:noProof/>
                <w:webHidden/>
              </w:rPr>
              <w:instrText xml:space="preserve"> PAGEREF _Toc140746444 \h </w:instrText>
            </w:r>
            <w:r w:rsidR="001030D5">
              <w:rPr>
                <w:noProof/>
                <w:webHidden/>
              </w:rPr>
            </w:r>
            <w:r w:rsidR="001030D5">
              <w:rPr>
                <w:noProof/>
                <w:webHidden/>
              </w:rPr>
              <w:fldChar w:fldCharType="separate"/>
            </w:r>
            <w:r w:rsidR="001030D5">
              <w:rPr>
                <w:noProof/>
                <w:webHidden/>
              </w:rPr>
              <w:t>24</w:t>
            </w:r>
            <w:r w:rsidR="001030D5">
              <w:rPr>
                <w:noProof/>
                <w:webHidden/>
              </w:rPr>
              <w:fldChar w:fldCharType="end"/>
            </w:r>
          </w:hyperlink>
        </w:p>
        <w:p w14:paraId="0DF6B947" w14:textId="77777777" w:rsidR="001030D5" w:rsidRDefault="005253F3">
          <w:pPr>
            <w:pStyle w:val="Kazalovsebine3"/>
            <w:rPr>
              <w:rFonts w:cstheme="minorBidi"/>
            </w:rPr>
          </w:pPr>
          <w:hyperlink w:anchor="_Toc140746445" w:history="1">
            <w:r w:rsidR="001030D5" w:rsidRPr="00353D2A">
              <w:rPr>
                <w:rStyle w:val="Hiperpovezava"/>
                <w:rFonts w:ascii="Century Gothic" w:hAnsi="Century Gothic"/>
                <w:lang w:val="en-GB"/>
              </w:rPr>
              <w:t>6.1.1 Transposition of Directive (EU) 2018/1972 establishing the European Electronic Communications Code</w:t>
            </w:r>
            <w:r w:rsidR="001030D5">
              <w:rPr>
                <w:webHidden/>
              </w:rPr>
              <w:tab/>
            </w:r>
            <w:r w:rsidR="001030D5">
              <w:rPr>
                <w:webHidden/>
              </w:rPr>
              <w:fldChar w:fldCharType="begin"/>
            </w:r>
            <w:r w:rsidR="001030D5">
              <w:rPr>
                <w:webHidden/>
              </w:rPr>
              <w:instrText xml:space="preserve"> PAGEREF _Toc140746445 \h </w:instrText>
            </w:r>
            <w:r w:rsidR="001030D5">
              <w:rPr>
                <w:webHidden/>
              </w:rPr>
            </w:r>
            <w:r w:rsidR="001030D5">
              <w:rPr>
                <w:webHidden/>
              </w:rPr>
              <w:fldChar w:fldCharType="separate"/>
            </w:r>
            <w:r w:rsidR="001030D5">
              <w:rPr>
                <w:webHidden/>
              </w:rPr>
              <w:t>24</w:t>
            </w:r>
            <w:r w:rsidR="001030D5">
              <w:rPr>
                <w:webHidden/>
              </w:rPr>
              <w:fldChar w:fldCharType="end"/>
            </w:r>
          </w:hyperlink>
        </w:p>
        <w:p w14:paraId="4D2E91A0" w14:textId="77777777" w:rsidR="001030D5" w:rsidRDefault="005253F3">
          <w:pPr>
            <w:pStyle w:val="Kazalovsebine3"/>
            <w:rPr>
              <w:rFonts w:cstheme="minorBidi"/>
            </w:rPr>
          </w:pPr>
          <w:hyperlink w:anchor="_Toc140746446" w:history="1">
            <w:r w:rsidR="001030D5" w:rsidRPr="00353D2A">
              <w:rPr>
                <w:rStyle w:val="Hiperpovezava"/>
                <w:rFonts w:ascii="Century Gothic" w:hAnsi="Century Gothic"/>
                <w:lang w:val="en-GB"/>
              </w:rPr>
              <w:t>6.1.2 The transposition of Directive 2014/61/EU on measures to reduce the cost of deploying high-speed electronic communications networks</w:t>
            </w:r>
            <w:r w:rsidR="001030D5">
              <w:rPr>
                <w:webHidden/>
              </w:rPr>
              <w:tab/>
            </w:r>
            <w:r w:rsidR="001030D5">
              <w:rPr>
                <w:webHidden/>
              </w:rPr>
              <w:fldChar w:fldCharType="begin"/>
            </w:r>
            <w:r w:rsidR="001030D5">
              <w:rPr>
                <w:webHidden/>
              </w:rPr>
              <w:instrText xml:space="preserve"> PAGEREF _Toc140746446 \h </w:instrText>
            </w:r>
            <w:r w:rsidR="001030D5">
              <w:rPr>
                <w:webHidden/>
              </w:rPr>
            </w:r>
            <w:r w:rsidR="001030D5">
              <w:rPr>
                <w:webHidden/>
              </w:rPr>
              <w:fldChar w:fldCharType="separate"/>
            </w:r>
            <w:r w:rsidR="001030D5">
              <w:rPr>
                <w:webHidden/>
              </w:rPr>
              <w:t>25</w:t>
            </w:r>
            <w:r w:rsidR="001030D5">
              <w:rPr>
                <w:webHidden/>
              </w:rPr>
              <w:fldChar w:fldCharType="end"/>
            </w:r>
          </w:hyperlink>
        </w:p>
        <w:p w14:paraId="0E958B7F" w14:textId="77777777" w:rsidR="001030D5" w:rsidRDefault="005253F3">
          <w:pPr>
            <w:pStyle w:val="Kazalovsebine3"/>
            <w:rPr>
              <w:rFonts w:cstheme="minorBidi"/>
            </w:rPr>
          </w:pPr>
          <w:hyperlink w:anchor="_Toc140746447" w:history="1">
            <w:r w:rsidR="001030D5" w:rsidRPr="00353D2A">
              <w:rPr>
                <w:rStyle w:val="Hiperpovezava"/>
                <w:rFonts w:ascii="Century Gothic" w:hAnsi="Century Gothic"/>
                <w:lang w:val="en-GB"/>
              </w:rPr>
              <w:t>6.1.3 The allocation of radio spectrum in Slovenia and measures to ensure adequate radio spectrum coverage</w:t>
            </w:r>
            <w:r w:rsidR="001030D5">
              <w:rPr>
                <w:webHidden/>
              </w:rPr>
              <w:tab/>
            </w:r>
            <w:r w:rsidR="001030D5">
              <w:rPr>
                <w:webHidden/>
              </w:rPr>
              <w:fldChar w:fldCharType="begin"/>
            </w:r>
            <w:r w:rsidR="001030D5">
              <w:rPr>
                <w:webHidden/>
              </w:rPr>
              <w:instrText xml:space="preserve"> PAGEREF _Toc140746447 \h </w:instrText>
            </w:r>
            <w:r w:rsidR="001030D5">
              <w:rPr>
                <w:webHidden/>
              </w:rPr>
            </w:r>
            <w:r w:rsidR="001030D5">
              <w:rPr>
                <w:webHidden/>
              </w:rPr>
              <w:fldChar w:fldCharType="separate"/>
            </w:r>
            <w:r w:rsidR="001030D5">
              <w:rPr>
                <w:webHidden/>
              </w:rPr>
              <w:t>26</w:t>
            </w:r>
            <w:r w:rsidR="001030D5">
              <w:rPr>
                <w:webHidden/>
              </w:rPr>
              <w:fldChar w:fldCharType="end"/>
            </w:r>
          </w:hyperlink>
        </w:p>
        <w:p w14:paraId="1A153332" w14:textId="77777777" w:rsidR="001030D5" w:rsidRDefault="005253F3">
          <w:pPr>
            <w:pStyle w:val="Kazalovsebine3"/>
            <w:rPr>
              <w:rFonts w:cstheme="minorBidi"/>
            </w:rPr>
          </w:pPr>
          <w:hyperlink w:anchor="_Toc140746448" w:history="1">
            <w:r w:rsidR="001030D5" w:rsidRPr="00353D2A">
              <w:rPr>
                <w:rStyle w:val="Hiperpovezava"/>
                <w:rFonts w:ascii="Century Gothic" w:hAnsi="Century Gothic"/>
                <w:lang w:val="en-GB"/>
              </w:rPr>
              <w:t>6.1.4 Additional measures in connection with 5G networks</w:t>
            </w:r>
            <w:r w:rsidR="001030D5">
              <w:rPr>
                <w:webHidden/>
              </w:rPr>
              <w:tab/>
            </w:r>
            <w:r w:rsidR="001030D5">
              <w:rPr>
                <w:webHidden/>
              </w:rPr>
              <w:fldChar w:fldCharType="begin"/>
            </w:r>
            <w:r w:rsidR="001030D5">
              <w:rPr>
                <w:webHidden/>
              </w:rPr>
              <w:instrText xml:space="preserve"> PAGEREF _Toc140746448 \h </w:instrText>
            </w:r>
            <w:r w:rsidR="001030D5">
              <w:rPr>
                <w:webHidden/>
              </w:rPr>
            </w:r>
            <w:r w:rsidR="001030D5">
              <w:rPr>
                <w:webHidden/>
              </w:rPr>
              <w:fldChar w:fldCharType="separate"/>
            </w:r>
            <w:r w:rsidR="001030D5">
              <w:rPr>
                <w:webHidden/>
              </w:rPr>
              <w:t>27</w:t>
            </w:r>
            <w:r w:rsidR="001030D5">
              <w:rPr>
                <w:webHidden/>
              </w:rPr>
              <w:fldChar w:fldCharType="end"/>
            </w:r>
          </w:hyperlink>
        </w:p>
        <w:p w14:paraId="3A59D783" w14:textId="77777777" w:rsidR="001030D5" w:rsidRDefault="005253F3">
          <w:pPr>
            <w:pStyle w:val="Kazalovsebine3"/>
            <w:rPr>
              <w:rFonts w:cstheme="minorBidi"/>
            </w:rPr>
          </w:pPr>
          <w:hyperlink w:anchor="_Toc140746449" w:history="1">
            <w:r w:rsidR="001030D5" w:rsidRPr="00353D2A">
              <w:rPr>
                <w:rStyle w:val="Hiperpovezava"/>
                <w:rFonts w:ascii="Century Gothic" w:hAnsi="Century Gothic"/>
                <w:lang w:val="en-GB"/>
              </w:rPr>
              <w:t>6.1.5 Compliance with EU state aid rules</w:t>
            </w:r>
            <w:r w:rsidR="001030D5">
              <w:rPr>
                <w:webHidden/>
              </w:rPr>
              <w:tab/>
            </w:r>
            <w:r w:rsidR="001030D5">
              <w:rPr>
                <w:webHidden/>
              </w:rPr>
              <w:fldChar w:fldCharType="begin"/>
            </w:r>
            <w:r w:rsidR="001030D5">
              <w:rPr>
                <w:webHidden/>
              </w:rPr>
              <w:instrText xml:space="preserve"> PAGEREF _Toc140746449 \h </w:instrText>
            </w:r>
            <w:r w:rsidR="001030D5">
              <w:rPr>
                <w:webHidden/>
              </w:rPr>
            </w:r>
            <w:r w:rsidR="001030D5">
              <w:rPr>
                <w:webHidden/>
              </w:rPr>
              <w:fldChar w:fldCharType="separate"/>
            </w:r>
            <w:r w:rsidR="001030D5">
              <w:rPr>
                <w:webHidden/>
              </w:rPr>
              <w:t>28</w:t>
            </w:r>
            <w:r w:rsidR="001030D5">
              <w:rPr>
                <w:webHidden/>
              </w:rPr>
              <w:fldChar w:fldCharType="end"/>
            </w:r>
          </w:hyperlink>
        </w:p>
        <w:p w14:paraId="23AD87F8" w14:textId="77777777" w:rsidR="001030D5" w:rsidRDefault="005253F3">
          <w:pPr>
            <w:pStyle w:val="Kazalovsebine2"/>
            <w:rPr>
              <w:rFonts w:cstheme="minorBidi"/>
              <w:noProof/>
            </w:rPr>
          </w:pPr>
          <w:hyperlink w:anchor="_Toc140746450" w:history="1">
            <w:r w:rsidR="001030D5" w:rsidRPr="00353D2A">
              <w:rPr>
                <w:rStyle w:val="Hiperpovezava"/>
                <w:noProof/>
                <w:lang w:val="en-GB"/>
              </w:rPr>
              <w:t>6.2 Strategic measures</w:t>
            </w:r>
            <w:r w:rsidR="001030D5">
              <w:rPr>
                <w:noProof/>
                <w:webHidden/>
              </w:rPr>
              <w:tab/>
            </w:r>
            <w:r w:rsidR="001030D5">
              <w:rPr>
                <w:noProof/>
                <w:webHidden/>
              </w:rPr>
              <w:fldChar w:fldCharType="begin"/>
            </w:r>
            <w:r w:rsidR="001030D5">
              <w:rPr>
                <w:noProof/>
                <w:webHidden/>
              </w:rPr>
              <w:instrText xml:space="preserve"> PAGEREF _Toc140746450 \h </w:instrText>
            </w:r>
            <w:r w:rsidR="001030D5">
              <w:rPr>
                <w:noProof/>
                <w:webHidden/>
              </w:rPr>
            </w:r>
            <w:r w:rsidR="001030D5">
              <w:rPr>
                <w:noProof/>
                <w:webHidden/>
              </w:rPr>
              <w:fldChar w:fldCharType="separate"/>
            </w:r>
            <w:r w:rsidR="001030D5">
              <w:rPr>
                <w:noProof/>
                <w:webHidden/>
              </w:rPr>
              <w:t>29</w:t>
            </w:r>
            <w:r w:rsidR="001030D5">
              <w:rPr>
                <w:noProof/>
                <w:webHidden/>
              </w:rPr>
              <w:fldChar w:fldCharType="end"/>
            </w:r>
          </w:hyperlink>
        </w:p>
        <w:p w14:paraId="53460498" w14:textId="77777777" w:rsidR="001030D5" w:rsidRDefault="005253F3">
          <w:pPr>
            <w:pStyle w:val="Kazalovsebine3"/>
            <w:rPr>
              <w:rFonts w:cstheme="minorBidi"/>
            </w:rPr>
          </w:pPr>
          <w:hyperlink w:anchor="_Toc140746451" w:history="1">
            <w:r w:rsidR="001030D5" w:rsidRPr="00353D2A">
              <w:rPr>
                <w:rStyle w:val="Hiperpovezava"/>
                <w:rFonts w:ascii="Century Gothic" w:hAnsi="Century Gothic"/>
                <w:lang w:val="en-GB"/>
              </w:rPr>
              <w:t>6.2.1 Mapping of infrastructure</w:t>
            </w:r>
            <w:r w:rsidR="001030D5">
              <w:rPr>
                <w:webHidden/>
              </w:rPr>
              <w:tab/>
            </w:r>
            <w:r w:rsidR="001030D5">
              <w:rPr>
                <w:webHidden/>
              </w:rPr>
              <w:fldChar w:fldCharType="begin"/>
            </w:r>
            <w:r w:rsidR="001030D5">
              <w:rPr>
                <w:webHidden/>
              </w:rPr>
              <w:instrText xml:space="preserve"> PAGEREF _Toc140746451 \h </w:instrText>
            </w:r>
            <w:r w:rsidR="001030D5">
              <w:rPr>
                <w:webHidden/>
              </w:rPr>
            </w:r>
            <w:r w:rsidR="001030D5">
              <w:rPr>
                <w:webHidden/>
              </w:rPr>
              <w:fldChar w:fldCharType="separate"/>
            </w:r>
            <w:r w:rsidR="001030D5">
              <w:rPr>
                <w:webHidden/>
              </w:rPr>
              <w:t>29</w:t>
            </w:r>
            <w:r w:rsidR="001030D5">
              <w:rPr>
                <w:webHidden/>
              </w:rPr>
              <w:fldChar w:fldCharType="end"/>
            </w:r>
          </w:hyperlink>
        </w:p>
        <w:p w14:paraId="402B0A58" w14:textId="77777777" w:rsidR="001030D5" w:rsidRDefault="005253F3">
          <w:pPr>
            <w:pStyle w:val="Kazalovsebine3"/>
            <w:rPr>
              <w:rFonts w:cstheme="minorBidi"/>
            </w:rPr>
          </w:pPr>
          <w:hyperlink w:anchor="_Toc140746452" w:history="1">
            <w:r w:rsidR="001030D5" w:rsidRPr="00353D2A">
              <w:rPr>
                <w:rStyle w:val="Hiperpovezava"/>
                <w:rFonts w:ascii="Century Gothic" w:hAnsi="Century Gothic"/>
                <w:lang w:val="en-GB"/>
              </w:rPr>
              <w:t>6.2.2 Demand stimulation and the promotion of digitalisation and digital transformation</w:t>
            </w:r>
            <w:r w:rsidR="001030D5">
              <w:rPr>
                <w:webHidden/>
              </w:rPr>
              <w:tab/>
            </w:r>
            <w:r w:rsidR="001030D5">
              <w:rPr>
                <w:webHidden/>
              </w:rPr>
              <w:fldChar w:fldCharType="begin"/>
            </w:r>
            <w:r w:rsidR="001030D5">
              <w:rPr>
                <w:webHidden/>
              </w:rPr>
              <w:instrText xml:space="preserve"> PAGEREF _Toc140746452 \h </w:instrText>
            </w:r>
            <w:r w:rsidR="001030D5">
              <w:rPr>
                <w:webHidden/>
              </w:rPr>
            </w:r>
            <w:r w:rsidR="001030D5">
              <w:rPr>
                <w:webHidden/>
              </w:rPr>
              <w:fldChar w:fldCharType="separate"/>
            </w:r>
            <w:r w:rsidR="001030D5">
              <w:rPr>
                <w:webHidden/>
              </w:rPr>
              <w:t>30</w:t>
            </w:r>
            <w:r w:rsidR="001030D5">
              <w:rPr>
                <w:webHidden/>
              </w:rPr>
              <w:fldChar w:fldCharType="end"/>
            </w:r>
          </w:hyperlink>
        </w:p>
        <w:p w14:paraId="4E38A49D" w14:textId="77777777" w:rsidR="001030D5" w:rsidRDefault="005253F3">
          <w:pPr>
            <w:pStyle w:val="Kazalovsebine3"/>
            <w:rPr>
              <w:rFonts w:cstheme="minorBidi"/>
            </w:rPr>
          </w:pPr>
          <w:hyperlink w:anchor="_Toc140746453" w:history="1">
            <w:r w:rsidR="001030D5" w:rsidRPr="00353D2A">
              <w:rPr>
                <w:rStyle w:val="Hiperpovezava"/>
                <w:rFonts w:ascii="Century Gothic" w:hAnsi="Century Gothic"/>
                <w:lang w:val="en-GB"/>
              </w:rPr>
              <w:t>6.2.3 The provision of universal service</w:t>
            </w:r>
            <w:r w:rsidR="001030D5">
              <w:rPr>
                <w:webHidden/>
              </w:rPr>
              <w:tab/>
            </w:r>
            <w:r w:rsidR="001030D5">
              <w:rPr>
                <w:webHidden/>
              </w:rPr>
              <w:fldChar w:fldCharType="begin"/>
            </w:r>
            <w:r w:rsidR="001030D5">
              <w:rPr>
                <w:webHidden/>
              </w:rPr>
              <w:instrText xml:space="preserve"> PAGEREF _Toc140746453 \h </w:instrText>
            </w:r>
            <w:r w:rsidR="001030D5">
              <w:rPr>
                <w:webHidden/>
              </w:rPr>
            </w:r>
            <w:r w:rsidR="001030D5">
              <w:rPr>
                <w:webHidden/>
              </w:rPr>
              <w:fldChar w:fldCharType="separate"/>
            </w:r>
            <w:r w:rsidR="001030D5">
              <w:rPr>
                <w:webHidden/>
              </w:rPr>
              <w:t>30</w:t>
            </w:r>
            <w:r w:rsidR="001030D5">
              <w:rPr>
                <w:webHidden/>
              </w:rPr>
              <w:fldChar w:fldCharType="end"/>
            </w:r>
          </w:hyperlink>
        </w:p>
        <w:p w14:paraId="6E100249" w14:textId="77777777" w:rsidR="001030D5" w:rsidRDefault="005253F3">
          <w:pPr>
            <w:pStyle w:val="Kazalovsebine3"/>
            <w:rPr>
              <w:rFonts w:cstheme="minorBidi"/>
            </w:rPr>
          </w:pPr>
          <w:hyperlink w:anchor="_Toc140746454" w:history="1">
            <w:r w:rsidR="001030D5" w:rsidRPr="00353D2A">
              <w:rPr>
                <w:rStyle w:val="Hiperpovezava"/>
                <w:rFonts w:ascii="Century Gothic" w:hAnsi="Century Gothic"/>
                <w:lang w:val="en-GB"/>
              </w:rPr>
              <w:t>6.2.4 Toolbox for reducing the cost of deploying very high capacity networks</w:t>
            </w:r>
            <w:r w:rsidR="001030D5">
              <w:rPr>
                <w:webHidden/>
              </w:rPr>
              <w:tab/>
            </w:r>
            <w:r w:rsidR="001030D5">
              <w:rPr>
                <w:webHidden/>
              </w:rPr>
              <w:fldChar w:fldCharType="begin"/>
            </w:r>
            <w:r w:rsidR="001030D5">
              <w:rPr>
                <w:webHidden/>
              </w:rPr>
              <w:instrText xml:space="preserve"> PAGEREF _Toc140746454 \h </w:instrText>
            </w:r>
            <w:r w:rsidR="001030D5">
              <w:rPr>
                <w:webHidden/>
              </w:rPr>
            </w:r>
            <w:r w:rsidR="001030D5">
              <w:rPr>
                <w:webHidden/>
              </w:rPr>
              <w:fldChar w:fldCharType="separate"/>
            </w:r>
            <w:r w:rsidR="001030D5">
              <w:rPr>
                <w:webHidden/>
              </w:rPr>
              <w:t>31</w:t>
            </w:r>
            <w:r w:rsidR="001030D5">
              <w:rPr>
                <w:webHidden/>
              </w:rPr>
              <w:fldChar w:fldCharType="end"/>
            </w:r>
          </w:hyperlink>
        </w:p>
        <w:p w14:paraId="77348FE5" w14:textId="77777777" w:rsidR="001030D5" w:rsidRDefault="005253F3">
          <w:pPr>
            <w:pStyle w:val="Kazalovsebine2"/>
            <w:rPr>
              <w:rFonts w:cstheme="minorBidi"/>
              <w:noProof/>
            </w:rPr>
          </w:pPr>
          <w:hyperlink w:anchor="_Toc140746455" w:history="1">
            <w:r w:rsidR="001030D5" w:rsidRPr="00353D2A">
              <w:rPr>
                <w:rStyle w:val="Hiperpovezava"/>
                <w:noProof/>
                <w:lang w:val="en-GB"/>
              </w:rPr>
              <w:t>6.3 Financial measures</w:t>
            </w:r>
            <w:r w:rsidR="001030D5">
              <w:rPr>
                <w:noProof/>
                <w:webHidden/>
              </w:rPr>
              <w:tab/>
            </w:r>
            <w:r w:rsidR="001030D5">
              <w:rPr>
                <w:noProof/>
                <w:webHidden/>
              </w:rPr>
              <w:fldChar w:fldCharType="begin"/>
            </w:r>
            <w:r w:rsidR="001030D5">
              <w:rPr>
                <w:noProof/>
                <w:webHidden/>
              </w:rPr>
              <w:instrText xml:space="preserve"> PAGEREF _Toc140746455 \h </w:instrText>
            </w:r>
            <w:r w:rsidR="001030D5">
              <w:rPr>
                <w:noProof/>
                <w:webHidden/>
              </w:rPr>
            </w:r>
            <w:r w:rsidR="001030D5">
              <w:rPr>
                <w:noProof/>
                <w:webHidden/>
              </w:rPr>
              <w:fldChar w:fldCharType="separate"/>
            </w:r>
            <w:r w:rsidR="001030D5">
              <w:rPr>
                <w:noProof/>
                <w:webHidden/>
              </w:rPr>
              <w:t>31</w:t>
            </w:r>
            <w:r w:rsidR="001030D5">
              <w:rPr>
                <w:noProof/>
                <w:webHidden/>
              </w:rPr>
              <w:fldChar w:fldCharType="end"/>
            </w:r>
          </w:hyperlink>
        </w:p>
        <w:p w14:paraId="36813B41" w14:textId="77777777" w:rsidR="001030D5" w:rsidRDefault="005253F3">
          <w:pPr>
            <w:pStyle w:val="Kazalovsebine3"/>
            <w:rPr>
              <w:rFonts w:cstheme="minorBidi"/>
            </w:rPr>
          </w:pPr>
          <w:hyperlink w:anchor="_Toc140746456" w:history="1">
            <w:r w:rsidR="001030D5" w:rsidRPr="00353D2A">
              <w:rPr>
                <w:rStyle w:val="Hiperpovezava"/>
                <w:rFonts w:ascii="Century Gothic" w:hAnsi="Century Gothic"/>
                <w:lang w:val="en-GB"/>
              </w:rPr>
              <w:t>6.3.1 Public co-financing of the deployment of broadband networks in white spots</w:t>
            </w:r>
            <w:r w:rsidR="001030D5">
              <w:rPr>
                <w:webHidden/>
              </w:rPr>
              <w:tab/>
            </w:r>
            <w:r w:rsidR="001030D5">
              <w:rPr>
                <w:webHidden/>
              </w:rPr>
              <w:fldChar w:fldCharType="begin"/>
            </w:r>
            <w:r w:rsidR="001030D5">
              <w:rPr>
                <w:webHidden/>
              </w:rPr>
              <w:instrText xml:space="preserve"> PAGEREF _Toc140746456 \h </w:instrText>
            </w:r>
            <w:r w:rsidR="001030D5">
              <w:rPr>
                <w:webHidden/>
              </w:rPr>
            </w:r>
            <w:r w:rsidR="001030D5">
              <w:rPr>
                <w:webHidden/>
              </w:rPr>
              <w:fldChar w:fldCharType="separate"/>
            </w:r>
            <w:r w:rsidR="001030D5">
              <w:rPr>
                <w:webHidden/>
              </w:rPr>
              <w:t>32</w:t>
            </w:r>
            <w:r w:rsidR="001030D5">
              <w:rPr>
                <w:webHidden/>
              </w:rPr>
              <w:fldChar w:fldCharType="end"/>
            </w:r>
          </w:hyperlink>
        </w:p>
        <w:p w14:paraId="16CAF838" w14:textId="77777777" w:rsidR="001030D5" w:rsidRDefault="005253F3">
          <w:pPr>
            <w:pStyle w:val="Kazalovsebine3"/>
            <w:rPr>
              <w:rFonts w:cstheme="minorBidi"/>
            </w:rPr>
          </w:pPr>
          <w:hyperlink w:anchor="_Toc140746457" w:history="1">
            <w:r w:rsidR="001030D5" w:rsidRPr="00353D2A">
              <w:rPr>
                <w:rStyle w:val="Hiperpovezava"/>
                <w:rFonts w:ascii="Century Gothic" w:eastAsia="Calibri" w:hAnsi="Century Gothic"/>
                <w:lang w:val="en-GB"/>
              </w:rPr>
              <w:t>6.3.2 Other financial measures</w:t>
            </w:r>
            <w:r w:rsidR="001030D5">
              <w:rPr>
                <w:webHidden/>
              </w:rPr>
              <w:tab/>
            </w:r>
            <w:r w:rsidR="001030D5">
              <w:rPr>
                <w:webHidden/>
              </w:rPr>
              <w:fldChar w:fldCharType="begin"/>
            </w:r>
            <w:r w:rsidR="001030D5">
              <w:rPr>
                <w:webHidden/>
              </w:rPr>
              <w:instrText xml:space="preserve"> PAGEREF _Toc140746457 \h </w:instrText>
            </w:r>
            <w:r w:rsidR="001030D5">
              <w:rPr>
                <w:webHidden/>
              </w:rPr>
            </w:r>
            <w:r w:rsidR="001030D5">
              <w:rPr>
                <w:webHidden/>
              </w:rPr>
              <w:fldChar w:fldCharType="separate"/>
            </w:r>
            <w:r w:rsidR="001030D5">
              <w:rPr>
                <w:webHidden/>
              </w:rPr>
              <w:t>32</w:t>
            </w:r>
            <w:r w:rsidR="001030D5">
              <w:rPr>
                <w:webHidden/>
              </w:rPr>
              <w:fldChar w:fldCharType="end"/>
            </w:r>
          </w:hyperlink>
        </w:p>
        <w:p w14:paraId="03A13A63" w14:textId="77777777" w:rsidR="001030D5" w:rsidRDefault="005253F3">
          <w:pPr>
            <w:pStyle w:val="Kazalovsebine2"/>
            <w:rPr>
              <w:rFonts w:cstheme="minorBidi"/>
              <w:noProof/>
            </w:rPr>
          </w:pPr>
          <w:hyperlink w:anchor="_Toc140746458" w:history="1">
            <w:r w:rsidR="001030D5" w:rsidRPr="00353D2A">
              <w:rPr>
                <w:rStyle w:val="Hiperpovezava"/>
                <w:noProof/>
                <w:lang w:val="en-GB"/>
              </w:rPr>
              <w:t>6.4 Other measures for achieving the objectives</w:t>
            </w:r>
            <w:r w:rsidR="001030D5">
              <w:rPr>
                <w:noProof/>
                <w:webHidden/>
              </w:rPr>
              <w:tab/>
            </w:r>
            <w:r w:rsidR="001030D5">
              <w:rPr>
                <w:noProof/>
                <w:webHidden/>
              </w:rPr>
              <w:fldChar w:fldCharType="begin"/>
            </w:r>
            <w:r w:rsidR="001030D5">
              <w:rPr>
                <w:noProof/>
                <w:webHidden/>
              </w:rPr>
              <w:instrText xml:space="preserve"> PAGEREF _Toc140746458 \h </w:instrText>
            </w:r>
            <w:r w:rsidR="001030D5">
              <w:rPr>
                <w:noProof/>
                <w:webHidden/>
              </w:rPr>
            </w:r>
            <w:r w:rsidR="001030D5">
              <w:rPr>
                <w:noProof/>
                <w:webHidden/>
              </w:rPr>
              <w:fldChar w:fldCharType="separate"/>
            </w:r>
            <w:r w:rsidR="001030D5">
              <w:rPr>
                <w:noProof/>
                <w:webHidden/>
              </w:rPr>
              <w:t>33</w:t>
            </w:r>
            <w:r w:rsidR="001030D5">
              <w:rPr>
                <w:noProof/>
                <w:webHidden/>
              </w:rPr>
              <w:fldChar w:fldCharType="end"/>
            </w:r>
          </w:hyperlink>
        </w:p>
        <w:p w14:paraId="5B49AABA" w14:textId="77777777" w:rsidR="001030D5" w:rsidRDefault="005253F3">
          <w:pPr>
            <w:pStyle w:val="Kazalovsebine3"/>
            <w:rPr>
              <w:rFonts w:cstheme="minorBidi"/>
            </w:rPr>
          </w:pPr>
          <w:hyperlink w:anchor="_Toc140746459" w:history="1">
            <w:r w:rsidR="001030D5" w:rsidRPr="00353D2A">
              <w:rPr>
                <w:rStyle w:val="Hiperpovezava"/>
                <w:rFonts w:ascii="Century Gothic" w:hAnsi="Century Gothic"/>
                <w:lang w:val="en-GB"/>
              </w:rPr>
              <w:t>6.4.1 Geoportal</w:t>
            </w:r>
            <w:r w:rsidR="001030D5">
              <w:rPr>
                <w:webHidden/>
              </w:rPr>
              <w:tab/>
            </w:r>
            <w:r w:rsidR="001030D5">
              <w:rPr>
                <w:webHidden/>
              </w:rPr>
              <w:fldChar w:fldCharType="begin"/>
            </w:r>
            <w:r w:rsidR="001030D5">
              <w:rPr>
                <w:webHidden/>
              </w:rPr>
              <w:instrText xml:space="preserve"> PAGEREF _Toc140746459 \h </w:instrText>
            </w:r>
            <w:r w:rsidR="001030D5">
              <w:rPr>
                <w:webHidden/>
              </w:rPr>
            </w:r>
            <w:r w:rsidR="001030D5">
              <w:rPr>
                <w:webHidden/>
              </w:rPr>
              <w:fldChar w:fldCharType="separate"/>
            </w:r>
            <w:r w:rsidR="001030D5">
              <w:rPr>
                <w:webHidden/>
              </w:rPr>
              <w:t>33</w:t>
            </w:r>
            <w:r w:rsidR="001030D5">
              <w:rPr>
                <w:webHidden/>
              </w:rPr>
              <w:fldChar w:fldCharType="end"/>
            </w:r>
          </w:hyperlink>
        </w:p>
        <w:p w14:paraId="34277557" w14:textId="77777777" w:rsidR="001030D5" w:rsidRDefault="005253F3">
          <w:pPr>
            <w:pStyle w:val="Kazalovsebine3"/>
            <w:rPr>
              <w:rFonts w:cstheme="minorBidi"/>
            </w:rPr>
          </w:pPr>
          <w:hyperlink w:anchor="_Toc140746460" w:history="1">
            <w:r w:rsidR="001030D5" w:rsidRPr="00353D2A">
              <w:rPr>
                <w:rStyle w:val="Hiperpovezava"/>
                <w:rFonts w:ascii="Century Gothic" w:hAnsi="Century Gothic"/>
                <w:lang w:val="en-GB"/>
              </w:rPr>
              <w:t>6.4.2 Infrastructure investment portal</w:t>
            </w:r>
            <w:r w:rsidR="001030D5">
              <w:rPr>
                <w:webHidden/>
              </w:rPr>
              <w:tab/>
            </w:r>
            <w:r w:rsidR="001030D5">
              <w:rPr>
                <w:webHidden/>
              </w:rPr>
              <w:fldChar w:fldCharType="begin"/>
            </w:r>
            <w:r w:rsidR="001030D5">
              <w:rPr>
                <w:webHidden/>
              </w:rPr>
              <w:instrText xml:space="preserve"> PAGEREF _Toc140746460 \h </w:instrText>
            </w:r>
            <w:r w:rsidR="001030D5">
              <w:rPr>
                <w:webHidden/>
              </w:rPr>
            </w:r>
            <w:r w:rsidR="001030D5">
              <w:rPr>
                <w:webHidden/>
              </w:rPr>
              <w:fldChar w:fldCharType="separate"/>
            </w:r>
            <w:r w:rsidR="001030D5">
              <w:rPr>
                <w:webHidden/>
              </w:rPr>
              <w:t>33</w:t>
            </w:r>
            <w:r w:rsidR="001030D5">
              <w:rPr>
                <w:webHidden/>
              </w:rPr>
              <w:fldChar w:fldCharType="end"/>
            </w:r>
          </w:hyperlink>
        </w:p>
        <w:p w14:paraId="68CD674A" w14:textId="77777777" w:rsidR="001030D5" w:rsidRDefault="005253F3">
          <w:pPr>
            <w:pStyle w:val="Kazalovsebine3"/>
            <w:rPr>
              <w:rFonts w:cstheme="minorBidi"/>
            </w:rPr>
          </w:pPr>
          <w:hyperlink w:anchor="_Toc140746461" w:history="1">
            <w:r w:rsidR="001030D5" w:rsidRPr="00353D2A">
              <w:rPr>
                <w:rStyle w:val="Hiperpovezava"/>
                <w:rFonts w:ascii="Century Gothic" w:hAnsi="Century Gothic"/>
                <w:lang w:val="en-GB"/>
              </w:rPr>
              <w:t>6.4.3 AKOS Test Net</w:t>
            </w:r>
            <w:r w:rsidR="001030D5">
              <w:rPr>
                <w:webHidden/>
              </w:rPr>
              <w:tab/>
            </w:r>
            <w:r w:rsidR="001030D5">
              <w:rPr>
                <w:webHidden/>
              </w:rPr>
              <w:fldChar w:fldCharType="begin"/>
            </w:r>
            <w:r w:rsidR="001030D5">
              <w:rPr>
                <w:webHidden/>
              </w:rPr>
              <w:instrText xml:space="preserve"> PAGEREF _Toc140746461 \h </w:instrText>
            </w:r>
            <w:r w:rsidR="001030D5">
              <w:rPr>
                <w:webHidden/>
              </w:rPr>
            </w:r>
            <w:r w:rsidR="001030D5">
              <w:rPr>
                <w:webHidden/>
              </w:rPr>
              <w:fldChar w:fldCharType="separate"/>
            </w:r>
            <w:r w:rsidR="001030D5">
              <w:rPr>
                <w:webHidden/>
              </w:rPr>
              <w:t>34</w:t>
            </w:r>
            <w:r w:rsidR="001030D5">
              <w:rPr>
                <w:webHidden/>
              </w:rPr>
              <w:fldChar w:fldCharType="end"/>
            </w:r>
          </w:hyperlink>
        </w:p>
        <w:p w14:paraId="2B00762C" w14:textId="77777777" w:rsidR="001030D5" w:rsidRDefault="005253F3">
          <w:pPr>
            <w:pStyle w:val="Kazalovsebine3"/>
            <w:rPr>
              <w:rFonts w:cstheme="minorBidi"/>
            </w:rPr>
          </w:pPr>
          <w:hyperlink w:anchor="_Toc140746462" w:history="1">
            <w:r w:rsidR="001030D5" w:rsidRPr="00353D2A">
              <w:rPr>
                <w:rStyle w:val="Hiperpovezava"/>
                <w:rFonts w:ascii="Century Gothic" w:hAnsi="Century Gothic"/>
                <w:lang w:val="en-GB"/>
              </w:rPr>
              <w:t>6.4.4 Technical assistance and expert advice</w:t>
            </w:r>
            <w:r w:rsidR="001030D5">
              <w:rPr>
                <w:webHidden/>
              </w:rPr>
              <w:tab/>
            </w:r>
            <w:r w:rsidR="001030D5">
              <w:rPr>
                <w:webHidden/>
              </w:rPr>
              <w:fldChar w:fldCharType="begin"/>
            </w:r>
            <w:r w:rsidR="001030D5">
              <w:rPr>
                <w:webHidden/>
              </w:rPr>
              <w:instrText xml:space="preserve"> PAGEREF _Toc140746462 \h </w:instrText>
            </w:r>
            <w:r w:rsidR="001030D5">
              <w:rPr>
                <w:webHidden/>
              </w:rPr>
            </w:r>
            <w:r w:rsidR="001030D5">
              <w:rPr>
                <w:webHidden/>
              </w:rPr>
              <w:fldChar w:fldCharType="separate"/>
            </w:r>
            <w:r w:rsidR="001030D5">
              <w:rPr>
                <w:webHidden/>
              </w:rPr>
              <w:t>34</w:t>
            </w:r>
            <w:r w:rsidR="001030D5">
              <w:rPr>
                <w:webHidden/>
              </w:rPr>
              <w:fldChar w:fldCharType="end"/>
            </w:r>
          </w:hyperlink>
        </w:p>
        <w:p w14:paraId="4BC24C3A" w14:textId="77777777" w:rsidR="001030D5" w:rsidRDefault="005253F3">
          <w:pPr>
            <w:pStyle w:val="Kazalovsebine1"/>
            <w:rPr>
              <w:rFonts w:asciiTheme="minorHAnsi" w:hAnsiTheme="minorHAnsi" w:cstheme="minorBidi"/>
            </w:rPr>
          </w:pPr>
          <w:hyperlink w:anchor="_Toc140746463" w:history="1">
            <w:r w:rsidR="001030D5" w:rsidRPr="00353D2A">
              <w:rPr>
                <w:rStyle w:val="Hiperpovezava"/>
              </w:rPr>
              <w:t>7</w:t>
            </w:r>
            <w:r w:rsidR="001030D5">
              <w:rPr>
                <w:rFonts w:asciiTheme="minorHAnsi" w:hAnsiTheme="minorHAnsi" w:cstheme="minorBidi"/>
              </w:rPr>
              <w:tab/>
            </w:r>
            <w:r w:rsidR="001030D5" w:rsidRPr="00353D2A">
              <w:rPr>
                <w:rStyle w:val="Hiperpovezava"/>
                <w:bCs/>
                <w:lang w:val="en-GB"/>
              </w:rPr>
              <w:t>INDICATORS</w:t>
            </w:r>
            <w:r w:rsidR="001030D5">
              <w:rPr>
                <w:webHidden/>
              </w:rPr>
              <w:tab/>
            </w:r>
            <w:r w:rsidR="001030D5">
              <w:rPr>
                <w:webHidden/>
              </w:rPr>
              <w:fldChar w:fldCharType="begin"/>
            </w:r>
            <w:r w:rsidR="001030D5">
              <w:rPr>
                <w:webHidden/>
              </w:rPr>
              <w:instrText xml:space="preserve"> PAGEREF _Toc140746463 \h </w:instrText>
            </w:r>
            <w:r w:rsidR="001030D5">
              <w:rPr>
                <w:webHidden/>
              </w:rPr>
            </w:r>
            <w:r w:rsidR="001030D5">
              <w:rPr>
                <w:webHidden/>
              </w:rPr>
              <w:fldChar w:fldCharType="separate"/>
            </w:r>
            <w:r w:rsidR="001030D5">
              <w:rPr>
                <w:webHidden/>
              </w:rPr>
              <w:t>35</w:t>
            </w:r>
            <w:r w:rsidR="001030D5">
              <w:rPr>
                <w:webHidden/>
              </w:rPr>
              <w:fldChar w:fldCharType="end"/>
            </w:r>
          </w:hyperlink>
        </w:p>
        <w:p w14:paraId="77F32987" w14:textId="77777777" w:rsidR="001030D5" w:rsidRDefault="005253F3">
          <w:pPr>
            <w:pStyle w:val="Kazalovsebine1"/>
            <w:rPr>
              <w:rFonts w:asciiTheme="minorHAnsi" w:hAnsiTheme="minorHAnsi" w:cstheme="minorBidi"/>
            </w:rPr>
          </w:pPr>
          <w:hyperlink w:anchor="_Toc140746464" w:history="1">
            <w:r w:rsidR="001030D5" w:rsidRPr="00353D2A">
              <w:rPr>
                <w:rStyle w:val="Hiperpovezava"/>
              </w:rPr>
              <w:t>8</w:t>
            </w:r>
            <w:r w:rsidR="001030D5">
              <w:rPr>
                <w:rFonts w:asciiTheme="minorHAnsi" w:hAnsiTheme="minorHAnsi" w:cstheme="minorBidi"/>
              </w:rPr>
              <w:tab/>
            </w:r>
            <w:r w:rsidR="001030D5" w:rsidRPr="00353D2A">
              <w:rPr>
                <w:rStyle w:val="Hiperpovezava"/>
                <w:bCs/>
                <w:lang w:val="en-GB"/>
              </w:rPr>
              <w:t>ANNEX</w:t>
            </w:r>
            <w:r w:rsidR="001030D5">
              <w:rPr>
                <w:webHidden/>
              </w:rPr>
              <w:tab/>
            </w:r>
            <w:r w:rsidR="001030D5">
              <w:rPr>
                <w:webHidden/>
              </w:rPr>
              <w:fldChar w:fldCharType="begin"/>
            </w:r>
            <w:r w:rsidR="001030D5">
              <w:rPr>
                <w:webHidden/>
              </w:rPr>
              <w:instrText xml:space="preserve"> PAGEREF _Toc140746464 \h </w:instrText>
            </w:r>
            <w:r w:rsidR="001030D5">
              <w:rPr>
                <w:webHidden/>
              </w:rPr>
            </w:r>
            <w:r w:rsidR="001030D5">
              <w:rPr>
                <w:webHidden/>
              </w:rPr>
              <w:fldChar w:fldCharType="separate"/>
            </w:r>
            <w:r w:rsidR="001030D5">
              <w:rPr>
                <w:webHidden/>
              </w:rPr>
              <w:t>36</w:t>
            </w:r>
            <w:r w:rsidR="001030D5">
              <w:rPr>
                <w:webHidden/>
              </w:rPr>
              <w:fldChar w:fldCharType="end"/>
            </w:r>
          </w:hyperlink>
        </w:p>
        <w:p w14:paraId="13ADCF04" w14:textId="77777777" w:rsidR="00127F9B" w:rsidRPr="002473CF" w:rsidRDefault="00127F9B">
          <w:pPr>
            <w:rPr>
              <w:rFonts w:ascii="Century Gothic" w:hAnsi="Century Gothic"/>
            </w:rPr>
          </w:pPr>
          <w:r>
            <w:rPr>
              <w:rFonts w:ascii="Century Gothic" w:hAnsi="Century Gothic"/>
              <w:b/>
              <w:bCs/>
            </w:rPr>
            <w:fldChar w:fldCharType="end"/>
          </w:r>
        </w:p>
      </w:sdtContent>
    </w:sdt>
    <w:p w14:paraId="0DEB7B96" w14:textId="77777777" w:rsidR="004D62B3" w:rsidRPr="00AC504C" w:rsidRDefault="00405D42">
      <w:pPr>
        <w:spacing w:after="160" w:line="259" w:lineRule="auto"/>
        <w:rPr>
          <w:rFonts w:ascii="Century Gothic" w:hAnsi="Century Gothic"/>
          <w:b/>
          <w:spacing w:val="-10"/>
          <w:kern w:val="28"/>
          <w:sz w:val="22"/>
          <w:szCs w:val="22"/>
        </w:rPr>
      </w:pPr>
      <w:r>
        <w:rPr>
          <w:rFonts w:ascii="Century Gothic" w:hAnsi="Century Gothic"/>
          <w:sz w:val="22"/>
          <w:szCs w:val="22"/>
          <w:lang w:val="en-GB"/>
        </w:rPr>
        <w:br w:type="page"/>
      </w:r>
    </w:p>
    <w:p w14:paraId="1DF0E6A3" w14:textId="77777777" w:rsidR="00D94498" w:rsidRPr="00AC504C" w:rsidRDefault="0085081A" w:rsidP="00127F9B">
      <w:pPr>
        <w:pStyle w:val="Naslov"/>
        <w:rPr>
          <w:rFonts w:ascii="Century Gothic" w:hAnsi="Century Gothic"/>
          <w:sz w:val="22"/>
          <w:szCs w:val="22"/>
        </w:rPr>
      </w:pPr>
      <w:bookmarkStart w:id="0" w:name="_Toc111154788"/>
      <w:bookmarkStart w:id="1" w:name="_Toc140746429"/>
      <w:bookmarkEnd w:id="0"/>
      <w:r>
        <w:rPr>
          <w:rFonts w:ascii="Century Gothic" w:hAnsi="Century Gothic"/>
          <w:bCs/>
          <w:sz w:val="22"/>
          <w:szCs w:val="22"/>
          <w:lang w:val="en-GB"/>
        </w:rPr>
        <w:lastRenderedPageBreak/>
        <w:t>INTRODUCTION</w:t>
      </w:r>
      <w:bookmarkEnd w:id="1"/>
    </w:p>
    <w:p w14:paraId="3DCCB715" w14:textId="77777777" w:rsidR="004A1316" w:rsidRPr="00AC504C" w:rsidRDefault="004A1316" w:rsidP="003D0650">
      <w:pPr>
        <w:pStyle w:val="Naslov"/>
        <w:numPr>
          <w:ilvl w:val="0"/>
          <w:numId w:val="0"/>
        </w:numPr>
        <w:spacing w:line="280" w:lineRule="exact"/>
        <w:jc w:val="both"/>
        <w:rPr>
          <w:rFonts w:ascii="Century Gothic" w:hAnsi="Century Gothic"/>
          <w:b w:val="0"/>
          <w:bCs/>
          <w:sz w:val="22"/>
          <w:szCs w:val="22"/>
        </w:rPr>
      </w:pPr>
    </w:p>
    <w:p w14:paraId="71987F7C" w14:textId="77777777" w:rsidR="00127F9B" w:rsidRPr="00AC504C" w:rsidRDefault="00454BA3" w:rsidP="003D0650">
      <w:pPr>
        <w:jc w:val="both"/>
        <w:rPr>
          <w:rFonts w:ascii="Century Gothic" w:hAnsi="Century Gothic"/>
          <w:sz w:val="22"/>
          <w:szCs w:val="22"/>
        </w:rPr>
      </w:pPr>
      <w:r>
        <w:rPr>
          <w:rFonts w:ascii="Century Gothic" w:hAnsi="Century Gothic"/>
          <w:sz w:val="22"/>
          <w:szCs w:val="22"/>
          <w:lang w:val="en-GB"/>
        </w:rPr>
        <w:t xml:space="preserve">The intense and all-encompassing digitalisation of society is changing consumers' communication habits and expectations, which is reflected in the decline of fixed telephony and the increasing demand of modern users of electronic communications for enhanced internet connectivity anywhere, anytime and with any device. These changes are also reflected in the fact that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mobile access to all online content is one of people’s most important needs. At the same time, businesses, households and other socio-economic stakeholders expect to have access to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optical networks at fixed locations. There is no doubt that a modern and high-performance fixed and mobile electronic communications infrastructure is one of the key factors in the digital transformation of society and the competitiveness of the economy. Hence, it is in the public interest that, within its powers, the Government of the Republic of Slovenia provides appropriate guidelines and support for such infrastructure in its national development policies. This Gigabit Infrastructure Development Plan 2030 (hereinafter: the Plan) is a response to the development challenges in electronic communications in the next development period.</w:t>
      </w:r>
    </w:p>
    <w:p w14:paraId="025FB69B" w14:textId="77777777" w:rsidR="00454BA3" w:rsidRPr="00AC504C" w:rsidRDefault="00454BA3" w:rsidP="003D0650">
      <w:pPr>
        <w:jc w:val="both"/>
        <w:rPr>
          <w:rFonts w:ascii="Century Gothic" w:hAnsi="Century Gothic"/>
          <w:sz w:val="22"/>
          <w:szCs w:val="22"/>
        </w:rPr>
      </w:pPr>
    </w:p>
    <w:p w14:paraId="2CED03D8" w14:textId="63B48553" w:rsidR="005B461A" w:rsidRPr="00AE3CB1" w:rsidRDefault="00C42C23" w:rsidP="006C694C">
      <w:pPr>
        <w:pStyle w:val="podpisi"/>
        <w:spacing w:line="280" w:lineRule="exact"/>
        <w:jc w:val="both"/>
        <w:rPr>
          <w:rFonts w:ascii="Century Gothic" w:hAnsi="Century Gothic" w:cstheme="minorBidi"/>
          <w:sz w:val="22"/>
          <w:szCs w:val="22"/>
          <w:lang w:val="en-US"/>
        </w:rPr>
      </w:pPr>
      <w:r>
        <w:rPr>
          <w:rFonts w:ascii="Century Gothic" w:hAnsi="Century Gothic"/>
          <w:sz w:val="22"/>
          <w:szCs w:val="22"/>
          <w:lang w:val="en-GB"/>
        </w:rPr>
        <w:t xml:space="preserve">The Plan is Slovenia’s strategic document for the setting up – and partly also for promoting the use of – infrastructure that will enable gigabit connectivity to all Slovenian households or homes, </w:t>
      </w:r>
      <w:r>
        <w:rPr>
          <w:rStyle w:val="Sprotnaopomba-sklic"/>
          <w:rFonts w:ascii="Century Gothic" w:hAnsi="Century Gothic" w:cstheme="minorBidi"/>
          <w:sz w:val="22"/>
          <w:szCs w:val="22"/>
          <w:lang w:val="en-GB"/>
        </w:rPr>
        <w:footnoteReference w:id="2"/>
      </w:r>
      <w:r>
        <w:rPr>
          <w:rFonts w:ascii="Century Gothic" w:hAnsi="Century Gothic"/>
          <w:sz w:val="22"/>
          <w:szCs w:val="22"/>
          <w:lang w:val="en-GB"/>
        </w:rPr>
        <w:t xml:space="preserve">businesses and the main socio-economic drivers, </w:t>
      </w:r>
      <w:r>
        <w:rPr>
          <w:rStyle w:val="Sprotnaopomba-sklic"/>
          <w:rFonts w:ascii="Century Gothic" w:hAnsi="Century Gothic" w:cstheme="minorBidi"/>
          <w:sz w:val="22"/>
          <w:szCs w:val="22"/>
          <w:lang w:val="en-GB"/>
        </w:rPr>
        <w:footnoteReference w:id="3"/>
      </w:r>
      <w:r>
        <w:rPr>
          <w:rFonts w:ascii="Century Gothic" w:hAnsi="Century Gothic"/>
          <w:sz w:val="22"/>
          <w:szCs w:val="22"/>
          <w:lang w:val="en-GB"/>
        </w:rPr>
        <w:t>while providing uninterrupted 5G coverage in all urban and other populated areas and along major terrestrial transport paths. The Plan is fully harmonised with the fundamental digital objectives of the European Union (hereinafter: the EU) in the field of connectivity but it does not include digital objectives in the field of digital infrastructure which will be covered by other strategic documents and public policies.</w:t>
      </w:r>
      <w:r>
        <w:rPr>
          <w:rStyle w:val="Sprotnaopomba-sklic"/>
          <w:rFonts w:ascii="Century Gothic" w:hAnsi="Century Gothic" w:cstheme="minorBidi"/>
          <w:sz w:val="22"/>
          <w:szCs w:val="22"/>
          <w:lang w:val="en-GB"/>
        </w:rPr>
        <w:footnoteReference w:id="4"/>
      </w:r>
      <w:r>
        <w:rPr>
          <w:rFonts w:ascii="Century Gothic" w:hAnsi="Century Gothic"/>
          <w:sz w:val="22"/>
          <w:szCs w:val="22"/>
          <w:lang w:val="en-GB"/>
        </w:rPr>
        <w:t xml:space="preserve">The Plan includes objectives and measures aimed at developing gigabit infrastructure, hence making Slovenia one of the most digitally advanced countries by 2030, providing coverage by gigabit networks to all households and 5G coverage of </w:t>
      </w:r>
      <w:r>
        <w:rPr>
          <w:rFonts w:ascii="Century Gothic" w:hAnsi="Century Gothic"/>
          <w:sz w:val="22"/>
          <w:szCs w:val="22"/>
          <w:lang w:val="en-GB"/>
        </w:rPr>
        <w:lastRenderedPageBreak/>
        <w:t>all populated areas. The Plan’s key intermediate objective is to provide by 2025 all Slovenian households with internet connectivity offering at least 100 Mbps, upgradeable to gigabit speed.</w:t>
      </w:r>
    </w:p>
    <w:p w14:paraId="1BB93D68" w14:textId="77777777" w:rsidR="00736B54" w:rsidRPr="00AE3CB1" w:rsidRDefault="00736B54" w:rsidP="006C694C">
      <w:pPr>
        <w:pStyle w:val="podpisi"/>
        <w:spacing w:line="280" w:lineRule="exact"/>
        <w:jc w:val="both"/>
        <w:rPr>
          <w:rFonts w:ascii="Century Gothic" w:hAnsi="Century Gothic"/>
          <w:sz w:val="22"/>
          <w:szCs w:val="22"/>
          <w:lang w:val="en-US"/>
        </w:rPr>
      </w:pPr>
    </w:p>
    <w:p w14:paraId="2C757149" w14:textId="77777777" w:rsidR="00F7091A" w:rsidRPr="00AE3CB1" w:rsidRDefault="00F7091A" w:rsidP="006C694C">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The Plan also constitutes a basis for the allocation of funds from the recovery and resilience facility, cohesion policy funds for the period 2021–2027 and other public funds in this field. In this way, the </w:t>
      </w:r>
      <w:proofErr w:type="gramStart"/>
      <w:r>
        <w:rPr>
          <w:rFonts w:ascii="Century Gothic" w:hAnsi="Century Gothic"/>
          <w:i/>
          <w:iCs/>
          <w:sz w:val="22"/>
          <w:szCs w:val="22"/>
          <w:lang w:val="en-GB"/>
        </w:rPr>
        <w:t>ex ante</w:t>
      </w:r>
      <w:proofErr w:type="gramEnd"/>
      <w:r>
        <w:rPr>
          <w:rFonts w:ascii="Century Gothic" w:hAnsi="Century Gothic"/>
          <w:sz w:val="22"/>
          <w:szCs w:val="22"/>
          <w:lang w:val="en-GB"/>
        </w:rPr>
        <w:t xml:space="preserve"> conditionality is met for the deployment of broadband infrastructure in white spots and the promotion of connectivity with the uptake of the most suitable technologies.</w:t>
      </w:r>
    </w:p>
    <w:p w14:paraId="3087C155" w14:textId="77777777" w:rsidR="00384510" w:rsidRPr="00AE3CB1" w:rsidRDefault="00384510" w:rsidP="006C694C">
      <w:pPr>
        <w:pStyle w:val="podpisi"/>
        <w:spacing w:line="280" w:lineRule="exact"/>
        <w:jc w:val="both"/>
        <w:rPr>
          <w:rFonts w:ascii="Century Gothic" w:hAnsi="Century Gothic"/>
          <w:sz w:val="22"/>
          <w:szCs w:val="22"/>
          <w:lang w:val="en-US"/>
        </w:rPr>
      </w:pPr>
    </w:p>
    <w:p w14:paraId="63109C1D" w14:textId="77777777" w:rsidR="00D94498" w:rsidRPr="00AE3CB1" w:rsidRDefault="00F7091A"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The achievement of the objectives set out in the Plan will provide the gigabit infrastructure necessary for the deployment of modern digital content and services and a prerequisite for a double digital and green transformation of the economy and society. The development of an information society or knowledge-based society is based on the general use of information and communications technologies (ICT) and the internet in all fields of social life and creativity. A prerequisite for this is a ubiquitous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electronic communications infrastructure, accessible electronic communications services, and appropriate digital skills and knowledge. Economic and general development in a modern digital society is directly connected with the development of high-quality broadband infrastructure that serves as the basis for the development and use of the internet. Strategic planning should therefore follow the development of ubiquitous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broadband infrastructure (fixed, mobile and satellite) that will be open and accessible to all end-users, creating equal opportunities for inclusion in the information society. Accessible broadband infrastructure throughout the country enables balanced development, reduces the digital </w:t>
      </w:r>
      <w:proofErr w:type="gramStart"/>
      <w:r>
        <w:rPr>
          <w:rFonts w:ascii="Century Gothic" w:hAnsi="Century Gothic"/>
          <w:sz w:val="22"/>
          <w:szCs w:val="22"/>
          <w:lang w:val="en-GB"/>
        </w:rPr>
        <w:t>divide</w:t>
      </w:r>
      <w:proofErr w:type="gramEnd"/>
      <w:r>
        <w:rPr>
          <w:rFonts w:ascii="Century Gothic" w:hAnsi="Century Gothic"/>
          <w:sz w:val="22"/>
          <w:szCs w:val="22"/>
          <w:lang w:val="en-GB"/>
        </w:rPr>
        <w:t xml:space="preserve"> and increases the involvement of individuals in contemporary social trends. In terms of development guidance, the uptake of the internet is a strategic tool for increasing productivity and digital competencies, creating innovative business models, </w:t>
      </w:r>
      <w:proofErr w:type="gramStart"/>
      <w:r>
        <w:rPr>
          <w:rFonts w:ascii="Century Gothic" w:hAnsi="Century Gothic"/>
          <w:sz w:val="22"/>
          <w:szCs w:val="22"/>
          <w:lang w:val="en-GB"/>
        </w:rPr>
        <w:t>products</w:t>
      </w:r>
      <w:proofErr w:type="gramEnd"/>
      <w:r>
        <w:rPr>
          <w:rFonts w:ascii="Century Gothic" w:hAnsi="Century Gothic"/>
          <w:sz w:val="22"/>
          <w:szCs w:val="22"/>
          <w:lang w:val="en-GB"/>
        </w:rPr>
        <w:t xml:space="preserve"> and services, making communication more efficient, and increasing the overall efficiency of society.</w:t>
      </w:r>
    </w:p>
    <w:p w14:paraId="0F41F442" w14:textId="77777777" w:rsidR="00D94498" w:rsidRPr="00AE3CB1" w:rsidRDefault="00D94498" w:rsidP="00ED4A95">
      <w:pPr>
        <w:pStyle w:val="podpisi"/>
        <w:spacing w:line="280" w:lineRule="exact"/>
        <w:jc w:val="both"/>
        <w:rPr>
          <w:rFonts w:ascii="Century Gothic" w:hAnsi="Century Gothic"/>
          <w:sz w:val="22"/>
          <w:szCs w:val="22"/>
          <w:lang w:val="en-US"/>
        </w:rPr>
      </w:pPr>
    </w:p>
    <w:p w14:paraId="704434C8" w14:textId="77777777" w:rsidR="00D94498" w:rsidRPr="00AE3CB1" w:rsidRDefault="00D94498"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Studies on the socio-economic impact of investment in broadband infrastructure have established a strong interdependence between broadband penetration and economic growth, and a positive impact on employment and productivity. According to the OECD study, there is a direct correlation between the penetration of broadband services and GDP growth – a 10% increase in broadband connectivity can be expected to raise per capita GDP growth by 0.9 to 1.5 percentage points.</w:t>
      </w:r>
      <w:r>
        <w:rPr>
          <w:rStyle w:val="Sprotnaopomba-sklic"/>
          <w:rFonts w:ascii="Century Gothic" w:hAnsi="Century Gothic"/>
          <w:sz w:val="22"/>
          <w:szCs w:val="22"/>
          <w:lang w:val="en-GB"/>
        </w:rPr>
        <w:footnoteReference w:id="5"/>
      </w:r>
      <w:r>
        <w:rPr>
          <w:rFonts w:ascii="Century Gothic" w:hAnsi="Century Gothic"/>
          <w:sz w:val="22"/>
          <w:szCs w:val="22"/>
          <w:lang w:val="en-GB"/>
        </w:rPr>
        <w:t>A study by Ericsson, Arthur D. Little and Chalmers University of Technology shows a similar correlation, namely that broadband deployment leads to enhanced productivity and innovation in companies. It also pointed to wider social and environmental benefits, including positive impacts on households.</w:t>
      </w:r>
      <w:r>
        <w:rPr>
          <w:rStyle w:val="Sprotnaopomba-sklic"/>
          <w:rFonts w:ascii="Century Gothic" w:hAnsi="Century Gothic"/>
          <w:sz w:val="22"/>
          <w:szCs w:val="22"/>
          <w:lang w:val="en-GB"/>
        </w:rPr>
        <w:footnoteReference w:id="6"/>
      </w:r>
      <w:r>
        <w:rPr>
          <w:rFonts w:ascii="Century Gothic" w:hAnsi="Century Gothic"/>
          <w:sz w:val="22"/>
          <w:szCs w:val="22"/>
          <w:lang w:val="en-GB"/>
        </w:rPr>
        <w:t>Similarly, a study by the International Telecommunication Union entitled Impact of Broadband on the Economy found that broadband networks in rural areas enable balanced rural development and create a favourable environment for the development of small and medium-sized enterprises.</w:t>
      </w:r>
    </w:p>
    <w:p w14:paraId="03A9CE54" w14:textId="77777777" w:rsidR="00A46C46" w:rsidRPr="00AE3CB1" w:rsidRDefault="00A46C46" w:rsidP="00ED4A95">
      <w:pPr>
        <w:pStyle w:val="podpisi"/>
        <w:spacing w:line="280" w:lineRule="exact"/>
        <w:jc w:val="both"/>
        <w:rPr>
          <w:rFonts w:ascii="Century Gothic" w:hAnsi="Century Gothic"/>
          <w:sz w:val="22"/>
          <w:szCs w:val="22"/>
          <w:lang w:val="en-US"/>
        </w:rPr>
      </w:pPr>
    </w:p>
    <w:p w14:paraId="245D0EC3" w14:textId="77777777" w:rsidR="00A46C46" w:rsidRPr="00AE3CB1" w:rsidRDefault="0084234E"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lastRenderedPageBreak/>
        <w:t xml:space="preserve">The COVID-19 epidemic showed how much people and businesses in the EU need connectivity and how important it is to them. Electronic telecommunications networks, especially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networks, played a crucial role in the response to the crisis, enabling telework, tele healthcare, distance education, remote personal communication and entertainment. Widespread gigabit connectivity will underpin the future intensive deployment of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broadband networks in health, education, transport, logistics and media, which play a key role in the EU's economic and other development. The availability of wired and complementary wireless connectivity and subsidiary satellite connectivity contributes significantly to the provision of affordable and accessible services and to bridging the digital divide. At the same time, connectivity is an important means of informing the public and played an important role in limiting the spread of the virus.</w:t>
      </w:r>
    </w:p>
    <w:p w14:paraId="210C02B1" w14:textId="77777777" w:rsidR="000D152D" w:rsidRPr="00AC504C" w:rsidRDefault="000D152D" w:rsidP="00ED4A95">
      <w:pPr>
        <w:spacing w:line="280" w:lineRule="exact"/>
        <w:jc w:val="both"/>
        <w:rPr>
          <w:rFonts w:ascii="Century Gothic" w:hAnsi="Century Gothic"/>
          <w:sz w:val="22"/>
          <w:szCs w:val="22"/>
        </w:rPr>
      </w:pPr>
    </w:p>
    <w:p w14:paraId="64D00E73" w14:textId="77777777" w:rsidR="0050183F" w:rsidRPr="00AE3CB1" w:rsidRDefault="0050183F"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Broadband internet access brings positive socio-economic impacts for the country and citizens. It enables balanced development throughout the country, reduces the digital divide and increases the involvement of individuals in contemporary social trends. It </w:t>
      </w:r>
      <w:proofErr w:type="gramStart"/>
      <w:r>
        <w:rPr>
          <w:rFonts w:ascii="Century Gothic" w:hAnsi="Century Gothic"/>
          <w:sz w:val="22"/>
          <w:szCs w:val="22"/>
          <w:lang w:val="en-GB"/>
        </w:rPr>
        <w:t>opens up</w:t>
      </w:r>
      <w:proofErr w:type="gramEnd"/>
      <w:r>
        <w:rPr>
          <w:rFonts w:ascii="Century Gothic" w:hAnsi="Century Gothic"/>
          <w:sz w:val="22"/>
          <w:szCs w:val="22"/>
          <w:lang w:val="en-GB"/>
        </w:rPr>
        <w:t xml:space="preserve"> new opportunities for people in business, private and public life: learning, employment, access to public information and services, access to various content and social media, increased productivity, innovative business models, products and services, more effective communications, etc.</w:t>
      </w:r>
    </w:p>
    <w:p w14:paraId="1CC73CED" w14:textId="77777777" w:rsidR="0050183F" w:rsidRPr="00AE3CB1" w:rsidRDefault="0050183F" w:rsidP="00ED4A95">
      <w:pPr>
        <w:pStyle w:val="podpisi"/>
        <w:spacing w:line="280" w:lineRule="exact"/>
        <w:jc w:val="both"/>
        <w:rPr>
          <w:rFonts w:ascii="Century Gothic" w:hAnsi="Century Gothic"/>
          <w:sz w:val="22"/>
          <w:szCs w:val="22"/>
          <w:lang w:val="en-US"/>
        </w:rPr>
      </w:pPr>
    </w:p>
    <w:p w14:paraId="22792033" w14:textId="77777777" w:rsidR="0050183F" w:rsidRPr="00AE3CB1" w:rsidRDefault="0050183F"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Consequently, broadband infrastructure that provides internet access is one of the key factors for socio-economic development, and its deployment and promotion are in the public interest.</w:t>
      </w:r>
    </w:p>
    <w:p w14:paraId="1BD4FEAD" w14:textId="77777777" w:rsidR="0050183F" w:rsidRPr="00AC504C" w:rsidRDefault="0050183F" w:rsidP="007472B2">
      <w:pPr>
        <w:spacing w:line="240" w:lineRule="auto"/>
        <w:jc w:val="both"/>
        <w:rPr>
          <w:rFonts w:ascii="Century Gothic" w:hAnsi="Century Gothic"/>
          <w:sz w:val="22"/>
          <w:szCs w:val="22"/>
        </w:rPr>
      </w:pPr>
    </w:p>
    <w:p w14:paraId="553AE486" w14:textId="47F042D0" w:rsidR="007B072C" w:rsidRPr="00AC504C" w:rsidRDefault="00362FB6" w:rsidP="00362FB6">
      <w:pPr>
        <w:spacing w:line="240" w:lineRule="auto"/>
        <w:jc w:val="both"/>
        <w:rPr>
          <w:rFonts w:ascii="Century Gothic" w:hAnsi="Century Gothic"/>
          <w:sz w:val="22"/>
          <w:szCs w:val="22"/>
        </w:rPr>
      </w:pPr>
      <w:r>
        <w:rPr>
          <w:rFonts w:ascii="Century Gothic" w:hAnsi="Century Gothic"/>
          <w:sz w:val="22"/>
          <w:szCs w:val="22"/>
          <w:lang w:val="en-GB"/>
        </w:rPr>
        <w:t>Particular attention should be paid to 5G network</w:t>
      </w:r>
      <w:r w:rsidR="00F71C2B">
        <w:rPr>
          <w:rFonts w:ascii="Century Gothic" w:hAnsi="Century Gothic"/>
          <w:sz w:val="22"/>
          <w:szCs w:val="22"/>
          <w:lang w:val="en-GB"/>
        </w:rPr>
        <w:t>s</w:t>
      </w:r>
      <w:r>
        <w:rPr>
          <w:rFonts w:ascii="Century Gothic" w:hAnsi="Century Gothic"/>
          <w:sz w:val="22"/>
          <w:szCs w:val="22"/>
          <w:lang w:val="en-GB"/>
        </w:rPr>
        <w:t xml:space="preserve">, a technological breakthrough in terms of gigabit data transfer rates, very short latencies allowing real-time data transmission and massive machine-to-machine (M2M) communications in the context of the Internet of Things (IoT). 5G technology is a major improvement in the capabilities of mobile communications networks for all types of personal, </w:t>
      </w:r>
      <w:proofErr w:type="gramStart"/>
      <w:r>
        <w:rPr>
          <w:rFonts w:ascii="Century Gothic" w:hAnsi="Century Gothic"/>
          <w:sz w:val="22"/>
          <w:szCs w:val="22"/>
          <w:lang w:val="en-GB"/>
        </w:rPr>
        <w:t>public</w:t>
      </w:r>
      <w:proofErr w:type="gramEnd"/>
      <w:r>
        <w:rPr>
          <w:rFonts w:ascii="Century Gothic" w:hAnsi="Century Gothic"/>
          <w:sz w:val="22"/>
          <w:szCs w:val="22"/>
          <w:lang w:val="en-GB"/>
        </w:rPr>
        <w:t xml:space="preserve"> and business mobile communications. The development is moving towards the mass production and deployment of affordable devices with embedded SIM cards and low battery consumption. 5G network</w:t>
      </w:r>
      <w:r w:rsidR="00724CFC">
        <w:rPr>
          <w:rFonts w:ascii="Century Gothic" w:hAnsi="Century Gothic"/>
          <w:sz w:val="22"/>
          <w:szCs w:val="22"/>
          <w:lang w:val="en-GB"/>
        </w:rPr>
        <w:t>s</w:t>
      </w:r>
      <w:r>
        <w:rPr>
          <w:rFonts w:ascii="Century Gothic" w:hAnsi="Century Gothic"/>
          <w:sz w:val="22"/>
          <w:szCs w:val="22"/>
          <w:lang w:val="en-GB"/>
        </w:rPr>
        <w:t xml:space="preserve"> will drive industrial automation (Industry 4.0), automated transport, smart cities, smart homes, smart buildings and similar. 5G technology is expected to enable major advances in the deployment of autonomous vehicles and next-generation transport.</w:t>
      </w:r>
    </w:p>
    <w:p w14:paraId="4F5DD2ED" w14:textId="77777777" w:rsidR="0012083D" w:rsidRPr="00AC504C" w:rsidRDefault="0012083D" w:rsidP="00362FB6">
      <w:pPr>
        <w:spacing w:line="240" w:lineRule="auto"/>
        <w:jc w:val="both"/>
        <w:rPr>
          <w:rFonts w:ascii="Century Gothic" w:hAnsi="Century Gothic"/>
          <w:sz w:val="22"/>
          <w:szCs w:val="22"/>
        </w:rPr>
      </w:pPr>
    </w:p>
    <w:p w14:paraId="5D71BDAA" w14:textId="77777777" w:rsidR="005E3A16" w:rsidRPr="00AC504C" w:rsidRDefault="005E3A16" w:rsidP="00362FB6">
      <w:pPr>
        <w:spacing w:line="240" w:lineRule="auto"/>
        <w:jc w:val="both"/>
        <w:rPr>
          <w:rFonts w:ascii="Century Gothic" w:hAnsi="Century Gothic"/>
          <w:sz w:val="22"/>
          <w:szCs w:val="22"/>
        </w:rPr>
      </w:pPr>
    </w:p>
    <w:p w14:paraId="6F860E5A" w14:textId="77777777" w:rsidR="005E3A16" w:rsidRPr="00AC504C" w:rsidRDefault="005E3A16" w:rsidP="00362FB6">
      <w:pPr>
        <w:spacing w:line="240" w:lineRule="auto"/>
        <w:jc w:val="both"/>
        <w:rPr>
          <w:rFonts w:ascii="Century Gothic" w:hAnsi="Century Gothic"/>
          <w:sz w:val="22"/>
          <w:szCs w:val="22"/>
        </w:rPr>
      </w:pPr>
    </w:p>
    <w:p w14:paraId="04E18C9C" w14:textId="77777777" w:rsidR="005E3A16" w:rsidRPr="00AC504C" w:rsidRDefault="005E3A16" w:rsidP="00362FB6">
      <w:pPr>
        <w:spacing w:line="240" w:lineRule="auto"/>
        <w:jc w:val="both"/>
        <w:rPr>
          <w:rFonts w:ascii="Century Gothic" w:hAnsi="Century Gothic"/>
          <w:sz w:val="22"/>
          <w:szCs w:val="22"/>
        </w:rPr>
      </w:pPr>
    </w:p>
    <w:p w14:paraId="5BDBDE2A" w14:textId="77777777" w:rsidR="005E3A16" w:rsidRPr="00AC504C" w:rsidRDefault="005E3A16" w:rsidP="00362FB6">
      <w:pPr>
        <w:spacing w:line="240" w:lineRule="auto"/>
        <w:jc w:val="both"/>
        <w:rPr>
          <w:rFonts w:ascii="Century Gothic" w:hAnsi="Century Gothic"/>
          <w:sz w:val="22"/>
          <w:szCs w:val="22"/>
        </w:rPr>
      </w:pPr>
    </w:p>
    <w:p w14:paraId="1CE6D284" w14:textId="77777777" w:rsidR="005E3A16" w:rsidRPr="00AC504C" w:rsidRDefault="005E3A16" w:rsidP="00362FB6">
      <w:pPr>
        <w:spacing w:line="240" w:lineRule="auto"/>
        <w:jc w:val="both"/>
        <w:rPr>
          <w:rFonts w:ascii="Century Gothic" w:hAnsi="Century Gothic"/>
          <w:sz w:val="22"/>
          <w:szCs w:val="22"/>
        </w:rPr>
      </w:pPr>
    </w:p>
    <w:p w14:paraId="5E26E2F3" w14:textId="77777777" w:rsidR="005E3A16" w:rsidRPr="00AC504C" w:rsidRDefault="005E3A16" w:rsidP="00362FB6">
      <w:pPr>
        <w:spacing w:line="240" w:lineRule="auto"/>
        <w:jc w:val="both"/>
        <w:rPr>
          <w:rFonts w:ascii="Century Gothic" w:hAnsi="Century Gothic"/>
          <w:sz w:val="22"/>
          <w:szCs w:val="22"/>
        </w:rPr>
      </w:pPr>
    </w:p>
    <w:p w14:paraId="14DD6BAE" w14:textId="77777777" w:rsidR="005E3A16" w:rsidRPr="00AC504C" w:rsidRDefault="005E3A16" w:rsidP="00362FB6">
      <w:pPr>
        <w:spacing w:line="240" w:lineRule="auto"/>
        <w:jc w:val="both"/>
        <w:rPr>
          <w:rFonts w:ascii="Century Gothic" w:hAnsi="Century Gothic"/>
          <w:sz w:val="22"/>
          <w:szCs w:val="22"/>
        </w:rPr>
      </w:pPr>
    </w:p>
    <w:p w14:paraId="0D78BF2A" w14:textId="77777777" w:rsidR="005E3A16" w:rsidRPr="00AC504C" w:rsidRDefault="005E3A16" w:rsidP="00362FB6">
      <w:pPr>
        <w:spacing w:line="240" w:lineRule="auto"/>
        <w:jc w:val="both"/>
        <w:rPr>
          <w:rFonts w:ascii="Century Gothic" w:hAnsi="Century Gothic"/>
          <w:sz w:val="22"/>
          <w:szCs w:val="22"/>
        </w:rPr>
      </w:pPr>
    </w:p>
    <w:p w14:paraId="6C4A76A3" w14:textId="77777777" w:rsidR="005E3A16" w:rsidRPr="00AC504C" w:rsidRDefault="005E3A16" w:rsidP="00362FB6">
      <w:pPr>
        <w:spacing w:line="240" w:lineRule="auto"/>
        <w:jc w:val="both"/>
        <w:rPr>
          <w:rFonts w:ascii="Century Gothic" w:hAnsi="Century Gothic"/>
          <w:sz w:val="22"/>
          <w:szCs w:val="22"/>
        </w:rPr>
      </w:pPr>
    </w:p>
    <w:p w14:paraId="7FB636E2" w14:textId="77777777" w:rsidR="005E3A16" w:rsidRPr="00AC504C" w:rsidRDefault="005E3A16" w:rsidP="00362FB6">
      <w:pPr>
        <w:spacing w:line="240" w:lineRule="auto"/>
        <w:jc w:val="both"/>
        <w:rPr>
          <w:rFonts w:ascii="Century Gothic" w:hAnsi="Century Gothic"/>
          <w:sz w:val="22"/>
          <w:szCs w:val="22"/>
        </w:rPr>
      </w:pPr>
    </w:p>
    <w:p w14:paraId="0C647D0E" w14:textId="77777777" w:rsidR="005E3A16" w:rsidRPr="00AC504C" w:rsidRDefault="005E3A16" w:rsidP="00362FB6">
      <w:pPr>
        <w:spacing w:line="240" w:lineRule="auto"/>
        <w:jc w:val="both"/>
        <w:rPr>
          <w:rFonts w:ascii="Century Gothic" w:hAnsi="Century Gothic"/>
          <w:sz w:val="22"/>
          <w:szCs w:val="22"/>
        </w:rPr>
      </w:pPr>
    </w:p>
    <w:p w14:paraId="061E4CCB" w14:textId="77777777" w:rsidR="005E3A16" w:rsidRPr="00AC504C" w:rsidRDefault="005E3A16" w:rsidP="00362FB6">
      <w:pPr>
        <w:spacing w:line="240" w:lineRule="auto"/>
        <w:jc w:val="both"/>
        <w:rPr>
          <w:rFonts w:ascii="Century Gothic" w:hAnsi="Century Gothic"/>
          <w:sz w:val="22"/>
          <w:szCs w:val="22"/>
        </w:rPr>
      </w:pPr>
    </w:p>
    <w:p w14:paraId="5374BEE4" w14:textId="77777777" w:rsidR="005E3A16" w:rsidRPr="00AC504C" w:rsidRDefault="005E3A16" w:rsidP="00362FB6">
      <w:pPr>
        <w:spacing w:line="240" w:lineRule="auto"/>
        <w:jc w:val="both"/>
        <w:rPr>
          <w:rFonts w:ascii="Century Gothic" w:hAnsi="Century Gothic"/>
          <w:sz w:val="22"/>
          <w:szCs w:val="22"/>
        </w:rPr>
      </w:pPr>
    </w:p>
    <w:p w14:paraId="40CC250B" w14:textId="77777777" w:rsidR="005E3A16" w:rsidRPr="00AC504C" w:rsidRDefault="005E3A16" w:rsidP="00362FB6">
      <w:pPr>
        <w:spacing w:line="240" w:lineRule="auto"/>
        <w:jc w:val="both"/>
        <w:rPr>
          <w:rFonts w:ascii="Century Gothic" w:hAnsi="Century Gothic"/>
          <w:sz w:val="22"/>
          <w:szCs w:val="22"/>
        </w:rPr>
      </w:pPr>
    </w:p>
    <w:p w14:paraId="72B5E644" w14:textId="77777777" w:rsidR="005E3A16" w:rsidRPr="00AC504C" w:rsidRDefault="005E3A16" w:rsidP="00362FB6">
      <w:pPr>
        <w:spacing w:line="240" w:lineRule="auto"/>
        <w:jc w:val="both"/>
        <w:rPr>
          <w:rFonts w:ascii="Century Gothic" w:hAnsi="Century Gothic"/>
          <w:sz w:val="22"/>
          <w:szCs w:val="22"/>
        </w:rPr>
      </w:pPr>
    </w:p>
    <w:p w14:paraId="474FC5A6" w14:textId="77777777" w:rsidR="008253DD" w:rsidRPr="00AC504C" w:rsidRDefault="008253DD" w:rsidP="00362FB6">
      <w:pPr>
        <w:spacing w:line="240" w:lineRule="auto"/>
        <w:jc w:val="both"/>
        <w:rPr>
          <w:rFonts w:ascii="Century Gothic" w:hAnsi="Century Gothic"/>
          <w:sz w:val="22"/>
          <w:szCs w:val="22"/>
        </w:rPr>
      </w:pPr>
      <w:r>
        <w:rPr>
          <w:rFonts w:ascii="Century Gothic" w:hAnsi="Century Gothic"/>
          <w:sz w:val="22"/>
          <w:szCs w:val="22"/>
          <w:lang w:val="en-GB"/>
        </w:rPr>
        <w:t xml:space="preserve">Figure 1: 5G technology – latency and data transfer rates </w:t>
      </w:r>
    </w:p>
    <w:p w14:paraId="5A5E5063" w14:textId="77777777" w:rsidR="008253DD" w:rsidRPr="00AC504C" w:rsidRDefault="008253DD" w:rsidP="00362FB6">
      <w:pPr>
        <w:spacing w:line="240" w:lineRule="auto"/>
        <w:jc w:val="both"/>
        <w:rPr>
          <w:rFonts w:ascii="Century Gothic" w:hAnsi="Century Gothic"/>
          <w:sz w:val="22"/>
          <w:szCs w:val="22"/>
        </w:rPr>
      </w:pPr>
      <w:r>
        <w:rPr>
          <w:noProof/>
          <w:lang w:val="sl-SI" w:eastAsia="sl-SI"/>
        </w:rPr>
        <w:drawing>
          <wp:inline distT="0" distB="0" distL="0" distR="0" wp14:anchorId="015D5610" wp14:editId="17171E06">
            <wp:extent cx="5231886" cy="3615315"/>
            <wp:effectExtent l="0" t="0" r="6985" b="4445"/>
            <wp:docPr id="1" name="Slika 1" descr="Figure 1: 5G technology – latency and data transfer r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Figure 1: 5G technology – latency and data transfer rates "/>
                    <pic:cNvPicPr/>
                  </pic:nvPicPr>
                  <pic:blipFill rotWithShape="1">
                    <a:blip r:embed="rId11"/>
                    <a:srcRect l="29282" t="31318" r="28959" b="17382"/>
                    <a:stretch/>
                  </pic:blipFill>
                  <pic:spPr bwMode="auto">
                    <a:xfrm>
                      <a:off x="0" y="0"/>
                      <a:ext cx="5247444" cy="3626066"/>
                    </a:xfrm>
                    <a:prstGeom prst="rect">
                      <a:avLst/>
                    </a:prstGeom>
                    <a:ln>
                      <a:noFill/>
                    </a:ln>
                    <a:extLst>
                      <a:ext uri="{53640926-AAD7-44D8-BBD7-CCE9431645EC}">
                        <a14:shadowObscured xmlns:a14="http://schemas.microsoft.com/office/drawing/2010/main"/>
                      </a:ext>
                    </a:extLst>
                  </pic:spPr>
                </pic:pic>
              </a:graphicData>
            </a:graphic>
          </wp:inline>
        </w:drawing>
      </w:r>
    </w:p>
    <w:p w14:paraId="6F3ED30F" w14:textId="77777777" w:rsidR="007B072C" w:rsidRPr="00AC504C" w:rsidRDefault="007B072C" w:rsidP="00362FB6">
      <w:pPr>
        <w:spacing w:line="240" w:lineRule="auto"/>
        <w:jc w:val="both"/>
        <w:rPr>
          <w:rFonts w:ascii="Century Gothic" w:hAnsi="Century Gothic"/>
          <w:sz w:val="22"/>
          <w:szCs w:val="22"/>
        </w:rPr>
      </w:pPr>
    </w:p>
    <w:p w14:paraId="5833D245" w14:textId="77777777" w:rsidR="008253DD" w:rsidRPr="00AC504C" w:rsidRDefault="008253DD" w:rsidP="00362FB6">
      <w:pPr>
        <w:spacing w:line="240" w:lineRule="auto"/>
        <w:jc w:val="both"/>
        <w:rPr>
          <w:rFonts w:ascii="Century Gothic" w:hAnsi="Century Gothic"/>
          <w:sz w:val="18"/>
          <w:szCs w:val="18"/>
        </w:rPr>
      </w:pPr>
      <w:r>
        <w:rPr>
          <w:rFonts w:ascii="Century Gothic" w:hAnsi="Century Gothic"/>
          <w:sz w:val="18"/>
          <w:szCs w:val="18"/>
          <w:lang w:val="en-GB"/>
        </w:rPr>
        <w:t>Source: GSMA Intelligence and Agency for Communication Networks and Services of the Republic of Slovenia (AKOS)</w:t>
      </w:r>
    </w:p>
    <w:p w14:paraId="57168997" w14:textId="77777777" w:rsidR="007B072C" w:rsidRPr="00AC504C" w:rsidRDefault="007B072C" w:rsidP="00362FB6">
      <w:pPr>
        <w:spacing w:line="240" w:lineRule="auto"/>
        <w:jc w:val="both"/>
        <w:rPr>
          <w:rFonts w:ascii="Century Gothic" w:hAnsi="Century Gothic"/>
          <w:sz w:val="22"/>
          <w:szCs w:val="22"/>
        </w:rPr>
      </w:pPr>
    </w:p>
    <w:p w14:paraId="16A94E9C" w14:textId="6A73A890" w:rsidR="007B072C" w:rsidRPr="00AC504C" w:rsidRDefault="006104CF" w:rsidP="003D0650">
      <w:pPr>
        <w:spacing w:line="240" w:lineRule="auto"/>
        <w:jc w:val="both"/>
        <w:rPr>
          <w:rFonts w:ascii="Century Gothic" w:hAnsi="Century Gothic"/>
          <w:sz w:val="22"/>
          <w:szCs w:val="22"/>
        </w:rPr>
      </w:pPr>
      <w:r>
        <w:rPr>
          <w:rFonts w:ascii="Century Gothic" w:hAnsi="Century Gothic"/>
          <w:sz w:val="22"/>
          <w:szCs w:val="22"/>
          <w:lang w:val="en-GB"/>
        </w:rPr>
        <w:t xml:space="preserve">By design, 5G technology enables the use of public mobile communications network infrastructure to meet the needs of different sector verticals, such as the transport vertical for connected and automated driving, the Internet of Things for smart cities and Industry 4.0, public </w:t>
      </w:r>
      <w:proofErr w:type="gramStart"/>
      <w:r>
        <w:rPr>
          <w:rFonts w:ascii="Century Gothic" w:hAnsi="Century Gothic"/>
          <w:sz w:val="22"/>
          <w:szCs w:val="22"/>
          <w:lang w:val="en-GB"/>
        </w:rPr>
        <w:t>protection</w:t>
      </w:r>
      <w:proofErr w:type="gramEnd"/>
      <w:r>
        <w:rPr>
          <w:rFonts w:ascii="Century Gothic" w:hAnsi="Century Gothic"/>
          <w:sz w:val="22"/>
          <w:szCs w:val="22"/>
          <w:lang w:val="en-GB"/>
        </w:rPr>
        <w:t xml:space="preserve"> and disaster relief. 5G network</w:t>
      </w:r>
      <w:r w:rsidR="00724CFC">
        <w:rPr>
          <w:rFonts w:ascii="Century Gothic" w:hAnsi="Century Gothic"/>
          <w:sz w:val="22"/>
          <w:szCs w:val="22"/>
          <w:lang w:val="en-GB"/>
        </w:rPr>
        <w:t>s</w:t>
      </w:r>
      <w:r>
        <w:rPr>
          <w:rFonts w:ascii="Century Gothic" w:hAnsi="Century Gothic"/>
          <w:sz w:val="22"/>
          <w:szCs w:val="22"/>
          <w:lang w:val="en-GB"/>
        </w:rPr>
        <w:t xml:space="preserve"> will accelerate the deployment of new user services and enable operators to generate new revenues. The development of new wireless transmission technologies, network equipment, antennas and antenna systems and new user devices will further accelerate the development of ICT and related application and content suppliers. The use of centralised radio access networks with dense small cells is foreseen. According to statistics, 80% of mobile users are static and only 20% are mobile, which means that new models will be used to provide indoor coverage of end-users with 5G network equipment, thus relaxing the requirements on outdoor coverage networks. The widespread use of the virtualisation of network functionalities and software-defined networks will enable innovative ways of using and sharing mobile networks and, on this basis, new business models.</w:t>
      </w:r>
    </w:p>
    <w:p w14:paraId="78396799" w14:textId="77777777" w:rsidR="007B072C" w:rsidRPr="00AC504C" w:rsidRDefault="007B072C" w:rsidP="00362FB6">
      <w:pPr>
        <w:spacing w:line="240" w:lineRule="auto"/>
        <w:jc w:val="both"/>
        <w:rPr>
          <w:rFonts w:ascii="Century Gothic" w:hAnsi="Century Gothic"/>
          <w:sz w:val="22"/>
          <w:szCs w:val="22"/>
        </w:rPr>
      </w:pPr>
    </w:p>
    <w:p w14:paraId="4D4849E0" w14:textId="77777777" w:rsidR="00362FB6" w:rsidRPr="00AC504C" w:rsidRDefault="00362FB6" w:rsidP="00362FB6">
      <w:pPr>
        <w:spacing w:line="240" w:lineRule="auto"/>
        <w:jc w:val="both"/>
        <w:rPr>
          <w:rFonts w:ascii="Century Gothic" w:hAnsi="Century Gothic"/>
          <w:sz w:val="22"/>
          <w:szCs w:val="22"/>
        </w:rPr>
      </w:pPr>
      <w:r>
        <w:rPr>
          <w:rFonts w:ascii="Century Gothic" w:hAnsi="Century Gothic"/>
          <w:sz w:val="22"/>
          <w:szCs w:val="22"/>
          <w:lang w:val="en-GB"/>
        </w:rPr>
        <w:t>The advantages of 5G technology development include:</w:t>
      </w:r>
      <w:r>
        <w:rPr>
          <w:rStyle w:val="Sprotnaopomba-sklic"/>
          <w:rFonts w:ascii="Century Gothic" w:hAnsi="Century Gothic"/>
          <w:sz w:val="22"/>
          <w:szCs w:val="22"/>
          <w:lang w:val="en-GB"/>
        </w:rPr>
        <w:footnoteReference w:id="7"/>
      </w:r>
    </w:p>
    <w:p w14:paraId="6946E26D" w14:textId="77777777" w:rsidR="00362FB6" w:rsidRPr="00AC504C" w:rsidRDefault="005819F0" w:rsidP="004E206E">
      <w:pPr>
        <w:pStyle w:val="Odstavekseznama"/>
        <w:numPr>
          <w:ilvl w:val="0"/>
          <w:numId w:val="27"/>
        </w:numPr>
        <w:spacing w:line="240" w:lineRule="auto"/>
        <w:jc w:val="both"/>
        <w:rPr>
          <w:rFonts w:ascii="Century Gothic" w:hAnsi="Century Gothic"/>
        </w:rPr>
      </w:pPr>
      <w:r>
        <w:rPr>
          <w:rFonts w:ascii="Century Gothic" w:hAnsi="Century Gothic"/>
          <w:lang w:val="en-GB"/>
        </w:rPr>
        <w:t xml:space="preserve">highly efficient mobile networks providing better mobile network characteristics at lower investment </w:t>
      </w:r>
      <w:proofErr w:type="gramStart"/>
      <w:r>
        <w:rPr>
          <w:rFonts w:ascii="Century Gothic" w:hAnsi="Century Gothic"/>
          <w:lang w:val="en-GB"/>
        </w:rPr>
        <w:t>costs;</w:t>
      </w:r>
      <w:proofErr w:type="gramEnd"/>
    </w:p>
    <w:p w14:paraId="5F695772" w14:textId="77777777" w:rsidR="00362FB6" w:rsidRPr="00AC504C" w:rsidRDefault="005819F0" w:rsidP="004E206E">
      <w:pPr>
        <w:pStyle w:val="Odstavekseznama"/>
        <w:numPr>
          <w:ilvl w:val="0"/>
          <w:numId w:val="27"/>
        </w:numPr>
        <w:spacing w:line="240" w:lineRule="auto"/>
        <w:jc w:val="both"/>
        <w:rPr>
          <w:rFonts w:ascii="Century Gothic" w:hAnsi="Century Gothic"/>
        </w:rPr>
      </w:pPr>
      <w:r>
        <w:rPr>
          <w:rFonts w:ascii="Century Gothic" w:hAnsi="Century Gothic"/>
          <w:lang w:val="en-GB"/>
        </w:rPr>
        <w:t xml:space="preserve">an ultra-fast mobile network, including the next generation of densely deployed small base stations with high data transfer rates; frequencies </w:t>
      </w:r>
      <w:r>
        <w:rPr>
          <w:rFonts w:ascii="Century Gothic" w:hAnsi="Century Gothic"/>
          <w:lang w:val="en-GB"/>
        </w:rPr>
        <w:lastRenderedPageBreak/>
        <w:t xml:space="preserve">below 700 MHz and above 4G Hz will also be used, as well as dynamic spectrum </w:t>
      </w:r>
      <w:proofErr w:type="gramStart"/>
      <w:r>
        <w:rPr>
          <w:rFonts w:ascii="Century Gothic" w:hAnsi="Century Gothic"/>
          <w:lang w:val="en-GB"/>
        </w:rPr>
        <w:t>access;</w:t>
      </w:r>
      <w:proofErr w:type="gramEnd"/>
    </w:p>
    <w:p w14:paraId="674CA72C" w14:textId="77777777" w:rsidR="00362FB6" w:rsidRPr="00AC504C" w:rsidRDefault="005819F0" w:rsidP="004E206E">
      <w:pPr>
        <w:pStyle w:val="Odstavekseznama"/>
        <w:numPr>
          <w:ilvl w:val="0"/>
          <w:numId w:val="27"/>
        </w:numPr>
        <w:spacing w:line="240" w:lineRule="auto"/>
        <w:jc w:val="both"/>
        <w:rPr>
          <w:rFonts w:ascii="Century Gothic" w:hAnsi="Century Gothic"/>
        </w:rPr>
      </w:pPr>
      <w:r>
        <w:rPr>
          <w:rFonts w:ascii="Century Gothic" w:hAnsi="Century Gothic"/>
          <w:lang w:val="en-GB"/>
        </w:rPr>
        <w:t xml:space="preserve">combining fibre and wireless networks, which will provide internet data transfer rates of up to 10 Gbitps at millimetre waves (20–60 GHz) and will be dedicated to nomadic services </w:t>
      </w:r>
      <w:r>
        <w:rPr>
          <w:rStyle w:val="Sprotnaopomba-sklic"/>
          <w:rFonts w:ascii="Century Gothic" w:hAnsi="Century Gothic"/>
          <w:lang w:val="en-GB"/>
        </w:rPr>
        <w:footnoteReference w:id="8"/>
      </w:r>
      <w:r>
        <w:rPr>
          <w:rFonts w:ascii="Century Gothic" w:hAnsi="Century Gothic"/>
          <w:lang w:val="en-GB"/>
        </w:rPr>
        <w:t xml:space="preserve">(such as Wi-Fi) in addition to mobile </w:t>
      </w:r>
      <w:proofErr w:type="gramStart"/>
      <w:r>
        <w:rPr>
          <w:rFonts w:ascii="Century Gothic" w:hAnsi="Century Gothic"/>
          <w:lang w:val="en-GB"/>
        </w:rPr>
        <w:t>access;</w:t>
      </w:r>
      <w:proofErr w:type="gramEnd"/>
    </w:p>
    <w:p w14:paraId="02B63F5F" w14:textId="77777777" w:rsidR="00362FB6" w:rsidRPr="00AC504C" w:rsidRDefault="005819F0" w:rsidP="007D0308">
      <w:pPr>
        <w:pStyle w:val="Odstavekseznama"/>
        <w:numPr>
          <w:ilvl w:val="0"/>
          <w:numId w:val="27"/>
        </w:numPr>
        <w:spacing w:after="0" w:line="240" w:lineRule="auto"/>
        <w:jc w:val="both"/>
        <w:rPr>
          <w:rFonts w:ascii="Century Gothic" w:hAnsi="Century Gothic"/>
        </w:rPr>
      </w:pPr>
      <w:r>
        <w:rPr>
          <w:rFonts w:ascii="Century Gothic" w:hAnsi="Century Gothic"/>
          <w:lang w:val="en-GB"/>
        </w:rPr>
        <w:t xml:space="preserve">supporting and meeting the needs of certain vertical sectors, notably automotive, transport, healthcare, energy, manufacturing, </w:t>
      </w:r>
      <w:proofErr w:type="gramStart"/>
      <w:r>
        <w:rPr>
          <w:rFonts w:ascii="Century Gothic" w:hAnsi="Century Gothic"/>
          <w:lang w:val="en-GB"/>
        </w:rPr>
        <w:t>media</w:t>
      </w:r>
      <w:proofErr w:type="gramEnd"/>
      <w:r>
        <w:rPr>
          <w:rFonts w:ascii="Century Gothic" w:hAnsi="Century Gothic"/>
          <w:lang w:val="en-GB"/>
        </w:rPr>
        <w:t xml:space="preserve"> and entertainment.</w:t>
      </w:r>
    </w:p>
    <w:p w14:paraId="24A9C0B5" w14:textId="77777777" w:rsidR="00E5171B" w:rsidRPr="00AC504C" w:rsidRDefault="00E5171B" w:rsidP="00E5171B">
      <w:pPr>
        <w:spacing w:line="240" w:lineRule="auto"/>
        <w:jc w:val="both"/>
        <w:rPr>
          <w:rFonts w:ascii="Century Gothic" w:hAnsi="Century Gothic"/>
        </w:rPr>
      </w:pPr>
    </w:p>
    <w:p w14:paraId="1F52A524" w14:textId="77777777" w:rsidR="00C04E3E" w:rsidRPr="00AC504C" w:rsidRDefault="00C04E3E" w:rsidP="003D0650">
      <w:pPr>
        <w:spacing w:line="280" w:lineRule="atLeast"/>
        <w:jc w:val="both"/>
        <w:rPr>
          <w:rFonts w:ascii="Century Gothic" w:hAnsi="Century Gothic"/>
          <w:sz w:val="22"/>
          <w:szCs w:val="22"/>
        </w:rPr>
      </w:pPr>
      <w:r>
        <w:rPr>
          <w:rFonts w:ascii="Century Gothic" w:hAnsi="Century Gothic"/>
          <w:sz w:val="22"/>
          <w:szCs w:val="22"/>
          <w:lang w:val="en-GB"/>
        </w:rPr>
        <w:t xml:space="preserve">5G technology enables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mobile communication for demanding video transmission, M2M communications and electronic communications services that are particularly sensitive to latency. Using software-defined networking technologies and the virtualisation of network functions, network slices can be created and managed as virtually autonomous networks. They can be used to cover the specific needs of sectoral verticals,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the content of networks.</w:t>
      </w:r>
    </w:p>
    <w:p w14:paraId="40962833" w14:textId="77777777" w:rsidR="00C04E3E" w:rsidRPr="00AC504C" w:rsidRDefault="00C04E3E" w:rsidP="00E5171B">
      <w:pPr>
        <w:spacing w:line="240" w:lineRule="auto"/>
        <w:jc w:val="both"/>
        <w:rPr>
          <w:rFonts w:ascii="Century Gothic" w:hAnsi="Century Gothic"/>
        </w:rPr>
      </w:pPr>
    </w:p>
    <w:p w14:paraId="5B91095D" w14:textId="77777777" w:rsidR="003674F0" w:rsidRPr="00AE3CB1" w:rsidRDefault="00E5171B" w:rsidP="00E5171B">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All technologies that can contribute to the connectivity objectives, including emerging and future technologies, will be treated in line with the principle of technology neutrality for the purposes of national action, taking the characteristics of each technology into consideration. This decade may see rapid further development, enabling even more powerful virtual and augmented reality technologies and </w:t>
      </w:r>
      <w:proofErr w:type="gramStart"/>
      <w:r>
        <w:rPr>
          <w:rFonts w:ascii="Century Gothic" w:hAnsi="Century Gothic"/>
          <w:sz w:val="22"/>
          <w:szCs w:val="22"/>
          <w:lang w:val="en-GB"/>
        </w:rPr>
        <w:t>accelerated</w:t>
      </w:r>
      <w:proofErr w:type="gramEnd"/>
      <w:r>
        <w:rPr>
          <w:rFonts w:ascii="Century Gothic" w:hAnsi="Century Gothic"/>
          <w:sz w:val="22"/>
          <w:szCs w:val="22"/>
          <w:lang w:val="en-GB"/>
        </w:rPr>
        <w:t xml:space="preserve"> development of smart cities and artificial intelligence and, with enhanced M2M communications, the development of the Internet of Things in general.</w:t>
      </w:r>
    </w:p>
    <w:p w14:paraId="662110A5" w14:textId="77777777" w:rsidR="003674F0" w:rsidRPr="00AE3CB1" w:rsidRDefault="003674F0" w:rsidP="00E5171B">
      <w:pPr>
        <w:pStyle w:val="podpisi"/>
        <w:spacing w:line="280" w:lineRule="exact"/>
        <w:jc w:val="both"/>
        <w:rPr>
          <w:rFonts w:ascii="Century Gothic" w:hAnsi="Century Gothic"/>
          <w:sz w:val="22"/>
          <w:szCs w:val="22"/>
          <w:lang w:val="en-US"/>
        </w:rPr>
      </w:pPr>
    </w:p>
    <w:p w14:paraId="1D887E4F" w14:textId="77777777" w:rsidR="00B95890" w:rsidRPr="00AE3CB1" w:rsidRDefault="00B95890" w:rsidP="00B95890">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The Plan addresses the development of infrastructure for publicly available electronic communications services in accordance with the statutory powers of state authorities. In terms of the efficient use of public funds and the availability of state-of-the-art communications services, the use of public 5G mobile communications infrastructure is also envisaged to meet the specific communications needs of state authorities in the field of public protection and disaster relief. To meet the internal communications needs of its authorities, the state will be involved in dedicated development programmes at the EU level, in particular the Secure Connectivity Initiative (GOVSATCOM and EuroQCI projects), which is aimed at establishing a global satellite constellation and developing secure satellite communications services for state users in the EU Member States available anywhere on Earth. The Initiative will ensure the EU's infrastructural and services autonomy in the field of highly secure communications for police, military, diplomacy, external border control, anti-trafficking activities, and crisis management of natural, </w:t>
      </w:r>
      <w:proofErr w:type="gramStart"/>
      <w:r>
        <w:rPr>
          <w:rFonts w:ascii="Century Gothic" w:hAnsi="Century Gothic"/>
          <w:sz w:val="22"/>
          <w:szCs w:val="22"/>
          <w:lang w:val="en-GB"/>
        </w:rPr>
        <w:t>humanitarian</w:t>
      </w:r>
      <w:proofErr w:type="gramEnd"/>
      <w:r>
        <w:rPr>
          <w:rFonts w:ascii="Century Gothic" w:hAnsi="Century Gothic"/>
          <w:sz w:val="22"/>
          <w:szCs w:val="22"/>
          <w:lang w:val="en-GB"/>
        </w:rPr>
        <w:t xml:space="preserve"> and other disasters. It is also envisaged that the system will provide complementary public internet access services for end-users in locations where quality terrestrial access cannot be provided.</w:t>
      </w:r>
    </w:p>
    <w:p w14:paraId="1862538D" w14:textId="77777777" w:rsidR="00B95890" w:rsidRPr="00AE3CB1" w:rsidRDefault="00B95890" w:rsidP="00E5171B">
      <w:pPr>
        <w:pStyle w:val="podpisi"/>
        <w:spacing w:line="280" w:lineRule="exact"/>
        <w:jc w:val="both"/>
        <w:rPr>
          <w:rFonts w:ascii="Century Gothic" w:hAnsi="Century Gothic"/>
          <w:sz w:val="22"/>
          <w:szCs w:val="22"/>
          <w:lang w:val="en-US"/>
        </w:rPr>
      </w:pPr>
    </w:p>
    <w:p w14:paraId="0F2BFA34" w14:textId="77777777" w:rsidR="000D152D" w:rsidRPr="001B709D" w:rsidRDefault="000D152D" w:rsidP="007E059F">
      <w:pPr>
        <w:pStyle w:val="Naslov"/>
        <w:rPr>
          <w:rFonts w:ascii="Century Gothic" w:hAnsi="Century Gothic"/>
          <w:sz w:val="22"/>
          <w:szCs w:val="22"/>
        </w:rPr>
      </w:pPr>
      <w:bookmarkStart w:id="2" w:name="_Toc140746430"/>
      <w:r>
        <w:rPr>
          <w:rFonts w:ascii="Century Gothic" w:hAnsi="Century Gothic"/>
          <w:bCs/>
          <w:sz w:val="22"/>
          <w:szCs w:val="22"/>
          <w:lang w:val="en-GB"/>
        </w:rPr>
        <w:t>EU TARGETS AND OBJECTIVES</w:t>
      </w:r>
      <w:bookmarkEnd w:id="2"/>
    </w:p>
    <w:p w14:paraId="252A564A" w14:textId="77777777" w:rsidR="000D152D" w:rsidRPr="00AC504C" w:rsidRDefault="000D152D" w:rsidP="007472B2">
      <w:pPr>
        <w:spacing w:line="240" w:lineRule="auto"/>
        <w:jc w:val="both"/>
        <w:rPr>
          <w:rFonts w:ascii="Century Gothic" w:hAnsi="Century Gothic"/>
          <w:sz w:val="22"/>
          <w:szCs w:val="22"/>
        </w:rPr>
      </w:pPr>
    </w:p>
    <w:p w14:paraId="643D0D9A" w14:textId="77777777" w:rsidR="00C30838" w:rsidRPr="00AC504C" w:rsidRDefault="00D91898" w:rsidP="00C30838">
      <w:pPr>
        <w:spacing w:line="280" w:lineRule="exact"/>
        <w:jc w:val="both"/>
        <w:rPr>
          <w:rFonts w:ascii="Century Gothic" w:hAnsi="Century Gothic"/>
          <w:sz w:val="22"/>
          <w:szCs w:val="22"/>
        </w:rPr>
      </w:pPr>
      <w:r>
        <w:rPr>
          <w:rFonts w:ascii="Century Gothic" w:hAnsi="Century Gothic"/>
          <w:sz w:val="22"/>
          <w:szCs w:val="22"/>
          <w:lang w:val="en-GB"/>
        </w:rPr>
        <w:t>The EU connectivity objectives, summarised below, are defined in the following acts:</w:t>
      </w:r>
    </w:p>
    <w:p w14:paraId="153FBA0B" w14:textId="77777777" w:rsidR="00C30838" w:rsidRPr="00AC504C" w:rsidRDefault="000C41C7" w:rsidP="00C30838">
      <w:pPr>
        <w:pStyle w:val="Odstavekseznama"/>
        <w:numPr>
          <w:ilvl w:val="0"/>
          <w:numId w:val="32"/>
        </w:numPr>
        <w:spacing w:line="280" w:lineRule="exact"/>
        <w:jc w:val="both"/>
        <w:rPr>
          <w:rFonts w:ascii="Century Gothic" w:hAnsi="Century Gothic"/>
        </w:rPr>
      </w:pPr>
      <w:r>
        <w:rPr>
          <w:rFonts w:ascii="Century Gothic" w:hAnsi="Century Gothic"/>
          <w:lang w:val="en-GB"/>
        </w:rPr>
        <w:t xml:space="preserve">(2.1) Communication from the Commission to the European Parliament, the Council, the European Economic and Social Committee and the Committee </w:t>
      </w:r>
      <w:r>
        <w:rPr>
          <w:rFonts w:ascii="Century Gothic" w:hAnsi="Century Gothic"/>
          <w:lang w:val="en-GB"/>
        </w:rPr>
        <w:lastRenderedPageBreak/>
        <w:t>of the Regions "Connectivity for a Competitive Digital Single Market – Towards a European Gigabit Society" (</w:t>
      </w:r>
      <w:proofErr w:type="gramStart"/>
      <w:r>
        <w:rPr>
          <w:rFonts w:ascii="Century Gothic" w:hAnsi="Century Gothic"/>
          <w:lang w:val="en-GB"/>
        </w:rPr>
        <w:t>COM(</w:t>
      </w:r>
      <w:proofErr w:type="gramEnd"/>
      <w:r>
        <w:rPr>
          <w:rFonts w:ascii="Century Gothic" w:hAnsi="Century Gothic"/>
          <w:lang w:val="en-GB"/>
        </w:rPr>
        <w:t>2016) 587 final, 14.9.2016),</w:t>
      </w:r>
    </w:p>
    <w:p w14:paraId="48D0FD74" w14:textId="77777777" w:rsidR="00C30838" w:rsidRPr="00AC504C" w:rsidRDefault="00E45764" w:rsidP="00C30838">
      <w:pPr>
        <w:pStyle w:val="Odstavekseznama"/>
        <w:numPr>
          <w:ilvl w:val="0"/>
          <w:numId w:val="32"/>
        </w:numPr>
        <w:spacing w:line="280" w:lineRule="exact"/>
        <w:jc w:val="both"/>
        <w:rPr>
          <w:rFonts w:ascii="Century Gothic" w:hAnsi="Century Gothic"/>
        </w:rPr>
      </w:pPr>
      <w:r>
        <w:rPr>
          <w:rFonts w:ascii="Century Gothic" w:hAnsi="Century Gothic"/>
          <w:lang w:val="en-GB"/>
        </w:rPr>
        <w:t>(2.2) Communication from the Commission to the European Parliament, the Council, the European Economic and Social Committee and the Committee of the Regions "5G for Europe: An Action Plan" (</w:t>
      </w:r>
      <w:proofErr w:type="gramStart"/>
      <w:r>
        <w:rPr>
          <w:rFonts w:ascii="Century Gothic" w:hAnsi="Century Gothic"/>
          <w:lang w:val="en-GB"/>
        </w:rPr>
        <w:t>COM(</w:t>
      </w:r>
      <w:proofErr w:type="gramEnd"/>
      <w:r>
        <w:rPr>
          <w:rFonts w:ascii="Century Gothic" w:hAnsi="Century Gothic"/>
          <w:lang w:val="en-GB"/>
        </w:rPr>
        <w:t>2016) 588 final, 14.9.2016),</w:t>
      </w:r>
    </w:p>
    <w:p w14:paraId="14983398" w14:textId="77777777" w:rsidR="00C30838" w:rsidRPr="00AC504C" w:rsidRDefault="00E45764" w:rsidP="00C30838">
      <w:pPr>
        <w:pStyle w:val="Odstavekseznama"/>
        <w:numPr>
          <w:ilvl w:val="0"/>
          <w:numId w:val="32"/>
        </w:numPr>
        <w:spacing w:line="280" w:lineRule="exact"/>
        <w:jc w:val="both"/>
        <w:rPr>
          <w:rFonts w:ascii="Century Gothic" w:hAnsi="Century Gothic"/>
        </w:rPr>
      </w:pPr>
      <w:r>
        <w:rPr>
          <w:rFonts w:ascii="Century Gothic" w:hAnsi="Century Gothic"/>
          <w:lang w:val="en-GB"/>
        </w:rPr>
        <w:t>(2.3) Communication from the Commission to the European Parliament, the Council, the European Economic and Social Committee and the Committee of the Regions "2030 Digital Compass: the European way for the Digital Decade" (</w:t>
      </w:r>
      <w:proofErr w:type="gramStart"/>
      <w:r>
        <w:rPr>
          <w:rFonts w:ascii="Century Gothic" w:hAnsi="Century Gothic"/>
          <w:lang w:val="en-GB"/>
        </w:rPr>
        <w:t>COM(</w:t>
      </w:r>
      <w:proofErr w:type="gramEnd"/>
      <w:r>
        <w:rPr>
          <w:rFonts w:ascii="Century Gothic" w:hAnsi="Century Gothic"/>
          <w:lang w:val="en-GB"/>
        </w:rPr>
        <w:t>2016) 118 final, 9.3.2021),</w:t>
      </w:r>
    </w:p>
    <w:p w14:paraId="2E0009A3" w14:textId="77777777" w:rsidR="00D61E99" w:rsidRPr="00AC504C" w:rsidRDefault="00E45764" w:rsidP="007E3571">
      <w:pPr>
        <w:pStyle w:val="Odstavekseznama"/>
        <w:numPr>
          <w:ilvl w:val="0"/>
          <w:numId w:val="32"/>
        </w:numPr>
        <w:spacing w:after="0" w:line="280" w:lineRule="exact"/>
        <w:jc w:val="both"/>
        <w:rPr>
          <w:rFonts w:ascii="Century Gothic" w:hAnsi="Century Gothic"/>
        </w:rPr>
      </w:pPr>
      <w:r>
        <w:rPr>
          <w:rFonts w:ascii="Century Gothic" w:hAnsi="Century Gothic"/>
          <w:lang w:val="en-GB"/>
        </w:rPr>
        <w:t>(2.4) Proposal for a Decision of the European Parliament and of the Council establishing the 2030 Policy Programme "Path to the Digital Decade" (</w:t>
      </w:r>
      <w:proofErr w:type="gramStart"/>
      <w:r>
        <w:rPr>
          <w:rFonts w:ascii="Century Gothic" w:hAnsi="Century Gothic"/>
          <w:lang w:val="en-GB"/>
        </w:rPr>
        <w:t>COM(</w:t>
      </w:r>
      <w:proofErr w:type="gramEnd"/>
      <w:r>
        <w:rPr>
          <w:rFonts w:ascii="Century Gothic" w:hAnsi="Century Gothic"/>
          <w:lang w:val="en-GB"/>
        </w:rPr>
        <w:t>2021) 574 final, 15.9.2021).</w:t>
      </w:r>
    </w:p>
    <w:p w14:paraId="527E8DA0" w14:textId="77777777" w:rsidR="007E3571" w:rsidRPr="00AC504C" w:rsidRDefault="007E3571" w:rsidP="007E3571">
      <w:pPr>
        <w:pStyle w:val="Odstavekseznama"/>
        <w:spacing w:after="0" w:line="280" w:lineRule="exact"/>
        <w:jc w:val="both"/>
        <w:rPr>
          <w:rFonts w:ascii="Century Gothic" w:hAnsi="Century Gothic"/>
        </w:rPr>
      </w:pPr>
    </w:p>
    <w:p w14:paraId="5C0C240A" w14:textId="77777777" w:rsidR="00D61E99" w:rsidRPr="00AC504C" w:rsidRDefault="00C21161" w:rsidP="00ED4A95">
      <w:pPr>
        <w:pStyle w:val="Naslov2"/>
        <w:spacing w:line="280" w:lineRule="exact"/>
        <w:jc w:val="both"/>
      </w:pPr>
      <w:bookmarkStart w:id="3" w:name="_Toc140746431"/>
      <w:r>
        <w:rPr>
          <w:lang w:val="en-GB"/>
        </w:rPr>
        <w:t xml:space="preserve">2.1 </w:t>
      </w:r>
      <w:bookmarkStart w:id="4" w:name="_Hlk99025690"/>
      <w:r>
        <w:rPr>
          <w:lang w:val="en-GB"/>
        </w:rPr>
        <w:t>Connectivity for a Competitive Digital Single Market – Towards a European Gigabit Society</w:t>
      </w:r>
      <w:bookmarkEnd w:id="3"/>
      <w:bookmarkEnd w:id="4"/>
    </w:p>
    <w:p w14:paraId="58CF8992" w14:textId="77777777" w:rsidR="006A6579" w:rsidRPr="00AC504C" w:rsidRDefault="006A6579" w:rsidP="006A6579">
      <w:pPr>
        <w:spacing w:line="280" w:lineRule="exact"/>
        <w:jc w:val="both"/>
        <w:rPr>
          <w:rFonts w:ascii="Century Gothic" w:hAnsi="Century Gothic"/>
          <w:sz w:val="22"/>
          <w:szCs w:val="22"/>
        </w:rPr>
      </w:pPr>
    </w:p>
    <w:p w14:paraId="2CDD7C22" w14:textId="77777777" w:rsidR="00D61E99" w:rsidRPr="00AC504C" w:rsidRDefault="006A6579" w:rsidP="006A6579">
      <w:pPr>
        <w:spacing w:line="280" w:lineRule="exact"/>
        <w:jc w:val="both"/>
        <w:rPr>
          <w:rFonts w:ascii="Century Gothic" w:hAnsi="Century Gothic"/>
          <w:sz w:val="22"/>
          <w:szCs w:val="22"/>
        </w:rPr>
      </w:pPr>
      <w:r>
        <w:rPr>
          <w:rFonts w:ascii="Century Gothic" w:hAnsi="Century Gothic"/>
          <w:sz w:val="22"/>
          <w:szCs w:val="22"/>
          <w:lang w:val="en-GB"/>
        </w:rPr>
        <w:t>The document sets out the following three main strategic objectives for the EU up to 2025:</w:t>
      </w:r>
    </w:p>
    <w:p w14:paraId="47EFF2E0" w14:textId="77777777" w:rsidR="00D61E99" w:rsidRPr="00AC504C" w:rsidRDefault="00D61E99" w:rsidP="00ED4A95">
      <w:pPr>
        <w:pStyle w:val="Odstavekseznama"/>
        <w:numPr>
          <w:ilvl w:val="1"/>
          <w:numId w:val="2"/>
        </w:numPr>
        <w:spacing w:line="280" w:lineRule="exact"/>
        <w:jc w:val="both"/>
        <w:rPr>
          <w:rFonts w:ascii="Century Gothic" w:hAnsi="Century Gothic"/>
        </w:rPr>
      </w:pPr>
      <w:r>
        <w:rPr>
          <w:rFonts w:ascii="Century Gothic" w:hAnsi="Century Gothic"/>
          <w:lang w:val="en-GB"/>
        </w:rPr>
        <w:t>gigabit connectivity for all main socio-economic drivers such as schools, transport hubs and main providers of public services as well as digitally intensive enterprises</w:t>
      </w:r>
      <w:r>
        <w:rPr>
          <w:rStyle w:val="Sprotnaopomba-sklic"/>
          <w:rFonts w:ascii="Century Gothic" w:hAnsi="Century Gothic"/>
          <w:lang w:val="en-GB"/>
        </w:rPr>
        <w:footnoteReference w:id="9"/>
      </w:r>
      <w:r>
        <w:rPr>
          <w:rFonts w:ascii="Century Gothic" w:hAnsi="Century Gothic"/>
          <w:lang w:val="en-GB"/>
        </w:rPr>
        <w:t>;</w:t>
      </w:r>
    </w:p>
    <w:p w14:paraId="5B456300" w14:textId="77777777" w:rsidR="00D61E99" w:rsidRPr="00AC504C" w:rsidRDefault="00D61E99" w:rsidP="00ED4A95">
      <w:pPr>
        <w:pStyle w:val="Odstavekseznama"/>
        <w:numPr>
          <w:ilvl w:val="1"/>
          <w:numId w:val="2"/>
        </w:numPr>
        <w:spacing w:line="280" w:lineRule="exact"/>
        <w:jc w:val="both"/>
        <w:rPr>
          <w:rFonts w:ascii="Century Gothic" w:hAnsi="Century Gothic"/>
        </w:rPr>
      </w:pPr>
      <w:r>
        <w:rPr>
          <w:rFonts w:ascii="Century Gothic" w:hAnsi="Century Gothic"/>
          <w:lang w:val="en-GB"/>
        </w:rPr>
        <w:t>all urban areas and all major terrestrial transport paths have uninterrupted 5G coverage, and</w:t>
      </w:r>
    </w:p>
    <w:p w14:paraId="0FF3D8DC" w14:textId="77777777" w:rsidR="00D035E2" w:rsidRDefault="00D61E99" w:rsidP="00ED4A95">
      <w:pPr>
        <w:pStyle w:val="Odstavekseznama"/>
        <w:numPr>
          <w:ilvl w:val="1"/>
          <w:numId w:val="2"/>
        </w:numPr>
        <w:spacing w:line="280" w:lineRule="exact"/>
        <w:jc w:val="both"/>
        <w:rPr>
          <w:rFonts w:ascii="Century Gothic" w:hAnsi="Century Gothic"/>
        </w:rPr>
      </w:pPr>
      <w:r>
        <w:rPr>
          <w:rFonts w:ascii="Century Gothic" w:hAnsi="Century Gothic"/>
          <w:lang w:val="en-GB"/>
        </w:rPr>
        <w:t>all European households, rural or urban, have access to internet connectivity offering a downlink of at least 100 Mbps, upgradable to gigabit.</w:t>
      </w:r>
    </w:p>
    <w:p w14:paraId="18D32BF1" w14:textId="77777777" w:rsidR="00101968" w:rsidRPr="00AC504C" w:rsidRDefault="00101968" w:rsidP="0082444E">
      <w:pPr>
        <w:pStyle w:val="Odstavekseznama"/>
        <w:spacing w:after="0" w:line="280" w:lineRule="exact"/>
        <w:ind w:left="1440"/>
        <w:jc w:val="both"/>
        <w:rPr>
          <w:rFonts w:ascii="Century Gothic" w:hAnsi="Century Gothic"/>
        </w:rPr>
      </w:pPr>
    </w:p>
    <w:p w14:paraId="784982FB" w14:textId="77777777" w:rsidR="00D035E2" w:rsidRPr="00AC504C" w:rsidRDefault="00C21161" w:rsidP="00ED4A95">
      <w:pPr>
        <w:pStyle w:val="Naslov2"/>
        <w:spacing w:line="280" w:lineRule="exact"/>
        <w:rPr>
          <w:u w:val="single"/>
        </w:rPr>
      </w:pPr>
      <w:bookmarkStart w:id="5" w:name="_Toc140746432"/>
      <w:r>
        <w:rPr>
          <w:lang w:val="en-GB"/>
        </w:rPr>
        <w:t>2.2 5G for Europe: An Action Plan</w:t>
      </w:r>
      <w:bookmarkEnd w:id="5"/>
    </w:p>
    <w:p w14:paraId="3732CD7F" w14:textId="77777777" w:rsidR="004F127F" w:rsidRPr="00AC504C" w:rsidRDefault="004F127F" w:rsidP="00ED4A95">
      <w:pPr>
        <w:spacing w:line="280" w:lineRule="exact"/>
        <w:jc w:val="both"/>
        <w:rPr>
          <w:rFonts w:ascii="Century Gothic" w:hAnsi="Century Gothic"/>
        </w:rPr>
      </w:pPr>
    </w:p>
    <w:p w14:paraId="330253C9" w14:textId="77777777" w:rsidR="004F127F" w:rsidRPr="00AC504C" w:rsidRDefault="004F127F" w:rsidP="004F127F">
      <w:pPr>
        <w:spacing w:line="280" w:lineRule="exact"/>
        <w:jc w:val="both"/>
        <w:rPr>
          <w:rFonts w:ascii="Century Gothic" w:hAnsi="Century Gothic"/>
          <w:sz w:val="22"/>
          <w:szCs w:val="22"/>
        </w:rPr>
      </w:pPr>
      <w:r>
        <w:rPr>
          <w:rFonts w:ascii="Century Gothic" w:hAnsi="Century Gothic"/>
          <w:sz w:val="22"/>
          <w:szCs w:val="22"/>
          <w:lang w:val="en-GB"/>
        </w:rPr>
        <w:t xml:space="preserve">The Action Plan aims to build momentum for investment in 5G networks and create new innovative ecosystems, thus enhancing European competitiveness and delivering concrete benefits to society. </w:t>
      </w:r>
      <w:proofErr w:type="gramStart"/>
      <w:r>
        <w:rPr>
          <w:rFonts w:ascii="Century Gothic" w:hAnsi="Century Gothic"/>
          <w:sz w:val="22"/>
          <w:szCs w:val="22"/>
          <w:lang w:val="en-GB"/>
        </w:rPr>
        <w:t>With regard to</w:t>
      </w:r>
      <w:proofErr w:type="gramEnd"/>
      <w:r>
        <w:rPr>
          <w:rFonts w:ascii="Century Gothic" w:hAnsi="Century Gothic"/>
          <w:sz w:val="22"/>
          <w:szCs w:val="22"/>
          <w:lang w:val="en-GB"/>
        </w:rPr>
        <w:t xml:space="preserve"> 5G coverage, it sets the same main objective as the Communication "Connectivity for a Competitive Digital Single Market – Towards a European Gigabit Society": all urban areas and major terrestrial transport paths will have uninterrupted 5G coverage by 2025. </w:t>
      </w:r>
    </w:p>
    <w:p w14:paraId="7B5506E7" w14:textId="77777777" w:rsidR="004F127F" w:rsidRPr="00AC504C" w:rsidRDefault="004F127F" w:rsidP="00ED4A95">
      <w:pPr>
        <w:spacing w:line="280" w:lineRule="exact"/>
        <w:jc w:val="both"/>
        <w:rPr>
          <w:rFonts w:ascii="Century Gothic" w:hAnsi="Century Gothic"/>
        </w:rPr>
      </w:pPr>
    </w:p>
    <w:p w14:paraId="07F6D7AA" w14:textId="77777777" w:rsidR="004565A3" w:rsidRPr="00AC504C" w:rsidRDefault="00050230" w:rsidP="00ED4A95">
      <w:pPr>
        <w:pStyle w:val="Naslov2"/>
        <w:spacing w:line="280" w:lineRule="exact"/>
        <w:jc w:val="both"/>
      </w:pPr>
      <w:bookmarkStart w:id="6" w:name="_Toc140746433"/>
      <w:r>
        <w:rPr>
          <w:lang w:val="en-GB"/>
        </w:rPr>
        <w:t xml:space="preserve">2.3 </w:t>
      </w:r>
      <w:bookmarkStart w:id="7" w:name="_Hlk99028296"/>
      <w:r>
        <w:rPr>
          <w:lang w:val="en-GB"/>
        </w:rPr>
        <w:t>2030 Digital Compass: the European way for the Digital Decade</w:t>
      </w:r>
      <w:bookmarkEnd w:id="6"/>
      <w:bookmarkEnd w:id="7"/>
    </w:p>
    <w:p w14:paraId="23BC3F18" w14:textId="77777777" w:rsidR="00990D26" w:rsidRPr="00AC504C" w:rsidRDefault="00990D26" w:rsidP="00990D26"/>
    <w:p w14:paraId="07CD4740" w14:textId="77777777" w:rsidR="0036570D" w:rsidRPr="00AC504C" w:rsidRDefault="00D653D7" w:rsidP="00ED4A95">
      <w:pPr>
        <w:spacing w:line="280" w:lineRule="exact"/>
        <w:jc w:val="both"/>
        <w:rPr>
          <w:rFonts w:ascii="Century Gothic" w:hAnsi="Century Gothic"/>
          <w:sz w:val="22"/>
          <w:szCs w:val="22"/>
        </w:rPr>
      </w:pPr>
      <w:r>
        <w:rPr>
          <w:rFonts w:ascii="Century Gothic" w:hAnsi="Century Gothic"/>
          <w:sz w:val="22"/>
          <w:szCs w:val="22"/>
          <w:lang w:val="en-GB"/>
        </w:rPr>
        <w:t>In this document, the European Commission proposes to set up a Digital Compass to translate the EU</w:t>
      </w:r>
      <w:r w:rsidR="00BC11DD">
        <w:rPr>
          <w:rFonts w:ascii="Century Gothic" w:hAnsi="Century Gothic"/>
          <w:sz w:val="22"/>
          <w:szCs w:val="22"/>
          <w:lang w:val="en-GB"/>
        </w:rPr>
        <w:t>’</w:t>
      </w:r>
      <w:r>
        <w:rPr>
          <w:rFonts w:ascii="Century Gothic" w:hAnsi="Century Gothic"/>
          <w:sz w:val="22"/>
          <w:szCs w:val="22"/>
          <w:lang w:val="en-GB"/>
        </w:rPr>
        <w:t>s digital ambitions for 2030 into concrete targets and to ensure that these objectives will be met. Its cardinal points for mapping the EU’s trajectory up to 2030 are:</w:t>
      </w:r>
    </w:p>
    <w:p w14:paraId="69331952" w14:textId="77777777" w:rsidR="00E84ED3" w:rsidRPr="00AC504C" w:rsidRDefault="008177F8" w:rsidP="00A513A3">
      <w:pPr>
        <w:pStyle w:val="Odstavekseznama"/>
        <w:numPr>
          <w:ilvl w:val="0"/>
          <w:numId w:val="2"/>
        </w:numPr>
        <w:spacing w:line="280" w:lineRule="exact"/>
        <w:jc w:val="both"/>
        <w:rPr>
          <w:rFonts w:ascii="Century Gothic" w:hAnsi="Century Gothic"/>
        </w:rPr>
      </w:pPr>
      <w:r>
        <w:rPr>
          <w:rFonts w:ascii="Century Gothic" w:hAnsi="Century Gothic"/>
          <w:lang w:val="en-GB"/>
        </w:rPr>
        <w:t>a digitally skilled population and highly skilled digital professionals. In addition to people’s basic digital skills and knowledge, it proposes that there be 20 million employed ICT specialists in the EU, with convergence between women and men.</w:t>
      </w:r>
    </w:p>
    <w:p w14:paraId="685F4C08" w14:textId="77777777" w:rsidR="00BC02A7" w:rsidRPr="00AC504C" w:rsidRDefault="008177F8" w:rsidP="00A513A3">
      <w:pPr>
        <w:pStyle w:val="Odstavekseznama"/>
        <w:numPr>
          <w:ilvl w:val="0"/>
          <w:numId w:val="2"/>
        </w:numPr>
        <w:spacing w:line="280" w:lineRule="exact"/>
        <w:jc w:val="both"/>
        <w:rPr>
          <w:rFonts w:ascii="Century Gothic" w:hAnsi="Century Gothic"/>
        </w:rPr>
      </w:pPr>
      <w:r>
        <w:rPr>
          <w:rFonts w:ascii="Century Gothic" w:hAnsi="Century Gothic"/>
          <w:lang w:val="en-GB"/>
        </w:rPr>
        <w:lastRenderedPageBreak/>
        <w:t>secure and performant sustainable digital infrastructure: all European households will be covered by a gigabit network, with all populated areas covered by 5G; the production of cutting-edge and sustainable semiconductors in Europe including processors amounting to at least 20% of global production in value; 10,000 climate-neutral highly secure edge nodes are deployed in the EU, distributed in a way that will guarantee access to data services with low latency (a few milliseconds) wherever businesses are located; by 2025, Europe will have its first computer with quantum acceleration, paving the way for Europe to be at the cutting edge of quantum capabilities by 2030;</w:t>
      </w:r>
    </w:p>
    <w:p w14:paraId="2AF4C8AB" w14:textId="77777777" w:rsidR="00F824CB" w:rsidRPr="00AC504C" w:rsidRDefault="008177F8" w:rsidP="00A513A3">
      <w:pPr>
        <w:pStyle w:val="Odstavekseznama"/>
        <w:numPr>
          <w:ilvl w:val="0"/>
          <w:numId w:val="2"/>
        </w:numPr>
        <w:spacing w:line="280" w:lineRule="exact"/>
        <w:jc w:val="both"/>
        <w:rPr>
          <w:rFonts w:ascii="Century Gothic" w:hAnsi="Century Gothic"/>
        </w:rPr>
      </w:pPr>
      <w:r>
        <w:rPr>
          <w:rFonts w:ascii="Century Gothic" w:hAnsi="Century Gothic"/>
          <w:lang w:val="en-GB"/>
        </w:rPr>
        <w:t xml:space="preserve">owing to the digital transformation of businesses, 75% of European enterprises will have taken up cloud computing services, big data and artificial intelligence; more than 90% of European SMEs will reach at least a basic level of digital intensity; Europe will grow the pipeline of its innovative scale-ups and improve their access to finance, leading to doubling the number of unicorns in </w:t>
      </w:r>
      <w:proofErr w:type="gramStart"/>
      <w:r>
        <w:rPr>
          <w:rFonts w:ascii="Century Gothic" w:hAnsi="Century Gothic"/>
          <w:lang w:val="en-GB"/>
        </w:rPr>
        <w:t>Europe;</w:t>
      </w:r>
      <w:proofErr w:type="gramEnd"/>
    </w:p>
    <w:p w14:paraId="0BC301F8" w14:textId="77777777" w:rsidR="00F824CB" w:rsidRPr="00AC504C" w:rsidRDefault="008177F8" w:rsidP="007E3571">
      <w:pPr>
        <w:pStyle w:val="Odstavekseznama"/>
        <w:numPr>
          <w:ilvl w:val="0"/>
          <w:numId w:val="2"/>
        </w:numPr>
        <w:spacing w:after="0" w:line="280" w:lineRule="exact"/>
        <w:jc w:val="both"/>
        <w:rPr>
          <w:rFonts w:ascii="Century Gothic" w:hAnsi="Century Gothic"/>
        </w:rPr>
      </w:pPr>
      <w:r>
        <w:rPr>
          <w:rFonts w:ascii="Century Gothic" w:hAnsi="Century Gothic"/>
          <w:lang w:val="en-GB"/>
        </w:rPr>
        <w:t>digitalisation of public services should guarantee 100% online provision of key public services available for European citizens and businesses; 100% of European citizens have access to medical records (e-records); and 80% of citizens will use a digital ID solution.</w:t>
      </w:r>
    </w:p>
    <w:p w14:paraId="532F4343" w14:textId="77777777" w:rsidR="00D61E99" w:rsidRPr="00AC504C" w:rsidRDefault="00D61E99" w:rsidP="00ED4A95">
      <w:pPr>
        <w:spacing w:line="280" w:lineRule="exact"/>
        <w:jc w:val="both"/>
        <w:rPr>
          <w:rFonts w:ascii="Century Gothic" w:hAnsi="Century Gothic"/>
          <w:sz w:val="22"/>
          <w:szCs w:val="22"/>
        </w:rPr>
      </w:pPr>
    </w:p>
    <w:p w14:paraId="573435B5" w14:textId="77777777" w:rsidR="00990D26" w:rsidRPr="00AC504C" w:rsidRDefault="00990D26" w:rsidP="000E3F3C">
      <w:pPr>
        <w:spacing w:line="280" w:lineRule="exact"/>
        <w:jc w:val="both"/>
        <w:rPr>
          <w:rFonts w:ascii="Century Gothic" w:hAnsi="Century Gothic"/>
          <w:sz w:val="22"/>
          <w:szCs w:val="22"/>
        </w:rPr>
      </w:pPr>
      <w:bookmarkStart w:id="8" w:name="_Toc140746434"/>
      <w:r>
        <w:rPr>
          <w:rStyle w:val="Naslov2Znak"/>
          <w:sz w:val="22"/>
          <w:szCs w:val="22"/>
          <w:lang w:val="en-GB"/>
        </w:rPr>
        <w:t>2.4 2030 Policy Programme "Path to the Digital Decade"</w:t>
      </w:r>
      <w:bookmarkEnd w:id="8"/>
    </w:p>
    <w:p w14:paraId="08FD4ED4" w14:textId="77777777" w:rsidR="000E3F3C" w:rsidRPr="00AC504C" w:rsidRDefault="000E3F3C" w:rsidP="000E3F3C">
      <w:pPr>
        <w:spacing w:line="280" w:lineRule="exact"/>
        <w:jc w:val="both"/>
        <w:rPr>
          <w:rFonts w:ascii="Century Gothic" w:hAnsi="Century Gothic"/>
          <w:sz w:val="22"/>
          <w:szCs w:val="22"/>
        </w:rPr>
      </w:pPr>
    </w:p>
    <w:p w14:paraId="78C5C7F8" w14:textId="77777777" w:rsidR="00700D81" w:rsidRPr="00AC504C" w:rsidRDefault="000E3F3C" w:rsidP="000E3F3C">
      <w:pPr>
        <w:spacing w:line="280" w:lineRule="exact"/>
        <w:jc w:val="both"/>
        <w:rPr>
          <w:rFonts w:ascii="Century Gothic" w:eastAsiaTheme="minorHAnsi" w:hAnsi="Century Gothic" w:cstheme="minorBidi"/>
          <w:sz w:val="22"/>
          <w:szCs w:val="22"/>
        </w:rPr>
      </w:pPr>
      <w:r>
        <w:rPr>
          <w:rFonts w:ascii="Century Gothic" w:eastAsiaTheme="minorHAnsi" w:hAnsi="Century Gothic" w:cstheme="minorBidi"/>
          <w:sz w:val="22"/>
          <w:szCs w:val="22"/>
          <w:lang w:val="en-GB"/>
        </w:rPr>
        <w:t xml:space="preserve">The European Commission proposed the adoption of a Decision of the European Parliament and of the Council establishing the 2030 Policy Programme "Path to the Digital Decade". The aim of this Decision is to achieve the objectives for Europe's digital transformation of society and the economy in accordance with the values of the EU. The proposal is based on the document "2030 Digital Compass: </w:t>
      </w:r>
      <w:proofErr w:type="gramStart"/>
      <w:r>
        <w:rPr>
          <w:rFonts w:ascii="Century Gothic" w:eastAsiaTheme="minorHAnsi" w:hAnsi="Century Gothic" w:cstheme="minorBidi"/>
          <w:sz w:val="22"/>
          <w:szCs w:val="22"/>
          <w:lang w:val="en-GB"/>
        </w:rPr>
        <w:t>the</w:t>
      </w:r>
      <w:proofErr w:type="gramEnd"/>
      <w:r>
        <w:rPr>
          <w:rFonts w:ascii="Century Gothic" w:eastAsiaTheme="minorHAnsi" w:hAnsi="Century Gothic" w:cstheme="minorBidi"/>
          <w:sz w:val="22"/>
          <w:szCs w:val="22"/>
          <w:lang w:val="en-GB"/>
        </w:rPr>
        <w:t xml:space="preserve"> European way for the Digital Decade” and follows the specific digital objectives to be achieved in the EU by the end of this decade. The proposed objectives for digital infrastructure are identical to those defined in the 2030 Digital Compass (See 2.3).</w:t>
      </w:r>
    </w:p>
    <w:p w14:paraId="569574B2" w14:textId="77777777" w:rsidR="00700D81" w:rsidRPr="00AC504C" w:rsidRDefault="00700D81" w:rsidP="000E3F3C">
      <w:pPr>
        <w:spacing w:line="280" w:lineRule="exact"/>
        <w:jc w:val="both"/>
        <w:rPr>
          <w:rFonts w:ascii="Century Gothic" w:eastAsiaTheme="minorHAnsi" w:hAnsi="Century Gothic" w:cstheme="minorBidi"/>
          <w:sz w:val="22"/>
          <w:szCs w:val="22"/>
        </w:rPr>
      </w:pPr>
    </w:p>
    <w:p w14:paraId="3EAAB764" w14:textId="77777777" w:rsidR="003235FF" w:rsidRPr="00AC504C" w:rsidRDefault="00893F1C" w:rsidP="00127F9B">
      <w:pPr>
        <w:pStyle w:val="Naslov"/>
        <w:rPr>
          <w:rFonts w:ascii="Century Gothic" w:hAnsi="Century Gothic"/>
          <w:sz w:val="22"/>
          <w:szCs w:val="22"/>
        </w:rPr>
      </w:pPr>
      <w:bookmarkStart w:id="9" w:name="_Toc140746435"/>
      <w:r>
        <w:rPr>
          <w:rFonts w:ascii="Century Gothic" w:hAnsi="Century Gothic"/>
          <w:bCs/>
          <w:sz w:val="22"/>
          <w:szCs w:val="22"/>
          <w:lang w:val="en-GB"/>
        </w:rPr>
        <w:t>THE STATE OF BROADBAND NETWORK DEVELOPMENT IN SLOVENIA</w:t>
      </w:r>
      <w:bookmarkEnd w:id="9"/>
    </w:p>
    <w:p w14:paraId="364A524B" w14:textId="77777777" w:rsidR="001B4F00" w:rsidRPr="00AC504C" w:rsidRDefault="001B4F00" w:rsidP="008B45EE"/>
    <w:p w14:paraId="5C43CE5A" w14:textId="77777777" w:rsidR="005E7B00" w:rsidRPr="00AC504C" w:rsidRDefault="000546B1" w:rsidP="000546B1">
      <w:pPr>
        <w:pStyle w:val="Naslov2"/>
      </w:pPr>
      <w:bookmarkStart w:id="10" w:name="_Toc140746436"/>
      <w:r>
        <w:rPr>
          <w:lang w:val="en-GB"/>
        </w:rPr>
        <w:t>3.1 Analytical overview of the main indicators</w:t>
      </w:r>
      <w:bookmarkEnd w:id="10"/>
    </w:p>
    <w:p w14:paraId="30503AFF" w14:textId="77777777" w:rsidR="000546B1" w:rsidRPr="00AC504C" w:rsidRDefault="000546B1" w:rsidP="000546B1"/>
    <w:p w14:paraId="10F41C7C" w14:textId="77777777" w:rsidR="005E7B00" w:rsidRPr="00AC504C" w:rsidRDefault="005E7B00" w:rsidP="00ED4A95">
      <w:pPr>
        <w:spacing w:line="280" w:lineRule="exact"/>
        <w:jc w:val="both"/>
        <w:rPr>
          <w:rFonts w:ascii="Century Gothic" w:hAnsi="Century Gothic"/>
          <w:sz w:val="22"/>
          <w:szCs w:val="22"/>
        </w:rPr>
      </w:pPr>
      <w:r>
        <w:rPr>
          <w:rFonts w:ascii="Century Gothic" w:hAnsi="Century Gothic"/>
          <w:sz w:val="22"/>
          <w:szCs w:val="22"/>
          <w:lang w:val="en-GB"/>
        </w:rPr>
        <w:t>An important indicator reflecting the development of the electronic communications market is the penetration of broadband access, calculated as the number of broadband residential and business connections per 100 inhabitants or households in Slovenia.</w:t>
      </w:r>
    </w:p>
    <w:p w14:paraId="7FF57E56" w14:textId="77777777" w:rsidR="00876465" w:rsidRPr="00AC504C" w:rsidRDefault="00876465" w:rsidP="00ED4A95">
      <w:pPr>
        <w:spacing w:line="280" w:lineRule="exact"/>
        <w:jc w:val="both"/>
        <w:rPr>
          <w:rFonts w:ascii="Century Gothic" w:hAnsi="Century Gothic"/>
          <w:sz w:val="22"/>
          <w:szCs w:val="22"/>
        </w:rPr>
      </w:pPr>
    </w:p>
    <w:p w14:paraId="07FC996A" w14:textId="77777777" w:rsidR="00207A1E" w:rsidRPr="00AC504C" w:rsidRDefault="00207A1E" w:rsidP="00207A1E">
      <w:pPr>
        <w:spacing w:line="280" w:lineRule="exact"/>
        <w:jc w:val="both"/>
        <w:rPr>
          <w:rFonts w:ascii="Century Gothic" w:hAnsi="Century Gothic"/>
          <w:sz w:val="22"/>
          <w:szCs w:val="22"/>
        </w:rPr>
      </w:pPr>
      <w:r>
        <w:rPr>
          <w:rFonts w:ascii="Century Gothic" w:hAnsi="Century Gothic"/>
          <w:sz w:val="22"/>
          <w:szCs w:val="22"/>
          <w:lang w:val="en-GB"/>
        </w:rPr>
        <w:t>In the first quarter of 2022, 34.07% of the population and 87.06% of households in Slovenia had fixed broadband internet access (see Figure 2), with high-speed internet access technologies dominating (see Figure 3).</w:t>
      </w:r>
    </w:p>
    <w:p w14:paraId="009627D7" w14:textId="77777777" w:rsidR="005D6BB6" w:rsidRDefault="005D6BB6" w:rsidP="00207A1E">
      <w:pPr>
        <w:spacing w:line="280" w:lineRule="exact"/>
        <w:jc w:val="both"/>
        <w:rPr>
          <w:rFonts w:ascii="Century Gothic" w:hAnsi="Century Gothic"/>
          <w:sz w:val="22"/>
          <w:szCs w:val="22"/>
        </w:rPr>
      </w:pPr>
    </w:p>
    <w:p w14:paraId="1B831CA7" w14:textId="77777777" w:rsidR="00775BB0" w:rsidRDefault="00775BB0" w:rsidP="00207A1E">
      <w:pPr>
        <w:spacing w:line="280" w:lineRule="exact"/>
        <w:jc w:val="both"/>
        <w:rPr>
          <w:rFonts w:ascii="Century Gothic" w:hAnsi="Century Gothic"/>
          <w:sz w:val="22"/>
          <w:szCs w:val="22"/>
        </w:rPr>
      </w:pPr>
    </w:p>
    <w:p w14:paraId="0FEEF954" w14:textId="77777777" w:rsidR="00775BB0" w:rsidRDefault="00775BB0" w:rsidP="00207A1E">
      <w:pPr>
        <w:spacing w:line="280" w:lineRule="exact"/>
        <w:jc w:val="both"/>
        <w:rPr>
          <w:rFonts w:ascii="Century Gothic" w:hAnsi="Century Gothic"/>
          <w:sz w:val="22"/>
          <w:szCs w:val="22"/>
        </w:rPr>
      </w:pPr>
    </w:p>
    <w:p w14:paraId="5DDFD581" w14:textId="77777777" w:rsidR="00775BB0" w:rsidRDefault="00775BB0" w:rsidP="00207A1E">
      <w:pPr>
        <w:spacing w:line="280" w:lineRule="exact"/>
        <w:jc w:val="both"/>
        <w:rPr>
          <w:rFonts w:ascii="Century Gothic" w:hAnsi="Century Gothic"/>
          <w:sz w:val="22"/>
          <w:szCs w:val="22"/>
        </w:rPr>
      </w:pPr>
    </w:p>
    <w:p w14:paraId="6F0EB115" w14:textId="77777777" w:rsidR="00775BB0" w:rsidRDefault="00775BB0" w:rsidP="00207A1E">
      <w:pPr>
        <w:spacing w:line="280" w:lineRule="exact"/>
        <w:jc w:val="both"/>
        <w:rPr>
          <w:rFonts w:ascii="Century Gothic" w:hAnsi="Century Gothic"/>
          <w:sz w:val="22"/>
          <w:szCs w:val="22"/>
        </w:rPr>
      </w:pPr>
    </w:p>
    <w:p w14:paraId="21AC547D" w14:textId="77777777" w:rsidR="00775BB0" w:rsidRDefault="00775BB0" w:rsidP="00207A1E">
      <w:pPr>
        <w:spacing w:line="280" w:lineRule="exact"/>
        <w:jc w:val="both"/>
        <w:rPr>
          <w:rFonts w:ascii="Century Gothic" w:hAnsi="Century Gothic"/>
          <w:sz w:val="22"/>
          <w:szCs w:val="22"/>
        </w:rPr>
      </w:pPr>
    </w:p>
    <w:p w14:paraId="6B31FB93" w14:textId="77777777" w:rsidR="00775BB0" w:rsidRDefault="00775BB0" w:rsidP="00207A1E">
      <w:pPr>
        <w:spacing w:line="280" w:lineRule="exact"/>
        <w:jc w:val="both"/>
        <w:rPr>
          <w:rFonts w:ascii="Century Gothic" w:hAnsi="Century Gothic"/>
          <w:sz w:val="22"/>
          <w:szCs w:val="22"/>
        </w:rPr>
      </w:pPr>
    </w:p>
    <w:p w14:paraId="778D3122" w14:textId="77777777" w:rsidR="00775BB0" w:rsidRDefault="00775BB0" w:rsidP="00207A1E">
      <w:pPr>
        <w:spacing w:line="280" w:lineRule="exact"/>
        <w:jc w:val="both"/>
        <w:rPr>
          <w:rFonts w:ascii="Century Gothic" w:hAnsi="Century Gothic"/>
          <w:sz w:val="22"/>
          <w:szCs w:val="22"/>
        </w:rPr>
      </w:pPr>
    </w:p>
    <w:p w14:paraId="7EA2D391" w14:textId="77777777" w:rsidR="00775BB0" w:rsidRDefault="00775BB0" w:rsidP="00207A1E">
      <w:pPr>
        <w:spacing w:line="280" w:lineRule="exact"/>
        <w:jc w:val="both"/>
        <w:rPr>
          <w:rFonts w:ascii="Century Gothic" w:hAnsi="Century Gothic"/>
          <w:sz w:val="22"/>
          <w:szCs w:val="22"/>
        </w:rPr>
      </w:pPr>
    </w:p>
    <w:p w14:paraId="479B695F" w14:textId="77777777" w:rsidR="00775BB0" w:rsidRPr="00AC504C" w:rsidRDefault="00775BB0" w:rsidP="00207A1E">
      <w:pPr>
        <w:spacing w:line="280" w:lineRule="exact"/>
        <w:jc w:val="both"/>
        <w:rPr>
          <w:rFonts w:ascii="Century Gothic" w:hAnsi="Century Gothic"/>
          <w:sz w:val="22"/>
          <w:szCs w:val="22"/>
        </w:rPr>
      </w:pPr>
    </w:p>
    <w:p w14:paraId="3026398E" w14:textId="77777777" w:rsidR="00047629" w:rsidRPr="00AC504C" w:rsidRDefault="00047629" w:rsidP="00047629">
      <w:pPr>
        <w:spacing w:line="280" w:lineRule="exact"/>
        <w:jc w:val="both"/>
        <w:rPr>
          <w:rFonts w:ascii="Century Gothic" w:hAnsi="Century Gothic"/>
          <w:sz w:val="22"/>
          <w:szCs w:val="22"/>
        </w:rPr>
      </w:pPr>
      <w:r>
        <w:rPr>
          <w:rFonts w:ascii="Century Gothic" w:hAnsi="Century Gothic"/>
          <w:sz w:val="22"/>
          <w:szCs w:val="22"/>
          <w:lang w:val="en-GB"/>
        </w:rPr>
        <w:t>Figure 2: The trend in fixed broadband access penetration</w:t>
      </w:r>
    </w:p>
    <w:p w14:paraId="457AC079" w14:textId="7B59BD01" w:rsidR="0012083D" w:rsidRPr="00AC504C" w:rsidRDefault="0012083D" w:rsidP="00047629">
      <w:pPr>
        <w:spacing w:line="280" w:lineRule="exact"/>
        <w:jc w:val="both"/>
        <w:rPr>
          <w:rFonts w:ascii="Century Gothic" w:hAnsi="Century Gothic"/>
          <w:sz w:val="22"/>
          <w:szCs w:val="22"/>
        </w:rPr>
      </w:pPr>
    </w:p>
    <w:p w14:paraId="1136AB2A" w14:textId="77777777" w:rsidR="0012083D" w:rsidRPr="00AC504C" w:rsidRDefault="0012083D" w:rsidP="00047629">
      <w:pPr>
        <w:spacing w:line="280" w:lineRule="exact"/>
        <w:jc w:val="both"/>
        <w:rPr>
          <w:rFonts w:ascii="Century Gothic" w:hAnsi="Century Gothic"/>
          <w:sz w:val="22"/>
          <w:szCs w:val="22"/>
        </w:rPr>
      </w:pPr>
    </w:p>
    <w:p w14:paraId="79512F7D" w14:textId="77777777" w:rsidR="0012083D" w:rsidRPr="00AC504C" w:rsidRDefault="0012083D" w:rsidP="00047629">
      <w:pPr>
        <w:spacing w:line="280" w:lineRule="exact"/>
        <w:jc w:val="both"/>
        <w:rPr>
          <w:rFonts w:ascii="Century Gothic" w:hAnsi="Century Gothic"/>
          <w:sz w:val="22"/>
          <w:szCs w:val="22"/>
        </w:rPr>
      </w:pPr>
    </w:p>
    <w:p w14:paraId="3A97C852" w14:textId="77777777" w:rsidR="00075960" w:rsidRPr="00AC504C" w:rsidRDefault="00075960" w:rsidP="00047629">
      <w:pPr>
        <w:spacing w:line="280" w:lineRule="exact"/>
        <w:jc w:val="both"/>
        <w:rPr>
          <w:rFonts w:ascii="Century Gothic" w:hAnsi="Century Gothic"/>
          <w:sz w:val="22"/>
          <w:szCs w:val="22"/>
        </w:rPr>
      </w:pPr>
    </w:p>
    <w:p w14:paraId="6BECB9A5" w14:textId="77777777" w:rsidR="00075960" w:rsidRPr="00AC504C" w:rsidRDefault="00075960" w:rsidP="00047629">
      <w:pPr>
        <w:spacing w:line="280" w:lineRule="exact"/>
        <w:jc w:val="both"/>
        <w:rPr>
          <w:rFonts w:ascii="Century Gothic" w:hAnsi="Century Gothic"/>
          <w:sz w:val="22"/>
          <w:szCs w:val="22"/>
        </w:rPr>
      </w:pPr>
    </w:p>
    <w:p w14:paraId="739AD032" w14:textId="77777777" w:rsidR="00075960" w:rsidRPr="00AC504C" w:rsidRDefault="00075960" w:rsidP="00047629">
      <w:pPr>
        <w:spacing w:line="280" w:lineRule="exact"/>
        <w:jc w:val="both"/>
        <w:rPr>
          <w:rFonts w:ascii="Century Gothic" w:hAnsi="Century Gothic"/>
          <w:sz w:val="22"/>
          <w:szCs w:val="22"/>
        </w:rPr>
      </w:pPr>
    </w:p>
    <w:p w14:paraId="153205AD" w14:textId="77777777" w:rsidR="00075960" w:rsidRPr="00AC504C" w:rsidRDefault="00075960" w:rsidP="00047629">
      <w:pPr>
        <w:spacing w:line="280" w:lineRule="exact"/>
        <w:jc w:val="both"/>
        <w:rPr>
          <w:rFonts w:ascii="Century Gothic" w:hAnsi="Century Gothic"/>
          <w:sz w:val="22"/>
          <w:szCs w:val="22"/>
        </w:rPr>
      </w:pPr>
    </w:p>
    <w:p w14:paraId="3B108CE6" w14:textId="77777777" w:rsidR="00075960" w:rsidRPr="00AC504C" w:rsidRDefault="00075960" w:rsidP="00047629">
      <w:pPr>
        <w:spacing w:line="280" w:lineRule="exact"/>
        <w:jc w:val="both"/>
        <w:rPr>
          <w:rFonts w:ascii="Century Gothic" w:hAnsi="Century Gothic"/>
          <w:sz w:val="22"/>
          <w:szCs w:val="22"/>
        </w:rPr>
      </w:pPr>
    </w:p>
    <w:p w14:paraId="04FA1F3C" w14:textId="77777777" w:rsidR="00075960" w:rsidRPr="00AC504C" w:rsidRDefault="00075960" w:rsidP="00047629">
      <w:pPr>
        <w:spacing w:line="280" w:lineRule="exact"/>
        <w:jc w:val="both"/>
        <w:rPr>
          <w:rFonts w:ascii="Century Gothic" w:hAnsi="Century Gothic"/>
          <w:sz w:val="22"/>
          <w:szCs w:val="22"/>
        </w:rPr>
      </w:pPr>
    </w:p>
    <w:p w14:paraId="0A8D05CF" w14:textId="77777777" w:rsidR="00075960" w:rsidRPr="00AC504C" w:rsidRDefault="00075960" w:rsidP="00047629">
      <w:pPr>
        <w:spacing w:line="280" w:lineRule="exact"/>
        <w:jc w:val="both"/>
        <w:rPr>
          <w:rFonts w:ascii="Century Gothic" w:hAnsi="Century Gothic"/>
          <w:sz w:val="22"/>
          <w:szCs w:val="22"/>
        </w:rPr>
      </w:pPr>
    </w:p>
    <w:p w14:paraId="5F2494D6" w14:textId="77777777" w:rsidR="00075960" w:rsidRPr="00AC504C" w:rsidRDefault="00075960" w:rsidP="00047629">
      <w:pPr>
        <w:spacing w:line="280" w:lineRule="exact"/>
        <w:jc w:val="both"/>
        <w:rPr>
          <w:rFonts w:ascii="Century Gothic" w:hAnsi="Century Gothic"/>
          <w:sz w:val="22"/>
          <w:szCs w:val="22"/>
        </w:rPr>
      </w:pPr>
    </w:p>
    <w:p w14:paraId="196ED041" w14:textId="77777777" w:rsidR="00075960" w:rsidRPr="00AC504C" w:rsidRDefault="00075960" w:rsidP="00047629">
      <w:pPr>
        <w:spacing w:line="280" w:lineRule="exact"/>
        <w:jc w:val="both"/>
        <w:rPr>
          <w:rFonts w:ascii="Century Gothic" w:hAnsi="Century Gothic"/>
          <w:sz w:val="22"/>
          <w:szCs w:val="22"/>
        </w:rPr>
      </w:pPr>
    </w:p>
    <w:p w14:paraId="4B38006A" w14:textId="77777777" w:rsidR="00075960" w:rsidRPr="00AC504C" w:rsidRDefault="00075960" w:rsidP="00047629">
      <w:pPr>
        <w:spacing w:line="280" w:lineRule="exact"/>
        <w:jc w:val="both"/>
        <w:rPr>
          <w:rFonts w:ascii="Century Gothic" w:hAnsi="Century Gothic"/>
          <w:sz w:val="22"/>
          <w:szCs w:val="22"/>
        </w:rPr>
      </w:pPr>
    </w:p>
    <w:p w14:paraId="3E74C231" w14:textId="77777777" w:rsidR="00075960" w:rsidRPr="00AC504C" w:rsidRDefault="00075960" w:rsidP="00047629">
      <w:pPr>
        <w:spacing w:line="280" w:lineRule="exact"/>
        <w:jc w:val="both"/>
        <w:rPr>
          <w:rFonts w:ascii="Century Gothic" w:hAnsi="Century Gothic"/>
          <w:sz w:val="22"/>
          <w:szCs w:val="22"/>
        </w:rPr>
      </w:pPr>
    </w:p>
    <w:p w14:paraId="204AA9EB" w14:textId="77777777" w:rsidR="00075960" w:rsidRPr="00AC504C" w:rsidRDefault="00075960" w:rsidP="00047629">
      <w:pPr>
        <w:spacing w:line="280" w:lineRule="exact"/>
        <w:jc w:val="both"/>
        <w:rPr>
          <w:rFonts w:ascii="Century Gothic" w:hAnsi="Century Gothic"/>
          <w:sz w:val="22"/>
          <w:szCs w:val="22"/>
        </w:rPr>
      </w:pPr>
    </w:p>
    <w:p w14:paraId="6B656739" w14:textId="77777777" w:rsidR="00075960" w:rsidRPr="00AC504C" w:rsidRDefault="00075960" w:rsidP="00047629">
      <w:pPr>
        <w:spacing w:line="280" w:lineRule="exact"/>
        <w:jc w:val="both"/>
        <w:rPr>
          <w:rFonts w:ascii="Century Gothic" w:hAnsi="Century Gothic"/>
          <w:sz w:val="22"/>
          <w:szCs w:val="22"/>
        </w:rPr>
      </w:pPr>
    </w:p>
    <w:p w14:paraId="2C35E128" w14:textId="77777777" w:rsidR="00075960" w:rsidRPr="00AC504C" w:rsidRDefault="00075960" w:rsidP="00047629">
      <w:pPr>
        <w:spacing w:line="280" w:lineRule="exact"/>
        <w:jc w:val="both"/>
        <w:rPr>
          <w:rFonts w:ascii="Century Gothic" w:hAnsi="Century Gothic"/>
          <w:sz w:val="22"/>
          <w:szCs w:val="22"/>
        </w:rPr>
      </w:pPr>
    </w:p>
    <w:p w14:paraId="2A0B814B" w14:textId="77777777" w:rsidR="00075960" w:rsidRPr="00AC504C" w:rsidRDefault="00075960" w:rsidP="00047629">
      <w:pPr>
        <w:spacing w:line="280" w:lineRule="exact"/>
        <w:jc w:val="both"/>
        <w:rPr>
          <w:rFonts w:ascii="Century Gothic" w:hAnsi="Century Gothic"/>
          <w:sz w:val="22"/>
          <w:szCs w:val="22"/>
        </w:rPr>
      </w:pPr>
    </w:p>
    <w:p w14:paraId="166BD1D9" w14:textId="77777777" w:rsidR="007D5269" w:rsidRPr="00AC504C" w:rsidRDefault="007D5269" w:rsidP="00047629">
      <w:pPr>
        <w:spacing w:line="280" w:lineRule="exact"/>
        <w:jc w:val="both"/>
        <w:rPr>
          <w:rFonts w:ascii="Century Gothic" w:hAnsi="Century Gothic"/>
          <w:sz w:val="22"/>
          <w:szCs w:val="22"/>
        </w:rPr>
      </w:pPr>
    </w:p>
    <w:p w14:paraId="415E1CC4" w14:textId="77777777" w:rsidR="000A0BD2" w:rsidRPr="00AC504C" w:rsidRDefault="000A0BD2" w:rsidP="00047629">
      <w:pPr>
        <w:spacing w:line="280" w:lineRule="exact"/>
        <w:jc w:val="both"/>
        <w:rPr>
          <w:rFonts w:ascii="Century Gothic" w:hAnsi="Century Gothic"/>
          <w:sz w:val="22"/>
          <w:szCs w:val="22"/>
        </w:rPr>
      </w:pPr>
    </w:p>
    <w:p w14:paraId="5282681D" w14:textId="2AB84C74" w:rsidR="00075960" w:rsidRPr="00AC504C" w:rsidRDefault="0056404E" w:rsidP="00047629">
      <w:pPr>
        <w:spacing w:line="280" w:lineRule="exact"/>
        <w:jc w:val="both"/>
        <w:rPr>
          <w:rFonts w:ascii="Century Gothic" w:hAnsi="Century Gothic"/>
          <w:sz w:val="22"/>
          <w:szCs w:val="22"/>
        </w:rPr>
      </w:pPr>
      <w:r>
        <w:rPr>
          <w:rFonts w:ascii="Century Gothic" w:hAnsi="Century Gothic"/>
          <w:noProof/>
          <w:sz w:val="22"/>
          <w:szCs w:val="22"/>
          <w:lang w:val="sl-SI" w:eastAsia="sl-SI"/>
        </w:rPr>
        <w:drawing>
          <wp:anchor distT="0" distB="0" distL="114300" distR="114300" simplePos="0" relativeHeight="251655680" behindDoc="0" locked="0" layoutInCell="1" allowOverlap="1" wp14:anchorId="5318F7A8" wp14:editId="402EB3AF">
            <wp:simplePos x="0" y="0"/>
            <wp:positionH relativeFrom="column">
              <wp:posOffset>-1298</wp:posOffset>
            </wp:positionH>
            <wp:positionV relativeFrom="paragraph">
              <wp:posOffset>-3385240</wp:posOffset>
            </wp:positionV>
            <wp:extent cx="5760720" cy="3520440"/>
            <wp:effectExtent l="0" t="0" r="9525" b="3810"/>
            <wp:wrapNone/>
            <wp:docPr id="18" name="Slika 18" descr="Figure 2: The trend in fixed broadband access pene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Figure 2: The trend in fixed broadband access penetr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520440"/>
                    </a:xfrm>
                    <a:prstGeom prst="rect">
                      <a:avLst/>
                    </a:prstGeom>
                  </pic:spPr>
                </pic:pic>
              </a:graphicData>
            </a:graphic>
            <wp14:sizeRelH relativeFrom="margin">
              <wp14:pctWidth>0</wp14:pctWidth>
            </wp14:sizeRelH>
          </wp:anchor>
        </w:drawing>
      </w:r>
    </w:p>
    <w:p w14:paraId="6FE1035D" w14:textId="77777777" w:rsidR="00EA47D1" w:rsidRPr="00AC504C" w:rsidRDefault="00EA47D1" w:rsidP="00EA47D1">
      <w:pPr>
        <w:spacing w:line="280" w:lineRule="exact"/>
        <w:jc w:val="both"/>
        <w:rPr>
          <w:rFonts w:ascii="Century Gothic" w:hAnsi="Century Gothic"/>
          <w:sz w:val="18"/>
          <w:szCs w:val="18"/>
        </w:rPr>
      </w:pPr>
      <w:r>
        <w:rPr>
          <w:rFonts w:ascii="Century Gothic" w:hAnsi="Century Gothic"/>
          <w:sz w:val="18"/>
          <w:szCs w:val="18"/>
          <w:lang w:val="en-GB"/>
        </w:rPr>
        <w:t>Source: AKOS, eAnalitik</w:t>
      </w:r>
    </w:p>
    <w:p w14:paraId="264AF708" w14:textId="77777777" w:rsidR="00F74868" w:rsidRPr="00AC504C" w:rsidRDefault="00F74868" w:rsidP="00453A62">
      <w:pPr>
        <w:spacing w:line="280" w:lineRule="exact"/>
        <w:jc w:val="both"/>
        <w:rPr>
          <w:rFonts w:ascii="Century Gothic" w:hAnsi="Century Gothic"/>
          <w:sz w:val="22"/>
          <w:szCs w:val="22"/>
        </w:rPr>
      </w:pPr>
    </w:p>
    <w:p w14:paraId="24F3A548" w14:textId="77777777" w:rsidR="00F74868" w:rsidRPr="00AE3CB1" w:rsidRDefault="00F74868" w:rsidP="00F74868">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Figure 3: The trend in the share of fixed broadband technologies in relation to the number of broadband internet connections</w:t>
      </w:r>
    </w:p>
    <w:p w14:paraId="3218778D" w14:textId="77777777" w:rsidR="007A175F" w:rsidRPr="00AE3CB1" w:rsidRDefault="007A175F" w:rsidP="00F74868">
      <w:pPr>
        <w:pStyle w:val="podpisi"/>
        <w:spacing w:line="280" w:lineRule="exact"/>
        <w:jc w:val="both"/>
        <w:rPr>
          <w:rFonts w:ascii="Century Gothic" w:hAnsi="Century Gothic"/>
          <w:sz w:val="22"/>
          <w:szCs w:val="22"/>
          <w:lang w:val="en-US"/>
        </w:rPr>
      </w:pPr>
    </w:p>
    <w:p w14:paraId="6FAF1F22" w14:textId="77777777" w:rsidR="005C0AA2" w:rsidRPr="00AE3CB1" w:rsidRDefault="005C0AA2" w:rsidP="00F74868">
      <w:pPr>
        <w:pStyle w:val="podpisi"/>
        <w:spacing w:line="280" w:lineRule="exact"/>
        <w:jc w:val="both"/>
        <w:rPr>
          <w:rFonts w:ascii="Century Gothic" w:hAnsi="Century Gothic"/>
          <w:sz w:val="22"/>
          <w:szCs w:val="22"/>
          <w:lang w:val="en-US"/>
        </w:rPr>
      </w:pPr>
    </w:p>
    <w:p w14:paraId="2C4A3D0F" w14:textId="77777777" w:rsidR="005C0AA2" w:rsidRPr="00AE3CB1" w:rsidRDefault="005C0AA2" w:rsidP="00F74868">
      <w:pPr>
        <w:pStyle w:val="podpisi"/>
        <w:spacing w:line="280" w:lineRule="exact"/>
        <w:jc w:val="both"/>
        <w:rPr>
          <w:rFonts w:ascii="Century Gothic" w:hAnsi="Century Gothic"/>
          <w:sz w:val="22"/>
          <w:szCs w:val="22"/>
          <w:lang w:val="en-US"/>
        </w:rPr>
      </w:pPr>
    </w:p>
    <w:p w14:paraId="37153CE5" w14:textId="77777777" w:rsidR="005C0AA2" w:rsidRPr="00AE3CB1" w:rsidRDefault="005C0AA2" w:rsidP="00F74868">
      <w:pPr>
        <w:pStyle w:val="podpisi"/>
        <w:spacing w:line="280" w:lineRule="exact"/>
        <w:jc w:val="both"/>
        <w:rPr>
          <w:rFonts w:ascii="Century Gothic" w:hAnsi="Century Gothic"/>
          <w:sz w:val="22"/>
          <w:szCs w:val="22"/>
          <w:lang w:val="en-US"/>
        </w:rPr>
      </w:pPr>
    </w:p>
    <w:p w14:paraId="44CDEBDE" w14:textId="77777777" w:rsidR="005C0AA2" w:rsidRPr="00AE3CB1" w:rsidRDefault="005C0AA2" w:rsidP="00F74868">
      <w:pPr>
        <w:pStyle w:val="podpisi"/>
        <w:spacing w:line="280" w:lineRule="exact"/>
        <w:jc w:val="both"/>
        <w:rPr>
          <w:rFonts w:ascii="Century Gothic" w:hAnsi="Century Gothic"/>
          <w:sz w:val="22"/>
          <w:szCs w:val="22"/>
          <w:lang w:val="en-US"/>
        </w:rPr>
      </w:pPr>
    </w:p>
    <w:p w14:paraId="2ADE72D9" w14:textId="77777777" w:rsidR="005C0AA2" w:rsidRPr="00AE3CB1" w:rsidRDefault="005C0AA2" w:rsidP="00F74868">
      <w:pPr>
        <w:pStyle w:val="podpisi"/>
        <w:spacing w:line="280" w:lineRule="exact"/>
        <w:jc w:val="both"/>
        <w:rPr>
          <w:rFonts w:ascii="Century Gothic" w:hAnsi="Century Gothic"/>
          <w:sz w:val="22"/>
          <w:szCs w:val="22"/>
          <w:lang w:val="en-US"/>
        </w:rPr>
      </w:pPr>
    </w:p>
    <w:p w14:paraId="32E8C873" w14:textId="77777777" w:rsidR="005C0AA2" w:rsidRPr="00AE3CB1" w:rsidRDefault="005C0AA2" w:rsidP="00F74868">
      <w:pPr>
        <w:pStyle w:val="podpisi"/>
        <w:spacing w:line="280" w:lineRule="exact"/>
        <w:jc w:val="both"/>
        <w:rPr>
          <w:rFonts w:ascii="Century Gothic" w:hAnsi="Century Gothic"/>
          <w:sz w:val="22"/>
          <w:szCs w:val="22"/>
          <w:lang w:val="en-US"/>
        </w:rPr>
      </w:pPr>
    </w:p>
    <w:p w14:paraId="275EA08C" w14:textId="77777777" w:rsidR="005C0AA2" w:rsidRPr="00AE3CB1" w:rsidRDefault="005C0AA2" w:rsidP="00F74868">
      <w:pPr>
        <w:pStyle w:val="podpisi"/>
        <w:spacing w:line="280" w:lineRule="exact"/>
        <w:jc w:val="both"/>
        <w:rPr>
          <w:rFonts w:ascii="Century Gothic" w:hAnsi="Century Gothic"/>
          <w:sz w:val="22"/>
          <w:szCs w:val="22"/>
          <w:lang w:val="en-US"/>
        </w:rPr>
      </w:pPr>
    </w:p>
    <w:p w14:paraId="7441DA3F" w14:textId="77777777" w:rsidR="005C0AA2" w:rsidRPr="00AE3CB1" w:rsidRDefault="005C0AA2" w:rsidP="00F74868">
      <w:pPr>
        <w:pStyle w:val="podpisi"/>
        <w:spacing w:line="280" w:lineRule="exact"/>
        <w:jc w:val="both"/>
        <w:rPr>
          <w:rFonts w:ascii="Century Gothic" w:hAnsi="Century Gothic"/>
          <w:sz w:val="22"/>
          <w:szCs w:val="22"/>
          <w:lang w:val="en-US"/>
        </w:rPr>
      </w:pPr>
    </w:p>
    <w:p w14:paraId="1D5E965B" w14:textId="77777777" w:rsidR="005C0AA2" w:rsidRPr="00AE3CB1" w:rsidRDefault="005C0AA2" w:rsidP="00F74868">
      <w:pPr>
        <w:pStyle w:val="podpisi"/>
        <w:spacing w:line="280" w:lineRule="exact"/>
        <w:jc w:val="both"/>
        <w:rPr>
          <w:rFonts w:ascii="Century Gothic" w:hAnsi="Century Gothic"/>
          <w:sz w:val="22"/>
          <w:szCs w:val="22"/>
          <w:lang w:val="en-US"/>
        </w:rPr>
      </w:pPr>
    </w:p>
    <w:p w14:paraId="50BAD116" w14:textId="77777777" w:rsidR="005C0AA2" w:rsidRPr="00AE3CB1" w:rsidRDefault="005C0AA2" w:rsidP="00F74868">
      <w:pPr>
        <w:pStyle w:val="podpisi"/>
        <w:spacing w:line="280" w:lineRule="exact"/>
        <w:jc w:val="both"/>
        <w:rPr>
          <w:rFonts w:ascii="Century Gothic" w:hAnsi="Century Gothic"/>
          <w:sz w:val="22"/>
          <w:szCs w:val="22"/>
          <w:lang w:val="en-US"/>
        </w:rPr>
      </w:pPr>
    </w:p>
    <w:p w14:paraId="29F42364" w14:textId="77777777" w:rsidR="005C0AA2" w:rsidRPr="00AE3CB1" w:rsidRDefault="005C0AA2" w:rsidP="00F74868">
      <w:pPr>
        <w:pStyle w:val="podpisi"/>
        <w:spacing w:line="280" w:lineRule="exact"/>
        <w:jc w:val="both"/>
        <w:rPr>
          <w:rFonts w:ascii="Century Gothic" w:hAnsi="Century Gothic"/>
          <w:sz w:val="22"/>
          <w:szCs w:val="22"/>
          <w:lang w:val="en-US"/>
        </w:rPr>
      </w:pPr>
    </w:p>
    <w:p w14:paraId="15FE8A79" w14:textId="77777777" w:rsidR="005C0AA2" w:rsidRPr="00AE3CB1" w:rsidRDefault="005C0AA2" w:rsidP="00F74868">
      <w:pPr>
        <w:pStyle w:val="podpisi"/>
        <w:spacing w:line="280" w:lineRule="exact"/>
        <w:jc w:val="both"/>
        <w:rPr>
          <w:rFonts w:ascii="Century Gothic" w:hAnsi="Century Gothic"/>
          <w:sz w:val="22"/>
          <w:szCs w:val="22"/>
          <w:lang w:val="en-US"/>
        </w:rPr>
      </w:pPr>
    </w:p>
    <w:p w14:paraId="611300F2" w14:textId="77777777" w:rsidR="005C0AA2" w:rsidRPr="00AE3CB1" w:rsidRDefault="005C0AA2" w:rsidP="00F74868">
      <w:pPr>
        <w:pStyle w:val="podpisi"/>
        <w:spacing w:line="280" w:lineRule="exact"/>
        <w:jc w:val="both"/>
        <w:rPr>
          <w:rFonts w:ascii="Century Gothic" w:hAnsi="Century Gothic"/>
          <w:sz w:val="22"/>
          <w:szCs w:val="22"/>
          <w:lang w:val="en-US"/>
        </w:rPr>
      </w:pPr>
    </w:p>
    <w:p w14:paraId="31183E93" w14:textId="77777777" w:rsidR="005C0AA2" w:rsidRPr="00AE3CB1" w:rsidRDefault="005C0AA2" w:rsidP="00F74868">
      <w:pPr>
        <w:pStyle w:val="podpisi"/>
        <w:spacing w:line="280" w:lineRule="exact"/>
        <w:jc w:val="both"/>
        <w:rPr>
          <w:rFonts w:ascii="Century Gothic" w:hAnsi="Century Gothic"/>
          <w:sz w:val="22"/>
          <w:szCs w:val="22"/>
          <w:lang w:val="en-US"/>
        </w:rPr>
      </w:pPr>
    </w:p>
    <w:p w14:paraId="0A254E25" w14:textId="77777777" w:rsidR="005C0AA2" w:rsidRPr="00AE3CB1" w:rsidRDefault="005C0AA2" w:rsidP="00F74868">
      <w:pPr>
        <w:pStyle w:val="podpisi"/>
        <w:spacing w:line="280" w:lineRule="exact"/>
        <w:jc w:val="both"/>
        <w:rPr>
          <w:rFonts w:ascii="Century Gothic" w:hAnsi="Century Gothic"/>
          <w:sz w:val="22"/>
          <w:szCs w:val="22"/>
          <w:lang w:val="en-US"/>
        </w:rPr>
      </w:pPr>
    </w:p>
    <w:p w14:paraId="54339285" w14:textId="77777777" w:rsidR="005C0AA2" w:rsidRPr="00AE3CB1" w:rsidRDefault="005C0AA2" w:rsidP="00F74868">
      <w:pPr>
        <w:pStyle w:val="podpisi"/>
        <w:spacing w:line="280" w:lineRule="exact"/>
        <w:jc w:val="both"/>
        <w:rPr>
          <w:rFonts w:ascii="Century Gothic" w:hAnsi="Century Gothic"/>
          <w:sz w:val="22"/>
          <w:szCs w:val="22"/>
          <w:lang w:val="en-US"/>
        </w:rPr>
      </w:pPr>
    </w:p>
    <w:p w14:paraId="5988D12E" w14:textId="77777777" w:rsidR="005C0AA2" w:rsidRPr="00AE3CB1" w:rsidRDefault="005C0AA2" w:rsidP="00F74868">
      <w:pPr>
        <w:pStyle w:val="podpisi"/>
        <w:spacing w:line="280" w:lineRule="exact"/>
        <w:jc w:val="both"/>
        <w:rPr>
          <w:rFonts w:ascii="Century Gothic" w:hAnsi="Century Gothic"/>
          <w:sz w:val="22"/>
          <w:szCs w:val="22"/>
          <w:lang w:val="en-US"/>
        </w:rPr>
      </w:pPr>
    </w:p>
    <w:p w14:paraId="70CDBBE2" w14:textId="77777777" w:rsidR="005C0AA2" w:rsidRPr="00AE3CB1" w:rsidRDefault="005C0AA2" w:rsidP="00F74868">
      <w:pPr>
        <w:pStyle w:val="podpisi"/>
        <w:spacing w:line="280" w:lineRule="exact"/>
        <w:jc w:val="both"/>
        <w:rPr>
          <w:rFonts w:ascii="Century Gothic" w:hAnsi="Century Gothic"/>
          <w:sz w:val="22"/>
          <w:szCs w:val="22"/>
          <w:lang w:val="en-US"/>
        </w:rPr>
      </w:pPr>
    </w:p>
    <w:p w14:paraId="1FADB5B4" w14:textId="77777777" w:rsidR="005C0AA2" w:rsidRPr="00AE3CB1" w:rsidRDefault="005C0AA2" w:rsidP="00F74868">
      <w:pPr>
        <w:pStyle w:val="podpisi"/>
        <w:spacing w:line="280" w:lineRule="exact"/>
        <w:jc w:val="both"/>
        <w:rPr>
          <w:rFonts w:ascii="Century Gothic" w:hAnsi="Century Gothic"/>
          <w:sz w:val="22"/>
          <w:szCs w:val="22"/>
          <w:lang w:val="en-US"/>
        </w:rPr>
      </w:pPr>
    </w:p>
    <w:p w14:paraId="662083BE" w14:textId="77777777" w:rsidR="005C0AA2" w:rsidRPr="00AE3CB1" w:rsidRDefault="005C0AA2" w:rsidP="00F74868">
      <w:pPr>
        <w:pStyle w:val="podpisi"/>
        <w:spacing w:line="280" w:lineRule="exact"/>
        <w:jc w:val="both"/>
        <w:rPr>
          <w:rFonts w:ascii="Century Gothic" w:hAnsi="Century Gothic"/>
          <w:sz w:val="22"/>
          <w:szCs w:val="22"/>
          <w:lang w:val="en-US"/>
        </w:rPr>
      </w:pPr>
    </w:p>
    <w:p w14:paraId="086B0990" w14:textId="77777777" w:rsidR="005C0AA2" w:rsidRPr="00AE3CB1" w:rsidRDefault="005C0AA2" w:rsidP="00F74868">
      <w:pPr>
        <w:pStyle w:val="podpisi"/>
        <w:spacing w:line="280" w:lineRule="exact"/>
        <w:jc w:val="both"/>
        <w:rPr>
          <w:rFonts w:ascii="Century Gothic" w:hAnsi="Century Gothic"/>
          <w:sz w:val="22"/>
          <w:szCs w:val="22"/>
          <w:lang w:val="en-US"/>
        </w:rPr>
      </w:pPr>
    </w:p>
    <w:p w14:paraId="0D5A7E41" w14:textId="77777777" w:rsidR="00F74868" w:rsidRPr="00AE3CB1" w:rsidRDefault="00593B34" w:rsidP="006F3DE6">
      <w:pPr>
        <w:pStyle w:val="podpisi"/>
        <w:spacing w:line="280" w:lineRule="exact"/>
        <w:jc w:val="both"/>
        <w:rPr>
          <w:rFonts w:ascii="Century Gothic" w:hAnsi="Century Gothic"/>
          <w:sz w:val="22"/>
          <w:szCs w:val="22"/>
          <w:lang w:val="en-US"/>
        </w:rPr>
      </w:pPr>
      <w:r>
        <w:rPr>
          <w:rFonts w:ascii="Century Gothic" w:hAnsi="Century Gothic"/>
          <w:noProof/>
          <w:sz w:val="22"/>
          <w:szCs w:val="22"/>
          <w:lang w:val="sl-SI" w:eastAsia="sl-SI"/>
        </w:rPr>
        <w:drawing>
          <wp:anchor distT="0" distB="0" distL="114300" distR="114300" simplePos="0" relativeHeight="251656704" behindDoc="0" locked="0" layoutInCell="1" allowOverlap="1" wp14:anchorId="152D3EC9" wp14:editId="762A7190">
            <wp:simplePos x="0" y="0"/>
            <wp:positionH relativeFrom="column">
              <wp:posOffset>-1298</wp:posOffset>
            </wp:positionH>
            <wp:positionV relativeFrom="paragraph">
              <wp:posOffset>-3709698</wp:posOffset>
            </wp:positionV>
            <wp:extent cx="5760720" cy="3840480"/>
            <wp:effectExtent l="0" t="0" r="0" b="7620"/>
            <wp:wrapNone/>
            <wp:docPr id="19" name="Slika 19" descr="Figure 3: The trend in the share of fixed broadband technologies in relation to the number of broadband internet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Figure 3: The trend in the share of fixed broadband technologies in relation to the number of broadband internet conne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anchor>
        </w:drawing>
      </w:r>
    </w:p>
    <w:p w14:paraId="63AA4C24" w14:textId="77777777" w:rsidR="00E15522" w:rsidRPr="00AE3CB1" w:rsidRDefault="003235FF" w:rsidP="007472B2">
      <w:pPr>
        <w:pStyle w:val="podpisi"/>
        <w:spacing w:line="240" w:lineRule="auto"/>
        <w:jc w:val="both"/>
        <w:rPr>
          <w:rFonts w:ascii="Century Gothic" w:hAnsi="Century Gothic"/>
          <w:sz w:val="18"/>
          <w:szCs w:val="18"/>
          <w:lang w:val="en-US"/>
        </w:rPr>
      </w:pPr>
      <w:r>
        <w:rPr>
          <w:rFonts w:ascii="Century Gothic" w:hAnsi="Century Gothic"/>
          <w:sz w:val="18"/>
          <w:szCs w:val="18"/>
          <w:lang w:val="en-GB"/>
        </w:rPr>
        <w:t>Source: AKOS, eAnalitik</w:t>
      </w:r>
    </w:p>
    <w:p w14:paraId="1737FAB1" w14:textId="77777777" w:rsidR="007D0308" w:rsidRPr="00AC504C" w:rsidRDefault="007D0308" w:rsidP="00207A1E">
      <w:pPr>
        <w:spacing w:line="280" w:lineRule="exact"/>
        <w:jc w:val="both"/>
        <w:rPr>
          <w:rFonts w:ascii="Century Gothic" w:hAnsi="Century Gothic"/>
          <w:sz w:val="22"/>
          <w:szCs w:val="22"/>
        </w:rPr>
      </w:pPr>
    </w:p>
    <w:p w14:paraId="59990435" w14:textId="77777777" w:rsidR="00207A1E" w:rsidRPr="00AC504C" w:rsidRDefault="00207A1E" w:rsidP="00207A1E">
      <w:pPr>
        <w:spacing w:line="280" w:lineRule="exact"/>
        <w:jc w:val="both"/>
        <w:rPr>
          <w:rFonts w:ascii="Century Gothic" w:hAnsi="Century Gothic"/>
          <w:sz w:val="22"/>
          <w:szCs w:val="22"/>
        </w:rPr>
      </w:pPr>
      <w:r>
        <w:rPr>
          <w:rFonts w:ascii="Century Gothic" w:hAnsi="Century Gothic"/>
          <w:sz w:val="22"/>
          <w:szCs w:val="22"/>
          <w:lang w:val="en-GB"/>
        </w:rPr>
        <w:t xml:space="preserve">The share of Fibre to the Home (FTTH) connections and the deployment of high-speed access technologies in cable networks (DOCSIS 3.0 and DOCSIS 3.1) have been increasing as these technologies are becoming dominant. The number of Next Generation Access lines (NGAs) has also been increasing (see Figure 4). Hence there are more than 600,000 active fixed broadband internet access lines, of which approximately 100,000 are </w:t>
      </w:r>
      <w:proofErr w:type="gramStart"/>
      <w:r>
        <w:rPr>
          <w:rFonts w:ascii="Century Gothic" w:hAnsi="Century Gothic"/>
          <w:sz w:val="22"/>
          <w:szCs w:val="22"/>
          <w:lang w:val="en-GB"/>
        </w:rPr>
        <w:t>low capacity</w:t>
      </w:r>
      <w:proofErr w:type="gramEnd"/>
      <w:r>
        <w:rPr>
          <w:rFonts w:ascii="Century Gothic" w:hAnsi="Century Gothic"/>
          <w:sz w:val="22"/>
          <w:szCs w:val="22"/>
          <w:lang w:val="en-GB"/>
        </w:rPr>
        <w:t xml:space="preserve"> lines or non-NGA lines, with a penetration rate of 70.72% of NGA fixed broadband internet access lines per household (see Figure 5).</w:t>
      </w:r>
    </w:p>
    <w:p w14:paraId="5E435006" w14:textId="77777777" w:rsidR="00C33AFA" w:rsidRPr="00AC504C" w:rsidRDefault="00C33AFA">
      <w:pPr>
        <w:spacing w:after="160" w:line="259" w:lineRule="auto"/>
        <w:rPr>
          <w:rFonts w:ascii="Century Gothic" w:hAnsi="Century Gothic"/>
          <w:sz w:val="22"/>
          <w:szCs w:val="22"/>
        </w:rPr>
      </w:pPr>
    </w:p>
    <w:p w14:paraId="5761F029" w14:textId="77777777" w:rsidR="006F3DE6" w:rsidRPr="00AC504C" w:rsidRDefault="006F3DE6" w:rsidP="00DC7DAE">
      <w:pPr>
        <w:spacing w:after="160" w:line="259" w:lineRule="auto"/>
        <w:rPr>
          <w:rFonts w:ascii="Century Gothic" w:hAnsi="Century Gothic"/>
          <w:sz w:val="22"/>
          <w:szCs w:val="22"/>
        </w:rPr>
      </w:pPr>
      <w:r>
        <w:rPr>
          <w:rFonts w:ascii="Century Gothic" w:hAnsi="Century Gothic"/>
          <w:sz w:val="22"/>
          <w:szCs w:val="22"/>
          <w:lang w:val="en-GB"/>
        </w:rPr>
        <w:t xml:space="preserve">Figure 4: The trend in the number of NGA and non-NGA fixed broadband internet access </w:t>
      </w:r>
      <w:proofErr w:type="gramStart"/>
      <w:r>
        <w:rPr>
          <w:rFonts w:ascii="Century Gothic" w:hAnsi="Century Gothic"/>
          <w:sz w:val="22"/>
          <w:szCs w:val="22"/>
          <w:lang w:val="en-GB"/>
        </w:rPr>
        <w:t>lines</w:t>
      </w:r>
      <w:proofErr w:type="gramEnd"/>
    </w:p>
    <w:p w14:paraId="63474A01" w14:textId="77777777" w:rsidR="0019597E" w:rsidRPr="00AE3CB1" w:rsidRDefault="0019597E" w:rsidP="007472B2">
      <w:pPr>
        <w:pStyle w:val="podpisi"/>
        <w:spacing w:line="240" w:lineRule="auto"/>
        <w:jc w:val="both"/>
        <w:rPr>
          <w:rFonts w:ascii="Century Gothic" w:hAnsi="Century Gothic"/>
          <w:sz w:val="22"/>
          <w:szCs w:val="22"/>
          <w:lang w:val="en-US"/>
        </w:rPr>
      </w:pPr>
    </w:p>
    <w:p w14:paraId="40EF04E5" w14:textId="77777777" w:rsidR="0019597E" w:rsidRPr="00AE3CB1" w:rsidRDefault="00950624" w:rsidP="007472B2">
      <w:pPr>
        <w:pStyle w:val="podpisi"/>
        <w:spacing w:line="240" w:lineRule="auto"/>
        <w:jc w:val="both"/>
        <w:rPr>
          <w:rFonts w:ascii="Century Gothic" w:hAnsi="Century Gothic"/>
          <w:sz w:val="22"/>
          <w:szCs w:val="22"/>
          <w:lang w:val="en-US"/>
        </w:rPr>
      </w:pPr>
      <w:r>
        <w:rPr>
          <w:rFonts w:ascii="Century Gothic" w:hAnsi="Century Gothic"/>
          <w:noProof/>
          <w:sz w:val="22"/>
          <w:szCs w:val="22"/>
          <w:lang w:val="sl-SI" w:eastAsia="sl-SI"/>
        </w:rPr>
        <w:drawing>
          <wp:anchor distT="0" distB="0" distL="114300" distR="114300" simplePos="0" relativeHeight="251657728" behindDoc="0" locked="0" layoutInCell="1" allowOverlap="1" wp14:anchorId="21E026E0" wp14:editId="4473848A">
            <wp:simplePos x="0" y="0"/>
            <wp:positionH relativeFrom="column">
              <wp:posOffset>-1298</wp:posOffset>
            </wp:positionH>
            <wp:positionV relativeFrom="paragraph">
              <wp:posOffset>2071</wp:posOffset>
            </wp:positionV>
            <wp:extent cx="5760720" cy="3520440"/>
            <wp:effectExtent l="0" t="0" r="0" b="3810"/>
            <wp:wrapNone/>
            <wp:docPr id="22" name="Slika 22" descr="Figure 4: The trend in the number of NGA and non-NGA fixed broadband internet access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Figure 4: The trend in the number of NGA and non-NGA fixed broadband internet access lin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520440"/>
                    </a:xfrm>
                    <a:prstGeom prst="rect">
                      <a:avLst/>
                    </a:prstGeom>
                  </pic:spPr>
                </pic:pic>
              </a:graphicData>
            </a:graphic>
          </wp:anchor>
        </w:drawing>
      </w:r>
    </w:p>
    <w:p w14:paraId="2C9B9AB0" w14:textId="77777777" w:rsidR="0019597E" w:rsidRPr="00AE3CB1" w:rsidRDefault="0019597E" w:rsidP="007472B2">
      <w:pPr>
        <w:pStyle w:val="podpisi"/>
        <w:spacing w:line="240" w:lineRule="auto"/>
        <w:jc w:val="both"/>
        <w:rPr>
          <w:rFonts w:ascii="Century Gothic" w:hAnsi="Century Gothic"/>
          <w:sz w:val="22"/>
          <w:szCs w:val="22"/>
          <w:lang w:val="en-US"/>
        </w:rPr>
      </w:pPr>
    </w:p>
    <w:p w14:paraId="688A0F14" w14:textId="77777777" w:rsidR="0019597E" w:rsidRPr="00AE3CB1" w:rsidRDefault="0019597E" w:rsidP="007472B2">
      <w:pPr>
        <w:pStyle w:val="podpisi"/>
        <w:spacing w:line="240" w:lineRule="auto"/>
        <w:jc w:val="both"/>
        <w:rPr>
          <w:rFonts w:ascii="Century Gothic" w:hAnsi="Century Gothic"/>
          <w:sz w:val="22"/>
          <w:szCs w:val="22"/>
          <w:lang w:val="en-US"/>
        </w:rPr>
      </w:pPr>
    </w:p>
    <w:p w14:paraId="13715480" w14:textId="77777777" w:rsidR="0019597E" w:rsidRPr="00AE3CB1" w:rsidRDefault="0019597E" w:rsidP="007472B2">
      <w:pPr>
        <w:pStyle w:val="podpisi"/>
        <w:spacing w:line="240" w:lineRule="auto"/>
        <w:jc w:val="both"/>
        <w:rPr>
          <w:rFonts w:ascii="Century Gothic" w:hAnsi="Century Gothic"/>
          <w:sz w:val="22"/>
          <w:szCs w:val="22"/>
          <w:lang w:val="en-US"/>
        </w:rPr>
      </w:pPr>
    </w:p>
    <w:p w14:paraId="7DC36AFE" w14:textId="77777777" w:rsidR="0019597E" w:rsidRPr="00AE3CB1" w:rsidRDefault="0019597E" w:rsidP="007472B2">
      <w:pPr>
        <w:pStyle w:val="podpisi"/>
        <w:spacing w:line="240" w:lineRule="auto"/>
        <w:jc w:val="both"/>
        <w:rPr>
          <w:rFonts w:ascii="Century Gothic" w:hAnsi="Century Gothic"/>
          <w:sz w:val="22"/>
          <w:szCs w:val="22"/>
          <w:lang w:val="en-US"/>
        </w:rPr>
      </w:pPr>
    </w:p>
    <w:p w14:paraId="4CEC90D4" w14:textId="77777777" w:rsidR="0019597E" w:rsidRPr="00AE3CB1" w:rsidRDefault="0019597E" w:rsidP="007472B2">
      <w:pPr>
        <w:pStyle w:val="podpisi"/>
        <w:spacing w:line="240" w:lineRule="auto"/>
        <w:jc w:val="both"/>
        <w:rPr>
          <w:rFonts w:ascii="Century Gothic" w:hAnsi="Century Gothic"/>
          <w:sz w:val="22"/>
          <w:szCs w:val="22"/>
          <w:lang w:val="en-US"/>
        </w:rPr>
      </w:pPr>
    </w:p>
    <w:p w14:paraId="2A7CE6EA" w14:textId="77777777" w:rsidR="0019597E" w:rsidRPr="00AE3CB1" w:rsidRDefault="0019597E" w:rsidP="007472B2">
      <w:pPr>
        <w:pStyle w:val="podpisi"/>
        <w:spacing w:line="240" w:lineRule="auto"/>
        <w:jc w:val="both"/>
        <w:rPr>
          <w:rFonts w:ascii="Century Gothic" w:hAnsi="Century Gothic"/>
          <w:sz w:val="22"/>
          <w:szCs w:val="22"/>
          <w:lang w:val="en-US"/>
        </w:rPr>
      </w:pPr>
    </w:p>
    <w:p w14:paraId="14B366F1" w14:textId="77777777" w:rsidR="0019597E" w:rsidRPr="00AE3CB1" w:rsidRDefault="0019597E" w:rsidP="007472B2">
      <w:pPr>
        <w:pStyle w:val="podpisi"/>
        <w:spacing w:line="240" w:lineRule="auto"/>
        <w:jc w:val="both"/>
        <w:rPr>
          <w:rFonts w:ascii="Century Gothic" w:hAnsi="Century Gothic"/>
          <w:sz w:val="22"/>
          <w:szCs w:val="22"/>
          <w:lang w:val="en-US"/>
        </w:rPr>
      </w:pPr>
    </w:p>
    <w:p w14:paraId="4180ED6A" w14:textId="77777777" w:rsidR="0019597E" w:rsidRPr="00AE3CB1" w:rsidRDefault="0019597E" w:rsidP="007472B2">
      <w:pPr>
        <w:pStyle w:val="podpisi"/>
        <w:spacing w:line="240" w:lineRule="auto"/>
        <w:jc w:val="both"/>
        <w:rPr>
          <w:rFonts w:ascii="Century Gothic" w:hAnsi="Century Gothic"/>
          <w:sz w:val="22"/>
          <w:szCs w:val="22"/>
          <w:lang w:val="en-US"/>
        </w:rPr>
      </w:pPr>
    </w:p>
    <w:p w14:paraId="0A20C863" w14:textId="77777777" w:rsidR="0019597E" w:rsidRPr="00AE3CB1" w:rsidRDefault="0019597E" w:rsidP="007472B2">
      <w:pPr>
        <w:pStyle w:val="podpisi"/>
        <w:spacing w:line="240" w:lineRule="auto"/>
        <w:jc w:val="both"/>
        <w:rPr>
          <w:rFonts w:ascii="Century Gothic" w:hAnsi="Century Gothic"/>
          <w:sz w:val="22"/>
          <w:szCs w:val="22"/>
          <w:lang w:val="en-US"/>
        </w:rPr>
      </w:pPr>
    </w:p>
    <w:p w14:paraId="26B43F61" w14:textId="77777777" w:rsidR="0019597E" w:rsidRPr="00AE3CB1" w:rsidRDefault="0019597E" w:rsidP="007472B2">
      <w:pPr>
        <w:pStyle w:val="podpisi"/>
        <w:spacing w:line="240" w:lineRule="auto"/>
        <w:jc w:val="both"/>
        <w:rPr>
          <w:rFonts w:ascii="Century Gothic" w:hAnsi="Century Gothic"/>
          <w:sz w:val="22"/>
          <w:szCs w:val="22"/>
          <w:lang w:val="en-US"/>
        </w:rPr>
      </w:pPr>
    </w:p>
    <w:p w14:paraId="6BF035AA" w14:textId="77777777" w:rsidR="0019597E" w:rsidRPr="00AE3CB1" w:rsidRDefault="0019597E" w:rsidP="007472B2">
      <w:pPr>
        <w:pStyle w:val="podpisi"/>
        <w:spacing w:line="240" w:lineRule="auto"/>
        <w:jc w:val="both"/>
        <w:rPr>
          <w:rFonts w:ascii="Century Gothic" w:hAnsi="Century Gothic"/>
          <w:sz w:val="22"/>
          <w:szCs w:val="22"/>
          <w:lang w:val="en-US"/>
        </w:rPr>
      </w:pPr>
    </w:p>
    <w:p w14:paraId="7947BB42" w14:textId="77777777" w:rsidR="0019597E" w:rsidRPr="00AE3CB1" w:rsidRDefault="0019597E" w:rsidP="007472B2">
      <w:pPr>
        <w:pStyle w:val="podpisi"/>
        <w:spacing w:line="240" w:lineRule="auto"/>
        <w:jc w:val="both"/>
        <w:rPr>
          <w:rFonts w:ascii="Century Gothic" w:hAnsi="Century Gothic"/>
          <w:sz w:val="22"/>
          <w:szCs w:val="22"/>
          <w:lang w:val="en-US"/>
        </w:rPr>
      </w:pPr>
    </w:p>
    <w:p w14:paraId="4FE7C099" w14:textId="77777777" w:rsidR="0019597E" w:rsidRPr="00AE3CB1" w:rsidRDefault="0019597E" w:rsidP="007472B2">
      <w:pPr>
        <w:pStyle w:val="podpisi"/>
        <w:spacing w:line="240" w:lineRule="auto"/>
        <w:jc w:val="both"/>
        <w:rPr>
          <w:rFonts w:ascii="Century Gothic" w:hAnsi="Century Gothic"/>
          <w:sz w:val="22"/>
          <w:szCs w:val="22"/>
          <w:lang w:val="en-US"/>
        </w:rPr>
      </w:pPr>
    </w:p>
    <w:p w14:paraId="08D47D89" w14:textId="77777777" w:rsidR="0019597E" w:rsidRPr="00AE3CB1" w:rsidRDefault="0019597E" w:rsidP="007472B2">
      <w:pPr>
        <w:pStyle w:val="podpisi"/>
        <w:spacing w:line="240" w:lineRule="auto"/>
        <w:jc w:val="both"/>
        <w:rPr>
          <w:rFonts w:ascii="Century Gothic" w:hAnsi="Century Gothic"/>
          <w:sz w:val="22"/>
          <w:szCs w:val="22"/>
          <w:lang w:val="en-US"/>
        </w:rPr>
      </w:pPr>
    </w:p>
    <w:p w14:paraId="5AE09CFA" w14:textId="77777777" w:rsidR="0019597E" w:rsidRPr="00AE3CB1" w:rsidRDefault="0019597E" w:rsidP="007472B2">
      <w:pPr>
        <w:pStyle w:val="podpisi"/>
        <w:spacing w:line="240" w:lineRule="auto"/>
        <w:jc w:val="both"/>
        <w:rPr>
          <w:rFonts w:ascii="Century Gothic" w:hAnsi="Century Gothic"/>
          <w:sz w:val="22"/>
          <w:szCs w:val="22"/>
          <w:lang w:val="en-US"/>
        </w:rPr>
      </w:pPr>
    </w:p>
    <w:p w14:paraId="75F3031A" w14:textId="77777777" w:rsidR="0019597E" w:rsidRPr="00AE3CB1" w:rsidRDefault="0019597E" w:rsidP="007472B2">
      <w:pPr>
        <w:pStyle w:val="podpisi"/>
        <w:spacing w:line="240" w:lineRule="auto"/>
        <w:jc w:val="both"/>
        <w:rPr>
          <w:rFonts w:ascii="Century Gothic" w:hAnsi="Century Gothic"/>
          <w:sz w:val="22"/>
          <w:szCs w:val="22"/>
          <w:lang w:val="en-US"/>
        </w:rPr>
      </w:pPr>
    </w:p>
    <w:p w14:paraId="06CAE5F3" w14:textId="77777777" w:rsidR="0019597E" w:rsidRPr="00AE3CB1" w:rsidRDefault="0019597E" w:rsidP="007472B2">
      <w:pPr>
        <w:pStyle w:val="podpisi"/>
        <w:spacing w:line="240" w:lineRule="auto"/>
        <w:jc w:val="both"/>
        <w:rPr>
          <w:rFonts w:ascii="Century Gothic" w:hAnsi="Century Gothic"/>
          <w:sz w:val="22"/>
          <w:szCs w:val="22"/>
          <w:lang w:val="en-US"/>
        </w:rPr>
      </w:pPr>
    </w:p>
    <w:p w14:paraId="30E4452A" w14:textId="77777777" w:rsidR="0019597E" w:rsidRPr="00AE3CB1" w:rsidRDefault="0019597E" w:rsidP="007472B2">
      <w:pPr>
        <w:pStyle w:val="podpisi"/>
        <w:spacing w:line="240" w:lineRule="auto"/>
        <w:jc w:val="both"/>
        <w:rPr>
          <w:rFonts w:ascii="Century Gothic" w:hAnsi="Century Gothic"/>
          <w:sz w:val="22"/>
          <w:szCs w:val="22"/>
          <w:lang w:val="en-US"/>
        </w:rPr>
      </w:pPr>
    </w:p>
    <w:p w14:paraId="403E2457" w14:textId="77777777" w:rsidR="0019597E" w:rsidRPr="00AE3CB1" w:rsidRDefault="0019597E" w:rsidP="007472B2">
      <w:pPr>
        <w:pStyle w:val="podpisi"/>
        <w:spacing w:line="240" w:lineRule="auto"/>
        <w:jc w:val="both"/>
        <w:rPr>
          <w:rFonts w:ascii="Century Gothic" w:hAnsi="Century Gothic"/>
          <w:sz w:val="22"/>
          <w:szCs w:val="22"/>
          <w:lang w:val="en-US"/>
        </w:rPr>
      </w:pPr>
    </w:p>
    <w:p w14:paraId="2B04ED68" w14:textId="77777777" w:rsidR="003235FF" w:rsidRPr="00AE3CB1" w:rsidRDefault="003235FF" w:rsidP="007472B2">
      <w:pPr>
        <w:pStyle w:val="podpisi"/>
        <w:spacing w:line="240" w:lineRule="auto"/>
        <w:jc w:val="both"/>
        <w:rPr>
          <w:rFonts w:ascii="Century Gothic" w:hAnsi="Century Gothic"/>
          <w:sz w:val="22"/>
          <w:szCs w:val="22"/>
          <w:lang w:val="en-US"/>
        </w:rPr>
      </w:pPr>
    </w:p>
    <w:p w14:paraId="7714736A" w14:textId="77777777" w:rsidR="00EE5A32" w:rsidRPr="00AE3CB1" w:rsidRDefault="00EC0A52" w:rsidP="007472B2">
      <w:pPr>
        <w:pStyle w:val="podpisi"/>
        <w:spacing w:line="240" w:lineRule="auto"/>
        <w:jc w:val="both"/>
        <w:rPr>
          <w:rFonts w:ascii="Century Gothic" w:hAnsi="Century Gothic"/>
          <w:sz w:val="22"/>
          <w:szCs w:val="22"/>
          <w:lang w:val="en-US"/>
        </w:rPr>
      </w:pPr>
      <w:r>
        <w:rPr>
          <w:rFonts w:ascii="Century Gothic" w:hAnsi="Century Gothic"/>
          <w:sz w:val="18"/>
          <w:szCs w:val="18"/>
          <w:lang w:val="en-GB"/>
        </w:rPr>
        <w:t>Source: AKOS, eAnalitik</w:t>
      </w:r>
    </w:p>
    <w:p w14:paraId="669C9208" w14:textId="77777777" w:rsidR="00EE5A32" w:rsidRPr="00AE3CB1" w:rsidRDefault="00EE5A32" w:rsidP="007472B2">
      <w:pPr>
        <w:pStyle w:val="podpisi"/>
        <w:spacing w:line="240" w:lineRule="auto"/>
        <w:jc w:val="both"/>
        <w:rPr>
          <w:rFonts w:ascii="Century Gothic" w:hAnsi="Century Gothic"/>
          <w:sz w:val="22"/>
          <w:szCs w:val="22"/>
          <w:lang w:val="en-US"/>
        </w:rPr>
      </w:pPr>
    </w:p>
    <w:p w14:paraId="1F9B25BC" w14:textId="77777777" w:rsidR="00C33AFA" w:rsidRPr="00AE3CB1" w:rsidRDefault="00C33AFA" w:rsidP="00207A1E">
      <w:pPr>
        <w:pStyle w:val="podpisi"/>
        <w:spacing w:line="240" w:lineRule="auto"/>
        <w:jc w:val="both"/>
        <w:rPr>
          <w:rFonts w:ascii="Century Gothic" w:hAnsi="Century Gothic"/>
          <w:sz w:val="22"/>
          <w:szCs w:val="22"/>
          <w:lang w:val="en-US"/>
        </w:rPr>
      </w:pPr>
    </w:p>
    <w:p w14:paraId="1E035532" w14:textId="77777777" w:rsidR="00C33AFA" w:rsidRPr="00AE3CB1" w:rsidRDefault="00C33AFA" w:rsidP="00207A1E">
      <w:pPr>
        <w:pStyle w:val="podpisi"/>
        <w:spacing w:line="240" w:lineRule="auto"/>
        <w:jc w:val="both"/>
        <w:rPr>
          <w:rFonts w:ascii="Century Gothic" w:hAnsi="Century Gothic"/>
          <w:sz w:val="22"/>
          <w:szCs w:val="22"/>
          <w:lang w:val="en-US"/>
        </w:rPr>
      </w:pPr>
    </w:p>
    <w:p w14:paraId="00E825FA" w14:textId="77777777" w:rsidR="00C33AFA" w:rsidRPr="00AE3CB1" w:rsidRDefault="00C33AFA" w:rsidP="00207A1E">
      <w:pPr>
        <w:pStyle w:val="podpisi"/>
        <w:spacing w:line="240" w:lineRule="auto"/>
        <w:jc w:val="both"/>
        <w:rPr>
          <w:rFonts w:ascii="Century Gothic" w:hAnsi="Century Gothic"/>
          <w:sz w:val="22"/>
          <w:szCs w:val="22"/>
          <w:lang w:val="en-US"/>
        </w:rPr>
      </w:pPr>
    </w:p>
    <w:p w14:paraId="65058DE2" w14:textId="77777777" w:rsidR="00C33AFA" w:rsidRPr="00AE3CB1" w:rsidRDefault="00C33AFA" w:rsidP="00207A1E">
      <w:pPr>
        <w:pStyle w:val="podpisi"/>
        <w:spacing w:line="240" w:lineRule="auto"/>
        <w:jc w:val="both"/>
        <w:rPr>
          <w:rFonts w:ascii="Century Gothic" w:hAnsi="Century Gothic"/>
          <w:sz w:val="22"/>
          <w:szCs w:val="22"/>
          <w:lang w:val="en-US"/>
        </w:rPr>
      </w:pPr>
    </w:p>
    <w:p w14:paraId="2120FB6F" w14:textId="77777777" w:rsidR="00C33AFA" w:rsidRPr="00AE3CB1" w:rsidRDefault="00C33AFA" w:rsidP="00207A1E">
      <w:pPr>
        <w:pStyle w:val="podpisi"/>
        <w:spacing w:line="240" w:lineRule="auto"/>
        <w:jc w:val="both"/>
        <w:rPr>
          <w:rFonts w:ascii="Century Gothic" w:hAnsi="Century Gothic"/>
          <w:sz w:val="22"/>
          <w:szCs w:val="22"/>
          <w:lang w:val="en-US"/>
        </w:rPr>
      </w:pPr>
    </w:p>
    <w:p w14:paraId="095A9896" w14:textId="77777777" w:rsidR="00C33AFA" w:rsidRPr="00AE3CB1" w:rsidRDefault="00C33AFA" w:rsidP="00207A1E">
      <w:pPr>
        <w:pStyle w:val="podpisi"/>
        <w:spacing w:line="240" w:lineRule="auto"/>
        <w:jc w:val="both"/>
        <w:rPr>
          <w:rFonts w:ascii="Century Gothic" w:hAnsi="Century Gothic"/>
          <w:sz w:val="22"/>
          <w:szCs w:val="22"/>
          <w:lang w:val="en-US"/>
        </w:rPr>
      </w:pPr>
    </w:p>
    <w:p w14:paraId="739C5C00" w14:textId="77777777" w:rsidR="00C33AFA" w:rsidRPr="00AE3CB1" w:rsidRDefault="00C33AFA" w:rsidP="00207A1E">
      <w:pPr>
        <w:pStyle w:val="podpisi"/>
        <w:spacing w:line="240" w:lineRule="auto"/>
        <w:jc w:val="both"/>
        <w:rPr>
          <w:rFonts w:ascii="Century Gothic" w:hAnsi="Century Gothic"/>
          <w:sz w:val="22"/>
          <w:szCs w:val="22"/>
          <w:lang w:val="en-US"/>
        </w:rPr>
      </w:pPr>
    </w:p>
    <w:p w14:paraId="50825DF7" w14:textId="77777777" w:rsidR="00C33AFA" w:rsidRPr="00AE3CB1" w:rsidRDefault="00C33AFA" w:rsidP="00207A1E">
      <w:pPr>
        <w:pStyle w:val="podpisi"/>
        <w:spacing w:line="240" w:lineRule="auto"/>
        <w:jc w:val="both"/>
        <w:rPr>
          <w:rFonts w:ascii="Century Gothic" w:hAnsi="Century Gothic"/>
          <w:sz w:val="22"/>
          <w:szCs w:val="22"/>
          <w:lang w:val="en-US"/>
        </w:rPr>
      </w:pPr>
    </w:p>
    <w:p w14:paraId="345BB136" w14:textId="77777777" w:rsidR="00C33AFA" w:rsidRPr="00AE3CB1" w:rsidRDefault="00C33AFA" w:rsidP="00207A1E">
      <w:pPr>
        <w:pStyle w:val="podpisi"/>
        <w:spacing w:line="240" w:lineRule="auto"/>
        <w:jc w:val="both"/>
        <w:rPr>
          <w:rFonts w:ascii="Century Gothic" w:hAnsi="Century Gothic"/>
          <w:sz w:val="22"/>
          <w:szCs w:val="22"/>
          <w:lang w:val="en-US"/>
        </w:rPr>
      </w:pPr>
    </w:p>
    <w:p w14:paraId="3CAA2E59" w14:textId="77777777" w:rsidR="00C33AFA" w:rsidRPr="00AE3CB1" w:rsidRDefault="00C33AFA" w:rsidP="00207A1E">
      <w:pPr>
        <w:pStyle w:val="podpisi"/>
        <w:spacing w:line="240" w:lineRule="auto"/>
        <w:jc w:val="both"/>
        <w:rPr>
          <w:rFonts w:ascii="Century Gothic" w:hAnsi="Century Gothic"/>
          <w:sz w:val="22"/>
          <w:szCs w:val="22"/>
          <w:lang w:val="en-US"/>
        </w:rPr>
      </w:pPr>
    </w:p>
    <w:p w14:paraId="67C0DBFB" w14:textId="77777777" w:rsidR="00C33AFA" w:rsidRPr="00AE3CB1" w:rsidRDefault="00C33AFA" w:rsidP="00207A1E">
      <w:pPr>
        <w:pStyle w:val="podpisi"/>
        <w:spacing w:line="240" w:lineRule="auto"/>
        <w:jc w:val="both"/>
        <w:rPr>
          <w:rFonts w:ascii="Century Gothic" w:hAnsi="Century Gothic"/>
          <w:sz w:val="22"/>
          <w:szCs w:val="22"/>
          <w:lang w:val="en-US"/>
        </w:rPr>
      </w:pPr>
    </w:p>
    <w:p w14:paraId="6CC4093E" w14:textId="77777777" w:rsidR="00C33AFA" w:rsidRPr="00AE3CB1" w:rsidRDefault="00C33AFA" w:rsidP="00207A1E">
      <w:pPr>
        <w:pStyle w:val="podpisi"/>
        <w:spacing w:line="240" w:lineRule="auto"/>
        <w:jc w:val="both"/>
        <w:rPr>
          <w:rFonts w:ascii="Century Gothic" w:hAnsi="Century Gothic"/>
          <w:sz w:val="22"/>
          <w:szCs w:val="22"/>
          <w:lang w:val="en-US"/>
        </w:rPr>
      </w:pPr>
    </w:p>
    <w:p w14:paraId="37A3804B" w14:textId="77777777" w:rsidR="00C33AFA" w:rsidRPr="00AE3CB1" w:rsidRDefault="00C33AFA" w:rsidP="00207A1E">
      <w:pPr>
        <w:pStyle w:val="podpisi"/>
        <w:spacing w:line="240" w:lineRule="auto"/>
        <w:jc w:val="both"/>
        <w:rPr>
          <w:rFonts w:ascii="Century Gothic" w:hAnsi="Century Gothic"/>
          <w:sz w:val="22"/>
          <w:szCs w:val="22"/>
          <w:lang w:val="en-US"/>
        </w:rPr>
      </w:pPr>
    </w:p>
    <w:p w14:paraId="167D7EF6" w14:textId="77777777" w:rsidR="00C33AFA" w:rsidRPr="00AE3CB1" w:rsidRDefault="00C33AFA" w:rsidP="00207A1E">
      <w:pPr>
        <w:pStyle w:val="podpisi"/>
        <w:spacing w:line="240" w:lineRule="auto"/>
        <w:jc w:val="both"/>
        <w:rPr>
          <w:rFonts w:ascii="Century Gothic" w:hAnsi="Century Gothic"/>
          <w:sz w:val="22"/>
          <w:szCs w:val="22"/>
          <w:lang w:val="en-US"/>
        </w:rPr>
      </w:pPr>
    </w:p>
    <w:p w14:paraId="677C624E" w14:textId="77777777" w:rsidR="00207A1E" w:rsidRPr="00AE3CB1" w:rsidRDefault="00207A1E" w:rsidP="00207A1E">
      <w:pPr>
        <w:pStyle w:val="podpisi"/>
        <w:spacing w:line="240" w:lineRule="auto"/>
        <w:jc w:val="both"/>
        <w:rPr>
          <w:rFonts w:ascii="Century Gothic" w:hAnsi="Century Gothic"/>
          <w:sz w:val="22"/>
          <w:szCs w:val="22"/>
          <w:lang w:val="en-US"/>
        </w:rPr>
      </w:pPr>
      <w:r>
        <w:rPr>
          <w:rFonts w:ascii="Century Gothic" w:hAnsi="Century Gothic"/>
          <w:sz w:val="22"/>
          <w:szCs w:val="22"/>
          <w:lang w:val="en-GB"/>
        </w:rPr>
        <w:t xml:space="preserve">Figure 5: The penetration of NGA fixed broadband internet access lines by </w:t>
      </w:r>
      <w:proofErr w:type="gramStart"/>
      <w:r>
        <w:rPr>
          <w:rFonts w:ascii="Century Gothic" w:hAnsi="Century Gothic"/>
          <w:sz w:val="22"/>
          <w:szCs w:val="22"/>
          <w:lang w:val="en-GB"/>
        </w:rPr>
        <w:t>household</w:t>
      </w:r>
      <w:proofErr w:type="gramEnd"/>
    </w:p>
    <w:p w14:paraId="29D43A5B" w14:textId="77777777" w:rsidR="00207A1E" w:rsidRPr="00AC504C" w:rsidRDefault="00D642EE" w:rsidP="007472B2">
      <w:pPr>
        <w:pStyle w:val="podpisi"/>
        <w:spacing w:line="240" w:lineRule="auto"/>
        <w:jc w:val="both"/>
        <w:rPr>
          <w:rFonts w:ascii="Century Gothic" w:hAnsi="Century Gothic"/>
          <w:sz w:val="22"/>
          <w:szCs w:val="22"/>
        </w:rPr>
      </w:pPr>
      <w:r>
        <w:rPr>
          <w:rFonts w:ascii="Century Gothic" w:hAnsi="Century Gothic"/>
          <w:noProof/>
          <w:sz w:val="22"/>
          <w:szCs w:val="22"/>
          <w:lang w:val="sl-SI" w:eastAsia="sl-SI"/>
        </w:rPr>
        <w:drawing>
          <wp:inline distT="0" distB="0" distL="0" distR="0" wp14:anchorId="49FD3166" wp14:editId="30DFC810">
            <wp:extent cx="5760720" cy="3440430"/>
            <wp:effectExtent l="0" t="0" r="0" b="7620"/>
            <wp:docPr id="24" name="Slika 24" descr="Figure 5: The penetration of NGA fixed broadband internet access lines by house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Figure 5: The penetration of NGA fixed broadband internet access lines by househol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440430"/>
                    </a:xfrm>
                    <a:prstGeom prst="rect">
                      <a:avLst/>
                    </a:prstGeom>
                  </pic:spPr>
                </pic:pic>
              </a:graphicData>
            </a:graphic>
          </wp:inline>
        </w:drawing>
      </w:r>
    </w:p>
    <w:p w14:paraId="4DCF7DBD" w14:textId="77777777" w:rsidR="00207A1E" w:rsidRPr="00AE3CB1" w:rsidRDefault="00207A1E" w:rsidP="00207A1E">
      <w:pPr>
        <w:pStyle w:val="podpisi"/>
        <w:spacing w:line="240" w:lineRule="auto"/>
        <w:jc w:val="both"/>
        <w:rPr>
          <w:rFonts w:ascii="Century Gothic" w:hAnsi="Century Gothic"/>
          <w:sz w:val="18"/>
          <w:szCs w:val="18"/>
          <w:lang w:val="en-US"/>
        </w:rPr>
      </w:pPr>
      <w:r>
        <w:rPr>
          <w:rFonts w:ascii="Century Gothic" w:hAnsi="Century Gothic"/>
          <w:sz w:val="18"/>
          <w:szCs w:val="18"/>
          <w:lang w:val="en-GB"/>
        </w:rPr>
        <w:t>Source: AKOS, eAnalitik</w:t>
      </w:r>
    </w:p>
    <w:p w14:paraId="2C179CD8" w14:textId="77777777" w:rsidR="009A758E" w:rsidRPr="00AC504C" w:rsidRDefault="009A758E" w:rsidP="00207A1E">
      <w:pPr>
        <w:spacing w:line="280" w:lineRule="exact"/>
        <w:jc w:val="both"/>
        <w:rPr>
          <w:rFonts w:ascii="Century Gothic" w:hAnsi="Century Gothic"/>
          <w:sz w:val="22"/>
          <w:szCs w:val="22"/>
        </w:rPr>
      </w:pPr>
    </w:p>
    <w:p w14:paraId="20E8D480" w14:textId="77777777" w:rsidR="00207A1E" w:rsidRPr="00AC504C" w:rsidRDefault="00B70A52" w:rsidP="00207A1E">
      <w:pPr>
        <w:spacing w:line="280" w:lineRule="exact"/>
        <w:jc w:val="both"/>
        <w:rPr>
          <w:rFonts w:ascii="Century Gothic" w:hAnsi="Century Gothic"/>
          <w:sz w:val="22"/>
          <w:szCs w:val="22"/>
        </w:rPr>
      </w:pPr>
      <w:r>
        <w:rPr>
          <w:rFonts w:ascii="Century Gothic" w:hAnsi="Century Gothic"/>
          <w:sz w:val="22"/>
          <w:szCs w:val="22"/>
          <w:lang w:val="en-GB"/>
        </w:rPr>
        <w:t>The share of access connections at higher speeds has been increasing, facilitating access to demanding electronic communications services (see Figure 6).</w:t>
      </w:r>
    </w:p>
    <w:p w14:paraId="1F2CF7A9" w14:textId="77777777" w:rsidR="001B4F00" w:rsidRPr="00AC504C" w:rsidRDefault="001B4F00" w:rsidP="00207A1E">
      <w:pPr>
        <w:spacing w:line="280" w:lineRule="exact"/>
        <w:jc w:val="both"/>
        <w:rPr>
          <w:rFonts w:ascii="Century Gothic" w:hAnsi="Century Gothic"/>
          <w:sz w:val="22"/>
          <w:szCs w:val="22"/>
          <w:highlight w:val="yellow"/>
        </w:rPr>
      </w:pPr>
    </w:p>
    <w:p w14:paraId="1B25DAF9" w14:textId="77777777" w:rsidR="001B4F00" w:rsidRPr="00AC504C" w:rsidRDefault="001B4F00" w:rsidP="00207A1E">
      <w:pPr>
        <w:spacing w:line="280" w:lineRule="exact"/>
        <w:jc w:val="both"/>
        <w:rPr>
          <w:rFonts w:ascii="Century Gothic" w:hAnsi="Century Gothic"/>
          <w:sz w:val="22"/>
          <w:szCs w:val="22"/>
        </w:rPr>
      </w:pPr>
      <w:r>
        <w:rPr>
          <w:rFonts w:ascii="Century Gothic" w:hAnsi="Century Gothic"/>
          <w:sz w:val="22"/>
          <w:szCs w:val="22"/>
          <w:lang w:val="en-GB"/>
        </w:rPr>
        <w:t>Figure 6: The market share of fixed broadband internet access connections by access speed</w:t>
      </w:r>
    </w:p>
    <w:p w14:paraId="164E4E5D" w14:textId="77777777" w:rsidR="00B22E81" w:rsidRPr="00AC504C" w:rsidRDefault="00AD73C3" w:rsidP="00207A1E">
      <w:pPr>
        <w:spacing w:line="280" w:lineRule="exact"/>
        <w:jc w:val="both"/>
        <w:rPr>
          <w:rFonts w:ascii="Century Gothic" w:hAnsi="Century Gothic"/>
          <w:sz w:val="22"/>
          <w:szCs w:val="22"/>
        </w:rPr>
      </w:pPr>
      <w:r>
        <w:rPr>
          <w:rFonts w:ascii="Century Gothic" w:hAnsi="Century Gothic"/>
          <w:noProof/>
          <w:sz w:val="22"/>
          <w:szCs w:val="22"/>
          <w:lang w:val="sl-SI" w:eastAsia="sl-SI"/>
        </w:rPr>
        <w:drawing>
          <wp:anchor distT="0" distB="0" distL="114300" distR="114300" simplePos="0" relativeHeight="251659776" behindDoc="0" locked="0" layoutInCell="1" allowOverlap="1" wp14:anchorId="3651EB85" wp14:editId="6350B0AE">
            <wp:simplePos x="0" y="0"/>
            <wp:positionH relativeFrom="margin">
              <wp:align>right</wp:align>
            </wp:positionH>
            <wp:positionV relativeFrom="paragraph">
              <wp:posOffset>24102</wp:posOffset>
            </wp:positionV>
            <wp:extent cx="5759838" cy="3517900"/>
            <wp:effectExtent l="0" t="0" r="0" b="6350"/>
            <wp:wrapNone/>
            <wp:docPr id="26" name="Slika 26" descr="Figure 6: The market share of fixed broadband internet access connections by access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Figure 6: The market share of fixed broadband internet access connections by access spe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838" cy="3517900"/>
                    </a:xfrm>
                    <a:prstGeom prst="rect">
                      <a:avLst/>
                    </a:prstGeom>
                  </pic:spPr>
                </pic:pic>
              </a:graphicData>
            </a:graphic>
            <wp14:sizeRelV relativeFrom="margin">
              <wp14:pctHeight>0</wp14:pctHeight>
            </wp14:sizeRelV>
          </wp:anchor>
        </w:drawing>
      </w:r>
    </w:p>
    <w:p w14:paraId="5520F956" w14:textId="77777777" w:rsidR="00B22E81" w:rsidRPr="00AC504C" w:rsidRDefault="00B22E81" w:rsidP="00207A1E">
      <w:pPr>
        <w:spacing w:line="280" w:lineRule="exact"/>
        <w:jc w:val="both"/>
        <w:rPr>
          <w:rFonts w:ascii="Century Gothic" w:hAnsi="Century Gothic"/>
          <w:sz w:val="22"/>
          <w:szCs w:val="22"/>
        </w:rPr>
      </w:pPr>
    </w:p>
    <w:p w14:paraId="6D0A30E1" w14:textId="77777777" w:rsidR="00B22E81" w:rsidRPr="00AC504C" w:rsidRDefault="00B22E81" w:rsidP="00207A1E">
      <w:pPr>
        <w:spacing w:line="280" w:lineRule="exact"/>
        <w:jc w:val="both"/>
        <w:rPr>
          <w:rFonts w:ascii="Century Gothic" w:hAnsi="Century Gothic"/>
          <w:sz w:val="22"/>
          <w:szCs w:val="22"/>
        </w:rPr>
      </w:pPr>
    </w:p>
    <w:p w14:paraId="3B02235F" w14:textId="77777777" w:rsidR="00B22E81" w:rsidRPr="00AC504C" w:rsidRDefault="00B22E81" w:rsidP="00207A1E">
      <w:pPr>
        <w:spacing w:line="280" w:lineRule="exact"/>
        <w:jc w:val="both"/>
        <w:rPr>
          <w:rFonts w:ascii="Century Gothic" w:hAnsi="Century Gothic"/>
          <w:sz w:val="22"/>
          <w:szCs w:val="22"/>
        </w:rPr>
      </w:pPr>
    </w:p>
    <w:p w14:paraId="5C13C243" w14:textId="77777777" w:rsidR="00B22E81" w:rsidRPr="00AC504C" w:rsidRDefault="00B22E81" w:rsidP="00207A1E">
      <w:pPr>
        <w:spacing w:line="280" w:lineRule="exact"/>
        <w:jc w:val="both"/>
        <w:rPr>
          <w:rFonts w:ascii="Century Gothic" w:hAnsi="Century Gothic"/>
          <w:sz w:val="22"/>
          <w:szCs w:val="22"/>
        </w:rPr>
      </w:pPr>
    </w:p>
    <w:p w14:paraId="7D105A81" w14:textId="77777777" w:rsidR="00B22E81" w:rsidRPr="00AC504C" w:rsidRDefault="00B22E81" w:rsidP="00207A1E">
      <w:pPr>
        <w:spacing w:line="280" w:lineRule="exact"/>
        <w:jc w:val="both"/>
        <w:rPr>
          <w:rFonts w:ascii="Century Gothic" w:hAnsi="Century Gothic"/>
          <w:sz w:val="22"/>
          <w:szCs w:val="22"/>
        </w:rPr>
      </w:pPr>
    </w:p>
    <w:p w14:paraId="776D02B7" w14:textId="77777777" w:rsidR="00B22E81" w:rsidRPr="00AC504C" w:rsidRDefault="00B22E81" w:rsidP="00207A1E">
      <w:pPr>
        <w:spacing w:line="280" w:lineRule="exact"/>
        <w:jc w:val="both"/>
        <w:rPr>
          <w:rFonts w:ascii="Century Gothic" w:hAnsi="Century Gothic"/>
          <w:sz w:val="22"/>
          <w:szCs w:val="22"/>
        </w:rPr>
      </w:pPr>
    </w:p>
    <w:p w14:paraId="2C0E306D" w14:textId="77777777" w:rsidR="00B22E81" w:rsidRPr="00AC504C" w:rsidRDefault="00B22E81" w:rsidP="00207A1E">
      <w:pPr>
        <w:spacing w:line="280" w:lineRule="exact"/>
        <w:jc w:val="both"/>
        <w:rPr>
          <w:rFonts w:ascii="Century Gothic" w:hAnsi="Century Gothic"/>
          <w:sz w:val="22"/>
          <w:szCs w:val="22"/>
        </w:rPr>
      </w:pPr>
    </w:p>
    <w:p w14:paraId="37648882" w14:textId="77777777" w:rsidR="00B22E81" w:rsidRPr="00AC504C" w:rsidRDefault="00B22E81" w:rsidP="00207A1E">
      <w:pPr>
        <w:spacing w:line="280" w:lineRule="exact"/>
        <w:jc w:val="both"/>
        <w:rPr>
          <w:rFonts w:ascii="Century Gothic" w:hAnsi="Century Gothic"/>
          <w:sz w:val="22"/>
          <w:szCs w:val="22"/>
        </w:rPr>
      </w:pPr>
    </w:p>
    <w:p w14:paraId="26D5C4EF" w14:textId="77777777" w:rsidR="00B22E81" w:rsidRPr="00AC504C" w:rsidRDefault="00B22E81" w:rsidP="00207A1E">
      <w:pPr>
        <w:spacing w:line="280" w:lineRule="exact"/>
        <w:jc w:val="both"/>
        <w:rPr>
          <w:rFonts w:ascii="Century Gothic" w:hAnsi="Century Gothic"/>
          <w:sz w:val="22"/>
          <w:szCs w:val="22"/>
        </w:rPr>
      </w:pPr>
    </w:p>
    <w:p w14:paraId="71F0D944" w14:textId="77777777" w:rsidR="00B22E81" w:rsidRPr="00AC504C" w:rsidRDefault="00B22E81" w:rsidP="00207A1E">
      <w:pPr>
        <w:spacing w:line="280" w:lineRule="exact"/>
        <w:jc w:val="both"/>
        <w:rPr>
          <w:rFonts w:ascii="Century Gothic" w:hAnsi="Century Gothic"/>
          <w:sz w:val="22"/>
          <w:szCs w:val="22"/>
        </w:rPr>
      </w:pPr>
    </w:p>
    <w:p w14:paraId="3FCBFABE" w14:textId="77777777" w:rsidR="00B22E81" w:rsidRPr="00AC504C" w:rsidRDefault="00B22E81" w:rsidP="00207A1E">
      <w:pPr>
        <w:spacing w:line="280" w:lineRule="exact"/>
        <w:jc w:val="both"/>
        <w:rPr>
          <w:rFonts w:ascii="Century Gothic" w:hAnsi="Century Gothic"/>
          <w:sz w:val="22"/>
          <w:szCs w:val="22"/>
        </w:rPr>
      </w:pPr>
    </w:p>
    <w:p w14:paraId="0F5F1A60" w14:textId="77777777" w:rsidR="00B22E81" w:rsidRPr="00AC504C" w:rsidRDefault="00B22E81" w:rsidP="00207A1E">
      <w:pPr>
        <w:spacing w:line="280" w:lineRule="exact"/>
        <w:jc w:val="both"/>
        <w:rPr>
          <w:rFonts w:ascii="Century Gothic" w:hAnsi="Century Gothic"/>
          <w:sz w:val="22"/>
          <w:szCs w:val="22"/>
        </w:rPr>
      </w:pPr>
    </w:p>
    <w:p w14:paraId="4E839610" w14:textId="77777777" w:rsidR="00B22E81" w:rsidRPr="00AC504C" w:rsidRDefault="00B22E81" w:rsidP="00207A1E">
      <w:pPr>
        <w:spacing w:line="280" w:lineRule="exact"/>
        <w:jc w:val="both"/>
        <w:rPr>
          <w:rFonts w:ascii="Century Gothic" w:hAnsi="Century Gothic"/>
          <w:sz w:val="22"/>
          <w:szCs w:val="22"/>
        </w:rPr>
      </w:pPr>
    </w:p>
    <w:p w14:paraId="2920BEB4" w14:textId="77777777" w:rsidR="00B22E81" w:rsidRPr="00AC504C" w:rsidRDefault="00B22E81" w:rsidP="00207A1E">
      <w:pPr>
        <w:spacing w:line="280" w:lineRule="exact"/>
        <w:jc w:val="both"/>
        <w:rPr>
          <w:rFonts w:ascii="Century Gothic" w:hAnsi="Century Gothic"/>
          <w:sz w:val="22"/>
          <w:szCs w:val="22"/>
        </w:rPr>
      </w:pPr>
    </w:p>
    <w:p w14:paraId="6840BF87" w14:textId="77777777" w:rsidR="00B22E81" w:rsidRPr="00AC504C" w:rsidRDefault="00B22E81" w:rsidP="00207A1E">
      <w:pPr>
        <w:spacing w:line="280" w:lineRule="exact"/>
        <w:jc w:val="both"/>
        <w:rPr>
          <w:rFonts w:ascii="Century Gothic" w:hAnsi="Century Gothic"/>
          <w:sz w:val="22"/>
          <w:szCs w:val="22"/>
        </w:rPr>
      </w:pPr>
    </w:p>
    <w:p w14:paraId="17008A78" w14:textId="77777777" w:rsidR="00B22E81" w:rsidRPr="00AC504C" w:rsidRDefault="00B22E81" w:rsidP="00207A1E">
      <w:pPr>
        <w:spacing w:line="280" w:lineRule="exact"/>
        <w:jc w:val="both"/>
        <w:rPr>
          <w:rFonts w:ascii="Century Gothic" w:hAnsi="Century Gothic"/>
          <w:sz w:val="22"/>
          <w:szCs w:val="22"/>
        </w:rPr>
      </w:pPr>
    </w:p>
    <w:p w14:paraId="0ACCCAB4" w14:textId="77777777" w:rsidR="00B22E81" w:rsidRPr="00AC504C" w:rsidRDefault="00B22E81" w:rsidP="00207A1E">
      <w:pPr>
        <w:spacing w:line="280" w:lineRule="exact"/>
        <w:jc w:val="both"/>
        <w:rPr>
          <w:rFonts w:ascii="Century Gothic" w:hAnsi="Century Gothic"/>
          <w:sz w:val="22"/>
          <w:szCs w:val="22"/>
        </w:rPr>
      </w:pPr>
    </w:p>
    <w:p w14:paraId="6D891C33" w14:textId="77777777" w:rsidR="00B22E81" w:rsidRPr="00AC504C" w:rsidRDefault="00B22E81" w:rsidP="00207A1E">
      <w:pPr>
        <w:spacing w:line="280" w:lineRule="exact"/>
        <w:jc w:val="both"/>
        <w:rPr>
          <w:rFonts w:ascii="Century Gothic" w:hAnsi="Century Gothic"/>
          <w:sz w:val="22"/>
          <w:szCs w:val="22"/>
        </w:rPr>
      </w:pPr>
    </w:p>
    <w:p w14:paraId="400BD54D" w14:textId="77777777" w:rsidR="00B22E81" w:rsidRPr="00AC504C" w:rsidRDefault="00B22E81" w:rsidP="00207A1E">
      <w:pPr>
        <w:spacing w:line="280" w:lineRule="exact"/>
        <w:jc w:val="both"/>
        <w:rPr>
          <w:rFonts w:ascii="Century Gothic" w:hAnsi="Century Gothic"/>
          <w:sz w:val="22"/>
          <w:szCs w:val="22"/>
        </w:rPr>
      </w:pPr>
    </w:p>
    <w:p w14:paraId="2102BFB8" w14:textId="77777777" w:rsidR="00723D96" w:rsidRPr="00AE3CB1" w:rsidRDefault="008D4436" w:rsidP="007472B2">
      <w:pPr>
        <w:pStyle w:val="podpisi"/>
        <w:spacing w:line="240" w:lineRule="auto"/>
        <w:jc w:val="both"/>
        <w:rPr>
          <w:rFonts w:ascii="Century Gothic" w:hAnsi="Century Gothic"/>
          <w:sz w:val="18"/>
          <w:szCs w:val="18"/>
          <w:lang w:val="en-US"/>
        </w:rPr>
      </w:pPr>
      <w:r>
        <w:rPr>
          <w:rFonts w:ascii="Century Gothic" w:hAnsi="Century Gothic"/>
          <w:sz w:val="18"/>
          <w:szCs w:val="18"/>
          <w:lang w:val="en-GB"/>
        </w:rPr>
        <w:t>Source: AKOS, eAnalitik</w:t>
      </w:r>
    </w:p>
    <w:p w14:paraId="0181BA08" w14:textId="77777777" w:rsidR="00131786" w:rsidRPr="00AE3CB1" w:rsidRDefault="00131786" w:rsidP="007472B2">
      <w:pPr>
        <w:pStyle w:val="podpisi"/>
        <w:spacing w:line="240" w:lineRule="auto"/>
        <w:jc w:val="both"/>
        <w:rPr>
          <w:rFonts w:ascii="Century Gothic" w:hAnsi="Century Gothic"/>
          <w:sz w:val="22"/>
          <w:szCs w:val="22"/>
          <w:lang w:val="en-US"/>
        </w:rPr>
      </w:pPr>
    </w:p>
    <w:p w14:paraId="68CA839E" w14:textId="77777777" w:rsidR="00EC0A52" w:rsidRPr="00AE3CB1" w:rsidRDefault="00207A1E" w:rsidP="007472B2">
      <w:pPr>
        <w:pStyle w:val="podpisi"/>
        <w:spacing w:line="240" w:lineRule="auto"/>
        <w:jc w:val="both"/>
        <w:rPr>
          <w:rFonts w:ascii="Century Gothic" w:hAnsi="Century Gothic"/>
          <w:sz w:val="22"/>
          <w:szCs w:val="22"/>
          <w:lang w:val="en-US"/>
        </w:rPr>
      </w:pPr>
      <w:r>
        <w:rPr>
          <w:rFonts w:ascii="Century Gothic" w:hAnsi="Century Gothic"/>
          <w:sz w:val="22"/>
          <w:szCs w:val="22"/>
          <w:lang w:val="en-GB"/>
        </w:rPr>
        <w:t>In the area of broadband internet access, there has also been a marked increase in mobile broadband traffic (see Figure 7).</w:t>
      </w:r>
    </w:p>
    <w:p w14:paraId="3C2845E0" w14:textId="77777777" w:rsidR="00EC0A52" w:rsidRPr="00AE3CB1" w:rsidRDefault="00EC0A52" w:rsidP="007472B2">
      <w:pPr>
        <w:pStyle w:val="podpisi"/>
        <w:spacing w:line="240" w:lineRule="auto"/>
        <w:jc w:val="both"/>
        <w:rPr>
          <w:rFonts w:ascii="Century Gothic" w:hAnsi="Century Gothic"/>
          <w:sz w:val="22"/>
          <w:szCs w:val="22"/>
          <w:lang w:val="en-US"/>
        </w:rPr>
      </w:pPr>
    </w:p>
    <w:p w14:paraId="700D82E1" w14:textId="77777777" w:rsidR="00EC0A52" w:rsidRPr="00AE3CB1" w:rsidRDefault="00207A1E" w:rsidP="007472B2">
      <w:pPr>
        <w:pStyle w:val="podpisi"/>
        <w:spacing w:line="240" w:lineRule="auto"/>
        <w:jc w:val="both"/>
        <w:rPr>
          <w:rFonts w:ascii="Century Gothic" w:hAnsi="Century Gothic"/>
          <w:sz w:val="22"/>
          <w:szCs w:val="22"/>
          <w:lang w:val="en-US"/>
        </w:rPr>
      </w:pPr>
      <w:r>
        <w:rPr>
          <w:rFonts w:ascii="Century Gothic" w:hAnsi="Century Gothic"/>
          <w:sz w:val="22"/>
          <w:szCs w:val="22"/>
          <w:lang w:val="en-GB"/>
        </w:rPr>
        <w:t>Figure 7: The trend in mobile broadband access</w:t>
      </w:r>
    </w:p>
    <w:p w14:paraId="5162F024" w14:textId="77777777" w:rsidR="00DA78C5" w:rsidRPr="00AE3CB1" w:rsidRDefault="00DA78C5" w:rsidP="007472B2">
      <w:pPr>
        <w:pStyle w:val="podpisi"/>
        <w:spacing w:line="240" w:lineRule="auto"/>
        <w:jc w:val="both"/>
        <w:rPr>
          <w:rFonts w:ascii="Century Gothic" w:hAnsi="Century Gothic"/>
          <w:sz w:val="22"/>
          <w:szCs w:val="22"/>
          <w:lang w:val="en-US"/>
        </w:rPr>
      </w:pPr>
    </w:p>
    <w:p w14:paraId="5BA37F66" w14:textId="77777777" w:rsidR="00242F4C" w:rsidRPr="00AC504C" w:rsidRDefault="00DB3D6C" w:rsidP="007472B2">
      <w:pPr>
        <w:pStyle w:val="podpisi"/>
        <w:spacing w:line="240" w:lineRule="auto"/>
        <w:jc w:val="both"/>
        <w:rPr>
          <w:rFonts w:ascii="Century Gothic" w:hAnsi="Century Gothic"/>
          <w:sz w:val="22"/>
          <w:szCs w:val="22"/>
        </w:rPr>
      </w:pPr>
      <w:r>
        <w:rPr>
          <w:rFonts w:ascii="Century Gothic" w:hAnsi="Century Gothic"/>
          <w:noProof/>
          <w:sz w:val="22"/>
          <w:szCs w:val="22"/>
          <w:lang w:val="sl-SI" w:eastAsia="sl-SI"/>
        </w:rPr>
        <w:drawing>
          <wp:inline distT="0" distB="0" distL="0" distR="0" wp14:anchorId="4600E34B" wp14:editId="2E97FDB4">
            <wp:extent cx="5758180" cy="2614156"/>
            <wp:effectExtent l="0" t="0" r="0" b="0"/>
            <wp:docPr id="27" name="Slika 27" descr="Figure 7: The trend in mobile broadband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Figure 7: The trend in mobile broadband access"/>
                    <pic:cNvPicPr/>
                  </pic:nvPicPr>
                  <pic:blipFill rotWithShape="1">
                    <a:blip r:embed="rId17" cstate="print">
                      <a:extLst>
                        <a:ext uri="{28A0092B-C50C-407E-A947-70E740481C1C}">
                          <a14:useLocalDpi xmlns:a14="http://schemas.microsoft.com/office/drawing/2010/main" val="0"/>
                        </a:ext>
                      </a:extLst>
                    </a:blip>
                    <a:srcRect t="5247"/>
                    <a:stretch/>
                  </pic:blipFill>
                  <pic:spPr bwMode="auto">
                    <a:xfrm>
                      <a:off x="0" y="0"/>
                      <a:ext cx="5802702" cy="2634369"/>
                    </a:xfrm>
                    <a:prstGeom prst="rect">
                      <a:avLst/>
                    </a:prstGeom>
                    <a:ln>
                      <a:noFill/>
                    </a:ln>
                    <a:extLst>
                      <a:ext uri="{53640926-AAD7-44D8-BBD7-CCE9431645EC}">
                        <a14:shadowObscured xmlns:a14="http://schemas.microsoft.com/office/drawing/2010/main"/>
                      </a:ext>
                    </a:extLst>
                  </pic:spPr>
                </pic:pic>
              </a:graphicData>
            </a:graphic>
          </wp:inline>
        </w:drawing>
      </w:r>
    </w:p>
    <w:p w14:paraId="2A5B6298" w14:textId="77777777" w:rsidR="00207A1E" w:rsidRPr="00AE3CB1" w:rsidRDefault="00207A1E" w:rsidP="00207A1E">
      <w:pPr>
        <w:pStyle w:val="podpisi"/>
        <w:spacing w:line="240" w:lineRule="auto"/>
        <w:jc w:val="both"/>
        <w:rPr>
          <w:rFonts w:ascii="Century Gothic" w:hAnsi="Century Gothic"/>
          <w:sz w:val="18"/>
          <w:szCs w:val="18"/>
          <w:lang w:val="en-US"/>
        </w:rPr>
      </w:pPr>
      <w:r>
        <w:rPr>
          <w:rFonts w:ascii="Century Gothic" w:hAnsi="Century Gothic"/>
          <w:sz w:val="18"/>
          <w:szCs w:val="18"/>
          <w:lang w:val="en-GB"/>
        </w:rPr>
        <w:t>Source: AKOS, eAnalitik</w:t>
      </w:r>
    </w:p>
    <w:p w14:paraId="0EE22256" w14:textId="77777777" w:rsidR="001B1457" w:rsidRPr="00AE3CB1" w:rsidRDefault="001B1457" w:rsidP="00207A1E">
      <w:pPr>
        <w:pStyle w:val="podpisi"/>
        <w:spacing w:line="240" w:lineRule="auto"/>
        <w:jc w:val="both"/>
        <w:rPr>
          <w:rFonts w:ascii="Century Gothic" w:hAnsi="Century Gothic"/>
          <w:sz w:val="22"/>
          <w:szCs w:val="22"/>
          <w:lang w:val="en-US"/>
        </w:rPr>
      </w:pPr>
    </w:p>
    <w:p w14:paraId="144BEACD" w14:textId="77777777" w:rsidR="00723D96" w:rsidRPr="00AE3CB1" w:rsidRDefault="00B70A52" w:rsidP="001B1457">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In the analytical review of the main indicators of the state of network development in Slovenia, the above analytical findings should also be explained in terms of geographical characteristics. Slovenia is characterised by a dispersed and sparse population with an average population density of 104 inhabitants per square kilometre in 2020, with higher densities in urban centres and lower densities in rugged and not easily accessible areas.</w:t>
      </w:r>
      <w:r>
        <w:rPr>
          <w:rStyle w:val="Sprotnaopomba-sklic"/>
          <w:rFonts w:ascii="Century Gothic" w:hAnsi="Century Gothic"/>
          <w:sz w:val="22"/>
          <w:szCs w:val="22"/>
          <w:lang w:val="en-GB"/>
        </w:rPr>
        <w:footnoteReference w:id="10"/>
      </w:r>
      <w:r>
        <w:rPr>
          <w:rFonts w:ascii="Century Gothic" w:hAnsi="Century Gothic"/>
          <w:sz w:val="22"/>
          <w:szCs w:val="22"/>
          <w:lang w:val="en-GB"/>
        </w:rPr>
        <w:t xml:space="preserve"> </w:t>
      </w:r>
    </w:p>
    <w:p w14:paraId="3F7B7EBC" w14:textId="77777777" w:rsidR="00B34747" w:rsidRPr="00AE3CB1" w:rsidRDefault="00B34747" w:rsidP="00B34747">
      <w:pPr>
        <w:pStyle w:val="podpisi"/>
        <w:spacing w:line="240" w:lineRule="auto"/>
        <w:jc w:val="both"/>
        <w:rPr>
          <w:rFonts w:ascii="Century Gothic" w:hAnsi="Century Gothic"/>
          <w:sz w:val="22"/>
          <w:szCs w:val="22"/>
          <w:lang w:val="en-US"/>
        </w:rPr>
      </w:pPr>
    </w:p>
    <w:p w14:paraId="7FB9B7FA" w14:textId="674003F8" w:rsidR="00363072" w:rsidRPr="00AC504C" w:rsidRDefault="000546B1" w:rsidP="003D0650">
      <w:pPr>
        <w:pStyle w:val="Naslov2"/>
        <w:jc w:val="both"/>
      </w:pPr>
      <w:bookmarkStart w:id="11" w:name="_Toc140746437"/>
      <w:r>
        <w:rPr>
          <w:lang w:val="en-GB"/>
        </w:rPr>
        <w:t>3.2 Granting radio spectrum for the construction of 5G network</w:t>
      </w:r>
      <w:r w:rsidR="00F71C2B">
        <w:rPr>
          <w:lang w:val="en-GB"/>
        </w:rPr>
        <w:t>s</w:t>
      </w:r>
      <w:r>
        <w:rPr>
          <w:lang w:val="en-GB"/>
        </w:rPr>
        <w:t xml:space="preserve"> and the deployment of 5G </w:t>
      </w:r>
      <w:proofErr w:type="gramStart"/>
      <w:r>
        <w:rPr>
          <w:lang w:val="en-GB"/>
        </w:rPr>
        <w:t>technology</w:t>
      </w:r>
      <w:bookmarkEnd w:id="11"/>
      <w:proofErr w:type="gramEnd"/>
    </w:p>
    <w:p w14:paraId="12D3EF2E" w14:textId="77777777" w:rsidR="000546B1" w:rsidRPr="00AC504C" w:rsidRDefault="000546B1" w:rsidP="000546B1"/>
    <w:p w14:paraId="678B66D7" w14:textId="5CD51FAF" w:rsidR="0024180C" w:rsidRPr="00AE3CB1" w:rsidRDefault="0024180C" w:rsidP="0024180C">
      <w:pPr>
        <w:pStyle w:val="podpisi"/>
        <w:spacing w:line="240" w:lineRule="auto"/>
        <w:jc w:val="both"/>
        <w:rPr>
          <w:rFonts w:ascii="Century Gothic" w:hAnsi="Century Gothic"/>
          <w:sz w:val="22"/>
          <w:szCs w:val="22"/>
          <w:lang w:val="en-US"/>
        </w:rPr>
      </w:pPr>
      <w:r>
        <w:rPr>
          <w:rFonts w:ascii="Century Gothic" w:hAnsi="Century Gothic"/>
          <w:sz w:val="22"/>
          <w:szCs w:val="22"/>
          <w:lang w:val="en-GB"/>
        </w:rPr>
        <w:t xml:space="preserve">In March 2019, the Government of the Republic of Slovenia adopted the </w:t>
      </w:r>
      <w:proofErr w:type="gramStart"/>
      <w:r>
        <w:rPr>
          <w:rFonts w:ascii="Century Gothic" w:hAnsi="Century Gothic"/>
          <w:sz w:val="22"/>
          <w:szCs w:val="22"/>
          <w:lang w:val="en-GB"/>
        </w:rPr>
        <w:t>Roadmap</w:t>
      </w:r>
      <w:proofErr w:type="gramEnd"/>
      <w:r>
        <w:rPr>
          <w:rFonts w:ascii="Century Gothic" w:hAnsi="Century Gothic"/>
          <w:sz w:val="22"/>
          <w:szCs w:val="22"/>
          <w:lang w:val="en-GB"/>
        </w:rPr>
        <w:t xml:space="preserve"> for the use of the 470</w:t>
      </w:r>
      <w:r w:rsidR="003955B2">
        <w:rPr>
          <w:rFonts w:ascii="Century Gothic" w:hAnsi="Century Gothic"/>
          <w:sz w:val="22"/>
          <w:szCs w:val="22"/>
          <w:lang w:val="en-GB"/>
        </w:rPr>
        <w:t>-</w:t>
      </w:r>
      <w:r>
        <w:rPr>
          <w:rFonts w:ascii="Century Gothic" w:hAnsi="Century Gothic"/>
          <w:sz w:val="22"/>
          <w:szCs w:val="22"/>
          <w:lang w:val="en-GB"/>
        </w:rPr>
        <w:t xml:space="preserve">790 MHz frequency band in Slovenia, with its commercial use planned from 1 July 2020 onwards. In April 2020, the Government of the Republic of Slovenia adopted an amendment to the </w:t>
      </w:r>
      <w:proofErr w:type="gramStart"/>
      <w:r>
        <w:rPr>
          <w:rFonts w:ascii="Century Gothic" w:hAnsi="Century Gothic"/>
          <w:sz w:val="22"/>
          <w:szCs w:val="22"/>
          <w:lang w:val="en-GB"/>
        </w:rPr>
        <w:t>Roadmap</w:t>
      </w:r>
      <w:proofErr w:type="gramEnd"/>
      <w:r>
        <w:rPr>
          <w:rFonts w:ascii="Century Gothic" w:hAnsi="Century Gothic"/>
          <w:sz w:val="22"/>
          <w:szCs w:val="22"/>
          <w:lang w:val="en-GB"/>
        </w:rPr>
        <w:t>, providing for a postponement of the commercial use of the 470</w:t>
      </w:r>
      <w:r w:rsidR="003955B2">
        <w:rPr>
          <w:rFonts w:ascii="Century Gothic" w:hAnsi="Century Gothic"/>
          <w:sz w:val="22"/>
          <w:szCs w:val="22"/>
          <w:lang w:val="en-GB"/>
        </w:rPr>
        <w:t>-</w:t>
      </w:r>
      <w:r>
        <w:rPr>
          <w:rFonts w:ascii="Century Gothic" w:hAnsi="Century Gothic"/>
          <w:sz w:val="22"/>
          <w:szCs w:val="22"/>
          <w:lang w:val="en-GB"/>
        </w:rPr>
        <w:t>790 MHz frequency band due to cross-border harmful radio interference.</w:t>
      </w:r>
    </w:p>
    <w:p w14:paraId="69F5299C" w14:textId="77777777" w:rsidR="0024180C" w:rsidRPr="00AE3CB1" w:rsidRDefault="0024180C" w:rsidP="0024180C">
      <w:pPr>
        <w:pStyle w:val="podpisi"/>
        <w:spacing w:line="240" w:lineRule="auto"/>
        <w:jc w:val="both"/>
        <w:rPr>
          <w:rFonts w:ascii="Century Gothic" w:hAnsi="Century Gothic"/>
          <w:sz w:val="22"/>
          <w:szCs w:val="22"/>
          <w:lang w:val="en-US"/>
        </w:rPr>
      </w:pPr>
    </w:p>
    <w:p w14:paraId="7D4A27E6" w14:textId="77777777" w:rsidR="0024180C" w:rsidRPr="00AE3CB1" w:rsidRDefault="0024180C" w:rsidP="0024180C">
      <w:pPr>
        <w:pStyle w:val="podpisi"/>
        <w:spacing w:line="240" w:lineRule="auto"/>
        <w:jc w:val="both"/>
        <w:rPr>
          <w:rFonts w:ascii="Century Gothic" w:hAnsi="Century Gothic"/>
          <w:sz w:val="22"/>
          <w:szCs w:val="22"/>
          <w:lang w:val="en-US"/>
        </w:rPr>
      </w:pPr>
      <w:r>
        <w:rPr>
          <w:rFonts w:ascii="Century Gothic" w:hAnsi="Century Gothic"/>
          <w:sz w:val="22"/>
          <w:szCs w:val="22"/>
          <w:lang w:val="en-GB"/>
        </w:rPr>
        <w:t xml:space="preserve">In its Summary of the Mobile Communications Market Analysis 2014–2019, </w:t>
      </w:r>
      <w:r>
        <w:rPr>
          <w:rFonts w:ascii="Century Gothic" w:hAnsi="Century Gothic"/>
          <w:sz w:val="22"/>
          <w:szCs w:val="22"/>
          <w:vertAlign w:val="superscript"/>
          <w:lang w:val="en-GB"/>
        </w:rPr>
        <w:footnoteReference w:id="11"/>
      </w:r>
      <w:r>
        <w:rPr>
          <w:rFonts w:ascii="Century Gothic" w:hAnsi="Century Gothic"/>
          <w:sz w:val="22"/>
          <w:szCs w:val="22"/>
          <w:lang w:val="en-GB"/>
        </w:rPr>
        <w:t xml:space="preserve"> AKOS found a marked increase in the share of users of mobile broadband internet access and a significant increase in mobile broadband penetration (from 44% to 83%) in the period 2014–2019. Data traffic also grew strongly over the period (by more than 1800%, or 18 times), both in terms of broadband penetration and average data traffic per broadband user (by 1000%, or 10 times).</w:t>
      </w:r>
    </w:p>
    <w:p w14:paraId="20E9A7C8" w14:textId="77777777" w:rsidR="008422B7" w:rsidRPr="00AE3CB1" w:rsidRDefault="008422B7" w:rsidP="0024180C">
      <w:pPr>
        <w:pStyle w:val="podpisi"/>
        <w:spacing w:line="240" w:lineRule="auto"/>
        <w:jc w:val="both"/>
        <w:rPr>
          <w:rFonts w:ascii="Century Gothic" w:hAnsi="Century Gothic"/>
          <w:sz w:val="22"/>
          <w:szCs w:val="22"/>
          <w:lang w:val="en-US"/>
        </w:rPr>
      </w:pPr>
    </w:p>
    <w:p w14:paraId="3ED655A2" w14:textId="77777777" w:rsidR="0024180C" w:rsidRPr="00AE3CB1" w:rsidRDefault="0024180C" w:rsidP="0024180C">
      <w:pPr>
        <w:pStyle w:val="podpisi"/>
        <w:spacing w:line="240" w:lineRule="auto"/>
        <w:jc w:val="both"/>
        <w:rPr>
          <w:rFonts w:ascii="Century Gothic" w:hAnsi="Century Gothic"/>
          <w:sz w:val="22"/>
          <w:szCs w:val="22"/>
          <w:lang w:val="en-US"/>
        </w:rPr>
      </w:pPr>
      <w:proofErr w:type="gramStart"/>
      <w:r>
        <w:rPr>
          <w:rFonts w:ascii="Century Gothic" w:hAnsi="Century Gothic"/>
          <w:sz w:val="22"/>
          <w:szCs w:val="22"/>
          <w:lang w:val="en-GB"/>
        </w:rPr>
        <w:lastRenderedPageBreak/>
        <w:t>On the basis of</w:t>
      </w:r>
      <w:proofErr w:type="gramEnd"/>
      <w:r>
        <w:rPr>
          <w:rFonts w:ascii="Century Gothic" w:hAnsi="Century Gothic"/>
          <w:sz w:val="22"/>
          <w:szCs w:val="22"/>
          <w:lang w:val="en-GB"/>
        </w:rPr>
        <w:t xml:space="preserve"> the above analysis and in line with the guidelines of the competent ministry, AKOS prepared and conducted a public auction of all available harmonised bands, namely 700 MHz, 1500 MHz, 2100 MHz, 2300 MHz, 3600 MHz and 26 GHz.</w:t>
      </w:r>
    </w:p>
    <w:p w14:paraId="3FA0079C" w14:textId="77777777" w:rsidR="008422B7" w:rsidRPr="00AE3CB1" w:rsidRDefault="008422B7" w:rsidP="0024180C">
      <w:pPr>
        <w:pStyle w:val="podpisi"/>
        <w:spacing w:line="240" w:lineRule="auto"/>
        <w:jc w:val="both"/>
        <w:rPr>
          <w:rFonts w:ascii="Century Gothic" w:hAnsi="Century Gothic"/>
          <w:sz w:val="22"/>
          <w:szCs w:val="22"/>
          <w:lang w:val="en-US"/>
        </w:rPr>
      </w:pPr>
    </w:p>
    <w:p w14:paraId="7950CAC1" w14:textId="22A74BDC" w:rsidR="0024180C" w:rsidRPr="00AE3CB1" w:rsidRDefault="0024180C" w:rsidP="0024180C">
      <w:pPr>
        <w:pStyle w:val="podpisi"/>
        <w:spacing w:line="240" w:lineRule="auto"/>
        <w:jc w:val="both"/>
        <w:rPr>
          <w:rFonts w:ascii="Century Gothic" w:hAnsi="Century Gothic"/>
          <w:sz w:val="22"/>
          <w:szCs w:val="22"/>
          <w:lang w:val="en-US"/>
        </w:rPr>
      </w:pPr>
      <w:r>
        <w:rPr>
          <w:rFonts w:ascii="Century Gothic" w:hAnsi="Century Gothic"/>
          <w:sz w:val="22"/>
          <w:szCs w:val="22"/>
          <w:lang w:val="en-GB"/>
        </w:rPr>
        <w:t xml:space="preserve">Following the successful completion of the second public auction of radio frequencies in these bands, four bidders were granted the frequencies. The radio frequencies in the 700 MHz, 1500 MHz, 3600 </w:t>
      </w:r>
      <w:proofErr w:type="gramStart"/>
      <w:r>
        <w:rPr>
          <w:rFonts w:ascii="Century Gothic" w:hAnsi="Century Gothic"/>
          <w:sz w:val="22"/>
          <w:szCs w:val="22"/>
          <w:lang w:val="en-GB"/>
        </w:rPr>
        <w:t>MHz</w:t>
      </w:r>
      <w:proofErr w:type="gramEnd"/>
      <w:r>
        <w:rPr>
          <w:rFonts w:ascii="Century Gothic" w:hAnsi="Century Gothic"/>
          <w:sz w:val="22"/>
          <w:szCs w:val="22"/>
          <w:lang w:val="en-GB"/>
        </w:rPr>
        <w:t xml:space="preserve"> and 26 GHz bands were made available immediately after the decisions granting radio frequencies were issued (by the end of the first half of 2021), while the radio frequencies in the 2100 MHz band were made available for use from 22 September 2021 and the radio frequencies in the 2300 MHz band from 1 January 2022.</w:t>
      </w:r>
    </w:p>
    <w:p w14:paraId="2B7F3B36" w14:textId="77777777" w:rsidR="00C7082D" w:rsidRPr="00AE3CB1" w:rsidRDefault="00C7082D" w:rsidP="0024180C">
      <w:pPr>
        <w:pStyle w:val="podpisi"/>
        <w:spacing w:line="240" w:lineRule="auto"/>
        <w:jc w:val="both"/>
        <w:rPr>
          <w:rFonts w:ascii="Century Gothic" w:hAnsi="Century Gothic"/>
          <w:sz w:val="22"/>
          <w:szCs w:val="22"/>
          <w:lang w:val="en-US"/>
        </w:rPr>
      </w:pPr>
    </w:p>
    <w:p w14:paraId="4B0F4C13" w14:textId="77777777" w:rsidR="00C7082D" w:rsidRPr="00AC504C" w:rsidRDefault="00C7082D" w:rsidP="00C7082D">
      <w:pPr>
        <w:pStyle w:val="Default"/>
        <w:spacing w:line="280" w:lineRule="exact"/>
        <w:jc w:val="both"/>
        <w:rPr>
          <w:rFonts w:ascii="Century Gothic" w:hAnsi="Century Gothic" w:cstheme="minorHAnsi"/>
          <w:color w:val="auto"/>
          <w:sz w:val="22"/>
          <w:szCs w:val="22"/>
        </w:rPr>
      </w:pPr>
      <w:r>
        <w:rPr>
          <w:rFonts w:ascii="Century Gothic" w:hAnsi="Century Gothic" w:cstheme="minorHAnsi"/>
          <w:sz w:val="22"/>
          <w:szCs w:val="22"/>
          <w:lang w:val="en-GB"/>
        </w:rPr>
        <w:t xml:space="preserve">All frequency bands are intended to provide mobile communications services to end-users in line with the principle of technology neutrality. The rights of use are granted for 15 </w:t>
      </w:r>
      <w:proofErr w:type="gramStart"/>
      <w:r>
        <w:rPr>
          <w:rFonts w:ascii="Century Gothic" w:hAnsi="Century Gothic" w:cstheme="minorHAnsi"/>
          <w:sz w:val="22"/>
          <w:szCs w:val="22"/>
          <w:lang w:val="en-GB"/>
        </w:rPr>
        <w:t>years, but</w:t>
      </w:r>
      <w:proofErr w:type="gramEnd"/>
      <w:r>
        <w:rPr>
          <w:rFonts w:ascii="Century Gothic" w:hAnsi="Century Gothic" w:cstheme="minorHAnsi"/>
          <w:sz w:val="22"/>
          <w:szCs w:val="22"/>
          <w:lang w:val="en-GB"/>
        </w:rPr>
        <w:t xml:space="preserve"> will be extended accordingly after the transposition of </w:t>
      </w:r>
      <w:r>
        <w:rPr>
          <w:rFonts w:ascii="Century Gothic" w:hAnsi="Century Gothic" w:cstheme="minorHAnsi"/>
          <w:color w:val="auto"/>
          <w:sz w:val="22"/>
          <w:szCs w:val="22"/>
          <w:lang w:val="en-GB"/>
        </w:rPr>
        <w:t>Directive (EU) 2018/1972 of the European Parliament and of the Council establishing the European Electronic Communications Code.</w:t>
      </w:r>
    </w:p>
    <w:p w14:paraId="24E65D5B"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3498277A" w14:textId="77777777" w:rsidR="00C7082D" w:rsidRPr="00AC504C" w:rsidRDefault="00C7082D"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The operators participating in the public call for tenders assumed the obligations under this public call for tenders to provide publicly available broadband services over mobile terrestrial networks. These obligations were imposed on them in the decisions granting radio frequencies in such a way that they will:</w:t>
      </w:r>
    </w:p>
    <w:p w14:paraId="4C2F4EBB" w14:textId="77777777" w:rsidR="00C7082D" w:rsidRPr="00AC504C" w:rsidRDefault="00C7082D" w:rsidP="00C7082D">
      <w:pPr>
        <w:pStyle w:val="Default"/>
        <w:numPr>
          <w:ilvl w:val="0"/>
          <w:numId w:val="20"/>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 xml:space="preserve">within one year of the start of the availability of each radio frequency band, start using these frequencies and offer services to end-users on these frequencies in at least one major city from the list of 11 </w:t>
      </w:r>
      <w:proofErr w:type="gramStart"/>
      <w:r>
        <w:rPr>
          <w:rFonts w:ascii="Century Gothic" w:hAnsi="Century Gothic" w:cstheme="minorHAnsi"/>
          <w:sz w:val="22"/>
          <w:szCs w:val="22"/>
          <w:lang w:val="en-GB"/>
        </w:rPr>
        <w:t>cities;</w:t>
      </w:r>
      <w:proofErr w:type="gramEnd"/>
    </w:p>
    <w:p w14:paraId="4DEC4CDA" w14:textId="77777777" w:rsidR="00C7082D" w:rsidRPr="00AC504C" w:rsidRDefault="00C7082D" w:rsidP="00C7082D">
      <w:pPr>
        <w:pStyle w:val="Default"/>
        <w:numPr>
          <w:ilvl w:val="0"/>
          <w:numId w:val="20"/>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within five years of the start of the availability of each radio frequency band, already use all frequencies in the entire acquired radio frequency band and offer services to end-users on all these frequencies in at least every major city from the list of 11 cities.</w:t>
      </w:r>
    </w:p>
    <w:p w14:paraId="7D4D16C4"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116F59AA" w14:textId="77777777" w:rsidR="00C7082D" w:rsidRPr="00AC504C" w:rsidRDefault="00C7082D"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The obligations concerning time limits do not apply to frequencies in the 700 MHz SDL, 1500 MHz and 26 GHz bands that are subject to the obligation to start using and offering services to end-users on these frequencies in at least one major city from the list of 11 cities within five years of the start of availability.</w:t>
      </w:r>
    </w:p>
    <w:p w14:paraId="77CF76FE"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6D14DCDD" w14:textId="77777777" w:rsidR="00C7082D" w:rsidRPr="00AC504C" w:rsidRDefault="00C7082D"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Three operators that were granted at least a spectrum of 2 × 25 MHz below 1 GHz together with frequencies in the 700 MHz band will have to make commercially available public broadband services over mobile terrestrial networks using the entire radio spectrum at their disposal by 31 December 2025:</w:t>
      </w:r>
    </w:p>
    <w:p w14:paraId="546A0E62" w14:textId="77777777" w:rsidR="00C7082D" w:rsidRPr="00AC504C" w:rsidRDefault="00C7082D" w:rsidP="00C7082D">
      <w:pPr>
        <w:pStyle w:val="Default"/>
        <w:numPr>
          <w:ilvl w:val="0"/>
          <w:numId w:val="21"/>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to 99% of the population of Slovenia outside buildings,</w:t>
      </w:r>
    </w:p>
    <w:p w14:paraId="03B6A870" w14:textId="77777777" w:rsidR="00C7082D" w:rsidRPr="00AC504C" w:rsidRDefault="00781843" w:rsidP="00C7082D">
      <w:pPr>
        <w:pStyle w:val="Default"/>
        <w:numPr>
          <w:ilvl w:val="0"/>
          <w:numId w:val="21"/>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on 99% of motorways and expressways,</w:t>
      </w:r>
    </w:p>
    <w:p w14:paraId="11687435" w14:textId="77777777" w:rsidR="00C7082D" w:rsidRPr="00AC504C" w:rsidRDefault="00781843" w:rsidP="00C7082D">
      <w:pPr>
        <w:pStyle w:val="Default"/>
        <w:numPr>
          <w:ilvl w:val="0"/>
          <w:numId w:val="21"/>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on at least 60% of main and regional roads of category I and II,</w:t>
      </w:r>
    </w:p>
    <w:p w14:paraId="6F3ECC79" w14:textId="77777777" w:rsidR="00C7082D" w:rsidRPr="00AC504C" w:rsidRDefault="00781843" w:rsidP="00C7082D">
      <w:pPr>
        <w:pStyle w:val="Default"/>
        <w:numPr>
          <w:ilvl w:val="0"/>
          <w:numId w:val="21"/>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on at least 60% of active railways with passenger traffic, with coverage inside trains being the responsibility of railway stakeholders,</w:t>
      </w:r>
    </w:p>
    <w:p w14:paraId="57373923" w14:textId="77777777" w:rsidR="00C7082D" w:rsidRPr="00AC504C" w:rsidRDefault="00C7082D"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with a user experience of at least 30 Mbps from the base station to the mobile user terminal (downlink) and 3 Mbps from the user terminal to the base station (uplink).</w:t>
      </w:r>
    </w:p>
    <w:p w14:paraId="7C97E53A"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6A41E963" w14:textId="77777777" w:rsidR="00C7082D" w:rsidRPr="00AC504C" w:rsidRDefault="00C7082D"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On the frequencies 700 MHz FDD and/or 3600 MHz in priority bands and, to allow comparable services, also in the 2100 MHz band, the operators will have to:</w:t>
      </w:r>
    </w:p>
    <w:p w14:paraId="7DA37CF6" w14:textId="77777777" w:rsidR="00C7082D" w:rsidRPr="00AC504C" w:rsidRDefault="00C7082D" w:rsidP="00C7082D">
      <w:pPr>
        <w:pStyle w:val="Default"/>
        <w:numPr>
          <w:ilvl w:val="0"/>
          <w:numId w:val="22"/>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lastRenderedPageBreak/>
        <w:t>start offering services to end-users using 5G technology in at least one of the acquired frequency bands in at least one major city from the list of 11 cities within three months of the issuance of the decision;</w:t>
      </w:r>
      <w:r>
        <w:rPr>
          <w:rStyle w:val="Sprotnaopomba-sklic"/>
          <w:rFonts w:ascii="Century Gothic" w:hAnsi="Century Gothic" w:cstheme="minorHAnsi"/>
          <w:sz w:val="22"/>
          <w:szCs w:val="22"/>
          <w:lang w:val="en-GB"/>
        </w:rPr>
        <w:footnoteReference w:id="12"/>
      </w:r>
    </w:p>
    <w:p w14:paraId="03FDEF31" w14:textId="258E66FB" w:rsidR="00C7082D" w:rsidRPr="00AC504C" w:rsidRDefault="00BC11DD" w:rsidP="00C7082D">
      <w:pPr>
        <w:pStyle w:val="Default"/>
        <w:numPr>
          <w:ilvl w:val="0"/>
          <w:numId w:val="22"/>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by</w:t>
      </w:r>
      <w:r w:rsidR="00C7082D">
        <w:rPr>
          <w:rFonts w:ascii="Century Gothic" w:hAnsi="Century Gothic" w:cstheme="minorHAnsi"/>
          <w:sz w:val="22"/>
          <w:szCs w:val="22"/>
          <w:lang w:val="en-GB"/>
        </w:rPr>
        <w:t xml:space="preserve"> 31 December 2025, offer services to end-users using 5G technology and provide functionality and support for enhanced mobile broadband access, provided that the operator has at least 70 MHz of the </w:t>
      </w:r>
      <w:r w:rsidR="003353EC">
        <w:rPr>
          <w:rFonts w:ascii="Century Gothic" w:hAnsi="Century Gothic" w:cstheme="minorHAnsi"/>
          <w:sz w:val="22"/>
          <w:szCs w:val="22"/>
          <w:lang w:val="en-GB"/>
        </w:rPr>
        <w:t xml:space="preserve">contiguous </w:t>
      </w:r>
      <w:r w:rsidR="00C7082D">
        <w:rPr>
          <w:rFonts w:ascii="Century Gothic" w:hAnsi="Century Gothic" w:cstheme="minorHAnsi"/>
          <w:sz w:val="22"/>
          <w:szCs w:val="22"/>
          <w:lang w:val="en-GB"/>
        </w:rPr>
        <w:t xml:space="preserve">spectrum, </w:t>
      </w:r>
      <w:proofErr w:type="gramStart"/>
      <w:r w:rsidR="00C7082D">
        <w:rPr>
          <w:rFonts w:ascii="Century Gothic" w:hAnsi="Century Gothic" w:cstheme="minorHAnsi"/>
          <w:sz w:val="22"/>
          <w:szCs w:val="22"/>
          <w:lang w:val="en-GB"/>
        </w:rPr>
        <w:t>and also</w:t>
      </w:r>
      <w:proofErr w:type="gramEnd"/>
      <w:r w:rsidR="00C7082D">
        <w:rPr>
          <w:rFonts w:ascii="Century Gothic" w:hAnsi="Century Gothic" w:cstheme="minorHAnsi"/>
          <w:sz w:val="22"/>
          <w:szCs w:val="22"/>
          <w:lang w:val="en-GB"/>
        </w:rPr>
        <w:t xml:space="preserve"> support for </w:t>
      </w:r>
      <w:r w:rsidR="003353EC">
        <w:rPr>
          <w:rFonts w:ascii="Century Gothic" w:hAnsi="Century Gothic" w:cstheme="minorHAnsi"/>
          <w:sz w:val="22"/>
          <w:szCs w:val="22"/>
          <w:lang w:val="en-GB"/>
        </w:rPr>
        <w:t>massive</w:t>
      </w:r>
      <w:r w:rsidR="00C7082D">
        <w:rPr>
          <w:rFonts w:ascii="Century Gothic" w:hAnsi="Century Gothic" w:cstheme="minorHAnsi"/>
          <w:sz w:val="22"/>
          <w:szCs w:val="22"/>
          <w:lang w:val="en-GB"/>
        </w:rPr>
        <w:t xml:space="preserve"> (IoT) networks on the acquired frequencies in at least one of the major cities from the list of 11 cities. If the availability of the required functionalities is not supported, the operator must provide evidence. AKOS will examine the evidence and, if justified, extend the deadline for compliance.</w:t>
      </w:r>
    </w:p>
    <w:p w14:paraId="3FCDEE29"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5A36800C" w14:textId="77777777" w:rsidR="00C7082D" w:rsidRPr="00AC504C" w:rsidRDefault="00781843" w:rsidP="00C7082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It should be noted that, according to the public call for tenders, the provision of services entails that the service is made available through base stations covering at least 75% of the population of each urban area, and the mere use of radio frequencies and the provision of services require availability through at least one base station in an urban area.</w:t>
      </w:r>
    </w:p>
    <w:p w14:paraId="77DB2E70"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2E9175FA" w14:textId="77777777" w:rsidR="00C7082D" w:rsidRPr="00AC504C" w:rsidRDefault="00C7082D" w:rsidP="00C7082D">
      <w:pPr>
        <w:pStyle w:val="Default"/>
        <w:spacing w:line="280" w:lineRule="exact"/>
        <w:jc w:val="both"/>
        <w:rPr>
          <w:rFonts w:ascii="Century Gothic" w:hAnsi="Century Gothic" w:cstheme="minorHAnsi"/>
          <w:sz w:val="22"/>
          <w:szCs w:val="22"/>
        </w:rPr>
      </w:pPr>
      <w:proofErr w:type="gramStart"/>
      <w:r>
        <w:rPr>
          <w:rFonts w:ascii="Century Gothic" w:hAnsi="Century Gothic" w:cstheme="minorHAnsi"/>
          <w:sz w:val="22"/>
          <w:szCs w:val="22"/>
          <w:lang w:val="en-GB"/>
        </w:rPr>
        <w:t>In order to</w:t>
      </w:r>
      <w:proofErr w:type="gramEnd"/>
      <w:r>
        <w:rPr>
          <w:rFonts w:ascii="Century Gothic" w:hAnsi="Century Gothic" w:cstheme="minorHAnsi"/>
          <w:sz w:val="22"/>
          <w:szCs w:val="22"/>
          <w:lang w:val="en-GB"/>
        </w:rPr>
        <w:t xml:space="preserve"> ensure efficient use of the radio spectrum to improve coverage and minimise activities affecting the environment, </w:t>
      </w:r>
      <w:r>
        <w:rPr>
          <w:rFonts w:ascii="Century Gothic" w:hAnsi="Century Gothic" w:cstheme="minorHAnsi"/>
          <w:sz w:val="22"/>
          <w:szCs w:val="22"/>
          <w:u w:val="single"/>
          <w:lang w:val="en-GB"/>
        </w:rPr>
        <w:t>infrastructure sharing</w:t>
      </w:r>
      <w:r>
        <w:rPr>
          <w:rFonts w:ascii="Century Gothic" w:hAnsi="Century Gothic" w:cstheme="minorHAnsi"/>
          <w:sz w:val="22"/>
          <w:szCs w:val="22"/>
          <w:lang w:val="en-GB"/>
        </w:rPr>
        <w:t xml:space="preserve"> options include:</w:t>
      </w:r>
    </w:p>
    <w:p w14:paraId="1D67B1E4" w14:textId="77777777" w:rsidR="00C7082D" w:rsidRPr="00AC504C" w:rsidRDefault="00C7082D" w:rsidP="00C7082D">
      <w:pPr>
        <w:pStyle w:val="Default"/>
        <w:numPr>
          <w:ilvl w:val="0"/>
          <w:numId w:val="23"/>
        </w:numPr>
        <w:spacing w:line="280" w:lineRule="exact"/>
        <w:jc w:val="both"/>
        <w:rPr>
          <w:rFonts w:ascii="Century Gothic" w:hAnsi="Century Gothic" w:cstheme="minorBidi"/>
          <w:sz w:val="22"/>
          <w:szCs w:val="22"/>
        </w:rPr>
      </w:pPr>
      <w:r>
        <w:rPr>
          <w:rFonts w:ascii="Century Gothic" w:hAnsi="Century Gothic" w:cstheme="minorBidi"/>
          <w:sz w:val="22"/>
          <w:szCs w:val="22"/>
          <w:lang w:val="en-GB"/>
        </w:rPr>
        <w:t>passive or active infrastructure sharing based on a radio spectrum or spectrum sharing,</w:t>
      </w:r>
    </w:p>
    <w:p w14:paraId="2E2048E7" w14:textId="77777777" w:rsidR="00C7082D" w:rsidRPr="00AC504C" w:rsidRDefault="00C7082D" w:rsidP="00C7082D">
      <w:pPr>
        <w:pStyle w:val="Default"/>
        <w:numPr>
          <w:ilvl w:val="0"/>
          <w:numId w:val="23"/>
        </w:numPr>
        <w:spacing w:line="280" w:lineRule="exact"/>
        <w:jc w:val="both"/>
        <w:rPr>
          <w:rFonts w:ascii="Century Gothic" w:hAnsi="Century Gothic" w:cstheme="minorHAnsi"/>
          <w:sz w:val="22"/>
          <w:szCs w:val="22"/>
        </w:rPr>
      </w:pPr>
      <w:r>
        <w:rPr>
          <w:rFonts w:ascii="Century Gothic" w:hAnsi="Century Gothic" w:cstheme="minorHAnsi"/>
          <w:sz w:val="22"/>
          <w:szCs w:val="22"/>
          <w:lang w:val="en-GB"/>
        </w:rPr>
        <w:t>commercial roaming access agreements,</w:t>
      </w:r>
    </w:p>
    <w:p w14:paraId="27998DED" w14:textId="77777777" w:rsidR="00C7082D" w:rsidRPr="00AC504C" w:rsidRDefault="00C7082D" w:rsidP="00C7082D">
      <w:pPr>
        <w:pStyle w:val="Default"/>
        <w:numPr>
          <w:ilvl w:val="0"/>
          <w:numId w:val="23"/>
        </w:numPr>
        <w:spacing w:line="280" w:lineRule="exact"/>
        <w:jc w:val="both"/>
        <w:rPr>
          <w:rFonts w:ascii="Century Gothic" w:hAnsi="Century Gothic" w:cstheme="minorBidi"/>
          <w:sz w:val="22"/>
          <w:szCs w:val="22"/>
        </w:rPr>
      </w:pPr>
      <w:r>
        <w:rPr>
          <w:rFonts w:ascii="Century Gothic" w:hAnsi="Century Gothic" w:cstheme="minorBidi"/>
          <w:sz w:val="22"/>
          <w:szCs w:val="22"/>
          <w:lang w:val="en-GB"/>
        </w:rPr>
        <w:t>joint deployment of infrastructure for the provision of networks and services based on the use of a radio spectrum.</w:t>
      </w:r>
    </w:p>
    <w:p w14:paraId="48E685EE" w14:textId="77777777" w:rsidR="00C7082D" w:rsidRPr="00AC504C" w:rsidRDefault="00C7082D" w:rsidP="00C7082D">
      <w:pPr>
        <w:pStyle w:val="Default"/>
        <w:spacing w:line="280" w:lineRule="exact"/>
        <w:jc w:val="both"/>
        <w:rPr>
          <w:rFonts w:ascii="Century Gothic" w:hAnsi="Century Gothic" w:cstheme="minorHAnsi"/>
          <w:sz w:val="22"/>
          <w:szCs w:val="22"/>
        </w:rPr>
      </w:pPr>
    </w:p>
    <w:p w14:paraId="4EACC437" w14:textId="77777777" w:rsidR="00C7082D" w:rsidRPr="00AC504C" w:rsidRDefault="00C7082D" w:rsidP="00C7082D">
      <w:pPr>
        <w:pStyle w:val="Default"/>
        <w:spacing w:line="280" w:lineRule="exact"/>
        <w:jc w:val="both"/>
        <w:rPr>
          <w:rFonts w:ascii="Century Gothic" w:hAnsi="Century Gothic" w:cstheme="minorHAnsi"/>
          <w:sz w:val="22"/>
          <w:szCs w:val="22"/>
        </w:rPr>
      </w:pPr>
      <w:proofErr w:type="gramStart"/>
      <w:r>
        <w:rPr>
          <w:rFonts w:ascii="Century Gothic" w:hAnsi="Century Gothic" w:cstheme="minorHAnsi"/>
          <w:sz w:val="22"/>
          <w:szCs w:val="22"/>
          <w:lang w:val="en-GB"/>
        </w:rPr>
        <w:t>With regard to</w:t>
      </w:r>
      <w:proofErr w:type="gramEnd"/>
      <w:r>
        <w:rPr>
          <w:rFonts w:ascii="Century Gothic" w:hAnsi="Century Gothic" w:cstheme="minorHAnsi"/>
          <w:sz w:val="22"/>
          <w:szCs w:val="22"/>
          <w:lang w:val="en-GB"/>
        </w:rPr>
        <w:t xml:space="preserve"> </w:t>
      </w:r>
      <w:r>
        <w:rPr>
          <w:rFonts w:ascii="Century Gothic" w:hAnsi="Century Gothic" w:cstheme="minorHAnsi"/>
          <w:sz w:val="22"/>
          <w:szCs w:val="22"/>
          <w:u w:val="single"/>
          <w:lang w:val="en-GB"/>
        </w:rPr>
        <w:t>security</w:t>
      </w:r>
      <w:r>
        <w:rPr>
          <w:rFonts w:ascii="Century Gothic" w:hAnsi="Century Gothic" w:cstheme="minorHAnsi"/>
          <w:sz w:val="22"/>
          <w:szCs w:val="22"/>
          <w:lang w:val="en-GB"/>
        </w:rPr>
        <w:t>, operators will be required to establish, implement, maintain and continuously improve appropriate and proportionate organisational, technical and other measures to ensure that risks to the security of information systems, networks, services and information are adequately managed.</w:t>
      </w:r>
    </w:p>
    <w:p w14:paraId="54F05A21" w14:textId="77777777" w:rsidR="00D45461" w:rsidRPr="00AC504C" w:rsidRDefault="00D45461" w:rsidP="00C7082D">
      <w:pPr>
        <w:pStyle w:val="Default"/>
        <w:spacing w:line="280" w:lineRule="exact"/>
        <w:jc w:val="both"/>
        <w:rPr>
          <w:rFonts w:ascii="Century Gothic" w:hAnsi="Century Gothic" w:cstheme="minorHAnsi"/>
          <w:sz w:val="22"/>
          <w:szCs w:val="22"/>
        </w:rPr>
      </w:pPr>
    </w:p>
    <w:p w14:paraId="23BE9043" w14:textId="77777777" w:rsidR="00D45461" w:rsidRPr="00AC504C" w:rsidRDefault="00D45461" w:rsidP="051AA5F1">
      <w:pPr>
        <w:pStyle w:val="Default"/>
        <w:spacing w:line="280" w:lineRule="exact"/>
        <w:jc w:val="both"/>
        <w:rPr>
          <w:rFonts w:ascii="Century Gothic" w:hAnsi="Century Gothic" w:cstheme="minorBidi"/>
          <w:sz w:val="22"/>
          <w:szCs w:val="22"/>
        </w:rPr>
      </w:pPr>
      <w:r>
        <w:rPr>
          <w:rFonts w:ascii="Century Gothic" w:hAnsi="Century Gothic" w:cstheme="minorBidi"/>
          <w:sz w:val="22"/>
          <w:szCs w:val="22"/>
          <w:lang w:val="en-GB"/>
        </w:rPr>
        <w:t>In this respect, stakeholders must take into consideration the Cybersecurity of 5G networks – EU Toolbox of risk mitigating measures.</w:t>
      </w:r>
      <w:r>
        <w:rPr>
          <w:rStyle w:val="Sprotnaopomba-sklic"/>
          <w:rFonts w:ascii="Century Gothic" w:hAnsi="Century Gothic" w:cstheme="minorHAnsi"/>
          <w:sz w:val="22"/>
          <w:szCs w:val="22"/>
          <w:lang w:val="en-GB"/>
        </w:rPr>
        <w:footnoteReference w:id="13"/>
      </w:r>
    </w:p>
    <w:p w14:paraId="60B11FDF" w14:textId="77777777" w:rsidR="0091781B" w:rsidRPr="00AC504C" w:rsidRDefault="0091781B" w:rsidP="051AA5F1">
      <w:pPr>
        <w:pStyle w:val="Default"/>
        <w:spacing w:line="280" w:lineRule="exact"/>
        <w:jc w:val="both"/>
        <w:rPr>
          <w:rFonts w:ascii="Century Gothic" w:hAnsi="Century Gothic" w:cstheme="minorBidi"/>
          <w:sz w:val="22"/>
          <w:szCs w:val="22"/>
        </w:rPr>
      </w:pPr>
    </w:p>
    <w:p w14:paraId="06209D6F" w14:textId="77777777" w:rsidR="001A220D" w:rsidRPr="00AE3CB1" w:rsidRDefault="001A220D" w:rsidP="001A220D">
      <w:pPr>
        <w:pStyle w:val="podpisi"/>
        <w:spacing w:line="280" w:lineRule="exact"/>
        <w:jc w:val="both"/>
        <w:rPr>
          <w:rFonts w:ascii="Century Gothic" w:hAnsi="Century Gothic"/>
          <w:sz w:val="22"/>
          <w:szCs w:val="22"/>
          <w:lang w:val="en-US"/>
        </w:rPr>
      </w:pPr>
      <w:r>
        <w:rPr>
          <w:rFonts w:ascii="Century Gothic" w:hAnsi="Century Gothic" w:cs="Arial"/>
          <w:sz w:val="22"/>
          <w:szCs w:val="22"/>
          <w:lang w:val="en-GB"/>
        </w:rPr>
        <w:t>Following the expiry of the deadlines for the fulfilment of the obligations resulting from the public call for tenders by public auction of all harmonised bands, mobile operators are expected to maintain or increase the coverage achieved in line with the evolution of technology and the growth in the use of services.</w:t>
      </w:r>
    </w:p>
    <w:p w14:paraId="2C44629F" w14:textId="77777777" w:rsidR="0082618C" w:rsidRPr="00AE3CB1" w:rsidRDefault="0082618C" w:rsidP="007472B2">
      <w:pPr>
        <w:pStyle w:val="podpisi"/>
        <w:spacing w:line="240" w:lineRule="auto"/>
        <w:jc w:val="both"/>
        <w:rPr>
          <w:rFonts w:ascii="Century Gothic" w:hAnsi="Century Gothic"/>
          <w:sz w:val="22"/>
          <w:szCs w:val="22"/>
          <w:lang w:val="en-US"/>
        </w:rPr>
      </w:pPr>
    </w:p>
    <w:p w14:paraId="5688498C" w14:textId="77777777" w:rsidR="003A2D8B" w:rsidRPr="00AE3CB1" w:rsidRDefault="003A2D8B" w:rsidP="007472B2">
      <w:pPr>
        <w:pStyle w:val="podpisi"/>
        <w:spacing w:line="240" w:lineRule="auto"/>
        <w:jc w:val="both"/>
        <w:rPr>
          <w:rFonts w:ascii="Century Gothic" w:hAnsi="Century Gothic"/>
          <w:sz w:val="22"/>
          <w:szCs w:val="22"/>
          <w:lang w:val="en-US"/>
        </w:rPr>
      </w:pPr>
    </w:p>
    <w:p w14:paraId="457A6D41" w14:textId="77777777" w:rsidR="003A2D8B" w:rsidRPr="00AE3CB1" w:rsidRDefault="003A2D8B" w:rsidP="007472B2">
      <w:pPr>
        <w:pStyle w:val="podpisi"/>
        <w:spacing w:line="240" w:lineRule="auto"/>
        <w:jc w:val="both"/>
        <w:rPr>
          <w:rFonts w:ascii="Century Gothic" w:hAnsi="Century Gothic"/>
          <w:sz w:val="22"/>
          <w:szCs w:val="22"/>
          <w:lang w:val="en-US"/>
        </w:rPr>
      </w:pPr>
    </w:p>
    <w:p w14:paraId="04BE37F3" w14:textId="77777777" w:rsidR="003A2D8B" w:rsidRPr="00AE3CB1" w:rsidRDefault="003A2D8B" w:rsidP="007472B2">
      <w:pPr>
        <w:pStyle w:val="podpisi"/>
        <w:spacing w:line="240" w:lineRule="auto"/>
        <w:jc w:val="both"/>
        <w:rPr>
          <w:rFonts w:ascii="Century Gothic" w:hAnsi="Century Gothic"/>
          <w:sz w:val="22"/>
          <w:szCs w:val="22"/>
          <w:lang w:val="en-US"/>
        </w:rPr>
      </w:pPr>
    </w:p>
    <w:p w14:paraId="107516E2" w14:textId="77777777" w:rsidR="001D2BDE" w:rsidRPr="00AE3CB1" w:rsidRDefault="001D2BDE" w:rsidP="007472B2">
      <w:pPr>
        <w:pStyle w:val="podpisi"/>
        <w:spacing w:line="240" w:lineRule="auto"/>
        <w:jc w:val="both"/>
        <w:rPr>
          <w:rFonts w:ascii="Century Gothic" w:hAnsi="Century Gothic"/>
          <w:sz w:val="22"/>
          <w:szCs w:val="22"/>
          <w:lang w:val="en-US"/>
        </w:rPr>
      </w:pPr>
    </w:p>
    <w:p w14:paraId="76FB9904" w14:textId="77777777" w:rsidR="003A2D8B" w:rsidRPr="00AE3CB1" w:rsidRDefault="003A2D8B" w:rsidP="007472B2">
      <w:pPr>
        <w:pStyle w:val="podpisi"/>
        <w:spacing w:line="240" w:lineRule="auto"/>
        <w:jc w:val="both"/>
        <w:rPr>
          <w:rFonts w:ascii="Century Gothic" w:hAnsi="Century Gothic"/>
          <w:sz w:val="22"/>
          <w:szCs w:val="22"/>
          <w:lang w:val="en-US"/>
        </w:rPr>
      </w:pPr>
    </w:p>
    <w:p w14:paraId="2D2A2225" w14:textId="77777777" w:rsidR="003A2D8B" w:rsidRPr="00AE3CB1" w:rsidRDefault="003A2D8B" w:rsidP="007472B2">
      <w:pPr>
        <w:pStyle w:val="podpisi"/>
        <w:spacing w:line="240" w:lineRule="auto"/>
        <w:jc w:val="both"/>
        <w:rPr>
          <w:rFonts w:ascii="Century Gothic" w:hAnsi="Century Gothic"/>
          <w:sz w:val="22"/>
          <w:szCs w:val="22"/>
          <w:lang w:val="en-US"/>
        </w:rPr>
      </w:pPr>
    </w:p>
    <w:p w14:paraId="446CAA4D" w14:textId="77777777" w:rsidR="000546B1" w:rsidRPr="00AC504C" w:rsidRDefault="00015B29" w:rsidP="00015B29">
      <w:pPr>
        <w:pStyle w:val="Naslov2"/>
      </w:pPr>
      <w:bookmarkStart w:id="12" w:name="_Toc140746438"/>
      <w:r>
        <w:rPr>
          <w:lang w:val="en-GB"/>
        </w:rPr>
        <w:lastRenderedPageBreak/>
        <w:t xml:space="preserve">3.3 Comparing connectivity in Slovenia with the EU </w:t>
      </w:r>
      <w:proofErr w:type="gramStart"/>
      <w:r>
        <w:rPr>
          <w:lang w:val="en-GB"/>
        </w:rPr>
        <w:t>average</w:t>
      </w:r>
      <w:bookmarkEnd w:id="12"/>
      <w:proofErr w:type="gramEnd"/>
    </w:p>
    <w:p w14:paraId="17CE230B" w14:textId="77777777" w:rsidR="00015B29" w:rsidRPr="00AC504C" w:rsidRDefault="00015B29" w:rsidP="00015B29">
      <w:pPr>
        <w:rPr>
          <w:highlight w:val="yellow"/>
        </w:rPr>
      </w:pPr>
    </w:p>
    <w:p w14:paraId="5A231305" w14:textId="77777777" w:rsidR="000546B1" w:rsidRPr="00AE3CB1" w:rsidRDefault="000546B1" w:rsidP="007472B2">
      <w:pPr>
        <w:pStyle w:val="podpisi"/>
        <w:spacing w:line="240" w:lineRule="auto"/>
        <w:jc w:val="both"/>
        <w:rPr>
          <w:rFonts w:ascii="Century Gothic" w:hAnsi="Century Gothic"/>
          <w:sz w:val="22"/>
          <w:szCs w:val="22"/>
          <w:highlight w:val="yellow"/>
          <w:lang w:val="en-US"/>
        </w:rPr>
      </w:pPr>
      <w:r>
        <w:rPr>
          <w:rFonts w:ascii="Century Gothic" w:hAnsi="Century Gothic"/>
          <w:sz w:val="22"/>
          <w:szCs w:val="22"/>
          <w:lang w:val="en-GB"/>
        </w:rPr>
        <w:t xml:space="preserve">In the 2022 edition of the Digital Economy and Society Index (DESI), Slovenia ranks 11th among the EU Member States, and in terms of connectivity 10th (see Figure 8). Slovenia has above-average coverage of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fixed networks, with broadband penetration of at least 100 Mbps gradually increasing, but still below the EU average. 5G network readiness in Slovenia is above the EU average, with 98% of the harmonised 5G spectrum awarded at the AKOS multi-frequency auction in April 2021. Furthermore, 5G services are already available to users. Broadband NGA coverage of households is close to the EU average, while coverage in rural areas is significantly lower, which needs to be </w:t>
      </w:r>
      <w:proofErr w:type="gramStart"/>
      <w:r>
        <w:rPr>
          <w:rFonts w:ascii="Century Gothic" w:hAnsi="Century Gothic"/>
          <w:sz w:val="22"/>
          <w:szCs w:val="22"/>
          <w:lang w:val="en-GB"/>
        </w:rPr>
        <w:t>taken into account</w:t>
      </w:r>
      <w:proofErr w:type="gramEnd"/>
      <w:r>
        <w:rPr>
          <w:rFonts w:ascii="Century Gothic" w:hAnsi="Century Gothic"/>
          <w:sz w:val="22"/>
          <w:szCs w:val="22"/>
          <w:lang w:val="en-GB"/>
        </w:rPr>
        <w:t xml:space="preserve"> when planning further development. This is due, in part, to the poor rural broadband infrastructure. Future development planning should take into consideration the typical dispersed settlement pattern of rural areas in Slovenia, which potential private investors,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electronic communications operators, consider to be the main impediment to creating sustainable business models in these areas.</w:t>
      </w:r>
    </w:p>
    <w:p w14:paraId="0E9D7F3C" w14:textId="77777777" w:rsidR="000546B1" w:rsidRPr="00AE3CB1" w:rsidRDefault="000546B1" w:rsidP="007472B2">
      <w:pPr>
        <w:pStyle w:val="podpisi"/>
        <w:spacing w:line="240" w:lineRule="auto"/>
        <w:jc w:val="both"/>
        <w:rPr>
          <w:rFonts w:ascii="Century Gothic" w:hAnsi="Century Gothic"/>
          <w:sz w:val="22"/>
          <w:szCs w:val="22"/>
          <w:highlight w:val="yellow"/>
          <w:lang w:val="en-US"/>
        </w:rPr>
      </w:pPr>
    </w:p>
    <w:p w14:paraId="4B26E129" w14:textId="77777777" w:rsidR="00346957" w:rsidRPr="00AE3CB1" w:rsidRDefault="00E06531" w:rsidP="007472B2">
      <w:pPr>
        <w:pStyle w:val="podpisi"/>
        <w:spacing w:line="240" w:lineRule="auto"/>
        <w:jc w:val="both"/>
        <w:rPr>
          <w:rFonts w:ascii="Century Gothic" w:hAnsi="Century Gothic"/>
          <w:sz w:val="22"/>
          <w:szCs w:val="22"/>
          <w:lang w:val="en-US"/>
        </w:rPr>
      </w:pPr>
      <w:r>
        <w:rPr>
          <w:rFonts w:ascii="Century Gothic" w:hAnsi="Century Gothic"/>
          <w:sz w:val="22"/>
          <w:szCs w:val="22"/>
          <w:lang w:val="en-GB"/>
        </w:rPr>
        <w:t>Figure 8: Executive summary DESI 2022 – Slovenia, connectivity</w:t>
      </w:r>
    </w:p>
    <w:p w14:paraId="2D98BCDC" w14:textId="77777777" w:rsidR="0011388D" w:rsidRPr="00AC504C" w:rsidRDefault="0011388D" w:rsidP="007472B2">
      <w:pPr>
        <w:pStyle w:val="podpisi"/>
        <w:spacing w:line="240" w:lineRule="auto"/>
        <w:jc w:val="both"/>
        <w:rPr>
          <w:rFonts w:ascii="Century Gothic" w:hAnsi="Century Gothic"/>
          <w:sz w:val="22"/>
          <w:szCs w:val="22"/>
        </w:rPr>
      </w:pPr>
      <w:r>
        <w:rPr>
          <w:noProof/>
          <w:lang w:val="sl-SI" w:eastAsia="sl-SI"/>
        </w:rPr>
        <w:drawing>
          <wp:inline distT="0" distB="0" distL="0" distR="0" wp14:anchorId="032D2087" wp14:editId="18E5D97C">
            <wp:extent cx="2171700" cy="418641"/>
            <wp:effectExtent l="0" t="0" r="0" b="635"/>
            <wp:docPr id="28" name="Slika 28" descr="Figure 8: Executive summary DESI 2022 – Slovenia, conn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descr="Figure 8: Executive summary DESI 2022 – Slovenia, connectivi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7851" cy="423682"/>
                    </a:xfrm>
                    <a:prstGeom prst="rect">
                      <a:avLst/>
                    </a:prstGeom>
                    <a:noFill/>
                    <a:ln>
                      <a:noFill/>
                    </a:ln>
                  </pic:spPr>
                </pic:pic>
              </a:graphicData>
            </a:graphic>
          </wp:inline>
        </w:drawing>
      </w:r>
    </w:p>
    <w:p w14:paraId="57920B07" w14:textId="77777777" w:rsidR="00363072" w:rsidRPr="00AC504C" w:rsidRDefault="005B1C16" w:rsidP="007472B2">
      <w:pPr>
        <w:pStyle w:val="podpisi"/>
        <w:spacing w:line="240" w:lineRule="auto"/>
        <w:jc w:val="both"/>
        <w:rPr>
          <w:rFonts w:ascii="Century Gothic" w:hAnsi="Century Gothic"/>
          <w:sz w:val="22"/>
          <w:szCs w:val="22"/>
        </w:rPr>
      </w:pPr>
      <w:r>
        <w:rPr>
          <w:noProof/>
          <w:lang w:val="sl-SI" w:eastAsia="sl-SI"/>
        </w:rPr>
        <w:drawing>
          <wp:inline distT="0" distB="0" distL="0" distR="0" wp14:anchorId="08FD900C" wp14:editId="40F6D70A">
            <wp:extent cx="5760720" cy="2974340"/>
            <wp:effectExtent l="0" t="0" r="0" b="0"/>
            <wp:docPr id="25" name="Slika 25" descr="Figure 8: Executive summary DESI 2022 – Slovenia, conn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Figure 8: Executive summary DESI 2022 – Slovenia, connectiv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2974340"/>
                    </a:xfrm>
                    <a:prstGeom prst="rect">
                      <a:avLst/>
                    </a:prstGeom>
                    <a:noFill/>
                    <a:ln>
                      <a:noFill/>
                    </a:ln>
                  </pic:spPr>
                </pic:pic>
              </a:graphicData>
            </a:graphic>
          </wp:inline>
        </w:drawing>
      </w:r>
    </w:p>
    <w:p w14:paraId="18BDF3D9" w14:textId="77777777" w:rsidR="00E06531" w:rsidRPr="00AC504C" w:rsidRDefault="00E06531" w:rsidP="007472B2">
      <w:pPr>
        <w:pStyle w:val="podpisi"/>
        <w:spacing w:line="240" w:lineRule="auto"/>
        <w:jc w:val="both"/>
        <w:rPr>
          <w:rFonts w:ascii="Century Gothic" w:hAnsi="Century Gothic"/>
          <w:sz w:val="22"/>
          <w:szCs w:val="22"/>
        </w:rPr>
      </w:pPr>
    </w:p>
    <w:p w14:paraId="4A407950" w14:textId="77777777" w:rsidR="00E06531" w:rsidRPr="00AE3CB1" w:rsidRDefault="00E06531" w:rsidP="007472B2">
      <w:pPr>
        <w:pStyle w:val="podpisi"/>
        <w:spacing w:line="240" w:lineRule="auto"/>
        <w:jc w:val="both"/>
        <w:rPr>
          <w:rFonts w:ascii="Century Gothic" w:hAnsi="Century Gothic"/>
          <w:sz w:val="18"/>
          <w:szCs w:val="18"/>
          <w:lang w:val="en-US"/>
        </w:rPr>
      </w:pPr>
      <w:r>
        <w:rPr>
          <w:rFonts w:ascii="Century Gothic" w:hAnsi="Century Gothic"/>
          <w:sz w:val="18"/>
          <w:szCs w:val="18"/>
          <w:lang w:val="en-GB"/>
        </w:rPr>
        <w:t xml:space="preserve">SOURCE: European Commission, Digital </w:t>
      </w:r>
      <w:proofErr w:type="gramStart"/>
      <w:r>
        <w:rPr>
          <w:rFonts w:ascii="Century Gothic" w:hAnsi="Century Gothic"/>
          <w:sz w:val="18"/>
          <w:szCs w:val="18"/>
          <w:lang w:val="en-GB"/>
        </w:rPr>
        <w:t>Economy</w:t>
      </w:r>
      <w:proofErr w:type="gramEnd"/>
      <w:r>
        <w:rPr>
          <w:rFonts w:ascii="Century Gothic" w:hAnsi="Century Gothic"/>
          <w:sz w:val="18"/>
          <w:szCs w:val="18"/>
          <w:lang w:val="en-GB"/>
        </w:rPr>
        <w:t xml:space="preserve"> and Society Index 2022 – Slovenia.</w:t>
      </w:r>
    </w:p>
    <w:p w14:paraId="267AD5B8" w14:textId="77777777" w:rsidR="00174C00" w:rsidRPr="00AE3CB1" w:rsidRDefault="00174C00" w:rsidP="007472B2">
      <w:pPr>
        <w:pStyle w:val="podpisi"/>
        <w:spacing w:line="240" w:lineRule="auto"/>
        <w:jc w:val="both"/>
        <w:rPr>
          <w:rFonts w:ascii="Century Gothic" w:hAnsi="Century Gothic"/>
          <w:sz w:val="22"/>
          <w:szCs w:val="22"/>
          <w:lang w:val="en-US"/>
        </w:rPr>
      </w:pPr>
    </w:p>
    <w:p w14:paraId="5165BDA6" w14:textId="77777777" w:rsidR="00174C00" w:rsidRPr="00AE3CB1" w:rsidRDefault="00174C00" w:rsidP="00174C00">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A comparative overview of NGA coverage and fixed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network coverage in the EU Member States, including an overview of rural areas, is presented in the following two figures:</w:t>
      </w:r>
    </w:p>
    <w:p w14:paraId="47295FEC" w14:textId="77777777" w:rsidR="00365CD0" w:rsidRPr="00AE3CB1" w:rsidRDefault="00365CD0" w:rsidP="00174C00">
      <w:pPr>
        <w:pStyle w:val="podpisi"/>
        <w:spacing w:line="280" w:lineRule="exact"/>
        <w:jc w:val="both"/>
        <w:rPr>
          <w:rFonts w:ascii="Century Gothic" w:hAnsi="Century Gothic"/>
          <w:sz w:val="22"/>
          <w:szCs w:val="22"/>
          <w:lang w:val="en-US"/>
        </w:rPr>
      </w:pPr>
    </w:p>
    <w:p w14:paraId="1951B9AD" w14:textId="77777777" w:rsidR="00EC2C51" w:rsidRPr="00AE3CB1" w:rsidRDefault="00E51738" w:rsidP="00DC7DAE">
      <w:pPr>
        <w:pStyle w:val="podpisi"/>
        <w:jc w:val="both"/>
        <w:rPr>
          <w:rFonts w:ascii="Century Gothic" w:hAnsi="Century Gothic"/>
          <w:noProof/>
          <w:sz w:val="22"/>
          <w:szCs w:val="22"/>
          <w:lang w:val="en-US"/>
        </w:rPr>
      </w:pPr>
      <w:r>
        <w:rPr>
          <w:noProof/>
          <w:lang w:val="sl-SI" w:eastAsia="sl-SI"/>
        </w:rPr>
        <w:lastRenderedPageBreak/>
        <w:drawing>
          <wp:anchor distT="0" distB="0" distL="114300" distR="114300" simplePos="0" relativeHeight="251662848" behindDoc="1" locked="0" layoutInCell="1" allowOverlap="1" wp14:anchorId="46ABADB1" wp14:editId="0E7AE786">
            <wp:simplePos x="0" y="0"/>
            <wp:positionH relativeFrom="margin">
              <wp:posOffset>-59055</wp:posOffset>
            </wp:positionH>
            <wp:positionV relativeFrom="paragraph">
              <wp:posOffset>561975</wp:posOffset>
            </wp:positionV>
            <wp:extent cx="5880100" cy="2752725"/>
            <wp:effectExtent l="0" t="0" r="6350" b="9525"/>
            <wp:wrapTight wrapText="bothSides">
              <wp:wrapPolygon edited="0">
                <wp:start x="0" y="0"/>
                <wp:lineTo x="0" y="21525"/>
                <wp:lineTo x="21553" y="21525"/>
                <wp:lineTo x="21553" y="0"/>
                <wp:lineTo x="0" y="0"/>
              </wp:wrapPolygon>
            </wp:wrapTight>
            <wp:docPr id="23" name="Slika 23" descr="Figure 9: Overview of NGA coverage as a % of households for the territory of all EU Member States and separately for rural area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Figure 9: Overview of NGA coverage as a % of households for the territory of all EU Member States and separately for rural areas, 2021"/>
                    <pic:cNvPicPr/>
                  </pic:nvPicPr>
                  <pic:blipFill rotWithShape="1">
                    <a:blip r:embed="rId20">
                      <a:extLst>
                        <a:ext uri="{28A0092B-C50C-407E-A947-70E740481C1C}">
                          <a14:useLocalDpi xmlns:a14="http://schemas.microsoft.com/office/drawing/2010/main" val="0"/>
                        </a:ext>
                      </a:extLst>
                    </a:blip>
                    <a:srcRect l="30092" t="43915" r="29729" b="26720"/>
                    <a:stretch/>
                  </pic:blipFill>
                  <pic:spPr bwMode="auto">
                    <a:xfrm>
                      <a:off x="0" y="0"/>
                      <a:ext cx="5880100" cy="2752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sz w:val="22"/>
          <w:szCs w:val="22"/>
          <w:lang w:val="en-GB"/>
        </w:rPr>
        <w:t>Figure 9: Overview of NGA coverage as a % of households for the territory of all EU Member States and separately for rural areas, 2021</w:t>
      </w:r>
    </w:p>
    <w:p w14:paraId="6F4CECA0" w14:textId="77777777" w:rsidR="009A22EC" w:rsidRPr="00AE3CB1" w:rsidRDefault="009A22EC" w:rsidP="00DC7DAE">
      <w:pPr>
        <w:pStyle w:val="podpisi"/>
        <w:rPr>
          <w:rFonts w:ascii="Century Gothic" w:hAnsi="Century Gothic"/>
          <w:sz w:val="18"/>
          <w:szCs w:val="18"/>
          <w:lang w:val="en-US"/>
        </w:rPr>
      </w:pPr>
      <w:r>
        <w:rPr>
          <w:rFonts w:ascii="Century Gothic" w:hAnsi="Century Gothic"/>
          <w:sz w:val="18"/>
          <w:szCs w:val="18"/>
          <w:lang w:val="en-GB"/>
        </w:rPr>
        <w:t xml:space="preserve">Source: European Commission, Digital </w:t>
      </w:r>
      <w:proofErr w:type="gramStart"/>
      <w:r>
        <w:rPr>
          <w:rFonts w:ascii="Century Gothic" w:hAnsi="Century Gothic"/>
          <w:sz w:val="18"/>
          <w:szCs w:val="18"/>
          <w:lang w:val="en-GB"/>
        </w:rPr>
        <w:t>Economy</w:t>
      </w:r>
      <w:proofErr w:type="gramEnd"/>
      <w:r>
        <w:rPr>
          <w:rFonts w:ascii="Century Gothic" w:hAnsi="Century Gothic"/>
          <w:sz w:val="18"/>
          <w:szCs w:val="18"/>
          <w:lang w:val="en-GB"/>
        </w:rPr>
        <w:t xml:space="preserve"> and Society Index 2022 – digital infrastructure; based on the IHS Markit, Omdia and Point Topic, Broadband coverage in Europe studies.</w:t>
      </w:r>
    </w:p>
    <w:p w14:paraId="751E9A9A" w14:textId="77777777" w:rsidR="002A1AEE" w:rsidRPr="00AC504C" w:rsidRDefault="002A1AEE" w:rsidP="00174C00">
      <w:pPr>
        <w:rPr>
          <w:rFonts w:ascii="Century Gothic" w:hAnsi="Century Gothic"/>
          <w:sz w:val="22"/>
          <w:szCs w:val="22"/>
        </w:rPr>
      </w:pPr>
    </w:p>
    <w:p w14:paraId="321DF61D" w14:textId="77777777" w:rsidR="00B575DD" w:rsidRPr="00AC504C" w:rsidRDefault="002A1AEE" w:rsidP="00174C00">
      <w:pPr>
        <w:rPr>
          <w:rFonts w:ascii="Century Gothic" w:hAnsi="Century Gothic"/>
          <w:sz w:val="22"/>
          <w:szCs w:val="22"/>
        </w:rPr>
      </w:pPr>
      <w:r>
        <w:rPr>
          <w:rFonts w:ascii="Century Gothic" w:hAnsi="Century Gothic"/>
          <w:sz w:val="22"/>
          <w:szCs w:val="22"/>
          <w:lang w:val="en-GB"/>
        </w:rPr>
        <w:t>AKOS data on NGA coverage in Slovenia in May 2022:</w:t>
      </w:r>
    </w:p>
    <w:p w14:paraId="42778D3A" w14:textId="77777777" w:rsidR="00042D8D" w:rsidRPr="00AC504C" w:rsidRDefault="00042D8D" w:rsidP="00042D8D">
      <w:pPr>
        <w:pStyle w:val="Odstavekseznama"/>
        <w:numPr>
          <w:ilvl w:val="0"/>
          <w:numId w:val="2"/>
        </w:numPr>
        <w:rPr>
          <w:rFonts w:ascii="Century Gothic" w:hAnsi="Century Gothic"/>
        </w:rPr>
      </w:pPr>
      <w:r>
        <w:rPr>
          <w:rFonts w:ascii="Century Gothic" w:hAnsi="Century Gothic"/>
          <w:lang w:val="en-GB"/>
        </w:rPr>
        <w:t>total or entire territory: 90.5%</w:t>
      </w:r>
    </w:p>
    <w:p w14:paraId="7F71C9FA" w14:textId="77777777" w:rsidR="00042D8D" w:rsidRPr="00AC504C" w:rsidRDefault="002F66E5" w:rsidP="003D0650">
      <w:pPr>
        <w:pStyle w:val="Odstavekseznama"/>
        <w:numPr>
          <w:ilvl w:val="0"/>
          <w:numId w:val="2"/>
        </w:numPr>
        <w:rPr>
          <w:rFonts w:ascii="Century Gothic" w:hAnsi="Century Gothic"/>
        </w:rPr>
      </w:pPr>
      <w:r>
        <w:rPr>
          <w:rFonts w:ascii="Century Gothic" w:hAnsi="Century Gothic"/>
          <w:lang w:val="en-GB"/>
        </w:rPr>
        <w:t>rural areas: 70.68%</w:t>
      </w:r>
    </w:p>
    <w:p w14:paraId="4B5E68D7" w14:textId="17024932" w:rsidR="00174C00" w:rsidRPr="00AC504C" w:rsidRDefault="00174C00" w:rsidP="003D0650">
      <w:pPr>
        <w:jc w:val="both"/>
        <w:rPr>
          <w:rFonts w:ascii="Century Gothic" w:hAnsi="Century Gothic"/>
          <w:sz w:val="22"/>
          <w:szCs w:val="22"/>
        </w:rPr>
      </w:pPr>
      <w:r>
        <w:rPr>
          <w:rFonts w:ascii="Century Gothic" w:hAnsi="Century Gothic"/>
          <w:sz w:val="22"/>
          <w:szCs w:val="22"/>
          <w:lang w:val="en-GB"/>
        </w:rPr>
        <w:t xml:space="preserve">Figure 10: Overview of </w:t>
      </w:r>
      <w:r w:rsidR="00977FB0" w:rsidRPr="00977FB0">
        <w:rPr>
          <w:rFonts w:ascii="Century Gothic" w:hAnsi="Century Gothic"/>
          <w:sz w:val="22"/>
          <w:szCs w:val="22"/>
          <w:lang w:val="en-GB"/>
        </w:rPr>
        <w:t xml:space="preserve">fixed very </w:t>
      </w:r>
      <w:proofErr w:type="gramStart"/>
      <w:r w:rsidR="00977FB0" w:rsidRPr="00977FB0">
        <w:rPr>
          <w:rFonts w:ascii="Century Gothic" w:hAnsi="Century Gothic"/>
          <w:sz w:val="22"/>
          <w:szCs w:val="22"/>
          <w:lang w:val="en-GB"/>
        </w:rPr>
        <w:t>high capacity</w:t>
      </w:r>
      <w:proofErr w:type="gramEnd"/>
      <w:r w:rsidR="00977FB0" w:rsidRPr="00977FB0">
        <w:rPr>
          <w:rFonts w:ascii="Century Gothic" w:hAnsi="Century Gothic"/>
          <w:sz w:val="22"/>
          <w:szCs w:val="22"/>
          <w:lang w:val="en-GB"/>
        </w:rPr>
        <w:t xml:space="preserve"> coverage</w:t>
      </w:r>
      <w:r>
        <w:rPr>
          <w:rFonts w:ascii="Century Gothic" w:hAnsi="Century Gothic"/>
          <w:sz w:val="22"/>
          <w:szCs w:val="22"/>
          <w:lang w:val="en-GB"/>
        </w:rPr>
        <w:t xml:space="preserve"> as a % of households for the territory of all EU Member States and separately for rural areas, 2021</w:t>
      </w:r>
    </w:p>
    <w:p w14:paraId="7FE8E508" w14:textId="76B4F405" w:rsidR="008E21FC" w:rsidRPr="00AC504C" w:rsidRDefault="00BF6B7E" w:rsidP="008E21FC">
      <w:pPr>
        <w:rPr>
          <w:rFonts w:ascii="Century Gothic" w:hAnsi="Century Gothic"/>
          <w:sz w:val="18"/>
          <w:szCs w:val="18"/>
        </w:rPr>
      </w:pPr>
      <w:r>
        <w:rPr>
          <w:noProof/>
          <w:lang w:val="sl-SI" w:eastAsia="sl-SI"/>
        </w:rPr>
        <w:drawing>
          <wp:anchor distT="0" distB="0" distL="114300" distR="114300" simplePos="0" relativeHeight="251661824" behindDoc="0" locked="0" layoutInCell="1" allowOverlap="1" wp14:anchorId="21012D49" wp14:editId="740B807E">
            <wp:simplePos x="0" y="0"/>
            <wp:positionH relativeFrom="margin">
              <wp:posOffset>0</wp:posOffset>
            </wp:positionH>
            <wp:positionV relativeFrom="paragraph">
              <wp:posOffset>161925</wp:posOffset>
            </wp:positionV>
            <wp:extent cx="6134735" cy="2904490"/>
            <wp:effectExtent l="0" t="0" r="9525" b="0"/>
            <wp:wrapTopAndBottom/>
            <wp:docPr id="20" name="Slika 20" descr="Figure 10: Overview of fixed very high capacity coverage as a % of households for the territory of all EU Member States and separately for rural area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Figure 10: Overview of fixed very high capacity coverage as a % of households for the territory of all EU Member States and separately for rural areas, 2021"/>
                    <pic:cNvPicPr/>
                  </pic:nvPicPr>
                  <pic:blipFill rotWithShape="1">
                    <a:blip r:embed="rId21">
                      <a:extLst>
                        <a:ext uri="{28A0092B-C50C-407E-A947-70E740481C1C}">
                          <a14:useLocalDpi xmlns:a14="http://schemas.microsoft.com/office/drawing/2010/main" val="0"/>
                        </a:ext>
                      </a:extLst>
                    </a:blip>
                    <a:srcRect l="30589" t="23598" r="30390" b="46825"/>
                    <a:stretch/>
                  </pic:blipFill>
                  <pic:spPr bwMode="auto">
                    <a:xfrm>
                      <a:off x="0" y="0"/>
                      <a:ext cx="6134735" cy="290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sz w:val="18"/>
          <w:szCs w:val="18"/>
          <w:lang w:val="en-GB"/>
        </w:rPr>
        <w:t xml:space="preserve">Source: European Commission, Digital </w:t>
      </w:r>
      <w:proofErr w:type="gramStart"/>
      <w:r>
        <w:rPr>
          <w:rFonts w:ascii="Century Gothic" w:hAnsi="Century Gothic"/>
          <w:sz w:val="18"/>
          <w:szCs w:val="18"/>
          <w:lang w:val="en-GB"/>
        </w:rPr>
        <w:t>Economy</w:t>
      </w:r>
      <w:proofErr w:type="gramEnd"/>
      <w:r>
        <w:rPr>
          <w:rFonts w:ascii="Century Gothic" w:hAnsi="Century Gothic"/>
          <w:sz w:val="18"/>
          <w:szCs w:val="18"/>
          <w:lang w:val="en-GB"/>
        </w:rPr>
        <w:t xml:space="preserve"> and Society Index 2022 – digital infrastructure; based on the IHS Markit, Omdia and Point Topic, Broadband coverage in Europe studies.</w:t>
      </w:r>
    </w:p>
    <w:p w14:paraId="24A75773" w14:textId="77777777" w:rsidR="00BB0D56" w:rsidRPr="00AC504C" w:rsidRDefault="00BB0D56" w:rsidP="00BB0D56">
      <w:pPr>
        <w:rPr>
          <w:rFonts w:ascii="Century Gothic" w:hAnsi="Century Gothic"/>
          <w:sz w:val="22"/>
          <w:szCs w:val="22"/>
        </w:rPr>
      </w:pPr>
    </w:p>
    <w:p w14:paraId="42D28DDA" w14:textId="77777777" w:rsidR="0082618C" w:rsidRPr="00AC504C" w:rsidRDefault="0082618C" w:rsidP="0049764B">
      <w:pPr>
        <w:rPr>
          <w:rFonts w:ascii="Century Gothic" w:hAnsi="Century Gothic"/>
          <w:sz w:val="22"/>
          <w:szCs w:val="22"/>
        </w:rPr>
      </w:pPr>
    </w:p>
    <w:p w14:paraId="2298AB14" w14:textId="77777777" w:rsidR="0049764B" w:rsidRPr="00AC504C" w:rsidRDefault="0049764B" w:rsidP="0049764B">
      <w:pPr>
        <w:rPr>
          <w:rFonts w:ascii="Century Gothic" w:hAnsi="Century Gothic"/>
          <w:sz w:val="22"/>
          <w:szCs w:val="22"/>
        </w:rPr>
      </w:pPr>
      <w:r>
        <w:rPr>
          <w:rFonts w:ascii="Century Gothic" w:hAnsi="Century Gothic"/>
          <w:sz w:val="22"/>
          <w:szCs w:val="22"/>
          <w:lang w:val="en-GB"/>
        </w:rPr>
        <w:t xml:space="preserve">AKOS data on fixed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network coverage in Slovenia in May 2022:</w:t>
      </w:r>
    </w:p>
    <w:p w14:paraId="55E7F1A9" w14:textId="77777777" w:rsidR="0049764B" w:rsidRPr="00AC504C" w:rsidRDefault="0049764B" w:rsidP="0049764B">
      <w:pPr>
        <w:pStyle w:val="Odstavekseznama"/>
        <w:numPr>
          <w:ilvl w:val="0"/>
          <w:numId w:val="2"/>
        </w:numPr>
        <w:rPr>
          <w:rFonts w:ascii="Century Gothic" w:hAnsi="Century Gothic"/>
        </w:rPr>
      </w:pPr>
      <w:r>
        <w:rPr>
          <w:rFonts w:ascii="Century Gothic" w:hAnsi="Century Gothic"/>
          <w:lang w:val="en-GB"/>
        </w:rPr>
        <w:t>total or entire territory: 75.5%,</w:t>
      </w:r>
    </w:p>
    <w:p w14:paraId="3E2EC09A" w14:textId="77777777" w:rsidR="0049764B" w:rsidRPr="00AC504C" w:rsidRDefault="002F66E5" w:rsidP="0049764B">
      <w:pPr>
        <w:pStyle w:val="Odstavekseznama"/>
        <w:numPr>
          <w:ilvl w:val="0"/>
          <w:numId w:val="2"/>
        </w:numPr>
        <w:rPr>
          <w:rFonts w:ascii="Century Gothic" w:hAnsi="Century Gothic"/>
        </w:rPr>
      </w:pPr>
      <w:r>
        <w:rPr>
          <w:rFonts w:ascii="Century Gothic" w:hAnsi="Century Gothic"/>
          <w:lang w:val="en-GB"/>
        </w:rPr>
        <w:lastRenderedPageBreak/>
        <w:t>rural areas: 51.52%.</w:t>
      </w:r>
    </w:p>
    <w:p w14:paraId="229FB67A" w14:textId="77777777" w:rsidR="0082618C" w:rsidRPr="00AC504C" w:rsidRDefault="0082618C" w:rsidP="00DC7DAE">
      <w:pPr>
        <w:pStyle w:val="Odstavekseznama"/>
        <w:spacing w:after="0"/>
        <w:rPr>
          <w:rFonts w:ascii="Century Gothic" w:hAnsi="Century Gothic"/>
        </w:rPr>
      </w:pPr>
    </w:p>
    <w:p w14:paraId="64283AB0" w14:textId="77777777" w:rsidR="00266AAE" w:rsidRPr="005C396C" w:rsidRDefault="00266AAE" w:rsidP="00ED4A95">
      <w:pPr>
        <w:pStyle w:val="Naslov"/>
        <w:rPr>
          <w:rFonts w:ascii="Century Gothic" w:hAnsi="Century Gothic"/>
          <w:spacing w:val="0"/>
          <w:kern w:val="0"/>
          <w:sz w:val="22"/>
          <w:szCs w:val="22"/>
        </w:rPr>
      </w:pPr>
      <w:bookmarkStart w:id="13" w:name="_Toc97108758"/>
      <w:bookmarkStart w:id="14" w:name="_Toc97108757"/>
      <w:bookmarkStart w:id="15" w:name="_Toc140746439"/>
      <w:bookmarkEnd w:id="13"/>
      <w:bookmarkEnd w:id="14"/>
      <w:r>
        <w:rPr>
          <w:rFonts w:ascii="Century Gothic" w:hAnsi="Century Gothic"/>
          <w:bCs/>
          <w:kern w:val="0"/>
          <w:sz w:val="22"/>
          <w:szCs w:val="22"/>
          <w:lang w:val="en-GB"/>
        </w:rPr>
        <w:t>SLOVENIA’S STRATEGIC OBJECTIVES FOR GIGABIT INFRASTRUCTURE DEVELOPMENT</w:t>
      </w:r>
      <w:bookmarkEnd w:id="15"/>
    </w:p>
    <w:p w14:paraId="76606001" w14:textId="77777777" w:rsidR="00266AAE" w:rsidRPr="00087A8F" w:rsidRDefault="00266AAE" w:rsidP="007472B2">
      <w:pPr>
        <w:pStyle w:val="podpisi"/>
        <w:spacing w:line="240" w:lineRule="auto"/>
        <w:jc w:val="both"/>
        <w:rPr>
          <w:rFonts w:ascii="Century Gothic" w:hAnsi="Century Gothic"/>
          <w:sz w:val="22"/>
          <w:szCs w:val="22"/>
          <w:lang w:val="en-US"/>
        </w:rPr>
      </w:pPr>
    </w:p>
    <w:p w14:paraId="6A50000B" w14:textId="77777777" w:rsidR="00C13F4A" w:rsidRPr="00AC504C" w:rsidRDefault="000A0AF9" w:rsidP="00ED4A95">
      <w:pPr>
        <w:pStyle w:val="podpisi"/>
        <w:spacing w:line="280" w:lineRule="exact"/>
        <w:jc w:val="both"/>
        <w:rPr>
          <w:rFonts w:ascii="Century Gothic" w:hAnsi="Century Gothic"/>
          <w:sz w:val="22"/>
          <w:szCs w:val="22"/>
        </w:rPr>
      </w:pPr>
      <w:r>
        <w:rPr>
          <w:rFonts w:ascii="Century Gothic" w:hAnsi="Century Gothic"/>
          <w:sz w:val="22"/>
          <w:szCs w:val="22"/>
          <w:lang w:val="en-GB"/>
        </w:rPr>
        <w:t>The strategic objectives are ambitious and exploit the opportunities provided by ICT to ensure lasting economic and social benefits, such as improved competitiveness, the creation of new and quality jobs, and the balanced development of rural and urban areas. Slovenia’s strategic objectives for gigabit infrastructure development include:</w:t>
      </w:r>
    </w:p>
    <w:p w14:paraId="1A1EA59A" w14:textId="77777777" w:rsidR="00266AAE" w:rsidRPr="00AE3CB1" w:rsidRDefault="00266AAE" w:rsidP="006D1EBE">
      <w:pPr>
        <w:pStyle w:val="podpisi"/>
        <w:numPr>
          <w:ilvl w:val="1"/>
          <w:numId w:val="16"/>
        </w:numPr>
        <w:spacing w:line="280" w:lineRule="exact"/>
        <w:ind w:left="360"/>
        <w:jc w:val="both"/>
        <w:rPr>
          <w:rFonts w:ascii="Century Gothic" w:hAnsi="Century Gothic"/>
          <w:sz w:val="22"/>
          <w:szCs w:val="22"/>
          <w:lang w:val="en-US"/>
        </w:rPr>
      </w:pPr>
      <w:bookmarkStart w:id="16" w:name="_Hlk87863927"/>
      <w:r>
        <w:rPr>
          <w:rFonts w:ascii="Century Gothic" w:hAnsi="Century Gothic"/>
          <w:sz w:val="22"/>
          <w:szCs w:val="22"/>
          <w:lang w:val="en-GB"/>
        </w:rPr>
        <w:t xml:space="preserve">gigabit connectivity </w:t>
      </w:r>
      <w:r>
        <w:rPr>
          <w:rStyle w:val="Sprotnaopomba-sklic"/>
          <w:rFonts w:ascii="Century Gothic" w:hAnsi="Century Gothic"/>
          <w:lang w:val="en-GB"/>
        </w:rPr>
        <w:footnoteReference w:id="14"/>
      </w:r>
      <w:r>
        <w:rPr>
          <w:rFonts w:ascii="Century Gothic" w:hAnsi="Century Gothic"/>
          <w:sz w:val="22"/>
          <w:szCs w:val="22"/>
          <w:lang w:val="en-GB"/>
        </w:rPr>
        <w:t xml:space="preserve">for all main socio-economic drivers, such as schools, cultural institutions, transport hubs and main providers of public services as well as digitally intensive enterprises, by the end of </w:t>
      </w:r>
      <w:proofErr w:type="gramStart"/>
      <w:r>
        <w:rPr>
          <w:rFonts w:ascii="Century Gothic" w:hAnsi="Century Gothic"/>
          <w:sz w:val="22"/>
          <w:szCs w:val="22"/>
          <w:lang w:val="en-GB"/>
        </w:rPr>
        <w:t>2025;</w:t>
      </w:r>
      <w:proofErr w:type="gramEnd"/>
    </w:p>
    <w:p w14:paraId="24C3C53C" w14:textId="77777777" w:rsidR="0041388B" w:rsidRPr="00AE3CB1" w:rsidRDefault="009B1016" w:rsidP="006D1EBE">
      <w:pPr>
        <w:pStyle w:val="podpisi"/>
        <w:numPr>
          <w:ilvl w:val="1"/>
          <w:numId w:val="16"/>
        </w:numPr>
        <w:spacing w:line="280" w:lineRule="exact"/>
        <w:ind w:left="360"/>
        <w:jc w:val="both"/>
        <w:rPr>
          <w:rFonts w:ascii="Century Gothic" w:hAnsi="Century Gothic"/>
          <w:sz w:val="22"/>
          <w:szCs w:val="22"/>
          <w:lang w:val="en-US"/>
        </w:rPr>
      </w:pPr>
      <w:r>
        <w:rPr>
          <w:rFonts w:ascii="Century Gothic" w:hAnsi="Century Gothic"/>
          <w:sz w:val="22"/>
          <w:szCs w:val="22"/>
          <w:lang w:val="en-GB"/>
        </w:rPr>
        <w:t xml:space="preserve">all urban areas and all major terrestrial transport paths will have uninterrupted 5G coverage by the </w:t>
      </w:r>
      <w:r>
        <w:rPr>
          <w:rStyle w:val="Sprotnaopomba-sklic"/>
          <w:rFonts w:ascii="Century Gothic" w:hAnsi="Century Gothic"/>
          <w:sz w:val="22"/>
          <w:szCs w:val="22"/>
          <w:lang w:val="en-GB"/>
        </w:rPr>
        <w:footnoteReference w:id="15"/>
      </w:r>
      <w:r>
        <w:rPr>
          <w:rFonts w:ascii="Century Gothic" w:hAnsi="Century Gothic"/>
          <w:sz w:val="22"/>
          <w:szCs w:val="22"/>
          <w:lang w:val="en-GB"/>
        </w:rPr>
        <w:t xml:space="preserve">end of </w:t>
      </w:r>
      <w:proofErr w:type="gramStart"/>
      <w:r>
        <w:rPr>
          <w:rFonts w:ascii="Century Gothic" w:hAnsi="Century Gothic"/>
          <w:sz w:val="22"/>
          <w:szCs w:val="22"/>
          <w:lang w:val="en-GB"/>
        </w:rPr>
        <w:t>2025;</w:t>
      </w:r>
      <w:proofErr w:type="gramEnd"/>
    </w:p>
    <w:p w14:paraId="057262CC" w14:textId="77777777" w:rsidR="00266AAE" w:rsidRPr="00AC504C" w:rsidRDefault="00266AAE" w:rsidP="006D1EBE">
      <w:pPr>
        <w:pStyle w:val="Odstavekseznama"/>
        <w:numPr>
          <w:ilvl w:val="1"/>
          <w:numId w:val="16"/>
        </w:numPr>
        <w:spacing w:line="280" w:lineRule="exact"/>
        <w:ind w:left="360"/>
        <w:jc w:val="both"/>
        <w:rPr>
          <w:rFonts w:ascii="Century Gothic" w:hAnsi="Century Gothic"/>
        </w:rPr>
      </w:pPr>
      <w:bookmarkStart w:id="17" w:name="_Hlk87811399"/>
      <w:r>
        <w:rPr>
          <w:rFonts w:ascii="Century Gothic" w:hAnsi="Century Gothic"/>
          <w:lang w:val="en-GB"/>
        </w:rPr>
        <w:t xml:space="preserve">all households, rural or urban, will have access to internet connectivity offering a downlink of at least 100 Mbps, upgradable to gigabit, by the end of </w:t>
      </w:r>
      <w:proofErr w:type="gramStart"/>
      <w:r>
        <w:rPr>
          <w:rFonts w:ascii="Century Gothic" w:hAnsi="Century Gothic"/>
          <w:lang w:val="en-GB"/>
        </w:rPr>
        <w:t>2025;</w:t>
      </w:r>
      <w:proofErr w:type="gramEnd"/>
    </w:p>
    <w:bookmarkEnd w:id="17"/>
    <w:p w14:paraId="1044D0FA" w14:textId="77777777" w:rsidR="00F27C77" w:rsidRPr="00AC504C" w:rsidRDefault="002104D0" w:rsidP="006D1EBE">
      <w:pPr>
        <w:pStyle w:val="Odstavekseznama"/>
        <w:numPr>
          <w:ilvl w:val="1"/>
          <w:numId w:val="16"/>
        </w:numPr>
        <w:spacing w:line="280" w:lineRule="exact"/>
        <w:ind w:left="360"/>
        <w:jc w:val="both"/>
        <w:rPr>
          <w:rFonts w:ascii="Century Gothic" w:hAnsi="Century Gothic"/>
        </w:rPr>
      </w:pPr>
      <w:r>
        <w:rPr>
          <w:rFonts w:ascii="Century Gothic" w:hAnsi="Century Gothic"/>
          <w:lang w:val="en-GB"/>
        </w:rPr>
        <w:t xml:space="preserve">gigabit connectivity for all households, enterprises and other socio-economic drivers in rural areas and cities by the end of </w:t>
      </w:r>
      <w:proofErr w:type="gramStart"/>
      <w:r>
        <w:rPr>
          <w:rFonts w:ascii="Century Gothic" w:hAnsi="Century Gothic"/>
          <w:lang w:val="en-GB"/>
        </w:rPr>
        <w:t>2030;</w:t>
      </w:r>
      <w:proofErr w:type="gramEnd"/>
    </w:p>
    <w:p w14:paraId="3B11C862" w14:textId="1DE53C34" w:rsidR="00185BFB" w:rsidRPr="00AC504C" w:rsidRDefault="00F27C77" w:rsidP="003E3808">
      <w:pPr>
        <w:pStyle w:val="Odstavekseznama"/>
        <w:numPr>
          <w:ilvl w:val="1"/>
          <w:numId w:val="16"/>
        </w:numPr>
        <w:spacing w:line="280" w:lineRule="exact"/>
        <w:ind w:left="360"/>
        <w:jc w:val="both"/>
        <w:rPr>
          <w:rFonts w:ascii="Century Gothic" w:hAnsi="Century Gothic"/>
        </w:rPr>
      </w:pPr>
      <w:r>
        <w:rPr>
          <w:rFonts w:ascii="Century Gothic" w:hAnsi="Century Gothic"/>
          <w:lang w:val="en-GB"/>
        </w:rPr>
        <w:t xml:space="preserve">all populated areas are covered by </w:t>
      </w:r>
      <w:r>
        <w:rPr>
          <w:rStyle w:val="Sprotnaopomba-sklic"/>
          <w:rFonts w:ascii="Century Gothic" w:hAnsi="Century Gothic"/>
          <w:lang w:val="en-GB"/>
        </w:rPr>
        <w:footnoteReference w:id="16"/>
      </w:r>
      <w:r>
        <w:rPr>
          <w:rFonts w:ascii="Century Gothic" w:hAnsi="Century Gothic"/>
          <w:lang w:val="en-GB"/>
        </w:rPr>
        <w:t>5G network</w:t>
      </w:r>
      <w:r w:rsidR="00F71C2B">
        <w:rPr>
          <w:rFonts w:ascii="Century Gothic" w:hAnsi="Century Gothic"/>
          <w:lang w:val="en-GB"/>
        </w:rPr>
        <w:t>s</w:t>
      </w:r>
      <w:r>
        <w:rPr>
          <w:rFonts w:ascii="Century Gothic" w:hAnsi="Century Gothic"/>
          <w:lang w:val="en-GB"/>
        </w:rPr>
        <w:t xml:space="preserve"> by the end of 2030.</w:t>
      </w:r>
      <w:bookmarkEnd w:id="16"/>
    </w:p>
    <w:tbl>
      <w:tblPr>
        <w:tblStyle w:val="Tabelamrea"/>
        <w:tblW w:w="0" w:type="auto"/>
        <w:tblLook w:val="04A0" w:firstRow="1" w:lastRow="0" w:firstColumn="1" w:lastColumn="0" w:noHBand="0" w:noVBand="1"/>
      </w:tblPr>
      <w:tblGrid>
        <w:gridCol w:w="1697"/>
        <w:gridCol w:w="2407"/>
        <w:gridCol w:w="2640"/>
        <w:gridCol w:w="2318"/>
      </w:tblGrid>
      <w:tr w:rsidR="00185BFB" w:rsidRPr="00F7597C" w14:paraId="28565FC7" w14:textId="77777777" w:rsidTr="003D0650">
        <w:tc>
          <w:tcPr>
            <w:tcW w:w="882" w:type="dxa"/>
          </w:tcPr>
          <w:p w14:paraId="34412EF8" w14:textId="77777777" w:rsidR="00185BFB" w:rsidRPr="00AC504C" w:rsidRDefault="00320D96" w:rsidP="00185BFB">
            <w:pPr>
              <w:spacing w:line="240" w:lineRule="auto"/>
              <w:jc w:val="both"/>
              <w:rPr>
                <w:rFonts w:ascii="Century Gothic" w:hAnsi="Century Gothic"/>
              </w:rPr>
            </w:pPr>
            <w:r>
              <w:rPr>
                <w:rFonts w:ascii="Century Gothic" w:hAnsi="Century Gothic"/>
                <w:lang w:val="en-GB"/>
              </w:rPr>
              <w:t>Objective/year</w:t>
            </w:r>
          </w:p>
        </w:tc>
        <w:tc>
          <w:tcPr>
            <w:tcW w:w="2681" w:type="dxa"/>
          </w:tcPr>
          <w:p w14:paraId="43B3B1FE" w14:textId="77777777" w:rsidR="00185BFB" w:rsidRPr="00AC504C" w:rsidRDefault="003A697F" w:rsidP="00185BFB">
            <w:pPr>
              <w:spacing w:line="240" w:lineRule="auto"/>
              <w:jc w:val="both"/>
              <w:rPr>
                <w:rFonts w:ascii="Century Gothic" w:hAnsi="Century Gothic"/>
              </w:rPr>
            </w:pPr>
            <w:r>
              <w:rPr>
                <w:rFonts w:ascii="Century Gothic" w:hAnsi="Century Gothic"/>
                <w:lang w:val="en-GB"/>
              </w:rPr>
              <w:t xml:space="preserve">Providing connectivity to households </w:t>
            </w:r>
          </w:p>
        </w:tc>
        <w:tc>
          <w:tcPr>
            <w:tcW w:w="2964" w:type="dxa"/>
          </w:tcPr>
          <w:p w14:paraId="5FC02534" w14:textId="77777777" w:rsidR="00185BFB" w:rsidRPr="00AC504C" w:rsidRDefault="003A697F" w:rsidP="00A274E1">
            <w:pPr>
              <w:spacing w:line="240" w:lineRule="auto"/>
              <w:jc w:val="both"/>
              <w:rPr>
                <w:rFonts w:ascii="Century Gothic" w:hAnsi="Century Gothic"/>
              </w:rPr>
            </w:pPr>
            <w:r>
              <w:rPr>
                <w:rFonts w:ascii="Century Gothic" w:hAnsi="Century Gothic"/>
                <w:lang w:val="en-GB"/>
              </w:rPr>
              <w:t xml:space="preserve">Providing connectivity to socio-economic drivers </w:t>
            </w:r>
          </w:p>
        </w:tc>
        <w:tc>
          <w:tcPr>
            <w:tcW w:w="2535" w:type="dxa"/>
          </w:tcPr>
          <w:p w14:paraId="6960241D" w14:textId="7E435B12" w:rsidR="00185BFB" w:rsidRPr="00AC504C" w:rsidRDefault="003A697F" w:rsidP="005F33DA">
            <w:pPr>
              <w:spacing w:line="240" w:lineRule="auto"/>
              <w:jc w:val="both"/>
              <w:rPr>
                <w:rFonts w:ascii="Century Gothic" w:hAnsi="Century Gothic"/>
              </w:rPr>
            </w:pPr>
            <w:r>
              <w:rPr>
                <w:rFonts w:ascii="Century Gothic" w:hAnsi="Century Gothic"/>
                <w:lang w:val="en-GB"/>
              </w:rPr>
              <w:t>Providing coverage by 5G network</w:t>
            </w:r>
            <w:r w:rsidR="00F71C2B">
              <w:rPr>
                <w:rFonts w:ascii="Century Gothic" w:hAnsi="Century Gothic"/>
                <w:lang w:val="en-GB"/>
              </w:rPr>
              <w:t>s</w:t>
            </w:r>
          </w:p>
        </w:tc>
      </w:tr>
      <w:tr w:rsidR="00185BFB" w:rsidRPr="00F7597C" w14:paraId="3E7D9037" w14:textId="77777777" w:rsidTr="003D0650">
        <w:tc>
          <w:tcPr>
            <w:tcW w:w="882" w:type="dxa"/>
          </w:tcPr>
          <w:p w14:paraId="14A516B5" w14:textId="77777777" w:rsidR="00185BFB" w:rsidRPr="00AC504C" w:rsidRDefault="00185BFB" w:rsidP="00185BFB">
            <w:pPr>
              <w:spacing w:line="240" w:lineRule="auto"/>
              <w:jc w:val="both"/>
              <w:rPr>
                <w:rFonts w:ascii="Century Gothic" w:hAnsi="Century Gothic"/>
              </w:rPr>
            </w:pPr>
            <w:r>
              <w:rPr>
                <w:rFonts w:ascii="Century Gothic" w:hAnsi="Century Gothic"/>
                <w:lang w:val="en-GB"/>
              </w:rPr>
              <w:t>2025</w:t>
            </w:r>
          </w:p>
        </w:tc>
        <w:tc>
          <w:tcPr>
            <w:tcW w:w="2681" w:type="dxa"/>
          </w:tcPr>
          <w:p w14:paraId="1C64E730" w14:textId="77777777" w:rsidR="00185BFB" w:rsidRPr="00AC504C" w:rsidRDefault="00615749" w:rsidP="00185BFB">
            <w:pPr>
              <w:spacing w:line="280" w:lineRule="exact"/>
              <w:jc w:val="both"/>
              <w:rPr>
                <w:rFonts w:ascii="Century Gothic" w:hAnsi="Century Gothic"/>
              </w:rPr>
            </w:pPr>
            <w:r>
              <w:rPr>
                <w:rFonts w:ascii="Century Gothic" w:hAnsi="Century Gothic"/>
                <w:lang w:val="en-GB"/>
              </w:rPr>
              <w:t>All households, rural or urban, have access to internet connectivity offering a downlink of at least 100 Mbps, upgradable to gigabit.</w:t>
            </w:r>
          </w:p>
          <w:p w14:paraId="6605D036" w14:textId="77777777" w:rsidR="00185BFB" w:rsidRPr="00AC504C" w:rsidRDefault="00185BFB" w:rsidP="00185BFB">
            <w:pPr>
              <w:spacing w:line="240" w:lineRule="auto"/>
              <w:jc w:val="both"/>
              <w:rPr>
                <w:rFonts w:ascii="Century Gothic" w:hAnsi="Century Gothic"/>
              </w:rPr>
            </w:pPr>
          </w:p>
        </w:tc>
        <w:tc>
          <w:tcPr>
            <w:tcW w:w="2964" w:type="dxa"/>
          </w:tcPr>
          <w:p w14:paraId="0811952B" w14:textId="77777777" w:rsidR="00185BFB" w:rsidRPr="00AC504C" w:rsidRDefault="00615749" w:rsidP="00A274E1">
            <w:pPr>
              <w:spacing w:line="280" w:lineRule="exact"/>
              <w:jc w:val="both"/>
              <w:rPr>
                <w:rFonts w:ascii="Century Gothic" w:hAnsi="Century Gothic"/>
              </w:rPr>
            </w:pPr>
            <w:r>
              <w:rPr>
                <w:rFonts w:ascii="Century Gothic" w:hAnsi="Century Gothic"/>
                <w:lang w:val="en-GB"/>
              </w:rPr>
              <w:t>All main socio-economic drivers, such as schools, cultural institutions, transport hubs and main providers of public services as well as digitally intensive enterprises, have gigabit connectivity.</w:t>
            </w:r>
          </w:p>
        </w:tc>
        <w:tc>
          <w:tcPr>
            <w:tcW w:w="2535" w:type="dxa"/>
          </w:tcPr>
          <w:p w14:paraId="2594352A" w14:textId="77777777" w:rsidR="003A697F" w:rsidRPr="00AC504C" w:rsidRDefault="00615749" w:rsidP="003A697F">
            <w:pPr>
              <w:spacing w:line="280" w:lineRule="exact"/>
              <w:jc w:val="both"/>
              <w:rPr>
                <w:rFonts w:ascii="Century Gothic" w:hAnsi="Century Gothic"/>
              </w:rPr>
            </w:pPr>
            <w:r>
              <w:rPr>
                <w:rFonts w:ascii="Century Gothic" w:hAnsi="Century Gothic"/>
                <w:lang w:val="en-GB"/>
              </w:rPr>
              <w:t>All urban areas and all major terrestrial transport paths have uninterrupted 5G coverage.</w:t>
            </w:r>
          </w:p>
          <w:p w14:paraId="41C85BFB" w14:textId="77777777" w:rsidR="00185BFB" w:rsidRPr="00AC504C" w:rsidRDefault="00185BFB" w:rsidP="00185BFB">
            <w:pPr>
              <w:spacing w:line="240" w:lineRule="auto"/>
              <w:jc w:val="both"/>
              <w:rPr>
                <w:rFonts w:ascii="Century Gothic" w:hAnsi="Century Gothic"/>
              </w:rPr>
            </w:pPr>
          </w:p>
        </w:tc>
      </w:tr>
      <w:tr w:rsidR="00185BFB" w:rsidRPr="00F7597C" w14:paraId="168F9AAF" w14:textId="77777777" w:rsidTr="003D0650">
        <w:tc>
          <w:tcPr>
            <w:tcW w:w="882" w:type="dxa"/>
          </w:tcPr>
          <w:p w14:paraId="72125443" w14:textId="77777777" w:rsidR="00185BFB" w:rsidRPr="00AC504C" w:rsidRDefault="00185BFB" w:rsidP="00185BFB">
            <w:pPr>
              <w:spacing w:line="240" w:lineRule="auto"/>
              <w:jc w:val="both"/>
              <w:rPr>
                <w:rFonts w:ascii="Century Gothic" w:hAnsi="Century Gothic"/>
              </w:rPr>
            </w:pPr>
            <w:r>
              <w:rPr>
                <w:rFonts w:ascii="Century Gothic" w:hAnsi="Century Gothic"/>
                <w:lang w:val="en-GB"/>
              </w:rPr>
              <w:t>2030</w:t>
            </w:r>
          </w:p>
        </w:tc>
        <w:tc>
          <w:tcPr>
            <w:tcW w:w="2681" w:type="dxa"/>
          </w:tcPr>
          <w:p w14:paraId="443776B7" w14:textId="77777777" w:rsidR="003A697F" w:rsidRPr="00AC504C" w:rsidRDefault="00615749" w:rsidP="003A697F">
            <w:pPr>
              <w:spacing w:line="280" w:lineRule="exact"/>
              <w:jc w:val="both"/>
              <w:rPr>
                <w:rFonts w:ascii="Century Gothic" w:hAnsi="Century Gothic"/>
              </w:rPr>
            </w:pPr>
            <w:r>
              <w:rPr>
                <w:rFonts w:ascii="Century Gothic" w:hAnsi="Century Gothic"/>
                <w:lang w:val="en-GB"/>
              </w:rPr>
              <w:t>All households are covered by a gigabit network.</w:t>
            </w:r>
          </w:p>
          <w:p w14:paraId="1ED2255F" w14:textId="77777777" w:rsidR="00185BFB" w:rsidRPr="00AC504C" w:rsidRDefault="00185BFB" w:rsidP="00185BFB">
            <w:pPr>
              <w:spacing w:line="240" w:lineRule="auto"/>
              <w:jc w:val="both"/>
              <w:rPr>
                <w:rFonts w:ascii="Century Gothic" w:hAnsi="Century Gothic"/>
              </w:rPr>
            </w:pPr>
          </w:p>
        </w:tc>
        <w:tc>
          <w:tcPr>
            <w:tcW w:w="2964" w:type="dxa"/>
          </w:tcPr>
          <w:p w14:paraId="7EF06DA6" w14:textId="77777777" w:rsidR="00185BFB" w:rsidRPr="00AC504C" w:rsidRDefault="00C11955" w:rsidP="00A274E1">
            <w:pPr>
              <w:spacing w:line="240" w:lineRule="auto"/>
              <w:jc w:val="both"/>
              <w:rPr>
                <w:rFonts w:ascii="Century Gothic" w:hAnsi="Century Gothic"/>
              </w:rPr>
            </w:pPr>
            <w:r>
              <w:rPr>
                <w:rFonts w:ascii="Century Gothic" w:hAnsi="Century Gothic"/>
                <w:lang w:val="en-GB"/>
              </w:rPr>
              <w:t>All enterprises and other socio-economic drivers are covered by a gigabit network.</w:t>
            </w:r>
          </w:p>
        </w:tc>
        <w:tc>
          <w:tcPr>
            <w:tcW w:w="2535" w:type="dxa"/>
          </w:tcPr>
          <w:p w14:paraId="68AB65B9" w14:textId="7909CCFA" w:rsidR="003A697F" w:rsidRPr="00AC504C" w:rsidRDefault="00615749" w:rsidP="003A697F">
            <w:pPr>
              <w:spacing w:line="280" w:lineRule="exact"/>
              <w:jc w:val="both"/>
              <w:rPr>
                <w:rFonts w:ascii="Century Gothic" w:hAnsi="Century Gothic"/>
              </w:rPr>
            </w:pPr>
            <w:r>
              <w:rPr>
                <w:rFonts w:ascii="Century Gothic" w:eastAsiaTheme="minorHAnsi" w:hAnsi="Century Gothic"/>
                <w:lang w:val="en-GB"/>
              </w:rPr>
              <w:t>All populated areas are covered by 5G network</w:t>
            </w:r>
            <w:r w:rsidR="00F71C2B">
              <w:rPr>
                <w:rFonts w:ascii="Century Gothic" w:eastAsiaTheme="minorHAnsi" w:hAnsi="Century Gothic"/>
                <w:lang w:val="en-GB"/>
              </w:rPr>
              <w:t>s</w:t>
            </w:r>
            <w:r>
              <w:rPr>
                <w:rFonts w:ascii="Century Gothic" w:eastAsiaTheme="minorHAnsi" w:hAnsi="Century Gothic"/>
                <w:lang w:val="en-GB"/>
              </w:rPr>
              <w:t>.</w:t>
            </w:r>
          </w:p>
          <w:p w14:paraId="126A641E" w14:textId="77777777" w:rsidR="00185BFB" w:rsidRPr="00AC504C" w:rsidRDefault="00185BFB" w:rsidP="00185BFB">
            <w:pPr>
              <w:spacing w:line="240" w:lineRule="auto"/>
              <w:jc w:val="both"/>
              <w:rPr>
                <w:rFonts w:ascii="Century Gothic" w:hAnsi="Century Gothic"/>
              </w:rPr>
            </w:pPr>
          </w:p>
        </w:tc>
      </w:tr>
    </w:tbl>
    <w:p w14:paraId="1E2DDF80" w14:textId="77777777" w:rsidR="00E56389" w:rsidRPr="00AC504C" w:rsidRDefault="00266AAE" w:rsidP="00127F9B">
      <w:pPr>
        <w:pStyle w:val="Naslov"/>
        <w:rPr>
          <w:rFonts w:ascii="Century Gothic" w:hAnsi="Century Gothic"/>
          <w:sz w:val="22"/>
          <w:szCs w:val="22"/>
        </w:rPr>
      </w:pPr>
      <w:bookmarkStart w:id="18" w:name="_Toc111154800"/>
      <w:bookmarkStart w:id="19" w:name="_Toc111153303"/>
      <w:bookmarkStart w:id="20" w:name="_Toc140746440"/>
      <w:bookmarkEnd w:id="18"/>
      <w:bookmarkEnd w:id="19"/>
      <w:r>
        <w:rPr>
          <w:rFonts w:ascii="Century Gothic" w:hAnsi="Century Gothic"/>
          <w:bCs/>
          <w:sz w:val="22"/>
          <w:szCs w:val="22"/>
          <w:lang w:val="en-GB"/>
        </w:rPr>
        <w:t>PLANNED INVESTMENT TO ACHIEVE OBJECTIVES</w:t>
      </w:r>
      <w:bookmarkEnd w:id="20"/>
    </w:p>
    <w:p w14:paraId="60E4069E" w14:textId="77777777" w:rsidR="00F4162D" w:rsidRPr="00AC504C" w:rsidRDefault="00F4162D" w:rsidP="00ED4A95">
      <w:pPr>
        <w:pStyle w:val="podpisi"/>
        <w:spacing w:line="280" w:lineRule="exact"/>
        <w:jc w:val="both"/>
        <w:rPr>
          <w:rFonts w:ascii="Century Gothic" w:hAnsi="Century Gothic"/>
          <w:b/>
          <w:bCs/>
          <w:sz w:val="22"/>
          <w:szCs w:val="22"/>
        </w:rPr>
      </w:pPr>
    </w:p>
    <w:p w14:paraId="26DEC26D" w14:textId="77777777" w:rsidR="00F4162D" w:rsidRPr="00AC504C" w:rsidRDefault="00F4162D" w:rsidP="00F4162D">
      <w:pPr>
        <w:pStyle w:val="Naslov2"/>
      </w:pPr>
      <w:bookmarkStart w:id="21" w:name="_Toc140746441"/>
      <w:r>
        <w:rPr>
          <w:lang w:val="en-GB"/>
        </w:rPr>
        <w:t>5.1 Strategic definition</w:t>
      </w:r>
      <w:bookmarkEnd w:id="21"/>
    </w:p>
    <w:p w14:paraId="4AD5A012" w14:textId="77777777" w:rsidR="00F4162D" w:rsidRPr="00AC504C" w:rsidRDefault="00F4162D" w:rsidP="00ED4A95">
      <w:pPr>
        <w:pStyle w:val="podpisi"/>
        <w:spacing w:line="280" w:lineRule="exact"/>
        <w:jc w:val="both"/>
        <w:rPr>
          <w:rFonts w:ascii="Century Gothic" w:hAnsi="Century Gothic"/>
          <w:sz w:val="22"/>
          <w:szCs w:val="22"/>
        </w:rPr>
      </w:pPr>
    </w:p>
    <w:p w14:paraId="006AAF87" w14:textId="77777777" w:rsidR="00C3096E" w:rsidRPr="00AE3CB1" w:rsidRDefault="00C3096E"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lastRenderedPageBreak/>
        <w:t>The European Commission estimates that reaching the EU-wide objectives for 2025 will require an overall investment of approximately EUR 500 billion, representing an additional EUR 155 billion over and above a simple continuation of the trend of the current network investment and modernisation efforts of the connectivity providers.</w:t>
      </w:r>
      <w:r>
        <w:rPr>
          <w:rStyle w:val="Sprotnaopomba-sklic"/>
          <w:lang w:val="en-GB"/>
        </w:rPr>
        <w:footnoteReference w:id="17"/>
      </w:r>
      <w:r>
        <w:rPr>
          <w:rFonts w:ascii="Century Gothic" w:hAnsi="Century Gothic"/>
          <w:sz w:val="22"/>
          <w:szCs w:val="22"/>
          <w:lang w:val="en-GB"/>
        </w:rPr>
        <w:t>Most of the investment will come from the private sector, with appropriate active policy action by the EU Member States.</w:t>
      </w:r>
    </w:p>
    <w:p w14:paraId="17DC917B" w14:textId="77777777" w:rsidR="008E622E" w:rsidRPr="00AE3CB1" w:rsidRDefault="008E622E" w:rsidP="007472B2">
      <w:pPr>
        <w:pStyle w:val="podpisi"/>
        <w:spacing w:line="240" w:lineRule="auto"/>
        <w:jc w:val="both"/>
        <w:rPr>
          <w:rFonts w:ascii="Century Gothic" w:hAnsi="Century Gothic"/>
          <w:sz w:val="22"/>
          <w:szCs w:val="22"/>
          <w:lang w:val="en-US"/>
        </w:rPr>
      </w:pPr>
    </w:p>
    <w:p w14:paraId="03C5E172" w14:textId="77777777" w:rsidR="008E622E" w:rsidRPr="00AE3CB1" w:rsidRDefault="00426874" w:rsidP="008E622E">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Investment in the electronic communications sector in Slovenia totalled approximately EUR 400 million in </w:t>
      </w:r>
      <w:proofErr w:type="gramStart"/>
      <w:r>
        <w:rPr>
          <w:rFonts w:ascii="Century Gothic" w:hAnsi="Century Gothic"/>
          <w:sz w:val="22"/>
          <w:szCs w:val="22"/>
          <w:lang w:val="en-GB"/>
        </w:rPr>
        <w:t>2008, but</w:t>
      </w:r>
      <w:proofErr w:type="gramEnd"/>
      <w:r>
        <w:rPr>
          <w:rFonts w:ascii="Century Gothic" w:hAnsi="Century Gothic"/>
          <w:sz w:val="22"/>
          <w:szCs w:val="22"/>
          <w:lang w:val="en-GB"/>
        </w:rPr>
        <w:t xml:space="preserve"> declined significantly in 2009 to approximately EUR 180 million. In subsequent years, investment fluctuated. It peaked in 2020 when it amounted to EUR 284 million, an increase of EUR 52 million or 23% compared to 2019 (see Figure 11). In terms of infrastructure investment in the electronic communications market in Slovenia, a sharp increase in the number of announcements of intended construction has been recorded since 2019 (see Figure 12).</w:t>
      </w:r>
    </w:p>
    <w:p w14:paraId="59669583" w14:textId="77777777" w:rsidR="008E622E" w:rsidRPr="00AE3CB1" w:rsidRDefault="008E622E" w:rsidP="008E622E">
      <w:pPr>
        <w:pStyle w:val="podpisi"/>
        <w:spacing w:line="280" w:lineRule="exact"/>
        <w:jc w:val="both"/>
        <w:rPr>
          <w:rFonts w:ascii="Century Gothic" w:hAnsi="Century Gothic"/>
          <w:sz w:val="22"/>
          <w:szCs w:val="22"/>
          <w:lang w:val="en-US"/>
        </w:rPr>
      </w:pPr>
    </w:p>
    <w:p w14:paraId="4F82A289" w14:textId="77777777" w:rsidR="00225163" w:rsidRPr="00AE3CB1" w:rsidRDefault="008E622E" w:rsidP="008E622E">
      <w:pPr>
        <w:pStyle w:val="podpisi"/>
        <w:spacing w:line="240" w:lineRule="auto"/>
        <w:jc w:val="both"/>
        <w:rPr>
          <w:rFonts w:ascii="Century Gothic" w:hAnsi="Century Gothic" w:cs="Helvetica"/>
          <w:b/>
          <w:bCs/>
          <w:color w:val="333333"/>
          <w:sz w:val="22"/>
          <w:szCs w:val="22"/>
          <w:lang w:val="en-US"/>
        </w:rPr>
      </w:pPr>
      <w:r>
        <w:rPr>
          <w:rFonts w:ascii="Century Gothic" w:hAnsi="Century Gothic"/>
          <w:sz w:val="22"/>
          <w:szCs w:val="22"/>
          <w:lang w:val="en-GB"/>
        </w:rPr>
        <w:t xml:space="preserve">Figure 11: </w:t>
      </w:r>
      <w:bookmarkStart w:id="22" w:name="_Hlk93658882"/>
      <w:r>
        <w:rPr>
          <w:rFonts w:ascii="Century Gothic" w:hAnsi="Century Gothic"/>
          <w:color w:val="333333"/>
          <w:sz w:val="22"/>
          <w:szCs w:val="22"/>
          <w:lang w:val="en-GB"/>
        </w:rPr>
        <w:t>Investment in electronic communications and revenue from electronic communications services</w:t>
      </w:r>
      <w:bookmarkEnd w:id="22"/>
      <w:r>
        <w:rPr>
          <w:rFonts w:ascii="Century Gothic" w:hAnsi="Century Gothic"/>
          <w:color w:val="333333"/>
          <w:sz w:val="22"/>
          <w:szCs w:val="22"/>
          <w:lang w:val="en-GB"/>
        </w:rPr>
        <w:t>, Slovenia</w:t>
      </w:r>
    </w:p>
    <w:p w14:paraId="61A23F21" w14:textId="77777777" w:rsidR="00225163" w:rsidRPr="00AC504C" w:rsidRDefault="00A86037" w:rsidP="003E3A25">
      <w:pPr>
        <w:spacing w:line="240" w:lineRule="auto"/>
        <w:rPr>
          <w:rFonts w:ascii="Century Gothic" w:hAnsi="Century Gothic" w:cs="Helvetica"/>
          <w:color w:val="333333"/>
          <w:sz w:val="22"/>
          <w:szCs w:val="22"/>
        </w:rPr>
      </w:pPr>
      <w:r>
        <w:rPr>
          <w:noProof/>
          <w:lang w:val="sl-SI" w:eastAsia="sl-SI"/>
        </w:rPr>
        <w:drawing>
          <wp:inline distT="0" distB="0" distL="0" distR="0" wp14:anchorId="556A7765" wp14:editId="70734697">
            <wp:extent cx="5645150" cy="2857500"/>
            <wp:effectExtent l="0" t="0" r="0" b="0"/>
            <wp:docPr id="5" name="Slika 5" descr="Investment in electronic communications and revenue from electronic communications services,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esticije v elektronske komunikacije in prihodki od storitev elektronskih komunikacij, Sloveni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5150" cy="2857500"/>
                    </a:xfrm>
                    <a:prstGeom prst="rect">
                      <a:avLst/>
                    </a:prstGeom>
                    <a:noFill/>
                    <a:ln>
                      <a:noFill/>
                    </a:ln>
                  </pic:spPr>
                </pic:pic>
              </a:graphicData>
            </a:graphic>
          </wp:inline>
        </w:drawing>
      </w:r>
    </w:p>
    <w:p w14:paraId="285CBB44" w14:textId="77777777" w:rsidR="00225163" w:rsidRPr="00AC504C" w:rsidRDefault="00225163" w:rsidP="003E3A25">
      <w:pPr>
        <w:spacing w:line="240" w:lineRule="auto"/>
        <w:rPr>
          <w:rFonts w:ascii="Century Gothic" w:hAnsi="Century Gothic" w:cs="Helvetica"/>
          <w:color w:val="333333"/>
          <w:sz w:val="22"/>
          <w:szCs w:val="22"/>
        </w:rPr>
      </w:pPr>
      <w:r>
        <w:rPr>
          <w:rFonts w:ascii="Century Gothic" w:hAnsi="Century Gothic" w:cs="Helvetica"/>
          <w:color w:val="333333"/>
          <w:sz w:val="22"/>
          <w:szCs w:val="22"/>
          <w:lang w:val="en-GB"/>
        </w:rPr>
        <w:t>R1: revenue from the fixed public telephone network</w:t>
      </w:r>
    </w:p>
    <w:p w14:paraId="0888F739" w14:textId="77777777" w:rsidR="00225163" w:rsidRPr="00AC504C" w:rsidRDefault="00225163" w:rsidP="003E3A25">
      <w:pPr>
        <w:spacing w:line="240" w:lineRule="auto"/>
        <w:rPr>
          <w:rFonts w:ascii="Century Gothic" w:hAnsi="Century Gothic" w:cs="Helvetica"/>
          <w:color w:val="333333"/>
          <w:sz w:val="22"/>
          <w:szCs w:val="22"/>
        </w:rPr>
      </w:pPr>
      <w:r>
        <w:rPr>
          <w:rFonts w:ascii="Century Gothic" w:hAnsi="Century Gothic" w:cs="Helvetica"/>
          <w:color w:val="333333"/>
          <w:sz w:val="22"/>
          <w:szCs w:val="22"/>
          <w:lang w:val="en-GB"/>
        </w:rPr>
        <w:t>R2: revenue from public mobile telephone services</w:t>
      </w:r>
    </w:p>
    <w:p w14:paraId="0980FF2E" w14:textId="77777777" w:rsidR="00225163" w:rsidRPr="00AC504C" w:rsidRDefault="00225163" w:rsidP="003E3A25">
      <w:pPr>
        <w:spacing w:line="240" w:lineRule="auto"/>
        <w:rPr>
          <w:rFonts w:ascii="Century Gothic" w:hAnsi="Century Gothic" w:cs="Helvetica"/>
          <w:color w:val="333333"/>
          <w:sz w:val="22"/>
          <w:szCs w:val="22"/>
        </w:rPr>
      </w:pPr>
      <w:r>
        <w:rPr>
          <w:rFonts w:ascii="Century Gothic" w:hAnsi="Century Gothic" w:cs="Helvetica"/>
          <w:color w:val="333333"/>
          <w:sz w:val="22"/>
          <w:szCs w:val="22"/>
          <w:lang w:val="en-GB"/>
        </w:rPr>
        <w:t>R3: revenue from interconnection services</w:t>
      </w:r>
    </w:p>
    <w:p w14:paraId="34CA4767" w14:textId="77777777" w:rsidR="00225163" w:rsidRPr="00AC504C" w:rsidRDefault="00225163" w:rsidP="003E3A25">
      <w:pPr>
        <w:spacing w:line="240" w:lineRule="auto"/>
        <w:rPr>
          <w:rFonts w:ascii="Century Gothic" w:hAnsi="Century Gothic" w:cs="Helvetica"/>
          <w:color w:val="333333"/>
          <w:sz w:val="22"/>
          <w:szCs w:val="22"/>
        </w:rPr>
      </w:pPr>
      <w:r>
        <w:rPr>
          <w:rFonts w:ascii="Century Gothic" w:hAnsi="Century Gothic" w:cs="Helvetica"/>
          <w:color w:val="333333"/>
          <w:sz w:val="22"/>
          <w:szCs w:val="22"/>
          <w:lang w:val="en-GB"/>
        </w:rPr>
        <w:t>R4: other revenue</w:t>
      </w:r>
    </w:p>
    <w:p w14:paraId="4F21FD07" w14:textId="77777777" w:rsidR="00225163" w:rsidRPr="00775BB0" w:rsidRDefault="00225163" w:rsidP="00BD124E">
      <w:pPr>
        <w:spacing w:line="240" w:lineRule="auto"/>
        <w:rPr>
          <w:rFonts w:ascii="Century Gothic" w:hAnsi="Century Gothic"/>
          <w:sz w:val="22"/>
          <w:szCs w:val="22"/>
        </w:rPr>
      </w:pPr>
      <w:r>
        <w:rPr>
          <w:rFonts w:ascii="Century Gothic" w:hAnsi="Century Gothic" w:cs="Helvetica"/>
          <w:sz w:val="18"/>
          <w:szCs w:val="18"/>
          <w:lang w:val="en-GB"/>
        </w:rPr>
        <w:t>Sources: AKOS, SURS</w:t>
      </w:r>
    </w:p>
    <w:p w14:paraId="65F4E1BD" w14:textId="77777777" w:rsidR="00EE5A32" w:rsidRPr="00AE3CB1" w:rsidRDefault="00EE5A32" w:rsidP="007472B2">
      <w:pPr>
        <w:pStyle w:val="podpisi"/>
        <w:spacing w:line="240" w:lineRule="auto"/>
        <w:jc w:val="both"/>
        <w:rPr>
          <w:rFonts w:ascii="Century Gothic" w:hAnsi="Century Gothic"/>
          <w:sz w:val="22"/>
          <w:szCs w:val="22"/>
          <w:lang w:val="en-US"/>
        </w:rPr>
      </w:pPr>
    </w:p>
    <w:p w14:paraId="7E84F496" w14:textId="77777777" w:rsidR="00505034" w:rsidRPr="00AE3CB1" w:rsidRDefault="00505034" w:rsidP="007472B2">
      <w:pPr>
        <w:pStyle w:val="podpisi"/>
        <w:spacing w:line="240" w:lineRule="auto"/>
        <w:jc w:val="both"/>
        <w:rPr>
          <w:rFonts w:ascii="Century Gothic" w:hAnsi="Century Gothic"/>
          <w:sz w:val="22"/>
          <w:szCs w:val="22"/>
          <w:lang w:val="en-US"/>
        </w:rPr>
      </w:pPr>
    </w:p>
    <w:p w14:paraId="4DA81208" w14:textId="77777777" w:rsidR="00505034" w:rsidRPr="00AE3CB1" w:rsidRDefault="00505034" w:rsidP="007472B2">
      <w:pPr>
        <w:pStyle w:val="podpisi"/>
        <w:spacing w:line="240" w:lineRule="auto"/>
        <w:jc w:val="both"/>
        <w:rPr>
          <w:rFonts w:ascii="Century Gothic" w:hAnsi="Century Gothic"/>
          <w:sz w:val="22"/>
          <w:szCs w:val="22"/>
          <w:lang w:val="en-US"/>
        </w:rPr>
      </w:pPr>
    </w:p>
    <w:p w14:paraId="43C89A58" w14:textId="77777777" w:rsidR="00505034" w:rsidRPr="00AE3CB1" w:rsidRDefault="00505034" w:rsidP="007472B2">
      <w:pPr>
        <w:pStyle w:val="podpisi"/>
        <w:spacing w:line="240" w:lineRule="auto"/>
        <w:jc w:val="both"/>
        <w:rPr>
          <w:rFonts w:ascii="Century Gothic" w:hAnsi="Century Gothic"/>
          <w:sz w:val="22"/>
          <w:szCs w:val="22"/>
          <w:lang w:val="en-US"/>
        </w:rPr>
      </w:pPr>
    </w:p>
    <w:p w14:paraId="01D5E8DB" w14:textId="77777777" w:rsidR="00505034" w:rsidRPr="00AE3CB1" w:rsidRDefault="00505034" w:rsidP="007472B2">
      <w:pPr>
        <w:pStyle w:val="podpisi"/>
        <w:spacing w:line="240" w:lineRule="auto"/>
        <w:jc w:val="both"/>
        <w:rPr>
          <w:rFonts w:ascii="Century Gothic" w:hAnsi="Century Gothic"/>
          <w:sz w:val="22"/>
          <w:szCs w:val="22"/>
          <w:lang w:val="en-US"/>
        </w:rPr>
      </w:pPr>
    </w:p>
    <w:p w14:paraId="0652C698" w14:textId="77777777" w:rsidR="00505034" w:rsidRPr="00AE3CB1" w:rsidRDefault="00505034" w:rsidP="007472B2">
      <w:pPr>
        <w:pStyle w:val="podpisi"/>
        <w:spacing w:line="240" w:lineRule="auto"/>
        <w:jc w:val="both"/>
        <w:rPr>
          <w:rFonts w:ascii="Century Gothic" w:hAnsi="Century Gothic"/>
          <w:sz w:val="22"/>
          <w:szCs w:val="22"/>
          <w:lang w:val="en-US"/>
        </w:rPr>
      </w:pPr>
    </w:p>
    <w:p w14:paraId="30996F11" w14:textId="77777777" w:rsidR="00505034" w:rsidRPr="00AE3CB1" w:rsidRDefault="00505034" w:rsidP="007472B2">
      <w:pPr>
        <w:pStyle w:val="podpisi"/>
        <w:spacing w:line="240" w:lineRule="auto"/>
        <w:jc w:val="both"/>
        <w:rPr>
          <w:rFonts w:ascii="Century Gothic" w:hAnsi="Century Gothic"/>
          <w:sz w:val="22"/>
          <w:szCs w:val="22"/>
          <w:lang w:val="en-US"/>
        </w:rPr>
      </w:pPr>
    </w:p>
    <w:p w14:paraId="0946B257" w14:textId="77777777" w:rsidR="00505034" w:rsidRPr="00AE3CB1" w:rsidRDefault="00505034" w:rsidP="007472B2">
      <w:pPr>
        <w:pStyle w:val="podpisi"/>
        <w:spacing w:line="240" w:lineRule="auto"/>
        <w:jc w:val="both"/>
        <w:rPr>
          <w:rFonts w:ascii="Century Gothic" w:hAnsi="Century Gothic"/>
          <w:sz w:val="22"/>
          <w:szCs w:val="22"/>
          <w:lang w:val="en-US"/>
        </w:rPr>
      </w:pPr>
    </w:p>
    <w:p w14:paraId="78346FA8" w14:textId="77777777" w:rsidR="008E622E" w:rsidRPr="00AE3CB1" w:rsidRDefault="008E622E" w:rsidP="007472B2">
      <w:pPr>
        <w:pStyle w:val="podpisi"/>
        <w:spacing w:line="240" w:lineRule="auto"/>
        <w:jc w:val="both"/>
        <w:rPr>
          <w:rFonts w:ascii="Century Gothic" w:hAnsi="Century Gothic"/>
          <w:sz w:val="22"/>
          <w:szCs w:val="22"/>
          <w:lang w:val="en-US"/>
        </w:rPr>
      </w:pPr>
      <w:r>
        <w:rPr>
          <w:rFonts w:ascii="Century Gothic" w:hAnsi="Century Gothic"/>
          <w:sz w:val="22"/>
          <w:szCs w:val="22"/>
          <w:lang w:val="en-GB"/>
        </w:rPr>
        <w:t>Figure 12: Number of announcements of intended construction</w:t>
      </w:r>
    </w:p>
    <w:p w14:paraId="0EAC837F" w14:textId="77777777" w:rsidR="00EC0A52" w:rsidRPr="00AE3CB1" w:rsidRDefault="00EC0A52" w:rsidP="007472B2">
      <w:pPr>
        <w:pStyle w:val="podpisi"/>
        <w:spacing w:line="240" w:lineRule="auto"/>
        <w:jc w:val="both"/>
        <w:rPr>
          <w:rFonts w:ascii="Century Gothic" w:hAnsi="Century Gothic"/>
          <w:sz w:val="22"/>
          <w:szCs w:val="22"/>
          <w:lang w:val="en-US"/>
        </w:rPr>
      </w:pPr>
    </w:p>
    <w:p w14:paraId="0B3D59F5" w14:textId="77777777" w:rsidR="00EC0A52" w:rsidRPr="00AC504C" w:rsidRDefault="00EC0A52" w:rsidP="007472B2">
      <w:pPr>
        <w:pStyle w:val="podpisi"/>
        <w:spacing w:line="240" w:lineRule="auto"/>
        <w:jc w:val="both"/>
        <w:rPr>
          <w:rFonts w:ascii="Century Gothic" w:hAnsi="Century Gothic"/>
          <w:sz w:val="22"/>
          <w:szCs w:val="22"/>
        </w:rPr>
      </w:pPr>
      <w:r>
        <w:rPr>
          <w:rFonts w:ascii="Century Gothic" w:hAnsi="Century Gothic"/>
          <w:noProof/>
          <w:sz w:val="22"/>
          <w:szCs w:val="22"/>
          <w:lang w:val="sl-SI" w:eastAsia="sl-SI"/>
        </w:rPr>
        <w:lastRenderedPageBreak/>
        <w:drawing>
          <wp:inline distT="0" distB="0" distL="0" distR="0" wp14:anchorId="1167F416" wp14:editId="346770FF">
            <wp:extent cx="5437938" cy="3215292"/>
            <wp:effectExtent l="0" t="0" r="0" b="4445"/>
            <wp:docPr id="17" name="Slika 17" descr="Figure 12: Number of announcements of intended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Figure 12: Number of announcements of intended construction"/>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282"/>
                    <a:stretch/>
                  </pic:blipFill>
                  <pic:spPr bwMode="auto">
                    <a:xfrm>
                      <a:off x="0" y="0"/>
                      <a:ext cx="5448558" cy="3221572"/>
                    </a:xfrm>
                    <a:prstGeom prst="rect">
                      <a:avLst/>
                    </a:prstGeom>
                    <a:noFill/>
                    <a:ln>
                      <a:noFill/>
                    </a:ln>
                    <a:extLst>
                      <a:ext uri="{53640926-AAD7-44D8-BBD7-CCE9431645EC}">
                        <a14:shadowObscured xmlns:a14="http://schemas.microsoft.com/office/drawing/2010/main"/>
                      </a:ext>
                    </a:extLst>
                  </pic:spPr>
                </pic:pic>
              </a:graphicData>
            </a:graphic>
          </wp:inline>
        </w:drawing>
      </w:r>
    </w:p>
    <w:p w14:paraId="4BB0D608" w14:textId="77777777" w:rsidR="008E622E" w:rsidRPr="00AE3CB1" w:rsidRDefault="008E622E" w:rsidP="008E622E">
      <w:pPr>
        <w:pStyle w:val="podpisi"/>
        <w:spacing w:line="240" w:lineRule="auto"/>
        <w:jc w:val="both"/>
        <w:rPr>
          <w:rFonts w:ascii="Century Gothic" w:hAnsi="Century Gothic"/>
          <w:sz w:val="18"/>
          <w:szCs w:val="18"/>
          <w:lang w:val="en-US"/>
        </w:rPr>
      </w:pPr>
      <w:r>
        <w:rPr>
          <w:rFonts w:ascii="Century Gothic" w:hAnsi="Century Gothic"/>
          <w:sz w:val="18"/>
          <w:szCs w:val="18"/>
          <w:lang w:val="en-GB"/>
        </w:rPr>
        <w:t>Source: AKOS, eAnalitik</w:t>
      </w:r>
    </w:p>
    <w:p w14:paraId="5A0FDC6D" w14:textId="77777777" w:rsidR="00EC0A52" w:rsidRPr="00AE3CB1" w:rsidRDefault="00EC0A52" w:rsidP="007472B2">
      <w:pPr>
        <w:pStyle w:val="podpisi"/>
        <w:spacing w:line="240" w:lineRule="auto"/>
        <w:jc w:val="both"/>
        <w:rPr>
          <w:rFonts w:ascii="Century Gothic" w:hAnsi="Century Gothic"/>
          <w:sz w:val="22"/>
          <w:szCs w:val="22"/>
          <w:lang w:val="en-US"/>
        </w:rPr>
      </w:pPr>
    </w:p>
    <w:p w14:paraId="2D88348A" w14:textId="77777777" w:rsidR="00A52AC9" w:rsidRPr="00AE3CB1" w:rsidRDefault="008E622E" w:rsidP="00A52AC9">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It should be noted that private investment also depends on state action and policy in the field of electronic communications. In the years when the state invests public funds in white spots,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areas where there is no adequate infrastructure or market interest of electronic communications operators to build in the next three years, private investment is also higher in order to protect the commercial interest. The role of the state and public policies in promoting connectivity is important both as encouragement of private investment and the provision of public funds to co-finance the deployment of broadband networks in areas for which operators did not express a market interest in building broadband connections. In the future, a significant share of high capital private investment will be directed towards the construction of fixed and mobile networks. </w:t>
      </w:r>
      <w:proofErr w:type="gramStart"/>
      <w:r>
        <w:rPr>
          <w:rFonts w:ascii="Century Gothic" w:hAnsi="Century Gothic"/>
          <w:sz w:val="22"/>
          <w:szCs w:val="22"/>
          <w:lang w:val="en-GB"/>
        </w:rPr>
        <w:t>In order to</w:t>
      </w:r>
      <w:proofErr w:type="gramEnd"/>
      <w:r>
        <w:rPr>
          <w:rFonts w:ascii="Century Gothic" w:hAnsi="Century Gothic"/>
          <w:sz w:val="22"/>
          <w:szCs w:val="22"/>
          <w:lang w:val="en-GB"/>
        </w:rPr>
        <w:t xml:space="preserve"> attain the development objectives regarding broadband infrastructure, the entire investment trend must be strengthened and must continue in the coming years.</w:t>
      </w:r>
    </w:p>
    <w:p w14:paraId="5D545E09" w14:textId="77777777" w:rsidR="00117D6B" w:rsidRPr="00AE3CB1" w:rsidRDefault="00117D6B" w:rsidP="00A52AC9">
      <w:pPr>
        <w:pStyle w:val="podpisi"/>
        <w:spacing w:line="280" w:lineRule="exact"/>
        <w:jc w:val="both"/>
        <w:rPr>
          <w:rFonts w:ascii="Century Gothic" w:hAnsi="Century Gothic"/>
          <w:sz w:val="22"/>
          <w:szCs w:val="22"/>
          <w:lang w:val="en-US"/>
        </w:rPr>
      </w:pPr>
    </w:p>
    <w:p w14:paraId="08A85930" w14:textId="77777777" w:rsidR="00117D6B" w:rsidRPr="00AE3CB1" w:rsidRDefault="63CAC225" w:rsidP="00A52AC9">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Network construction and technology convergence will also enable Public Protection and Disaster Relief (PPDR) services or ESINET deployment and development solutions in line with the development of technology and regulations in the EU.</w:t>
      </w:r>
    </w:p>
    <w:p w14:paraId="3D7238B7" w14:textId="77777777" w:rsidR="00F47909" w:rsidRPr="00AE3CB1" w:rsidRDefault="00F47909" w:rsidP="00A52AC9">
      <w:pPr>
        <w:pStyle w:val="podpisi"/>
        <w:spacing w:line="280" w:lineRule="exact"/>
        <w:jc w:val="both"/>
        <w:rPr>
          <w:rFonts w:ascii="Century Gothic" w:hAnsi="Century Gothic"/>
          <w:sz w:val="22"/>
          <w:szCs w:val="22"/>
          <w:lang w:val="en-US"/>
        </w:rPr>
      </w:pPr>
    </w:p>
    <w:p w14:paraId="61F699BF" w14:textId="77777777" w:rsidR="00A52AC9" w:rsidRPr="00AE3CB1" w:rsidRDefault="00A52AC9" w:rsidP="00A52AC9">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Public funds will be used to co-finance the construction of the following broadband infrastructure:</w:t>
      </w:r>
    </w:p>
    <w:p w14:paraId="4C752959" w14:textId="77777777" w:rsidR="00A52AC9" w:rsidRPr="00AE3CB1" w:rsidRDefault="00A52AC9" w:rsidP="00A52AC9">
      <w:pPr>
        <w:pStyle w:val="podpisi"/>
        <w:numPr>
          <w:ilvl w:val="0"/>
          <w:numId w:val="2"/>
        </w:numPr>
        <w:spacing w:line="280" w:lineRule="exact"/>
        <w:jc w:val="both"/>
        <w:rPr>
          <w:rFonts w:ascii="Century Gothic" w:hAnsi="Century Gothic"/>
          <w:sz w:val="22"/>
          <w:szCs w:val="22"/>
          <w:lang w:val="en-US"/>
        </w:rPr>
      </w:pPr>
      <w:r>
        <w:rPr>
          <w:rFonts w:ascii="Century Gothic" w:hAnsi="Century Gothic"/>
          <w:sz w:val="22"/>
          <w:szCs w:val="22"/>
          <w:lang w:val="en-GB"/>
        </w:rPr>
        <w:t xml:space="preserve">the construction of open fixed broadband networks in white spots,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areas where there is no adequate infrastructure or market interest of electronic communications operators in building in the next three years, in line with the principle of technology neutrality;</w:t>
      </w:r>
    </w:p>
    <w:p w14:paraId="45C029ED" w14:textId="77777777" w:rsidR="00457424" w:rsidRPr="00AE3CB1" w:rsidRDefault="00A52AC9" w:rsidP="00A513A3">
      <w:pPr>
        <w:pStyle w:val="podpisi"/>
        <w:numPr>
          <w:ilvl w:val="0"/>
          <w:numId w:val="2"/>
        </w:numPr>
        <w:spacing w:line="280" w:lineRule="exact"/>
        <w:jc w:val="both"/>
        <w:rPr>
          <w:rFonts w:ascii="Century Gothic" w:hAnsi="Century Gothic"/>
          <w:sz w:val="22"/>
          <w:szCs w:val="22"/>
          <w:lang w:val="en-US"/>
        </w:rPr>
      </w:pPr>
      <w:r>
        <w:rPr>
          <w:rFonts w:ascii="Century Gothic" w:hAnsi="Century Gothic"/>
          <w:sz w:val="22"/>
          <w:szCs w:val="22"/>
          <w:lang w:val="en-GB"/>
        </w:rPr>
        <w:t xml:space="preserve">the construction of 5G open passive mobile networks (open passive base stations) in areas where mobile networks are not built or where only mobile networks capable of supporting previous generations of mobile services are available and where no construction is planned in the next few years; co-financed infrastructure is not taken into account for the purposes of meeting the coverage obligations of mobile network operators arising from the </w:t>
      </w:r>
      <w:r>
        <w:rPr>
          <w:rFonts w:ascii="Century Gothic" w:hAnsi="Century Gothic"/>
          <w:sz w:val="22"/>
          <w:szCs w:val="22"/>
          <w:lang w:val="en-GB"/>
        </w:rPr>
        <w:lastRenderedPageBreak/>
        <w:t>conditions attached to the rights of use of 5G spectrums; cost containment or coverage of the large capital investments made by operators and service providers will be among the important factors influencing the development of the mobile network;</w:t>
      </w:r>
    </w:p>
    <w:p w14:paraId="781546D4" w14:textId="77777777" w:rsidR="00D6263D" w:rsidRPr="00AE3CB1" w:rsidRDefault="00C33FE7" w:rsidP="0012258F">
      <w:pPr>
        <w:pStyle w:val="podpisi"/>
        <w:numPr>
          <w:ilvl w:val="0"/>
          <w:numId w:val="2"/>
        </w:numPr>
        <w:spacing w:line="280" w:lineRule="exact"/>
        <w:jc w:val="both"/>
        <w:rPr>
          <w:rFonts w:ascii="Century Gothic" w:hAnsi="Century Gothic"/>
          <w:sz w:val="22"/>
          <w:szCs w:val="22"/>
          <w:lang w:val="en-US"/>
        </w:rPr>
      </w:pPr>
      <w:r>
        <w:rPr>
          <w:rFonts w:ascii="Century Gothic" w:hAnsi="Century Gothic"/>
          <w:sz w:val="22"/>
          <w:szCs w:val="22"/>
          <w:lang w:val="en-GB"/>
        </w:rPr>
        <w:t xml:space="preserve">the construction of open networks to ensure connectivity for all socio-economic drivers, </w:t>
      </w:r>
      <w:proofErr w:type="gramStart"/>
      <w:r>
        <w:rPr>
          <w:rFonts w:ascii="Century Gothic" w:hAnsi="Century Gothic"/>
          <w:sz w:val="22"/>
          <w:szCs w:val="22"/>
          <w:lang w:val="en-GB"/>
        </w:rPr>
        <w:t>in particular for</w:t>
      </w:r>
      <w:proofErr w:type="gramEnd"/>
      <w:r>
        <w:rPr>
          <w:rFonts w:ascii="Century Gothic" w:hAnsi="Century Gothic"/>
          <w:sz w:val="22"/>
          <w:szCs w:val="22"/>
          <w:lang w:val="en-GB"/>
        </w:rPr>
        <w:t xml:space="preserve"> those educational institutions that lack satisfactory internet connectivity, independently of white spot coverage.</w:t>
      </w:r>
    </w:p>
    <w:p w14:paraId="634B3C22" w14:textId="77777777" w:rsidR="00123B99" w:rsidRPr="00AE3CB1" w:rsidRDefault="00123B99" w:rsidP="00DC7DAE">
      <w:pPr>
        <w:pStyle w:val="podpisi"/>
        <w:spacing w:line="280" w:lineRule="exact"/>
        <w:ind w:left="720"/>
        <w:jc w:val="both"/>
        <w:rPr>
          <w:rFonts w:ascii="Century Gothic" w:hAnsi="Century Gothic"/>
          <w:sz w:val="22"/>
          <w:szCs w:val="22"/>
          <w:lang w:val="en-US"/>
        </w:rPr>
      </w:pPr>
    </w:p>
    <w:p w14:paraId="584ECDC6" w14:textId="77777777" w:rsidR="00C11955" w:rsidRPr="00AE3CB1" w:rsidRDefault="00426874" w:rsidP="00723D96">
      <w:pPr>
        <w:pStyle w:val="podpisi"/>
        <w:tabs>
          <w:tab w:val="clear" w:pos="3402"/>
          <w:tab w:val="left" w:pos="709"/>
        </w:tabs>
        <w:spacing w:line="280" w:lineRule="exact"/>
        <w:jc w:val="both"/>
        <w:rPr>
          <w:rFonts w:ascii="Century Gothic" w:hAnsi="Century Gothic"/>
          <w:sz w:val="22"/>
          <w:szCs w:val="22"/>
          <w:lang w:val="en-US"/>
        </w:rPr>
      </w:pPr>
      <w:r>
        <w:rPr>
          <w:rFonts w:ascii="Century Gothic" w:hAnsi="Century Gothic"/>
          <w:sz w:val="22"/>
          <w:szCs w:val="22"/>
          <w:lang w:val="en-GB"/>
        </w:rPr>
        <w:t xml:space="preserve">The Plan also foresees the use of public funds for a connectivity voucher scheme to provide a comprehensive demonstration of state measures to enhance connectivity. In line with the principle of technology neutrality, connectivity vouchers will be made available to households or users for subscription to a new broadband internet access service or for an upgrade of their current subscription to a service that provides a minimum download speed of 100 Mbps. As the measure is intended to stimulate demand for broadband internet access service in areas where high-speed broadband coverage is already in place, the measure will focus </w:t>
      </w:r>
      <w:proofErr w:type="gramStart"/>
      <w:r>
        <w:rPr>
          <w:rFonts w:ascii="Century Gothic" w:hAnsi="Century Gothic"/>
          <w:sz w:val="22"/>
          <w:szCs w:val="22"/>
          <w:lang w:val="en-GB"/>
        </w:rPr>
        <w:t>in particular on</w:t>
      </w:r>
      <w:proofErr w:type="gramEnd"/>
      <w:r>
        <w:rPr>
          <w:rFonts w:ascii="Century Gothic" w:hAnsi="Century Gothic"/>
          <w:sz w:val="22"/>
          <w:szCs w:val="22"/>
          <w:lang w:val="en-GB"/>
        </w:rPr>
        <w:t xml:space="preserve"> co-financing connectivity in geographical areas where more expensive technologies are available to users. This is complementary to the provision of high-speed fixed broadband access, as explained in more detail below.</w:t>
      </w:r>
    </w:p>
    <w:p w14:paraId="62391492" w14:textId="77777777" w:rsidR="00F4162D" w:rsidRPr="00AE3CB1" w:rsidRDefault="00F4162D" w:rsidP="00723D96">
      <w:pPr>
        <w:pStyle w:val="podpisi"/>
        <w:tabs>
          <w:tab w:val="clear" w:pos="3402"/>
          <w:tab w:val="left" w:pos="709"/>
        </w:tabs>
        <w:spacing w:line="280" w:lineRule="exact"/>
        <w:jc w:val="both"/>
        <w:rPr>
          <w:rFonts w:ascii="Century Gothic" w:hAnsi="Century Gothic"/>
          <w:sz w:val="22"/>
          <w:szCs w:val="22"/>
          <w:lang w:val="en-US"/>
        </w:rPr>
      </w:pPr>
    </w:p>
    <w:p w14:paraId="42D7179B" w14:textId="77777777" w:rsidR="00F4162D" w:rsidRPr="00AC504C" w:rsidRDefault="00F4162D" w:rsidP="00F4162D">
      <w:pPr>
        <w:pStyle w:val="Naslov2"/>
      </w:pPr>
      <w:bookmarkStart w:id="23" w:name="_Toc140746442"/>
      <w:r>
        <w:rPr>
          <w:lang w:val="en-GB"/>
        </w:rPr>
        <w:t>5.2 Assessment of the investment gap</w:t>
      </w:r>
      <w:bookmarkEnd w:id="23"/>
    </w:p>
    <w:p w14:paraId="50B164BB" w14:textId="77777777" w:rsidR="00A52AC9" w:rsidRPr="00AE3CB1" w:rsidRDefault="00A52AC9" w:rsidP="00A52AC9">
      <w:pPr>
        <w:pStyle w:val="podpisi"/>
        <w:spacing w:line="280" w:lineRule="exact"/>
        <w:ind w:left="360"/>
        <w:jc w:val="both"/>
        <w:rPr>
          <w:rFonts w:ascii="Century Gothic" w:hAnsi="Century Gothic"/>
          <w:sz w:val="22"/>
          <w:szCs w:val="22"/>
          <w:lang w:val="en-US"/>
        </w:rPr>
      </w:pPr>
    </w:p>
    <w:p w14:paraId="40724874" w14:textId="77777777" w:rsidR="00453943" w:rsidRPr="00AC504C" w:rsidRDefault="00C86BF2" w:rsidP="003D0650">
      <w:pPr>
        <w:spacing w:line="280" w:lineRule="exact"/>
        <w:jc w:val="both"/>
        <w:rPr>
          <w:rFonts w:ascii="Century Gothic" w:hAnsi="Century Gothic"/>
          <w:sz w:val="22"/>
          <w:szCs w:val="22"/>
        </w:rPr>
      </w:pPr>
      <w:r>
        <w:rPr>
          <w:rFonts w:ascii="Century Gothic" w:hAnsi="Century Gothic"/>
          <w:sz w:val="22"/>
          <w:szCs w:val="22"/>
          <w:lang w:val="en-GB"/>
        </w:rPr>
        <w:t>Two projects for the construction of open broadband networks financed from public funds are being implemented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GOŠO 4 and GOŠO 5), which will, by 30 September 2023, provide access to high-speed broadband networks for 15,424 households that currently do not have access to high-speed broadband networks and for which no market interest was expressed for the construction of such networks.</w:t>
      </w:r>
    </w:p>
    <w:p w14:paraId="7B5260E7" w14:textId="77777777" w:rsidR="00453943" w:rsidRPr="00AC504C" w:rsidRDefault="00453943" w:rsidP="003D0650">
      <w:pPr>
        <w:spacing w:line="280" w:lineRule="exact"/>
        <w:jc w:val="both"/>
        <w:rPr>
          <w:rFonts w:ascii="Century Gothic" w:hAnsi="Century Gothic"/>
          <w:sz w:val="22"/>
          <w:szCs w:val="22"/>
        </w:rPr>
      </w:pPr>
    </w:p>
    <w:p w14:paraId="225C8B29" w14:textId="77777777" w:rsidR="00A52AC9" w:rsidRPr="00AC504C" w:rsidRDefault="00453943" w:rsidP="003D0650">
      <w:pPr>
        <w:spacing w:line="280" w:lineRule="exact"/>
        <w:jc w:val="both"/>
        <w:rPr>
          <w:rFonts w:ascii="Century Gothic" w:hAnsi="Century Gothic"/>
          <w:sz w:val="22"/>
          <w:szCs w:val="22"/>
        </w:rPr>
      </w:pPr>
      <w:r>
        <w:rPr>
          <w:rFonts w:ascii="Century Gothic" w:hAnsi="Century Gothic"/>
          <w:sz w:val="22"/>
          <w:szCs w:val="22"/>
          <w:lang w:val="en-GB"/>
        </w:rPr>
        <w:t xml:space="preserve">Based on a careful and detailed mapping and an inquiry into market interest in building a broadband network, 107,932 households in </w:t>
      </w:r>
      <w:r>
        <w:rPr>
          <w:rStyle w:val="Sprotnaopomba-sklic"/>
          <w:rFonts w:ascii="Century Gothic" w:hAnsi="Century Gothic"/>
          <w:sz w:val="22"/>
          <w:szCs w:val="22"/>
          <w:lang w:val="en-GB"/>
        </w:rPr>
        <w:footnoteReference w:id="18"/>
      </w:r>
      <w:r>
        <w:rPr>
          <w:rFonts w:ascii="Century Gothic" w:hAnsi="Century Gothic"/>
          <w:sz w:val="22"/>
          <w:szCs w:val="22"/>
          <w:lang w:val="en-GB"/>
        </w:rPr>
        <w:t>Slovenia were identified as potential white spots in 2021. From a total of 855,448 Slovenian households, the following households were deducted:</w:t>
      </w:r>
    </w:p>
    <w:p w14:paraId="53536681" w14:textId="77777777" w:rsidR="00A52AC9" w:rsidRPr="00AC504C" w:rsidRDefault="00A52AC9" w:rsidP="003D0650">
      <w:pPr>
        <w:pStyle w:val="Odstavekseznama"/>
        <w:numPr>
          <w:ilvl w:val="0"/>
          <w:numId w:val="2"/>
        </w:numPr>
        <w:spacing w:line="280" w:lineRule="exact"/>
        <w:jc w:val="both"/>
        <w:rPr>
          <w:rFonts w:ascii="Century Gothic" w:hAnsi="Century Gothic"/>
        </w:rPr>
      </w:pPr>
      <w:r>
        <w:rPr>
          <w:rFonts w:ascii="Century Gothic" w:hAnsi="Century Gothic"/>
          <w:lang w:val="en-GB"/>
        </w:rPr>
        <w:t>households at addresses where at least one fibre or coaxial network connection point already exists, or</w:t>
      </w:r>
    </w:p>
    <w:p w14:paraId="41904F0F" w14:textId="77777777" w:rsidR="00A52AC9" w:rsidRPr="00AC504C" w:rsidRDefault="00A52AC9" w:rsidP="003D0650">
      <w:pPr>
        <w:pStyle w:val="Odstavekseznama"/>
        <w:numPr>
          <w:ilvl w:val="0"/>
          <w:numId w:val="2"/>
        </w:numPr>
        <w:spacing w:after="0" w:line="280" w:lineRule="exact"/>
        <w:jc w:val="both"/>
        <w:rPr>
          <w:rFonts w:ascii="Century Gothic" w:hAnsi="Century Gothic"/>
        </w:rPr>
      </w:pPr>
      <w:r>
        <w:rPr>
          <w:rFonts w:ascii="Century Gothic" w:hAnsi="Century Gothic"/>
          <w:lang w:val="en-GB"/>
        </w:rPr>
        <w:t>households at addresses for which a contract was signed within the framework of projects GOŠO 1, GOŠO 2, GOŠO 4 and GOŠO 5 or the Rural Development Programme,</w:t>
      </w:r>
      <w:r>
        <w:rPr>
          <w:rStyle w:val="Sprotnaopomba-sklic"/>
          <w:rFonts w:ascii="Century Gothic" w:hAnsi="Century Gothic"/>
          <w:lang w:val="en-GB"/>
        </w:rPr>
        <w:footnoteReference w:id="19"/>
      </w:r>
      <w:r>
        <w:rPr>
          <w:rFonts w:ascii="Century Gothic" w:hAnsi="Century Gothic"/>
          <w:lang w:val="en-GB"/>
        </w:rPr>
        <w:t xml:space="preserve"> or a contract for an expressed market interest was signed in 2019 (when chronologically the last market interest inquiry was conducted).</w:t>
      </w:r>
    </w:p>
    <w:p w14:paraId="5835D760" w14:textId="77777777" w:rsidR="00453943" w:rsidRPr="00AC504C" w:rsidRDefault="00453943" w:rsidP="003D0650">
      <w:pPr>
        <w:spacing w:line="280" w:lineRule="exact"/>
        <w:jc w:val="both"/>
        <w:rPr>
          <w:rFonts w:ascii="Century Gothic" w:hAnsi="Century Gothic"/>
          <w:sz w:val="22"/>
          <w:szCs w:val="22"/>
        </w:rPr>
      </w:pPr>
    </w:p>
    <w:p w14:paraId="2494716B" w14:textId="77777777" w:rsidR="009F0D4F" w:rsidRPr="00AC504C" w:rsidRDefault="00562F5A" w:rsidP="003D0650">
      <w:pPr>
        <w:spacing w:line="280" w:lineRule="exact"/>
        <w:jc w:val="both"/>
        <w:rPr>
          <w:rFonts w:ascii="Century Gothic" w:hAnsi="Century Gothic"/>
          <w:sz w:val="22"/>
          <w:szCs w:val="22"/>
        </w:rPr>
      </w:pPr>
      <w:r>
        <w:rPr>
          <w:rFonts w:ascii="Century Gothic" w:hAnsi="Century Gothic"/>
          <w:sz w:val="22"/>
          <w:szCs w:val="22"/>
          <w:lang w:val="en-GB"/>
        </w:rPr>
        <w:t>At the time of the preparation of the Plan, there are no signed contracts for a credible expression of market interest in the construction of a broadband network, and the Plan is therefore based on the premise that the use of public funds is necessary and appropriate to provide access to a broadband network for the 107,932 households identified as potential white spots.</w:t>
      </w:r>
    </w:p>
    <w:p w14:paraId="6DCFCCCB" w14:textId="77777777" w:rsidR="00F03B88" w:rsidRPr="00AC504C" w:rsidRDefault="00F03B88" w:rsidP="003D0650">
      <w:pPr>
        <w:spacing w:line="280" w:lineRule="exact"/>
        <w:jc w:val="both"/>
        <w:rPr>
          <w:rFonts w:ascii="Century Gothic" w:hAnsi="Century Gothic"/>
          <w:sz w:val="22"/>
          <w:szCs w:val="22"/>
        </w:rPr>
      </w:pPr>
    </w:p>
    <w:p w14:paraId="57F0670E" w14:textId="77777777" w:rsidR="002D43EC" w:rsidRPr="00AC504C" w:rsidRDefault="00F03B88" w:rsidP="003D0650">
      <w:pPr>
        <w:spacing w:line="280" w:lineRule="exact"/>
        <w:jc w:val="both"/>
        <w:rPr>
          <w:rFonts w:ascii="Century Gothic" w:hAnsi="Century Gothic"/>
          <w:sz w:val="22"/>
          <w:szCs w:val="22"/>
        </w:rPr>
      </w:pPr>
      <w:r>
        <w:rPr>
          <w:rFonts w:ascii="Century Gothic" w:hAnsi="Century Gothic"/>
          <w:sz w:val="22"/>
          <w:szCs w:val="22"/>
          <w:lang w:val="en-GB"/>
        </w:rPr>
        <w:lastRenderedPageBreak/>
        <w:t xml:space="preserve">To provide coverage for 8,500 (out of a total of 107,932) households for which there is no expressed market interest, it is foreseen that gigabit infrastructure will be deployed through the GOŠO 6 call for tenders, which is expected to be published in the second half of 2022 and for which funding will be provided from the second tranche of the Recovery and Resilience Plan (grants). These households will </w:t>
      </w:r>
      <w:proofErr w:type="gramStart"/>
      <w:r>
        <w:rPr>
          <w:rFonts w:ascii="Century Gothic" w:hAnsi="Century Gothic"/>
          <w:sz w:val="22"/>
          <w:szCs w:val="22"/>
          <w:lang w:val="en-GB"/>
        </w:rPr>
        <w:t>be located in</w:t>
      </w:r>
      <w:proofErr w:type="gramEnd"/>
      <w:r>
        <w:rPr>
          <w:rFonts w:ascii="Century Gothic" w:hAnsi="Century Gothic"/>
          <w:sz w:val="22"/>
          <w:szCs w:val="22"/>
          <w:lang w:val="en-GB"/>
        </w:rPr>
        <w:t xml:space="preserve"> sparsely populated (less than 150 inhabitants per km2) or geographically challenging areas (not easily accessible) where adequate ICT infrastructure with suitable capacity is not yet available. As these are areas where the construction of infrastructure is the most expensive, EUR 3,500.00 per household or connection is envisaged to be co-financed from public funds.</w:t>
      </w:r>
    </w:p>
    <w:p w14:paraId="3CAE5FB9" w14:textId="77777777" w:rsidR="002D43EC" w:rsidRPr="00AC504C" w:rsidRDefault="002D43EC" w:rsidP="003D0650">
      <w:pPr>
        <w:spacing w:line="280" w:lineRule="exact"/>
        <w:jc w:val="both"/>
        <w:rPr>
          <w:rFonts w:ascii="Century Gothic" w:hAnsi="Century Gothic"/>
          <w:sz w:val="22"/>
          <w:szCs w:val="22"/>
        </w:rPr>
      </w:pPr>
    </w:p>
    <w:p w14:paraId="089B1BAB" w14:textId="77777777" w:rsidR="003C403A" w:rsidRPr="00AC504C" w:rsidRDefault="003C403A" w:rsidP="003D0650">
      <w:pPr>
        <w:spacing w:line="280" w:lineRule="exact"/>
        <w:jc w:val="both"/>
        <w:rPr>
          <w:rFonts w:ascii="Century Gothic" w:hAnsi="Century Gothic"/>
          <w:sz w:val="22"/>
          <w:szCs w:val="22"/>
        </w:rPr>
      </w:pPr>
      <w:r>
        <w:rPr>
          <w:rFonts w:ascii="Century Gothic" w:hAnsi="Century Gothic"/>
          <w:sz w:val="22"/>
          <w:szCs w:val="22"/>
          <w:lang w:val="en-GB"/>
        </w:rPr>
        <w:t>In accordance with the Annex to the Council Implementing Decision on the approval of the assessment of the recovery and resilience plan for Slovenia, the investment must be completed by 30 June 2026 at the latest, and the relevant service or ministry will aim to complete construction by the end of 2025 at the latest.</w:t>
      </w:r>
    </w:p>
    <w:p w14:paraId="41813255" w14:textId="77777777" w:rsidR="003C403A" w:rsidRPr="00AC504C" w:rsidRDefault="003C403A" w:rsidP="003D0650">
      <w:pPr>
        <w:spacing w:line="280" w:lineRule="exact"/>
        <w:jc w:val="both"/>
        <w:rPr>
          <w:rFonts w:ascii="Century Gothic" w:hAnsi="Century Gothic"/>
          <w:sz w:val="22"/>
          <w:szCs w:val="22"/>
        </w:rPr>
      </w:pPr>
    </w:p>
    <w:p w14:paraId="1474BE19" w14:textId="77777777" w:rsidR="00A519E1" w:rsidRPr="00AC504C" w:rsidRDefault="00382BE0" w:rsidP="003D0650">
      <w:pPr>
        <w:pStyle w:val="Pripombabesedilo"/>
        <w:spacing w:line="280" w:lineRule="exact"/>
        <w:jc w:val="both"/>
        <w:rPr>
          <w:rFonts w:ascii="Century Gothic" w:hAnsi="Century Gothic"/>
          <w:sz w:val="22"/>
          <w:szCs w:val="22"/>
        </w:rPr>
      </w:pPr>
      <w:r>
        <w:rPr>
          <w:rFonts w:ascii="Century Gothic" w:hAnsi="Century Gothic"/>
          <w:sz w:val="22"/>
          <w:szCs w:val="22"/>
          <w:lang w:val="en-GB"/>
        </w:rPr>
        <w:t xml:space="preserve">In order to provide coverage for the remaining 99,432 households for which there is no expressed market interest, it is foreseen that gigabit infrastructure will be deployed by the end of 2030 at the latest on the basis of the GOŠO 7 call for tenders, which is expected to be published in the first half of 2023, and further calls for which funding will be provided within the Multiannual Financial Framework 2021–2027. As these households are expected to be located in geographically </w:t>
      </w:r>
      <w:proofErr w:type="gramStart"/>
      <w:r>
        <w:rPr>
          <w:rFonts w:ascii="Century Gothic" w:hAnsi="Century Gothic"/>
          <w:sz w:val="22"/>
          <w:szCs w:val="22"/>
          <w:lang w:val="en-GB"/>
        </w:rPr>
        <w:t>less</w:t>
      </w:r>
      <w:proofErr w:type="gramEnd"/>
      <w:r>
        <w:rPr>
          <w:rFonts w:ascii="Century Gothic" w:hAnsi="Century Gothic"/>
          <w:sz w:val="22"/>
          <w:szCs w:val="22"/>
          <w:lang w:val="en-GB"/>
        </w:rPr>
        <w:t xml:space="preserve"> challenging locations (compared to the 8,500 households to be covered under the GOŠO 6), the indicative amount of public co-financing is estimated at EUR 2,500.00 per household or connection, which is a 10% reduction in the average price offered in the GOŠO 5 call for tenders. If the analysis of the locations of white spots shows different geographical circumstances of the white spots, the amount of co-financing per household or connection will be adjusted accordingly. In extreme cases, where no other measure (non-financial or financial) can provide adequate connectivity to terrestrial networks, up to 10,793</w:t>
      </w:r>
      <w:r>
        <w:rPr>
          <w:rStyle w:val="Sprotnaopomba-sklic"/>
          <w:rFonts w:ascii="Century Gothic" w:hAnsi="Century Gothic"/>
          <w:sz w:val="22"/>
          <w:szCs w:val="22"/>
          <w:lang w:val="en-GB"/>
        </w:rPr>
        <w:footnoteReference w:id="20"/>
      </w:r>
      <w:r>
        <w:rPr>
          <w:rFonts w:ascii="Century Gothic" w:hAnsi="Century Gothic"/>
          <w:sz w:val="22"/>
          <w:szCs w:val="22"/>
          <w:lang w:val="en-GB"/>
        </w:rPr>
        <w:t xml:space="preserve"> households will be provided with connectivity using other available technologies with a minimum download speed of 100 Mbps. The envisaged amount of EUR 15,326,344.00 was calculated as being 50% co-financed by the state for a period of 24 months in accordance with the applicable EU rules on state aid and was based on the costs of satellite broadband access, which is considered a base case scenario for connectivity in not easily accessible areas without any prejudice as to the actual selection of the most suitable technology. This figure </w:t>
      </w:r>
      <w:proofErr w:type="gramStart"/>
      <w:r>
        <w:rPr>
          <w:rFonts w:ascii="Century Gothic" w:hAnsi="Century Gothic"/>
          <w:sz w:val="22"/>
          <w:szCs w:val="22"/>
          <w:lang w:val="en-GB"/>
        </w:rPr>
        <w:t>takes into account</w:t>
      </w:r>
      <w:proofErr w:type="gramEnd"/>
      <w:r>
        <w:rPr>
          <w:rFonts w:ascii="Century Gothic" w:hAnsi="Century Gothic"/>
          <w:sz w:val="22"/>
          <w:szCs w:val="22"/>
          <w:lang w:val="en-GB"/>
        </w:rPr>
        <w:t xml:space="preserve"> that the cost of satellite access is EUR 1,420.00 per household (calculated for 10,793 households) for a period of two years (EUR 500 for the equipment and EUR 100 for the monthly subscription, which is reduced by 5% on an annual basis due to the advancement of technology and the development of competition) and 50% co-financing by the state.</w:t>
      </w:r>
    </w:p>
    <w:p w14:paraId="5DAD890A" w14:textId="77777777" w:rsidR="00A46390" w:rsidRPr="00AC504C" w:rsidRDefault="00A46390" w:rsidP="003D0650">
      <w:pPr>
        <w:pStyle w:val="Pripombabesedilo"/>
        <w:spacing w:line="280" w:lineRule="exact"/>
        <w:jc w:val="both"/>
        <w:rPr>
          <w:rFonts w:ascii="Century Gothic" w:hAnsi="Century Gothic"/>
          <w:sz w:val="22"/>
          <w:szCs w:val="22"/>
        </w:rPr>
      </w:pPr>
    </w:p>
    <w:p w14:paraId="656F3B2B" w14:textId="77777777" w:rsidR="00382BE0" w:rsidRPr="00AC504C" w:rsidRDefault="00D5013B" w:rsidP="003D0650">
      <w:pPr>
        <w:spacing w:line="280" w:lineRule="exact"/>
        <w:jc w:val="both"/>
        <w:rPr>
          <w:rFonts w:ascii="Century Gothic" w:hAnsi="Century Gothic"/>
          <w:sz w:val="22"/>
          <w:szCs w:val="22"/>
        </w:rPr>
      </w:pPr>
      <w:r>
        <w:rPr>
          <w:rFonts w:ascii="Century Gothic" w:hAnsi="Century Gothic"/>
          <w:sz w:val="22"/>
          <w:szCs w:val="22"/>
          <w:lang w:val="en-GB"/>
        </w:rPr>
        <w:t>All projects will have a minimal spatial and environmental impact, as priority will be given to sharing the existing infrastructure and to joint construction and integration with other infrastructure investments.</w:t>
      </w:r>
    </w:p>
    <w:p w14:paraId="773DC818" w14:textId="77777777" w:rsidR="00736D58" w:rsidRPr="00AE3CB1" w:rsidRDefault="00736D58" w:rsidP="0064209B">
      <w:pPr>
        <w:pStyle w:val="podpisi"/>
        <w:spacing w:line="280" w:lineRule="exact"/>
        <w:jc w:val="both"/>
        <w:rPr>
          <w:rFonts w:ascii="Century Gothic" w:hAnsi="Century Gothic"/>
          <w:sz w:val="22"/>
          <w:szCs w:val="22"/>
          <w:lang w:val="en-US"/>
        </w:rPr>
      </w:pPr>
    </w:p>
    <w:p w14:paraId="18323B01" w14:textId="77777777" w:rsidR="002234A3" w:rsidRPr="00AE3CB1" w:rsidRDefault="004F306A" w:rsidP="00135C5D">
      <w:pPr>
        <w:pStyle w:val="podpisi"/>
        <w:spacing w:line="280" w:lineRule="exact"/>
        <w:jc w:val="both"/>
        <w:rPr>
          <w:rFonts w:ascii="Century Gothic" w:hAnsi="Century Gothic"/>
          <w:sz w:val="22"/>
          <w:szCs w:val="22"/>
          <w:lang w:val="en-US"/>
        </w:rPr>
      </w:pPr>
      <w:r>
        <w:rPr>
          <w:rFonts w:ascii="Century Gothic" w:hAnsi="Century Gothic"/>
          <w:sz w:val="22"/>
          <w:szCs w:val="22"/>
          <w:lang w:val="en-GB"/>
        </w:rPr>
        <w:lastRenderedPageBreak/>
        <w:t>To attain Slovenia’s strategic objectives for the development of gigabit infrastructure until 2030, public funding in the following amount will be required:</w:t>
      </w:r>
    </w:p>
    <w:p w14:paraId="5A0E599F" w14:textId="77777777" w:rsidR="004F306A" w:rsidRPr="00AE3CB1" w:rsidRDefault="004F306A" w:rsidP="00CD10B5">
      <w:pPr>
        <w:pStyle w:val="podpisi"/>
        <w:spacing w:line="280" w:lineRule="exact"/>
        <w:jc w:val="both"/>
        <w:rPr>
          <w:rFonts w:ascii="Century Gothic" w:hAnsi="Century Gothic"/>
          <w:sz w:val="22"/>
          <w:szCs w:val="22"/>
          <w:lang w:val="en-US"/>
        </w:rPr>
      </w:pPr>
    </w:p>
    <w:tbl>
      <w:tblPr>
        <w:tblStyle w:val="Tabelamrea"/>
        <w:tblW w:w="0" w:type="auto"/>
        <w:tblLook w:val="04A0" w:firstRow="1" w:lastRow="0" w:firstColumn="1" w:lastColumn="0" w:noHBand="0" w:noVBand="1"/>
      </w:tblPr>
      <w:tblGrid>
        <w:gridCol w:w="5098"/>
        <w:gridCol w:w="3964"/>
      </w:tblGrid>
      <w:tr w:rsidR="00D678FB" w:rsidRPr="00F7597C" w14:paraId="4157CD4B" w14:textId="77777777" w:rsidTr="007472B2">
        <w:tc>
          <w:tcPr>
            <w:tcW w:w="5098" w:type="dxa"/>
          </w:tcPr>
          <w:p w14:paraId="739114CE" w14:textId="77777777" w:rsidR="00D678FB" w:rsidRPr="00AC504C" w:rsidRDefault="009858DD" w:rsidP="00ED4A95">
            <w:pPr>
              <w:pStyle w:val="podpisi"/>
              <w:spacing w:line="280" w:lineRule="exact"/>
              <w:jc w:val="both"/>
              <w:rPr>
                <w:rFonts w:ascii="Century Gothic" w:hAnsi="Century Gothic"/>
                <w:b/>
                <w:bCs/>
                <w:sz w:val="22"/>
                <w:szCs w:val="22"/>
              </w:rPr>
            </w:pPr>
            <w:r>
              <w:rPr>
                <w:rFonts w:ascii="Century Gothic" w:hAnsi="Century Gothic"/>
                <w:b/>
                <w:bCs/>
                <w:sz w:val="22"/>
                <w:szCs w:val="22"/>
                <w:lang w:val="en-GB"/>
              </w:rPr>
              <w:t>Objective</w:t>
            </w:r>
          </w:p>
        </w:tc>
        <w:tc>
          <w:tcPr>
            <w:tcW w:w="3964" w:type="dxa"/>
          </w:tcPr>
          <w:p w14:paraId="1FD82031" w14:textId="77777777" w:rsidR="00D678FB" w:rsidRPr="00AE3CB1" w:rsidRDefault="001934E5" w:rsidP="003D0650">
            <w:pPr>
              <w:pStyle w:val="podpisi"/>
              <w:spacing w:line="280" w:lineRule="exact"/>
              <w:jc w:val="center"/>
              <w:rPr>
                <w:rFonts w:ascii="Century Gothic" w:hAnsi="Century Gothic"/>
                <w:b/>
                <w:bCs/>
                <w:sz w:val="22"/>
                <w:szCs w:val="22"/>
                <w:lang w:val="en-US"/>
              </w:rPr>
            </w:pPr>
            <w:r>
              <w:rPr>
                <w:rFonts w:ascii="Century Gothic" w:hAnsi="Century Gothic"/>
                <w:b/>
                <w:bCs/>
                <w:sz w:val="22"/>
                <w:szCs w:val="22"/>
                <w:lang w:val="en-GB"/>
              </w:rPr>
              <w:t>Assessment of the investment gap</w:t>
            </w:r>
            <w:r>
              <w:rPr>
                <w:rFonts w:ascii="Century Gothic" w:hAnsi="Century Gothic"/>
                <w:sz w:val="22"/>
                <w:szCs w:val="22"/>
                <w:lang w:val="en-GB"/>
              </w:rPr>
              <w:br/>
            </w:r>
            <w:r>
              <w:rPr>
                <w:rFonts w:ascii="Century Gothic" w:hAnsi="Century Gothic"/>
                <w:b/>
                <w:bCs/>
                <w:sz w:val="22"/>
                <w:szCs w:val="22"/>
                <w:lang w:val="en-GB"/>
              </w:rPr>
              <w:t>(required public funds) in EUR</w:t>
            </w:r>
          </w:p>
        </w:tc>
      </w:tr>
      <w:tr w:rsidR="00D678FB" w:rsidRPr="00AC504C" w14:paraId="738E480A" w14:textId="77777777" w:rsidTr="007472B2">
        <w:tc>
          <w:tcPr>
            <w:tcW w:w="5098" w:type="dxa"/>
          </w:tcPr>
          <w:p w14:paraId="606B99C0" w14:textId="77777777" w:rsidR="00D678FB" w:rsidRPr="00AE3CB1" w:rsidRDefault="009858DD" w:rsidP="00C86BF2">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Gigabit connectivity for 8,500 households in not easily accessible areas which lack gigabit infrastructure or market interest in building in the next three years.</w:t>
            </w:r>
          </w:p>
        </w:tc>
        <w:tc>
          <w:tcPr>
            <w:tcW w:w="3964" w:type="dxa"/>
          </w:tcPr>
          <w:p w14:paraId="1AF63CFC" w14:textId="77777777" w:rsidR="00D678FB" w:rsidRPr="00AC504C" w:rsidRDefault="00D678FB" w:rsidP="00ED4A95">
            <w:pPr>
              <w:pStyle w:val="podpisi"/>
              <w:spacing w:line="280" w:lineRule="exact"/>
              <w:jc w:val="right"/>
              <w:rPr>
                <w:rFonts w:ascii="Century Gothic" w:hAnsi="Century Gothic"/>
                <w:sz w:val="22"/>
                <w:szCs w:val="22"/>
              </w:rPr>
            </w:pPr>
            <w:r>
              <w:rPr>
                <w:rFonts w:ascii="Century Gothic" w:hAnsi="Century Gothic"/>
                <w:sz w:val="22"/>
                <w:szCs w:val="22"/>
                <w:lang w:val="en-GB"/>
              </w:rPr>
              <w:t>30,000,000.00</w:t>
            </w:r>
          </w:p>
        </w:tc>
      </w:tr>
      <w:tr w:rsidR="002234A3" w:rsidRPr="00AC504C" w14:paraId="1F3F182D" w14:textId="77777777" w:rsidTr="007472B2">
        <w:tc>
          <w:tcPr>
            <w:tcW w:w="5098" w:type="dxa"/>
          </w:tcPr>
          <w:p w14:paraId="346EA630" w14:textId="77777777" w:rsidR="002234A3" w:rsidRPr="00AE3CB1" w:rsidRDefault="009858DD" w:rsidP="00C86BF2">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Gigabit connectivity for 99,432 households in areas where there is no gigabit infrastructure or market interest in building in the next three years.</w:t>
            </w:r>
          </w:p>
        </w:tc>
        <w:tc>
          <w:tcPr>
            <w:tcW w:w="3964" w:type="dxa"/>
          </w:tcPr>
          <w:p w14:paraId="13EA5156" w14:textId="77777777" w:rsidR="002234A3" w:rsidRPr="00AC504C" w:rsidRDefault="002234A3" w:rsidP="00ED4A95">
            <w:pPr>
              <w:pStyle w:val="podpisi"/>
              <w:spacing w:line="280" w:lineRule="exact"/>
              <w:jc w:val="right"/>
              <w:rPr>
                <w:rFonts w:ascii="Century Gothic" w:hAnsi="Century Gothic"/>
                <w:sz w:val="22"/>
                <w:szCs w:val="22"/>
              </w:rPr>
            </w:pPr>
            <w:bookmarkStart w:id="24" w:name="_Hlk99059873"/>
            <w:r>
              <w:rPr>
                <w:rFonts w:ascii="Century Gothic" w:hAnsi="Century Gothic"/>
                <w:sz w:val="22"/>
                <w:szCs w:val="22"/>
                <w:lang w:val="en-GB"/>
              </w:rPr>
              <w:t>248,580,000.00</w:t>
            </w:r>
            <w:bookmarkEnd w:id="24"/>
          </w:p>
        </w:tc>
      </w:tr>
      <w:tr w:rsidR="006A5432" w:rsidRPr="00AC504C" w14:paraId="6259958C" w14:textId="77777777" w:rsidTr="007472B2">
        <w:tc>
          <w:tcPr>
            <w:tcW w:w="5098" w:type="dxa"/>
          </w:tcPr>
          <w:p w14:paraId="528F3835" w14:textId="77777777" w:rsidR="006A5432" w:rsidRPr="00AE3CB1" w:rsidRDefault="006A5432" w:rsidP="00ED4A95">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Promotion of connectivity for 10,793 households until the construction of a fixed broadband network.</w:t>
            </w:r>
          </w:p>
        </w:tc>
        <w:tc>
          <w:tcPr>
            <w:tcW w:w="3964" w:type="dxa"/>
          </w:tcPr>
          <w:p w14:paraId="5B6C3C7E" w14:textId="77777777" w:rsidR="006A5432" w:rsidRPr="00AC504C" w:rsidRDefault="006A5432" w:rsidP="00ED4A95">
            <w:pPr>
              <w:pStyle w:val="podpisi"/>
              <w:spacing w:line="280" w:lineRule="exact"/>
              <w:jc w:val="right"/>
              <w:rPr>
                <w:rFonts w:ascii="Century Gothic" w:hAnsi="Century Gothic"/>
                <w:sz w:val="22"/>
                <w:szCs w:val="22"/>
              </w:rPr>
            </w:pPr>
            <w:r>
              <w:rPr>
                <w:rFonts w:ascii="Century Gothic" w:hAnsi="Century Gothic"/>
                <w:sz w:val="22"/>
                <w:szCs w:val="22"/>
                <w:lang w:val="en-GB"/>
              </w:rPr>
              <w:t>15,326,344.00</w:t>
            </w:r>
          </w:p>
        </w:tc>
      </w:tr>
      <w:tr w:rsidR="009858DD" w:rsidRPr="00AC504C" w14:paraId="3BF8AB82" w14:textId="77777777" w:rsidTr="007472B2">
        <w:tc>
          <w:tcPr>
            <w:tcW w:w="5098" w:type="dxa"/>
          </w:tcPr>
          <w:p w14:paraId="21CB0BA8" w14:textId="46D8C6E8" w:rsidR="00EA0143" w:rsidRPr="00AC504C" w:rsidRDefault="00EA0143" w:rsidP="00EA0143">
            <w:pPr>
              <w:spacing w:line="280" w:lineRule="exact"/>
              <w:jc w:val="both"/>
              <w:rPr>
                <w:rFonts w:ascii="Century Gothic" w:hAnsi="Century Gothic"/>
                <w:sz w:val="22"/>
                <w:szCs w:val="22"/>
              </w:rPr>
            </w:pPr>
            <w:r>
              <w:rPr>
                <w:rFonts w:ascii="Century Gothic" w:hAnsi="Century Gothic"/>
                <w:sz w:val="22"/>
                <w:szCs w:val="22"/>
                <w:lang w:val="en-GB"/>
              </w:rPr>
              <w:t>All populated areas and all major terrestrial transport paths will be covered by 5G network</w:t>
            </w:r>
            <w:r w:rsidR="00F71C2B">
              <w:rPr>
                <w:rFonts w:ascii="Century Gothic" w:hAnsi="Century Gothic"/>
                <w:sz w:val="22"/>
                <w:szCs w:val="22"/>
                <w:lang w:val="en-GB"/>
              </w:rPr>
              <w:t>s</w:t>
            </w:r>
            <w:r>
              <w:rPr>
                <w:rFonts w:ascii="Century Gothic" w:hAnsi="Century Gothic"/>
                <w:sz w:val="22"/>
                <w:szCs w:val="22"/>
                <w:lang w:val="en-GB"/>
              </w:rPr>
              <w:t>.</w:t>
            </w:r>
          </w:p>
          <w:p w14:paraId="058ADFD0" w14:textId="77777777" w:rsidR="009858DD" w:rsidRPr="00AE3CB1" w:rsidRDefault="009858DD" w:rsidP="00ED4A95">
            <w:pPr>
              <w:pStyle w:val="podpisi"/>
              <w:spacing w:line="280" w:lineRule="exact"/>
              <w:jc w:val="both"/>
              <w:rPr>
                <w:rFonts w:ascii="Century Gothic" w:hAnsi="Century Gothic"/>
                <w:sz w:val="22"/>
                <w:szCs w:val="22"/>
                <w:lang w:val="en-US"/>
              </w:rPr>
            </w:pPr>
          </w:p>
        </w:tc>
        <w:tc>
          <w:tcPr>
            <w:tcW w:w="3964" w:type="dxa"/>
          </w:tcPr>
          <w:p w14:paraId="3BB8CF62" w14:textId="77777777" w:rsidR="009858DD" w:rsidRPr="00AE3CB1" w:rsidRDefault="00DC0BC2" w:rsidP="004A12EA">
            <w:pPr>
              <w:pStyle w:val="podpisi"/>
              <w:spacing w:line="280" w:lineRule="exact"/>
              <w:jc w:val="right"/>
              <w:rPr>
                <w:rFonts w:ascii="Century Gothic" w:hAnsi="Century Gothic"/>
                <w:sz w:val="22"/>
                <w:szCs w:val="22"/>
                <w:lang w:val="en-US"/>
              </w:rPr>
            </w:pPr>
            <w:r>
              <w:rPr>
                <w:rFonts w:ascii="Century Gothic" w:hAnsi="Century Gothic"/>
                <w:sz w:val="22"/>
                <w:szCs w:val="22"/>
                <w:lang w:val="en-GB"/>
              </w:rPr>
              <w:t xml:space="preserve">An assessment will be made </w:t>
            </w:r>
            <w:proofErr w:type="gramStart"/>
            <w:r>
              <w:rPr>
                <w:rFonts w:ascii="Century Gothic" w:hAnsi="Century Gothic"/>
                <w:sz w:val="22"/>
                <w:szCs w:val="22"/>
                <w:lang w:val="en-GB"/>
              </w:rPr>
              <w:t>on the basis of</w:t>
            </w:r>
            <w:proofErr w:type="gramEnd"/>
            <w:r>
              <w:rPr>
                <w:rFonts w:ascii="Century Gothic" w:hAnsi="Century Gothic"/>
                <w:sz w:val="22"/>
                <w:szCs w:val="22"/>
                <w:lang w:val="en-GB"/>
              </w:rPr>
              <w:t xml:space="preserve"> a new mapping and market interest inquiry to be carried out by 21 December 2023.</w:t>
            </w:r>
          </w:p>
        </w:tc>
      </w:tr>
      <w:tr w:rsidR="00157157" w:rsidRPr="00AC504C" w14:paraId="2ED97C90" w14:textId="77777777" w:rsidTr="00435333">
        <w:tc>
          <w:tcPr>
            <w:tcW w:w="5098" w:type="dxa"/>
            <w:shd w:val="clear" w:color="auto" w:fill="auto"/>
          </w:tcPr>
          <w:p w14:paraId="4DD869F3" w14:textId="77777777" w:rsidR="00157157" w:rsidRPr="00AC504C" w:rsidRDefault="00027390" w:rsidP="00157157">
            <w:pPr>
              <w:spacing w:line="280" w:lineRule="exact"/>
              <w:jc w:val="both"/>
              <w:rPr>
                <w:rFonts w:ascii="Century Gothic" w:eastAsiaTheme="minorHAnsi" w:hAnsi="Century Gothic"/>
                <w:sz w:val="22"/>
                <w:szCs w:val="22"/>
              </w:rPr>
            </w:pPr>
            <w:r>
              <w:rPr>
                <w:rFonts w:ascii="Century Gothic" w:eastAsiaTheme="minorHAnsi" w:hAnsi="Century Gothic"/>
                <w:sz w:val="22"/>
                <w:szCs w:val="22"/>
                <w:lang w:val="en-GB"/>
              </w:rPr>
              <w:t>Gigabit connectivity for all socio-economic drivers in Slovenia.</w:t>
            </w:r>
          </w:p>
          <w:p w14:paraId="02657350" w14:textId="77777777" w:rsidR="00157157" w:rsidRPr="00AC504C" w:rsidRDefault="00157157" w:rsidP="00EA0143">
            <w:pPr>
              <w:spacing w:line="280" w:lineRule="exact"/>
              <w:jc w:val="both"/>
              <w:rPr>
                <w:rFonts w:ascii="Century Gothic" w:eastAsiaTheme="minorHAnsi" w:hAnsi="Century Gothic"/>
                <w:sz w:val="22"/>
                <w:szCs w:val="22"/>
              </w:rPr>
            </w:pPr>
          </w:p>
        </w:tc>
        <w:tc>
          <w:tcPr>
            <w:tcW w:w="3964" w:type="dxa"/>
          </w:tcPr>
          <w:p w14:paraId="090563FC" w14:textId="77777777" w:rsidR="00157157" w:rsidRPr="00AE3CB1" w:rsidRDefault="001934E5" w:rsidP="00ED4A95">
            <w:pPr>
              <w:pStyle w:val="podpisi"/>
              <w:spacing w:line="280" w:lineRule="exact"/>
              <w:jc w:val="right"/>
              <w:rPr>
                <w:rFonts w:ascii="Century Gothic" w:hAnsi="Century Gothic"/>
                <w:sz w:val="28"/>
                <w:szCs w:val="28"/>
                <w:lang w:val="en-US"/>
              </w:rPr>
            </w:pPr>
            <w:r>
              <w:rPr>
                <w:rFonts w:ascii="Century Gothic" w:hAnsi="Century Gothic"/>
                <w:sz w:val="22"/>
                <w:szCs w:val="22"/>
                <w:lang w:val="en-GB"/>
              </w:rPr>
              <w:t xml:space="preserve">An assessment will be made </w:t>
            </w:r>
            <w:proofErr w:type="gramStart"/>
            <w:r>
              <w:rPr>
                <w:rFonts w:ascii="Century Gothic" w:hAnsi="Century Gothic"/>
                <w:sz w:val="22"/>
                <w:szCs w:val="22"/>
                <w:lang w:val="en-GB"/>
              </w:rPr>
              <w:t>on the basis of</w:t>
            </w:r>
            <w:proofErr w:type="gramEnd"/>
            <w:r>
              <w:rPr>
                <w:rFonts w:ascii="Century Gothic" w:hAnsi="Century Gothic"/>
                <w:sz w:val="22"/>
                <w:szCs w:val="22"/>
                <w:lang w:val="en-GB"/>
              </w:rPr>
              <w:t xml:space="preserve"> a new mapping and market interest inquiry to be carried out by 21 December 2023.</w:t>
            </w:r>
          </w:p>
        </w:tc>
      </w:tr>
      <w:tr w:rsidR="00D678FB" w:rsidRPr="00AC504C" w14:paraId="45D06446" w14:textId="77777777" w:rsidTr="00D678FB">
        <w:tc>
          <w:tcPr>
            <w:tcW w:w="5098" w:type="dxa"/>
          </w:tcPr>
          <w:p w14:paraId="688C6BC1" w14:textId="77777777" w:rsidR="00D678FB" w:rsidRPr="00AC504C" w:rsidRDefault="00D678FB" w:rsidP="00ED4A95">
            <w:pPr>
              <w:pStyle w:val="podpisi"/>
              <w:spacing w:line="280" w:lineRule="exact"/>
              <w:jc w:val="both"/>
              <w:rPr>
                <w:rFonts w:ascii="Century Gothic" w:hAnsi="Century Gothic"/>
                <w:b/>
                <w:bCs/>
                <w:sz w:val="22"/>
                <w:szCs w:val="22"/>
              </w:rPr>
            </w:pPr>
            <w:r>
              <w:rPr>
                <w:rFonts w:ascii="Century Gothic" w:hAnsi="Century Gothic"/>
                <w:b/>
                <w:bCs/>
                <w:sz w:val="22"/>
                <w:szCs w:val="22"/>
                <w:lang w:val="en-GB"/>
              </w:rPr>
              <w:t>Total</w:t>
            </w:r>
          </w:p>
        </w:tc>
        <w:tc>
          <w:tcPr>
            <w:tcW w:w="3964" w:type="dxa"/>
          </w:tcPr>
          <w:p w14:paraId="6E0EB8B2" w14:textId="77777777" w:rsidR="00D678FB" w:rsidRPr="00AC504C" w:rsidRDefault="002234A3" w:rsidP="00ED4A95">
            <w:pPr>
              <w:pStyle w:val="podpisi"/>
              <w:spacing w:line="280" w:lineRule="exact"/>
              <w:jc w:val="right"/>
              <w:rPr>
                <w:rFonts w:ascii="Century Gothic" w:hAnsi="Century Gothic"/>
                <w:b/>
                <w:bCs/>
                <w:sz w:val="22"/>
                <w:szCs w:val="22"/>
              </w:rPr>
            </w:pPr>
            <w:r>
              <w:rPr>
                <w:rFonts w:ascii="Century Gothic" w:hAnsi="Century Gothic"/>
                <w:b/>
                <w:bCs/>
                <w:sz w:val="22"/>
                <w:szCs w:val="22"/>
                <w:lang w:val="en-GB"/>
              </w:rPr>
              <w:t>293,906,344.00</w:t>
            </w:r>
          </w:p>
        </w:tc>
      </w:tr>
    </w:tbl>
    <w:p w14:paraId="66A3A293" w14:textId="77777777" w:rsidR="00707227" w:rsidRPr="00AC504C" w:rsidRDefault="00707227" w:rsidP="007472B2">
      <w:pPr>
        <w:pStyle w:val="podpisi"/>
        <w:spacing w:line="240" w:lineRule="auto"/>
        <w:jc w:val="both"/>
        <w:rPr>
          <w:rFonts w:ascii="Century Gothic" w:hAnsi="Century Gothic"/>
          <w:sz w:val="22"/>
          <w:szCs w:val="22"/>
        </w:rPr>
      </w:pPr>
      <w:bookmarkStart w:id="25" w:name="_Hlk97109508"/>
    </w:p>
    <w:p w14:paraId="2EA0D6BE" w14:textId="77777777" w:rsidR="008D4436" w:rsidRPr="00AC504C" w:rsidRDefault="004F306A" w:rsidP="00127F9B">
      <w:pPr>
        <w:pStyle w:val="Naslov"/>
        <w:rPr>
          <w:rFonts w:ascii="Century Gothic" w:hAnsi="Century Gothic"/>
          <w:sz w:val="22"/>
          <w:szCs w:val="22"/>
        </w:rPr>
      </w:pPr>
      <w:bookmarkStart w:id="26" w:name="_Toc140746443"/>
      <w:bookmarkEnd w:id="25"/>
      <w:r>
        <w:rPr>
          <w:rFonts w:ascii="Century Gothic" w:hAnsi="Century Gothic"/>
          <w:bCs/>
          <w:sz w:val="22"/>
          <w:szCs w:val="22"/>
          <w:lang w:val="en-GB"/>
        </w:rPr>
        <w:t>MEASURES TO ACHIEVE THE OBJECTIVES</w:t>
      </w:r>
      <w:bookmarkEnd w:id="26"/>
    </w:p>
    <w:p w14:paraId="6B5AFBBB" w14:textId="77777777" w:rsidR="00127F9B" w:rsidRPr="00AC504C" w:rsidRDefault="00127F9B" w:rsidP="00127F9B"/>
    <w:p w14:paraId="1C78246E" w14:textId="77777777" w:rsidR="00A92592" w:rsidRPr="00BB0F6D" w:rsidRDefault="00CC2FF6" w:rsidP="00BB0F6D">
      <w:pPr>
        <w:pStyle w:val="Naslov2"/>
      </w:pPr>
      <w:bookmarkStart w:id="27" w:name="_Toc140746444"/>
      <w:r>
        <w:rPr>
          <w:rStyle w:val="Naslov2Znak"/>
          <w:szCs w:val="22"/>
          <w:lang w:val="en-GB"/>
        </w:rPr>
        <w:t xml:space="preserve">6.1 </w:t>
      </w:r>
      <w:r>
        <w:rPr>
          <w:lang w:val="en-GB"/>
        </w:rPr>
        <w:t>Legislative measures</w:t>
      </w:r>
      <w:bookmarkEnd w:id="27"/>
    </w:p>
    <w:p w14:paraId="481A4E3A" w14:textId="77777777" w:rsidR="00364E74" w:rsidRPr="00AC504C" w:rsidRDefault="00364E74" w:rsidP="00ED4A95"/>
    <w:p w14:paraId="3437DEBD" w14:textId="77777777" w:rsidR="00A92592" w:rsidRPr="00D36485" w:rsidRDefault="00CC2FF6" w:rsidP="00D36485">
      <w:pPr>
        <w:pStyle w:val="Naslov3"/>
        <w:jc w:val="both"/>
        <w:rPr>
          <w:rFonts w:ascii="Century Gothic" w:hAnsi="Century Gothic"/>
          <w:color w:val="auto"/>
          <w:sz w:val="22"/>
          <w:szCs w:val="22"/>
        </w:rPr>
      </w:pPr>
      <w:bookmarkStart w:id="28" w:name="_Toc140746445"/>
      <w:r>
        <w:rPr>
          <w:rFonts w:ascii="Century Gothic" w:hAnsi="Century Gothic"/>
          <w:color w:val="auto"/>
          <w:sz w:val="22"/>
          <w:szCs w:val="22"/>
          <w:lang w:val="en-GB"/>
        </w:rPr>
        <w:t xml:space="preserve">6.1.1 Transposition of </w:t>
      </w:r>
      <w:bookmarkStart w:id="29" w:name="_Hlk99306327"/>
      <w:r>
        <w:rPr>
          <w:rFonts w:ascii="Century Gothic" w:hAnsi="Century Gothic"/>
          <w:color w:val="auto"/>
          <w:sz w:val="22"/>
          <w:szCs w:val="22"/>
          <w:lang w:val="en-GB"/>
        </w:rPr>
        <w:t>Directive (EU) 2018/1972 establishing the European Electronic Communications Code</w:t>
      </w:r>
      <w:bookmarkEnd w:id="28"/>
    </w:p>
    <w:bookmarkEnd w:id="29"/>
    <w:p w14:paraId="5E68C011" w14:textId="77777777" w:rsidR="00B763DB" w:rsidRPr="00087A8F" w:rsidRDefault="00B763DB" w:rsidP="00B763DB">
      <w:pPr>
        <w:pStyle w:val="podpisi"/>
        <w:spacing w:line="280" w:lineRule="exact"/>
        <w:jc w:val="both"/>
        <w:rPr>
          <w:rFonts w:ascii="Century Gothic" w:hAnsi="Century Gothic"/>
          <w:sz w:val="22"/>
          <w:szCs w:val="22"/>
          <w:lang w:val="en-US"/>
        </w:rPr>
      </w:pPr>
    </w:p>
    <w:p w14:paraId="739D29FC" w14:textId="77777777" w:rsidR="000C6310" w:rsidRPr="00AE3CB1" w:rsidRDefault="003D1061" w:rsidP="00B763DB">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As infrastructure development and electronic communications services are largely dependent on the efficiency of the electronic communications market, Slovenia will promote competitiveness, transparent </w:t>
      </w:r>
      <w:proofErr w:type="gramStart"/>
      <w:r>
        <w:rPr>
          <w:rFonts w:ascii="Century Gothic" w:hAnsi="Century Gothic"/>
          <w:sz w:val="22"/>
          <w:szCs w:val="22"/>
          <w:lang w:val="en-GB"/>
        </w:rPr>
        <w:t>regulation</w:t>
      </w:r>
      <w:proofErr w:type="gramEnd"/>
      <w:r>
        <w:rPr>
          <w:rFonts w:ascii="Century Gothic" w:hAnsi="Century Gothic"/>
          <w:sz w:val="22"/>
          <w:szCs w:val="22"/>
          <w:lang w:val="en-GB"/>
        </w:rPr>
        <w:t xml:space="preserve"> and a stable legislative framework. Slovenia will transpose the provisions of the European Electronic Communications Code into the new Electronic Communications Act (hereinafter: the ZEKom-2), which will create a stable and predictable regulatory and, consequently, business environment that will encourage the private investment of electronic communications operators in the development of electronic communications infrastructure and services.</w:t>
      </w:r>
    </w:p>
    <w:p w14:paraId="6F609245" w14:textId="77777777" w:rsidR="000C6310" w:rsidRPr="00AE3CB1" w:rsidRDefault="000C6310" w:rsidP="003D0650">
      <w:pPr>
        <w:pStyle w:val="podpisi"/>
        <w:spacing w:line="280" w:lineRule="exact"/>
        <w:jc w:val="both"/>
        <w:rPr>
          <w:rFonts w:ascii="Century Gothic" w:hAnsi="Century Gothic"/>
          <w:sz w:val="22"/>
          <w:szCs w:val="22"/>
          <w:lang w:val="en-US"/>
        </w:rPr>
      </w:pPr>
    </w:p>
    <w:p w14:paraId="66D8464B" w14:textId="77777777" w:rsidR="002D375E" w:rsidRPr="00AE3CB1" w:rsidRDefault="000C6310" w:rsidP="00B47FC3">
      <w:pPr>
        <w:pStyle w:val="podpisi"/>
        <w:spacing w:line="280" w:lineRule="exact"/>
        <w:ind w:left="50"/>
        <w:jc w:val="both"/>
        <w:rPr>
          <w:rFonts w:ascii="Century Gothic" w:eastAsia="Calibri" w:hAnsi="Century Gothic" w:cstheme="minorHAnsi"/>
          <w:sz w:val="22"/>
          <w:szCs w:val="22"/>
          <w:lang w:val="en-US"/>
        </w:rPr>
      </w:pPr>
      <w:r>
        <w:rPr>
          <w:rFonts w:ascii="Century Gothic" w:hAnsi="Century Gothic"/>
          <w:color w:val="000000"/>
          <w:sz w:val="22"/>
          <w:szCs w:val="22"/>
          <w:lang w:val="en-GB"/>
        </w:rPr>
        <w:t xml:space="preserve">The ZEKom-2 will further stimulate private investment and competition, including through the activities of AKOS. </w:t>
      </w:r>
      <w:r>
        <w:rPr>
          <w:rFonts w:ascii="Century Gothic" w:hAnsi="Century Gothic"/>
          <w:sz w:val="22"/>
          <w:szCs w:val="22"/>
          <w:lang w:val="en-GB"/>
        </w:rPr>
        <w:t xml:space="preserve">In the case of network construction, optimal measures can significantly facilitate investment in broadband infrastructure and hence reduce the costs of developing high-speed communications infrastructure providing gigabit connectivity. The provisions on the construction of networks and associated infrastructure in the Electronic Communications Act (Official Gazette of the Republic </w:t>
      </w:r>
      <w:r>
        <w:rPr>
          <w:rFonts w:ascii="Century Gothic" w:hAnsi="Century Gothic"/>
          <w:sz w:val="22"/>
          <w:szCs w:val="22"/>
          <w:lang w:val="en-GB"/>
        </w:rPr>
        <w:lastRenderedPageBreak/>
        <w:t>of Slovenia [</w:t>
      </w:r>
      <w:r>
        <w:rPr>
          <w:rFonts w:ascii="Century Gothic" w:hAnsi="Century Gothic"/>
          <w:i/>
          <w:iCs/>
          <w:sz w:val="22"/>
          <w:szCs w:val="22"/>
          <w:lang w:val="en-GB"/>
        </w:rPr>
        <w:t>Uradni list RS</w:t>
      </w:r>
      <w:r>
        <w:rPr>
          <w:rFonts w:ascii="Century Gothic" w:hAnsi="Century Gothic"/>
          <w:sz w:val="22"/>
          <w:szCs w:val="22"/>
          <w:lang w:val="en-GB"/>
        </w:rPr>
        <w:t>], Nos 109/12, 110/13, 40/14 – ZIN-B, 54/14 – Dec. of the CC, 81/15, 40/17, 30/19 – Dec. of the CC, 189/21 – ZDU-1M; hereinafter: the ZEKom-1) will be largely maintained in the ZEKom-2. The following will be the main innovations in the construction of broadband networks: the service or ministry responsible for electronic communications will be the national spatial planning authority for the planning of public communications networks and associated infrastructure, which will reduce the construction costs and environmental impact; the buffer zone for electronic communications systems will be defined; the procedure for inquiries into market interest in construction will be amended so that it will be carried out as an inquiry into the intended construction or upgrade of high capacity networks, with an additional market interest inquiry to be carried out at the request of the public sector authority allocating public funds, and the competence for market interest inquiries will be transferred from the service or ministry to the regulatory authority; in the case of joint constructions, the establishment of an easement on immovable property owned by the state or a self-governing local authority will be subject to inclusion in the easement agreement of a provision allowing for joint construction by another network operator, but only on the same route and subject to the payment of appropriate compensation for the easement.</w:t>
      </w:r>
    </w:p>
    <w:p w14:paraId="120D9460" w14:textId="77777777" w:rsidR="002D375E" w:rsidRPr="00AE3CB1" w:rsidRDefault="002D375E" w:rsidP="00B47FC3">
      <w:pPr>
        <w:pStyle w:val="podpisi"/>
        <w:spacing w:line="280" w:lineRule="exact"/>
        <w:ind w:left="50"/>
        <w:jc w:val="both"/>
        <w:rPr>
          <w:rFonts w:ascii="Century Gothic" w:eastAsia="Calibri" w:hAnsi="Century Gothic" w:cstheme="minorHAnsi"/>
          <w:sz w:val="22"/>
          <w:szCs w:val="22"/>
          <w:lang w:val="en-US"/>
        </w:rPr>
      </w:pPr>
    </w:p>
    <w:p w14:paraId="2E01D448" w14:textId="77777777" w:rsidR="000C6310" w:rsidRPr="00AE3CB1" w:rsidRDefault="008F7984" w:rsidP="00B47FC3">
      <w:pPr>
        <w:pStyle w:val="podpisi"/>
        <w:spacing w:line="280" w:lineRule="exact"/>
        <w:ind w:left="50"/>
        <w:jc w:val="both"/>
        <w:rPr>
          <w:lang w:val="en-US"/>
        </w:rPr>
      </w:pPr>
      <w:r>
        <w:rPr>
          <w:rFonts w:ascii="Century Gothic" w:hAnsi="Century Gothic"/>
          <w:sz w:val="22"/>
          <w:szCs w:val="22"/>
          <w:lang w:val="en-GB"/>
        </w:rPr>
        <w:t>The ZEKom-2 will also provide a national legal basis for state co-financing to promote connectivity in line with the development of new technologies.</w:t>
      </w:r>
    </w:p>
    <w:p w14:paraId="1739AAD8" w14:textId="77777777" w:rsidR="00723D96" w:rsidRPr="00AE3CB1" w:rsidRDefault="00723D96" w:rsidP="00B47FC3">
      <w:pPr>
        <w:pStyle w:val="podpisi"/>
        <w:spacing w:line="280" w:lineRule="exact"/>
        <w:ind w:left="50"/>
        <w:jc w:val="both"/>
        <w:rPr>
          <w:rFonts w:ascii="Century Gothic" w:hAnsi="Century Gothic"/>
          <w:sz w:val="22"/>
          <w:szCs w:val="22"/>
          <w:lang w:val="en-US"/>
        </w:rPr>
      </w:pPr>
    </w:p>
    <w:p w14:paraId="1A5BEE66" w14:textId="77777777" w:rsidR="006649DC" w:rsidRPr="008B35E1" w:rsidRDefault="002A75CA" w:rsidP="008B35E1">
      <w:pPr>
        <w:pStyle w:val="Naslov3"/>
        <w:jc w:val="both"/>
        <w:rPr>
          <w:rFonts w:ascii="Century Gothic" w:hAnsi="Century Gothic"/>
          <w:color w:val="auto"/>
          <w:sz w:val="22"/>
          <w:szCs w:val="22"/>
        </w:rPr>
      </w:pPr>
      <w:bookmarkStart w:id="30" w:name="_Toc140746446"/>
      <w:r>
        <w:rPr>
          <w:rFonts w:ascii="Century Gothic" w:hAnsi="Century Gothic"/>
          <w:color w:val="auto"/>
          <w:sz w:val="22"/>
          <w:szCs w:val="22"/>
          <w:lang w:val="en-GB"/>
        </w:rPr>
        <w:t xml:space="preserve">6.1.2 The transposition of Directive 2014/61/EU on measures to reduce the cost of deploying high-speed electronic communications </w:t>
      </w:r>
      <w:proofErr w:type="gramStart"/>
      <w:r>
        <w:rPr>
          <w:rFonts w:ascii="Century Gothic" w:hAnsi="Century Gothic"/>
          <w:color w:val="auto"/>
          <w:sz w:val="22"/>
          <w:szCs w:val="22"/>
          <w:lang w:val="en-GB"/>
        </w:rPr>
        <w:t>networks</w:t>
      </w:r>
      <w:bookmarkEnd w:id="30"/>
      <w:proofErr w:type="gramEnd"/>
    </w:p>
    <w:p w14:paraId="53D56EEF" w14:textId="77777777" w:rsidR="00B763DB" w:rsidRPr="00AC504C" w:rsidRDefault="00B763DB" w:rsidP="00C73409">
      <w:pPr>
        <w:spacing w:line="280" w:lineRule="exact"/>
        <w:ind w:right="197"/>
        <w:jc w:val="both"/>
        <w:rPr>
          <w:rFonts w:ascii="Century Gothic" w:hAnsi="Century Gothic"/>
          <w:sz w:val="22"/>
          <w:szCs w:val="22"/>
        </w:rPr>
      </w:pPr>
    </w:p>
    <w:p w14:paraId="3E0DA349" w14:textId="54B516AD" w:rsidR="006649DC" w:rsidRPr="00AC504C" w:rsidRDefault="006649DC" w:rsidP="00B763DB">
      <w:pPr>
        <w:spacing w:line="280" w:lineRule="exact"/>
        <w:ind w:right="197"/>
        <w:jc w:val="both"/>
        <w:rPr>
          <w:rFonts w:ascii="Century Gothic" w:hAnsi="Century Gothic"/>
          <w:sz w:val="22"/>
          <w:szCs w:val="22"/>
        </w:rPr>
      </w:pPr>
      <w:r>
        <w:rPr>
          <w:rFonts w:ascii="Century Gothic" w:hAnsi="Century Gothic"/>
          <w:sz w:val="22"/>
          <w:szCs w:val="22"/>
          <w:lang w:val="en-GB"/>
        </w:rPr>
        <w:t xml:space="preserve">Directive 2014/61/EU is transposed by the ZEKom-1 and aims to encourage the deployment of high-speed electronic communications networks. It includes measures such as the sharing and reuse of existing physical infrastructure (all types of infrastructure), which creates the conditions for the more cost-effective deployment of electronic communications networks. Cooperation between sectors is particularly important in this context. It is essential for the widespread uptake of high-speed internet, whose digital infrastructure supports virtually all sectors of the modern and innovative economy, to reduce costs and improve the efficiency of the deployment of high-speed electronic communications. The Directive builds on the existing best practices in some Member States and is based on four pillars: 1) access to and the transparency of existing physical infrastructure, 2) the coordination and transparency of planned construction works, 3) the streamlining of the permit granting procedure, and 4) in-building physical infrastructure. The Directive also requires Member States to designate one or more competent authorities to perform the tasks of the national dispute settlement body and to designate one or more competent authorities at the national, </w:t>
      </w:r>
      <w:proofErr w:type="gramStart"/>
      <w:r>
        <w:rPr>
          <w:rFonts w:ascii="Century Gothic" w:hAnsi="Century Gothic"/>
          <w:sz w:val="22"/>
          <w:szCs w:val="22"/>
          <w:lang w:val="en-GB"/>
        </w:rPr>
        <w:t>regional</w:t>
      </w:r>
      <w:proofErr w:type="gramEnd"/>
      <w:r>
        <w:rPr>
          <w:rFonts w:ascii="Century Gothic" w:hAnsi="Century Gothic"/>
          <w:sz w:val="22"/>
          <w:szCs w:val="22"/>
          <w:lang w:val="en-GB"/>
        </w:rPr>
        <w:t xml:space="preserve"> or local levels to perform the tasks of a single information point.</w:t>
      </w:r>
    </w:p>
    <w:p w14:paraId="2C3E06E8" w14:textId="77777777" w:rsidR="00AA51BF" w:rsidRPr="00AC504C" w:rsidRDefault="00AA51BF" w:rsidP="00B763DB">
      <w:pPr>
        <w:spacing w:line="280" w:lineRule="exact"/>
        <w:ind w:right="197"/>
        <w:jc w:val="both"/>
        <w:rPr>
          <w:rFonts w:ascii="Century Gothic" w:hAnsi="Century Gothic"/>
          <w:sz w:val="22"/>
          <w:szCs w:val="22"/>
        </w:rPr>
      </w:pPr>
    </w:p>
    <w:p w14:paraId="629BAE86" w14:textId="77777777" w:rsidR="00761C98" w:rsidRPr="00AC504C" w:rsidRDefault="005D3E4B" w:rsidP="00B763DB">
      <w:pPr>
        <w:spacing w:line="280" w:lineRule="exact"/>
        <w:ind w:right="197"/>
        <w:jc w:val="both"/>
        <w:rPr>
          <w:rFonts w:ascii="Century Gothic" w:hAnsi="Century Gothic"/>
          <w:sz w:val="22"/>
          <w:szCs w:val="22"/>
        </w:rPr>
      </w:pPr>
      <w:r>
        <w:rPr>
          <w:rFonts w:ascii="Century Gothic" w:hAnsi="Century Gothic"/>
          <w:sz w:val="22"/>
          <w:szCs w:val="22"/>
          <w:lang w:val="en-GB"/>
        </w:rPr>
        <w:t>In order to remove barriers to the provision of communications networks and associated facilities and to encourage their development and deployment, AKOS issued a Recommendation on the sharing of physical infrastructure.</w:t>
      </w:r>
      <w:r>
        <w:rPr>
          <w:rStyle w:val="Sprotnaopomba-sklic"/>
          <w:rFonts w:ascii="Century Gothic" w:hAnsi="Century Gothic"/>
          <w:sz w:val="22"/>
          <w:szCs w:val="22"/>
          <w:lang w:val="en-GB"/>
        </w:rPr>
        <w:footnoteReference w:id="21"/>
      </w:r>
      <w:r>
        <w:rPr>
          <w:rFonts w:ascii="Century Gothic" w:hAnsi="Century Gothic"/>
          <w:sz w:val="22"/>
          <w:szCs w:val="22"/>
          <w:lang w:val="en-GB"/>
        </w:rPr>
        <w:t xml:space="preserve">The sharing of </w:t>
      </w:r>
      <w:r>
        <w:rPr>
          <w:rFonts w:ascii="Century Gothic" w:hAnsi="Century Gothic"/>
          <w:sz w:val="22"/>
          <w:szCs w:val="22"/>
          <w:lang w:val="en-GB"/>
        </w:rPr>
        <w:lastRenderedPageBreak/>
        <w:t>public service infrastructure makes it easier for the owner thereof to make greater use of it, while at the same time making it easier for investors in electronic communications networks to deploy such networks, particularly financially, but also in terms of time and organisation. Furthermore, network operators are encouraged to use free capacities in existing public service infrastructure as much as possible, making the deployment of elements of electronic communications networks easier, more efficient and, above all, cheaper. The sharing of existing infrastructure also contributes to sustainability for all citizens, as it reduces the scope of activities affecting the environment.</w:t>
      </w:r>
    </w:p>
    <w:p w14:paraId="09832605" w14:textId="77777777" w:rsidR="00A408A1" w:rsidRPr="00AC504C" w:rsidRDefault="00A408A1" w:rsidP="008B35E1">
      <w:pPr>
        <w:pStyle w:val="Odstavekseznama"/>
        <w:spacing w:after="0" w:line="280" w:lineRule="exact"/>
        <w:ind w:left="5" w:right="197" w:hanging="5"/>
        <w:jc w:val="both"/>
        <w:rPr>
          <w:rFonts w:ascii="Century Gothic" w:hAnsi="Century Gothic"/>
        </w:rPr>
      </w:pPr>
    </w:p>
    <w:p w14:paraId="07565168" w14:textId="77777777" w:rsidR="00A92592" w:rsidRPr="008B35E1" w:rsidRDefault="009E6785" w:rsidP="008B35E1">
      <w:pPr>
        <w:pStyle w:val="Naslov3"/>
        <w:jc w:val="both"/>
        <w:rPr>
          <w:rFonts w:ascii="Century Gothic" w:hAnsi="Century Gothic"/>
          <w:color w:val="auto"/>
          <w:sz w:val="22"/>
          <w:szCs w:val="22"/>
        </w:rPr>
      </w:pPr>
      <w:bookmarkStart w:id="31" w:name="_Toc140746447"/>
      <w:r>
        <w:rPr>
          <w:rFonts w:ascii="Century Gothic" w:hAnsi="Century Gothic"/>
          <w:color w:val="auto"/>
          <w:sz w:val="22"/>
          <w:szCs w:val="22"/>
          <w:lang w:val="en-GB"/>
        </w:rPr>
        <w:t xml:space="preserve">6.1.3 The allocation of radio spectrum in Slovenia and measures to ensure adequate radio spectrum </w:t>
      </w:r>
      <w:proofErr w:type="gramStart"/>
      <w:r>
        <w:rPr>
          <w:rFonts w:ascii="Century Gothic" w:hAnsi="Century Gothic"/>
          <w:color w:val="auto"/>
          <w:sz w:val="22"/>
          <w:szCs w:val="22"/>
          <w:lang w:val="en-GB"/>
        </w:rPr>
        <w:t>coverage</w:t>
      </w:r>
      <w:bookmarkEnd w:id="31"/>
      <w:proofErr w:type="gramEnd"/>
    </w:p>
    <w:p w14:paraId="157DB01E" w14:textId="77777777" w:rsidR="00C73409" w:rsidRPr="00AC504C" w:rsidRDefault="00C73409" w:rsidP="008B35E1">
      <w:pPr>
        <w:ind w:left="5"/>
      </w:pPr>
    </w:p>
    <w:p w14:paraId="11DA1E42" w14:textId="77777777" w:rsidR="003D1061" w:rsidRPr="00AE3CB1" w:rsidRDefault="003D1061" w:rsidP="003838F7">
      <w:pPr>
        <w:pStyle w:val="podpisi"/>
        <w:spacing w:line="280" w:lineRule="exact"/>
        <w:ind w:left="50"/>
        <w:jc w:val="both"/>
        <w:rPr>
          <w:rFonts w:ascii="Century Gothic" w:hAnsi="Century Gothic"/>
          <w:sz w:val="22"/>
          <w:szCs w:val="22"/>
          <w:lang w:val="en-US"/>
        </w:rPr>
      </w:pPr>
      <w:r>
        <w:rPr>
          <w:rFonts w:ascii="Century Gothic" w:hAnsi="Century Gothic"/>
          <w:sz w:val="22"/>
          <w:szCs w:val="22"/>
          <w:lang w:val="en-GB"/>
        </w:rPr>
        <w:t>Mobile communications networks play an important role in ensuring ubiquitous access to the internet. As users increasingly demand connectivity at higher speeds, the need to provide additional radio spectrum is also increasing. Slovenia will follow the release of radio spectrum at the international level and allocate it to mobile communications network operators according to the needs. The guiding principle for radio spectrum management is to offer all available radio frequencies to interested stakeholders in a competitive procedure in accordance with the legislation and without undue delay.</w:t>
      </w:r>
    </w:p>
    <w:p w14:paraId="77C775A8" w14:textId="77777777" w:rsidR="00FB101E" w:rsidRPr="00AE3CB1" w:rsidRDefault="00FB101E" w:rsidP="004B12E4">
      <w:pPr>
        <w:pStyle w:val="podpisi"/>
        <w:spacing w:line="280" w:lineRule="exact"/>
        <w:jc w:val="both"/>
        <w:rPr>
          <w:rFonts w:ascii="Century Gothic" w:hAnsi="Century Gothic"/>
          <w:sz w:val="22"/>
          <w:szCs w:val="22"/>
          <w:lang w:val="en-US"/>
        </w:rPr>
      </w:pPr>
    </w:p>
    <w:p w14:paraId="39F9AA43" w14:textId="77777777" w:rsidR="003D1061" w:rsidRPr="00AE3CB1" w:rsidRDefault="00A20168" w:rsidP="003838F7">
      <w:pPr>
        <w:pStyle w:val="podpisi"/>
        <w:spacing w:line="280" w:lineRule="exact"/>
        <w:ind w:left="50"/>
        <w:jc w:val="both"/>
        <w:rPr>
          <w:rFonts w:ascii="Century Gothic" w:hAnsi="Century Gothic"/>
          <w:sz w:val="22"/>
          <w:szCs w:val="22"/>
          <w:lang w:val="en-US"/>
        </w:rPr>
      </w:pPr>
      <w:r>
        <w:rPr>
          <w:rFonts w:ascii="Century Gothic" w:hAnsi="Century Gothic"/>
          <w:sz w:val="22"/>
          <w:szCs w:val="22"/>
          <w:lang w:val="en-GB"/>
        </w:rPr>
        <w:t xml:space="preserve">AKOS, which has the public authority to manage the radio spectrum in Slovenia, will assign radio spectrum for the provision of publicly available communications services to end-users, including frequency bands harmonised at the EU level for the deployment of 5G networks. Detailed measures or activities to </w:t>
      </w:r>
      <w:bookmarkStart w:id="32" w:name="_Hlk99102754"/>
      <w:r>
        <w:rPr>
          <w:rFonts w:ascii="Century Gothic" w:hAnsi="Century Gothic"/>
          <w:sz w:val="22"/>
          <w:szCs w:val="22"/>
          <w:lang w:val="en-GB"/>
        </w:rPr>
        <w:t>ensure adequate radio spectrum coverage in Slovenia</w:t>
      </w:r>
      <w:bookmarkEnd w:id="32"/>
      <w:r>
        <w:rPr>
          <w:rFonts w:ascii="Century Gothic" w:hAnsi="Century Gothic"/>
          <w:sz w:val="22"/>
          <w:szCs w:val="22"/>
          <w:lang w:val="en-GB"/>
        </w:rPr>
        <w:t xml:space="preserve"> are defined in the Strategy for the Management of Radio Spectrum, which was adopted by the Government of the Republic of Slovenia on 25 November 2021.</w:t>
      </w:r>
    </w:p>
    <w:p w14:paraId="3A05AC79" w14:textId="77777777" w:rsidR="00C922F3" w:rsidRPr="00AE3CB1" w:rsidRDefault="00C922F3" w:rsidP="00AA1F7B">
      <w:pPr>
        <w:pStyle w:val="podpisi"/>
        <w:spacing w:line="280" w:lineRule="exact"/>
        <w:jc w:val="both"/>
        <w:rPr>
          <w:rFonts w:ascii="Century Gothic" w:hAnsi="Century Gothic"/>
          <w:sz w:val="22"/>
          <w:szCs w:val="22"/>
          <w:lang w:val="en-US"/>
        </w:rPr>
      </w:pPr>
    </w:p>
    <w:p w14:paraId="06B67986" w14:textId="77777777" w:rsidR="004875DB" w:rsidRPr="00AE3CB1" w:rsidRDefault="00EE5288" w:rsidP="003838F7">
      <w:pPr>
        <w:pStyle w:val="podpisi"/>
        <w:spacing w:line="280" w:lineRule="exact"/>
        <w:ind w:left="50"/>
        <w:jc w:val="both"/>
        <w:rPr>
          <w:rFonts w:ascii="Century Gothic" w:hAnsi="Century Gothic"/>
          <w:sz w:val="22"/>
          <w:szCs w:val="22"/>
          <w:lang w:val="en-US"/>
        </w:rPr>
      </w:pPr>
      <w:r>
        <w:rPr>
          <w:rFonts w:ascii="Century Gothic" w:hAnsi="Century Gothic"/>
          <w:sz w:val="22"/>
          <w:szCs w:val="22"/>
          <w:lang w:val="en-GB"/>
        </w:rPr>
        <w:t>Based on its assessment at the time of drafting the call for tenders drawing on an analysis of the state of play, AKOS will impose the following general and additional coverage obligations in calls for tenders for the assignment of radio frequencies for the provision of publicly available communications services to end-users:</w:t>
      </w:r>
    </w:p>
    <w:p w14:paraId="2160BBCF" w14:textId="77777777" w:rsidR="004875DB" w:rsidRPr="00AE3CB1" w:rsidRDefault="00EE5288" w:rsidP="00B763DB">
      <w:pPr>
        <w:pStyle w:val="podpisi"/>
        <w:numPr>
          <w:ilvl w:val="0"/>
          <w:numId w:val="2"/>
        </w:numPr>
        <w:spacing w:line="280" w:lineRule="exact"/>
        <w:jc w:val="both"/>
        <w:rPr>
          <w:rFonts w:ascii="Century Gothic" w:hAnsi="Century Gothic"/>
          <w:sz w:val="22"/>
          <w:szCs w:val="22"/>
          <w:lang w:val="en-US"/>
        </w:rPr>
      </w:pPr>
      <w:r>
        <w:rPr>
          <w:rFonts w:ascii="Century Gothic" w:hAnsi="Century Gothic"/>
          <w:sz w:val="22"/>
          <w:szCs w:val="22"/>
          <w:lang w:val="en-GB"/>
        </w:rPr>
        <w:t>general coverage obligations – providers acquiring radio spectrum in any radio frequency band will be required to commercially provide publicly available broadband services in mobile terrestrial systems in each of the acquired radio frequency bands by starting to use those frequencies and offering services to end-users on those frequencies in a specified geographic area within a specified timeframe from the time of the availability of each radio frequency band,</w:t>
      </w:r>
    </w:p>
    <w:p w14:paraId="1711BB89" w14:textId="77777777" w:rsidR="001235F1" w:rsidRPr="00AE3CB1" w:rsidRDefault="00EE5288" w:rsidP="00134F48">
      <w:pPr>
        <w:pStyle w:val="podpisi"/>
        <w:numPr>
          <w:ilvl w:val="0"/>
          <w:numId w:val="2"/>
        </w:numPr>
        <w:spacing w:line="280" w:lineRule="exact"/>
        <w:jc w:val="both"/>
        <w:rPr>
          <w:rFonts w:ascii="Century Gothic" w:hAnsi="Century Gothic"/>
          <w:sz w:val="22"/>
          <w:szCs w:val="22"/>
          <w:lang w:val="en-US"/>
        </w:rPr>
      </w:pPr>
      <w:r>
        <w:rPr>
          <w:rFonts w:ascii="Century Gothic" w:hAnsi="Century Gothic"/>
          <w:sz w:val="22"/>
          <w:szCs w:val="22"/>
          <w:lang w:val="en-GB"/>
        </w:rPr>
        <w:t>additional coverage obligations for a specific part of the radio spectrum – providers will be required to commercially provide publicly available broadband services over mobile terrestrial networks, using all the radio spectrum at their disposal at the end of the call for tenders, in such a way so as to ensure coverage in accordance with the provisions of the call for tenders, e.g. by providing certain coverage of the main transport paths and the population of Slovenia.</w:t>
      </w:r>
    </w:p>
    <w:p w14:paraId="1E542740" w14:textId="77777777" w:rsidR="00EA4A61" w:rsidRDefault="00EA4A61" w:rsidP="00ED4A95">
      <w:pPr>
        <w:pStyle w:val="Default"/>
        <w:spacing w:line="280" w:lineRule="exact"/>
        <w:jc w:val="both"/>
        <w:rPr>
          <w:rFonts w:ascii="Century Gothic" w:hAnsi="Century Gothic" w:cstheme="minorHAnsi"/>
          <w:color w:val="auto"/>
          <w:sz w:val="22"/>
          <w:szCs w:val="22"/>
        </w:rPr>
      </w:pPr>
    </w:p>
    <w:p w14:paraId="1D7289BC" w14:textId="77777777" w:rsidR="00A4315B" w:rsidRPr="00AC504C" w:rsidRDefault="00A4315B" w:rsidP="00ED4A95">
      <w:pPr>
        <w:pStyle w:val="Default"/>
        <w:spacing w:line="280" w:lineRule="exact"/>
        <w:jc w:val="both"/>
        <w:rPr>
          <w:rFonts w:ascii="Century Gothic" w:hAnsi="Century Gothic" w:cstheme="minorHAnsi"/>
          <w:color w:val="auto"/>
          <w:sz w:val="22"/>
          <w:szCs w:val="22"/>
        </w:rPr>
      </w:pPr>
    </w:p>
    <w:p w14:paraId="4E1AAFB6" w14:textId="05539C62" w:rsidR="00B763DB" w:rsidRPr="00B1221E" w:rsidRDefault="009E6785" w:rsidP="00B1221E">
      <w:pPr>
        <w:pStyle w:val="Naslov3"/>
        <w:jc w:val="both"/>
        <w:rPr>
          <w:rFonts w:ascii="Century Gothic" w:hAnsi="Century Gothic"/>
          <w:color w:val="auto"/>
          <w:sz w:val="22"/>
          <w:szCs w:val="22"/>
        </w:rPr>
      </w:pPr>
      <w:bookmarkStart w:id="33" w:name="_Toc140746448"/>
      <w:r>
        <w:rPr>
          <w:rFonts w:ascii="Century Gothic" w:hAnsi="Century Gothic"/>
          <w:color w:val="auto"/>
          <w:sz w:val="22"/>
          <w:szCs w:val="22"/>
          <w:lang w:val="en-GB"/>
        </w:rPr>
        <w:lastRenderedPageBreak/>
        <w:t>6.1.4 Additional measures in connection with 5G network</w:t>
      </w:r>
      <w:r w:rsidR="00F71C2B">
        <w:rPr>
          <w:rFonts w:ascii="Century Gothic" w:hAnsi="Century Gothic"/>
          <w:color w:val="auto"/>
          <w:sz w:val="22"/>
          <w:szCs w:val="22"/>
          <w:lang w:val="en-GB"/>
        </w:rPr>
        <w:t>s</w:t>
      </w:r>
      <w:bookmarkEnd w:id="33"/>
    </w:p>
    <w:p w14:paraId="70D3BEB8" w14:textId="77777777" w:rsidR="00B763DB" w:rsidRPr="00AC504C" w:rsidRDefault="00B763DB" w:rsidP="00560E06">
      <w:pPr>
        <w:pStyle w:val="Default"/>
        <w:spacing w:line="280" w:lineRule="exact"/>
        <w:jc w:val="both"/>
        <w:rPr>
          <w:rFonts w:ascii="Century Gothic" w:hAnsi="Century Gothic" w:cstheme="minorHAnsi"/>
          <w:color w:val="auto"/>
          <w:sz w:val="22"/>
          <w:szCs w:val="22"/>
        </w:rPr>
      </w:pPr>
    </w:p>
    <w:p w14:paraId="06487E60" w14:textId="77777777" w:rsidR="0069312E" w:rsidRPr="00AC504C" w:rsidRDefault="0069312E" w:rsidP="0069312E">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t>Slovenia will ensure that sufficient radio spectrum is made available in time for the deployment of the latest technologies for a wide range of uses, thus ensuring a predictable and stable environment for market participants.</w:t>
      </w:r>
    </w:p>
    <w:p w14:paraId="2624E126" w14:textId="77777777" w:rsidR="0069312E" w:rsidRPr="00AC504C" w:rsidRDefault="0069312E" w:rsidP="00560E06">
      <w:pPr>
        <w:pStyle w:val="Default"/>
        <w:spacing w:line="280" w:lineRule="exact"/>
        <w:jc w:val="both"/>
        <w:rPr>
          <w:rFonts w:ascii="Century Gothic" w:hAnsi="Century Gothic" w:cstheme="minorHAnsi"/>
          <w:color w:val="auto"/>
          <w:sz w:val="22"/>
          <w:szCs w:val="22"/>
        </w:rPr>
      </w:pPr>
    </w:p>
    <w:p w14:paraId="6FDE3216" w14:textId="77777777" w:rsidR="0069312E" w:rsidRPr="00AC504C" w:rsidRDefault="0033150C" w:rsidP="00560E06">
      <w:pPr>
        <w:pStyle w:val="Default"/>
        <w:spacing w:line="280" w:lineRule="exact"/>
        <w:jc w:val="both"/>
        <w:rPr>
          <w:rFonts w:ascii="Century Gothic" w:hAnsi="Century Gothic" w:cstheme="minorHAnsi"/>
          <w:color w:val="auto"/>
          <w:sz w:val="22"/>
          <w:szCs w:val="22"/>
        </w:rPr>
      </w:pPr>
      <w:proofErr w:type="gramStart"/>
      <w:r>
        <w:rPr>
          <w:rFonts w:ascii="Century Gothic" w:hAnsi="Century Gothic" w:cstheme="minorHAnsi"/>
          <w:color w:val="auto"/>
          <w:sz w:val="22"/>
          <w:szCs w:val="22"/>
          <w:lang w:val="en-GB"/>
        </w:rPr>
        <w:t>With regard to</w:t>
      </w:r>
      <w:proofErr w:type="gramEnd"/>
      <w:r>
        <w:rPr>
          <w:rFonts w:ascii="Century Gothic" w:hAnsi="Century Gothic" w:cstheme="minorHAnsi"/>
          <w:color w:val="auto"/>
          <w:sz w:val="22"/>
          <w:szCs w:val="22"/>
          <w:lang w:val="en-GB"/>
        </w:rPr>
        <w:t xml:space="preserve"> 5G, it should be highlighted that the assignment of new radio spectrum bands within the framework of the EU policy and the relevant analyses of AKOS as the radio spectrum manager is necessary to ensure commercial use. This will not preclude the operation of already deployed systems, </w:t>
      </w:r>
      <w:proofErr w:type="gramStart"/>
      <w:r>
        <w:rPr>
          <w:rFonts w:ascii="Century Gothic" w:hAnsi="Century Gothic" w:cstheme="minorHAnsi"/>
          <w:color w:val="auto"/>
          <w:sz w:val="22"/>
          <w:szCs w:val="22"/>
          <w:lang w:val="en-GB"/>
        </w:rPr>
        <w:t>e.g.</w:t>
      </w:r>
      <w:proofErr w:type="gramEnd"/>
      <w:r>
        <w:rPr>
          <w:rFonts w:ascii="Century Gothic" w:hAnsi="Century Gothic" w:cstheme="minorHAnsi"/>
          <w:color w:val="auto"/>
          <w:sz w:val="22"/>
          <w:szCs w:val="22"/>
          <w:lang w:val="en-GB"/>
        </w:rPr>
        <w:t xml:space="preserve"> safety applications of transport systems (ITS) using the unlicensed 5875-5935 MHz frequency band and electronic toll systems using the 5795-5815 MHz frequency band.</w:t>
      </w:r>
    </w:p>
    <w:p w14:paraId="3A347A8B" w14:textId="77777777" w:rsidR="0069312E" w:rsidRPr="00AC504C" w:rsidRDefault="0069312E" w:rsidP="00560E06">
      <w:pPr>
        <w:pStyle w:val="Default"/>
        <w:spacing w:line="280" w:lineRule="exact"/>
        <w:jc w:val="both"/>
        <w:rPr>
          <w:rFonts w:ascii="Century Gothic" w:hAnsi="Century Gothic" w:cstheme="minorHAnsi"/>
          <w:color w:val="auto"/>
          <w:sz w:val="22"/>
          <w:szCs w:val="22"/>
        </w:rPr>
      </w:pPr>
    </w:p>
    <w:p w14:paraId="0A4DE66A" w14:textId="77777777" w:rsidR="00560E06" w:rsidRPr="00AC504C" w:rsidRDefault="00560E06" w:rsidP="00560E06">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t>The main EU legal basis for the reorganisation of radio spectrum deployment and the assignment of new additional frequency bands is Decision 2017/899 of the European Parliament and of the Council on the use of the 470-790 MHz frequency band in the Union and Directive (EU) 2018/1972 of the European Parliament and of the Council establishing the European Electronic Communications Code.</w:t>
      </w:r>
    </w:p>
    <w:p w14:paraId="698D21A9" w14:textId="77777777" w:rsidR="004D15E9" w:rsidRPr="00AC504C" w:rsidRDefault="004D15E9" w:rsidP="004D15E9">
      <w:pPr>
        <w:pStyle w:val="Default"/>
        <w:spacing w:line="280" w:lineRule="exact"/>
        <w:jc w:val="both"/>
        <w:rPr>
          <w:rFonts w:ascii="Century Gothic" w:hAnsi="Century Gothic" w:cstheme="minorHAnsi"/>
          <w:color w:val="auto"/>
          <w:sz w:val="22"/>
          <w:szCs w:val="22"/>
        </w:rPr>
      </w:pPr>
    </w:p>
    <w:p w14:paraId="6651303A" w14:textId="77777777" w:rsidR="00B763DB" w:rsidRPr="00AC504C" w:rsidRDefault="00560E06" w:rsidP="004D15E9">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t xml:space="preserve">Decision 2017/899 of the European Parliament and of the Council on the use of the 470-790 MHz frequency band requires Member States, </w:t>
      </w:r>
      <w:proofErr w:type="gramStart"/>
      <w:r>
        <w:rPr>
          <w:rFonts w:ascii="Century Gothic" w:hAnsi="Century Gothic" w:cstheme="minorHAnsi"/>
          <w:color w:val="auto"/>
          <w:sz w:val="22"/>
          <w:szCs w:val="22"/>
          <w:lang w:val="en-GB"/>
        </w:rPr>
        <w:t>with the exception of</w:t>
      </w:r>
      <w:proofErr w:type="gramEnd"/>
      <w:r>
        <w:rPr>
          <w:rFonts w:ascii="Century Gothic" w:hAnsi="Century Gothic" w:cstheme="minorHAnsi"/>
          <w:color w:val="auto"/>
          <w:sz w:val="22"/>
          <w:szCs w:val="22"/>
          <w:lang w:val="en-GB"/>
        </w:rPr>
        <w:t xml:space="preserve"> Cyprus, to allow the use of the 700 MHz band (694-790 MHz) for terrestrial systems for wireless broadband electronic communications services by 30 June 2020 or, in case of duly justified reasons, by 30 June 2022. These are the first additional frequencies dedicated to the deployment of new generation 5G mobile technology. They used to be reserved for broadcasting.</w:t>
      </w:r>
    </w:p>
    <w:p w14:paraId="53B4071F" w14:textId="77777777" w:rsidR="004D15E9" w:rsidRPr="00AC504C" w:rsidRDefault="004D15E9" w:rsidP="004D15E9">
      <w:pPr>
        <w:pStyle w:val="Default"/>
        <w:spacing w:line="280" w:lineRule="exact"/>
        <w:jc w:val="both"/>
        <w:rPr>
          <w:rFonts w:ascii="Century Gothic" w:hAnsi="Century Gothic" w:cstheme="minorHAnsi"/>
          <w:color w:val="auto"/>
          <w:sz w:val="22"/>
          <w:szCs w:val="22"/>
        </w:rPr>
      </w:pPr>
    </w:p>
    <w:p w14:paraId="3C82193D" w14:textId="77777777" w:rsidR="004D1D76" w:rsidRPr="00AC504C" w:rsidRDefault="00560E06" w:rsidP="004D1D76">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t xml:space="preserve">Directive (EU) 2018/1972 of the European Parliament and of the Council establishing the European Electronic Communications Code specifies in recital 135 and Article 54, as determined by the Radio Spectrum Policy Group, priority bands for meeting the objectives of the 5G Action Plan, </w:t>
      </w:r>
      <w:proofErr w:type="gramStart"/>
      <w:r>
        <w:rPr>
          <w:rFonts w:ascii="Century Gothic" w:hAnsi="Century Gothic" w:cstheme="minorHAnsi"/>
          <w:color w:val="auto"/>
          <w:sz w:val="22"/>
          <w:szCs w:val="22"/>
          <w:lang w:val="en-GB"/>
        </w:rPr>
        <w:t>i.e.</w:t>
      </w:r>
      <w:proofErr w:type="gramEnd"/>
      <w:r>
        <w:rPr>
          <w:rFonts w:ascii="Century Gothic" w:hAnsi="Century Gothic" w:cstheme="minorHAnsi"/>
          <w:color w:val="auto"/>
          <w:sz w:val="22"/>
          <w:szCs w:val="22"/>
          <w:lang w:val="en-GB"/>
        </w:rPr>
        <w:t xml:space="preserve"> 3.4-3.8 GHz and 24.25-27.5 GHz bands, which should be made available for terrestrial systems capable of providing wireless broadband services. This is an amendment to Decision 2017/899 of the European Parliament and of the Council on the use of the 470-790 MHz frequency band. These bands are complementary. In terms of the propagation of radio signals for greater territorial coverage and in terms of available bandwidth for higher data transfer rates.</w:t>
      </w:r>
    </w:p>
    <w:p w14:paraId="660EFEFE" w14:textId="77777777" w:rsidR="00E2372A" w:rsidRPr="00AC504C" w:rsidRDefault="00E2372A" w:rsidP="004D1D76">
      <w:pPr>
        <w:pStyle w:val="Default"/>
        <w:spacing w:line="280" w:lineRule="exact"/>
        <w:jc w:val="both"/>
        <w:rPr>
          <w:rFonts w:ascii="Century Gothic" w:hAnsi="Century Gothic" w:cstheme="minorHAnsi"/>
          <w:color w:val="auto"/>
          <w:sz w:val="22"/>
          <w:szCs w:val="22"/>
        </w:rPr>
      </w:pPr>
    </w:p>
    <w:p w14:paraId="68593B33" w14:textId="77777777" w:rsidR="00E2372A" w:rsidRPr="00AC504C" w:rsidRDefault="00E2372A" w:rsidP="00E2372A">
      <w:pPr>
        <w:autoSpaceDE w:val="0"/>
        <w:autoSpaceDN w:val="0"/>
        <w:adjustRightInd w:val="0"/>
        <w:spacing w:line="240" w:lineRule="auto"/>
        <w:jc w:val="both"/>
        <w:rPr>
          <w:rFonts w:ascii="Century Gothic" w:eastAsiaTheme="minorHAnsi" w:hAnsi="Century Gothic" w:cs="Calibri"/>
          <w:sz w:val="22"/>
          <w:szCs w:val="22"/>
        </w:rPr>
      </w:pPr>
      <w:r>
        <w:rPr>
          <w:rFonts w:ascii="Century Gothic" w:eastAsiaTheme="minorHAnsi" w:hAnsi="Century Gothic" w:cs="Calibri"/>
          <w:sz w:val="22"/>
          <w:szCs w:val="22"/>
          <w:lang w:val="en-GB"/>
        </w:rPr>
        <w:t>At the World Radiocommunication Conference 2023 (WRC-23), a new spectrum for next generation mobile technologies 5G and 6G will be considered under agenda items 1.1 to 1.5. Within the EU, allocations and/or identifications are possible under agenda items 1.2 (the identification of a new spectrum in the frequency band 6425-7125 MHz) and 1.5 (co-primary mobile spectrum allocation in the frequency band 470-694 MHz), with a decision still pending.</w:t>
      </w:r>
    </w:p>
    <w:p w14:paraId="42410711" w14:textId="77777777" w:rsidR="00E2372A" w:rsidRPr="00AC504C" w:rsidRDefault="00E2372A" w:rsidP="00E2372A">
      <w:pPr>
        <w:pStyle w:val="Default"/>
        <w:spacing w:line="280" w:lineRule="exact"/>
        <w:jc w:val="both"/>
        <w:rPr>
          <w:rFonts w:ascii="Century Gothic" w:hAnsi="Century Gothic" w:cstheme="minorHAnsi"/>
          <w:color w:val="auto"/>
          <w:sz w:val="22"/>
          <w:szCs w:val="22"/>
        </w:rPr>
      </w:pPr>
    </w:p>
    <w:p w14:paraId="53B8F476" w14:textId="77777777" w:rsidR="00E2372A" w:rsidRPr="00AC504C" w:rsidRDefault="00C017CD" w:rsidP="00E2372A">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t>In line with the development of 6G technology, Slovenia will provide sufficient radio spectrum, while proactively participating in working committees of the EU and the International Telecommunication Union when issues related to 6G technology will be discussed.</w:t>
      </w:r>
    </w:p>
    <w:p w14:paraId="7987322C" w14:textId="77777777" w:rsidR="002609CB" w:rsidRPr="00AC504C" w:rsidRDefault="002609CB" w:rsidP="0069312E">
      <w:pPr>
        <w:pStyle w:val="Default"/>
        <w:spacing w:line="280" w:lineRule="exact"/>
        <w:jc w:val="both"/>
        <w:rPr>
          <w:rFonts w:ascii="Century Gothic" w:hAnsi="Century Gothic" w:cstheme="minorHAnsi"/>
          <w:color w:val="auto"/>
          <w:sz w:val="22"/>
          <w:szCs w:val="22"/>
        </w:rPr>
      </w:pPr>
    </w:p>
    <w:p w14:paraId="529CC3FC" w14:textId="77777777" w:rsidR="00FD3023" w:rsidRPr="00AC504C" w:rsidRDefault="00FD3023" w:rsidP="00FD3023">
      <w:pPr>
        <w:pStyle w:val="Default"/>
        <w:spacing w:line="280" w:lineRule="exact"/>
        <w:jc w:val="both"/>
        <w:rPr>
          <w:rFonts w:ascii="Century Gothic" w:hAnsi="Century Gothic" w:cstheme="minorHAnsi"/>
          <w:color w:val="auto"/>
          <w:sz w:val="22"/>
          <w:szCs w:val="22"/>
        </w:rPr>
      </w:pPr>
      <w:r>
        <w:rPr>
          <w:rFonts w:ascii="Century Gothic" w:hAnsi="Century Gothic" w:cstheme="minorHAnsi"/>
          <w:color w:val="auto"/>
          <w:sz w:val="22"/>
          <w:szCs w:val="22"/>
          <w:lang w:val="en-GB"/>
        </w:rPr>
        <w:lastRenderedPageBreak/>
        <w:t>With a view to improving the mobile network coverage of Slovenian territory and improving the quality of public mobile communications services, AKOS issued a Recommendation on procedures for ensuring mobile network coverage of uncovered or underserved areas.</w:t>
      </w:r>
      <w:r>
        <w:rPr>
          <w:rStyle w:val="Sprotnaopomba-sklic"/>
          <w:rFonts w:ascii="Century Gothic" w:hAnsi="Century Gothic" w:cstheme="minorHAnsi"/>
          <w:color w:val="auto"/>
          <w:sz w:val="22"/>
          <w:szCs w:val="22"/>
          <w:lang w:val="en-GB"/>
        </w:rPr>
        <w:footnoteReference w:id="22"/>
      </w:r>
      <w:r>
        <w:rPr>
          <w:rFonts w:ascii="Century Gothic" w:hAnsi="Century Gothic" w:cstheme="minorHAnsi"/>
          <w:color w:val="auto"/>
          <w:sz w:val="22"/>
          <w:szCs w:val="22"/>
          <w:lang w:val="en-GB"/>
        </w:rPr>
        <w:t xml:space="preserve">This Recommendation is aimed at encouraging operators – holders of decisions on the assignment of radio frequencies for the provision of publicly available communications services to end-users – and local communities to work together to improve the coverage of uncovered or underserved areas and to proactively address problems caused by poor coverage or to upgrade their networks. Against this background, the important role of local communities in ensuring mobile coverage at all stages of mobile network deployment, </w:t>
      </w:r>
      <w:proofErr w:type="gramStart"/>
      <w:r>
        <w:rPr>
          <w:rFonts w:ascii="Century Gothic" w:hAnsi="Century Gothic" w:cstheme="minorHAnsi"/>
          <w:color w:val="auto"/>
          <w:sz w:val="22"/>
          <w:szCs w:val="22"/>
          <w:lang w:val="en-GB"/>
        </w:rPr>
        <w:t>i.e.</w:t>
      </w:r>
      <w:proofErr w:type="gramEnd"/>
      <w:r>
        <w:rPr>
          <w:rFonts w:ascii="Century Gothic" w:hAnsi="Century Gothic" w:cstheme="minorHAnsi"/>
          <w:color w:val="auto"/>
          <w:sz w:val="22"/>
          <w:szCs w:val="22"/>
          <w:lang w:val="en-GB"/>
        </w:rPr>
        <w:t xml:space="preserve"> from the siting of base stations onwards, is recognised.</w:t>
      </w:r>
    </w:p>
    <w:p w14:paraId="63177A14" w14:textId="77777777" w:rsidR="00FD3023" w:rsidRPr="00AC504C" w:rsidRDefault="00FD3023" w:rsidP="00FD3023">
      <w:pPr>
        <w:pStyle w:val="Default"/>
        <w:spacing w:line="280" w:lineRule="exact"/>
        <w:jc w:val="both"/>
        <w:rPr>
          <w:rFonts w:ascii="Century Gothic" w:hAnsi="Century Gothic" w:cstheme="minorHAnsi"/>
          <w:color w:val="auto"/>
          <w:sz w:val="22"/>
          <w:szCs w:val="22"/>
        </w:rPr>
      </w:pPr>
    </w:p>
    <w:p w14:paraId="16B341D0" w14:textId="77777777" w:rsidR="00382A8C" w:rsidRPr="00AE3CB1" w:rsidRDefault="00382A8C" w:rsidP="00382A8C">
      <w:pPr>
        <w:pStyle w:val="podpisi"/>
        <w:spacing w:line="280" w:lineRule="exact"/>
        <w:jc w:val="both"/>
        <w:rPr>
          <w:rFonts w:ascii="Century Gothic" w:hAnsi="Century Gothic"/>
          <w:sz w:val="22"/>
          <w:szCs w:val="22"/>
          <w:lang w:val="en-US"/>
        </w:rPr>
      </w:pPr>
      <w:proofErr w:type="gramStart"/>
      <w:r>
        <w:rPr>
          <w:rFonts w:ascii="Century Gothic" w:hAnsi="Century Gothic"/>
          <w:sz w:val="22"/>
          <w:szCs w:val="22"/>
          <w:lang w:val="en-GB"/>
        </w:rPr>
        <w:t>In order to</w:t>
      </w:r>
      <w:proofErr w:type="gramEnd"/>
      <w:r>
        <w:rPr>
          <w:rFonts w:ascii="Century Gothic" w:hAnsi="Century Gothic"/>
          <w:sz w:val="22"/>
          <w:szCs w:val="22"/>
          <w:lang w:val="en-GB"/>
        </w:rPr>
        <w:t xml:space="preserve"> meet the future communications needs of public protection and disaster relief authorities, Slovenia will procure from public mobile communications operators a 5G sector vertical or a PPDR network slice with specific functions for these users. Joint procurement of advanced broadband services to meet the communications needs of public protection and disaster relief authorities is also envisaged. The PPDR network slice will be managed by one of the state authorities or an entity authorised by Slovenia. Depending on the extent of the deployment of PPDR functionality in the national PPDR slice, a gradual functional transition from the existing dedicated radio communications systems will be carried out. For mobile communications services for PPDR users, the 2 × 5 MHz radio spectrum is reserved in the 700 MHz frequency band. Although it was not subject to a public auction of harmonised bands for 5G (referred to in Section 3.2), it will be assigned to an operator selected by the state through a public call for tenders for the provision of the 5G PPDR slice or radio communications services to PPDR users.</w:t>
      </w:r>
    </w:p>
    <w:p w14:paraId="75F0754B" w14:textId="77777777" w:rsidR="009211FD" w:rsidRPr="00AE3CB1" w:rsidRDefault="009211FD" w:rsidP="00382A8C">
      <w:pPr>
        <w:pStyle w:val="podpisi"/>
        <w:spacing w:line="280" w:lineRule="exact"/>
        <w:jc w:val="both"/>
        <w:rPr>
          <w:rFonts w:ascii="Century Gothic" w:hAnsi="Century Gothic"/>
          <w:sz w:val="22"/>
          <w:szCs w:val="22"/>
          <w:lang w:val="en-US"/>
        </w:rPr>
      </w:pPr>
    </w:p>
    <w:p w14:paraId="24D0A8F2" w14:textId="77777777" w:rsidR="0050390A" w:rsidRPr="00AC504C" w:rsidRDefault="009211FD" w:rsidP="00E0719D">
      <w:pPr>
        <w:pStyle w:val="Default"/>
        <w:spacing w:line="280" w:lineRule="exact"/>
        <w:jc w:val="both"/>
        <w:rPr>
          <w:rFonts w:ascii="Century Gothic" w:hAnsi="Century Gothic" w:cstheme="minorHAnsi"/>
          <w:sz w:val="22"/>
          <w:szCs w:val="22"/>
        </w:rPr>
      </w:pPr>
      <w:r>
        <w:rPr>
          <w:rFonts w:ascii="Century Gothic" w:hAnsi="Century Gothic" w:cstheme="minorHAnsi"/>
          <w:sz w:val="22"/>
          <w:szCs w:val="22"/>
          <w:lang w:val="en-GB"/>
        </w:rPr>
        <w:t>As regards security, stakeholders must take into consideration the 5G Cybersecurity Toolbox. Strategic security measures include:</w:t>
      </w:r>
    </w:p>
    <w:p w14:paraId="73EE1890" w14:textId="77777777" w:rsidR="0050390A" w:rsidRPr="00AC504C" w:rsidRDefault="0050390A" w:rsidP="00592C01">
      <w:pPr>
        <w:pStyle w:val="Default"/>
        <w:numPr>
          <w:ilvl w:val="0"/>
          <w:numId w:val="42"/>
        </w:numPr>
        <w:spacing w:line="280" w:lineRule="exact"/>
        <w:jc w:val="both"/>
        <w:rPr>
          <w:rFonts w:ascii="Century Gothic" w:hAnsi="Century Gothic" w:cstheme="minorHAnsi"/>
          <w:b/>
          <w:bCs/>
          <w:sz w:val="22"/>
          <w:szCs w:val="22"/>
        </w:rPr>
      </w:pPr>
      <w:r>
        <w:rPr>
          <w:rFonts w:ascii="Century Gothic" w:hAnsi="Century Gothic" w:cstheme="minorHAnsi"/>
          <w:sz w:val="22"/>
          <w:szCs w:val="22"/>
          <w:lang w:val="en-GB"/>
        </w:rPr>
        <w:t xml:space="preserve">hardware and software manufactured by high-risk vendors (HRVs – defined by the SSNAV/SNAV) is not used for the purposes of resource allocation, authentication, access rights, communications transport functions, network security functions, integrity and availability, and when this network is used to provide connectivity to users in critical infrastructure sectors and in networks of the state administration and the armed </w:t>
      </w:r>
      <w:proofErr w:type="gramStart"/>
      <w:r>
        <w:rPr>
          <w:rFonts w:ascii="Century Gothic" w:hAnsi="Century Gothic" w:cstheme="minorHAnsi"/>
          <w:sz w:val="22"/>
          <w:szCs w:val="22"/>
          <w:lang w:val="en-GB"/>
        </w:rPr>
        <w:t>forces;</w:t>
      </w:r>
      <w:proofErr w:type="gramEnd"/>
    </w:p>
    <w:p w14:paraId="1031458D" w14:textId="77777777" w:rsidR="0050390A" w:rsidRPr="00AC504C" w:rsidRDefault="0050390A" w:rsidP="003D0650">
      <w:pPr>
        <w:pStyle w:val="Default"/>
        <w:numPr>
          <w:ilvl w:val="0"/>
          <w:numId w:val="34"/>
        </w:numPr>
        <w:spacing w:line="280" w:lineRule="exact"/>
        <w:jc w:val="both"/>
        <w:rPr>
          <w:rFonts w:ascii="Century Gothic" w:hAnsi="Century Gothic" w:cstheme="minorHAnsi"/>
          <w:b/>
          <w:bCs/>
          <w:sz w:val="22"/>
          <w:szCs w:val="22"/>
        </w:rPr>
      </w:pPr>
      <w:r>
        <w:rPr>
          <w:rFonts w:ascii="Century Gothic" w:hAnsi="Century Gothic" w:cstheme="minorHAnsi"/>
          <w:sz w:val="22"/>
          <w:szCs w:val="22"/>
          <w:lang w:val="en-GB"/>
        </w:rPr>
        <w:t>a multi-vendor approach to preventing mobile network operators from becoming dependent on a single supplier (which could be classified as a high-risk vendor in the future</w:t>
      </w:r>
      <w:proofErr w:type="gramStart"/>
      <w:r>
        <w:rPr>
          <w:rFonts w:ascii="Century Gothic" w:hAnsi="Century Gothic" w:cstheme="minorHAnsi"/>
          <w:sz w:val="22"/>
          <w:szCs w:val="22"/>
          <w:lang w:val="en-GB"/>
        </w:rPr>
        <w:t>);</w:t>
      </w:r>
      <w:proofErr w:type="gramEnd"/>
    </w:p>
    <w:p w14:paraId="4D45E1CD" w14:textId="77777777" w:rsidR="00FD3023" w:rsidRPr="00AC504C" w:rsidRDefault="0050390A" w:rsidP="0069312E">
      <w:pPr>
        <w:pStyle w:val="Default"/>
        <w:numPr>
          <w:ilvl w:val="0"/>
          <w:numId w:val="34"/>
        </w:numPr>
        <w:spacing w:line="280" w:lineRule="exact"/>
        <w:jc w:val="both"/>
        <w:rPr>
          <w:rFonts w:ascii="Century Gothic" w:hAnsi="Century Gothic" w:cstheme="minorHAnsi"/>
          <w:b/>
          <w:bCs/>
          <w:sz w:val="22"/>
          <w:szCs w:val="22"/>
        </w:rPr>
      </w:pPr>
      <w:r>
        <w:rPr>
          <w:rFonts w:ascii="Century Gothic" w:hAnsi="Century Gothic" w:cstheme="minorHAnsi"/>
          <w:sz w:val="22"/>
          <w:szCs w:val="22"/>
          <w:lang w:val="en-GB"/>
        </w:rPr>
        <w:t>the provision of national roaming at least for critical users (</w:t>
      </w:r>
      <w:proofErr w:type="gramStart"/>
      <w:r>
        <w:rPr>
          <w:rFonts w:ascii="Century Gothic" w:hAnsi="Century Gothic" w:cstheme="minorHAnsi"/>
          <w:sz w:val="22"/>
          <w:szCs w:val="22"/>
          <w:lang w:val="en-GB"/>
        </w:rPr>
        <w:t>i.e.</w:t>
      </w:r>
      <w:proofErr w:type="gramEnd"/>
      <w:r>
        <w:rPr>
          <w:rFonts w:ascii="Century Gothic" w:hAnsi="Century Gothic" w:cstheme="minorHAnsi"/>
          <w:sz w:val="22"/>
          <w:szCs w:val="22"/>
          <w:lang w:val="en-GB"/>
        </w:rPr>
        <w:t xml:space="preserve"> critical infrastructure sectors, the state administration, the armed forces).</w:t>
      </w:r>
    </w:p>
    <w:p w14:paraId="0CF45C6D" w14:textId="77777777" w:rsidR="00A4315B" w:rsidRPr="00AC504C" w:rsidRDefault="00A4315B" w:rsidP="003A1252">
      <w:pPr>
        <w:pStyle w:val="Default"/>
        <w:spacing w:line="280" w:lineRule="exact"/>
        <w:jc w:val="both"/>
        <w:rPr>
          <w:rFonts w:ascii="Century Gothic" w:hAnsi="Century Gothic" w:cstheme="minorHAnsi"/>
          <w:color w:val="auto"/>
          <w:sz w:val="22"/>
          <w:szCs w:val="22"/>
        </w:rPr>
      </w:pPr>
    </w:p>
    <w:p w14:paraId="158A8B1B" w14:textId="77777777" w:rsidR="00EA4A61" w:rsidRPr="00AC504C" w:rsidRDefault="00EA4A61" w:rsidP="003A1252">
      <w:pPr>
        <w:pStyle w:val="Default"/>
        <w:spacing w:line="280" w:lineRule="exact"/>
        <w:jc w:val="both"/>
        <w:rPr>
          <w:rFonts w:ascii="Century Gothic" w:hAnsi="Century Gothic" w:cstheme="minorHAnsi"/>
          <w:color w:val="auto"/>
          <w:sz w:val="22"/>
          <w:szCs w:val="22"/>
        </w:rPr>
      </w:pPr>
    </w:p>
    <w:p w14:paraId="7F07458D" w14:textId="77777777" w:rsidR="00B763DB" w:rsidRPr="00B1221E" w:rsidRDefault="00B2156E" w:rsidP="00B1221E">
      <w:pPr>
        <w:pStyle w:val="Naslov3"/>
        <w:jc w:val="both"/>
        <w:rPr>
          <w:rFonts w:ascii="Century Gothic" w:hAnsi="Century Gothic"/>
          <w:color w:val="auto"/>
          <w:sz w:val="22"/>
          <w:szCs w:val="22"/>
        </w:rPr>
      </w:pPr>
      <w:bookmarkStart w:id="34" w:name="_Toc99612845"/>
      <w:bookmarkStart w:id="35" w:name="_Toc140746449"/>
      <w:bookmarkEnd w:id="34"/>
      <w:r>
        <w:rPr>
          <w:rFonts w:ascii="Century Gothic" w:hAnsi="Century Gothic"/>
          <w:color w:val="auto"/>
          <w:sz w:val="22"/>
          <w:szCs w:val="22"/>
          <w:lang w:val="en-GB"/>
        </w:rPr>
        <w:t>6.1.5 Compliance with EU state aid rules</w:t>
      </w:r>
      <w:bookmarkEnd w:id="35"/>
    </w:p>
    <w:p w14:paraId="55041BA5" w14:textId="77777777" w:rsidR="00B763DB" w:rsidRPr="00AE3CB1" w:rsidRDefault="00B763DB" w:rsidP="00B763DB">
      <w:pPr>
        <w:pStyle w:val="podpisi"/>
        <w:spacing w:line="280" w:lineRule="exact"/>
        <w:jc w:val="both"/>
        <w:rPr>
          <w:rFonts w:ascii="Century Gothic" w:hAnsi="Century Gothic"/>
          <w:sz w:val="22"/>
          <w:szCs w:val="22"/>
          <w:lang w:val="en-US"/>
        </w:rPr>
      </w:pPr>
    </w:p>
    <w:p w14:paraId="19A578AA" w14:textId="77777777" w:rsidR="00B763DB" w:rsidRPr="00AE3CB1" w:rsidRDefault="00B763DB" w:rsidP="00B763DB">
      <w:pPr>
        <w:pStyle w:val="podpisi"/>
        <w:spacing w:line="280" w:lineRule="exact"/>
        <w:jc w:val="both"/>
        <w:rPr>
          <w:rFonts w:ascii="Century Gothic" w:hAnsi="Century Gothic" w:cstheme="minorBidi"/>
          <w:sz w:val="22"/>
          <w:szCs w:val="22"/>
          <w:lang w:val="en-US"/>
        </w:rPr>
      </w:pPr>
      <w:r>
        <w:rPr>
          <w:rFonts w:ascii="Century Gothic" w:hAnsi="Century Gothic"/>
          <w:sz w:val="22"/>
          <w:szCs w:val="22"/>
          <w:lang w:val="en-GB"/>
        </w:rPr>
        <w:t xml:space="preserve">Commission Regulation (EU) No 651/2014 declaring certain categories of aid compatible with the internal market in application of Articles 107 and 108 of the Treaty, </w:t>
      </w:r>
      <w:r>
        <w:rPr>
          <w:rFonts w:ascii="Century Gothic" w:hAnsi="Century Gothic"/>
          <w:sz w:val="22"/>
          <w:szCs w:val="22"/>
          <w:lang w:val="en-GB"/>
        </w:rPr>
        <w:lastRenderedPageBreak/>
        <w:t>as last amended by Commission Regulation (EU) 2021/1237 of 23 July 2021 (hereinafter:  Regulation 651/2014/EU), introduces, in addition to aid for fixed broadband networks, aid for 4G and 5G mobile networks, as well as aid for projects of common interest in the field of pan-European digital connectivity infrastructure and connectivity vouchers. All state aid measures in the field of gigabit infrastructure will fully comply with EU state aid rules.</w:t>
      </w:r>
    </w:p>
    <w:p w14:paraId="7C12BE90" w14:textId="77777777" w:rsidR="002B6AEA" w:rsidRPr="00AC504C" w:rsidRDefault="002B6AEA" w:rsidP="00ED4A95">
      <w:pPr>
        <w:pStyle w:val="Default"/>
        <w:spacing w:line="280" w:lineRule="exact"/>
        <w:jc w:val="both"/>
        <w:rPr>
          <w:rFonts w:ascii="Century Gothic" w:hAnsi="Century Gothic" w:cstheme="minorHAnsi"/>
          <w:color w:val="auto"/>
          <w:sz w:val="22"/>
          <w:szCs w:val="22"/>
        </w:rPr>
      </w:pPr>
    </w:p>
    <w:p w14:paraId="76258BFA" w14:textId="77777777" w:rsidR="005045A5" w:rsidRPr="00AC504C" w:rsidRDefault="00C21161" w:rsidP="00B1221E">
      <w:pPr>
        <w:pStyle w:val="Naslov2"/>
      </w:pPr>
      <w:bookmarkStart w:id="36" w:name="_Toc140746450"/>
      <w:r>
        <w:rPr>
          <w:lang w:val="en-GB"/>
        </w:rPr>
        <w:t>6.2 Strategic measures</w:t>
      </w:r>
      <w:bookmarkEnd w:id="36"/>
    </w:p>
    <w:p w14:paraId="1977E4CB" w14:textId="77777777" w:rsidR="00926415" w:rsidRPr="00AE3CB1" w:rsidRDefault="00926415" w:rsidP="00926415">
      <w:pPr>
        <w:pStyle w:val="podpisi"/>
        <w:spacing w:line="280" w:lineRule="exact"/>
        <w:jc w:val="both"/>
        <w:rPr>
          <w:rFonts w:ascii="Century Gothic" w:hAnsi="Century Gothic"/>
          <w:sz w:val="22"/>
          <w:szCs w:val="22"/>
          <w:u w:val="single"/>
          <w:lang w:val="en-US"/>
        </w:rPr>
      </w:pPr>
    </w:p>
    <w:p w14:paraId="2790F3AC" w14:textId="77777777" w:rsidR="00926415" w:rsidRPr="00B1221E" w:rsidRDefault="00926415" w:rsidP="00B1221E">
      <w:pPr>
        <w:pStyle w:val="Naslov3"/>
        <w:jc w:val="both"/>
        <w:rPr>
          <w:rFonts w:ascii="Century Gothic" w:hAnsi="Century Gothic"/>
          <w:color w:val="auto"/>
          <w:sz w:val="22"/>
          <w:szCs w:val="22"/>
        </w:rPr>
      </w:pPr>
      <w:bookmarkStart w:id="37" w:name="_Toc140746451"/>
      <w:r>
        <w:rPr>
          <w:rFonts w:ascii="Century Gothic" w:hAnsi="Century Gothic"/>
          <w:color w:val="auto"/>
          <w:sz w:val="22"/>
          <w:szCs w:val="22"/>
          <w:lang w:val="en-GB"/>
        </w:rPr>
        <w:t>6.2.1 Mapping of infrastructure</w:t>
      </w:r>
      <w:bookmarkEnd w:id="37"/>
    </w:p>
    <w:p w14:paraId="7EE0E299" w14:textId="77777777" w:rsidR="00926415" w:rsidRPr="00AC504C" w:rsidRDefault="00926415" w:rsidP="00926415">
      <w:pPr>
        <w:spacing w:line="280" w:lineRule="exact"/>
        <w:jc w:val="both"/>
        <w:rPr>
          <w:rFonts w:ascii="Century Gothic" w:eastAsia="SimSun" w:hAnsi="Century Gothic" w:cs="Tahoma"/>
        </w:rPr>
      </w:pPr>
    </w:p>
    <w:p w14:paraId="146214FA" w14:textId="77777777" w:rsidR="008568BE" w:rsidRPr="00AC504C" w:rsidRDefault="008568BE" w:rsidP="00926415">
      <w:pPr>
        <w:spacing w:line="280" w:lineRule="exact"/>
        <w:jc w:val="both"/>
        <w:rPr>
          <w:rFonts w:ascii="Century Gothic" w:eastAsia="SimSun" w:hAnsi="Century Gothic" w:cs="Tahoma"/>
          <w:sz w:val="22"/>
          <w:szCs w:val="22"/>
        </w:rPr>
      </w:pPr>
      <w:r>
        <w:rPr>
          <w:rFonts w:ascii="Century Gothic" w:hAnsi="Century Gothic" w:cs="Tahoma"/>
          <w:sz w:val="22"/>
          <w:szCs w:val="22"/>
          <w:lang w:val="en-GB"/>
        </w:rPr>
        <w:t xml:space="preserve">The mapping of electronic communications infrastructure was introduced in 2004 </w:t>
      </w:r>
      <w:proofErr w:type="gramStart"/>
      <w:r>
        <w:rPr>
          <w:rFonts w:ascii="Century Gothic" w:hAnsi="Century Gothic" w:cs="Tahoma"/>
          <w:sz w:val="22"/>
          <w:szCs w:val="22"/>
          <w:lang w:val="en-GB"/>
        </w:rPr>
        <w:t>on the basis of</w:t>
      </w:r>
      <w:proofErr w:type="gramEnd"/>
      <w:r>
        <w:rPr>
          <w:rFonts w:ascii="Century Gothic" w:hAnsi="Century Gothic" w:cs="Tahoma"/>
          <w:sz w:val="22"/>
          <w:szCs w:val="22"/>
          <w:lang w:val="en-GB"/>
        </w:rPr>
        <w:t xml:space="preserve"> the ZEKom-1 primarily to protect the existing public communications networks. In the same year, the Surveying and Mapping Authority of the Republic of </w:t>
      </w:r>
      <w:r>
        <w:rPr>
          <w:rFonts w:ascii="Century Gothic" w:hAnsi="Century Gothic" w:cs="Tahoma"/>
          <w:color w:val="000000"/>
          <w:sz w:val="22"/>
          <w:szCs w:val="22"/>
          <w:lang w:val="en-GB"/>
        </w:rPr>
        <w:t>Slovenia</w:t>
      </w:r>
      <w:r>
        <w:rPr>
          <w:rFonts w:ascii="Century Gothic" w:hAnsi="Century Gothic" w:cs="Tahoma"/>
          <w:sz w:val="22"/>
          <w:szCs w:val="22"/>
          <w:lang w:val="en-GB"/>
        </w:rPr>
        <w:t xml:space="preserve"> (GURS) established a Consolidated Cadastre of Public Infrastructure – a database to which operators send data on their networks. As a result, all networks are listed in public records. Data on the owners and locations of lines are accessible to all interested users.</w:t>
      </w:r>
    </w:p>
    <w:p w14:paraId="11CB6502" w14:textId="77777777" w:rsidR="00926415" w:rsidRPr="00AC504C" w:rsidRDefault="00926415" w:rsidP="00926415">
      <w:pPr>
        <w:spacing w:line="280" w:lineRule="exact"/>
        <w:jc w:val="both"/>
        <w:rPr>
          <w:rFonts w:ascii="Century Gothic" w:eastAsia="SimSun" w:hAnsi="Century Gothic" w:cs="Tahoma"/>
        </w:rPr>
      </w:pPr>
    </w:p>
    <w:p w14:paraId="42EEBB51" w14:textId="77777777" w:rsidR="001431B6" w:rsidRPr="00AC504C" w:rsidRDefault="008568BE" w:rsidP="00926415">
      <w:pPr>
        <w:spacing w:line="280" w:lineRule="exact"/>
        <w:jc w:val="both"/>
        <w:rPr>
          <w:rFonts w:ascii="Century Gothic" w:eastAsia="SimSun" w:hAnsi="Century Gothic" w:cs="Tahoma"/>
          <w:sz w:val="22"/>
          <w:szCs w:val="22"/>
        </w:rPr>
      </w:pPr>
      <w:r>
        <w:rPr>
          <w:rFonts w:ascii="Century Gothic" w:eastAsia="SimSun" w:hAnsi="Century Gothic" w:cs="Tahoma"/>
          <w:sz w:val="22"/>
          <w:szCs w:val="22"/>
          <w:lang w:val="en-GB"/>
        </w:rPr>
        <w:t xml:space="preserve">The mapping of infrastructure is an important tool for planning investment in the electronic communications infrastructure, as precise knowledge of the existing infrastructure is crucial for the designation of white spots. In cooperation with the Surveying and Mapping Authority of the Republic of Slovenia and </w:t>
      </w:r>
      <w:proofErr w:type="gramStart"/>
      <w:r>
        <w:rPr>
          <w:rFonts w:ascii="Century Gothic" w:eastAsia="SimSun" w:hAnsi="Century Gothic" w:cs="Tahoma"/>
          <w:sz w:val="22"/>
          <w:szCs w:val="22"/>
          <w:lang w:val="en-GB"/>
        </w:rPr>
        <w:t>on the basis of</w:t>
      </w:r>
      <w:proofErr w:type="gramEnd"/>
      <w:r>
        <w:rPr>
          <w:rFonts w:ascii="Century Gothic" w:eastAsia="SimSun" w:hAnsi="Century Gothic" w:cs="Tahoma"/>
          <w:sz w:val="22"/>
          <w:szCs w:val="22"/>
          <w:lang w:val="en-GB"/>
        </w:rPr>
        <w:t xml:space="preserve"> the amendments to the ZEKom-1, the mapping of infrastructure was upgraded to provide a more detailed overview of the existing electronic communications infrastructure, which is essential for the designation of white spots down to the household level.</w:t>
      </w:r>
    </w:p>
    <w:p w14:paraId="5B94F81A" w14:textId="77777777" w:rsidR="00926415" w:rsidRPr="00AC504C" w:rsidRDefault="00926415" w:rsidP="00926415">
      <w:pPr>
        <w:spacing w:line="280" w:lineRule="exact"/>
        <w:jc w:val="both"/>
        <w:rPr>
          <w:rFonts w:ascii="Century Gothic" w:eastAsia="SimSun" w:hAnsi="Century Gothic" w:cs="Tahoma"/>
          <w:sz w:val="22"/>
          <w:szCs w:val="22"/>
        </w:rPr>
      </w:pPr>
    </w:p>
    <w:p w14:paraId="7CFEE9F0" w14:textId="77777777" w:rsidR="00926415" w:rsidRPr="00AC504C" w:rsidRDefault="001431B6" w:rsidP="00926415">
      <w:pPr>
        <w:spacing w:line="280" w:lineRule="exact"/>
        <w:jc w:val="both"/>
        <w:rPr>
          <w:rFonts w:ascii="Century Gothic" w:eastAsia="SimSun" w:hAnsi="Century Gothic" w:cs="Tahoma"/>
          <w:sz w:val="22"/>
          <w:szCs w:val="22"/>
        </w:rPr>
      </w:pPr>
      <w:r>
        <w:rPr>
          <w:rFonts w:ascii="Century Gothic" w:eastAsia="SimSun" w:hAnsi="Century Gothic" w:cs="Tahoma"/>
          <w:sz w:val="22"/>
          <w:szCs w:val="22"/>
          <w:lang w:val="en-GB"/>
        </w:rPr>
        <w:t xml:space="preserve">A new provision on geographical surveys of network deployments in Article 22 of Directive 2018/1972/EU was in part transposed in the ZEKom-1 and will be transposed in its entirety in the ZEKom-2. The provision comprises a geographical survey of the reach of electronic communications networks capable of delivering broadband access, and a forecast for a given period of the reach of broadband networks, including very </w:t>
      </w:r>
      <w:proofErr w:type="gramStart"/>
      <w:r>
        <w:rPr>
          <w:rFonts w:ascii="Century Gothic" w:eastAsia="SimSun" w:hAnsi="Century Gothic" w:cs="Tahoma"/>
          <w:sz w:val="22"/>
          <w:szCs w:val="22"/>
          <w:lang w:val="en-GB"/>
        </w:rPr>
        <w:t>high capacity</w:t>
      </w:r>
      <w:proofErr w:type="gramEnd"/>
      <w:r>
        <w:rPr>
          <w:rFonts w:ascii="Century Gothic" w:eastAsia="SimSun" w:hAnsi="Century Gothic" w:cs="Tahoma"/>
          <w:sz w:val="22"/>
          <w:szCs w:val="22"/>
          <w:lang w:val="en-GB"/>
        </w:rPr>
        <w:t xml:space="preserve"> networks.</w:t>
      </w:r>
    </w:p>
    <w:p w14:paraId="5A619CFD" w14:textId="77777777" w:rsidR="00E6498B" w:rsidRPr="00592C01" w:rsidRDefault="00E6498B" w:rsidP="00E6498B">
      <w:pPr>
        <w:spacing w:line="280" w:lineRule="exact"/>
        <w:jc w:val="both"/>
        <w:rPr>
          <w:rFonts w:ascii="Century Gothic" w:eastAsia="SimSun" w:hAnsi="Century Gothic" w:cs="Tahoma"/>
        </w:rPr>
      </w:pPr>
    </w:p>
    <w:p w14:paraId="6DD0790A" w14:textId="77777777" w:rsidR="00926415" w:rsidRPr="00592C01" w:rsidRDefault="00976FDB" w:rsidP="00DC7DAE">
      <w:pPr>
        <w:spacing w:line="280" w:lineRule="exact"/>
        <w:jc w:val="both"/>
        <w:rPr>
          <w:rFonts w:ascii="Century Gothic" w:eastAsia="SimSun" w:hAnsi="Century Gothic" w:cs="Tahoma"/>
        </w:rPr>
      </w:pPr>
      <w:r>
        <w:rPr>
          <w:rFonts w:ascii="Century Gothic" w:eastAsia="SimSun" w:hAnsi="Century Gothic" w:cs="Tahoma"/>
          <w:sz w:val="22"/>
          <w:szCs w:val="22"/>
          <w:lang w:val="en-GB"/>
        </w:rPr>
        <w:t>The obligation to conduct geographical surveys of the reach of electronic communications networks was transposed by Slovenia in Article 14 of the ZEKom-1, which imposes the obligation to enter data on electronic communications networks in the relevant record of the Surveying and Mapping Authority of the Republic of Slovenia. Hence, Article 14 of the ZEKom-1 provides the basis for the collection of data for geographical surveys, which can be upgraded if needed.</w:t>
      </w:r>
    </w:p>
    <w:p w14:paraId="71C05A62" w14:textId="77777777" w:rsidR="00E6498B" w:rsidRPr="00592C01" w:rsidRDefault="00E6498B" w:rsidP="00E6498B">
      <w:pPr>
        <w:spacing w:line="280" w:lineRule="exact"/>
        <w:jc w:val="both"/>
        <w:rPr>
          <w:rFonts w:ascii="Century Gothic" w:eastAsia="SimSun" w:hAnsi="Century Gothic" w:cs="Tahoma"/>
        </w:rPr>
      </w:pPr>
    </w:p>
    <w:p w14:paraId="7B585536" w14:textId="77777777" w:rsidR="00623D54" w:rsidRPr="00592C01" w:rsidRDefault="001431B6" w:rsidP="00DC7DAE">
      <w:pPr>
        <w:spacing w:line="280" w:lineRule="exact"/>
        <w:jc w:val="both"/>
        <w:rPr>
          <w:rFonts w:ascii="Century Gothic" w:eastAsia="SimSun" w:hAnsi="Century Gothic" w:cs="Tahoma"/>
        </w:rPr>
      </w:pPr>
      <w:proofErr w:type="gramStart"/>
      <w:r>
        <w:rPr>
          <w:rFonts w:ascii="Century Gothic" w:eastAsia="SimSun" w:hAnsi="Century Gothic" w:cs="Tahoma"/>
          <w:sz w:val="22"/>
          <w:szCs w:val="22"/>
          <w:lang w:val="en-GB"/>
        </w:rPr>
        <w:t>In order to</w:t>
      </w:r>
      <w:proofErr w:type="gramEnd"/>
      <w:r>
        <w:rPr>
          <w:rFonts w:ascii="Century Gothic" w:eastAsia="SimSun" w:hAnsi="Century Gothic" w:cs="Tahoma"/>
          <w:sz w:val="22"/>
          <w:szCs w:val="22"/>
          <w:lang w:val="en-GB"/>
        </w:rPr>
        <w:t xml:space="preserve"> allocate public funds for the deployment of broadband networks, Article 11a of the ZEKom-1 provides for an inquiry into market interest in building broadband networks. Article 22 of Directive 2018/1972/EU is somewhat broader in this respect, and hence the transposition of the provision on the forecast of the reach of broadband networks in the third subparagraph of paragraph one of Article 22 of Directive 2018/1972/EU will require the replacement of the existing Article 11a of the ZEKom-1 with a new Article in the ZEKom-2. At least every three years, AKOS will be obliged to publish a public call for inquiries into investors’ intentions to build very </w:t>
      </w:r>
      <w:proofErr w:type="gramStart"/>
      <w:r>
        <w:rPr>
          <w:rFonts w:ascii="Century Gothic" w:eastAsia="SimSun" w:hAnsi="Century Gothic" w:cs="Tahoma"/>
          <w:sz w:val="22"/>
          <w:szCs w:val="22"/>
          <w:lang w:val="en-GB"/>
        </w:rPr>
        <w:t>high capacity</w:t>
      </w:r>
      <w:proofErr w:type="gramEnd"/>
      <w:r>
        <w:rPr>
          <w:rFonts w:ascii="Century Gothic" w:eastAsia="SimSun" w:hAnsi="Century Gothic" w:cs="Tahoma"/>
          <w:sz w:val="22"/>
          <w:szCs w:val="22"/>
          <w:lang w:val="en-GB"/>
        </w:rPr>
        <w:t xml:space="preserve"> </w:t>
      </w:r>
      <w:r>
        <w:rPr>
          <w:rFonts w:ascii="Century Gothic" w:eastAsia="SimSun" w:hAnsi="Century Gothic" w:cs="Tahoma"/>
          <w:sz w:val="22"/>
          <w:szCs w:val="22"/>
          <w:lang w:val="en-GB"/>
        </w:rPr>
        <w:lastRenderedPageBreak/>
        <w:t xml:space="preserve">networks or to upgrade or extend existing networks to provide speeds of at least 100 Mbps within a timeframe determined by AKOS, but no later than in three years. Where a public sector body allocates public funds for building broadband networks, AKOS will conduct a market interest inquiry into the construction of </w:t>
      </w:r>
      <w:proofErr w:type="gramStart"/>
      <w:r>
        <w:rPr>
          <w:rFonts w:ascii="Century Gothic" w:eastAsia="SimSun" w:hAnsi="Century Gothic" w:cs="Tahoma"/>
          <w:sz w:val="22"/>
          <w:szCs w:val="22"/>
          <w:lang w:val="en-GB"/>
        </w:rPr>
        <w:t>high capacity</w:t>
      </w:r>
      <w:proofErr w:type="gramEnd"/>
      <w:r>
        <w:rPr>
          <w:rFonts w:ascii="Century Gothic" w:eastAsia="SimSun" w:hAnsi="Century Gothic" w:cs="Tahoma"/>
          <w:sz w:val="22"/>
          <w:szCs w:val="22"/>
          <w:lang w:val="en-GB"/>
        </w:rPr>
        <w:t xml:space="preserve"> networks or the upgrade or extension of existing networks to allow download speeds of at least 100 Mbps over the next three years. The technical aspect of the conduct of inquires will be the responsibility of AKOS, which will also inform operators of any potential overlapping of market interest. The details of the implementation of this Article will be laid down by AKOS in a general act.</w:t>
      </w:r>
    </w:p>
    <w:p w14:paraId="06CA0350" w14:textId="77777777" w:rsidR="001431B6" w:rsidRPr="00AC504C" w:rsidRDefault="001431B6" w:rsidP="00016ABF">
      <w:pPr>
        <w:pStyle w:val="Odstavekseznama"/>
        <w:spacing w:after="0" w:line="280" w:lineRule="exact"/>
        <w:jc w:val="both"/>
        <w:rPr>
          <w:rFonts w:ascii="Century Gothic" w:eastAsia="SimSun" w:hAnsi="Century Gothic" w:cs="Tahoma"/>
          <w:u w:val="single"/>
        </w:rPr>
      </w:pPr>
    </w:p>
    <w:p w14:paraId="0EEDCFEF" w14:textId="77777777" w:rsidR="006529E6" w:rsidRPr="00B1221E" w:rsidRDefault="006529E6" w:rsidP="003441FF">
      <w:pPr>
        <w:pStyle w:val="Naslov3"/>
        <w:jc w:val="both"/>
        <w:rPr>
          <w:rFonts w:ascii="Century Gothic" w:hAnsi="Century Gothic"/>
          <w:color w:val="auto"/>
          <w:sz w:val="22"/>
          <w:szCs w:val="22"/>
        </w:rPr>
      </w:pPr>
      <w:bookmarkStart w:id="38" w:name="_Toc140746452"/>
      <w:r>
        <w:rPr>
          <w:rFonts w:ascii="Century Gothic" w:hAnsi="Century Gothic"/>
          <w:color w:val="auto"/>
          <w:sz w:val="22"/>
          <w:szCs w:val="22"/>
          <w:lang w:val="en-GB"/>
        </w:rPr>
        <w:t>6.2.2 Demand stimulation and the promotion of digitalisation and digital transformation</w:t>
      </w:r>
      <w:bookmarkEnd w:id="38"/>
    </w:p>
    <w:p w14:paraId="544EBC52" w14:textId="77777777" w:rsidR="006529E6" w:rsidRPr="00AE3CB1" w:rsidRDefault="006529E6" w:rsidP="00D36D6C">
      <w:pPr>
        <w:pStyle w:val="podpisi"/>
        <w:spacing w:line="280" w:lineRule="exact"/>
        <w:jc w:val="both"/>
        <w:rPr>
          <w:rFonts w:ascii="Century Gothic" w:hAnsi="Century Gothic"/>
          <w:sz w:val="22"/>
          <w:szCs w:val="22"/>
          <w:lang w:val="en-US"/>
        </w:rPr>
      </w:pPr>
    </w:p>
    <w:p w14:paraId="6B9B6DFA" w14:textId="77777777" w:rsidR="00D36D6C" w:rsidRPr="00AE3CB1" w:rsidRDefault="00D36D6C" w:rsidP="00D36D6C">
      <w:pPr>
        <w:pStyle w:val="podpisi"/>
        <w:tabs>
          <w:tab w:val="clear" w:pos="3402"/>
          <w:tab w:val="left" w:pos="284"/>
        </w:tabs>
        <w:spacing w:line="280" w:lineRule="exact"/>
        <w:jc w:val="both"/>
        <w:rPr>
          <w:rFonts w:ascii="Century Gothic" w:hAnsi="Century Gothic" w:cs="Arial"/>
          <w:sz w:val="22"/>
          <w:szCs w:val="22"/>
          <w:lang w:val="en-US"/>
        </w:rPr>
      </w:pPr>
      <w:r>
        <w:rPr>
          <w:rFonts w:ascii="Century Gothic" w:hAnsi="Century Gothic" w:cs="Arial"/>
          <w:sz w:val="22"/>
          <w:szCs w:val="22"/>
          <w:lang w:val="en-GB"/>
        </w:rPr>
        <w:t xml:space="preserve">Demand stimulation, the promotion of digitalisation and digital transformation are mentioned in this Plan to present a complete overview of measures, but – </w:t>
      </w:r>
      <w:proofErr w:type="gramStart"/>
      <w:r>
        <w:rPr>
          <w:rFonts w:ascii="Century Gothic" w:hAnsi="Century Gothic" w:cs="Arial"/>
          <w:sz w:val="22"/>
          <w:szCs w:val="22"/>
          <w:lang w:val="en-GB"/>
        </w:rPr>
        <w:t>with the exception of</w:t>
      </w:r>
      <w:proofErr w:type="gramEnd"/>
      <w:r>
        <w:rPr>
          <w:rFonts w:ascii="Century Gothic" w:hAnsi="Century Gothic" w:cs="Arial"/>
          <w:sz w:val="22"/>
          <w:szCs w:val="22"/>
          <w:lang w:val="en-GB"/>
        </w:rPr>
        <w:t xml:space="preserve"> connectivity vouchers (see Section 5 and Subsection 6.3.2) – they are not operationalised nor are they included among the objectives and financially evaluated because they are not part of this Plan but of other strategies and documents.</w:t>
      </w:r>
    </w:p>
    <w:p w14:paraId="44D70801" w14:textId="77777777" w:rsidR="00D36D6C" w:rsidRPr="00AE3CB1" w:rsidRDefault="00D36D6C" w:rsidP="00D36D6C">
      <w:pPr>
        <w:pStyle w:val="podpisi"/>
        <w:spacing w:line="280" w:lineRule="exact"/>
        <w:jc w:val="both"/>
        <w:rPr>
          <w:rFonts w:ascii="Century Gothic" w:hAnsi="Century Gothic"/>
          <w:sz w:val="22"/>
          <w:szCs w:val="22"/>
          <w:lang w:val="en-US"/>
        </w:rPr>
      </w:pPr>
    </w:p>
    <w:p w14:paraId="085AF5B1" w14:textId="77777777" w:rsidR="00DE5B97" w:rsidRPr="00AE3CB1" w:rsidRDefault="00816C46" w:rsidP="003838F7">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Slovenia will stimulate demand for broadband services and promote digitalisation and digital transformation, which will in turn increase the density of broadband connections and reduce the digital divide among the population. An increase in the uptake of the internet and ICT services will also enhance access to information and social inclusion. As regards big investments, user demand for broadband connections or network utilisation has a positive impact on the revenues of investors and electronic communications operators.</w:t>
      </w:r>
    </w:p>
    <w:p w14:paraId="24904D49" w14:textId="77777777" w:rsidR="006529E6" w:rsidRPr="00AE3CB1" w:rsidRDefault="006529E6" w:rsidP="009436CD">
      <w:pPr>
        <w:pStyle w:val="podpisi"/>
        <w:spacing w:line="280" w:lineRule="exact"/>
        <w:jc w:val="both"/>
        <w:rPr>
          <w:rFonts w:ascii="Century Gothic" w:hAnsi="Century Gothic"/>
          <w:sz w:val="22"/>
          <w:szCs w:val="22"/>
          <w:lang w:val="en-US"/>
        </w:rPr>
      </w:pPr>
    </w:p>
    <w:p w14:paraId="4EF1B605" w14:textId="77777777" w:rsidR="006C7E7B" w:rsidRPr="00AE3CB1" w:rsidRDefault="006529E6" w:rsidP="003838F7">
      <w:pPr>
        <w:pStyle w:val="podpisi"/>
        <w:spacing w:line="280" w:lineRule="exact"/>
        <w:jc w:val="both"/>
        <w:rPr>
          <w:rFonts w:ascii="Century Gothic" w:hAnsi="Century Gothic" w:cs="Arial"/>
          <w:sz w:val="22"/>
          <w:szCs w:val="22"/>
          <w:lang w:val="en-US"/>
        </w:rPr>
      </w:pPr>
      <w:r>
        <w:rPr>
          <w:rFonts w:ascii="Century Gothic" w:hAnsi="Century Gothic"/>
          <w:sz w:val="22"/>
          <w:szCs w:val="22"/>
          <w:lang w:val="en-GB"/>
        </w:rPr>
        <w:t>The Promotion of Digital Inclusion Act (Official Gazette of the Republic of Slovenia [</w:t>
      </w:r>
      <w:r>
        <w:rPr>
          <w:rFonts w:ascii="Century Gothic" w:hAnsi="Century Gothic"/>
          <w:i/>
          <w:iCs/>
          <w:sz w:val="22"/>
          <w:szCs w:val="22"/>
          <w:lang w:val="en-GB"/>
        </w:rPr>
        <w:t>Uradni list RS</w:t>
      </w:r>
      <w:r>
        <w:rPr>
          <w:rFonts w:ascii="Century Gothic" w:hAnsi="Century Gothic"/>
          <w:sz w:val="22"/>
          <w:szCs w:val="22"/>
          <w:lang w:val="en-GB"/>
        </w:rPr>
        <w:t>], No 35</w:t>
      </w:r>
      <w:r>
        <w:rPr>
          <w:rFonts w:ascii="Century Gothic" w:hAnsi="Century Gothic"/>
          <w:sz w:val="22"/>
          <w:szCs w:val="22"/>
          <w:u w:val="single"/>
          <w:lang w:val="en-GB"/>
        </w:rPr>
        <w:t xml:space="preserve">/22) </w:t>
      </w:r>
      <w:r>
        <w:rPr>
          <w:rFonts w:ascii="Century Gothic" w:hAnsi="Century Gothic"/>
          <w:sz w:val="22"/>
          <w:szCs w:val="22"/>
          <w:lang w:val="en-GB"/>
        </w:rPr>
        <w:t>should be highlighted as a fundamental measure for stimulating demand and promoting digitalisation and digital transformation. The purpose of this Act is to increase the digital inclusion of the population of Slovenia and to facilitate the comparative progress of the digital development of the Slovenian economy and society.</w:t>
      </w:r>
    </w:p>
    <w:p w14:paraId="29E0C91E" w14:textId="77777777" w:rsidR="00700140" w:rsidRPr="00AE3CB1" w:rsidRDefault="00700140" w:rsidP="003D0650">
      <w:pPr>
        <w:pStyle w:val="podpisi"/>
        <w:spacing w:line="280" w:lineRule="exact"/>
        <w:jc w:val="both"/>
        <w:rPr>
          <w:rFonts w:ascii="Century Gothic" w:hAnsi="Century Gothic" w:cs="Arial"/>
          <w:sz w:val="22"/>
          <w:szCs w:val="22"/>
          <w:lang w:val="en-US"/>
        </w:rPr>
      </w:pPr>
    </w:p>
    <w:p w14:paraId="2F903B92" w14:textId="77777777" w:rsidR="00B617C1" w:rsidRPr="00B1221E" w:rsidRDefault="00EE712C" w:rsidP="00B1221E">
      <w:pPr>
        <w:pStyle w:val="Naslov3"/>
        <w:jc w:val="both"/>
        <w:rPr>
          <w:rFonts w:ascii="Century Gothic" w:hAnsi="Century Gothic"/>
          <w:color w:val="auto"/>
          <w:sz w:val="22"/>
          <w:szCs w:val="22"/>
        </w:rPr>
      </w:pPr>
      <w:bookmarkStart w:id="39" w:name="_Toc140746453"/>
      <w:r>
        <w:rPr>
          <w:rFonts w:ascii="Century Gothic" w:hAnsi="Century Gothic"/>
          <w:color w:val="auto"/>
          <w:sz w:val="22"/>
          <w:szCs w:val="22"/>
          <w:lang w:val="en-GB"/>
        </w:rPr>
        <w:t>6.2.3 The provision of universal service</w:t>
      </w:r>
      <w:bookmarkEnd w:id="39"/>
    </w:p>
    <w:p w14:paraId="4B4A284E" w14:textId="77777777" w:rsidR="006750A4" w:rsidRPr="00AE3CB1" w:rsidRDefault="006750A4" w:rsidP="00567D7D">
      <w:pPr>
        <w:pStyle w:val="podpisi"/>
        <w:spacing w:line="280" w:lineRule="exact"/>
        <w:jc w:val="both"/>
        <w:rPr>
          <w:rFonts w:ascii="Century Gothic" w:hAnsi="Century Gothic" w:cs="Arial"/>
          <w:sz w:val="22"/>
          <w:szCs w:val="22"/>
          <w:lang w:val="en-US"/>
        </w:rPr>
      </w:pPr>
    </w:p>
    <w:p w14:paraId="76F9111F" w14:textId="77777777" w:rsidR="00EE712C" w:rsidRPr="00AE3CB1" w:rsidRDefault="00EE712C" w:rsidP="00567D7D">
      <w:pPr>
        <w:pStyle w:val="podpisi"/>
        <w:spacing w:line="280" w:lineRule="exact"/>
        <w:jc w:val="both"/>
        <w:rPr>
          <w:rFonts w:ascii="Century Gothic" w:hAnsi="Century Gothic" w:cs="Arial"/>
          <w:sz w:val="22"/>
          <w:szCs w:val="22"/>
          <w:lang w:val="en-US"/>
        </w:rPr>
      </w:pPr>
      <w:r>
        <w:rPr>
          <w:rFonts w:ascii="Century Gothic" w:hAnsi="Century Gothic" w:cs="Arial"/>
          <w:sz w:val="22"/>
          <w:szCs w:val="22"/>
          <w:lang w:val="en-GB"/>
        </w:rPr>
        <w:t>Universal service is the minimum set of services of specified quality available to all end-users in Slovenia at an affordable price, regardless of their geographic location.</w:t>
      </w:r>
    </w:p>
    <w:p w14:paraId="4C12DBD4" w14:textId="77777777" w:rsidR="00693A77" w:rsidRPr="00AE3CB1" w:rsidRDefault="00693A77" w:rsidP="00567D7D">
      <w:pPr>
        <w:pStyle w:val="podpisi"/>
        <w:spacing w:line="280" w:lineRule="exact"/>
        <w:jc w:val="both"/>
        <w:rPr>
          <w:rFonts w:ascii="Century Gothic" w:hAnsi="Century Gothic" w:cs="Arial"/>
          <w:sz w:val="22"/>
          <w:szCs w:val="22"/>
          <w:lang w:val="en-US"/>
        </w:rPr>
      </w:pPr>
    </w:p>
    <w:p w14:paraId="0A8840BD" w14:textId="77777777" w:rsidR="0071699B" w:rsidRPr="00AE3CB1" w:rsidRDefault="00693A77" w:rsidP="00BF67BA">
      <w:pPr>
        <w:pStyle w:val="podpisi"/>
        <w:spacing w:line="280" w:lineRule="exact"/>
        <w:jc w:val="both"/>
        <w:rPr>
          <w:rFonts w:ascii="Century Gothic" w:hAnsi="Century Gothic" w:cs="Arial"/>
          <w:sz w:val="22"/>
          <w:szCs w:val="22"/>
          <w:lang w:val="en-US"/>
        </w:rPr>
      </w:pPr>
      <w:r>
        <w:rPr>
          <w:rFonts w:ascii="Century Gothic" w:hAnsi="Century Gothic" w:cs="Arial"/>
          <w:sz w:val="22"/>
          <w:szCs w:val="22"/>
          <w:lang w:val="en-GB"/>
        </w:rPr>
        <w:t>The aim of universal service is to prevent digital exclusion. It is intended to be a safety net for users who cannot obtain affordable services on the market. Universal service is particularly important for bridging the digital divide in the transition period when gigabit connectivity will not be available to all inhabitants.</w:t>
      </w:r>
    </w:p>
    <w:p w14:paraId="28285BA4" w14:textId="77777777" w:rsidR="00BB165B" w:rsidRPr="00AE3CB1" w:rsidRDefault="00BB165B" w:rsidP="003D0650">
      <w:pPr>
        <w:pStyle w:val="podpisi"/>
        <w:spacing w:line="280" w:lineRule="exact"/>
        <w:jc w:val="both"/>
        <w:rPr>
          <w:rFonts w:ascii="Century Gothic" w:hAnsi="Century Gothic" w:cs="Arial"/>
          <w:sz w:val="22"/>
          <w:szCs w:val="22"/>
          <w:lang w:val="en-US"/>
        </w:rPr>
      </w:pPr>
    </w:p>
    <w:p w14:paraId="2F507946" w14:textId="77777777" w:rsidR="00835317" w:rsidRPr="00AC504C" w:rsidRDefault="0071699B" w:rsidP="003D0650">
      <w:pPr>
        <w:pStyle w:val="podpisi"/>
        <w:spacing w:line="280" w:lineRule="exact"/>
        <w:jc w:val="both"/>
        <w:rPr>
          <w:rFonts w:ascii="Century Gothic" w:hAnsi="Century Gothic" w:cs="Arial"/>
          <w:sz w:val="22"/>
          <w:szCs w:val="22"/>
        </w:rPr>
      </w:pPr>
      <w:r>
        <w:rPr>
          <w:rFonts w:ascii="Century Gothic" w:hAnsi="Century Gothic" w:cs="Arial"/>
          <w:sz w:val="22"/>
          <w:szCs w:val="22"/>
          <w:lang w:val="en-GB"/>
        </w:rPr>
        <w:t>Universal service is provided for in the ZEKom-1 and is fully compliant with EU law in this area. Universal service includes the following services:</w:t>
      </w:r>
    </w:p>
    <w:p w14:paraId="3D492BFA" w14:textId="77777777" w:rsidR="00835317" w:rsidRPr="00AE3CB1" w:rsidRDefault="00835317" w:rsidP="003D0650">
      <w:pPr>
        <w:pStyle w:val="podpisi"/>
        <w:numPr>
          <w:ilvl w:val="0"/>
          <w:numId w:val="29"/>
        </w:numPr>
        <w:spacing w:line="280" w:lineRule="exact"/>
        <w:jc w:val="both"/>
        <w:rPr>
          <w:rFonts w:ascii="Century Gothic" w:hAnsi="Century Gothic" w:cs="Arial"/>
          <w:sz w:val="22"/>
          <w:szCs w:val="22"/>
          <w:lang w:val="en-US"/>
        </w:rPr>
      </w:pPr>
      <w:r>
        <w:rPr>
          <w:rFonts w:ascii="Century Gothic" w:hAnsi="Century Gothic" w:cs="Arial"/>
          <w:sz w:val="22"/>
          <w:szCs w:val="22"/>
          <w:lang w:val="en-GB"/>
        </w:rPr>
        <w:t>connection to the public telephone network and access to publicly available telephone services at a fixed location,</w:t>
      </w:r>
    </w:p>
    <w:p w14:paraId="3B28DC7A" w14:textId="77777777" w:rsidR="00835317" w:rsidRPr="00AE3CB1" w:rsidRDefault="00835317" w:rsidP="003D0650">
      <w:pPr>
        <w:pStyle w:val="podpisi"/>
        <w:numPr>
          <w:ilvl w:val="0"/>
          <w:numId w:val="29"/>
        </w:numPr>
        <w:spacing w:line="280" w:lineRule="exact"/>
        <w:jc w:val="both"/>
        <w:rPr>
          <w:rFonts w:ascii="Century Gothic" w:hAnsi="Century Gothic" w:cs="Arial"/>
          <w:sz w:val="22"/>
          <w:szCs w:val="22"/>
          <w:lang w:val="en-US"/>
        </w:rPr>
      </w:pPr>
      <w:r>
        <w:rPr>
          <w:rFonts w:ascii="Century Gothic" w:hAnsi="Century Gothic" w:cs="Arial"/>
          <w:sz w:val="22"/>
          <w:szCs w:val="22"/>
          <w:lang w:val="en-GB"/>
        </w:rPr>
        <w:lastRenderedPageBreak/>
        <w:t>access to data communications at a transfer speed suitable for functional access to the internet at a fixed location,</w:t>
      </w:r>
    </w:p>
    <w:p w14:paraId="299F192D" w14:textId="77777777" w:rsidR="00835317" w:rsidRPr="00AE3CB1" w:rsidRDefault="00835317" w:rsidP="003D0650">
      <w:pPr>
        <w:pStyle w:val="podpisi"/>
        <w:numPr>
          <w:ilvl w:val="0"/>
          <w:numId w:val="29"/>
        </w:numPr>
        <w:spacing w:line="280" w:lineRule="exact"/>
        <w:jc w:val="both"/>
        <w:rPr>
          <w:rFonts w:ascii="Century Gothic" w:hAnsi="Century Gothic" w:cs="Arial"/>
          <w:sz w:val="22"/>
          <w:szCs w:val="22"/>
          <w:lang w:val="en-US"/>
        </w:rPr>
      </w:pPr>
      <w:r>
        <w:rPr>
          <w:rFonts w:ascii="Century Gothic" w:hAnsi="Century Gothic" w:cs="Arial"/>
          <w:sz w:val="22"/>
          <w:szCs w:val="22"/>
          <w:lang w:val="en-GB"/>
        </w:rPr>
        <w:t>ensuring and providing access to a universal directory and a universal subscriber information service,</w:t>
      </w:r>
    </w:p>
    <w:p w14:paraId="5795998E" w14:textId="77777777" w:rsidR="00835317" w:rsidRPr="00AC504C" w:rsidRDefault="00835317" w:rsidP="003D0650">
      <w:pPr>
        <w:pStyle w:val="podpisi"/>
        <w:numPr>
          <w:ilvl w:val="0"/>
          <w:numId w:val="29"/>
        </w:numPr>
        <w:spacing w:line="280" w:lineRule="exact"/>
        <w:jc w:val="both"/>
        <w:rPr>
          <w:rFonts w:ascii="Century Gothic" w:hAnsi="Century Gothic" w:cs="Arial"/>
          <w:sz w:val="22"/>
          <w:szCs w:val="22"/>
        </w:rPr>
      </w:pPr>
      <w:r>
        <w:rPr>
          <w:rFonts w:ascii="Century Gothic" w:hAnsi="Century Gothic" w:cs="Arial"/>
          <w:sz w:val="22"/>
          <w:szCs w:val="22"/>
          <w:lang w:val="en-GB"/>
        </w:rPr>
        <w:t>public pay telephones</w:t>
      </w:r>
      <w:r>
        <w:rPr>
          <w:rStyle w:val="Sprotnaopomba-sklic"/>
          <w:rFonts w:ascii="Century Gothic" w:hAnsi="Century Gothic" w:cs="Arial"/>
          <w:sz w:val="22"/>
          <w:szCs w:val="22"/>
          <w:lang w:val="en-GB"/>
        </w:rPr>
        <w:footnoteReference w:id="23"/>
      </w:r>
      <w:r>
        <w:rPr>
          <w:rFonts w:ascii="Century Gothic" w:hAnsi="Century Gothic" w:cs="Arial"/>
          <w:sz w:val="22"/>
          <w:szCs w:val="22"/>
          <w:lang w:val="en-GB"/>
        </w:rPr>
        <w:t xml:space="preserve"> and</w:t>
      </w:r>
    </w:p>
    <w:p w14:paraId="2130BDFF" w14:textId="77777777" w:rsidR="00835317" w:rsidRPr="00AE3CB1" w:rsidRDefault="00835317" w:rsidP="003D0650">
      <w:pPr>
        <w:pStyle w:val="podpisi"/>
        <w:numPr>
          <w:ilvl w:val="0"/>
          <w:numId w:val="29"/>
        </w:numPr>
        <w:spacing w:line="280" w:lineRule="exact"/>
        <w:jc w:val="both"/>
        <w:rPr>
          <w:rFonts w:ascii="Century Gothic" w:hAnsi="Century Gothic" w:cs="Arial"/>
          <w:sz w:val="22"/>
          <w:szCs w:val="22"/>
          <w:lang w:val="en-US"/>
        </w:rPr>
      </w:pPr>
      <w:r>
        <w:rPr>
          <w:rFonts w:ascii="Century Gothic" w:hAnsi="Century Gothic" w:cs="Arial"/>
          <w:sz w:val="22"/>
          <w:szCs w:val="22"/>
          <w:lang w:val="en-GB"/>
        </w:rPr>
        <w:t>measures for end-users with disabilities, other persons with special needs, and people with low income.</w:t>
      </w:r>
    </w:p>
    <w:p w14:paraId="65F59835" w14:textId="77777777" w:rsidR="00F855C9" w:rsidRPr="00AE3CB1" w:rsidRDefault="00F855C9" w:rsidP="00BF67BA">
      <w:pPr>
        <w:pStyle w:val="podpisi"/>
        <w:spacing w:line="280" w:lineRule="exact"/>
        <w:jc w:val="both"/>
        <w:rPr>
          <w:rFonts w:ascii="Century Gothic" w:hAnsi="Century Gothic" w:cs="Arial"/>
          <w:sz w:val="22"/>
          <w:szCs w:val="22"/>
          <w:lang w:val="en-US"/>
        </w:rPr>
      </w:pPr>
    </w:p>
    <w:p w14:paraId="19DD086A" w14:textId="77777777" w:rsidR="00693A77" w:rsidRPr="00AE3CB1" w:rsidRDefault="007F2A70" w:rsidP="00BF67BA">
      <w:pPr>
        <w:pStyle w:val="podpisi"/>
        <w:spacing w:line="280" w:lineRule="exact"/>
        <w:jc w:val="both"/>
        <w:rPr>
          <w:rFonts w:ascii="Century Gothic" w:hAnsi="Century Gothic" w:cs="Arial"/>
          <w:sz w:val="22"/>
          <w:szCs w:val="22"/>
          <w:lang w:val="en-US"/>
        </w:rPr>
      </w:pPr>
      <w:r>
        <w:rPr>
          <w:rFonts w:ascii="Century Gothic" w:hAnsi="Century Gothic" w:cs="Arial"/>
          <w:sz w:val="22"/>
          <w:szCs w:val="22"/>
          <w:lang w:val="en-GB"/>
        </w:rPr>
        <w:t xml:space="preserve">Different technologies may be used to provide universal service. The choice of technology depends on the technical possibilities at the user's permanent residence. Individual services are provided by providers selected </w:t>
      </w:r>
      <w:proofErr w:type="gramStart"/>
      <w:r>
        <w:rPr>
          <w:rFonts w:ascii="Century Gothic" w:hAnsi="Century Gothic" w:cs="Arial"/>
          <w:sz w:val="22"/>
          <w:szCs w:val="22"/>
          <w:lang w:val="en-GB"/>
        </w:rPr>
        <w:t>on the basis of</w:t>
      </w:r>
      <w:proofErr w:type="gramEnd"/>
      <w:r>
        <w:rPr>
          <w:rFonts w:ascii="Century Gothic" w:hAnsi="Century Gothic" w:cs="Arial"/>
          <w:sz w:val="22"/>
          <w:szCs w:val="22"/>
          <w:lang w:val="en-GB"/>
        </w:rPr>
        <w:t xml:space="preserve"> the procedure laid down in the ZEKom-1. The designation procedures are managed by AKOS, which, based on market analyses and public consultations, defines specific </w:t>
      </w:r>
      <w:proofErr w:type="gramStart"/>
      <w:r>
        <w:rPr>
          <w:rFonts w:ascii="Century Gothic" w:hAnsi="Century Gothic" w:cs="Arial"/>
          <w:sz w:val="22"/>
          <w:szCs w:val="22"/>
          <w:lang w:val="en-GB"/>
        </w:rPr>
        <w:t>measures</w:t>
      </w:r>
      <w:proofErr w:type="gramEnd"/>
      <w:r>
        <w:rPr>
          <w:rFonts w:ascii="Century Gothic" w:hAnsi="Century Gothic" w:cs="Arial"/>
          <w:sz w:val="22"/>
          <w:szCs w:val="22"/>
          <w:lang w:val="en-GB"/>
        </w:rPr>
        <w:t xml:space="preserve"> and designates providers. The procedure is repeated every five years to ensure that universal service meets people’s needs and the market requirements.</w:t>
      </w:r>
    </w:p>
    <w:p w14:paraId="4F989835" w14:textId="77777777" w:rsidR="00EF2CE4" w:rsidRPr="00AE3CB1" w:rsidRDefault="00EF2CE4" w:rsidP="003D0650">
      <w:pPr>
        <w:pStyle w:val="podpisi"/>
        <w:spacing w:line="280" w:lineRule="exact"/>
        <w:jc w:val="both"/>
        <w:rPr>
          <w:rFonts w:ascii="Century Gothic" w:hAnsi="Century Gothic" w:cs="Arial"/>
          <w:sz w:val="22"/>
          <w:szCs w:val="22"/>
          <w:lang w:val="en-US"/>
        </w:rPr>
      </w:pPr>
    </w:p>
    <w:p w14:paraId="2C1410F5" w14:textId="77777777" w:rsidR="00B617C1" w:rsidRPr="00AE3CB1" w:rsidRDefault="0095353D">
      <w:pPr>
        <w:pStyle w:val="podpisi"/>
        <w:spacing w:line="280" w:lineRule="exact"/>
        <w:jc w:val="both"/>
        <w:rPr>
          <w:rFonts w:ascii="Century Gothic" w:hAnsi="Century Gothic" w:cs="Arial"/>
          <w:sz w:val="22"/>
          <w:szCs w:val="22"/>
          <w:lang w:val="en-US"/>
        </w:rPr>
      </w:pPr>
      <w:r>
        <w:rPr>
          <w:rFonts w:ascii="Century Gothic" w:hAnsi="Century Gothic"/>
          <w:sz w:val="22"/>
          <w:szCs w:val="22"/>
          <w:lang w:val="en-GB"/>
        </w:rPr>
        <w:t xml:space="preserve">Under universal service, every household is currently entitled to internet access ensuring a downlink of 10 </w:t>
      </w:r>
      <w:proofErr w:type="gramStart"/>
      <w:r>
        <w:rPr>
          <w:rFonts w:ascii="Century Gothic" w:hAnsi="Century Gothic"/>
          <w:sz w:val="22"/>
          <w:szCs w:val="22"/>
          <w:lang w:val="en-GB"/>
        </w:rPr>
        <w:t>Mbps  and</w:t>
      </w:r>
      <w:proofErr w:type="gramEnd"/>
      <w:r>
        <w:rPr>
          <w:rFonts w:ascii="Century Gothic" w:hAnsi="Century Gothic"/>
          <w:sz w:val="22"/>
          <w:szCs w:val="22"/>
          <w:lang w:val="en-GB"/>
        </w:rPr>
        <w:t xml:space="preserve"> an uplink of 1 Mbps at the place of permanent residence. If users are unable to obtain such service from commercial service providers, they may request it from the designated universal service provider. </w:t>
      </w:r>
    </w:p>
    <w:p w14:paraId="18DB4978" w14:textId="77777777" w:rsidR="00BB7570" w:rsidRPr="00AE3CB1" w:rsidRDefault="00BB7570">
      <w:pPr>
        <w:pStyle w:val="podpisi"/>
        <w:spacing w:line="280" w:lineRule="exact"/>
        <w:jc w:val="both"/>
        <w:rPr>
          <w:rFonts w:ascii="Century Gothic" w:hAnsi="Century Gothic" w:cs="Arial"/>
          <w:sz w:val="22"/>
          <w:szCs w:val="22"/>
          <w:lang w:val="en-US"/>
        </w:rPr>
      </w:pPr>
    </w:p>
    <w:p w14:paraId="2F9E387E" w14:textId="77777777" w:rsidR="00BB7570" w:rsidRPr="00B1221E" w:rsidRDefault="00BB7570" w:rsidP="00B1221E">
      <w:pPr>
        <w:pStyle w:val="Naslov3"/>
        <w:jc w:val="both"/>
        <w:rPr>
          <w:rFonts w:ascii="Century Gothic" w:hAnsi="Century Gothic"/>
          <w:color w:val="auto"/>
          <w:sz w:val="22"/>
          <w:szCs w:val="22"/>
        </w:rPr>
      </w:pPr>
      <w:bookmarkStart w:id="40" w:name="_Toc140746454"/>
      <w:r>
        <w:rPr>
          <w:rFonts w:ascii="Century Gothic" w:hAnsi="Century Gothic"/>
          <w:color w:val="auto"/>
          <w:sz w:val="22"/>
          <w:szCs w:val="22"/>
          <w:lang w:val="en-GB"/>
        </w:rPr>
        <w:t xml:space="preserve">6.2.4 Toolbox for reducing the cost of deploying very high capacity </w:t>
      </w:r>
      <w:proofErr w:type="gramStart"/>
      <w:r>
        <w:rPr>
          <w:rFonts w:ascii="Century Gothic" w:hAnsi="Century Gothic"/>
          <w:color w:val="auto"/>
          <w:sz w:val="22"/>
          <w:szCs w:val="22"/>
          <w:lang w:val="en-GB"/>
        </w:rPr>
        <w:t>networks</w:t>
      </w:r>
      <w:bookmarkEnd w:id="40"/>
      <w:proofErr w:type="gramEnd"/>
    </w:p>
    <w:p w14:paraId="63EA0094" w14:textId="77777777" w:rsidR="0023463C" w:rsidRPr="00AE3CB1" w:rsidRDefault="0023463C" w:rsidP="00ED4A95">
      <w:pPr>
        <w:pStyle w:val="podpisi"/>
        <w:spacing w:line="280" w:lineRule="exact"/>
        <w:jc w:val="both"/>
        <w:rPr>
          <w:rFonts w:ascii="Century Gothic" w:hAnsi="Century Gothic"/>
          <w:sz w:val="22"/>
          <w:szCs w:val="22"/>
          <w:u w:val="single"/>
          <w:lang w:val="en-US"/>
        </w:rPr>
      </w:pPr>
    </w:p>
    <w:p w14:paraId="2325208F" w14:textId="77777777" w:rsidR="00610793" w:rsidRPr="00AC504C" w:rsidRDefault="00B57F5B" w:rsidP="00ED4A95">
      <w:pPr>
        <w:pStyle w:val="podpisi"/>
        <w:spacing w:line="280" w:lineRule="exact"/>
        <w:jc w:val="both"/>
        <w:rPr>
          <w:rFonts w:ascii="Century Gothic" w:hAnsi="Century Gothic"/>
          <w:sz w:val="22"/>
          <w:szCs w:val="22"/>
        </w:rPr>
      </w:pPr>
      <w:r>
        <w:rPr>
          <w:rFonts w:ascii="Century Gothic" w:hAnsi="Century Gothic"/>
          <w:sz w:val="22"/>
          <w:szCs w:val="22"/>
          <w:lang w:val="en-GB"/>
        </w:rPr>
        <w:t xml:space="preserve">When constructing broadband networks, the common Union toolbox for connectivity aimed at reducing the cost of deploying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networks and ensuring timely and investment friendly access to the 5G radio spectrum must be taken into consideration.</w:t>
      </w:r>
      <w:r>
        <w:rPr>
          <w:rStyle w:val="Sprotnaopomba-sklic"/>
          <w:rFonts w:ascii="Century Gothic" w:hAnsi="Century Gothic"/>
          <w:sz w:val="22"/>
          <w:szCs w:val="22"/>
          <w:lang w:val="en-GB"/>
        </w:rPr>
        <w:footnoteReference w:id="24"/>
      </w:r>
      <w:r>
        <w:rPr>
          <w:rFonts w:ascii="Century Gothic" w:hAnsi="Century Gothic"/>
          <w:sz w:val="22"/>
          <w:szCs w:val="22"/>
          <w:lang w:val="en-GB"/>
        </w:rPr>
        <w:t>These tools comprise:</w:t>
      </w:r>
    </w:p>
    <w:p w14:paraId="625ECBEA" w14:textId="77777777" w:rsidR="00610793" w:rsidRPr="00AC504C" w:rsidRDefault="00610793" w:rsidP="00F855C9">
      <w:pPr>
        <w:pStyle w:val="podpisi"/>
        <w:numPr>
          <w:ilvl w:val="0"/>
          <w:numId w:val="35"/>
        </w:numPr>
        <w:spacing w:line="280" w:lineRule="exact"/>
        <w:jc w:val="both"/>
        <w:rPr>
          <w:rFonts w:ascii="Century Gothic" w:hAnsi="Century Gothic"/>
          <w:sz w:val="22"/>
          <w:szCs w:val="22"/>
        </w:rPr>
      </w:pPr>
      <w:r>
        <w:rPr>
          <w:rFonts w:ascii="Century Gothic" w:hAnsi="Century Gothic"/>
          <w:sz w:val="22"/>
          <w:szCs w:val="22"/>
          <w:lang w:val="en-GB"/>
        </w:rPr>
        <w:t>streamlining permit granting procedures,</w:t>
      </w:r>
    </w:p>
    <w:p w14:paraId="69C1B229" w14:textId="77777777" w:rsidR="00963763" w:rsidRPr="00AE3CB1" w:rsidRDefault="00963763" w:rsidP="00F855C9">
      <w:pPr>
        <w:pStyle w:val="podpisi"/>
        <w:numPr>
          <w:ilvl w:val="0"/>
          <w:numId w:val="35"/>
        </w:numPr>
        <w:spacing w:line="280" w:lineRule="exact"/>
        <w:jc w:val="both"/>
        <w:rPr>
          <w:rFonts w:ascii="Century Gothic" w:hAnsi="Century Gothic"/>
          <w:sz w:val="22"/>
          <w:szCs w:val="22"/>
          <w:lang w:val="en-US"/>
        </w:rPr>
      </w:pPr>
      <w:r>
        <w:rPr>
          <w:rFonts w:ascii="Century Gothic" w:hAnsi="Century Gothic"/>
          <w:sz w:val="22"/>
          <w:szCs w:val="22"/>
          <w:lang w:val="en-GB"/>
        </w:rPr>
        <w:t>increasing transparency through a single information point,</w:t>
      </w:r>
    </w:p>
    <w:p w14:paraId="46DCCD26" w14:textId="77777777" w:rsidR="00963763" w:rsidRPr="00AE3CB1" w:rsidRDefault="00963763" w:rsidP="00F855C9">
      <w:pPr>
        <w:pStyle w:val="podpisi"/>
        <w:numPr>
          <w:ilvl w:val="0"/>
          <w:numId w:val="35"/>
        </w:numPr>
        <w:spacing w:line="280" w:lineRule="exact"/>
        <w:jc w:val="both"/>
        <w:rPr>
          <w:rFonts w:ascii="Century Gothic" w:hAnsi="Century Gothic"/>
          <w:sz w:val="22"/>
          <w:szCs w:val="22"/>
          <w:lang w:val="en-US"/>
        </w:rPr>
      </w:pPr>
      <w:r>
        <w:rPr>
          <w:rFonts w:ascii="Century Gothic" w:hAnsi="Century Gothic"/>
          <w:sz w:val="22"/>
          <w:szCs w:val="22"/>
          <w:lang w:val="en-GB"/>
        </w:rPr>
        <w:t>expanding the right to access existing infrastructure,</w:t>
      </w:r>
    </w:p>
    <w:p w14:paraId="1FB7071E" w14:textId="77777777" w:rsidR="0086299F" w:rsidRPr="00AE3CB1" w:rsidRDefault="00963763" w:rsidP="00F855C9">
      <w:pPr>
        <w:pStyle w:val="podpisi"/>
        <w:numPr>
          <w:ilvl w:val="0"/>
          <w:numId w:val="35"/>
        </w:numPr>
        <w:spacing w:line="280" w:lineRule="exact"/>
        <w:jc w:val="both"/>
        <w:rPr>
          <w:rFonts w:ascii="Century Gothic" w:hAnsi="Century Gothic"/>
          <w:sz w:val="22"/>
          <w:szCs w:val="22"/>
          <w:lang w:val="en-US"/>
        </w:rPr>
      </w:pPr>
      <w:r>
        <w:rPr>
          <w:rFonts w:ascii="Century Gothic" w:hAnsi="Century Gothic"/>
          <w:sz w:val="22"/>
          <w:szCs w:val="22"/>
          <w:lang w:val="en-GB"/>
        </w:rPr>
        <w:t>improving the dispute resolution mechanism,</w:t>
      </w:r>
    </w:p>
    <w:p w14:paraId="4B98DB58" w14:textId="77777777" w:rsidR="00963763" w:rsidRPr="00AE3CB1" w:rsidRDefault="00963763" w:rsidP="00F855C9">
      <w:pPr>
        <w:pStyle w:val="podpisi"/>
        <w:numPr>
          <w:ilvl w:val="0"/>
          <w:numId w:val="35"/>
        </w:numPr>
        <w:spacing w:line="280" w:lineRule="exact"/>
        <w:jc w:val="both"/>
        <w:rPr>
          <w:rFonts w:ascii="Century Gothic" w:hAnsi="Century Gothic"/>
          <w:sz w:val="22"/>
          <w:szCs w:val="22"/>
          <w:lang w:val="en-US"/>
        </w:rPr>
      </w:pPr>
      <w:r>
        <w:rPr>
          <w:rFonts w:ascii="Century Gothic" w:hAnsi="Century Gothic"/>
          <w:sz w:val="22"/>
          <w:szCs w:val="22"/>
          <w:lang w:val="en-GB"/>
        </w:rPr>
        <w:t>reducing the environmental impact of networks,</w:t>
      </w:r>
    </w:p>
    <w:p w14:paraId="4223A9D1" w14:textId="77777777" w:rsidR="00763E86" w:rsidRPr="00AC504C" w:rsidRDefault="00763E86" w:rsidP="00F855C9">
      <w:pPr>
        <w:pStyle w:val="podpisi"/>
        <w:numPr>
          <w:ilvl w:val="0"/>
          <w:numId w:val="35"/>
        </w:numPr>
        <w:spacing w:line="280" w:lineRule="exact"/>
        <w:jc w:val="both"/>
        <w:rPr>
          <w:rFonts w:ascii="Century Gothic" w:hAnsi="Century Gothic"/>
          <w:sz w:val="22"/>
          <w:szCs w:val="22"/>
        </w:rPr>
      </w:pPr>
      <w:r>
        <w:rPr>
          <w:rFonts w:ascii="Century Gothic" w:hAnsi="Century Gothic"/>
          <w:sz w:val="22"/>
          <w:szCs w:val="22"/>
          <w:lang w:val="en-GB"/>
        </w:rPr>
        <w:t>assessing environmental impact,</w:t>
      </w:r>
    </w:p>
    <w:p w14:paraId="6D369183" w14:textId="77777777" w:rsidR="00763E86" w:rsidRPr="00AE3CB1" w:rsidRDefault="00763E86" w:rsidP="00F855C9">
      <w:pPr>
        <w:pStyle w:val="podpisi"/>
        <w:numPr>
          <w:ilvl w:val="0"/>
          <w:numId w:val="35"/>
        </w:numPr>
        <w:spacing w:line="280" w:lineRule="exact"/>
        <w:jc w:val="both"/>
        <w:rPr>
          <w:rFonts w:ascii="Century Gothic" w:hAnsi="Century Gothic"/>
          <w:sz w:val="22"/>
          <w:szCs w:val="22"/>
          <w:lang w:val="en-US"/>
        </w:rPr>
      </w:pPr>
      <w:r>
        <w:rPr>
          <w:rFonts w:ascii="Century Gothic" w:hAnsi="Century Gothic"/>
          <w:sz w:val="22"/>
          <w:szCs w:val="22"/>
          <w:lang w:val="en-GB"/>
        </w:rPr>
        <w:t>providing a schedule of spectrum authorisation procedures, and</w:t>
      </w:r>
    </w:p>
    <w:p w14:paraId="61793F94" w14:textId="77777777" w:rsidR="00F7359F" w:rsidRPr="00AC504C" w:rsidRDefault="00F7359F" w:rsidP="00F855C9">
      <w:pPr>
        <w:pStyle w:val="podpisi"/>
        <w:numPr>
          <w:ilvl w:val="0"/>
          <w:numId w:val="35"/>
        </w:numPr>
        <w:spacing w:line="280" w:lineRule="exact"/>
        <w:jc w:val="both"/>
        <w:rPr>
          <w:rFonts w:ascii="Century Gothic" w:hAnsi="Century Gothic"/>
          <w:sz w:val="22"/>
          <w:szCs w:val="22"/>
        </w:rPr>
      </w:pPr>
      <w:r>
        <w:rPr>
          <w:rFonts w:ascii="Century Gothic" w:hAnsi="Century Gothic"/>
          <w:sz w:val="22"/>
          <w:szCs w:val="22"/>
          <w:lang w:val="en-GB"/>
        </w:rPr>
        <w:t>providing investment incentives.</w:t>
      </w:r>
    </w:p>
    <w:p w14:paraId="03890DAD" w14:textId="77777777" w:rsidR="00736D58" w:rsidRDefault="00736D58" w:rsidP="00ED4A95">
      <w:pPr>
        <w:pStyle w:val="podpisi"/>
        <w:spacing w:line="280" w:lineRule="exact"/>
        <w:jc w:val="both"/>
        <w:rPr>
          <w:rFonts w:ascii="Century Gothic" w:hAnsi="Century Gothic"/>
          <w:sz w:val="22"/>
          <w:szCs w:val="22"/>
          <w:u w:val="single"/>
        </w:rPr>
      </w:pPr>
    </w:p>
    <w:p w14:paraId="3BDE5175" w14:textId="77777777" w:rsidR="00A4315B" w:rsidRDefault="00A4315B" w:rsidP="00ED4A95">
      <w:pPr>
        <w:pStyle w:val="podpisi"/>
        <w:spacing w:line="280" w:lineRule="exact"/>
        <w:jc w:val="both"/>
        <w:rPr>
          <w:rFonts w:ascii="Century Gothic" w:hAnsi="Century Gothic"/>
          <w:sz w:val="22"/>
          <w:szCs w:val="22"/>
          <w:u w:val="single"/>
        </w:rPr>
      </w:pPr>
    </w:p>
    <w:p w14:paraId="5AE7C467" w14:textId="77777777" w:rsidR="00A4315B" w:rsidRDefault="00A4315B" w:rsidP="00ED4A95">
      <w:pPr>
        <w:pStyle w:val="podpisi"/>
        <w:spacing w:line="280" w:lineRule="exact"/>
        <w:jc w:val="both"/>
        <w:rPr>
          <w:rFonts w:ascii="Century Gothic" w:hAnsi="Century Gothic"/>
          <w:sz w:val="22"/>
          <w:szCs w:val="22"/>
          <w:u w:val="single"/>
        </w:rPr>
      </w:pPr>
    </w:p>
    <w:p w14:paraId="08668787" w14:textId="77777777" w:rsidR="00A4315B" w:rsidRDefault="00A4315B" w:rsidP="00ED4A95">
      <w:pPr>
        <w:pStyle w:val="podpisi"/>
        <w:spacing w:line="280" w:lineRule="exact"/>
        <w:jc w:val="both"/>
        <w:rPr>
          <w:rFonts w:ascii="Century Gothic" w:hAnsi="Century Gothic"/>
          <w:sz w:val="22"/>
          <w:szCs w:val="22"/>
          <w:u w:val="single"/>
        </w:rPr>
      </w:pPr>
    </w:p>
    <w:p w14:paraId="6069ECEE" w14:textId="77777777" w:rsidR="00A4315B" w:rsidRPr="00AC504C" w:rsidRDefault="00A4315B" w:rsidP="00ED4A95">
      <w:pPr>
        <w:pStyle w:val="podpisi"/>
        <w:spacing w:line="280" w:lineRule="exact"/>
        <w:jc w:val="both"/>
        <w:rPr>
          <w:rFonts w:ascii="Century Gothic" w:hAnsi="Century Gothic"/>
          <w:sz w:val="22"/>
          <w:szCs w:val="22"/>
          <w:u w:val="single"/>
        </w:rPr>
      </w:pPr>
    </w:p>
    <w:p w14:paraId="5AB34AB7" w14:textId="77777777" w:rsidR="00A92592" w:rsidRPr="00B1221E" w:rsidRDefault="00C21161" w:rsidP="00B1221E">
      <w:pPr>
        <w:pStyle w:val="Naslov2"/>
        <w:rPr>
          <w:color w:val="auto"/>
        </w:rPr>
      </w:pPr>
      <w:bookmarkStart w:id="41" w:name="_Toc140746455"/>
      <w:r>
        <w:rPr>
          <w:color w:val="auto"/>
          <w:lang w:val="en-GB"/>
        </w:rPr>
        <w:t>6.3 Financial measures</w:t>
      </w:r>
      <w:bookmarkEnd w:id="41"/>
    </w:p>
    <w:p w14:paraId="2B4629AB" w14:textId="77777777" w:rsidR="006529E6" w:rsidRPr="00AC504C" w:rsidRDefault="006529E6" w:rsidP="006529E6">
      <w:pPr>
        <w:pStyle w:val="podpisi"/>
        <w:spacing w:line="280" w:lineRule="exact"/>
        <w:jc w:val="both"/>
        <w:rPr>
          <w:rFonts w:ascii="Century Gothic" w:hAnsi="Century Gothic"/>
          <w:sz w:val="22"/>
          <w:szCs w:val="22"/>
          <w:u w:val="single"/>
        </w:rPr>
      </w:pPr>
    </w:p>
    <w:p w14:paraId="3DB96122" w14:textId="77777777" w:rsidR="005045A5" w:rsidRPr="00B1221E" w:rsidRDefault="006529E6" w:rsidP="00BB0F6D">
      <w:pPr>
        <w:pStyle w:val="Naslov3"/>
        <w:rPr>
          <w:rFonts w:ascii="Century Gothic" w:hAnsi="Century Gothic"/>
          <w:color w:val="auto"/>
          <w:sz w:val="22"/>
          <w:szCs w:val="22"/>
        </w:rPr>
      </w:pPr>
      <w:bookmarkStart w:id="42" w:name="_Toc140746456"/>
      <w:r>
        <w:rPr>
          <w:rFonts w:ascii="Century Gothic" w:hAnsi="Century Gothic"/>
          <w:color w:val="auto"/>
          <w:sz w:val="22"/>
          <w:szCs w:val="22"/>
          <w:lang w:val="en-GB"/>
        </w:rPr>
        <w:lastRenderedPageBreak/>
        <w:t>6.3.1 Public co-financing of the deployment of broadband networks in white spots</w:t>
      </w:r>
      <w:bookmarkEnd w:id="42"/>
    </w:p>
    <w:p w14:paraId="0BD0314B" w14:textId="77777777" w:rsidR="006529E6" w:rsidRPr="00AE3CB1" w:rsidRDefault="006529E6" w:rsidP="006529E6">
      <w:pPr>
        <w:pStyle w:val="podpisi"/>
        <w:spacing w:line="280" w:lineRule="exact"/>
        <w:jc w:val="both"/>
        <w:rPr>
          <w:rFonts w:ascii="Century Gothic" w:hAnsi="Century Gothic"/>
          <w:sz w:val="22"/>
          <w:szCs w:val="22"/>
          <w:lang w:val="en-US"/>
        </w:rPr>
      </w:pPr>
    </w:p>
    <w:p w14:paraId="4CFFB8DA" w14:textId="77777777" w:rsidR="00E67A5B" w:rsidRPr="00AE3CB1" w:rsidRDefault="003D1061" w:rsidP="006529E6">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 xml:space="preserve">The development of broadband infrastructure in rural areas is hampered by scattered settlement patterns and low population density, hence private investors generally </w:t>
      </w:r>
      <w:proofErr w:type="gramStart"/>
      <w:r>
        <w:rPr>
          <w:rFonts w:ascii="Century Gothic" w:hAnsi="Century Gothic"/>
          <w:sz w:val="22"/>
          <w:szCs w:val="22"/>
          <w:lang w:val="en-GB"/>
        </w:rPr>
        <w:t>do not succeed</w:t>
      </w:r>
      <w:proofErr w:type="gramEnd"/>
      <w:r>
        <w:rPr>
          <w:rFonts w:ascii="Century Gothic" w:hAnsi="Century Gothic"/>
          <w:sz w:val="22"/>
          <w:szCs w:val="22"/>
          <w:lang w:val="en-GB"/>
        </w:rPr>
        <w:t xml:space="preserve"> in carrying out financially sustainable investment projects. Slovenia will use public funds to co-finance projects of private investors for the construction of infrastructure in white spots which lack appropriate infrastructure and commercial interest in its deployment.</w:t>
      </w:r>
    </w:p>
    <w:p w14:paraId="09635C4A" w14:textId="77777777" w:rsidR="00C52319" w:rsidRPr="00AE3CB1" w:rsidRDefault="00C52319" w:rsidP="00C52319">
      <w:pPr>
        <w:pStyle w:val="podpisi"/>
        <w:spacing w:line="280" w:lineRule="exact"/>
        <w:jc w:val="both"/>
        <w:rPr>
          <w:rFonts w:ascii="Century Gothic" w:hAnsi="Century Gothic"/>
          <w:sz w:val="22"/>
          <w:szCs w:val="22"/>
          <w:lang w:val="en-US"/>
        </w:rPr>
      </w:pPr>
    </w:p>
    <w:p w14:paraId="43D8353C" w14:textId="77777777" w:rsidR="005043E3" w:rsidRPr="00AE3CB1" w:rsidRDefault="00E67A5B" w:rsidP="00C52319">
      <w:pPr>
        <w:pStyle w:val="podpisi"/>
        <w:spacing w:line="280" w:lineRule="exact"/>
        <w:jc w:val="both"/>
        <w:rPr>
          <w:rFonts w:ascii="Century Gothic" w:hAnsi="Century Gothic"/>
          <w:sz w:val="22"/>
          <w:szCs w:val="22"/>
          <w:lang w:val="en-US"/>
        </w:rPr>
      </w:pPr>
      <w:r>
        <w:rPr>
          <w:rFonts w:ascii="Century Gothic" w:hAnsi="Century Gothic"/>
          <w:sz w:val="22"/>
          <w:szCs w:val="22"/>
          <w:lang w:val="en-GB"/>
        </w:rPr>
        <w:t>Public co-financing of deployment in white spots will increase the affordability and availability of open and suitable quality infrastructure and services prepared for the future.</w:t>
      </w:r>
    </w:p>
    <w:p w14:paraId="587F1B08" w14:textId="77777777" w:rsidR="00C52319" w:rsidRPr="00AC504C" w:rsidRDefault="00C52319" w:rsidP="00C52319">
      <w:pPr>
        <w:spacing w:line="280" w:lineRule="exact"/>
        <w:jc w:val="both"/>
        <w:rPr>
          <w:rFonts w:ascii="Century Gothic" w:eastAsia="Calibri" w:hAnsi="Century Gothic"/>
          <w:color w:val="000000"/>
          <w:sz w:val="22"/>
          <w:szCs w:val="22"/>
        </w:rPr>
      </w:pPr>
    </w:p>
    <w:p w14:paraId="1F3CF2C0" w14:textId="77777777" w:rsidR="00FF01A1" w:rsidRPr="00AC504C" w:rsidRDefault="00887795" w:rsidP="00C52319">
      <w:pPr>
        <w:spacing w:line="280" w:lineRule="exact"/>
        <w:jc w:val="both"/>
        <w:rPr>
          <w:rFonts w:ascii="Century Gothic" w:eastAsia="Calibri" w:hAnsi="Century Gothic"/>
          <w:sz w:val="22"/>
          <w:szCs w:val="22"/>
        </w:rPr>
      </w:pPr>
      <w:proofErr w:type="gramStart"/>
      <w:r>
        <w:rPr>
          <w:rFonts w:ascii="Century Gothic" w:hAnsi="Century Gothic"/>
          <w:color w:val="000000"/>
          <w:sz w:val="22"/>
          <w:szCs w:val="22"/>
          <w:lang w:val="en-GB"/>
        </w:rPr>
        <w:t>In order to</w:t>
      </w:r>
      <w:proofErr w:type="gramEnd"/>
      <w:r>
        <w:rPr>
          <w:rFonts w:ascii="Century Gothic" w:hAnsi="Century Gothic"/>
          <w:color w:val="000000"/>
          <w:sz w:val="22"/>
          <w:szCs w:val="22"/>
          <w:lang w:val="en-GB"/>
        </w:rPr>
        <w:t xml:space="preserve"> improve the financial sustainability of investment projects, the maximum amount of public co-financing per household – white spots – will be broken down, where appropriate, by the population density of each settlement in a municipality. Settlements will be </w:t>
      </w:r>
      <w:proofErr w:type="gramStart"/>
      <w:r>
        <w:rPr>
          <w:rFonts w:ascii="Century Gothic" w:hAnsi="Century Gothic"/>
          <w:color w:val="000000"/>
          <w:sz w:val="22"/>
          <w:szCs w:val="22"/>
          <w:lang w:val="en-GB"/>
        </w:rPr>
        <w:t>classified into groups</w:t>
      </w:r>
      <w:proofErr w:type="gramEnd"/>
      <w:r>
        <w:rPr>
          <w:rFonts w:ascii="Century Gothic" w:hAnsi="Century Gothic"/>
          <w:color w:val="000000"/>
          <w:sz w:val="22"/>
          <w:szCs w:val="22"/>
          <w:lang w:val="en-GB"/>
        </w:rPr>
        <w:t xml:space="preserve"> according to the population density or other more appropriate criteria. The construction, management and operating costs of broadband networks are considered eligible costs under Regulation </w:t>
      </w:r>
      <w:r>
        <w:rPr>
          <w:rFonts w:ascii="Century Gothic" w:hAnsi="Century Gothic"/>
          <w:sz w:val="22"/>
          <w:szCs w:val="22"/>
          <w:lang w:val="en-GB"/>
        </w:rPr>
        <w:t>651/2014/EU.</w:t>
      </w:r>
    </w:p>
    <w:p w14:paraId="0039785C" w14:textId="77777777" w:rsidR="004305FD" w:rsidRPr="00AC504C" w:rsidRDefault="004305FD" w:rsidP="00C52319">
      <w:pPr>
        <w:spacing w:line="280" w:lineRule="exact"/>
        <w:jc w:val="both"/>
        <w:rPr>
          <w:rFonts w:ascii="Century Gothic" w:eastAsia="Calibri" w:hAnsi="Century Gothic"/>
          <w:color w:val="000000"/>
          <w:sz w:val="22"/>
          <w:szCs w:val="22"/>
        </w:rPr>
      </w:pPr>
    </w:p>
    <w:p w14:paraId="37CB1546" w14:textId="77777777" w:rsidR="000613B7" w:rsidRPr="00AC504C" w:rsidRDefault="000613B7" w:rsidP="000613B7">
      <w:pPr>
        <w:spacing w:line="280" w:lineRule="exact"/>
        <w:jc w:val="both"/>
        <w:rPr>
          <w:rFonts w:ascii="Century Gothic" w:eastAsia="SimSun" w:hAnsi="Century Gothic" w:cs="Tahoma"/>
          <w:sz w:val="22"/>
          <w:szCs w:val="22"/>
        </w:rPr>
      </w:pPr>
      <w:r>
        <w:rPr>
          <w:rFonts w:ascii="Century Gothic" w:eastAsia="SimSun" w:hAnsi="Century Gothic" w:cs="Tahoma"/>
          <w:sz w:val="22"/>
          <w:szCs w:val="22"/>
          <w:lang w:val="en-GB"/>
        </w:rPr>
        <w:t>Prior to the publication of individual measures for the co-financing of the deployment of broadband networks in white spots from public funds, an inquiry will be made into the market interest of electronic communications operators in deploying appropriate gigabit infrastructure and the actual situation will be verified. The co-financed infrastructure will have to enable the achievement of Slovenia’s strategic objectives set out in the Plan.</w:t>
      </w:r>
    </w:p>
    <w:p w14:paraId="04FBEC96" w14:textId="77777777" w:rsidR="000613B7" w:rsidRPr="00AC504C" w:rsidRDefault="000613B7" w:rsidP="003D0650">
      <w:pPr>
        <w:spacing w:line="280" w:lineRule="exact"/>
        <w:jc w:val="both"/>
        <w:rPr>
          <w:rFonts w:ascii="Century Gothic" w:eastAsia="Calibri" w:hAnsi="Century Gothic"/>
          <w:color w:val="000000"/>
          <w:sz w:val="22"/>
          <w:szCs w:val="22"/>
        </w:rPr>
      </w:pPr>
    </w:p>
    <w:p w14:paraId="4FAFE34C" w14:textId="77777777" w:rsidR="00F47B51" w:rsidRPr="00B1221E" w:rsidRDefault="00F47B51" w:rsidP="00BB0F6D">
      <w:pPr>
        <w:pStyle w:val="Naslov3"/>
        <w:rPr>
          <w:rFonts w:ascii="Century Gothic" w:eastAsia="Calibri" w:hAnsi="Century Gothic"/>
          <w:sz w:val="22"/>
          <w:szCs w:val="22"/>
        </w:rPr>
      </w:pPr>
      <w:bookmarkStart w:id="43" w:name="_Toc140746457"/>
      <w:r>
        <w:rPr>
          <w:rFonts w:ascii="Century Gothic" w:eastAsia="Calibri" w:hAnsi="Century Gothic"/>
          <w:color w:val="auto"/>
          <w:sz w:val="22"/>
          <w:szCs w:val="22"/>
          <w:lang w:val="en-GB"/>
        </w:rPr>
        <w:t>6.3.2 Other financial measures</w:t>
      </w:r>
      <w:bookmarkEnd w:id="43"/>
    </w:p>
    <w:p w14:paraId="29AFCC47" w14:textId="77777777" w:rsidR="00F47B51" w:rsidRPr="00AC504C" w:rsidRDefault="00F47B51" w:rsidP="00F47B51">
      <w:pPr>
        <w:rPr>
          <w:rFonts w:eastAsia="Calibri"/>
        </w:rPr>
      </w:pPr>
    </w:p>
    <w:p w14:paraId="583C8853" w14:textId="77777777" w:rsidR="00186259" w:rsidRPr="00AC504C" w:rsidRDefault="00E67A5B" w:rsidP="00186259">
      <w:pPr>
        <w:spacing w:line="280" w:lineRule="exact"/>
        <w:jc w:val="both"/>
        <w:rPr>
          <w:rFonts w:ascii="Century Gothic" w:eastAsiaTheme="minorHAnsi" w:hAnsi="Century Gothic"/>
          <w:sz w:val="22"/>
          <w:szCs w:val="22"/>
        </w:rPr>
      </w:pPr>
      <w:r>
        <w:rPr>
          <w:rFonts w:ascii="Century Gothic" w:hAnsi="Century Gothic"/>
          <w:color w:val="000000"/>
          <w:sz w:val="22"/>
          <w:szCs w:val="22"/>
          <w:lang w:val="en-GB"/>
        </w:rPr>
        <w:t xml:space="preserve">In line with the principle of technology neutrality and state aid rules, eligible investments will include, in addition to the deployment of broadband networks in white spots, also investments enabling 5G </w:t>
      </w:r>
      <w:r>
        <w:rPr>
          <w:rFonts w:ascii="Century Gothic" w:hAnsi="Century Gothic"/>
          <w:sz w:val="22"/>
          <w:szCs w:val="22"/>
          <w:lang w:val="en-GB"/>
        </w:rPr>
        <w:t xml:space="preserve">coverage of all populated areas and major terrestrial transport paths by co-financing the construction of open passive base </w:t>
      </w:r>
      <w:proofErr w:type="gramStart"/>
      <w:r>
        <w:rPr>
          <w:rFonts w:ascii="Century Gothic" w:hAnsi="Century Gothic"/>
          <w:sz w:val="22"/>
          <w:szCs w:val="22"/>
          <w:lang w:val="en-GB"/>
        </w:rPr>
        <w:t>stations, and</w:t>
      </w:r>
      <w:proofErr w:type="gramEnd"/>
      <w:r>
        <w:rPr>
          <w:rFonts w:ascii="Century Gothic" w:hAnsi="Century Gothic"/>
          <w:sz w:val="22"/>
          <w:szCs w:val="22"/>
          <w:lang w:val="en-GB"/>
        </w:rPr>
        <w:t xml:space="preserve"> enabling gigabit connectivity for all socio-economic drivers in Slovenia.</w:t>
      </w:r>
    </w:p>
    <w:p w14:paraId="2546AB66" w14:textId="77777777" w:rsidR="004D4FB0" w:rsidRPr="00AC504C" w:rsidRDefault="004D4FB0" w:rsidP="00186259">
      <w:pPr>
        <w:spacing w:line="280" w:lineRule="exact"/>
        <w:jc w:val="both"/>
        <w:rPr>
          <w:rFonts w:ascii="Century Gothic" w:eastAsiaTheme="minorHAnsi" w:hAnsi="Century Gothic"/>
          <w:sz w:val="22"/>
          <w:szCs w:val="22"/>
        </w:rPr>
      </w:pPr>
    </w:p>
    <w:p w14:paraId="232A3A54" w14:textId="77777777" w:rsidR="00B74E89" w:rsidRPr="00AC504C" w:rsidRDefault="00B74E89" w:rsidP="00B74E89">
      <w:pPr>
        <w:spacing w:line="280" w:lineRule="exact"/>
        <w:jc w:val="both"/>
        <w:rPr>
          <w:rFonts w:ascii="Century Gothic" w:eastAsia="Calibri" w:hAnsi="Century Gothic"/>
          <w:color w:val="000000"/>
          <w:sz w:val="22"/>
          <w:szCs w:val="22"/>
        </w:rPr>
      </w:pPr>
      <w:r>
        <w:rPr>
          <w:rFonts w:ascii="Century Gothic" w:eastAsia="Calibri" w:hAnsi="Century Gothic"/>
          <w:color w:val="000000"/>
          <w:sz w:val="22"/>
          <w:szCs w:val="22"/>
          <w:lang w:val="en-GB"/>
        </w:rPr>
        <w:t>As regards financial measures needed to provide 5G coverage, we would like to explain that, compared to the financial measures needed to attain the other objectives of this Plan, they depend to a significantly greater extent on private investment, in particular on the amount of implemented investments (in addition to investment needed to meet the obligations under the radio frequency allocation decisions based on the auction of multi-frequencies allocation in April 2021) and their coverage.</w:t>
      </w:r>
      <w:r>
        <w:rPr>
          <w:rStyle w:val="Sprotnaopomba-sklic"/>
          <w:rFonts w:ascii="Century Gothic" w:eastAsia="Calibri" w:hAnsi="Century Gothic"/>
          <w:color w:val="000000"/>
          <w:sz w:val="22"/>
          <w:szCs w:val="22"/>
          <w:lang w:val="en-GB"/>
        </w:rPr>
        <w:footnoteReference w:id="25"/>
      </w:r>
      <w:r>
        <w:rPr>
          <w:rFonts w:ascii="Century Gothic" w:eastAsia="Calibri" w:hAnsi="Century Gothic"/>
          <w:color w:val="000000"/>
          <w:sz w:val="22"/>
          <w:szCs w:val="22"/>
          <w:lang w:val="en-GB"/>
        </w:rPr>
        <w:t>Against this background, new mapping will be conducted</w:t>
      </w:r>
      <w:r>
        <w:rPr>
          <w:rStyle w:val="Sprotnaopomba-sklic"/>
          <w:rFonts w:ascii="Century Gothic" w:eastAsia="Calibri" w:hAnsi="Century Gothic"/>
          <w:color w:val="000000"/>
          <w:sz w:val="22"/>
          <w:szCs w:val="22"/>
          <w:lang w:val="en-GB"/>
        </w:rPr>
        <w:footnoteReference w:id="26"/>
      </w:r>
      <w:r>
        <w:rPr>
          <w:rFonts w:ascii="Century Gothic" w:eastAsia="Calibri" w:hAnsi="Century Gothic"/>
          <w:color w:val="000000"/>
          <w:sz w:val="22"/>
          <w:szCs w:val="22"/>
          <w:lang w:val="en-GB"/>
        </w:rPr>
        <w:t xml:space="preserve"> by 21 December 2023 and a market interest inquiry will be carried out for 5G network deployment. The gap between, on the one hand, 5G coverage as guaranteed by market interest and compliance with 5G coverage obligations in the radio frequency </w:t>
      </w:r>
      <w:r>
        <w:rPr>
          <w:rFonts w:ascii="Century Gothic" w:eastAsia="Calibri" w:hAnsi="Century Gothic"/>
          <w:color w:val="000000"/>
          <w:sz w:val="22"/>
          <w:szCs w:val="22"/>
          <w:lang w:val="en-GB"/>
        </w:rPr>
        <w:lastRenderedPageBreak/>
        <w:t>allocation decisions and, on the other hand, the targeted 5G coverage, will thus be identified. The investment gap to be closed by public funds will also be identified.</w:t>
      </w:r>
    </w:p>
    <w:p w14:paraId="260C6CED" w14:textId="77777777" w:rsidR="00B74E89" w:rsidRPr="00AC504C" w:rsidRDefault="00B74E89" w:rsidP="00B74E89">
      <w:pPr>
        <w:spacing w:line="280" w:lineRule="exact"/>
        <w:jc w:val="both"/>
        <w:rPr>
          <w:rFonts w:ascii="Century Gothic" w:eastAsia="Calibri" w:hAnsi="Century Gothic"/>
          <w:color w:val="000000"/>
          <w:sz w:val="22"/>
          <w:szCs w:val="22"/>
        </w:rPr>
      </w:pPr>
    </w:p>
    <w:p w14:paraId="45BB93B8" w14:textId="77777777" w:rsidR="004D4FB0" w:rsidRPr="00AC504C" w:rsidRDefault="00630566" w:rsidP="00186259">
      <w:pPr>
        <w:spacing w:line="280" w:lineRule="exact"/>
        <w:jc w:val="both"/>
        <w:rPr>
          <w:rFonts w:ascii="Century Gothic" w:eastAsiaTheme="minorHAnsi" w:hAnsi="Century Gothic"/>
          <w:sz w:val="22"/>
          <w:szCs w:val="22"/>
        </w:rPr>
      </w:pPr>
      <w:proofErr w:type="gramStart"/>
      <w:r>
        <w:rPr>
          <w:rFonts w:ascii="Century Gothic" w:hAnsi="Century Gothic"/>
          <w:color w:val="000000"/>
          <w:sz w:val="22"/>
          <w:szCs w:val="22"/>
          <w:lang w:val="en-GB"/>
        </w:rPr>
        <w:t>In order to</w:t>
      </w:r>
      <w:proofErr w:type="gramEnd"/>
      <w:r>
        <w:rPr>
          <w:rFonts w:ascii="Century Gothic" w:hAnsi="Century Gothic"/>
          <w:color w:val="000000"/>
          <w:sz w:val="22"/>
          <w:szCs w:val="22"/>
          <w:lang w:val="en-GB"/>
        </w:rPr>
        <w:t xml:space="preserve"> boost connectivity, households or users will be offered connectivity </w:t>
      </w:r>
      <w:r>
        <w:rPr>
          <w:rFonts w:ascii="Century Gothic" w:hAnsi="Century Gothic"/>
          <w:sz w:val="22"/>
          <w:szCs w:val="22"/>
          <w:lang w:val="en-GB"/>
        </w:rPr>
        <w:t>vouchers enabling subscription to a new broadband internet access service or an upgrade of an existing subscription to a service of at least 100 Mbps. The connectivity voucher scheme will be made available to households or users in areas where there is already at least one reliable network with at a minimum speed of 100 Mbps but with more expensive technologies for users, which will be verified through mapping and public consultations. The voucher scheme will be designed so as not to distort competition and will fully comply with the principle of technology neutrality in the sense that vouchers can be used to subscribe to the services of any operator that can reliably deliver speeds of at least 100 Mbps over the existing broadband network, irrespective of the technologies used.</w:t>
      </w:r>
    </w:p>
    <w:p w14:paraId="481EC898" w14:textId="77777777" w:rsidR="00F47B51" w:rsidRPr="00AC504C" w:rsidRDefault="00F47B51" w:rsidP="00C52319">
      <w:pPr>
        <w:spacing w:line="280" w:lineRule="exact"/>
        <w:jc w:val="both"/>
        <w:rPr>
          <w:rFonts w:ascii="Century Gothic" w:eastAsia="Calibri" w:hAnsi="Century Gothic"/>
          <w:color w:val="000000"/>
          <w:sz w:val="22"/>
          <w:szCs w:val="22"/>
        </w:rPr>
      </w:pPr>
    </w:p>
    <w:p w14:paraId="60024562" w14:textId="77777777" w:rsidR="00CD3A74" w:rsidRPr="00AC504C" w:rsidRDefault="00772C18" w:rsidP="00C52319">
      <w:pPr>
        <w:spacing w:line="280" w:lineRule="exact"/>
        <w:jc w:val="both"/>
        <w:rPr>
          <w:rFonts w:ascii="Century Gothic" w:eastAsia="Calibri" w:hAnsi="Century Gothic"/>
          <w:color w:val="000000"/>
          <w:sz w:val="22"/>
          <w:szCs w:val="22"/>
        </w:rPr>
      </w:pPr>
      <w:r>
        <w:rPr>
          <w:rFonts w:ascii="Century Gothic" w:eastAsia="Calibri" w:hAnsi="Century Gothic"/>
          <w:color w:val="000000"/>
          <w:sz w:val="22"/>
          <w:szCs w:val="22"/>
          <w:lang w:val="en-GB"/>
        </w:rPr>
        <w:t>As part of public co-financing, it will be possible to use complementary forms of funding from EU, national or regional sources. The “double” claiming of costs and expenses that have already been or could be reimbursed from any other public source or were approved will not be allowed.</w:t>
      </w:r>
    </w:p>
    <w:p w14:paraId="522CBC75" w14:textId="77777777" w:rsidR="00C52319" w:rsidRPr="00AC504C" w:rsidRDefault="00C52319" w:rsidP="00C52319">
      <w:pPr>
        <w:spacing w:line="280" w:lineRule="exact"/>
        <w:jc w:val="both"/>
        <w:rPr>
          <w:rFonts w:ascii="Century Gothic" w:eastAsia="Calibri" w:hAnsi="Century Gothic"/>
          <w:color w:val="000000"/>
          <w:sz w:val="22"/>
          <w:szCs w:val="22"/>
        </w:rPr>
      </w:pPr>
    </w:p>
    <w:p w14:paraId="1946B803" w14:textId="77777777" w:rsidR="006852C9" w:rsidRPr="00AC504C" w:rsidRDefault="000C7F0D" w:rsidP="00C52319">
      <w:pPr>
        <w:spacing w:line="280" w:lineRule="exact"/>
        <w:jc w:val="both"/>
        <w:rPr>
          <w:rFonts w:ascii="Century Gothic" w:eastAsia="Calibri" w:hAnsi="Century Gothic"/>
          <w:color w:val="000000"/>
          <w:sz w:val="22"/>
          <w:szCs w:val="22"/>
        </w:rPr>
      </w:pPr>
      <w:r>
        <w:rPr>
          <w:rFonts w:ascii="Century Gothic" w:eastAsia="Calibri" w:hAnsi="Century Gothic"/>
          <w:color w:val="000000"/>
          <w:sz w:val="22"/>
          <w:szCs w:val="22"/>
          <w:lang w:val="en-GB"/>
        </w:rPr>
        <w:t>In line with the state aid requirements, a public consultation on the main features of the planned measures and on the list of target areas will be organised in the context of the public co-financing of broadband access.</w:t>
      </w:r>
    </w:p>
    <w:p w14:paraId="490E06F5" w14:textId="77777777" w:rsidR="00412A6E" w:rsidRPr="00AC504C" w:rsidRDefault="00412A6E" w:rsidP="00C52319">
      <w:pPr>
        <w:spacing w:line="280" w:lineRule="exact"/>
        <w:jc w:val="both"/>
        <w:rPr>
          <w:rFonts w:ascii="Century Gothic" w:eastAsia="Calibri" w:hAnsi="Century Gothic"/>
          <w:color w:val="000000"/>
          <w:sz w:val="22"/>
          <w:szCs w:val="22"/>
        </w:rPr>
      </w:pPr>
    </w:p>
    <w:p w14:paraId="3A2DC3DD" w14:textId="77777777" w:rsidR="00A92592" w:rsidRPr="00AC504C" w:rsidRDefault="00C21161" w:rsidP="00B1221E">
      <w:pPr>
        <w:pStyle w:val="Naslov2"/>
      </w:pPr>
      <w:bookmarkStart w:id="44" w:name="_Toc140746458"/>
      <w:r>
        <w:rPr>
          <w:lang w:val="en-GB"/>
        </w:rPr>
        <w:t xml:space="preserve">6.4 Other measures for achieving the </w:t>
      </w:r>
      <w:proofErr w:type="gramStart"/>
      <w:r>
        <w:rPr>
          <w:lang w:val="en-GB"/>
        </w:rPr>
        <w:t>objectives</w:t>
      </w:r>
      <w:bookmarkEnd w:id="44"/>
      <w:proofErr w:type="gramEnd"/>
    </w:p>
    <w:p w14:paraId="08BFCD7B" w14:textId="77777777" w:rsidR="000F2DDA" w:rsidRPr="00AE3CB1" w:rsidRDefault="000F2DDA" w:rsidP="00ED4A95">
      <w:pPr>
        <w:pStyle w:val="podpisi"/>
        <w:spacing w:line="280" w:lineRule="exact"/>
        <w:jc w:val="both"/>
        <w:rPr>
          <w:rFonts w:ascii="Century Gothic" w:hAnsi="Century Gothic"/>
          <w:b/>
          <w:bCs/>
          <w:sz w:val="22"/>
          <w:szCs w:val="22"/>
          <w:lang w:val="en-US"/>
        </w:rPr>
      </w:pPr>
    </w:p>
    <w:p w14:paraId="413A9324" w14:textId="77777777" w:rsidR="00787447" w:rsidRPr="00B1221E" w:rsidRDefault="00C52319" w:rsidP="00BB0F6D">
      <w:pPr>
        <w:pStyle w:val="Naslov3"/>
        <w:rPr>
          <w:rFonts w:ascii="Century Gothic" w:hAnsi="Century Gothic"/>
          <w:color w:val="auto"/>
          <w:sz w:val="22"/>
          <w:szCs w:val="22"/>
        </w:rPr>
      </w:pPr>
      <w:bookmarkStart w:id="45" w:name="_Toc140746459"/>
      <w:r>
        <w:rPr>
          <w:rFonts w:ascii="Century Gothic" w:hAnsi="Century Gothic"/>
          <w:color w:val="auto"/>
          <w:sz w:val="22"/>
          <w:szCs w:val="22"/>
          <w:lang w:val="en-GB"/>
        </w:rPr>
        <w:t>6.4.1 Geoportal</w:t>
      </w:r>
      <w:bookmarkEnd w:id="45"/>
    </w:p>
    <w:p w14:paraId="7F2BB367" w14:textId="77777777" w:rsidR="00A3204F" w:rsidRPr="00AC504C" w:rsidRDefault="00A3204F" w:rsidP="00A3204F"/>
    <w:p w14:paraId="4A8E62C4" w14:textId="0A25AA63" w:rsidR="00A3204F" w:rsidRPr="00AC504C" w:rsidRDefault="00A3204F" w:rsidP="00A3204F">
      <w:pPr>
        <w:jc w:val="both"/>
        <w:rPr>
          <w:rFonts w:ascii="Century Gothic" w:hAnsi="Century Gothic"/>
          <w:sz w:val="22"/>
          <w:szCs w:val="22"/>
        </w:rPr>
      </w:pPr>
      <w:r>
        <w:rPr>
          <w:rFonts w:ascii="Century Gothic" w:hAnsi="Century Gothic"/>
          <w:sz w:val="22"/>
          <w:szCs w:val="22"/>
          <w:lang w:val="en-GB"/>
        </w:rPr>
        <w:t xml:space="preserve">AKOS operates a Geoportal that displays electronic communications data (points, lines, polygons) and network connection points and is updated daily. This means that the latest data </w:t>
      </w:r>
      <w:r w:rsidR="00CB2B51">
        <w:rPr>
          <w:rFonts w:ascii="Century Gothic" w:hAnsi="Century Gothic"/>
          <w:sz w:val="22"/>
          <w:szCs w:val="22"/>
          <w:lang w:val="en-GB"/>
        </w:rPr>
        <w:t>are</w:t>
      </w:r>
      <w:r>
        <w:rPr>
          <w:rFonts w:ascii="Century Gothic" w:hAnsi="Century Gothic"/>
          <w:sz w:val="22"/>
          <w:szCs w:val="22"/>
          <w:lang w:val="en-GB"/>
        </w:rPr>
        <w:t xml:space="preserve"> always displayed according to the Consolidated Cadastre of Public Infrastructure of the Surveying and Mapping Authority of the Republic of Slovenia. The latest mobile signal measurements were added, showing the signal quality (very good, good, borderline) at measured locations, </w:t>
      </w:r>
      <w:proofErr w:type="gramStart"/>
      <w:r>
        <w:rPr>
          <w:rFonts w:ascii="Century Gothic" w:hAnsi="Century Gothic"/>
          <w:sz w:val="22"/>
          <w:szCs w:val="22"/>
          <w:lang w:val="en-GB"/>
        </w:rPr>
        <w:t>i.e.</w:t>
      </w:r>
      <w:proofErr w:type="gramEnd"/>
      <w:r>
        <w:rPr>
          <w:rFonts w:ascii="Century Gothic" w:hAnsi="Century Gothic"/>
          <w:sz w:val="22"/>
          <w:szCs w:val="22"/>
          <w:lang w:val="en-GB"/>
        </w:rPr>
        <w:t xml:space="preserve"> national and municipal roads. The collected data facilitate the identification of areas with a good or poor signal or no mobile signal, with fixed and mobile coverage, etc. The date of each measurement is also provided.</w:t>
      </w:r>
    </w:p>
    <w:p w14:paraId="536FC5DB" w14:textId="77777777" w:rsidR="00A3204F" w:rsidRPr="00AC504C" w:rsidRDefault="00A3204F" w:rsidP="00A3204F">
      <w:pPr>
        <w:rPr>
          <w:rFonts w:ascii="Century Gothic" w:hAnsi="Century Gothic"/>
          <w:sz w:val="22"/>
          <w:szCs w:val="22"/>
        </w:rPr>
      </w:pPr>
    </w:p>
    <w:p w14:paraId="0206356F" w14:textId="77777777" w:rsidR="00787447" w:rsidRPr="00B1221E" w:rsidRDefault="00C52319" w:rsidP="00B1221E">
      <w:pPr>
        <w:pStyle w:val="Naslov3"/>
        <w:jc w:val="both"/>
        <w:rPr>
          <w:rFonts w:ascii="Century Gothic" w:hAnsi="Century Gothic"/>
          <w:color w:val="auto"/>
          <w:sz w:val="22"/>
          <w:szCs w:val="22"/>
          <w:u w:val="single"/>
        </w:rPr>
      </w:pPr>
      <w:bookmarkStart w:id="46" w:name="_Toc140746460"/>
      <w:r>
        <w:rPr>
          <w:rFonts w:ascii="Century Gothic" w:hAnsi="Century Gothic"/>
          <w:color w:val="auto"/>
          <w:sz w:val="22"/>
          <w:szCs w:val="22"/>
          <w:lang w:val="en-GB"/>
        </w:rPr>
        <w:t>6.4.2 Infrastructure investment portal</w:t>
      </w:r>
      <w:bookmarkEnd w:id="46"/>
    </w:p>
    <w:p w14:paraId="433C92C1" w14:textId="77777777" w:rsidR="00C52319" w:rsidRPr="00AE3CB1" w:rsidRDefault="00C52319" w:rsidP="00C52319">
      <w:pPr>
        <w:pStyle w:val="podpisi"/>
        <w:spacing w:line="280" w:lineRule="exact"/>
        <w:jc w:val="both"/>
        <w:rPr>
          <w:rFonts w:ascii="Century Gothic" w:hAnsi="Century Gothic" w:cs="Arial"/>
          <w:sz w:val="22"/>
          <w:szCs w:val="22"/>
          <w:lang w:val="en-US"/>
        </w:rPr>
      </w:pPr>
    </w:p>
    <w:p w14:paraId="05D6CF22" w14:textId="77777777" w:rsidR="00984B29" w:rsidRPr="00AE3CB1" w:rsidRDefault="00984B29" w:rsidP="00C52319">
      <w:pPr>
        <w:pStyle w:val="podpisi"/>
        <w:spacing w:line="280" w:lineRule="exact"/>
        <w:jc w:val="both"/>
        <w:rPr>
          <w:rFonts w:ascii="Century Gothic" w:hAnsi="Century Gothic" w:cs="Arial"/>
          <w:sz w:val="22"/>
          <w:szCs w:val="22"/>
          <w:lang w:val="en-US"/>
        </w:rPr>
      </w:pPr>
      <w:r>
        <w:rPr>
          <w:rFonts w:ascii="Century Gothic" w:hAnsi="Century Gothic" w:cs="Arial"/>
          <w:sz w:val="22"/>
          <w:szCs w:val="22"/>
          <w:lang w:val="en-GB"/>
        </w:rPr>
        <w:t>The portal is available on the AKOS website and is designed to promote infrastructure sharing and joint deployment. Intentions to build and invitations to investors in electronic communications networks and associated infrastructure to express their interest in including electronic communications networks and associated infrastructure in the planning or joint construction are published on this portal.</w:t>
      </w:r>
    </w:p>
    <w:p w14:paraId="1CD50DBE" w14:textId="77777777" w:rsidR="00A4315B" w:rsidRPr="00AE3CB1" w:rsidRDefault="00A4315B" w:rsidP="00C52319">
      <w:pPr>
        <w:pStyle w:val="podpisi"/>
        <w:spacing w:line="240" w:lineRule="auto"/>
        <w:jc w:val="both"/>
        <w:rPr>
          <w:rFonts w:ascii="Century Gothic" w:hAnsi="Century Gothic"/>
          <w:szCs w:val="20"/>
          <w:lang w:val="en-US"/>
        </w:rPr>
      </w:pPr>
    </w:p>
    <w:p w14:paraId="347CE2F4" w14:textId="77777777" w:rsidR="00A4315B" w:rsidRPr="00AE3CB1" w:rsidRDefault="00A4315B" w:rsidP="00C52319">
      <w:pPr>
        <w:pStyle w:val="podpisi"/>
        <w:spacing w:line="240" w:lineRule="auto"/>
        <w:jc w:val="both"/>
        <w:rPr>
          <w:rFonts w:ascii="Century Gothic" w:hAnsi="Century Gothic"/>
          <w:szCs w:val="20"/>
          <w:lang w:val="en-US"/>
        </w:rPr>
      </w:pPr>
    </w:p>
    <w:p w14:paraId="361B7592" w14:textId="77777777" w:rsidR="009E6341" w:rsidRPr="00AE3CB1" w:rsidRDefault="009E6341" w:rsidP="00C52319">
      <w:pPr>
        <w:pStyle w:val="podpisi"/>
        <w:spacing w:line="240" w:lineRule="auto"/>
        <w:jc w:val="both"/>
        <w:rPr>
          <w:rFonts w:ascii="Century Gothic" w:hAnsi="Century Gothic"/>
          <w:szCs w:val="20"/>
          <w:lang w:val="en-US"/>
        </w:rPr>
      </w:pPr>
    </w:p>
    <w:p w14:paraId="567A2E17" w14:textId="77777777" w:rsidR="009E6341" w:rsidRPr="00AE3CB1" w:rsidRDefault="009E6341" w:rsidP="00C52319">
      <w:pPr>
        <w:pStyle w:val="podpisi"/>
        <w:spacing w:line="240" w:lineRule="auto"/>
        <w:jc w:val="both"/>
        <w:rPr>
          <w:rFonts w:ascii="Century Gothic" w:hAnsi="Century Gothic"/>
          <w:szCs w:val="20"/>
          <w:lang w:val="en-US"/>
        </w:rPr>
      </w:pPr>
    </w:p>
    <w:p w14:paraId="28471035" w14:textId="77777777" w:rsidR="005E016B" w:rsidRPr="00AE3CB1" w:rsidRDefault="005E016B" w:rsidP="00C52319">
      <w:pPr>
        <w:pStyle w:val="podpisi"/>
        <w:spacing w:line="240" w:lineRule="auto"/>
        <w:jc w:val="both"/>
        <w:rPr>
          <w:rFonts w:ascii="Century Gothic" w:hAnsi="Century Gothic"/>
          <w:szCs w:val="20"/>
          <w:lang w:val="en-US"/>
        </w:rPr>
      </w:pPr>
    </w:p>
    <w:p w14:paraId="494591A7" w14:textId="77777777" w:rsidR="00C52319" w:rsidRPr="00B1221E" w:rsidRDefault="00C52319" w:rsidP="00B1221E">
      <w:pPr>
        <w:pStyle w:val="Naslov3"/>
        <w:jc w:val="both"/>
        <w:rPr>
          <w:rFonts w:ascii="Century Gothic" w:hAnsi="Century Gothic"/>
          <w:sz w:val="22"/>
          <w:szCs w:val="22"/>
        </w:rPr>
      </w:pPr>
      <w:bookmarkStart w:id="47" w:name="_Toc140746461"/>
      <w:r>
        <w:rPr>
          <w:rFonts w:ascii="Century Gothic" w:hAnsi="Century Gothic"/>
          <w:color w:val="auto"/>
          <w:sz w:val="22"/>
          <w:szCs w:val="22"/>
          <w:lang w:val="en-GB"/>
        </w:rPr>
        <w:lastRenderedPageBreak/>
        <w:t>6.4.3 AKOS Test Net</w:t>
      </w:r>
      <w:bookmarkEnd w:id="47"/>
    </w:p>
    <w:p w14:paraId="0CF189B0" w14:textId="77777777" w:rsidR="00E55F13" w:rsidRPr="00AC504C" w:rsidRDefault="00E55F13" w:rsidP="00E55F13">
      <w:pPr>
        <w:pStyle w:val="Navadensplet"/>
        <w:shd w:val="clear" w:color="auto" w:fill="FFFFFF"/>
        <w:spacing w:after="0" w:line="280" w:lineRule="exact"/>
        <w:jc w:val="both"/>
        <w:rPr>
          <w:rFonts w:ascii="Century Gothic" w:hAnsi="Century Gothic" w:cs="Arial"/>
          <w:color w:val="auto"/>
          <w:sz w:val="22"/>
          <w:szCs w:val="22"/>
        </w:rPr>
      </w:pPr>
    </w:p>
    <w:p w14:paraId="293BEC7F" w14:textId="77777777" w:rsidR="00E55F13" w:rsidRPr="00AC504C" w:rsidRDefault="00984B29" w:rsidP="00A14692">
      <w:pPr>
        <w:pStyle w:val="Navadensplet"/>
        <w:shd w:val="clear" w:color="auto" w:fill="FFFFFF"/>
        <w:spacing w:after="0" w:line="280" w:lineRule="exact"/>
        <w:jc w:val="both"/>
        <w:rPr>
          <w:rFonts w:ascii="Century Gothic" w:hAnsi="Century Gothic" w:cs="Arial"/>
          <w:color w:val="auto"/>
          <w:sz w:val="22"/>
          <w:szCs w:val="22"/>
        </w:rPr>
      </w:pPr>
      <w:r>
        <w:rPr>
          <w:rFonts w:ascii="Century Gothic" w:hAnsi="Century Gothic" w:cs="Arial"/>
          <w:color w:val="auto"/>
          <w:sz w:val="22"/>
          <w:szCs w:val="22"/>
          <w:lang w:val="en-GB"/>
        </w:rPr>
        <w:t xml:space="preserve">The AKOS Test Net is a measurement and analytical tool that provides end-users with a transparent overview of the state of mobile and fixed broadband access in Slovenia by measuring the speed and quality of broadband connections in fixed and wireless networks. It can be used to measure various parameters, such as the data transfer rate, </w:t>
      </w:r>
      <w:proofErr w:type="gramStart"/>
      <w:r>
        <w:rPr>
          <w:rFonts w:ascii="Century Gothic" w:hAnsi="Century Gothic" w:cs="Arial"/>
          <w:color w:val="auto"/>
          <w:sz w:val="22"/>
          <w:szCs w:val="22"/>
          <w:lang w:val="en-GB"/>
        </w:rPr>
        <w:t>latency</w:t>
      </w:r>
      <w:proofErr w:type="gramEnd"/>
      <w:r>
        <w:rPr>
          <w:rFonts w:ascii="Century Gothic" w:hAnsi="Century Gothic" w:cs="Arial"/>
          <w:color w:val="auto"/>
          <w:sz w:val="22"/>
          <w:szCs w:val="22"/>
          <w:lang w:val="en-GB"/>
        </w:rPr>
        <w:t xml:space="preserve"> and availability of network services. To a large extent, the measurements depend on the terminal equipment on which the measurement is performed. Therefore, the AKOS Test Net measurements at end-users mainly reflect the quality of the user experience, which, among other things, depends on the state of the mobile network. In its programme of work and financial plan, AKOS undertook to further develop and improve the AKOS Test Net and to provide as reliable and accurate measurements as possible.</w:t>
      </w:r>
    </w:p>
    <w:p w14:paraId="7AEC8984" w14:textId="77777777" w:rsidR="00A14692" w:rsidRPr="00AC504C" w:rsidRDefault="00A14692" w:rsidP="00A14692">
      <w:pPr>
        <w:pStyle w:val="Navadensplet"/>
        <w:shd w:val="clear" w:color="auto" w:fill="FFFFFF"/>
        <w:spacing w:after="0" w:line="280" w:lineRule="exact"/>
        <w:jc w:val="both"/>
        <w:rPr>
          <w:rFonts w:ascii="Century Gothic" w:hAnsi="Century Gothic" w:cs="Arial"/>
          <w:color w:val="auto"/>
          <w:sz w:val="22"/>
          <w:szCs w:val="22"/>
        </w:rPr>
      </w:pPr>
    </w:p>
    <w:p w14:paraId="5F6494CC" w14:textId="77777777" w:rsidR="000836DB" w:rsidRPr="00B1221E" w:rsidRDefault="00691F70" w:rsidP="00B1221E">
      <w:pPr>
        <w:pStyle w:val="Naslov3"/>
        <w:jc w:val="both"/>
        <w:rPr>
          <w:rFonts w:ascii="Century Gothic" w:hAnsi="Century Gothic"/>
          <w:color w:val="auto"/>
          <w:sz w:val="22"/>
          <w:szCs w:val="22"/>
        </w:rPr>
      </w:pPr>
      <w:bookmarkStart w:id="48" w:name="_Toc140746462"/>
      <w:r>
        <w:rPr>
          <w:rFonts w:ascii="Century Gothic" w:hAnsi="Century Gothic"/>
          <w:color w:val="auto"/>
          <w:sz w:val="22"/>
          <w:szCs w:val="22"/>
          <w:lang w:val="en-GB"/>
        </w:rPr>
        <w:t>6.4.4 Technical assistance and expert advice</w:t>
      </w:r>
      <w:bookmarkEnd w:id="48"/>
    </w:p>
    <w:p w14:paraId="30AD3C17" w14:textId="77777777" w:rsidR="00E55F13" w:rsidRPr="00AC504C" w:rsidRDefault="00E55F13" w:rsidP="00E55F13">
      <w:pPr>
        <w:jc w:val="both"/>
        <w:rPr>
          <w:rFonts w:ascii="Century Gothic" w:hAnsi="Century Gothic"/>
          <w:color w:val="111111"/>
        </w:rPr>
      </w:pPr>
    </w:p>
    <w:p w14:paraId="00E6FA01" w14:textId="77777777" w:rsidR="000836DB" w:rsidRPr="00AC504C" w:rsidRDefault="000836DB" w:rsidP="003D0650">
      <w:pPr>
        <w:spacing w:line="280" w:lineRule="exact"/>
        <w:jc w:val="both"/>
        <w:rPr>
          <w:rFonts w:ascii="Century Gothic" w:hAnsi="Century Gothic" w:cs="Arial"/>
          <w:sz w:val="22"/>
          <w:szCs w:val="22"/>
        </w:rPr>
      </w:pPr>
      <w:r>
        <w:rPr>
          <w:rFonts w:ascii="Century Gothic" w:hAnsi="Century Gothic"/>
          <w:color w:val="111111"/>
          <w:sz w:val="22"/>
          <w:szCs w:val="22"/>
          <w:lang w:val="en-GB"/>
        </w:rPr>
        <w:t xml:space="preserve">Slovenia has a single contact point, </w:t>
      </w:r>
      <w:proofErr w:type="gramStart"/>
      <w:r>
        <w:rPr>
          <w:rFonts w:ascii="Century Gothic" w:hAnsi="Century Gothic"/>
          <w:color w:val="111111"/>
          <w:sz w:val="22"/>
          <w:szCs w:val="22"/>
          <w:lang w:val="en-GB"/>
        </w:rPr>
        <w:t>i.e.</w:t>
      </w:r>
      <w:proofErr w:type="gramEnd"/>
      <w:r>
        <w:rPr>
          <w:rFonts w:ascii="Century Gothic" w:hAnsi="Century Gothic"/>
          <w:color w:val="111111"/>
          <w:sz w:val="22"/>
          <w:szCs w:val="22"/>
          <w:lang w:val="en-GB"/>
        </w:rPr>
        <w:t xml:space="preserve"> the Broadband Competence Office (hereinafter: the BCO). It provides citizens, local communities, operators of electronic communications and other interested stakeholders with information on co-financing options for the deployment of broadband infrastructure in white spots, on the project for the installation of Wi-Fi hotspots (WiFi4EU) and other projects for the deployment of broadband infrastructure. The BCO is a body within the ministry responsible for electronic communications. The idea behind its establishment was to have in every Member State a single contact point or source of information on its broadband infrastructure. The tasks of the national BCO include cooperation with other BCOs at the EU level, the provision of information and advice to local communities, citizens and businesses, and support for representatives of local and regional authorities </w:t>
      </w:r>
      <w:proofErr w:type="gramStart"/>
      <w:r>
        <w:rPr>
          <w:rFonts w:ascii="Century Gothic" w:hAnsi="Century Gothic"/>
          <w:color w:val="111111"/>
          <w:sz w:val="22"/>
          <w:szCs w:val="22"/>
          <w:lang w:val="en-GB"/>
        </w:rPr>
        <w:t>in order to</w:t>
      </w:r>
      <w:proofErr w:type="gramEnd"/>
      <w:r>
        <w:rPr>
          <w:rFonts w:ascii="Century Gothic" w:hAnsi="Century Gothic"/>
          <w:color w:val="111111"/>
          <w:sz w:val="22"/>
          <w:szCs w:val="22"/>
          <w:lang w:val="en-GB"/>
        </w:rPr>
        <w:t xml:space="preserve"> increase the efficiency of investment in broadband infrastructure with funds from the European Regional Development Fund, and, if possible, in combination with other financial instruments, such as the Connecting Europe Facility.</w:t>
      </w:r>
    </w:p>
    <w:p w14:paraId="38119BF4" w14:textId="77777777" w:rsidR="004D07AD" w:rsidRPr="00AC504C" w:rsidRDefault="00AA1F7B">
      <w:pPr>
        <w:spacing w:after="160" w:line="259" w:lineRule="auto"/>
        <w:rPr>
          <w:rFonts w:ascii="Century Gothic" w:hAnsi="Century Gothic"/>
          <w:sz w:val="22"/>
          <w:szCs w:val="22"/>
        </w:rPr>
      </w:pPr>
      <w:r>
        <w:rPr>
          <w:rFonts w:ascii="Century Gothic" w:hAnsi="Century Gothic"/>
          <w:sz w:val="22"/>
          <w:szCs w:val="22"/>
          <w:lang w:val="en-GB"/>
        </w:rPr>
        <w:br w:type="page"/>
      </w:r>
    </w:p>
    <w:p w14:paraId="1698C433" w14:textId="77777777" w:rsidR="00D94498" w:rsidRPr="00AC504C" w:rsidRDefault="00D94498" w:rsidP="00127F9B">
      <w:pPr>
        <w:pStyle w:val="Naslov"/>
      </w:pPr>
      <w:bookmarkStart w:id="49" w:name="_Toc111651358"/>
      <w:bookmarkStart w:id="50" w:name="_Toc111651193"/>
      <w:bookmarkStart w:id="51" w:name="_Toc111651132"/>
      <w:bookmarkStart w:id="52" w:name="_Toc140746463"/>
      <w:bookmarkEnd w:id="49"/>
      <w:bookmarkEnd w:id="50"/>
      <w:bookmarkEnd w:id="51"/>
      <w:r>
        <w:rPr>
          <w:bCs/>
          <w:lang w:val="en-GB"/>
        </w:rPr>
        <w:lastRenderedPageBreak/>
        <w:t>INDICATORS</w:t>
      </w:r>
      <w:bookmarkEnd w:id="52"/>
    </w:p>
    <w:p w14:paraId="7DAB8E53" w14:textId="77777777" w:rsidR="00F2268E" w:rsidRPr="00AC504C" w:rsidRDefault="00F2268E">
      <w:pPr>
        <w:pStyle w:val="podpisi"/>
        <w:spacing w:line="240" w:lineRule="auto"/>
        <w:jc w:val="both"/>
        <w:rPr>
          <w:rFonts w:ascii="Century Gothic" w:hAnsi="Century Gothic"/>
          <w:sz w:val="22"/>
          <w:szCs w:val="22"/>
        </w:rPr>
      </w:pPr>
    </w:p>
    <w:p w14:paraId="397FF007" w14:textId="77777777" w:rsidR="00F2268E" w:rsidRPr="00AE3CB1" w:rsidRDefault="00F2268E" w:rsidP="00F2268E">
      <w:pPr>
        <w:pStyle w:val="podpisi"/>
        <w:spacing w:line="240" w:lineRule="auto"/>
        <w:jc w:val="both"/>
        <w:rPr>
          <w:rFonts w:ascii="Century Gothic" w:hAnsi="Century Gothic"/>
          <w:sz w:val="22"/>
          <w:szCs w:val="22"/>
          <w:lang w:val="en-US"/>
        </w:rPr>
      </w:pPr>
      <w:r>
        <w:rPr>
          <w:rFonts w:ascii="Century Gothic" w:hAnsi="Century Gothic"/>
          <w:sz w:val="22"/>
          <w:szCs w:val="22"/>
          <w:lang w:val="en-GB"/>
        </w:rPr>
        <w:t>Indicators of the Recovery and Resilience Facility</w:t>
      </w:r>
    </w:p>
    <w:tbl>
      <w:tblPr>
        <w:tblStyle w:val="Tabelamrea"/>
        <w:tblW w:w="9984" w:type="dxa"/>
        <w:tblLook w:val="04A0" w:firstRow="1" w:lastRow="0" w:firstColumn="1" w:lastColumn="0" w:noHBand="0" w:noVBand="1"/>
      </w:tblPr>
      <w:tblGrid>
        <w:gridCol w:w="5482"/>
        <w:gridCol w:w="4502"/>
      </w:tblGrid>
      <w:tr w:rsidR="00F2268E" w:rsidRPr="00AC504C" w14:paraId="131680D9" w14:textId="77777777" w:rsidTr="003D0650">
        <w:trPr>
          <w:trHeight w:val="572"/>
        </w:trPr>
        <w:tc>
          <w:tcPr>
            <w:tcW w:w="5482" w:type="dxa"/>
          </w:tcPr>
          <w:p w14:paraId="7C280957" w14:textId="77777777" w:rsidR="00F2268E" w:rsidRPr="00AE3CB1" w:rsidRDefault="00F2268E" w:rsidP="00A513A3">
            <w:pPr>
              <w:pStyle w:val="podpisi"/>
              <w:spacing w:line="240" w:lineRule="auto"/>
              <w:jc w:val="both"/>
              <w:rPr>
                <w:rFonts w:ascii="Century Gothic" w:hAnsi="Century Gothic"/>
                <w:sz w:val="22"/>
                <w:szCs w:val="22"/>
                <w:lang w:val="en-US"/>
              </w:rPr>
            </w:pPr>
            <w:r>
              <w:rPr>
                <w:rFonts w:ascii="Century Gothic" w:hAnsi="Century Gothic"/>
                <w:sz w:val="22"/>
                <w:szCs w:val="22"/>
                <w:lang w:val="en-GB"/>
              </w:rPr>
              <w:t xml:space="preserve">Additional dwellings with internet access provided via very </w:t>
            </w:r>
            <w:proofErr w:type="gramStart"/>
            <w:r>
              <w:rPr>
                <w:rFonts w:ascii="Century Gothic" w:hAnsi="Century Gothic"/>
                <w:sz w:val="22"/>
                <w:szCs w:val="22"/>
                <w:lang w:val="en-GB"/>
              </w:rPr>
              <w:t>high capacity</w:t>
            </w:r>
            <w:proofErr w:type="gramEnd"/>
            <w:r>
              <w:rPr>
                <w:rFonts w:ascii="Century Gothic" w:hAnsi="Century Gothic"/>
                <w:sz w:val="22"/>
                <w:szCs w:val="22"/>
                <w:lang w:val="en-GB"/>
              </w:rPr>
              <w:t xml:space="preserve"> networks</w:t>
            </w:r>
          </w:p>
        </w:tc>
        <w:tc>
          <w:tcPr>
            <w:tcW w:w="4502" w:type="dxa"/>
          </w:tcPr>
          <w:p w14:paraId="26FB55C7" w14:textId="77777777" w:rsidR="00F2268E" w:rsidRPr="00AC504C" w:rsidRDefault="00F2268E" w:rsidP="00A513A3">
            <w:pPr>
              <w:pStyle w:val="podpisi"/>
              <w:spacing w:line="240" w:lineRule="auto"/>
              <w:jc w:val="center"/>
              <w:rPr>
                <w:rFonts w:ascii="Century Gothic" w:hAnsi="Century Gothic"/>
                <w:b/>
                <w:bCs/>
                <w:sz w:val="22"/>
                <w:szCs w:val="22"/>
              </w:rPr>
            </w:pPr>
            <w:r>
              <w:rPr>
                <w:rFonts w:ascii="Century Gothic" w:hAnsi="Century Gothic"/>
                <w:b/>
                <w:bCs/>
                <w:sz w:val="22"/>
                <w:szCs w:val="22"/>
                <w:lang w:val="en-GB"/>
              </w:rPr>
              <w:t>2025</w:t>
            </w:r>
          </w:p>
        </w:tc>
      </w:tr>
      <w:tr w:rsidR="00F2268E" w:rsidRPr="00AC504C" w14:paraId="22032C03" w14:textId="77777777" w:rsidTr="003D0650">
        <w:trPr>
          <w:trHeight w:val="286"/>
        </w:trPr>
        <w:tc>
          <w:tcPr>
            <w:tcW w:w="5482" w:type="dxa"/>
          </w:tcPr>
          <w:p w14:paraId="6159B83B" w14:textId="77777777" w:rsidR="00F2268E" w:rsidRPr="00AC504C" w:rsidRDefault="00F2268E" w:rsidP="00E55F13">
            <w:pPr>
              <w:pStyle w:val="podpisi"/>
              <w:spacing w:line="240" w:lineRule="auto"/>
              <w:rPr>
                <w:rFonts w:ascii="Century Gothic" w:hAnsi="Century Gothic"/>
                <w:sz w:val="22"/>
                <w:szCs w:val="22"/>
              </w:rPr>
            </w:pPr>
            <w:r>
              <w:rPr>
                <w:rFonts w:ascii="Century Gothic" w:hAnsi="Century Gothic"/>
                <w:sz w:val="22"/>
                <w:szCs w:val="22"/>
                <w:lang w:val="en-GB"/>
              </w:rPr>
              <w:t>Number</w:t>
            </w:r>
          </w:p>
        </w:tc>
        <w:tc>
          <w:tcPr>
            <w:tcW w:w="4502" w:type="dxa"/>
          </w:tcPr>
          <w:p w14:paraId="49FDA080" w14:textId="77777777" w:rsidR="00F2268E" w:rsidRPr="00AC504C" w:rsidRDefault="00F2268E" w:rsidP="00A513A3">
            <w:pPr>
              <w:pStyle w:val="podpisi"/>
              <w:spacing w:line="240" w:lineRule="auto"/>
              <w:jc w:val="center"/>
              <w:rPr>
                <w:rFonts w:ascii="Century Gothic" w:hAnsi="Century Gothic"/>
                <w:sz w:val="22"/>
                <w:szCs w:val="22"/>
              </w:rPr>
            </w:pPr>
            <w:r>
              <w:rPr>
                <w:rFonts w:ascii="Century Gothic" w:hAnsi="Century Gothic"/>
                <w:sz w:val="22"/>
                <w:szCs w:val="22"/>
                <w:lang w:val="en-GB"/>
              </w:rPr>
              <w:t>8,500</w:t>
            </w:r>
          </w:p>
        </w:tc>
      </w:tr>
    </w:tbl>
    <w:p w14:paraId="6EBC3CF0" w14:textId="77777777" w:rsidR="00F2268E" w:rsidRPr="00AC504C" w:rsidRDefault="00F2268E">
      <w:pPr>
        <w:pStyle w:val="podpisi"/>
        <w:spacing w:line="240" w:lineRule="auto"/>
        <w:jc w:val="both"/>
        <w:rPr>
          <w:rFonts w:ascii="Century Gothic" w:hAnsi="Century Gothic"/>
          <w:sz w:val="22"/>
          <w:szCs w:val="22"/>
        </w:rPr>
      </w:pPr>
    </w:p>
    <w:p w14:paraId="467AB8D3" w14:textId="77777777" w:rsidR="00F2268E" w:rsidRPr="00AC504C" w:rsidRDefault="00F2268E">
      <w:pPr>
        <w:pStyle w:val="podpisi"/>
        <w:spacing w:line="240" w:lineRule="auto"/>
        <w:jc w:val="both"/>
        <w:rPr>
          <w:rFonts w:ascii="Century Gothic" w:hAnsi="Century Gothic"/>
          <w:sz w:val="22"/>
          <w:szCs w:val="22"/>
        </w:rPr>
      </w:pPr>
    </w:p>
    <w:p w14:paraId="6D115762" w14:textId="77777777" w:rsidR="00F2268E" w:rsidRPr="00AC504C" w:rsidRDefault="00F2268E">
      <w:pPr>
        <w:pStyle w:val="podpisi"/>
        <w:spacing w:line="240" w:lineRule="auto"/>
        <w:jc w:val="both"/>
        <w:rPr>
          <w:rFonts w:ascii="Century Gothic" w:hAnsi="Century Gothic"/>
          <w:sz w:val="22"/>
          <w:szCs w:val="22"/>
        </w:rPr>
      </w:pPr>
    </w:p>
    <w:p w14:paraId="4D52378C" w14:textId="77777777" w:rsidR="00E55F13" w:rsidRPr="00AC504C" w:rsidRDefault="00E55F13">
      <w:pPr>
        <w:pStyle w:val="podpisi"/>
        <w:spacing w:line="240" w:lineRule="auto"/>
        <w:jc w:val="both"/>
        <w:rPr>
          <w:rFonts w:ascii="Century Gothic" w:hAnsi="Century Gothic"/>
          <w:sz w:val="22"/>
          <w:szCs w:val="22"/>
        </w:rPr>
      </w:pPr>
      <w:r>
        <w:rPr>
          <w:rFonts w:ascii="Century Gothic" w:hAnsi="Century Gothic"/>
          <w:sz w:val="22"/>
          <w:szCs w:val="22"/>
          <w:lang w:val="en-GB"/>
        </w:rPr>
        <w:t xml:space="preserve">Other indicators – plan </w:t>
      </w:r>
    </w:p>
    <w:tbl>
      <w:tblPr>
        <w:tblStyle w:val="Tabelamrea"/>
        <w:tblW w:w="10015" w:type="dxa"/>
        <w:tblLook w:val="04A0" w:firstRow="1" w:lastRow="0" w:firstColumn="1" w:lastColumn="0" w:noHBand="0" w:noVBand="1"/>
      </w:tblPr>
      <w:tblGrid>
        <w:gridCol w:w="1219"/>
        <w:gridCol w:w="2881"/>
        <w:gridCol w:w="3191"/>
        <w:gridCol w:w="2724"/>
      </w:tblGrid>
      <w:tr w:rsidR="00E55F13" w:rsidRPr="00F7597C" w14:paraId="08C58379" w14:textId="77777777" w:rsidTr="003D0650">
        <w:trPr>
          <w:trHeight w:val="2299"/>
        </w:trPr>
        <w:tc>
          <w:tcPr>
            <w:tcW w:w="1219" w:type="dxa"/>
          </w:tcPr>
          <w:p w14:paraId="6629D3E4" w14:textId="77777777" w:rsidR="00E55F13" w:rsidRPr="00AC504C" w:rsidRDefault="00E55F13" w:rsidP="00A513A3">
            <w:pPr>
              <w:spacing w:line="240" w:lineRule="auto"/>
              <w:jc w:val="both"/>
              <w:rPr>
                <w:rFonts w:ascii="Century Gothic" w:hAnsi="Century Gothic"/>
              </w:rPr>
            </w:pPr>
            <w:r>
              <w:rPr>
                <w:rFonts w:ascii="Century Gothic" w:hAnsi="Century Gothic"/>
                <w:lang w:val="en-GB"/>
              </w:rPr>
              <w:t>2025</w:t>
            </w:r>
          </w:p>
        </w:tc>
        <w:tc>
          <w:tcPr>
            <w:tcW w:w="2881" w:type="dxa"/>
          </w:tcPr>
          <w:p w14:paraId="6DB2D074" w14:textId="0A81538E" w:rsidR="00E55F13" w:rsidRPr="00AC504C" w:rsidRDefault="00E55F13" w:rsidP="00A513A3">
            <w:pPr>
              <w:spacing w:line="280" w:lineRule="exact"/>
              <w:jc w:val="both"/>
              <w:rPr>
                <w:rFonts w:ascii="Century Gothic" w:hAnsi="Century Gothic"/>
              </w:rPr>
            </w:pPr>
            <w:r>
              <w:rPr>
                <w:rFonts w:ascii="Century Gothic" w:hAnsi="Century Gothic"/>
                <w:lang w:val="en-GB"/>
              </w:rPr>
              <w:t>All households, rural or urban, have access to internet connectivity offering a downlink of at least 100 Mbps, upgradable to gigabit.</w:t>
            </w:r>
          </w:p>
          <w:p w14:paraId="7FF3F14A" w14:textId="77777777" w:rsidR="00E55F13" w:rsidRPr="00AC504C" w:rsidRDefault="00E55F13" w:rsidP="00A513A3">
            <w:pPr>
              <w:spacing w:line="240" w:lineRule="auto"/>
              <w:jc w:val="both"/>
              <w:rPr>
                <w:rFonts w:ascii="Century Gothic" w:hAnsi="Century Gothic"/>
              </w:rPr>
            </w:pPr>
          </w:p>
        </w:tc>
        <w:tc>
          <w:tcPr>
            <w:tcW w:w="3191" w:type="dxa"/>
          </w:tcPr>
          <w:p w14:paraId="4C7CAD87" w14:textId="4D20D7DC" w:rsidR="00E55F13" w:rsidRPr="00AC504C" w:rsidRDefault="00E55F13" w:rsidP="00483445">
            <w:pPr>
              <w:spacing w:line="280" w:lineRule="exact"/>
              <w:jc w:val="both"/>
              <w:rPr>
                <w:rFonts w:ascii="Century Gothic" w:hAnsi="Century Gothic"/>
              </w:rPr>
            </w:pPr>
            <w:r>
              <w:rPr>
                <w:rFonts w:ascii="Century Gothic" w:hAnsi="Century Gothic"/>
                <w:lang w:val="en-GB"/>
              </w:rPr>
              <w:t>All main socio-economic drivers, such as schools, cultural institutions, transport hubs and main providers of public services as well as digitally intensive enterprises, have gigabit connectivity.</w:t>
            </w:r>
          </w:p>
        </w:tc>
        <w:tc>
          <w:tcPr>
            <w:tcW w:w="2724" w:type="dxa"/>
          </w:tcPr>
          <w:p w14:paraId="6619E171" w14:textId="77777777" w:rsidR="00E55F13" w:rsidRPr="00AC504C" w:rsidRDefault="00E55F13" w:rsidP="00A513A3">
            <w:pPr>
              <w:spacing w:line="280" w:lineRule="exact"/>
              <w:jc w:val="both"/>
              <w:rPr>
                <w:rFonts w:ascii="Century Gothic" w:hAnsi="Century Gothic"/>
              </w:rPr>
            </w:pPr>
            <w:r>
              <w:rPr>
                <w:rFonts w:ascii="Century Gothic" w:hAnsi="Century Gothic"/>
                <w:lang w:val="en-GB"/>
              </w:rPr>
              <w:t>All urban areas and all major terrestrial transport paths have uninterrupted 5G coverage.</w:t>
            </w:r>
          </w:p>
          <w:p w14:paraId="09EA9E3F" w14:textId="77777777" w:rsidR="00E55F13" w:rsidRPr="00AC504C" w:rsidRDefault="00E55F13" w:rsidP="00A513A3">
            <w:pPr>
              <w:spacing w:line="240" w:lineRule="auto"/>
              <w:jc w:val="both"/>
              <w:rPr>
                <w:rFonts w:ascii="Century Gothic" w:hAnsi="Century Gothic"/>
              </w:rPr>
            </w:pPr>
          </w:p>
        </w:tc>
      </w:tr>
      <w:tr w:rsidR="00E55F13" w:rsidRPr="00F7597C" w14:paraId="21B5151D" w14:textId="77777777" w:rsidTr="003D0650">
        <w:trPr>
          <w:trHeight w:val="1407"/>
        </w:trPr>
        <w:tc>
          <w:tcPr>
            <w:tcW w:w="1219" w:type="dxa"/>
          </w:tcPr>
          <w:p w14:paraId="1C516F5C" w14:textId="77777777" w:rsidR="00E55F13" w:rsidRPr="00AC504C" w:rsidRDefault="00981E2A" w:rsidP="00A513A3">
            <w:pPr>
              <w:spacing w:line="240" w:lineRule="auto"/>
              <w:jc w:val="both"/>
              <w:rPr>
                <w:rFonts w:ascii="Century Gothic" w:hAnsi="Century Gothic"/>
              </w:rPr>
            </w:pPr>
            <w:r>
              <w:rPr>
                <w:rFonts w:ascii="Century Gothic" w:hAnsi="Century Gothic"/>
                <w:lang w:val="en-GB"/>
              </w:rPr>
              <w:t>2030</w:t>
            </w:r>
          </w:p>
        </w:tc>
        <w:tc>
          <w:tcPr>
            <w:tcW w:w="2881" w:type="dxa"/>
          </w:tcPr>
          <w:p w14:paraId="7B29CAF3" w14:textId="77777777" w:rsidR="00E55F13" w:rsidRPr="00AC504C" w:rsidRDefault="00E55F13" w:rsidP="00A513A3">
            <w:pPr>
              <w:spacing w:line="280" w:lineRule="exact"/>
              <w:jc w:val="both"/>
              <w:rPr>
                <w:rFonts w:ascii="Century Gothic" w:hAnsi="Century Gothic"/>
              </w:rPr>
            </w:pPr>
            <w:r>
              <w:rPr>
                <w:rFonts w:ascii="Century Gothic" w:hAnsi="Century Gothic"/>
                <w:lang w:val="en-GB"/>
              </w:rPr>
              <w:t>All households are covered by a gigabit network.</w:t>
            </w:r>
          </w:p>
          <w:p w14:paraId="0D5BC4C4" w14:textId="77777777" w:rsidR="00E55F13" w:rsidRPr="00AC504C" w:rsidRDefault="00E55F13" w:rsidP="00A513A3">
            <w:pPr>
              <w:spacing w:line="240" w:lineRule="auto"/>
              <w:jc w:val="both"/>
              <w:rPr>
                <w:rFonts w:ascii="Century Gothic" w:hAnsi="Century Gothic"/>
              </w:rPr>
            </w:pPr>
          </w:p>
        </w:tc>
        <w:tc>
          <w:tcPr>
            <w:tcW w:w="3191" w:type="dxa"/>
          </w:tcPr>
          <w:p w14:paraId="149849AE" w14:textId="77777777" w:rsidR="00E55F13" w:rsidRPr="00AC504C" w:rsidRDefault="009818AB" w:rsidP="00CD2044">
            <w:pPr>
              <w:spacing w:line="240" w:lineRule="auto"/>
              <w:jc w:val="both"/>
              <w:rPr>
                <w:rFonts w:ascii="Century Gothic" w:hAnsi="Century Gothic"/>
              </w:rPr>
            </w:pPr>
            <w:r>
              <w:rPr>
                <w:rFonts w:ascii="Century Gothic" w:hAnsi="Century Gothic"/>
                <w:lang w:val="en-GB"/>
              </w:rPr>
              <w:t>All enterprises and other socio-economic drivers are covered by a gigabit network.</w:t>
            </w:r>
          </w:p>
        </w:tc>
        <w:tc>
          <w:tcPr>
            <w:tcW w:w="2724" w:type="dxa"/>
          </w:tcPr>
          <w:p w14:paraId="314F4DB6" w14:textId="73A316DE" w:rsidR="00E55F13" w:rsidRPr="00AC504C" w:rsidRDefault="00E55F13" w:rsidP="00A513A3">
            <w:pPr>
              <w:spacing w:line="280" w:lineRule="exact"/>
              <w:jc w:val="both"/>
              <w:rPr>
                <w:rFonts w:ascii="Century Gothic" w:hAnsi="Century Gothic"/>
              </w:rPr>
            </w:pPr>
            <w:r>
              <w:rPr>
                <w:rFonts w:ascii="Century Gothic" w:eastAsiaTheme="minorHAnsi" w:hAnsi="Century Gothic"/>
                <w:lang w:val="en-GB"/>
              </w:rPr>
              <w:t>All populated areas are covered by 5G network</w:t>
            </w:r>
            <w:r w:rsidR="00F71C2B">
              <w:rPr>
                <w:rFonts w:ascii="Century Gothic" w:eastAsiaTheme="minorHAnsi" w:hAnsi="Century Gothic"/>
                <w:lang w:val="en-GB"/>
              </w:rPr>
              <w:t>s</w:t>
            </w:r>
            <w:r>
              <w:rPr>
                <w:rFonts w:ascii="Century Gothic" w:eastAsiaTheme="minorHAnsi" w:hAnsi="Century Gothic"/>
                <w:lang w:val="en-GB"/>
              </w:rPr>
              <w:t>.</w:t>
            </w:r>
          </w:p>
          <w:p w14:paraId="4A650D1E" w14:textId="77777777" w:rsidR="00E55F13" w:rsidRPr="00AC504C" w:rsidRDefault="00E55F13" w:rsidP="00A513A3">
            <w:pPr>
              <w:spacing w:line="240" w:lineRule="auto"/>
              <w:jc w:val="both"/>
              <w:rPr>
                <w:rFonts w:ascii="Century Gothic" w:hAnsi="Century Gothic"/>
              </w:rPr>
            </w:pPr>
          </w:p>
        </w:tc>
      </w:tr>
    </w:tbl>
    <w:p w14:paraId="3AF7AB83" w14:textId="77777777" w:rsidR="00E55F13" w:rsidRPr="00AE3CB1" w:rsidRDefault="00E55F13">
      <w:pPr>
        <w:pStyle w:val="podpisi"/>
        <w:spacing w:line="240" w:lineRule="auto"/>
        <w:jc w:val="both"/>
        <w:rPr>
          <w:rFonts w:ascii="Century Gothic" w:hAnsi="Century Gothic"/>
          <w:sz w:val="22"/>
          <w:szCs w:val="22"/>
          <w:lang w:val="en-US"/>
        </w:rPr>
      </w:pPr>
    </w:p>
    <w:p w14:paraId="4A7BA059" w14:textId="77777777" w:rsidR="004D07AD" w:rsidRPr="00AC504C" w:rsidRDefault="004D07AD">
      <w:pPr>
        <w:spacing w:after="160" w:line="259" w:lineRule="auto"/>
        <w:rPr>
          <w:rFonts w:ascii="Century Gothic" w:hAnsi="Century Gothic"/>
          <w:strike/>
          <w:sz w:val="22"/>
          <w:szCs w:val="22"/>
        </w:rPr>
      </w:pPr>
      <w:r>
        <w:rPr>
          <w:rFonts w:ascii="Century Gothic" w:hAnsi="Century Gothic"/>
          <w:strike/>
          <w:sz w:val="22"/>
          <w:szCs w:val="22"/>
          <w:lang w:val="en-GB"/>
        </w:rPr>
        <w:br w:type="page"/>
      </w:r>
    </w:p>
    <w:p w14:paraId="03C3556C" w14:textId="65435051" w:rsidR="00956269" w:rsidRPr="00AC504C" w:rsidRDefault="00A127FE" w:rsidP="00A127FE">
      <w:pPr>
        <w:pStyle w:val="Naslov"/>
        <w:rPr>
          <w:rFonts w:ascii="Century Gothic" w:hAnsi="Century Gothic"/>
          <w:sz w:val="22"/>
          <w:szCs w:val="22"/>
        </w:rPr>
      </w:pPr>
      <w:bookmarkStart w:id="53" w:name="_Toc99612862"/>
      <w:bookmarkStart w:id="54" w:name="_Toc99612861"/>
      <w:bookmarkStart w:id="55" w:name="_Toc99612860"/>
      <w:bookmarkStart w:id="56" w:name="_Toc99612859"/>
      <w:bookmarkStart w:id="57" w:name="_Toc140746464"/>
      <w:bookmarkEnd w:id="53"/>
      <w:bookmarkEnd w:id="54"/>
      <w:bookmarkEnd w:id="55"/>
      <w:bookmarkEnd w:id="56"/>
      <w:r>
        <w:rPr>
          <w:rFonts w:ascii="Century Gothic" w:hAnsi="Century Gothic"/>
          <w:bCs/>
          <w:sz w:val="22"/>
          <w:szCs w:val="22"/>
          <w:lang w:val="en-GB"/>
        </w:rPr>
        <w:lastRenderedPageBreak/>
        <w:t>A</w:t>
      </w:r>
      <w:r w:rsidR="007B6D0E">
        <w:rPr>
          <w:rFonts w:ascii="Century Gothic" w:hAnsi="Century Gothic"/>
          <w:bCs/>
          <w:sz w:val="22"/>
          <w:szCs w:val="22"/>
          <w:lang w:val="en-GB"/>
        </w:rPr>
        <w:t>NNEX</w:t>
      </w:r>
      <w:bookmarkEnd w:id="57"/>
    </w:p>
    <w:p w14:paraId="77B0B09A" w14:textId="77777777" w:rsidR="00A127FE" w:rsidRPr="00AC504C" w:rsidRDefault="00A127FE" w:rsidP="00A127FE">
      <w:r>
        <w:rPr>
          <w:lang w:val="en-GB"/>
        </w:rPr>
        <w:t xml:space="preserve"> </w:t>
      </w:r>
    </w:p>
    <w:p w14:paraId="5073EFC4" w14:textId="77777777" w:rsidR="00A127FE" w:rsidRPr="00AC504C" w:rsidRDefault="00A127FE" w:rsidP="00BC6CE7">
      <w:pPr>
        <w:pStyle w:val="podpisi"/>
        <w:spacing w:line="240" w:lineRule="auto"/>
        <w:jc w:val="both"/>
        <w:rPr>
          <w:rFonts w:ascii="Century Gothic" w:hAnsi="Century Gothic"/>
          <w:sz w:val="22"/>
          <w:szCs w:val="22"/>
        </w:rPr>
      </w:pPr>
      <w:r>
        <w:rPr>
          <w:rFonts w:ascii="Century Gothic" w:hAnsi="Century Gothic"/>
          <w:sz w:val="22"/>
          <w:szCs w:val="22"/>
          <w:lang w:val="en-GB"/>
        </w:rPr>
        <w:t>List of abbreviations</w:t>
      </w:r>
    </w:p>
    <w:p w14:paraId="0AC21ABB" w14:textId="77777777" w:rsidR="007C0B71" w:rsidRPr="00AC504C" w:rsidRDefault="007C0B71" w:rsidP="00BC6CE7">
      <w:pPr>
        <w:pStyle w:val="podpisi"/>
        <w:spacing w:line="240" w:lineRule="auto"/>
        <w:jc w:val="both"/>
        <w:rPr>
          <w:rFonts w:ascii="Century Gothic" w:hAnsi="Century Gothic"/>
          <w:sz w:val="22"/>
          <w:szCs w:val="22"/>
        </w:rPr>
      </w:pPr>
    </w:p>
    <w:p w14:paraId="53883A52" w14:textId="77777777" w:rsidR="00A127FE" w:rsidRPr="00AC504C" w:rsidRDefault="00A127FE" w:rsidP="00A127FE"/>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A127FE" w:rsidRPr="00AC504C" w14:paraId="4C4D3EA7" w14:textId="77777777" w:rsidTr="00BC6CE7">
        <w:tc>
          <w:tcPr>
            <w:tcW w:w="1271" w:type="dxa"/>
          </w:tcPr>
          <w:p w14:paraId="2C323315" w14:textId="77777777" w:rsidR="00453A62" w:rsidRDefault="00453A62" w:rsidP="00BC6CE7">
            <w:pPr>
              <w:spacing w:line="360" w:lineRule="auto"/>
              <w:rPr>
                <w:rFonts w:ascii="Century Gothic" w:hAnsi="Century Gothic"/>
                <w:b/>
                <w:bCs/>
                <w:sz w:val="22"/>
                <w:szCs w:val="22"/>
              </w:rPr>
            </w:pPr>
            <w:r>
              <w:rPr>
                <w:rFonts w:ascii="Century Gothic" w:hAnsi="Century Gothic"/>
                <w:b/>
                <w:bCs/>
                <w:sz w:val="22"/>
                <w:szCs w:val="22"/>
                <w:lang w:val="en-GB"/>
              </w:rPr>
              <w:t>AKOS</w:t>
            </w:r>
          </w:p>
          <w:p w14:paraId="39998D42" w14:textId="77777777" w:rsidR="00A4443A" w:rsidRDefault="00A4443A" w:rsidP="00BC6CE7">
            <w:pPr>
              <w:spacing w:line="360" w:lineRule="auto"/>
              <w:rPr>
                <w:rFonts w:ascii="Century Gothic" w:hAnsi="Century Gothic"/>
                <w:b/>
                <w:bCs/>
                <w:sz w:val="22"/>
                <w:szCs w:val="22"/>
                <w:lang w:val="en-GB"/>
              </w:rPr>
            </w:pPr>
          </w:p>
          <w:p w14:paraId="1D9D7501" w14:textId="52CCDD90" w:rsidR="00F41BD7" w:rsidRPr="00AC504C" w:rsidRDefault="005F0696" w:rsidP="00BC6CE7">
            <w:pPr>
              <w:spacing w:line="360" w:lineRule="auto"/>
              <w:rPr>
                <w:rFonts w:ascii="Century Gothic" w:hAnsi="Century Gothic"/>
                <w:b/>
                <w:bCs/>
                <w:sz w:val="22"/>
                <w:szCs w:val="22"/>
              </w:rPr>
            </w:pPr>
            <w:r>
              <w:rPr>
                <w:rFonts w:ascii="Century Gothic" w:hAnsi="Century Gothic"/>
                <w:b/>
                <w:bCs/>
                <w:sz w:val="22"/>
                <w:szCs w:val="22"/>
                <w:lang w:val="en-GB"/>
              </w:rPr>
              <w:t>BCO</w:t>
            </w:r>
          </w:p>
          <w:p w14:paraId="3C9E68DA" w14:textId="77777777" w:rsidR="00A5722F"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GDP</w:t>
            </w:r>
          </w:p>
          <w:p w14:paraId="24294398" w14:textId="77777777" w:rsidR="00A5722F"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EU</w:t>
            </w:r>
          </w:p>
          <w:p w14:paraId="5E12F43C" w14:textId="77777777" w:rsidR="00A5722F"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PSI</w:t>
            </w:r>
          </w:p>
          <w:p w14:paraId="18308FB8" w14:textId="77777777" w:rsidR="00F27CBC" w:rsidRPr="00AC504C" w:rsidRDefault="00F27CBC" w:rsidP="00BC6CE7">
            <w:pPr>
              <w:spacing w:line="360" w:lineRule="auto"/>
              <w:rPr>
                <w:rFonts w:ascii="Century Gothic" w:hAnsi="Century Gothic"/>
                <w:b/>
                <w:bCs/>
                <w:sz w:val="22"/>
                <w:szCs w:val="22"/>
              </w:rPr>
            </w:pPr>
            <w:r>
              <w:rPr>
                <w:rFonts w:ascii="Century Gothic" w:hAnsi="Century Gothic"/>
                <w:b/>
                <w:bCs/>
                <w:sz w:val="22"/>
                <w:szCs w:val="22"/>
                <w:lang w:val="en-GB"/>
              </w:rPr>
              <w:t>GURS</w:t>
            </w:r>
          </w:p>
          <w:p w14:paraId="1A064B3B" w14:textId="77777777" w:rsidR="00A5722F"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ICT</w:t>
            </w:r>
          </w:p>
          <w:p w14:paraId="7E80D18C" w14:textId="77777777" w:rsidR="00A5722F"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Mbps</w:t>
            </w:r>
          </w:p>
          <w:p w14:paraId="5FE94AA9" w14:textId="5DABE7A3" w:rsidR="00A5722F"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NGA</w:t>
            </w:r>
          </w:p>
          <w:p w14:paraId="13E229D6" w14:textId="77777777" w:rsidR="00A127FE" w:rsidRPr="00AC504C" w:rsidRDefault="00A127FE" w:rsidP="00BC6CE7">
            <w:pPr>
              <w:spacing w:line="360" w:lineRule="auto"/>
              <w:rPr>
                <w:rFonts w:ascii="Century Gothic" w:hAnsi="Century Gothic"/>
                <w:b/>
                <w:bCs/>
                <w:sz w:val="22"/>
                <w:szCs w:val="22"/>
              </w:rPr>
            </w:pPr>
            <w:r>
              <w:rPr>
                <w:rFonts w:ascii="Century Gothic" w:hAnsi="Century Gothic"/>
                <w:b/>
                <w:bCs/>
                <w:sz w:val="22"/>
                <w:szCs w:val="22"/>
                <w:lang w:val="en-GB"/>
              </w:rPr>
              <w:t>OECD</w:t>
            </w:r>
          </w:p>
        </w:tc>
        <w:tc>
          <w:tcPr>
            <w:tcW w:w="7791" w:type="dxa"/>
          </w:tcPr>
          <w:p w14:paraId="666BB48E" w14:textId="77777777" w:rsidR="00453A62" w:rsidRPr="00AC504C" w:rsidRDefault="00453A62" w:rsidP="00BC6CE7">
            <w:pPr>
              <w:spacing w:line="360" w:lineRule="auto"/>
              <w:rPr>
                <w:rFonts w:ascii="Century Gothic" w:hAnsi="Century Gothic"/>
                <w:sz w:val="22"/>
                <w:szCs w:val="22"/>
              </w:rPr>
            </w:pPr>
            <w:r>
              <w:rPr>
                <w:rFonts w:ascii="Century Gothic" w:hAnsi="Century Gothic"/>
                <w:sz w:val="22"/>
                <w:szCs w:val="22"/>
                <w:lang w:val="en-GB"/>
              </w:rPr>
              <w:t>Agency for Communication Networks and Services of the Republic of Slovenia</w:t>
            </w:r>
          </w:p>
          <w:p w14:paraId="4CFAA62B" w14:textId="77777777" w:rsidR="005F0696" w:rsidRDefault="005F0696" w:rsidP="00BC6CE7">
            <w:pPr>
              <w:spacing w:line="360" w:lineRule="auto"/>
              <w:rPr>
                <w:rFonts w:ascii="Century Gothic" w:hAnsi="Century Gothic"/>
                <w:sz w:val="22"/>
                <w:szCs w:val="22"/>
              </w:rPr>
            </w:pPr>
            <w:r>
              <w:rPr>
                <w:rFonts w:ascii="Century Gothic" w:hAnsi="Century Gothic"/>
                <w:color w:val="111111"/>
                <w:sz w:val="22"/>
                <w:szCs w:val="22"/>
                <w:lang w:val="en-GB"/>
              </w:rPr>
              <w:t>Broadband Competence Office</w:t>
            </w:r>
          </w:p>
          <w:p w14:paraId="46C59FC1" w14:textId="77777777" w:rsidR="00A5722F" w:rsidRPr="00AC504C" w:rsidRDefault="00CD2044" w:rsidP="00BC6CE7">
            <w:pPr>
              <w:spacing w:line="360" w:lineRule="auto"/>
              <w:rPr>
                <w:rFonts w:ascii="Century Gothic" w:hAnsi="Century Gothic"/>
                <w:sz w:val="22"/>
                <w:szCs w:val="22"/>
              </w:rPr>
            </w:pPr>
            <w:r>
              <w:rPr>
                <w:rFonts w:ascii="Century Gothic" w:hAnsi="Century Gothic"/>
                <w:sz w:val="22"/>
                <w:szCs w:val="22"/>
                <w:lang w:val="en-GB"/>
              </w:rPr>
              <w:t>gross domestic product</w:t>
            </w:r>
          </w:p>
          <w:p w14:paraId="268E8AAD" w14:textId="77777777" w:rsidR="00A5722F" w:rsidRPr="00AC504C" w:rsidRDefault="00A5722F" w:rsidP="00BC6CE7">
            <w:pPr>
              <w:spacing w:line="360" w:lineRule="auto"/>
              <w:rPr>
                <w:rFonts w:ascii="Century Gothic" w:hAnsi="Century Gothic"/>
                <w:sz w:val="22"/>
                <w:szCs w:val="22"/>
              </w:rPr>
            </w:pPr>
            <w:r>
              <w:rPr>
                <w:rFonts w:ascii="Century Gothic" w:hAnsi="Century Gothic"/>
                <w:sz w:val="22"/>
                <w:szCs w:val="22"/>
                <w:lang w:val="en-GB"/>
              </w:rPr>
              <w:t>European Union</w:t>
            </w:r>
          </w:p>
          <w:p w14:paraId="456AE757" w14:textId="77777777" w:rsidR="00A5722F" w:rsidRDefault="00CD2044" w:rsidP="00BC6CE7">
            <w:pPr>
              <w:spacing w:line="360" w:lineRule="auto"/>
              <w:rPr>
                <w:rFonts w:ascii="Century Gothic" w:hAnsi="Century Gothic"/>
                <w:sz w:val="22"/>
                <w:szCs w:val="22"/>
              </w:rPr>
            </w:pPr>
            <w:r>
              <w:rPr>
                <w:rFonts w:ascii="Century Gothic" w:hAnsi="Century Gothic"/>
                <w:sz w:val="22"/>
                <w:szCs w:val="22"/>
                <w:lang w:val="en-GB"/>
              </w:rPr>
              <w:t>public service infrastructure</w:t>
            </w:r>
          </w:p>
          <w:p w14:paraId="3139BBF0" w14:textId="77777777" w:rsidR="001225B2" w:rsidRPr="00AC504C" w:rsidRDefault="001225B2" w:rsidP="00BC6CE7">
            <w:pPr>
              <w:spacing w:line="360" w:lineRule="auto"/>
              <w:rPr>
                <w:rFonts w:ascii="Century Gothic" w:hAnsi="Century Gothic"/>
                <w:sz w:val="22"/>
                <w:szCs w:val="22"/>
              </w:rPr>
            </w:pPr>
            <w:r>
              <w:rPr>
                <w:rFonts w:ascii="Century Gothic" w:hAnsi="Century Gothic"/>
                <w:sz w:val="22"/>
                <w:szCs w:val="22"/>
                <w:lang w:val="en-GB"/>
              </w:rPr>
              <w:t xml:space="preserve">Surveying and Mapping Authority of the Republic of Slovenia </w:t>
            </w:r>
          </w:p>
          <w:p w14:paraId="0EEBBD08" w14:textId="77777777" w:rsidR="00A5722F" w:rsidRPr="00AE3CB1" w:rsidRDefault="00CD2044" w:rsidP="00BC6CE7">
            <w:pPr>
              <w:spacing w:line="360" w:lineRule="auto"/>
              <w:rPr>
                <w:rFonts w:ascii="Century Gothic" w:hAnsi="Century Gothic"/>
                <w:sz w:val="22"/>
                <w:szCs w:val="22"/>
                <w:lang w:val="fr-FR"/>
              </w:rPr>
            </w:pPr>
            <w:proofErr w:type="gramStart"/>
            <w:r w:rsidRPr="00AE3CB1">
              <w:rPr>
                <w:rFonts w:ascii="Century Gothic" w:hAnsi="Century Gothic"/>
                <w:sz w:val="22"/>
                <w:szCs w:val="22"/>
                <w:lang w:val="fr-FR"/>
              </w:rPr>
              <w:t>information</w:t>
            </w:r>
            <w:proofErr w:type="gramEnd"/>
            <w:r w:rsidRPr="00AE3CB1">
              <w:rPr>
                <w:rFonts w:ascii="Century Gothic" w:hAnsi="Century Gothic"/>
                <w:sz w:val="22"/>
                <w:szCs w:val="22"/>
                <w:lang w:val="fr-FR"/>
              </w:rPr>
              <w:t xml:space="preserve"> and communication technologies</w:t>
            </w:r>
          </w:p>
          <w:p w14:paraId="04BFA364" w14:textId="77777777" w:rsidR="00A5722F" w:rsidRPr="00AE3CB1" w:rsidRDefault="00CD2044" w:rsidP="00BC6CE7">
            <w:pPr>
              <w:spacing w:line="360" w:lineRule="auto"/>
              <w:rPr>
                <w:rFonts w:ascii="Century Gothic" w:hAnsi="Century Gothic"/>
                <w:sz w:val="22"/>
                <w:szCs w:val="22"/>
                <w:lang w:val="fr-FR"/>
              </w:rPr>
            </w:pPr>
            <w:proofErr w:type="gramStart"/>
            <w:r w:rsidRPr="00AE3CB1">
              <w:rPr>
                <w:rFonts w:ascii="Century Gothic" w:hAnsi="Century Gothic"/>
                <w:sz w:val="22"/>
                <w:szCs w:val="22"/>
                <w:lang w:val="fr-FR"/>
              </w:rPr>
              <w:t>megabits</w:t>
            </w:r>
            <w:proofErr w:type="gramEnd"/>
            <w:r w:rsidRPr="00AE3CB1">
              <w:rPr>
                <w:rFonts w:ascii="Century Gothic" w:hAnsi="Century Gothic"/>
                <w:sz w:val="22"/>
                <w:szCs w:val="22"/>
                <w:lang w:val="fr-FR"/>
              </w:rPr>
              <w:t xml:space="preserve"> per second</w:t>
            </w:r>
          </w:p>
          <w:p w14:paraId="77CEC159" w14:textId="0E8D4C11" w:rsidR="00A4443A" w:rsidRPr="005253F3" w:rsidRDefault="00CD2044" w:rsidP="00BC6CE7">
            <w:pPr>
              <w:spacing w:line="360" w:lineRule="auto"/>
              <w:rPr>
                <w:rFonts w:ascii="Century Gothic" w:hAnsi="Century Gothic"/>
                <w:sz w:val="22"/>
                <w:szCs w:val="22"/>
              </w:rPr>
            </w:pPr>
            <w:r>
              <w:rPr>
                <w:rFonts w:ascii="Century Gothic" w:hAnsi="Century Gothic"/>
                <w:sz w:val="22"/>
                <w:szCs w:val="22"/>
                <w:lang w:val="en-GB"/>
              </w:rPr>
              <w:t>next generation access network</w:t>
            </w:r>
          </w:p>
          <w:p w14:paraId="64A5EBA0" w14:textId="77777777" w:rsidR="00A127FE" w:rsidRPr="00AC504C" w:rsidRDefault="00A127FE" w:rsidP="00BC6CE7">
            <w:pPr>
              <w:spacing w:line="360" w:lineRule="auto"/>
              <w:rPr>
                <w:rFonts w:ascii="Century Gothic" w:hAnsi="Century Gothic"/>
                <w:sz w:val="22"/>
                <w:szCs w:val="22"/>
              </w:rPr>
            </w:pPr>
            <w:r>
              <w:rPr>
                <w:rFonts w:ascii="Century Gothic" w:hAnsi="Century Gothic"/>
                <w:sz w:val="22"/>
                <w:szCs w:val="22"/>
                <w:lang w:val="en-GB"/>
              </w:rPr>
              <w:t xml:space="preserve">Organisation for Economic Co-operation and Development </w:t>
            </w:r>
          </w:p>
        </w:tc>
      </w:tr>
      <w:tr w:rsidR="00A127FE" w:rsidRPr="00AC504C" w14:paraId="3B96120E" w14:textId="77777777" w:rsidTr="00BC6CE7">
        <w:tc>
          <w:tcPr>
            <w:tcW w:w="1271" w:type="dxa"/>
          </w:tcPr>
          <w:p w14:paraId="4A696B3A" w14:textId="77777777" w:rsidR="00A127FE"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SURS</w:t>
            </w:r>
          </w:p>
        </w:tc>
        <w:tc>
          <w:tcPr>
            <w:tcW w:w="7791" w:type="dxa"/>
          </w:tcPr>
          <w:p w14:paraId="494372C0" w14:textId="77777777" w:rsidR="00A127FE" w:rsidRPr="00AC504C" w:rsidRDefault="00A5722F" w:rsidP="00BC6CE7">
            <w:pPr>
              <w:spacing w:line="360" w:lineRule="auto"/>
              <w:rPr>
                <w:rFonts w:ascii="Century Gothic" w:hAnsi="Century Gothic"/>
                <w:sz w:val="22"/>
                <w:szCs w:val="22"/>
              </w:rPr>
            </w:pPr>
            <w:r>
              <w:rPr>
                <w:rFonts w:ascii="Century Gothic" w:hAnsi="Century Gothic"/>
                <w:sz w:val="22"/>
                <w:szCs w:val="22"/>
                <w:lang w:val="en-GB"/>
              </w:rPr>
              <w:t>Statistical Office of the Republic of Slovenia</w:t>
            </w:r>
          </w:p>
        </w:tc>
      </w:tr>
      <w:tr w:rsidR="00A127FE" w:rsidRPr="00AC504C" w14:paraId="27BDCA77" w14:textId="77777777" w:rsidTr="00BC6CE7">
        <w:tc>
          <w:tcPr>
            <w:tcW w:w="1271" w:type="dxa"/>
          </w:tcPr>
          <w:p w14:paraId="073F88EB" w14:textId="77777777" w:rsidR="00A127FE" w:rsidRPr="00AC504C" w:rsidRDefault="00A5722F" w:rsidP="00BC6CE7">
            <w:pPr>
              <w:spacing w:line="360" w:lineRule="auto"/>
              <w:rPr>
                <w:rFonts w:ascii="Century Gothic" w:hAnsi="Century Gothic"/>
                <w:b/>
                <w:bCs/>
                <w:sz w:val="22"/>
                <w:szCs w:val="22"/>
              </w:rPr>
            </w:pPr>
            <w:r>
              <w:rPr>
                <w:rFonts w:ascii="Century Gothic" w:hAnsi="Century Gothic"/>
                <w:b/>
                <w:bCs/>
                <w:sz w:val="22"/>
                <w:szCs w:val="22"/>
                <w:lang w:val="en-GB"/>
              </w:rPr>
              <w:t>ZEKom-1</w:t>
            </w:r>
          </w:p>
        </w:tc>
        <w:tc>
          <w:tcPr>
            <w:tcW w:w="7791" w:type="dxa"/>
          </w:tcPr>
          <w:p w14:paraId="2B744D14" w14:textId="77777777" w:rsidR="00A127FE" w:rsidRPr="00AC504C" w:rsidRDefault="00A5722F" w:rsidP="00BC6CE7">
            <w:pPr>
              <w:spacing w:line="360" w:lineRule="auto"/>
              <w:rPr>
                <w:rFonts w:ascii="Century Gothic" w:hAnsi="Century Gothic"/>
                <w:sz w:val="22"/>
                <w:szCs w:val="22"/>
              </w:rPr>
            </w:pPr>
            <w:r>
              <w:rPr>
                <w:rFonts w:ascii="Century Gothic" w:hAnsi="Century Gothic"/>
                <w:sz w:val="22"/>
                <w:szCs w:val="22"/>
                <w:lang w:val="en-GB"/>
              </w:rPr>
              <w:t>Electronic Communications Act</w:t>
            </w:r>
          </w:p>
        </w:tc>
      </w:tr>
    </w:tbl>
    <w:p w14:paraId="370CF4AC" w14:textId="77777777" w:rsidR="00A127FE" w:rsidRPr="00AC504C" w:rsidRDefault="00A127FE"/>
    <w:sectPr w:rsidR="00A127FE" w:rsidRPr="00AC504C" w:rsidSect="001D0423">
      <w:footerReference w:type="default" r:id="rId24"/>
      <w:head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8299" w14:textId="77777777" w:rsidR="001A3985" w:rsidRDefault="001A3985" w:rsidP="00491613">
      <w:pPr>
        <w:spacing w:line="240" w:lineRule="auto"/>
      </w:pPr>
      <w:r>
        <w:separator/>
      </w:r>
    </w:p>
  </w:endnote>
  <w:endnote w:type="continuationSeparator" w:id="0">
    <w:p w14:paraId="14D756AB" w14:textId="77777777" w:rsidR="001A3985" w:rsidRDefault="001A3985" w:rsidP="00491613">
      <w:pPr>
        <w:spacing w:line="240" w:lineRule="auto"/>
      </w:pPr>
      <w:r>
        <w:continuationSeparator/>
      </w:r>
    </w:p>
  </w:endnote>
  <w:endnote w:type="continuationNotice" w:id="1">
    <w:p w14:paraId="29CA2E11" w14:textId="77777777" w:rsidR="001A3985" w:rsidRDefault="001A39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E802" w14:textId="77777777" w:rsidR="003353EC" w:rsidRPr="004A6945" w:rsidRDefault="003353EC">
    <w:pPr>
      <w:pStyle w:val="Noga"/>
      <w:rPr>
        <w:rFonts w:ascii="Century Gothic" w:hAnsi="Century Gothic"/>
      </w:rPr>
    </w:pPr>
    <w:r>
      <w:rPr>
        <w:rFonts w:ascii="Century Gothic" w:hAnsi="Century Gothic"/>
        <w:noProof/>
        <w:lang w:val="sl-SI" w:eastAsia="sl-SI"/>
      </w:rPr>
      <mc:AlternateContent>
        <mc:Choice Requires="wps">
          <w:drawing>
            <wp:anchor distT="0" distB="0" distL="114300" distR="114300" simplePos="0" relativeHeight="251658241" behindDoc="0" locked="0" layoutInCell="1" allowOverlap="1" wp14:anchorId="12AF4AF6" wp14:editId="586ED22C">
              <wp:simplePos x="0" y="0"/>
              <wp:positionH relativeFrom="page">
                <wp:posOffset>914339</wp:posOffset>
              </wp:positionH>
              <wp:positionV relativeFrom="page">
                <wp:posOffset>9972675</wp:posOffset>
              </wp:positionV>
              <wp:extent cx="5924611" cy="18604"/>
              <wp:effectExtent l="0" t="0" r="0" b="0"/>
              <wp:wrapSquare wrapText="bothSides"/>
              <wp:docPr id="38" name="Pravokotnik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CC363" id="Pravokotnik 38" o:spid="_x0000_s1026" alt="&quot;&quot;" style="position:absolute;margin-left:1in;margin-top:785.25pt;width:466.5pt;height:1.45pt;z-index:251658241;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" fillcolor="black [3213]" stroked="f" strokeweight="1pt">
              <w10:wrap type="square" anchorx="page" anchory="page"/>
            </v:rect>
          </w:pict>
        </mc:Fallback>
      </mc:AlternateContent>
    </w:r>
    <w:r>
      <w:rPr>
        <w:rFonts w:ascii="Century Gothic" w:hAnsi="Century Gothic"/>
        <w:noProof/>
        <w:lang w:val="sl-SI" w:eastAsia="sl-SI"/>
      </w:rPr>
      <mc:AlternateContent>
        <mc:Choice Requires="wps">
          <w:drawing>
            <wp:anchor distT="0" distB="0" distL="0" distR="0" simplePos="0" relativeHeight="251658240" behindDoc="0" locked="0" layoutInCell="1" allowOverlap="1" wp14:anchorId="222521E7" wp14:editId="6501050C">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Pravokotnik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DDFF8" w14:textId="77777777" w:rsidR="003353EC" w:rsidRDefault="003353EC">
                          <w:pPr>
                            <w:jc w:val="right"/>
                            <w:rPr>
                              <w:color w:val="FFFFFF" w:themeColor="background1"/>
                              <w:sz w:val="28"/>
                              <w:szCs w:val="28"/>
                            </w:rPr>
                          </w:pPr>
                          <w:r>
                            <w:rPr>
                              <w:color w:val="FFFFFF" w:themeColor="background1"/>
                              <w:sz w:val="28"/>
                              <w:szCs w:val="28"/>
                              <w:lang w:val="en-GB"/>
                            </w:rPr>
                            <w:fldChar w:fldCharType="begin"/>
                          </w:r>
                          <w:r>
                            <w:rPr>
                              <w:color w:val="FFFFFF" w:themeColor="background1"/>
                              <w:sz w:val="28"/>
                              <w:szCs w:val="28"/>
                              <w:lang w:val="en-GB"/>
                            </w:rPr>
                            <w:instrText>PAGE   \* MERGEFORMAT</w:instrText>
                          </w:r>
                          <w:r>
                            <w:rPr>
                              <w:color w:val="FFFFFF" w:themeColor="background1"/>
                              <w:sz w:val="28"/>
                              <w:szCs w:val="28"/>
                              <w:lang w:val="en-GB"/>
                            </w:rPr>
                            <w:fldChar w:fldCharType="separate"/>
                          </w:r>
                          <w:r w:rsidR="000852EB">
                            <w:rPr>
                              <w:noProof/>
                              <w:color w:val="FFFFFF" w:themeColor="background1"/>
                              <w:sz w:val="28"/>
                              <w:szCs w:val="28"/>
                              <w:lang w:val="en-GB"/>
                            </w:rPr>
                            <w:t>35</w:t>
                          </w:r>
                          <w:r>
                            <w:rPr>
                              <w:color w:val="FFFFFF" w:themeColor="background1"/>
                              <w:sz w:val="28"/>
                              <w:szCs w:val="28"/>
                              <w:lang w:val="en-GB"/>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521E7" id="Pravokotnik 40" o:spid="_x0000_s1026" alt="&quot;&quot;"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" fillcolor="black [3213]" stroked="f" strokeweight="3pt">
              <v:textbox>
                <w:txbxContent>
                  <w:p w14:paraId="718DDFF8" w14:textId="77777777" w:rsidR="003353EC" w:rsidRDefault="003353EC">
                    <w:pPr>
                      <w:jc w:val="right"/>
                      <w:rPr>
                        <w:color w:val="FFFFFF" w:themeColor="background1"/>
                        <w:sz w:val="28"/>
                        <w:szCs w:val="28"/>
                      </w:rPr>
                    </w:pPr>
                    <w:r>
                      <w:rPr>
                        <w:color w:val="FFFFFF" w:themeColor="background1"/>
                        <w:sz w:val="28"/>
                        <w:szCs w:val="28"/>
                        <w:lang w:val="en-GB"/>
                      </w:rPr>
                      <w:fldChar w:fldCharType="begin"/>
                    </w:r>
                    <w:r>
                      <w:rPr>
                        <w:color w:val="FFFFFF" w:themeColor="background1"/>
                        <w:sz w:val="28"/>
                        <w:szCs w:val="28"/>
                        <w:lang w:val="en-GB"/>
                      </w:rPr>
                      <w:instrText>PAGE   \* MERGEFORMAT</w:instrText>
                    </w:r>
                    <w:r>
                      <w:rPr>
                        <w:color w:val="FFFFFF" w:themeColor="background1"/>
                        <w:sz w:val="28"/>
                        <w:szCs w:val="28"/>
                        <w:lang w:val="en-GB"/>
                      </w:rPr>
                      <w:fldChar w:fldCharType="separate"/>
                    </w:r>
                    <w:r w:rsidR="000852EB">
                      <w:rPr>
                        <w:noProof/>
                        <w:color w:val="FFFFFF" w:themeColor="background1"/>
                        <w:sz w:val="28"/>
                        <w:szCs w:val="28"/>
                        <w:lang w:val="en-GB"/>
                      </w:rPr>
                      <w:t>35</w:t>
                    </w:r>
                    <w:r>
                      <w:rPr>
                        <w:color w:val="FFFFFF" w:themeColor="background1"/>
                        <w:sz w:val="28"/>
                        <w:szCs w:val="28"/>
                        <w:lang w:val="en-GB"/>
                      </w:rPr>
                      <w:fldChar w:fldCharType="end"/>
                    </w:r>
                  </w:p>
                </w:txbxContent>
              </v:textbox>
              <w10:wrap type="square" anchorx="margin" anchory="margin"/>
            </v:rect>
          </w:pict>
        </mc:Fallback>
      </mc:AlternateContent>
    </w:r>
    <w:r>
      <w:rPr>
        <w:rFonts w:ascii="Century Gothic" w:hAnsi="Century Gothic"/>
        <w:lang w:val="en-GB"/>
      </w:rPr>
      <w:t>Gigabit Infrastructure Development Plan 2030</w:t>
    </w:r>
  </w:p>
  <w:p w14:paraId="298C5371" w14:textId="77777777" w:rsidR="003353EC" w:rsidRPr="00311E28" w:rsidRDefault="003353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39E7" w14:textId="77777777" w:rsidR="001A3985" w:rsidRDefault="001A3985" w:rsidP="00491613">
      <w:pPr>
        <w:spacing w:line="240" w:lineRule="auto"/>
      </w:pPr>
      <w:r>
        <w:separator/>
      </w:r>
    </w:p>
  </w:footnote>
  <w:footnote w:type="continuationSeparator" w:id="0">
    <w:p w14:paraId="19610151" w14:textId="77777777" w:rsidR="001A3985" w:rsidRDefault="001A3985" w:rsidP="00491613">
      <w:pPr>
        <w:spacing w:line="240" w:lineRule="auto"/>
      </w:pPr>
      <w:r>
        <w:continuationSeparator/>
      </w:r>
    </w:p>
  </w:footnote>
  <w:footnote w:type="continuationNotice" w:id="1">
    <w:p w14:paraId="6C9DD990" w14:textId="77777777" w:rsidR="001A3985" w:rsidRDefault="001A3985">
      <w:pPr>
        <w:spacing w:line="240" w:lineRule="auto"/>
      </w:pPr>
    </w:p>
  </w:footnote>
  <w:footnote w:id="2">
    <w:p w14:paraId="74B43896" w14:textId="77777777" w:rsidR="003353EC" w:rsidRPr="00FD0927" w:rsidRDefault="003353EC" w:rsidP="00A963BB">
      <w:pPr>
        <w:pStyle w:val="Sprotnaopomba-besedilo"/>
        <w:jc w:val="both"/>
        <w:rPr>
          <w:rFonts w:ascii="Century Gothic" w:hAnsi="Century Gothic"/>
          <w:sz w:val="18"/>
          <w:szCs w:val="18"/>
        </w:rPr>
      </w:pPr>
      <w:r>
        <w:rPr>
          <w:rStyle w:val="Sprotnaopomba-sklic"/>
          <w:lang w:val="en-GB"/>
        </w:rPr>
        <w:footnoteRef/>
      </w:r>
      <w:r>
        <w:rPr>
          <w:rFonts w:ascii="Century Gothic" w:hAnsi="Century Gothic"/>
          <w:sz w:val="18"/>
          <w:szCs w:val="18"/>
          <w:lang w:val="en-GB"/>
        </w:rPr>
        <w:t>Different terms are used in various fundamental European strategic and legal documents to denote communities of inhabitants to be provided connectivity. The general statistical term "household" is used in the Communication from the Commission entitled "Connectivity for a Competitive Digital Single Market – Towards a European Gigabit Society". In the Commission Delegated Regulation (EU) 2021/2106 of 28 September 2021 on supplementing Regulation (EU) 2021/241 of the European Parliament and of the Council establishing the Recovery and Resilience Facility by setting out the common indicators and the detailed elements of the recovery and resilience scoreboard, the term dwelling is defined as a room or a suite of rooms in a permanent building or a structurally separated part of a building which is designed for habitation by one private household all year around. The term "household" is used in the 2030 Digital Compass and in the Proposal for a Decision of the European Parliament and of the Council establishing the 2030 Policy Programme "Path to the Digital Decade". The term "household" is normally used in this Plan as this is a well-established neutral term that is interchangeable with the terms "home" and "dwelling". Nevertheless, the terms "home" and "dwelling” are also used in this Plan when referring to national and EU documents using these two terms to avoid confusion.</w:t>
      </w:r>
    </w:p>
  </w:footnote>
  <w:footnote w:id="3">
    <w:p w14:paraId="40EBB612" w14:textId="077AF2CC" w:rsidR="003353EC" w:rsidRPr="00E02979" w:rsidRDefault="003353EC" w:rsidP="00D54B91">
      <w:pPr>
        <w:pStyle w:val="Sprotnaopomba-besedilo"/>
        <w:jc w:val="both"/>
      </w:pPr>
      <w:r>
        <w:rPr>
          <w:rStyle w:val="Sprotnaopomba-sklic"/>
          <w:lang w:val="en-GB"/>
        </w:rPr>
        <w:footnoteRef/>
      </w:r>
      <w:r>
        <w:rPr>
          <w:rFonts w:ascii="Century Gothic" w:hAnsi="Century Gothic"/>
          <w:sz w:val="18"/>
          <w:szCs w:val="18"/>
          <w:lang w:val="en-GB"/>
        </w:rPr>
        <w:t xml:space="preserve">In accordance with the Communication from the Commission entitled "Connectivity for a Competitive Digital Single Market – Towards a European Gigabit Society", </w:t>
      </w:r>
      <w:r>
        <w:rPr>
          <w:lang w:val="en-GB"/>
        </w:rPr>
        <w:t>the main socio-economic drivers are schools, transport hubs, digitally intensive enterprises and main providers of public services, namely primary and secondary schools, railway stations, ports and airports, local authority buildings, universities, research centres, medical clinics, hospitals and stadiums. The Plan explicitly defines the gigabit connectivity of cultural institutions as a strategic objective of Slovenia.</w:t>
      </w:r>
      <w:r>
        <w:rPr>
          <w:rFonts w:ascii="Century Gothic" w:hAnsi="Century Gothic"/>
          <w:sz w:val="18"/>
          <w:szCs w:val="18"/>
          <w:lang w:val="en-GB"/>
        </w:rPr>
        <w:t xml:space="preserve"> </w:t>
      </w:r>
    </w:p>
  </w:footnote>
  <w:footnote w:id="4">
    <w:p w14:paraId="2DB4B9D1" w14:textId="77777777" w:rsidR="003353EC" w:rsidRPr="005B461A" w:rsidRDefault="003353EC" w:rsidP="003952A7">
      <w:pPr>
        <w:pStyle w:val="Sprotnaopomba-besedilo"/>
        <w:jc w:val="both"/>
      </w:pPr>
      <w:r>
        <w:rPr>
          <w:rStyle w:val="Sprotnaopomba-sklic"/>
          <w:lang w:val="en-GB"/>
        </w:rPr>
        <w:footnoteRef/>
      </w:r>
      <w:r>
        <w:rPr>
          <w:rFonts w:ascii="Century Gothic" w:hAnsi="Century Gothic"/>
          <w:sz w:val="18"/>
          <w:szCs w:val="18"/>
          <w:lang w:val="en-GB"/>
        </w:rPr>
        <w:t>Not all EU digital objectives in the field of digital infrastructure are included in the Plan, as measures and strategies for attaining certain objectives set in the Proposal for a Decision of the European Parliament and of the Council establishing the 2030 Policy Programme "Path to the Digital Decade" and referring to the production of cutting-edge and sustainable semiconductors, the deployment of climate-neutral highly secure edge nodes, and activities to acquire the EU’s first computer with quantum acceleration are defined and operationalised in other documents and public policies.</w:t>
      </w:r>
    </w:p>
  </w:footnote>
  <w:footnote w:id="5">
    <w:p w14:paraId="09494246" w14:textId="77777777" w:rsidR="003353EC" w:rsidRPr="005B5F2B" w:rsidRDefault="003353EC">
      <w:pPr>
        <w:pStyle w:val="Sprotnaopomba-besedilo"/>
        <w:rPr>
          <w:rFonts w:ascii="Century Gothic" w:hAnsi="Century Gothic"/>
          <w:sz w:val="18"/>
          <w:szCs w:val="18"/>
        </w:rPr>
      </w:pPr>
      <w:r>
        <w:rPr>
          <w:rStyle w:val="Sprotnaopomba-sklic"/>
          <w:lang w:val="en-GB"/>
        </w:rPr>
        <w:footnoteRef/>
      </w:r>
      <w:r>
        <w:rPr>
          <w:lang w:val="en-GB"/>
        </w:rPr>
        <w:t xml:space="preserve"> </w:t>
      </w:r>
      <w:hyperlink r:id="rId1" w:history="1">
        <w:r>
          <w:rPr>
            <w:rStyle w:val="Hiperpovezava"/>
            <w:rFonts w:ascii="Century Gothic" w:hAnsi="Century Gothic"/>
            <w:color w:val="auto"/>
            <w:sz w:val="18"/>
            <w:szCs w:val="18"/>
            <w:lang w:val="en-GB"/>
          </w:rPr>
          <w:t>http://www.itu.int/ITU-D/treg/broadband/ITU-BB-Reports_Impact-of-Broadband-on-the-Economy.pdf</w:t>
        </w:r>
      </w:hyperlink>
      <w:r>
        <w:rPr>
          <w:rFonts w:ascii="Century Gothic" w:hAnsi="Century Gothic"/>
          <w:sz w:val="18"/>
          <w:szCs w:val="18"/>
          <w:lang w:val="en-GB"/>
        </w:rPr>
        <w:t>, p. 7 (last accessed 30 March 2022)</w:t>
      </w:r>
    </w:p>
  </w:footnote>
  <w:footnote w:id="6">
    <w:p w14:paraId="5A802582" w14:textId="77777777" w:rsidR="003353EC" w:rsidRPr="00CD6059" w:rsidRDefault="003353EC">
      <w:pPr>
        <w:pStyle w:val="Sprotnaopomba-besedilo"/>
      </w:pPr>
      <w:r>
        <w:rPr>
          <w:rStyle w:val="Sprotnaopomba-sklic"/>
          <w:lang w:val="en-GB"/>
        </w:rPr>
        <w:footnoteRef/>
      </w:r>
      <w:r>
        <w:rPr>
          <w:lang w:val="en-GB"/>
        </w:rPr>
        <w:t xml:space="preserve"> </w:t>
      </w:r>
      <w:hyperlink r:id="rId2" w:history="1">
        <w:r>
          <w:rPr>
            <w:rStyle w:val="Hiperpovezava"/>
            <w:rFonts w:ascii="Century Gothic" w:hAnsi="Century Gothic"/>
            <w:color w:val="auto"/>
            <w:sz w:val="18"/>
            <w:szCs w:val="18"/>
            <w:lang w:val="en-GB"/>
          </w:rPr>
          <w:t>http://www.ericsson.com/res/thecompany/docs/corporate-responsibility/2013/ericsson-broadband-final-071013.pdf</w:t>
        </w:r>
      </w:hyperlink>
      <w:r>
        <w:rPr>
          <w:rFonts w:ascii="Century Gothic" w:hAnsi="Century Gothic"/>
          <w:sz w:val="18"/>
          <w:szCs w:val="18"/>
          <w:lang w:val="en-GB"/>
        </w:rPr>
        <w:t>, p. 7 (last accessed 30 March 2022)</w:t>
      </w:r>
    </w:p>
  </w:footnote>
  <w:footnote w:id="7">
    <w:p w14:paraId="012BE145" w14:textId="661E87A1" w:rsidR="003353EC" w:rsidRPr="00AA066D" w:rsidRDefault="003353EC" w:rsidP="00AA066D">
      <w:pPr>
        <w:pStyle w:val="Sprotnaopomba-besedilo"/>
        <w:jc w:val="both"/>
        <w:rPr>
          <w:rFonts w:ascii="Century Gothic" w:hAnsi="Century Gothic"/>
          <w:sz w:val="18"/>
          <w:szCs w:val="18"/>
        </w:rPr>
      </w:pPr>
      <w:r>
        <w:rPr>
          <w:rStyle w:val="Sprotnaopomba-sklic"/>
          <w:rFonts w:ascii="Century Gothic" w:hAnsi="Century Gothic"/>
          <w:sz w:val="18"/>
          <w:szCs w:val="18"/>
          <w:lang w:val="en-GB"/>
        </w:rPr>
        <w:footnoteRef/>
      </w:r>
      <w:r>
        <w:rPr>
          <w:lang w:val="en-GB"/>
        </w:rPr>
        <w:t xml:space="preserve"> </w:t>
      </w:r>
      <w:r>
        <w:rPr>
          <w:rFonts w:ascii="Century Gothic" w:hAnsi="Century Gothic"/>
          <w:sz w:val="18"/>
          <w:szCs w:val="18"/>
          <w:u w:val="single"/>
          <w:lang w:val="en-GB"/>
        </w:rPr>
        <w:t xml:space="preserve">Based on AKOS </w:t>
      </w:r>
      <w:hyperlink r:id="rId3" w:history="1">
        <w:r>
          <w:rPr>
            <w:rStyle w:val="Hiperpovezava"/>
            <w:rFonts w:ascii="Century Gothic" w:hAnsi="Century Gothic"/>
            <w:color w:val="auto"/>
            <w:sz w:val="18"/>
            <w:szCs w:val="18"/>
            <w:lang w:val="en-GB"/>
          </w:rPr>
          <w:t>(https://www.akos-rs.si/radijski-spekter/raziscite/mobilna-omrezja</w:t>
        </w:r>
      </w:hyperlink>
      <w:r>
        <w:rPr>
          <w:rFonts w:ascii="Century Gothic" w:hAnsi="Century Gothic"/>
          <w:sz w:val="18"/>
          <w:szCs w:val="18"/>
          <w:lang w:val="en-GB"/>
        </w:rPr>
        <w:t>, p. 7 (last accessed 30 March 2022)</w:t>
      </w:r>
    </w:p>
  </w:footnote>
  <w:footnote w:id="8">
    <w:p w14:paraId="0B6DBCE8" w14:textId="77777777" w:rsidR="003353EC" w:rsidRPr="00AA066D" w:rsidRDefault="003353EC" w:rsidP="00AA066D">
      <w:pPr>
        <w:pStyle w:val="Sprotnaopomba-besedilo"/>
        <w:jc w:val="both"/>
        <w:rPr>
          <w:rFonts w:ascii="Century Gothic" w:hAnsi="Century Gothic"/>
          <w:sz w:val="18"/>
          <w:szCs w:val="18"/>
        </w:rPr>
      </w:pPr>
      <w:r>
        <w:rPr>
          <w:rStyle w:val="Sprotnaopomba-sklic"/>
          <w:rFonts w:ascii="Century Gothic" w:hAnsi="Century Gothic"/>
          <w:sz w:val="18"/>
          <w:szCs w:val="18"/>
          <w:lang w:val="en-GB"/>
        </w:rPr>
        <w:footnoteRef/>
      </w:r>
      <w:r>
        <w:rPr>
          <w:rFonts w:ascii="Century Gothic" w:hAnsi="Century Gothic"/>
          <w:sz w:val="18"/>
          <w:szCs w:val="18"/>
          <w:lang w:val="en-GB"/>
        </w:rPr>
        <w:t>Nomadic users are users of electronic communications services who use different network termination points to access public communications networks.</w:t>
      </w:r>
    </w:p>
  </w:footnote>
  <w:footnote w:id="9">
    <w:p w14:paraId="0BF4C389" w14:textId="488310EA" w:rsidR="003353EC" w:rsidRPr="008B45EE" w:rsidRDefault="003353EC" w:rsidP="00AA066D">
      <w:pPr>
        <w:pStyle w:val="Sprotnaopomba-besedilo"/>
        <w:jc w:val="both"/>
        <w:rPr>
          <w:rFonts w:ascii="Century Gothic" w:hAnsi="Century Gothic"/>
          <w:sz w:val="18"/>
          <w:szCs w:val="18"/>
        </w:rPr>
      </w:pPr>
      <w:r>
        <w:rPr>
          <w:rStyle w:val="Sprotnaopomba-sklic"/>
          <w:rFonts w:ascii="Century Gothic" w:hAnsi="Century Gothic"/>
          <w:sz w:val="18"/>
          <w:szCs w:val="18"/>
          <w:lang w:val="en-GB"/>
        </w:rPr>
        <w:footnoteRef/>
      </w:r>
      <w:r>
        <w:rPr>
          <w:rFonts w:ascii="Century Gothic" w:hAnsi="Century Gothic"/>
          <w:sz w:val="18"/>
          <w:szCs w:val="18"/>
          <w:lang w:val="en-GB"/>
        </w:rPr>
        <w:t>They include, for example, primary and secondary schools, railway stations, ports and airports, local authority buildings, universities, research centres, medical clinics, hospitals and stadiums.</w:t>
      </w:r>
    </w:p>
  </w:footnote>
  <w:footnote w:id="10">
    <w:p w14:paraId="47FE270A" w14:textId="77777777" w:rsidR="003353EC" w:rsidRPr="00DC7DAE" w:rsidRDefault="003353EC">
      <w:pPr>
        <w:pStyle w:val="Sprotnaopomba-besedilo"/>
        <w:rPr>
          <w:rStyle w:val="Hiperpovezava"/>
          <w:rFonts w:ascii="Century Gothic" w:hAnsi="Century Gothic"/>
          <w:color w:val="auto"/>
          <w:sz w:val="18"/>
          <w:szCs w:val="18"/>
          <w:u w:val="none"/>
        </w:rPr>
      </w:pPr>
      <w:r>
        <w:rPr>
          <w:rStyle w:val="Sprotnaopomba-sklic"/>
          <w:lang w:val="en-GB"/>
        </w:rPr>
        <w:footnoteRef/>
      </w:r>
      <w:r>
        <w:rPr>
          <w:lang w:val="en-GB"/>
        </w:rPr>
        <w:t xml:space="preserve"> </w:t>
      </w:r>
      <w:hyperlink r:id="rId4" w:history="1">
        <w:r>
          <w:rPr>
            <w:rStyle w:val="Hiperpovezava"/>
            <w:rFonts w:ascii="Century Gothic" w:hAnsi="Century Gothic"/>
            <w:color w:val="auto"/>
            <w:sz w:val="18"/>
            <w:szCs w:val="18"/>
            <w:u w:val="none"/>
            <w:lang w:val="en-GB"/>
          </w:rPr>
          <w:t>https://www.stat.si/obcine/sl/Theme/Index/PrebivalstvoGostota</w:t>
        </w:r>
      </w:hyperlink>
      <w:r>
        <w:rPr>
          <w:rStyle w:val="Hiperpovezava"/>
          <w:rFonts w:ascii="Century Gothic" w:hAnsi="Century Gothic"/>
          <w:color w:val="auto"/>
          <w:sz w:val="18"/>
          <w:szCs w:val="18"/>
          <w:u w:val="none"/>
          <w:lang w:val="en-GB"/>
        </w:rPr>
        <w:t xml:space="preserve"> (last accessed 11 August 2022)</w:t>
      </w:r>
    </w:p>
  </w:footnote>
  <w:footnote w:id="11">
    <w:p w14:paraId="7C2C78AB" w14:textId="77777777" w:rsidR="003353EC" w:rsidRPr="003838F7" w:rsidRDefault="003353EC" w:rsidP="0024180C">
      <w:pPr>
        <w:pStyle w:val="Sprotnaopomba-besedilo"/>
        <w:rPr>
          <w:rFonts w:ascii="Century Gothic" w:hAnsi="Century Gothic"/>
          <w:sz w:val="18"/>
          <w:szCs w:val="18"/>
        </w:rPr>
      </w:pPr>
      <w:r>
        <w:rPr>
          <w:rStyle w:val="Sprotnaopomba-sklic"/>
          <w:lang w:val="en-GB"/>
        </w:rPr>
        <w:footnoteRef/>
      </w:r>
      <w:r>
        <w:rPr>
          <w:lang w:val="en-GB"/>
        </w:rPr>
        <w:t xml:space="preserve"> </w:t>
      </w:r>
      <w:hyperlink r:id="rId5" w:history="1">
        <w:r>
          <w:rPr>
            <w:rStyle w:val="Hiperpovezava"/>
            <w:rFonts w:ascii="Century Gothic" w:hAnsi="Century Gothic"/>
            <w:color w:val="auto"/>
            <w:sz w:val="18"/>
            <w:szCs w:val="18"/>
            <w:u w:val="none"/>
            <w:lang w:val="en-GB"/>
          </w:rPr>
          <w:t>Povzetek_analize_mobilnega_trga.pdf (akos-rs.si)</w:t>
        </w:r>
      </w:hyperlink>
      <w:r>
        <w:rPr>
          <w:rStyle w:val="Hiperpovezava"/>
          <w:rFonts w:ascii="Century Gothic" w:hAnsi="Century Gothic"/>
          <w:color w:val="auto"/>
          <w:sz w:val="18"/>
          <w:szCs w:val="18"/>
          <w:u w:val="none"/>
          <w:lang w:val="en-GB"/>
        </w:rPr>
        <w:t xml:space="preserve"> (last accessed 28 March 2022)</w:t>
      </w:r>
    </w:p>
  </w:footnote>
  <w:footnote w:id="12">
    <w:p w14:paraId="511E2BF6" w14:textId="77777777" w:rsidR="003353EC" w:rsidRPr="003838F7" w:rsidRDefault="003353EC" w:rsidP="00C7082D">
      <w:pPr>
        <w:pStyle w:val="Sprotnaopomba-besedilo"/>
        <w:rPr>
          <w:rFonts w:ascii="Century Gothic" w:hAnsi="Century Gothic"/>
          <w:sz w:val="18"/>
          <w:szCs w:val="18"/>
        </w:rPr>
      </w:pPr>
      <w:r>
        <w:rPr>
          <w:rStyle w:val="Sprotnaopomba-sklic"/>
          <w:rFonts w:ascii="Century Gothic" w:hAnsi="Century Gothic"/>
          <w:sz w:val="18"/>
          <w:szCs w:val="18"/>
          <w:lang w:val="en-GB"/>
        </w:rPr>
        <w:footnoteRef/>
      </w:r>
      <w:r>
        <w:rPr>
          <w:rFonts w:ascii="Century Gothic" w:hAnsi="Century Gothic"/>
          <w:sz w:val="18"/>
          <w:szCs w:val="18"/>
          <w:lang w:val="en-GB"/>
        </w:rPr>
        <w:t xml:space="preserve"> https://www.akos-rs.si/fileadmin/user_upload/dokumenti/Raziskave__analize__porocila_in_statistika/RF_Spekter/Pokritost_s_storitvami_mobilnih_tehnologij_julija_2021.pdf</w:t>
      </w:r>
    </w:p>
  </w:footnote>
  <w:footnote w:id="13">
    <w:p w14:paraId="0D894F51" w14:textId="77777777" w:rsidR="003353EC" w:rsidRPr="003D0650" w:rsidRDefault="003353EC">
      <w:pPr>
        <w:pStyle w:val="Sprotnaopomba-besedilo"/>
      </w:pPr>
      <w:r>
        <w:rPr>
          <w:rStyle w:val="Sprotnaopomba-sklic"/>
          <w:lang w:val="en-GB"/>
        </w:rPr>
        <w:footnoteRef/>
      </w:r>
      <w:r>
        <w:rPr>
          <w:lang w:val="en-GB"/>
        </w:rPr>
        <w:t xml:space="preserve"> </w:t>
      </w:r>
      <w:hyperlink r:id="rId6" w:history="1">
        <w:r>
          <w:rPr>
            <w:rStyle w:val="Hiperpovezava"/>
            <w:rFonts w:ascii="Century Gothic" w:hAnsi="Century Gothic"/>
            <w:color w:val="auto"/>
            <w:sz w:val="18"/>
            <w:szCs w:val="18"/>
            <w:u w:val="none"/>
            <w:lang w:val="en-GB"/>
          </w:rPr>
          <w:t>Cybersecurity of 5G networks – EU Toolbox of risk mitigating measures | Shaping Europe’s digital future (europa.eu)</w:t>
        </w:r>
      </w:hyperlink>
    </w:p>
  </w:footnote>
  <w:footnote w:id="14">
    <w:p w14:paraId="67B48CD2" w14:textId="77777777" w:rsidR="003353EC" w:rsidRPr="00CF7795" w:rsidRDefault="003353EC" w:rsidP="00D27DE5">
      <w:pPr>
        <w:pStyle w:val="Sprotnaopomba-besedilo"/>
      </w:pPr>
      <w:r>
        <w:rPr>
          <w:rStyle w:val="Sprotnaopomba-sklic"/>
          <w:lang w:val="en-GB"/>
        </w:rPr>
        <w:footnoteRef/>
      </w:r>
      <w:r>
        <w:rPr>
          <w:rFonts w:ascii="Century Gothic" w:hAnsi="Century Gothic"/>
          <w:sz w:val="18"/>
          <w:szCs w:val="18"/>
          <w:lang w:val="en-GB"/>
        </w:rPr>
        <w:t>Gigabit connectivity should be interpreted as cost effective symmetrical internet connectivity providing download and upload speeds of at least 1 Gbps (based on the Communication from the Commission "Connectivity for a Competitive Digital Single Market – Towards a European Gigabit Society").</w:t>
      </w:r>
    </w:p>
  </w:footnote>
  <w:footnote w:id="15">
    <w:p w14:paraId="148B4F8D" w14:textId="77777777" w:rsidR="003353EC" w:rsidRPr="003D0650" w:rsidRDefault="003353EC" w:rsidP="003D0650">
      <w:pPr>
        <w:pStyle w:val="Sprotnaopomba-besedilo"/>
        <w:jc w:val="both"/>
      </w:pPr>
      <w:r>
        <w:rPr>
          <w:rStyle w:val="Sprotnaopomba-sklic"/>
          <w:lang w:val="en-GB"/>
        </w:rPr>
        <w:footnoteRef/>
      </w:r>
      <w:r>
        <w:rPr>
          <w:rFonts w:ascii="Century Gothic" w:hAnsi="Century Gothic"/>
          <w:sz w:val="18"/>
          <w:szCs w:val="18"/>
          <w:lang w:val="en-GB"/>
        </w:rPr>
        <w:t>According to the definition of Trans-European Transport Networks (based on the Communication from the Commission "Connectivity for a Competitive Digital Single Market – Towards a European Gigabit Society”), major terrestrial paths are motorways, national roads and railways.</w:t>
      </w:r>
    </w:p>
  </w:footnote>
  <w:footnote w:id="16">
    <w:p w14:paraId="3F777FFB" w14:textId="77777777" w:rsidR="003353EC" w:rsidRPr="00F75166" w:rsidRDefault="003353EC" w:rsidP="00BE5FFD">
      <w:pPr>
        <w:pStyle w:val="Sprotnaopomba-besedilo"/>
        <w:jc w:val="both"/>
        <w:rPr>
          <w:rFonts w:ascii="Century Gothic" w:hAnsi="Century Gothic"/>
          <w:sz w:val="18"/>
          <w:szCs w:val="18"/>
        </w:rPr>
      </w:pPr>
      <w:r>
        <w:rPr>
          <w:rStyle w:val="Sprotnaopomba-sklic"/>
          <w:lang w:val="en-GB"/>
        </w:rPr>
        <w:footnoteRef/>
      </w:r>
      <w:r>
        <w:rPr>
          <w:lang w:val="en-GB"/>
        </w:rPr>
        <w:t xml:space="preserve"> </w:t>
      </w:r>
      <w:r>
        <w:rPr>
          <w:rFonts w:ascii="Century Gothic" w:hAnsi="Century Gothic"/>
          <w:sz w:val="18"/>
          <w:szCs w:val="18"/>
          <w:lang w:val="en-GB"/>
        </w:rPr>
        <w:t>The populated area as a unit has at least one inhabitant and is a settlement in the sense of the territory of a municipality defined by the Local Self-Government Act (</w:t>
      </w:r>
      <w:r>
        <w:rPr>
          <w:rFonts w:ascii="Century Gothic" w:hAnsi="Century Gothic"/>
          <w:sz w:val="18"/>
          <w:szCs w:val="18"/>
          <w:shd w:val="clear" w:color="auto" w:fill="FFFFFF"/>
          <w:lang w:val="en-GB"/>
        </w:rPr>
        <w:t>Official Gazette of the Republic of Slovenia [</w:t>
      </w:r>
      <w:r>
        <w:rPr>
          <w:rFonts w:ascii="Century Gothic" w:hAnsi="Century Gothic"/>
          <w:i/>
          <w:iCs/>
          <w:sz w:val="18"/>
          <w:szCs w:val="18"/>
          <w:shd w:val="clear" w:color="auto" w:fill="FFFFFF"/>
          <w:lang w:val="en-GB"/>
        </w:rPr>
        <w:t>Uradni list RS</w:t>
      </w:r>
      <w:r>
        <w:rPr>
          <w:rFonts w:ascii="Century Gothic" w:hAnsi="Century Gothic"/>
          <w:sz w:val="18"/>
          <w:szCs w:val="18"/>
          <w:shd w:val="clear" w:color="auto" w:fill="FFFFFF"/>
          <w:lang w:val="en-GB"/>
        </w:rPr>
        <w:t>], No</w:t>
      </w:r>
      <w:hyperlink r:id="rId7" w:tgtFrame="_blank" w:tooltip="Local Self-Government Act (official consolidated version)" w:history="1">
        <w:r>
          <w:rPr>
            <w:rStyle w:val="Hiperpovezava"/>
            <w:rFonts w:ascii="Century Gothic" w:hAnsi="Century Gothic" w:cs="Arial"/>
            <w:color w:val="auto"/>
            <w:sz w:val="18"/>
            <w:szCs w:val="18"/>
            <w:u w:val="none"/>
            <w:shd w:val="clear" w:color="auto" w:fill="FFFFFF"/>
            <w:lang w:val="en-GB"/>
          </w:rPr>
          <w:t>94/07</w:t>
        </w:r>
      </w:hyperlink>
      <w:r>
        <w:rPr>
          <w:rFonts w:ascii="Century Gothic" w:hAnsi="Century Gothic"/>
          <w:sz w:val="18"/>
          <w:szCs w:val="18"/>
          <w:shd w:val="clear" w:color="auto" w:fill="FFFFFF"/>
          <w:lang w:val="en-GB"/>
        </w:rPr>
        <w:t> – official consolidated version, </w:t>
      </w:r>
      <w:hyperlink r:id="rId8" w:tgtFrame="_blank" w:tooltip="Act Amending the Local Self-Government Act" w:history="1">
        <w:r>
          <w:rPr>
            <w:rStyle w:val="Hiperpovezava"/>
            <w:rFonts w:ascii="Century Gothic" w:hAnsi="Century Gothic" w:cs="Arial"/>
            <w:color w:val="auto"/>
            <w:sz w:val="18"/>
            <w:szCs w:val="18"/>
            <w:u w:val="none"/>
            <w:shd w:val="clear" w:color="auto" w:fill="FFFFFF"/>
            <w:lang w:val="en-GB"/>
          </w:rPr>
          <w:t>76/08</w:t>
        </w:r>
      </w:hyperlink>
      <w:r>
        <w:rPr>
          <w:rFonts w:ascii="Century Gothic" w:hAnsi="Century Gothic"/>
          <w:sz w:val="18"/>
          <w:szCs w:val="18"/>
          <w:shd w:val="clear" w:color="auto" w:fill="FFFFFF"/>
          <w:lang w:val="en-GB"/>
        </w:rPr>
        <w:t>, </w:t>
      </w:r>
      <w:hyperlink r:id="rId9" w:tgtFrame="_blank" w:tooltip="Act Amending the Local Self-Government Act" w:history="1">
        <w:r>
          <w:rPr>
            <w:rStyle w:val="Hiperpovezava"/>
            <w:rFonts w:ascii="Century Gothic" w:hAnsi="Century Gothic" w:cs="Arial"/>
            <w:color w:val="auto"/>
            <w:sz w:val="18"/>
            <w:szCs w:val="18"/>
            <w:u w:val="none"/>
            <w:shd w:val="clear" w:color="auto" w:fill="FFFFFF"/>
            <w:lang w:val="en-GB"/>
          </w:rPr>
          <w:t>79/09</w:t>
        </w:r>
      </w:hyperlink>
      <w:r>
        <w:rPr>
          <w:rFonts w:ascii="Century Gothic" w:hAnsi="Century Gothic"/>
          <w:sz w:val="18"/>
          <w:szCs w:val="18"/>
          <w:shd w:val="clear" w:color="auto" w:fill="FFFFFF"/>
          <w:lang w:val="en-GB"/>
        </w:rPr>
        <w:t>, </w:t>
      </w:r>
      <w:hyperlink r:id="rId10" w:tgtFrame="_blank" w:tooltip="Act Amending the Local Self-Government Act" w:history="1">
        <w:r>
          <w:rPr>
            <w:rStyle w:val="Hiperpovezava"/>
            <w:rFonts w:ascii="Century Gothic" w:hAnsi="Century Gothic" w:cs="Arial"/>
            <w:color w:val="auto"/>
            <w:sz w:val="18"/>
            <w:szCs w:val="18"/>
            <w:u w:val="none"/>
            <w:shd w:val="clear" w:color="auto" w:fill="FFFFFF"/>
            <w:lang w:val="en-GB"/>
          </w:rPr>
          <w:t>51/10</w:t>
        </w:r>
      </w:hyperlink>
      <w:r>
        <w:rPr>
          <w:rFonts w:ascii="Century Gothic" w:hAnsi="Century Gothic"/>
          <w:sz w:val="18"/>
          <w:szCs w:val="18"/>
          <w:shd w:val="clear" w:color="auto" w:fill="FFFFFF"/>
          <w:lang w:val="en-GB"/>
        </w:rPr>
        <w:t>, </w:t>
      </w:r>
      <w:hyperlink r:id="rId11" w:tgtFrame="_blank" w:tooltip="Fiscal Balance Act" w:history="1">
        <w:r>
          <w:rPr>
            <w:rStyle w:val="Hiperpovezava"/>
            <w:rFonts w:ascii="Century Gothic" w:hAnsi="Century Gothic" w:cs="Arial"/>
            <w:color w:val="auto"/>
            <w:sz w:val="18"/>
            <w:szCs w:val="18"/>
            <w:u w:val="none"/>
            <w:shd w:val="clear" w:color="auto" w:fill="FFFFFF"/>
            <w:lang w:val="en-GB"/>
          </w:rPr>
          <w:t>40/12</w:t>
        </w:r>
      </w:hyperlink>
      <w:r>
        <w:rPr>
          <w:rFonts w:ascii="Century Gothic" w:hAnsi="Century Gothic"/>
          <w:sz w:val="18"/>
          <w:szCs w:val="18"/>
          <w:shd w:val="clear" w:color="auto" w:fill="FFFFFF"/>
          <w:lang w:val="en-GB"/>
        </w:rPr>
        <w:t> – ZUJF, </w:t>
      </w:r>
      <w:hyperlink r:id="rId12" w:tgtFrame="_blank" w:tooltip="Act Regulating Measures Aimed at the Fiscal Balance of Municipalities" w:history="1">
        <w:r>
          <w:rPr>
            <w:rStyle w:val="Hiperpovezava"/>
            <w:rFonts w:ascii="Century Gothic" w:hAnsi="Century Gothic" w:cs="Arial"/>
            <w:color w:val="auto"/>
            <w:sz w:val="18"/>
            <w:szCs w:val="18"/>
            <w:u w:val="none"/>
            <w:shd w:val="clear" w:color="auto" w:fill="FFFFFF"/>
            <w:lang w:val="en-GB"/>
          </w:rPr>
          <w:t>14/15</w:t>
        </w:r>
      </w:hyperlink>
      <w:r>
        <w:rPr>
          <w:rFonts w:ascii="Century Gothic" w:hAnsi="Century Gothic"/>
          <w:sz w:val="18"/>
          <w:szCs w:val="18"/>
          <w:shd w:val="clear" w:color="auto" w:fill="FFFFFF"/>
          <w:lang w:val="en-GB"/>
        </w:rPr>
        <w:t> – ZUUJFO, </w:t>
      </w:r>
      <w:hyperlink r:id="rId13" w:tgtFrame="_blank" w:tooltip="Physical Assets of the State and Local Government Act" w:history="1">
        <w:r>
          <w:rPr>
            <w:rStyle w:val="Hiperpovezava"/>
            <w:rFonts w:ascii="Century Gothic" w:hAnsi="Century Gothic" w:cs="Arial"/>
            <w:color w:val="auto"/>
            <w:sz w:val="18"/>
            <w:szCs w:val="18"/>
            <w:u w:val="none"/>
            <w:shd w:val="clear" w:color="auto" w:fill="FFFFFF"/>
            <w:lang w:val="en-GB"/>
          </w:rPr>
          <w:t>11/18</w:t>
        </w:r>
      </w:hyperlink>
      <w:r>
        <w:rPr>
          <w:rFonts w:ascii="Century Gothic" w:hAnsi="Century Gothic"/>
          <w:sz w:val="18"/>
          <w:szCs w:val="18"/>
          <w:shd w:val="clear" w:color="auto" w:fill="FFFFFF"/>
          <w:lang w:val="en-GB"/>
        </w:rPr>
        <w:t> – ZSPDSLS-1, </w:t>
      </w:r>
      <w:hyperlink r:id="rId14" w:tgtFrame="_blank" w:tooltip="Act Amending the Local Self-Government Act" w:history="1">
        <w:r>
          <w:rPr>
            <w:rStyle w:val="Hiperpovezava"/>
            <w:rFonts w:ascii="Century Gothic" w:hAnsi="Century Gothic" w:cs="Arial"/>
            <w:color w:val="auto"/>
            <w:sz w:val="18"/>
            <w:szCs w:val="18"/>
            <w:u w:val="none"/>
            <w:shd w:val="clear" w:color="auto" w:fill="FFFFFF"/>
            <w:lang w:val="en-GB"/>
          </w:rPr>
          <w:t>30/18</w:t>
        </w:r>
      </w:hyperlink>
      <w:r>
        <w:rPr>
          <w:rFonts w:ascii="Century Gothic" w:hAnsi="Century Gothic"/>
          <w:sz w:val="18"/>
          <w:szCs w:val="18"/>
          <w:shd w:val="clear" w:color="auto" w:fill="FFFFFF"/>
          <w:lang w:val="en-GB"/>
        </w:rPr>
        <w:t>, </w:t>
      </w:r>
      <w:hyperlink r:id="rId15" w:tgtFrame="_blank" w:tooltip="Act Amending the Act Determining the Intervention Measures to Contain the COVID-19 Epidemic and Mitigate its Consequences for Citizens and the Economy" w:history="1">
        <w:r>
          <w:rPr>
            <w:rStyle w:val="Hiperpovezava"/>
            <w:rFonts w:ascii="Century Gothic" w:hAnsi="Century Gothic" w:cs="Arial"/>
            <w:color w:val="auto"/>
            <w:sz w:val="18"/>
            <w:szCs w:val="18"/>
            <w:u w:val="none"/>
            <w:shd w:val="clear" w:color="auto" w:fill="FFFFFF"/>
            <w:lang w:val="en-GB"/>
          </w:rPr>
          <w:t>61/20</w:t>
        </w:r>
      </w:hyperlink>
      <w:r>
        <w:rPr>
          <w:rFonts w:ascii="Century Gothic" w:hAnsi="Century Gothic"/>
          <w:sz w:val="18"/>
          <w:szCs w:val="18"/>
          <w:shd w:val="clear" w:color="auto" w:fill="FFFFFF"/>
          <w:lang w:val="en-GB"/>
        </w:rPr>
        <w:t> – ZIUZEOP-A and </w:t>
      </w:r>
      <w:hyperlink r:id="rId16" w:tgtFrame="_blank" w:tooltip="Act Determining the Intervention Measures to Mitigate and Remedy the Consequences of the COVID-19 Epidemic" w:history="1">
        <w:r>
          <w:rPr>
            <w:rStyle w:val="Hiperpovezava"/>
            <w:rFonts w:ascii="Century Gothic" w:hAnsi="Century Gothic" w:cs="Arial"/>
            <w:color w:val="auto"/>
            <w:sz w:val="18"/>
            <w:szCs w:val="18"/>
            <w:u w:val="none"/>
            <w:shd w:val="clear" w:color="auto" w:fill="FFFFFF"/>
            <w:lang w:val="en-GB"/>
          </w:rPr>
          <w:t>80/20</w:t>
        </w:r>
      </w:hyperlink>
      <w:r>
        <w:rPr>
          <w:rFonts w:ascii="Century Gothic" w:hAnsi="Century Gothic"/>
          <w:sz w:val="18"/>
          <w:szCs w:val="18"/>
          <w:shd w:val="clear" w:color="auto" w:fill="FFFFFF"/>
          <w:lang w:val="en-GB"/>
        </w:rPr>
        <w:t> – ZIUOOPE)</w:t>
      </w:r>
      <w:r>
        <w:rPr>
          <w:rFonts w:ascii="Century Gothic" w:hAnsi="Century Gothic"/>
          <w:sz w:val="18"/>
          <w:szCs w:val="18"/>
          <w:lang w:val="en-GB"/>
        </w:rPr>
        <w:t>.</w:t>
      </w:r>
    </w:p>
  </w:footnote>
  <w:footnote w:id="17">
    <w:p w14:paraId="66759D05" w14:textId="77777777" w:rsidR="003353EC" w:rsidRPr="00EC017C" w:rsidRDefault="003353EC">
      <w:pPr>
        <w:pStyle w:val="Sprotnaopomba-besedilo"/>
      </w:pPr>
      <w:r>
        <w:rPr>
          <w:rStyle w:val="Sprotnaopomba-sklic"/>
          <w:lang w:val="en-GB"/>
        </w:rPr>
        <w:footnoteRef/>
      </w:r>
      <w:r>
        <w:rPr>
          <w:rFonts w:ascii="Century Gothic" w:hAnsi="Century Gothic"/>
          <w:sz w:val="18"/>
          <w:szCs w:val="18"/>
          <w:lang w:val="en-GB"/>
        </w:rPr>
        <w:t>Connectivity for a Competitive Digital Single Market – Towards a European Gigabit Society, p. 7.</w:t>
      </w:r>
    </w:p>
  </w:footnote>
  <w:footnote w:id="18">
    <w:p w14:paraId="4915A4AE" w14:textId="77777777" w:rsidR="003353EC" w:rsidRPr="003D0650" w:rsidRDefault="003353EC" w:rsidP="003D0650">
      <w:pPr>
        <w:pStyle w:val="Sprotnaopomba-besedilo"/>
        <w:jc w:val="both"/>
      </w:pPr>
      <w:r>
        <w:rPr>
          <w:rStyle w:val="Sprotnaopomba-sklic"/>
          <w:lang w:val="en-GB"/>
        </w:rPr>
        <w:footnoteRef/>
      </w:r>
      <w:r>
        <w:rPr>
          <w:rFonts w:ascii="Century Gothic" w:hAnsi="Century Gothic"/>
          <w:sz w:val="18"/>
          <w:szCs w:val="18"/>
          <w:lang w:val="en-GB"/>
        </w:rPr>
        <w:t>Including all households for which the market interest from previous market interest inquires was not realised.</w:t>
      </w:r>
    </w:p>
  </w:footnote>
  <w:footnote w:id="19">
    <w:p w14:paraId="5E5B7536" w14:textId="77777777" w:rsidR="003353EC" w:rsidRPr="00551CBA" w:rsidRDefault="003353EC" w:rsidP="00723D96">
      <w:pPr>
        <w:pStyle w:val="Sprotnaopomba-besedilo"/>
        <w:jc w:val="both"/>
      </w:pPr>
      <w:r>
        <w:rPr>
          <w:rStyle w:val="Sprotnaopomba-sklic"/>
          <w:lang w:val="en-GB"/>
        </w:rPr>
        <w:footnoteRef/>
      </w:r>
      <w:r>
        <w:rPr>
          <w:rFonts w:ascii="Century Gothic" w:hAnsi="Century Gothic"/>
          <w:sz w:val="18"/>
          <w:szCs w:val="18"/>
          <w:lang w:val="en-GB"/>
        </w:rPr>
        <w:t>Public calls for tenders under the Rural Development Programme are published by the Ministry of Agriculture, Forestry and Food.</w:t>
      </w:r>
    </w:p>
  </w:footnote>
  <w:footnote w:id="20">
    <w:p w14:paraId="75AC75D3" w14:textId="77777777" w:rsidR="003353EC" w:rsidRPr="00DC7DAE" w:rsidRDefault="003353EC" w:rsidP="00DC7DAE">
      <w:pPr>
        <w:pStyle w:val="Sprotnaopomba-besedilo"/>
        <w:jc w:val="both"/>
      </w:pPr>
      <w:r>
        <w:rPr>
          <w:rStyle w:val="Sprotnaopomba-sklic"/>
          <w:lang w:val="en-GB"/>
        </w:rPr>
        <w:footnoteRef/>
      </w:r>
      <w:r>
        <w:rPr>
          <w:rFonts w:ascii="Century Gothic" w:hAnsi="Century Gothic"/>
          <w:sz w:val="18"/>
          <w:szCs w:val="18"/>
          <w:lang w:val="en-GB"/>
        </w:rPr>
        <w:t xml:space="preserve">It corresponds to 10% of potential white spots based on the mapping and market interest inquiry carried out in 2021. </w:t>
      </w:r>
    </w:p>
  </w:footnote>
  <w:footnote w:id="21">
    <w:p w14:paraId="74311E5A" w14:textId="77777777" w:rsidR="003353EC" w:rsidRPr="003D0650" w:rsidRDefault="003353EC" w:rsidP="005E4EE2">
      <w:pPr>
        <w:pStyle w:val="Sprotnaopomba-besedilo"/>
        <w:jc w:val="both"/>
        <w:rPr>
          <w:rFonts w:ascii="Century Gothic" w:hAnsi="Century Gothic"/>
          <w:sz w:val="18"/>
          <w:szCs w:val="18"/>
        </w:rPr>
      </w:pPr>
      <w:r>
        <w:rPr>
          <w:rStyle w:val="Sprotnaopomba-sklic"/>
          <w:lang w:val="en-GB"/>
        </w:rPr>
        <w:footnoteRef/>
      </w:r>
      <w:r>
        <w:rPr>
          <w:lang w:val="en-GB"/>
        </w:rPr>
        <w:t xml:space="preserve"> </w:t>
      </w:r>
      <w:r>
        <w:rPr>
          <w:rFonts w:ascii="Century Gothic" w:hAnsi="Century Gothic"/>
          <w:sz w:val="18"/>
          <w:szCs w:val="18"/>
          <w:lang w:val="en-GB"/>
        </w:rPr>
        <w:t xml:space="preserve">The Recommendation is available at: </w:t>
      </w:r>
      <w:hyperlink r:id="rId17" w:history="1">
        <w:r>
          <w:rPr>
            <w:rFonts w:ascii="Century Gothic" w:hAnsi="Century Gothic"/>
            <w:sz w:val="18"/>
            <w:szCs w:val="18"/>
            <w:lang w:val="en-GB"/>
          </w:rPr>
          <w:t>https://www.akos-rs.si/fileadmin/user_upload/dokumenti/Zakonodaja/Priporocila_agencije/Priporocilo_v__zvezi_s_skupno_uporabo.pdf</w:t>
        </w:r>
      </w:hyperlink>
      <w:r>
        <w:rPr>
          <w:rFonts w:ascii="Century Gothic" w:hAnsi="Century Gothic"/>
          <w:sz w:val="18"/>
          <w:szCs w:val="18"/>
          <w:lang w:val="en-GB"/>
        </w:rPr>
        <w:t xml:space="preserve"> (last accessed 6 July 2022).</w:t>
      </w:r>
    </w:p>
  </w:footnote>
  <w:footnote w:id="22">
    <w:p w14:paraId="1B6668E5" w14:textId="77777777" w:rsidR="003353EC" w:rsidRPr="00CF7795" w:rsidRDefault="003353EC" w:rsidP="00E540C2">
      <w:pPr>
        <w:jc w:val="both"/>
        <w:rPr>
          <w:rFonts w:ascii="Century Gothic" w:hAnsi="Century Gothic"/>
          <w:sz w:val="18"/>
          <w:szCs w:val="18"/>
        </w:rPr>
      </w:pPr>
      <w:r>
        <w:rPr>
          <w:rStyle w:val="Sprotnaopomba-sklic"/>
          <w:lang w:val="en-GB"/>
        </w:rPr>
        <w:footnoteRef/>
      </w:r>
      <w:r>
        <w:rPr>
          <w:lang w:val="en-GB"/>
        </w:rPr>
        <w:t xml:space="preserve"> </w:t>
      </w:r>
      <w:r>
        <w:rPr>
          <w:rFonts w:ascii="Century Gothic" w:hAnsi="Century Gothic"/>
          <w:sz w:val="18"/>
          <w:szCs w:val="18"/>
          <w:lang w:val="en-GB"/>
        </w:rPr>
        <w:t>The Recommendation is available at: https://www.akos-rs.si/fileadmin/user_upload/dokumenti/Javna_posvetovanja_in_razpisi/2022/Priporocilo_v_zvezi_s_postopki_zago_P.pdf (last accessed 6 July 2022).</w:t>
      </w:r>
    </w:p>
  </w:footnote>
  <w:footnote w:id="23">
    <w:p w14:paraId="42D2D8F5" w14:textId="77777777" w:rsidR="003353EC" w:rsidRPr="003D0650" w:rsidRDefault="003353EC" w:rsidP="003D0650">
      <w:pPr>
        <w:pStyle w:val="Sprotnaopomba-besedilo"/>
        <w:jc w:val="both"/>
      </w:pPr>
      <w:r>
        <w:rPr>
          <w:rStyle w:val="Sprotnaopomba-sklic"/>
          <w:lang w:val="en-GB"/>
        </w:rPr>
        <w:footnoteRef/>
      </w:r>
      <w:r>
        <w:rPr>
          <w:rFonts w:ascii="Century Gothic" w:hAnsi="Century Gothic"/>
          <w:sz w:val="18"/>
          <w:szCs w:val="18"/>
          <w:lang w:val="en-GB"/>
        </w:rPr>
        <w:t>Based on an analysis of the provision of public pay telephones carried out by AKOS, the obligation to provide public pay telephones or other access points for public voice telephony ceased to exist on 2 December 2019 when the decision designating the provider of public pay telephones expired.</w:t>
      </w:r>
    </w:p>
  </w:footnote>
  <w:footnote w:id="24">
    <w:p w14:paraId="2DD9F896" w14:textId="77777777" w:rsidR="003353EC" w:rsidRPr="003D0650" w:rsidRDefault="003353EC" w:rsidP="003D0650">
      <w:pPr>
        <w:pStyle w:val="Sprotnaopomba-besedilo"/>
        <w:jc w:val="both"/>
      </w:pPr>
      <w:r>
        <w:rPr>
          <w:rStyle w:val="Sprotnaopomba-sklic"/>
          <w:lang w:val="en-GB"/>
        </w:rPr>
        <w:footnoteRef/>
      </w:r>
      <w:r>
        <w:rPr>
          <w:rFonts w:ascii="Century Gothic" w:hAnsi="Century Gothic"/>
          <w:sz w:val="18"/>
          <w:szCs w:val="18"/>
          <w:lang w:val="en-GB"/>
        </w:rPr>
        <w:t>COMMISSION RECOMMENDATION (EU) 2020/1307 of 18 September 2020 on a common Union toolbox for reducing the cost of deploying very high capacity networks and ensuring timely and investment-friendly access to 5G radio spectrum, to foster connectivity in support of economic recovery from the COVID-19 crisis in the Union.</w:t>
      </w:r>
    </w:p>
  </w:footnote>
  <w:footnote w:id="25">
    <w:p w14:paraId="1E225435" w14:textId="77777777" w:rsidR="003353EC" w:rsidRPr="003D0650" w:rsidRDefault="003353EC" w:rsidP="00DC7DAE">
      <w:pPr>
        <w:spacing w:line="240" w:lineRule="auto"/>
        <w:jc w:val="both"/>
      </w:pPr>
      <w:r>
        <w:rPr>
          <w:rStyle w:val="Sprotnaopomba-sklic"/>
          <w:lang w:val="en-GB"/>
        </w:rPr>
        <w:footnoteRef/>
      </w:r>
      <w:r>
        <w:rPr>
          <w:rFonts w:ascii="Century Gothic" w:hAnsi="Century Gothic"/>
          <w:sz w:val="18"/>
          <w:szCs w:val="18"/>
          <w:lang w:val="en-GB"/>
        </w:rPr>
        <w:t xml:space="preserve">In this context, it should be highlighted that for the deployment of </w:t>
      </w:r>
      <w:r>
        <w:rPr>
          <w:rFonts w:ascii="Century Gothic" w:hAnsi="Century Gothic"/>
          <w:color w:val="000000"/>
          <w:sz w:val="18"/>
          <w:szCs w:val="18"/>
          <w:lang w:val="en-GB"/>
        </w:rPr>
        <w:t>open mobile infrastructure, the co-financed infrastructure will not be taken into account for the fulfilment of the coverage obligations of electronic communications operators stemming from the conditions concerning the rights to use the 5G spectrum.</w:t>
      </w:r>
    </w:p>
  </w:footnote>
  <w:footnote w:id="26">
    <w:p w14:paraId="26053432" w14:textId="77777777" w:rsidR="003353EC" w:rsidRPr="005028DE" w:rsidRDefault="003353EC" w:rsidP="009447C4">
      <w:pPr>
        <w:pStyle w:val="Sprotnaopomba-besedilo"/>
      </w:pPr>
      <w:r>
        <w:rPr>
          <w:rStyle w:val="Sprotnaopomba-sklic"/>
          <w:rFonts w:ascii="Century Gothic" w:hAnsi="Century Gothic"/>
          <w:sz w:val="18"/>
          <w:szCs w:val="18"/>
          <w:lang w:val="en-GB"/>
        </w:rPr>
        <w:footnoteRef/>
      </w:r>
      <w:r>
        <w:rPr>
          <w:rFonts w:ascii="Century Gothic" w:hAnsi="Century Gothic"/>
          <w:sz w:val="18"/>
          <w:szCs w:val="18"/>
          <w:lang w:val="en-GB"/>
        </w:rPr>
        <w:t>Article 22 of Directive (EU) 2018/1972 establishing the European Electronic Communications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AD4E" w14:textId="77777777" w:rsidR="003353EC" w:rsidRPr="00A9231D" w:rsidRDefault="003353EC" w:rsidP="001D0423">
    <w:pPr>
      <w:pStyle w:val="Glava"/>
      <w:tabs>
        <w:tab w:val="clear" w:pos="4536"/>
        <w:tab w:val="clear" w:pos="9072"/>
        <w:tab w:val="left" w:pos="5112"/>
        <w:tab w:val="left" w:pos="8641"/>
      </w:tabs>
      <w:spacing w:before="340" w:line="240" w:lineRule="exact"/>
      <w:ind w:left="-765"/>
      <w:rPr>
        <w:rFonts w:cs="Arial"/>
        <w:sz w:val="16"/>
      </w:rPr>
    </w:pPr>
    <w:r>
      <w:rPr>
        <w:noProof/>
        <w:lang w:val="sl-SI" w:eastAsia="sl-SI"/>
      </w:rPr>
      <w:drawing>
        <wp:inline distT="0" distB="0" distL="0" distR="0" wp14:anchorId="5B546DA7" wp14:editId="50FF7EE7">
          <wp:extent cx="2165350" cy="325120"/>
          <wp:effectExtent l="0" t="0" r="6350" b="0"/>
          <wp:docPr id="2" name="Slika 2" descr="Republic of Slovenia, &#10;Government of the Republic of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FE64308" w14:textId="77777777" w:rsidR="003353EC" w:rsidRPr="00AE3CB1" w:rsidRDefault="003353EC" w:rsidP="001D0423">
    <w:pPr>
      <w:pStyle w:val="Glava"/>
      <w:tabs>
        <w:tab w:val="clear" w:pos="4536"/>
        <w:tab w:val="clear" w:pos="9072"/>
        <w:tab w:val="left" w:pos="5114"/>
        <w:tab w:val="left" w:pos="8641"/>
      </w:tabs>
      <w:spacing w:before="120" w:line="240" w:lineRule="exact"/>
      <w:rPr>
        <w:rFonts w:cs="Arial"/>
        <w:sz w:val="16"/>
        <w:lang w:val="it-IT"/>
      </w:rPr>
    </w:pPr>
    <w:r w:rsidRPr="00AE3CB1">
      <w:rPr>
        <w:rFonts w:cs="Arial"/>
        <w:sz w:val="16"/>
        <w:lang w:val="it-IT"/>
      </w:rPr>
      <w:t>Gregorčičeva ulica 20–25, 1000 Ljubljana</w:t>
    </w:r>
    <w:r w:rsidRPr="00AE3CB1">
      <w:rPr>
        <w:rFonts w:cs="Arial"/>
        <w:sz w:val="16"/>
        <w:lang w:val="it-IT"/>
      </w:rPr>
      <w:tab/>
      <w:t>Telephone: +386 1 478 1000</w:t>
    </w:r>
  </w:p>
  <w:p w14:paraId="5FA65E80" w14:textId="77777777" w:rsidR="003353EC" w:rsidRPr="00AE3CB1" w:rsidRDefault="003353EC" w:rsidP="001D0423">
    <w:pPr>
      <w:pStyle w:val="Glava"/>
      <w:tabs>
        <w:tab w:val="clear" w:pos="4536"/>
        <w:tab w:val="clear" w:pos="9072"/>
        <w:tab w:val="left" w:pos="5114"/>
        <w:tab w:val="left" w:pos="8641"/>
      </w:tabs>
      <w:spacing w:line="240" w:lineRule="exact"/>
      <w:rPr>
        <w:rFonts w:cs="Arial"/>
        <w:sz w:val="16"/>
        <w:lang w:val="it-IT"/>
      </w:rPr>
    </w:pPr>
    <w:r w:rsidRPr="00AE3CB1">
      <w:rPr>
        <w:rFonts w:cs="Arial"/>
        <w:sz w:val="16"/>
        <w:lang w:val="it-IT"/>
      </w:rPr>
      <w:tab/>
      <w:t>Fax: +386 1 478 1607</w:t>
    </w:r>
  </w:p>
  <w:p w14:paraId="0C84311D" w14:textId="77777777" w:rsidR="003353EC" w:rsidRPr="00F7597C" w:rsidRDefault="003353EC" w:rsidP="001D0423">
    <w:pPr>
      <w:pStyle w:val="Glava"/>
      <w:tabs>
        <w:tab w:val="clear" w:pos="4536"/>
        <w:tab w:val="clear" w:pos="9072"/>
        <w:tab w:val="left" w:pos="5114"/>
        <w:tab w:val="left" w:pos="8641"/>
      </w:tabs>
      <w:spacing w:line="240" w:lineRule="exact"/>
      <w:rPr>
        <w:rFonts w:cs="Arial"/>
        <w:sz w:val="16"/>
      </w:rPr>
    </w:pPr>
    <w:r w:rsidRPr="00AE3CB1">
      <w:rPr>
        <w:rFonts w:cs="Arial"/>
        <w:sz w:val="16"/>
        <w:lang w:val="it-IT"/>
      </w:rPr>
      <w:tab/>
    </w:r>
    <w:r>
      <w:rPr>
        <w:rFonts w:cs="Arial"/>
        <w:sz w:val="16"/>
        <w:lang w:val="en-GB"/>
      </w:rPr>
      <w:t>Email: gp.gs@gov.si</w:t>
    </w:r>
  </w:p>
  <w:p w14:paraId="465CEC7E" w14:textId="77777777" w:rsidR="003353EC" w:rsidRPr="00F7597C" w:rsidRDefault="003353EC" w:rsidP="001D0423">
    <w:pPr>
      <w:pStyle w:val="Glava"/>
      <w:tabs>
        <w:tab w:val="clear" w:pos="4536"/>
        <w:tab w:val="clear" w:pos="9072"/>
        <w:tab w:val="left" w:pos="5114"/>
        <w:tab w:val="left" w:pos="8641"/>
      </w:tabs>
      <w:spacing w:line="240" w:lineRule="exact"/>
      <w:rPr>
        <w:rFonts w:cs="Arial"/>
        <w:sz w:val="16"/>
      </w:rPr>
    </w:pPr>
    <w:r>
      <w:rPr>
        <w:rFonts w:cs="Arial"/>
        <w:sz w:val="16"/>
        <w:lang w:val="en-GB"/>
      </w:rPr>
      <w:tab/>
      <w:t>http://www.vlada.si/</w:t>
    </w:r>
  </w:p>
  <w:p w14:paraId="75E97822" w14:textId="77777777" w:rsidR="003353EC" w:rsidRPr="00F7597C" w:rsidRDefault="003353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F"/>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CD42FE"/>
    <w:multiLevelType w:val="hybridMultilevel"/>
    <w:tmpl w:val="97C4A0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6F1748"/>
    <w:multiLevelType w:val="hybridMultilevel"/>
    <w:tmpl w:val="4C8CFB0E"/>
    <w:lvl w:ilvl="0" w:tplc="F5185744">
      <w:start w:val="4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724A19"/>
    <w:multiLevelType w:val="hybridMultilevel"/>
    <w:tmpl w:val="D332B546"/>
    <w:lvl w:ilvl="0" w:tplc="068A1570">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6322CD"/>
    <w:multiLevelType w:val="hybridMultilevel"/>
    <w:tmpl w:val="E676EF2C"/>
    <w:lvl w:ilvl="0" w:tplc="500EB98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9C710A"/>
    <w:multiLevelType w:val="hybridMultilevel"/>
    <w:tmpl w:val="A056B5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671F7F"/>
    <w:multiLevelType w:val="multilevel"/>
    <w:tmpl w:val="FF621D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444A0"/>
    <w:multiLevelType w:val="multilevel"/>
    <w:tmpl w:val="FE4C2C5E"/>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7F7AF1"/>
    <w:multiLevelType w:val="multilevel"/>
    <w:tmpl w:val="70E2EDAE"/>
    <w:lvl w:ilvl="0">
      <w:start w:val="6"/>
      <w:numFmt w:val="decimal"/>
      <w:lvlText w:val="%1."/>
      <w:lvlJc w:val="left"/>
      <w:pPr>
        <w:ind w:left="540" w:hanging="540"/>
      </w:pPr>
      <w:rPr>
        <w:rFonts w:hint="default"/>
      </w:rPr>
    </w:lvl>
    <w:lvl w:ilvl="1">
      <w:start w:val="1"/>
      <w:numFmt w:val="decimal"/>
      <w:lvlText w:val="%1.%2."/>
      <w:lvlJc w:val="left"/>
      <w:pPr>
        <w:ind w:left="565" w:hanging="54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590" w:hanging="1440"/>
      </w:pPr>
      <w:rPr>
        <w:rFonts w:hint="default"/>
      </w:rPr>
    </w:lvl>
    <w:lvl w:ilvl="7">
      <w:start w:val="1"/>
      <w:numFmt w:val="decimal"/>
      <w:lvlText w:val="%1.%2.%3.%4.%5.%6.%7.%8."/>
      <w:lvlJc w:val="left"/>
      <w:pPr>
        <w:ind w:left="1615" w:hanging="1440"/>
      </w:pPr>
      <w:rPr>
        <w:rFonts w:hint="default"/>
      </w:rPr>
    </w:lvl>
    <w:lvl w:ilvl="8">
      <w:start w:val="1"/>
      <w:numFmt w:val="decimal"/>
      <w:lvlText w:val="%1.%2.%3.%4.%5.%6.%7.%8.%9."/>
      <w:lvlJc w:val="left"/>
      <w:pPr>
        <w:ind w:left="2000" w:hanging="1800"/>
      </w:pPr>
      <w:rPr>
        <w:rFonts w:hint="default"/>
      </w:rPr>
    </w:lvl>
  </w:abstractNum>
  <w:abstractNum w:abstractNumId="9" w15:restartNumberingAfterBreak="0">
    <w:nsid w:val="195A3631"/>
    <w:multiLevelType w:val="hybridMultilevel"/>
    <w:tmpl w:val="26AC09C0"/>
    <w:lvl w:ilvl="0" w:tplc="0424000F">
      <w:start w:val="1"/>
      <w:numFmt w:val="decimal"/>
      <w:lvlText w:val="%1."/>
      <w:lvlJc w:val="left"/>
      <w:pPr>
        <w:ind w:left="1134" w:hanging="360"/>
      </w:pPr>
      <w:rPr>
        <w:rFonts w:hint="default"/>
        <w:lang w:val="en-US"/>
      </w:rPr>
    </w:lvl>
    <w:lvl w:ilvl="1" w:tplc="90103F6C">
      <w:start w:val="1"/>
      <w:numFmt w:val="bullet"/>
      <w:lvlText w:val=""/>
      <w:lvlJc w:val="left"/>
      <w:pPr>
        <w:ind w:left="1854" w:hanging="360"/>
      </w:pPr>
      <w:rPr>
        <w:rFonts w:ascii="Symbol" w:hAnsi="Symbol"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10" w15:restartNumberingAfterBreak="0">
    <w:nsid w:val="1AB30B78"/>
    <w:multiLevelType w:val="hybridMultilevel"/>
    <w:tmpl w:val="36107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BE38F2"/>
    <w:multiLevelType w:val="hybridMultilevel"/>
    <w:tmpl w:val="EAEABFE6"/>
    <w:lvl w:ilvl="0" w:tplc="78A28128">
      <w:start w:val="1"/>
      <w:numFmt w:val="upperLetter"/>
      <w:lvlText w:val="%1)"/>
      <w:lvlJc w:val="left"/>
      <w:pPr>
        <w:ind w:left="1776" w:hanging="360"/>
      </w:pPr>
      <w:rPr>
        <w:rFonts w:hint="default"/>
      </w:rPr>
    </w:lvl>
    <w:lvl w:ilvl="1" w:tplc="56BA7C2E">
      <w:start w:val="1"/>
      <w:numFmt w:val="decimal"/>
      <w:lvlText w:val="%2."/>
      <w:lvlJc w:val="left"/>
      <w:pPr>
        <w:ind w:left="2496" w:hanging="360"/>
      </w:pPr>
      <w:rPr>
        <w:rFonts w:hint="default"/>
      </w:r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2" w15:restartNumberingAfterBreak="0">
    <w:nsid w:val="1E1260AC"/>
    <w:multiLevelType w:val="hybridMultilevel"/>
    <w:tmpl w:val="3880E96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B45E4A"/>
    <w:multiLevelType w:val="hybridMultilevel"/>
    <w:tmpl w:val="31722A8C"/>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323138"/>
    <w:multiLevelType w:val="hybridMultilevel"/>
    <w:tmpl w:val="CCF08D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A85CA4"/>
    <w:multiLevelType w:val="hybridMultilevel"/>
    <w:tmpl w:val="8446061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1F158B9"/>
    <w:multiLevelType w:val="hybridMultilevel"/>
    <w:tmpl w:val="E6004632"/>
    <w:lvl w:ilvl="0" w:tplc="5FF011A0">
      <w:numFmt w:val="bullet"/>
      <w:lvlText w:val="-"/>
      <w:lvlJc w:val="left"/>
      <w:pPr>
        <w:ind w:left="1068" w:hanging="360"/>
      </w:pPr>
      <w:rPr>
        <w:rFonts w:ascii="Calibri" w:eastAsiaTheme="minorHAnsi" w:hAnsi="Calibri" w:cs="Calibri" w:hint="default"/>
        <w:lang w:val="en-US"/>
      </w:rPr>
    </w:lvl>
    <w:lvl w:ilvl="1" w:tplc="0424000F">
      <w:start w:val="1"/>
      <w:numFmt w:val="decimal"/>
      <w:lvlText w:val="%2."/>
      <w:lvlJc w:val="left"/>
      <w:pPr>
        <w:ind w:left="1788" w:hanging="360"/>
      </w:pPr>
      <w:rPr>
        <w:rFonts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24435EE3"/>
    <w:multiLevelType w:val="multilevel"/>
    <w:tmpl w:val="9F52BE3A"/>
    <w:styleLink w:val="Slog1"/>
    <w:lvl w:ilvl="0">
      <w:start w:val="1"/>
      <w:numFmt w:val="decimal"/>
      <w:lvlText w:val="%1"/>
      <w:lvlJc w:val="left"/>
      <w:pPr>
        <w:ind w:left="540" w:hanging="540"/>
      </w:pPr>
      <w:rPr>
        <w:rFonts w:hint="default"/>
      </w:rPr>
    </w:lvl>
    <w:lvl w:ilvl="1">
      <w:start w:val="1"/>
      <w:numFmt w:val="decimal"/>
      <w:lvlText w:val="%1.%2."/>
      <w:lvlJc w:val="left"/>
      <w:pPr>
        <w:ind w:left="565" w:hanging="54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590" w:hanging="1440"/>
      </w:pPr>
      <w:rPr>
        <w:rFonts w:hint="default"/>
      </w:rPr>
    </w:lvl>
    <w:lvl w:ilvl="7">
      <w:start w:val="1"/>
      <w:numFmt w:val="decimal"/>
      <w:lvlText w:val="%1.%2.%3.%4.%5.%6.%7.%8."/>
      <w:lvlJc w:val="left"/>
      <w:pPr>
        <w:ind w:left="1615" w:hanging="1440"/>
      </w:pPr>
      <w:rPr>
        <w:rFonts w:hint="default"/>
      </w:rPr>
    </w:lvl>
    <w:lvl w:ilvl="8">
      <w:start w:val="1"/>
      <w:numFmt w:val="decimal"/>
      <w:lvlText w:val="%1.%2.%3.%4.%5.%6.%7.%8.%9."/>
      <w:lvlJc w:val="left"/>
      <w:pPr>
        <w:ind w:left="2000" w:hanging="1800"/>
      </w:pPr>
      <w:rPr>
        <w:rFonts w:hint="default"/>
      </w:rPr>
    </w:lvl>
  </w:abstractNum>
  <w:abstractNum w:abstractNumId="18" w15:restartNumberingAfterBreak="0">
    <w:nsid w:val="249D5A0C"/>
    <w:multiLevelType w:val="multilevel"/>
    <w:tmpl w:val="7BB4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1C6DC2"/>
    <w:multiLevelType w:val="hybridMultilevel"/>
    <w:tmpl w:val="0A76AFA2"/>
    <w:lvl w:ilvl="0" w:tplc="04240001">
      <w:start w:val="100"/>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770584"/>
    <w:multiLevelType w:val="multilevel"/>
    <w:tmpl w:val="9F52BE3A"/>
    <w:numStyleLink w:val="Slog1"/>
  </w:abstractNum>
  <w:abstractNum w:abstractNumId="21" w15:restartNumberingAfterBreak="0">
    <w:nsid w:val="31A248C7"/>
    <w:multiLevelType w:val="multilevel"/>
    <w:tmpl w:val="70E2EDAE"/>
    <w:lvl w:ilvl="0">
      <w:start w:val="6"/>
      <w:numFmt w:val="decimal"/>
      <w:lvlText w:val="%1."/>
      <w:lvlJc w:val="left"/>
      <w:pPr>
        <w:ind w:left="540" w:hanging="540"/>
      </w:pPr>
      <w:rPr>
        <w:rFonts w:hint="default"/>
      </w:rPr>
    </w:lvl>
    <w:lvl w:ilvl="1">
      <w:start w:val="1"/>
      <w:numFmt w:val="decimal"/>
      <w:lvlText w:val="%1.%2."/>
      <w:lvlJc w:val="left"/>
      <w:pPr>
        <w:ind w:left="565" w:hanging="54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590" w:hanging="1440"/>
      </w:pPr>
      <w:rPr>
        <w:rFonts w:hint="default"/>
      </w:rPr>
    </w:lvl>
    <w:lvl w:ilvl="7">
      <w:start w:val="1"/>
      <w:numFmt w:val="decimal"/>
      <w:lvlText w:val="%1.%2.%3.%4.%5.%6.%7.%8."/>
      <w:lvlJc w:val="left"/>
      <w:pPr>
        <w:ind w:left="1615" w:hanging="1440"/>
      </w:pPr>
      <w:rPr>
        <w:rFonts w:hint="default"/>
      </w:rPr>
    </w:lvl>
    <w:lvl w:ilvl="8">
      <w:start w:val="1"/>
      <w:numFmt w:val="decimal"/>
      <w:lvlText w:val="%1.%2.%3.%4.%5.%6.%7.%8.%9."/>
      <w:lvlJc w:val="left"/>
      <w:pPr>
        <w:ind w:left="2000" w:hanging="1800"/>
      </w:pPr>
      <w:rPr>
        <w:rFonts w:hint="default"/>
      </w:rPr>
    </w:lvl>
  </w:abstractNum>
  <w:abstractNum w:abstractNumId="22" w15:restartNumberingAfterBreak="0">
    <w:nsid w:val="327B5322"/>
    <w:multiLevelType w:val="hybridMultilevel"/>
    <w:tmpl w:val="CA384AE0"/>
    <w:lvl w:ilvl="0" w:tplc="D9D8F182">
      <w:numFmt w:val="bullet"/>
      <w:lvlText w:val="•"/>
      <w:lvlJc w:val="left"/>
      <w:pPr>
        <w:ind w:left="1070" w:hanging="71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A6688C"/>
    <w:multiLevelType w:val="hybridMultilevel"/>
    <w:tmpl w:val="08C6DBD6"/>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DD388B"/>
    <w:multiLevelType w:val="hybridMultilevel"/>
    <w:tmpl w:val="D97E3AD4"/>
    <w:lvl w:ilvl="0" w:tplc="5FF011A0">
      <w:numFmt w:val="bullet"/>
      <w:lvlText w:val="-"/>
      <w:lvlJc w:val="left"/>
      <w:pPr>
        <w:ind w:left="1070" w:hanging="360"/>
      </w:pPr>
      <w:rPr>
        <w:rFonts w:ascii="Calibri" w:eastAsiaTheme="minorHAnsi" w:hAnsi="Calibri" w:cs="Calibri" w:hint="default"/>
        <w:lang w:val="en-US"/>
      </w:rPr>
    </w:lvl>
    <w:lvl w:ilvl="1" w:tplc="04240003">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25" w15:restartNumberingAfterBreak="0">
    <w:nsid w:val="3EEC3529"/>
    <w:multiLevelType w:val="hybridMultilevel"/>
    <w:tmpl w:val="C7382B84"/>
    <w:lvl w:ilvl="0" w:tplc="D9D8F182">
      <w:numFmt w:val="bullet"/>
      <w:lvlText w:val="•"/>
      <w:lvlJc w:val="left"/>
      <w:pPr>
        <w:ind w:left="1070" w:hanging="71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BD41A3"/>
    <w:multiLevelType w:val="hybridMultilevel"/>
    <w:tmpl w:val="3C364DBE"/>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1F51AAF"/>
    <w:multiLevelType w:val="hybridMultilevel"/>
    <w:tmpl w:val="C012FB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586B31"/>
    <w:multiLevelType w:val="hybridMultilevel"/>
    <w:tmpl w:val="4E9C3098"/>
    <w:lvl w:ilvl="0" w:tplc="18F60A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36D6DE6"/>
    <w:multiLevelType w:val="hybridMultilevel"/>
    <w:tmpl w:val="D6CE23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CF6D7C"/>
    <w:multiLevelType w:val="hybridMultilevel"/>
    <w:tmpl w:val="F5BE2232"/>
    <w:lvl w:ilvl="0" w:tplc="BC6C014A">
      <w:numFmt w:val="bullet"/>
      <w:lvlText w:val="–"/>
      <w:lvlJc w:val="left"/>
      <w:pPr>
        <w:ind w:left="720" w:hanging="360"/>
      </w:pPr>
      <w:rPr>
        <w:rFonts w:ascii="Calibri" w:eastAsiaTheme="minorHAnsi" w:hAnsi="Calibri" w:hint="default"/>
      </w:rPr>
    </w:lvl>
    <w:lvl w:ilvl="1" w:tplc="0FE885E2">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7C4007C"/>
    <w:multiLevelType w:val="multilevel"/>
    <w:tmpl w:val="ABF2D776"/>
    <w:lvl w:ilvl="0">
      <w:start w:val="1"/>
      <w:numFmt w:val="decimal"/>
      <w:pStyle w:val="Naslov"/>
      <w:lvlText w:val="%1"/>
      <w:lvlJc w:val="left"/>
      <w:pPr>
        <w:ind w:left="720" w:hanging="360"/>
      </w:pPr>
      <w:rPr>
        <w:rFonts w:hint="default"/>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8356168"/>
    <w:multiLevelType w:val="hybridMultilevel"/>
    <w:tmpl w:val="6992636C"/>
    <w:lvl w:ilvl="0" w:tplc="D0E2EE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0A76537"/>
    <w:multiLevelType w:val="hybridMultilevel"/>
    <w:tmpl w:val="434ACBC8"/>
    <w:lvl w:ilvl="0" w:tplc="0FE885E2">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5145192A"/>
    <w:multiLevelType w:val="hybridMultilevel"/>
    <w:tmpl w:val="DAEE7B7A"/>
    <w:lvl w:ilvl="0" w:tplc="B336CDF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303160"/>
    <w:multiLevelType w:val="hybridMultilevel"/>
    <w:tmpl w:val="3A5681CA"/>
    <w:lvl w:ilvl="0" w:tplc="80E8AC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89212D"/>
    <w:multiLevelType w:val="hybridMultilevel"/>
    <w:tmpl w:val="501A864C"/>
    <w:lvl w:ilvl="0" w:tplc="0FE885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2C5E77"/>
    <w:multiLevelType w:val="hybridMultilevel"/>
    <w:tmpl w:val="B5CABA24"/>
    <w:lvl w:ilvl="0" w:tplc="11149522">
      <w:start w:val="1"/>
      <w:numFmt w:val="bullet"/>
      <w:lvlText w:val=""/>
      <w:lvlJc w:val="left"/>
      <w:pPr>
        <w:ind w:left="218" w:hanging="360"/>
      </w:pPr>
      <w:rPr>
        <w:rFonts w:ascii="Symbol" w:eastAsia="Times New Roman" w:hAnsi="Symbol" w:cs="Arial" w:hint="default"/>
      </w:rPr>
    </w:lvl>
    <w:lvl w:ilvl="1" w:tplc="04240003">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38" w15:restartNumberingAfterBreak="0">
    <w:nsid w:val="5C1D1806"/>
    <w:multiLevelType w:val="hybridMultilevel"/>
    <w:tmpl w:val="B1602A6C"/>
    <w:lvl w:ilvl="0" w:tplc="D6200DE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277606"/>
    <w:multiLevelType w:val="hybridMultilevel"/>
    <w:tmpl w:val="452CF662"/>
    <w:lvl w:ilvl="0" w:tplc="D9D8F182">
      <w:numFmt w:val="bullet"/>
      <w:lvlText w:val="•"/>
      <w:lvlJc w:val="left"/>
      <w:pPr>
        <w:ind w:left="1070" w:hanging="71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8F41DA"/>
    <w:multiLevelType w:val="hybridMultilevel"/>
    <w:tmpl w:val="0AF0F5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EB82B45"/>
    <w:multiLevelType w:val="hybridMultilevel"/>
    <w:tmpl w:val="DAA0DBD4"/>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8875438">
    <w:abstractNumId w:val="10"/>
  </w:num>
  <w:num w:numId="2" w16cid:durableId="189880945">
    <w:abstractNumId w:val="30"/>
  </w:num>
  <w:num w:numId="3" w16cid:durableId="1649092624">
    <w:abstractNumId w:val="24"/>
  </w:num>
  <w:num w:numId="4" w16cid:durableId="1171065371">
    <w:abstractNumId w:val="16"/>
  </w:num>
  <w:num w:numId="5" w16cid:durableId="1638873049">
    <w:abstractNumId w:val="9"/>
  </w:num>
  <w:num w:numId="6" w16cid:durableId="1493177276">
    <w:abstractNumId w:val="12"/>
  </w:num>
  <w:num w:numId="7" w16cid:durableId="1427464081">
    <w:abstractNumId w:val="6"/>
  </w:num>
  <w:num w:numId="8" w16cid:durableId="2029866119">
    <w:abstractNumId w:val="31"/>
  </w:num>
  <w:num w:numId="9" w16cid:durableId="2002468782">
    <w:abstractNumId w:val="37"/>
  </w:num>
  <w:num w:numId="10" w16cid:durableId="1455947985">
    <w:abstractNumId w:val="0"/>
  </w:num>
  <w:num w:numId="11" w16cid:durableId="1946619131">
    <w:abstractNumId w:val="3"/>
  </w:num>
  <w:num w:numId="12" w16cid:durableId="1659112243">
    <w:abstractNumId w:val="2"/>
  </w:num>
  <w:num w:numId="13" w16cid:durableId="1149518143">
    <w:abstractNumId w:val="27"/>
  </w:num>
  <w:num w:numId="14" w16cid:durableId="1280795176">
    <w:abstractNumId w:val="19"/>
  </w:num>
  <w:num w:numId="15" w16cid:durableId="1226791959">
    <w:abstractNumId w:val="34"/>
  </w:num>
  <w:num w:numId="16" w16cid:durableId="1357149848">
    <w:abstractNumId w:val="11"/>
  </w:num>
  <w:num w:numId="17" w16cid:durableId="901259918">
    <w:abstractNumId w:val="14"/>
  </w:num>
  <w:num w:numId="18" w16cid:durableId="260722716">
    <w:abstractNumId w:val="4"/>
  </w:num>
  <w:num w:numId="19" w16cid:durableId="1717585611">
    <w:abstractNumId w:val="13"/>
  </w:num>
  <w:num w:numId="20" w16cid:durableId="2034065095">
    <w:abstractNumId w:val="1"/>
  </w:num>
  <w:num w:numId="21" w16cid:durableId="166792899">
    <w:abstractNumId w:val="29"/>
  </w:num>
  <w:num w:numId="22" w16cid:durableId="1853489995">
    <w:abstractNumId w:val="15"/>
  </w:num>
  <w:num w:numId="23" w16cid:durableId="510681781">
    <w:abstractNumId w:val="5"/>
  </w:num>
  <w:num w:numId="24" w16cid:durableId="1466043994">
    <w:abstractNumId w:val="38"/>
  </w:num>
  <w:num w:numId="25" w16cid:durableId="1235043812">
    <w:abstractNumId w:val="22"/>
  </w:num>
  <w:num w:numId="26" w16cid:durableId="582420900">
    <w:abstractNumId w:val="39"/>
  </w:num>
  <w:num w:numId="27" w16cid:durableId="1023752151">
    <w:abstractNumId w:val="25"/>
  </w:num>
  <w:num w:numId="28" w16cid:durableId="1949116954">
    <w:abstractNumId w:val="21"/>
  </w:num>
  <w:num w:numId="29" w16cid:durableId="2101220064">
    <w:abstractNumId w:val="33"/>
  </w:num>
  <w:num w:numId="30" w16cid:durableId="91978179">
    <w:abstractNumId w:val="7"/>
  </w:num>
  <w:num w:numId="31" w16cid:durableId="1929459887">
    <w:abstractNumId w:val="40"/>
  </w:num>
  <w:num w:numId="32" w16cid:durableId="292833182">
    <w:abstractNumId w:val="41"/>
  </w:num>
  <w:num w:numId="33" w16cid:durableId="1012880268">
    <w:abstractNumId w:val="18"/>
  </w:num>
  <w:num w:numId="34" w16cid:durableId="1480073726">
    <w:abstractNumId w:val="23"/>
  </w:num>
  <w:num w:numId="35" w16cid:durableId="744886723">
    <w:abstractNumId w:val="36"/>
  </w:num>
  <w:num w:numId="36" w16cid:durableId="264076955">
    <w:abstractNumId w:val="35"/>
  </w:num>
  <w:num w:numId="37" w16cid:durableId="1934625183">
    <w:abstractNumId w:val="28"/>
  </w:num>
  <w:num w:numId="38" w16cid:durableId="1608581196">
    <w:abstractNumId w:val="32"/>
  </w:num>
  <w:num w:numId="39" w16cid:durableId="1632785189">
    <w:abstractNumId w:val="17"/>
  </w:num>
  <w:num w:numId="40" w16cid:durableId="370418914">
    <w:abstractNumId w:val="20"/>
  </w:num>
  <w:num w:numId="41" w16cid:durableId="1754620361">
    <w:abstractNumId w:val="8"/>
  </w:num>
  <w:num w:numId="42" w16cid:durableId="24257030">
    <w:abstractNumId w:val="26"/>
  </w:num>
  <w:num w:numId="43" w16cid:durableId="628051641">
    <w:abstractNumId w:val="31"/>
    <w:lvlOverride w:ilvl="0">
      <w:startOverride w:val="6"/>
    </w:lvlOverride>
    <w:lvlOverride w:ilvl="1">
      <w:startOverride w:val="1"/>
    </w:lvlOverride>
    <w:lvlOverride w:ilvl="2">
      <w:startOverride w:val="2"/>
    </w:lvlOverride>
  </w:num>
  <w:num w:numId="44" w16cid:durableId="428701836">
    <w:abstractNumId w:val="31"/>
    <w:lvlOverride w:ilvl="0">
      <w:startOverride w:val="6"/>
    </w:lvlOverride>
    <w:lvlOverride w:ilvl="1">
      <w:startOverride w:val="1"/>
    </w:lvlOverride>
    <w:lvlOverride w:ilvl="2">
      <w:startOverride w:val="2"/>
    </w:lvlOverride>
  </w:num>
  <w:num w:numId="45" w16cid:durableId="2075469530">
    <w:abstractNumId w:val="31"/>
    <w:lvlOverride w:ilvl="0">
      <w:startOverride w:val="6"/>
    </w:lvlOverride>
    <w:lvlOverride w:ilvl="1">
      <w:startOverride w:val="1"/>
    </w:lvlOverride>
    <w:lvlOverride w:ilvl="2">
      <w:startOverride w:val="3"/>
    </w:lvlOverride>
  </w:num>
  <w:num w:numId="46" w16cid:durableId="1620066571">
    <w:abstractNumId w:val="31"/>
    <w:lvlOverride w:ilvl="0">
      <w:startOverride w:val="6"/>
    </w:lvlOverride>
    <w:lvlOverride w:ilvl="1">
      <w:startOverride w:val="1"/>
    </w:lvlOverride>
    <w:lvlOverride w:ilvl="2">
      <w:startOverride w:val="3"/>
    </w:lvlOverride>
  </w:num>
  <w:num w:numId="47" w16cid:durableId="542904373">
    <w:abstractNumId w:val="31"/>
    <w:lvlOverride w:ilvl="0">
      <w:startOverride w:val="6"/>
    </w:lvlOverride>
    <w:lvlOverride w:ilvl="1">
      <w:startOverride w:val="1"/>
    </w:lvlOverride>
    <w:lvlOverride w:ilvl="2">
      <w:startOverride w:val="4"/>
    </w:lvlOverride>
  </w:num>
  <w:num w:numId="48" w16cid:durableId="1286234545">
    <w:abstractNumId w:val="31"/>
    <w:lvlOverride w:ilvl="0">
      <w:startOverride w:val="6"/>
    </w:lvlOverride>
    <w:lvlOverride w:ilvl="1">
      <w:startOverride w:val="1"/>
    </w:lvlOverride>
    <w:lvlOverride w:ilvl="2">
      <w:startOverride w:val="4"/>
    </w:lvlOverride>
  </w:num>
  <w:num w:numId="49" w16cid:durableId="1345549622">
    <w:abstractNumId w:val="31"/>
    <w:lvlOverride w:ilvl="0">
      <w:startOverride w:val="6"/>
    </w:lvlOverride>
    <w:lvlOverride w:ilvl="1">
      <w:startOverride w:val="1"/>
    </w:lvlOverride>
    <w:lvlOverride w:ilvl="2">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498"/>
    <w:rsid w:val="0000003B"/>
    <w:rsid w:val="00001434"/>
    <w:rsid w:val="00001DBA"/>
    <w:rsid w:val="00004A50"/>
    <w:rsid w:val="000072FB"/>
    <w:rsid w:val="0001022D"/>
    <w:rsid w:val="00010AE8"/>
    <w:rsid w:val="00011643"/>
    <w:rsid w:val="000119F6"/>
    <w:rsid w:val="00011D38"/>
    <w:rsid w:val="000120C3"/>
    <w:rsid w:val="00014B38"/>
    <w:rsid w:val="000157D9"/>
    <w:rsid w:val="00015B29"/>
    <w:rsid w:val="00015D63"/>
    <w:rsid w:val="00015E76"/>
    <w:rsid w:val="00016ABF"/>
    <w:rsid w:val="00021A81"/>
    <w:rsid w:val="0002260E"/>
    <w:rsid w:val="000236CE"/>
    <w:rsid w:val="000242CF"/>
    <w:rsid w:val="00024D90"/>
    <w:rsid w:val="000250E8"/>
    <w:rsid w:val="000256D8"/>
    <w:rsid w:val="00025A81"/>
    <w:rsid w:val="00027390"/>
    <w:rsid w:val="000317C5"/>
    <w:rsid w:val="0003265F"/>
    <w:rsid w:val="00032E30"/>
    <w:rsid w:val="0003452F"/>
    <w:rsid w:val="00034F32"/>
    <w:rsid w:val="00036884"/>
    <w:rsid w:val="00037246"/>
    <w:rsid w:val="00037342"/>
    <w:rsid w:val="000405B1"/>
    <w:rsid w:val="000414BF"/>
    <w:rsid w:val="00041D2B"/>
    <w:rsid w:val="00041E0E"/>
    <w:rsid w:val="00041F06"/>
    <w:rsid w:val="00042324"/>
    <w:rsid w:val="00042D8D"/>
    <w:rsid w:val="00042E6C"/>
    <w:rsid w:val="00043D52"/>
    <w:rsid w:val="00043FF6"/>
    <w:rsid w:val="00044FFC"/>
    <w:rsid w:val="00045697"/>
    <w:rsid w:val="00047083"/>
    <w:rsid w:val="00047368"/>
    <w:rsid w:val="00047629"/>
    <w:rsid w:val="00047789"/>
    <w:rsid w:val="00050145"/>
    <w:rsid w:val="00050230"/>
    <w:rsid w:val="00050B76"/>
    <w:rsid w:val="00050C2A"/>
    <w:rsid w:val="00051299"/>
    <w:rsid w:val="000522C8"/>
    <w:rsid w:val="00053497"/>
    <w:rsid w:val="000546B1"/>
    <w:rsid w:val="000558D4"/>
    <w:rsid w:val="00056857"/>
    <w:rsid w:val="00056AF0"/>
    <w:rsid w:val="000574AE"/>
    <w:rsid w:val="00057ED0"/>
    <w:rsid w:val="00060A7A"/>
    <w:rsid w:val="0006119A"/>
    <w:rsid w:val="00061250"/>
    <w:rsid w:val="000613B7"/>
    <w:rsid w:val="00062650"/>
    <w:rsid w:val="0006388B"/>
    <w:rsid w:val="00064BD1"/>
    <w:rsid w:val="00064E42"/>
    <w:rsid w:val="00065A7A"/>
    <w:rsid w:val="00067A40"/>
    <w:rsid w:val="00072534"/>
    <w:rsid w:val="000735B3"/>
    <w:rsid w:val="0007384C"/>
    <w:rsid w:val="00073A2F"/>
    <w:rsid w:val="000742C0"/>
    <w:rsid w:val="00075960"/>
    <w:rsid w:val="00076393"/>
    <w:rsid w:val="0007786F"/>
    <w:rsid w:val="00080730"/>
    <w:rsid w:val="00081627"/>
    <w:rsid w:val="00082786"/>
    <w:rsid w:val="000836DB"/>
    <w:rsid w:val="0008395E"/>
    <w:rsid w:val="00083BCD"/>
    <w:rsid w:val="00084C21"/>
    <w:rsid w:val="000852EB"/>
    <w:rsid w:val="00085669"/>
    <w:rsid w:val="00086FF0"/>
    <w:rsid w:val="00087A8F"/>
    <w:rsid w:val="00087C6B"/>
    <w:rsid w:val="00087D11"/>
    <w:rsid w:val="00090366"/>
    <w:rsid w:val="00090709"/>
    <w:rsid w:val="0009080D"/>
    <w:rsid w:val="00091905"/>
    <w:rsid w:val="00091FDB"/>
    <w:rsid w:val="00092603"/>
    <w:rsid w:val="000959AD"/>
    <w:rsid w:val="00096C70"/>
    <w:rsid w:val="00096D75"/>
    <w:rsid w:val="00097019"/>
    <w:rsid w:val="000A0AF9"/>
    <w:rsid w:val="000A0BD2"/>
    <w:rsid w:val="000A1529"/>
    <w:rsid w:val="000A267C"/>
    <w:rsid w:val="000A49CE"/>
    <w:rsid w:val="000A5408"/>
    <w:rsid w:val="000A5490"/>
    <w:rsid w:val="000A569D"/>
    <w:rsid w:val="000A74A3"/>
    <w:rsid w:val="000A79F8"/>
    <w:rsid w:val="000B027E"/>
    <w:rsid w:val="000B093A"/>
    <w:rsid w:val="000B0C7E"/>
    <w:rsid w:val="000B208E"/>
    <w:rsid w:val="000B29FA"/>
    <w:rsid w:val="000B2AF3"/>
    <w:rsid w:val="000B3D57"/>
    <w:rsid w:val="000B4266"/>
    <w:rsid w:val="000B44A1"/>
    <w:rsid w:val="000B6612"/>
    <w:rsid w:val="000B6863"/>
    <w:rsid w:val="000B6C41"/>
    <w:rsid w:val="000B6CFC"/>
    <w:rsid w:val="000B6D26"/>
    <w:rsid w:val="000B72CD"/>
    <w:rsid w:val="000B79CB"/>
    <w:rsid w:val="000B7BE5"/>
    <w:rsid w:val="000C0967"/>
    <w:rsid w:val="000C2C95"/>
    <w:rsid w:val="000C362F"/>
    <w:rsid w:val="000C3C58"/>
    <w:rsid w:val="000C4156"/>
    <w:rsid w:val="000C41C7"/>
    <w:rsid w:val="000C4801"/>
    <w:rsid w:val="000C49A7"/>
    <w:rsid w:val="000C58E8"/>
    <w:rsid w:val="000C6310"/>
    <w:rsid w:val="000C700C"/>
    <w:rsid w:val="000C7F0D"/>
    <w:rsid w:val="000D08C2"/>
    <w:rsid w:val="000D152D"/>
    <w:rsid w:val="000D2508"/>
    <w:rsid w:val="000D25AA"/>
    <w:rsid w:val="000D2F45"/>
    <w:rsid w:val="000D3C6B"/>
    <w:rsid w:val="000D519E"/>
    <w:rsid w:val="000D5D2F"/>
    <w:rsid w:val="000D6E49"/>
    <w:rsid w:val="000D784C"/>
    <w:rsid w:val="000E100E"/>
    <w:rsid w:val="000E2901"/>
    <w:rsid w:val="000E3F3C"/>
    <w:rsid w:val="000E7B20"/>
    <w:rsid w:val="000F01CA"/>
    <w:rsid w:val="000F119E"/>
    <w:rsid w:val="000F128D"/>
    <w:rsid w:val="000F1DE0"/>
    <w:rsid w:val="000F2641"/>
    <w:rsid w:val="000F2991"/>
    <w:rsid w:val="000F2A2F"/>
    <w:rsid w:val="000F2DDA"/>
    <w:rsid w:val="000F425C"/>
    <w:rsid w:val="000F5058"/>
    <w:rsid w:val="000F53ED"/>
    <w:rsid w:val="000F5C74"/>
    <w:rsid w:val="000F62D6"/>
    <w:rsid w:val="000F63DD"/>
    <w:rsid w:val="00100227"/>
    <w:rsid w:val="0010092A"/>
    <w:rsid w:val="001011D4"/>
    <w:rsid w:val="00101968"/>
    <w:rsid w:val="001026BE"/>
    <w:rsid w:val="001030D5"/>
    <w:rsid w:val="00103112"/>
    <w:rsid w:val="00105832"/>
    <w:rsid w:val="0010583F"/>
    <w:rsid w:val="00106A8E"/>
    <w:rsid w:val="00106EBA"/>
    <w:rsid w:val="001075B3"/>
    <w:rsid w:val="001109B2"/>
    <w:rsid w:val="00110B75"/>
    <w:rsid w:val="00110CCB"/>
    <w:rsid w:val="00110DA1"/>
    <w:rsid w:val="00112424"/>
    <w:rsid w:val="00112817"/>
    <w:rsid w:val="0011388D"/>
    <w:rsid w:val="00115364"/>
    <w:rsid w:val="0011566B"/>
    <w:rsid w:val="001159AC"/>
    <w:rsid w:val="00116DDA"/>
    <w:rsid w:val="00117D6B"/>
    <w:rsid w:val="0012011A"/>
    <w:rsid w:val="0012083D"/>
    <w:rsid w:val="00120AB6"/>
    <w:rsid w:val="0012258F"/>
    <w:rsid w:val="001225B2"/>
    <w:rsid w:val="00122FCC"/>
    <w:rsid w:val="001233CC"/>
    <w:rsid w:val="001235F1"/>
    <w:rsid w:val="00123B99"/>
    <w:rsid w:val="00123D70"/>
    <w:rsid w:val="001250FC"/>
    <w:rsid w:val="00125409"/>
    <w:rsid w:val="00125DB7"/>
    <w:rsid w:val="00126604"/>
    <w:rsid w:val="00127258"/>
    <w:rsid w:val="00127B26"/>
    <w:rsid w:val="00127F9B"/>
    <w:rsid w:val="00130219"/>
    <w:rsid w:val="00131786"/>
    <w:rsid w:val="00131B78"/>
    <w:rsid w:val="00134120"/>
    <w:rsid w:val="00134F47"/>
    <w:rsid w:val="00134F48"/>
    <w:rsid w:val="00135293"/>
    <w:rsid w:val="001359B4"/>
    <w:rsid w:val="00135C38"/>
    <w:rsid w:val="00135C5D"/>
    <w:rsid w:val="0013614C"/>
    <w:rsid w:val="0013631D"/>
    <w:rsid w:val="00136686"/>
    <w:rsid w:val="00140271"/>
    <w:rsid w:val="00140453"/>
    <w:rsid w:val="001423B6"/>
    <w:rsid w:val="001431B6"/>
    <w:rsid w:val="001431DF"/>
    <w:rsid w:val="001435C4"/>
    <w:rsid w:val="00146219"/>
    <w:rsid w:val="00146840"/>
    <w:rsid w:val="00147FD3"/>
    <w:rsid w:val="001505CE"/>
    <w:rsid w:val="001511F0"/>
    <w:rsid w:val="00152CD4"/>
    <w:rsid w:val="001531C1"/>
    <w:rsid w:val="001540B5"/>
    <w:rsid w:val="00154D3B"/>
    <w:rsid w:val="00155084"/>
    <w:rsid w:val="001564B0"/>
    <w:rsid w:val="00157157"/>
    <w:rsid w:val="00157619"/>
    <w:rsid w:val="0016108B"/>
    <w:rsid w:val="00161971"/>
    <w:rsid w:val="00162999"/>
    <w:rsid w:val="00162FDA"/>
    <w:rsid w:val="001639A1"/>
    <w:rsid w:val="00163A40"/>
    <w:rsid w:val="00163CB6"/>
    <w:rsid w:val="00164765"/>
    <w:rsid w:val="00166958"/>
    <w:rsid w:val="001678A9"/>
    <w:rsid w:val="001702D9"/>
    <w:rsid w:val="001713DC"/>
    <w:rsid w:val="00171C40"/>
    <w:rsid w:val="00172C9C"/>
    <w:rsid w:val="00173069"/>
    <w:rsid w:val="0017427C"/>
    <w:rsid w:val="00174C00"/>
    <w:rsid w:val="001764F5"/>
    <w:rsid w:val="00177F4F"/>
    <w:rsid w:val="00184897"/>
    <w:rsid w:val="001856E2"/>
    <w:rsid w:val="00185BFB"/>
    <w:rsid w:val="00185DC6"/>
    <w:rsid w:val="00186259"/>
    <w:rsid w:val="0018694D"/>
    <w:rsid w:val="00187C0C"/>
    <w:rsid w:val="00187D98"/>
    <w:rsid w:val="001902DC"/>
    <w:rsid w:val="001913F3"/>
    <w:rsid w:val="00192931"/>
    <w:rsid w:val="00192BD0"/>
    <w:rsid w:val="001934E5"/>
    <w:rsid w:val="00193C18"/>
    <w:rsid w:val="001954FA"/>
    <w:rsid w:val="00195793"/>
    <w:rsid w:val="0019597E"/>
    <w:rsid w:val="00196316"/>
    <w:rsid w:val="00196B1C"/>
    <w:rsid w:val="00196DCA"/>
    <w:rsid w:val="001A0824"/>
    <w:rsid w:val="001A0B06"/>
    <w:rsid w:val="001A1722"/>
    <w:rsid w:val="001A220D"/>
    <w:rsid w:val="001A387D"/>
    <w:rsid w:val="001A3985"/>
    <w:rsid w:val="001A4C7B"/>
    <w:rsid w:val="001A4F52"/>
    <w:rsid w:val="001A53FA"/>
    <w:rsid w:val="001A661F"/>
    <w:rsid w:val="001A79B6"/>
    <w:rsid w:val="001A7BE2"/>
    <w:rsid w:val="001B12BF"/>
    <w:rsid w:val="001B13AA"/>
    <w:rsid w:val="001B1457"/>
    <w:rsid w:val="001B1995"/>
    <w:rsid w:val="001B28B7"/>
    <w:rsid w:val="001B44C4"/>
    <w:rsid w:val="001B4B94"/>
    <w:rsid w:val="001B4F00"/>
    <w:rsid w:val="001B525B"/>
    <w:rsid w:val="001B709D"/>
    <w:rsid w:val="001B7EAB"/>
    <w:rsid w:val="001C0AF4"/>
    <w:rsid w:val="001C1872"/>
    <w:rsid w:val="001C18D4"/>
    <w:rsid w:val="001C1F4E"/>
    <w:rsid w:val="001C1F9A"/>
    <w:rsid w:val="001C2815"/>
    <w:rsid w:val="001C2AF8"/>
    <w:rsid w:val="001C4A09"/>
    <w:rsid w:val="001C53A6"/>
    <w:rsid w:val="001C59CD"/>
    <w:rsid w:val="001C6B87"/>
    <w:rsid w:val="001D0423"/>
    <w:rsid w:val="001D24A3"/>
    <w:rsid w:val="001D2BDE"/>
    <w:rsid w:val="001D3B00"/>
    <w:rsid w:val="001D4236"/>
    <w:rsid w:val="001D49E2"/>
    <w:rsid w:val="001D739C"/>
    <w:rsid w:val="001E1D7A"/>
    <w:rsid w:val="001E251A"/>
    <w:rsid w:val="001E2770"/>
    <w:rsid w:val="001E4636"/>
    <w:rsid w:val="001E4F9A"/>
    <w:rsid w:val="001E6FDC"/>
    <w:rsid w:val="001F0D58"/>
    <w:rsid w:val="001F15AE"/>
    <w:rsid w:val="001F15FA"/>
    <w:rsid w:val="001F2C6F"/>
    <w:rsid w:val="001F2FCB"/>
    <w:rsid w:val="001F52E7"/>
    <w:rsid w:val="001F54DC"/>
    <w:rsid w:val="001F6234"/>
    <w:rsid w:val="00200021"/>
    <w:rsid w:val="00201374"/>
    <w:rsid w:val="00202688"/>
    <w:rsid w:val="002027F9"/>
    <w:rsid w:val="00203492"/>
    <w:rsid w:val="00205D74"/>
    <w:rsid w:val="00205D9E"/>
    <w:rsid w:val="0020670C"/>
    <w:rsid w:val="00207A1E"/>
    <w:rsid w:val="002104D0"/>
    <w:rsid w:val="00211664"/>
    <w:rsid w:val="00213066"/>
    <w:rsid w:val="0021653B"/>
    <w:rsid w:val="00216D4E"/>
    <w:rsid w:val="002227F2"/>
    <w:rsid w:val="002234A3"/>
    <w:rsid w:val="002238EA"/>
    <w:rsid w:val="00224249"/>
    <w:rsid w:val="00225163"/>
    <w:rsid w:val="00230D49"/>
    <w:rsid w:val="00232906"/>
    <w:rsid w:val="0023463C"/>
    <w:rsid w:val="002348AF"/>
    <w:rsid w:val="0023496F"/>
    <w:rsid w:val="00235EB0"/>
    <w:rsid w:val="00235FB5"/>
    <w:rsid w:val="0024180C"/>
    <w:rsid w:val="00241F03"/>
    <w:rsid w:val="00241F35"/>
    <w:rsid w:val="00242F4C"/>
    <w:rsid w:val="00243051"/>
    <w:rsid w:val="002434F7"/>
    <w:rsid w:val="00243C8E"/>
    <w:rsid w:val="00244487"/>
    <w:rsid w:val="002444B1"/>
    <w:rsid w:val="00244C04"/>
    <w:rsid w:val="0024687B"/>
    <w:rsid w:val="00246AD1"/>
    <w:rsid w:val="00246E52"/>
    <w:rsid w:val="00246F77"/>
    <w:rsid w:val="002473CF"/>
    <w:rsid w:val="00247759"/>
    <w:rsid w:val="00250199"/>
    <w:rsid w:val="002502F3"/>
    <w:rsid w:val="00250A76"/>
    <w:rsid w:val="002511A2"/>
    <w:rsid w:val="00251ABA"/>
    <w:rsid w:val="00251C3E"/>
    <w:rsid w:val="00252655"/>
    <w:rsid w:val="0025287E"/>
    <w:rsid w:val="00253012"/>
    <w:rsid w:val="00253C90"/>
    <w:rsid w:val="002565FE"/>
    <w:rsid w:val="002609CB"/>
    <w:rsid w:val="00261279"/>
    <w:rsid w:val="00261FBD"/>
    <w:rsid w:val="002621E5"/>
    <w:rsid w:val="00262ABE"/>
    <w:rsid w:val="00263F1C"/>
    <w:rsid w:val="00266AAE"/>
    <w:rsid w:val="00266EA8"/>
    <w:rsid w:val="00267E30"/>
    <w:rsid w:val="00270246"/>
    <w:rsid w:val="00270455"/>
    <w:rsid w:val="002710A4"/>
    <w:rsid w:val="00274607"/>
    <w:rsid w:val="00275D17"/>
    <w:rsid w:val="00277FB8"/>
    <w:rsid w:val="00280697"/>
    <w:rsid w:val="00281C7F"/>
    <w:rsid w:val="00282E70"/>
    <w:rsid w:val="00283EE8"/>
    <w:rsid w:val="0028425B"/>
    <w:rsid w:val="00285654"/>
    <w:rsid w:val="002867DB"/>
    <w:rsid w:val="002868D3"/>
    <w:rsid w:val="00291C3A"/>
    <w:rsid w:val="00292ACA"/>
    <w:rsid w:val="00293894"/>
    <w:rsid w:val="00294430"/>
    <w:rsid w:val="00294A3C"/>
    <w:rsid w:val="002968FD"/>
    <w:rsid w:val="002A0278"/>
    <w:rsid w:val="002A0406"/>
    <w:rsid w:val="002A0D4B"/>
    <w:rsid w:val="002A1828"/>
    <w:rsid w:val="002A193F"/>
    <w:rsid w:val="002A1AEE"/>
    <w:rsid w:val="002A2C92"/>
    <w:rsid w:val="002A4D01"/>
    <w:rsid w:val="002A6FF3"/>
    <w:rsid w:val="002A7199"/>
    <w:rsid w:val="002A75CA"/>
    <w:rsid w:val="002B03F4"/>
    <w:rsid w:val="002B0A0E"/>
    <w:rsid w:val="002B6AEA"/>
    <w:rsid w:val="002B6C54"/>
    <w:rsid w:val="002B7928"/>
    <w:rsid w:val="002B7F26"/>
    <w:rsid w:val="002C46C2"/>
    <w:rsid w:val="002C5EC7"/>
    <w:rsid w:val="002C6E05"/>
    <w:rsid w:val="002C7D43"/>
    <w:rsid w:val="002D0FC3"/>
    <w:rsid w:val="002D12CD"/>
    <w:rsid w:val="002D13CB"/>
    <w:rsid w:val="002D2524"/>
    <w:rsid w:val="002D375E"/>
    <w:rsid w:val="002D3C7A"/>
    <w:rsid w:val="002D41DA"/>
    <w:rsid w:val="002D43C9"/>
    <w:rsid w:val="002D43EC"/>
    <w:rsid w:val="002D4521"/>
    <w:rsid w:val="002D4885"/>
    <w:rsid w:val="002D509C"/>
    <w:rsid w:val="002D51B6"/>
    <w:rsid w:val="002D55AC"/>
    <w:rsid w:val="002D6B1C"/>
    <w:rsid w:val="002D6D0D"/>
    <w:rsid w:val="002E183C"/>
    <w:rsid w:val="002E27E3"/>
    <w:rsid w:val="002E3675"/>
    <w:rsid w:val="002E3B37"/>
    <w:rsid w:val="002E3C01"/>
    <w:rsid w:val="002E3D85"/>
    <w:rsid w:val="002E528F"/>
    <w:rsid w:val="002E52D0"/>
    <w:rsid w:val="002E5389"/>
    <w:rsid w:val="002F3224"/>
    <w:rsid w:val="002F3D71"/>
    <w:rsid w:val="002F3F83"/>
    <w:rsid w:val="002F66E5"/>
    <w:rsid w:val="00300F1E"/>
    <w:rsid w:val="00302579"/>
    <w:rsid w:val="00302899"/>
    <w:rsid w:val="0030415D"/>
    <w:rsid w:val="00304F03"/>
    <w:rsid w:val="003073C3"/>
    <w:rsid w:val="00307ABB"/>
    <w:rsid w:val="00311E28"/>
    <w:rsid w:val="003122FC"/>
    <w:rsid w:val="00314665"/>
    <w:rsid w:val="00315D06"/>
    <w:rsid w:val="00316241"/>
    <w:rsid w:val="003172E9"/>
    <w:rsid w:val="003176A5"/>
    <w:rsid w:val="003200D6"/>
    <w:rsid w:val="00320D96"/>
    <w:rsid w:val="003235FF"/>
    <w:rsid w:val="00326243"/>
    <w:rsid w:val="00326998"/>
    <w:rsid w:val="00327C0B"/>
    <w:rsid w:val="003309F1"/>
    <w:rsid w:val="00331389"/>
    <w:rsid w:val="0033150C"/>
    <w:rsid w:val="0033461E"/>
    <w:rsid w:val="003353EC"/>
    <w:rsid w:val="00335913"/>
    <w:rsid w:val="00335B31"/>
    <w:rsid w:val="0033614C"/>
    <w:rsid w:val="00336568"/>
    <w:rsid w:val="00337B2D"/>
    <w:rsid w:val="00341495"/>
    <w:rsid w:val="003419AB"/>
    <w:rsid w:val="00341CC1"/>
    <w:rsid w:val="0034290C"/>
    <w:rsid w:val="00343101"/>
    <w:rsid w:val="00343F54"/>
    <w:rsid w:val="003441FF"/>
    <w:rsid w:val="0034465F"/>
    <w:rsid w:val="003449EA"/>
    <w:rsid w:val="00346957"/>
    <w:rsid w:val="00346D05"/>
    <w:rsid w:val="00352DC3"/>
    <w:rsid w:val="00354712"/>
    <w:rsid w:val="00361BC1"/>
    <w:rsid w:val="00361EC2"/>
    <w:rsid w:val="003621FF"/>
    <w:rsid w:val="00362FB6"/>
    <w:rsid w:val="00363072"/>
    <w:rsid w:val="003646F9"/>
    <w:rsid w:val="00364E74"/>
    <w:rsid w:val="0036570D"/>
    <w:rsid w:val="00365CD0"/>
    <w:rsid w:val="00365CE2"/>
    <w:rsid w:val="003674F0"/>
    <w:rsid w:val="0036795D"/>
    <w:rsid w:val="003679AD"/>
    <w:rsid w:val="00370A0A"/>
    <w:rsid w:val="00370C15"/>
    <w:rsid w:val="00370F76"/>
    <w:rsid w:val="00371E41"/>
    <w:rsid w:val="00373792"/>
    <w:rsid w:val="00373E52"/>
    <w:rsid w:val="00374221"/>
    <w:rsid w:val="0037429B"/>
    <w:rsid w:val="00377C0E"/>
    <w:rsid w:val="003800B7"/>
    <w:rsid w:val="00380459"/>
    <w:rsid w:val="00380A98"/>
    <w:rsid w:val="00382A8C"/>
    <w:rsid w:val="00382BE0"/>
    <w:rsid w:val="003833E2"/>
    <w:rsid w:val="003838F7"/>
    <w:rsid w:val="00384510"/>
    <w:rsid w:val="00385316"/>
    <w:rsid w:val="00386524"/>
    <w:rsid w:val="00387ED7"/>
    <w:rsid w:val="00390559"/>
    <w:rsid w:val="00391828"/>
    <w:rsid w:val="00392284"/>
    <w:rsid w:val="00393D53"/>
    <w:rsid w:val="00394996"/>
    <w:rsid w:val="003949B8"/>
    <w:rsid w:val="00394C63"/>
    <w:rsid w:val="003952A7"/>
    <w:rsid w:val="003955B2"/>
    <w:rsid w:val="00396291"/>
    <w:rsid w:val="00396C53"/>
    <w:rsid w:val="003972F4"/>
    <w:rsid w:val="003A048D"/>
    <w:rsid w:val="003A0637"/>
    <w:rsid w:val="003A0EB7"/>
    <w:rsid w:val="003A1252"/>
    <w:rsid w:val="003A1AF3"/>
    <w:rsid w:val="003A2D8B"/>
    <w:rsid w:val="003A387F"/>
    <w:rsid w:val="003A3C59"/>
    <w:rsid w:val="003A4576"/>
    <w:rsid w:val="003A5664"/>
    <w:rsid w:val="003A585E"/>
    <w:rsid w:val="003A5CA4"/>
    <w:rsid w:val="003A697F"/>
    <w:rsid w:val="003B251B"/>
    <w:rsid w:val="003B2FC6"/>
    <w:rsid w:val="003B31B4"/>
    <w:rsid w:val="003B43F5"/>
    <w:rsid w:val="003B5A46"/>
    <w:rsid w:val="003B62FD"/>
    <w:rsid w:val="003B6B77"/>
    <w:rsid w:val="003B6EFB"/>
    <w:rsid w:val="003C0D11"/>
    <w:rsid w:val="003C403A"/>
    <w:rsid w:val="003C4342"/>
    <w:rsid w:val="003C4E18"/>
    <w:rsid w:val="003C4F4A"/>
    <w:rsid w:val="003D0650"/>
    <w:rsid w:val="003D0A6E"/>
    <w:rsid w:val="003D1061"/>
    <w:rsid w:val="003D1A38"/>
    <w:rsid w:val="003D1A88"/>
    <w:rsid w:val="003D2FF1"/>
    <w:rsid w:val="003D556A"/>
    <w:rsid w:val="003D5FCC"/>
    <w:rsid w:val="003D6F86"/>
    <w:rsid w:val="003D72DF"/>
    <w:rsid w:val="003E097B"/>
    <w:rsid w:val="003E1C09"/>
    <w:rsid w:val="003E3808"/>
    <w:rsid w:val="003E3A25"/>
    <w:rsid w:val="003E4BBD"/>
    <w:rsid w:val="003E4F72"/>
    <w:rsid w:val="003E5A73"/>
    <w:rsid w:val="003F0B47"/>
    <w:rsid w:val="003F2E2E"/>
    <w:rsid w:val="003F3AC5"/>
    <w:rsid w:val="003F4C21"/>
    <w:rsid w:val="003F611A"/>
    <w:rsid w:val="003F760A"/>
    <w:rsid w:val="003F7761"/>
    <w:rsid w:val="003F78B8"/>
    <w:rsid w:val="0040103F"/>
    <w:rsid w:val="00403EE7"/>
    <w:rsid w:val="00404510"/>
    <w:rsid w:val="004051DC"/>
    <w:rsid w:val="00405285"/>
    <w:rsid w:val="00405D42"/>
    <w:rsid w:val="00405DA8"/>
    <w:rsid w:val="004113FF"/>
    <w:rsid w:val="00412609"/>
    <w:rsid w:val="004128F8"/>
    <w:rsid w:val="00412A6E"/>
    <w:rsid w:val="0041388B"/>
    <w:rsid w:val="004148BA"/>
    <w:rsid w:val="004149CE"/>
    <w:rsid w:val="004157CE"/>
    <w:rsid w:val="00415DBC"/>
    <w:rsid w:val="00415FB8"/>
    <w:rsid w:val="00416C01"/>
    <w:rsid w:val="00416E40"/>
    <w:rsid w:val="00416FC5"/>
    <w:rsid w:val="00417733"/>
    <w:rsid w:val="00417CA8"/>
    <w:rsid w:val="00420C1D"/>
    <w:rsid w:val="004210A3"/>
    <w:rsid w:val="004213ED"/>
    <w:rsid w:val="00421659"/>
    <w:rsid w:val="00421A4D"/>
    <w:rsid w:val="0042266E"/>
    <w:rsid w:val="00423433"/>
    <w:rsid w:val="0042469D"/>
    <w:rsid w:val="00424B8E"/>
    <w:rsid w:val="00424B98"/>
    <w:rsid w:val="00425066"/>
    <w:rsid w:val="00425311"/>
    <w:rsid w:val="004257BF"/>
    <w:rsid w:val="00426874"/>
    <w:rsid w:val="00426B6A"/>
    <w:rsid w:val="0042752B"/>
    <w:rsid w:val="004305FD"/>
    <w:rsid w:val="00430F69"/>
    <w:rsid w:val="00431E57"/>
    <w:rsid w:val="00432053"/>
    <w:rsid w:val="004322BF"/>
    <w:rsid w:val="004326A7"/>
    <w:rsid w:val="004327CC"/>
    <w:rsid w:val="004334D8"/>
    <w:rsid w:val="004345B8"/>
    <w:rsid w:val="00434C98"/>
    <w:rsid w:val="00435333"/>
    <w:rsid w:val="00436203"/>
    <w:rsid w:val="004368C1"/>
    <w:rsid w:val="004369D2"/>
    <w:rsid w:val="0044000B"/>
    <w:rsid w:val="00440425"/>
    <w:rsid w:val="004405C2"/>
    <w:rsid w:val="004407D0"/>
    <w:rsid w:val="00442622"/>
    <w:rsid w:val="004431A8"/>
    <w:rsid w:val="00446C80"/>
    <w:rsid w:val="004474AF"/>
    <w:rsid w:val="004476D7"/>
    <w:rsid w:val="00447E4B"/>
    <w:rsid w:val="004508EF"/>
    <w:rsid w:val="004509E2"/>
    <w:rsid w:val="00450E5E"/>
    <w:rsid w:val="00453943"/>
    <w:rsid w:val="00453A62"/>
    <w:rsid w:val="00454BA3"/>
    <w:rsid w:val="00455803"/>
    <w:rsid w:val="00455D1F"/>
    <w:rsid w:val="004565A3"/>
    <w:rsid w:val="00456C6D"/>
    <w:rsid w:val="00456F00"/>
    <w:rsid w:val="00457424"/>
    <w:rsid w:val="00462B80"/>
    <w:rsid w:val="0046321C"/>
    <w:rsid w:val="00463D57"/>
    <w:rsid w:val="00465D97"/>
    <w:rsid w:val="00466592"/>
    <w:rsid w:val="00467641"/>
    <w:rsid w:val="004704A6"/>
    <w:rsid w:val="004711C7"/>
    <w:rsid w:val="00473B3A"/>
    <w:rsid w:val="0047484C"/>
    <w:rsid w:val="00475E55"/>
    <w:rsid w:val="00477F85"/>
    <w:rsid w:val="00482395"/>
    <w:rsid w:val="00483445"/>
    <w:rsid w:val="0048383A"/>
    <w:rsid w:val="00484A51"/>
    <w:rsid w:val="00484C54"/>
    <w:rsid w:val="00484E7B"/>
    <w:rsid w:val="004850C6"/>
    <w:rsid w:val="00485D65"/>
    <w:rsid w:val="004860B2"/>
    <w:rsid w:val="00486FEB"/>
    <w:rsid w:val="004875DB"/>
    <w:rsid w:val="00491613"/>
    <w:rsid w:val="00491EDC"/>
    <w:rsid w:val="004950B2"/>
    <w:rsid w:val="0049534A"/>
    <w:rsid w:val="00496B53"/>
    <w:rsid w:val="00496CC8"/>
    <w:rsid w:val="0049764B"/>
    <w:rsid w:val="004A12EA"/>
    <w:rsid w:val="004A1316"/>
    <w:rsid w:val="004A18AD"/>
    <w:rsid w:val="004A1FCD"/>
    <w:rsid w:val="004A2F86"/>
    <w:rsid w:val="004A441A"/>
    <w:rsid w:val="004A46F4"/>
    <w:rsid w:val="004A4912"/>
    <w:rsid w:val="004A4BFC"/>
    <w:rsid w:val="004A5840"/>
    <w:rsid w:val="004A5A3E"/>
    <w:rsid w:val="004A5CFF"/>
    <w:rsid w:val="004A6945"/>
    <w:rsid w:val="004B12E4"/>
    <w:rsid w:val="004B2A4C"/>
    <w:rsid w:val="004B2D8D"/>
    <w:rsid w:val="004B79DC"/>
    <w:rsid w:val="004B7C4B"/>
    <w:rsid w:val="004C0155"/>
    <w:rsid w:val="004C0C83"/>
    <w:rsid w:val="004C1A22"/>
    <w:rsid w:val="004C25D6"/>
    <w:rsid w:val="004C3F59"/>
    <w:rsid w:val="004C7C47"/>
    <w:rsid w:val="004D07AD"/>
    <w:rsid w:val="004D15E9"/>
    <w:rsid w:val="004D15F6"/>
    <w:rsid w:val="004D1D76"/>
    <w:rsid w:val="004D2582"/>
    <w:rsid w:val="004D36B6"/>
    <w:rsid w:val="004D4EA0"/>
    <w:rsid w:val="004D4FB0"/>
    <w:rsid w:val="004D5B1E"/>
    <w:rsid w:val="004D62B3"/>
    <w:rsid w:val="004D6E70"/>
    <w:rsid w:val="004E0107"/>
    <w:rsid w:val="004E0FD2"/>
    <w:rsid w:val="004E206E"/>
    <w:rsid w:val="004E2E9C"/>
    <w:rsid w:val="004E5441"/>
    <w:rsid w:val="004E5470"/>
    <w:rsid w:val="004E6A30"/>
    <w:rsid w:val="004E7B29"/>
    <w:rsid w:val="004F0473"/>
    <w:rsid w:val="004F09EF"/>
    <w:rsid w:val="004F127F"/>
    <w:rsid w:val="004F16B6"/>
    <w:rsid w:val="004F25FE"/>
    <w:rsid w:val="004F306A"/>
    <w:rsid w:val="004F33F3"/>
    <w:rsid w:val="004F427C"/>
    <w:rsid w:val="004F44AD"/>
    <w:rsid w:val="004F5A45"/>
    <w:rsid w:val="005007F2"/>
    <w:rsid w:val="005010D0"/>
    <w:rsid w:val="0050183F"/>
    <w:rsid w:val="00501912"/>
    <w:rsid w:val="00502045"/>
    <w:rsid w:val="00502783"/>
    <w:rsid w:val="005028BE"/>
    <w:rsid w:val="005028DE"/>
    <w:rsid w:val="00503154"/>
    <w:rsid w:val="00503752"/>
    <w:rsid w:val="0050390A"/>
    <w:rsid w:val="005043E3"/>
    <w:rsid w:val="005045A5"/>
    <w:rsid w:val="00505034"/>
    <w:rsid w:val="00505282"/>
    <w:rsid w:val="005058D9"/>
    <w:rsid w:val="00506758"/>
    <w:rsid w:val="00507342"/>
    <w:rsid w:val="005108C8"/>
    <w:rsid w:val="00510A05"/>
    <w:rsid w:val="00511895"/>
    <w:rsid w:val="00511EB2"/>
    <w:rsid w:val="00512DB9"/>
    <w:rsid w:val="00514BB0"/>
    <w:rsid w:val="0051573C"/>
    <w:rsid w:val="00515E2E"/>
    <w:rsid w:val="005163F6"/>
    <w:rsid w:val="00516EFE"/>
    <w:rsid w:val="0051710F"/>
    <w:rsid w:val="005171ED"/>
    <w:rsid w:val="00517527"/>
    <w:rsid w:val="00517533"/>
    <w:rsid w:val="005176EA"/>
    <w:rsid w:val="005178B4"/>
    <w:rsid w:val="005227F5"/>
    <w:rsid w:val="00522BE9"/>
    <w:rsid w:val="005243D3"/>
    <w:rsid w:val="00524779"/>
    <w:rsid w:val="005253F3"/>
    <w:rsid w:val="00527768"/>
    <w:rsid w:val="00532EBC"/>
    <w:rsid w:val="00533F08"/>
    <w:rsid w:val="005359DD"/>
    <w:rsid w:val="005408D7"/>
    <w:rsid w:val="00543A33"/>
    <w:rsid w:val="00543EBB"/>
    <w:rsid w:val="0054507D"/>
    <w:rsid w:val="00550519"/>
    <w:rsid w:val="005513FB"/>
    <w:rsid w:val="00551CBA"/>
    <w:rsid w:val="00551E13"/>
    <w:rsid w:val="005524A5"/>
    <w:rsid w:val="00552B49"/>
    <w:rsid w:val="0055568D"/>
    <w:rsid w:val="00556FD0"/>
    <w:rsid w:val="00560E06"/>
    <w:rsid w:val="005623DE"/>
    <w:rsid w:val="00562F5A"/>
    <w:rsid w:val="0056404E"/>
    <w:rsid w:val="0056481F"/>
    <w:rsid w:val="00565FCC"/>
    <w:rsid w:val="005664C6"/>
    <w:rsid w:val="00567D7D"/>
    <w:rsid w:val="00570259"/>
    <w:rsid w:val="0057141C"/>
    <w:rsid w:val="0057167A"/>
    <w:rsid w:val="0057227A"/>
    <w:rsid w:val="00572CF1"/>
    <w:rsid w:val="00573363"/>
    <w:rsid w:val="0057347C"/>
    <w:rsid w:val="005735BC"/>
    <w:rsid w:val="005759D3"/>
    <w:rsid w:val="00576C78"/>
    <w:rsid w:val="00576E66"/>
    <w:rsid w:val="00577BFD"/>
    <w:rsid w:val="00580C0D"/>
    <w:rsid w:val="00580DD8"/>
    <w:rsid w:val="005819F0"/>
    <w:rsid w:val="00581B7C"/>
    <w:rsid w:val="005825C5"/>
    <w:rsid w:val="00582BE3"/>
    <w:rsid w:val="00583F23"/>
    <w:rsid w:val="00584167"/>
    <w:rsid w:val="00584AD9"/>
    <w:rsid w:val="00585E03"/>
    <w:rsid w:val="00591AEF"/>
    <w:rsid w:val="00592C01"/>
    <w:rsid w:val="005930E6"/>
    <w:rsid w:val="00593450"/>
    <w:rsid w:val="00593B34"/>
    <w:rsid w:val="00593EC7"/>
    <w:rsid w:val="00595C0F"/>
    <w:rsid w:val="00597AE4"/>
    <w:rsid w:val="005A1234"/>
    <w:rsid w:val="005A2AF9"/>
    <w:rsid w:val="005A411B"/>
    <w:rsid w:val="005A7D88"/>
    <w:rsid w:val="005B042E"/>
    <w:rsid w:val="005B0E69"/>
    <w:rsid w:val="005B1C16"/>
    <w:rsid w:val="005B32BD"/>
    <w:rsid w:val="005B3673"/>
    <w:rsid w:val="005B444D"/>
    <w:rsid w:val="005B461A"/>
    <w:rsid w:val="005B47B3"/>
    <w:rsid w:val="005B5136"/>
    <w:rsid w:val="005B5F2B"/>
    <w:rsid w:val="005B6A17"/>
    <w:rsid w:val="005B6AC3"/>
    <w:rsid w:val="005C0AA2"/>
    <w:rsid w:val="005C0E1B"/>
    <w:rsid w:val="005C0F99"/>
    <w:rsid w:val="005C30B1"/>
    <w:rsid w:val="005C396C"/>
    <w:rsid w:val="005C4024"/>
    <w:rsid w:val="005C61EE"/>
    <w:rsid w:val="005C6B06"/>
    <w:rsid w:val="005C7DA5"/>
    <w:rsid w:val="005D038E"/>
    <w:rsid w:val="005D03CC"/>
    <w:rsid w:val="005D1697"/>
    <w:rsid w:val="005D1AB3"/>
    <w:rsid w:val="005D2ADB"/>
    <w:rsid w:val="005D2DE4"/>
    <w:rsid w:val="005D320C"/>
    <w:rsid w:val="005D3875"/>
    <w:rsid w:val="005D3E4B"/>
    <w:rsid w:val="005D53DF"/>
    <w:rsid w:val="005D6BA2"/>
    <w:rsid w:val="005D6BB6"/>
    <w:rsid w:val="005E0115"/>
    <w:rsid w:val="005E016B"/>
    <w:rsid w:val="005E1264"/>
    <w:rsid w:val="005E22C3"/>
    <w:rsid w:val="005E24E7"/>
    <w:rsid w:val="005E2E4D"/>
    <w:rsid w:val="005E30AB"/>
    <w:rsid w:val="005E3A16"/>
    <w:rsid w:val="005E3A70"/>
    <w:rsid w:val="005E45DB"/>
    <w:rsid w:val="005E4EE2"/>
    <w:rsid w:val="005E4F0B"/>
    <w:rsid w:val="005E5A2D"/>
    <w:rsid w:val="005E714C"/>
    <w:rsid w:val="005E7361"/>
    <w:rsid w:val="005E7493"/>
    <w:rsid w:val="005E7853"/>
    <w:rsid w:val="005E7B00"/>
    <w:rsid w:val="005F04C5"/>
    <w:rsid w:val="005F0696"/>
    <w:rsid w:val="005F20C3"/>
    <w:rsid w:val="005F2EF6"/>
    <w:rsid w:val="005F2F42"/>
    <w:rsid w:val="005F33DA"/>
    <w:rsid w:val="005F3C44"/>
    <w:rsid w:val="005F50FB"/>
    <w:rsid w:val="005F7299"/>
    <w:rsid w:val="006018BE"/>
    <w:rsid w:val="00601A66"/>
    <w:rsid w:val="006021BB"/>
    <w:rsid w:val="00602978"/>
    <w:rsid w:val="00602AEC"/>
    <w:rsid w:val="00603087"/>
    <w:rsid w:val="00603DF2"/>
    <w:rsid w:val="006051CB"/>
    <w:rsid w:val="00606BE8"/>
    <w:rsid w:val="00606DB2"/>
    <w:rsid w:val="00606F97"/>
    <w:rsid w:val="00607C83"/>
    <w:rsid w:val="006104CF"/>
    <w:rsid w:val="00610793"/>
    <w:rsid w:val="00612202"/>
    <w:rsid w:val="00612CBD"/>
    <w:rsid w:val="00612EA6"/>
    <w:rsid w:val="0061432F"/>
    <w:rsid w:val="00615749"/>
    <w:rsid w:val="006161FA"/>
    <w:rsid w:val="00616D2F"/>
    <w:rsid w:val="00621EDD"/>
    <w:rsid w:val="00622302"/>
    <w:rsid w:val="0062284C"/>
    <w:rsid w:val="0062349B"/>
    <w:rsid w:val="00623D54"/>
    <w:rsid w:val="0062541A"/>
    <w:rsid w:val="00625AFF"/>
    <w:rsid w:val="00630566"/>
    <w:rsid w:val="00631182"/>
    <w:rsid w:val="00631832"/>
    <w:rsid w:val="00631C62"/>
    <w:rsid w:val="00633535"/>
    <w:rsid w:val="00633B35"/>
    <w:rsid w:val="00634CB9"/>
    <w:rsid w:val="0063508B"/>
    <w:rsid w:val="00635391"/>
    <w:rsid w:val="006357D6"/>
    <w:rsid w:val="00636A05"/>
    <w:rsid w:val="0064126B"/>
    <w:rsid w:val="00641CD7"/>
    <w:rsid w:val="0064209B"/>
    <w:rsid w:val="00642C3E"/>
    <w:rsid w:val="00643E7A"/>
    <w:rsid w:val="00645ACA"/>
    <w:rsid w:val="00650F3D"/>
    <w:rsid w:val="0065152A"/>
    <w:rsid w:val="00651B80"/>
    <w:rsid w:val="006529E6"/>
    <w:rsid w:val="006538CE"/>
    <w:rsid w:val="00654520"/>
    <w:rsid w:val="00654D6F"/>
    <w:rsid w:val="00655D1E"/>
    <w:rsid w:val="00656A33"/>
    <w:rsid w:val="00656A9D"/>
    <w:rsid w:val="00656AA0"/>
    <w:rsid w:val="00660673"/>
    <w:rsid w:val="0066482C"/>
    <w:rsid w:val="006649DC"/>
    <w:rsid w:val="00665534"/>
    <w:rsid w:val="00665B30"/>
    <w:rsid w:val="00666DFA"/>
    <w:rsid w:val="00667A4A"/>
    <w:rsid w:val="00671308"/>
    <w:rsid w:val="006736B9"/>
    <w:rsid w:val="006750A4"/>
    <w:rsid w:val="00676DB5"/>
    <w:rsid w:val="00677940"/>
    <w:rsid w:val="006807C8"/>
    <w:rsid w:val="00680AFF"/>
    <w:rsid w:val="00682351"/>
    <w:rsid w:val="00682AA9"/>
    <w:rsid w:val="00682B22"/>
    <w:rsid w:val="00682FF7"/>
    <w:rsid w:val="00684709"/>
    <w:rsid w:val="006849D7"/>
    <w:rsid w:val="006852C9"/>
    <w:rsid w:val="00686FD3"/>
    <w:rsid w:val="00687A6B"/>
    <w:rsid w:val="006906DB"/>
    <w:rsid w:val="00690A5C"/>
    <w:rsid w:val="00691F70"/>
    <w:rsid w:val="0069312E"/>
    <w:rsid w:val="00693A77"/>
    <w:rsid w:val="00696660"/>
    <w:rsid w:val="006967C5"/>
    <w:rsid w:val="0069682E"/>
    <w:rsid w:val="006977A0"/>
    <w:rsid w:val="006A1C65"/>
    <w:rsid w:val="006A1F20"/>
    <w:rsid w:val="006A1F55"/>
    <w:rsid w:val="006A2B98"/>
    <w:rsid w:val="006A3BAB"/>
    <w:rsid w:val="006A3EE4"/>
    <w:rsid w:val="006A5432"/>
    <w:rsid w:val="006A6579"/>
    <w:rsid w:val="006A689F"/>
    <w:rsid w:val="006A6977"/>
    <w:rsid w:val="006A6B0E"/>
    <w:rsid w:val="006A7914"/>
    <w:rsid w:val="006A7A92"/>
    <w:rsid w:val="006A7BDE"/>
    <w:rsid w:val="006A7FA0"/>
    <w:rsid w:val="006B5752"/>
    <w:rsid w:val="006B5CF3"/>
    <w:rsid w:val="006B795E"/>
    <w:rsid w:val="006B7C71"/>
    <w:rsid w:val="006C22A5"/>
    <w:rsid w:val="006C22A8"/>
    <w:rsid w:val="006C4E0A"/>
    <w:rsid w:val="006C507A"/>
    <w:rsid w:val="006C694C"/>
    <w:rsid w:val="006C6A6E"/>
    <w:rsid w:val="006C7A07"/>
    <w:rsid w:val="006C7E7B"/>
    <w:rsid w:val="006D0D40"/>
    <w:rsid w:val="006D12C8"/>
    <w:rsid w:val="006D1EBE"/>
    <w:rsid w:val="006D2941"/>
    <w:rsid w:val="006D418E"/>
    <w:rsid w:val="006D52F5"/>
    <w:rsid w:val="006D53F4"/>
    <w:rsid w:val="006D5F35"/>
    <w:rsid w:val="006D5F48"/>
    <w:rsid w:val="006D6280"/>
    <w:rsid w:val="006D77BB"/>
    <w:rsid w:val="006D7998"/>
    <w:rsid w:val="006E0B19"/>
    <w:rsid w:val="006E4DC4"/>
    <w:rsid w:val="006E4FCF"/>
    <w:rsid w:val="006E54DD"/>
    <w:rsid w:val="006E6336"/>
    <w:rsid w:val="006E653C"/>
    <w:rsid w:val="006E7D5A"/>
    <w:rsid w:val="006F0238"/>
    <w:rsid w:val="006F092A"/>
    <w:rsid w:val="006F1306"/>
    <w:rsid w:val="006F26F0"/>
    <w:rsid w:val="006F2E7E"/>
    <w:rsid w:val="006F32F7"/>
    <w:rsid w:val="006F3DE6"/>
    <w:rsid w:val="006F4123"/>
    <w:rsid w:val="006F418E"/>
    <w:rsid w:val="006F4F99"/>
    <w:rsid w:val="006F56E6"/>
    <w:rsid w:val="006F5B8E"/>
    <w:rsid w:val="006F688B"/>
    <w:rsid w:val="006F6F3A"/>
    <w:rsid w:val="006F71A4"/>
    <w:rsid w:val="006F7F32"/>
    <w:rsid w:val="00700140"/>
    <w:rsid w:val="007006F4"/>
    <w:rsid w:val="00700D81"/>
    <w:rsid w:val="00700F50"/>
    <w:rsid w:val="00701442"/>
    <w:rsid w:val="00705DDF"/>
    <w:rsid w:val="007069D9"/>
    <w:rsid w:val="00706AB4"/>
    <w:rsid w:val="00707227"/>
    <w:rsid w:val="0071136A"/>
    <w:rsid w:val="00711EA0"/>
    <w:rsid w:val="007129D8"/>
    <w:rsid w:val="00712D58"/>
    <w:rsid w:val="00714DDC"/>
    <w:rsid w:val="00714DEC"/>
    <w:rsid w:val="0071511D"/>
    <w:rsid w:val="00715A41"/>
    <w:rsid w:val="00716387"/>
    <w:rsid w:val="00716979"/>
    <w:rsid w:val="00716984"/>
    <w:rsid w:val="0071699B"/>
    <w:rsid w:val="00716D3B"/>
    <w:rsid w:val="00717BB0"/>
    <w:rsid w:val="00717C89"/>
    <w:rsid w:val="00717CC9"/>
    <w:rsid w:val="00720B62"/>
    <w:rsid w:val="0072121F"/>
    <w:rsid w:val="0072278E"/>
    <w:rsid w:val="00723D96"/>
    <w:rsid w:val="00724C06"/>
    <w:rsid w:val="00724CFC"/>
    <w:rsid w:val="007322D3"/>
    <w:rsid w:val="00733DC2"/>
    <w:rsid w:val="00736B54"/>
    <w:rsid w:val="00736B7E"/>
    <w:rsid w:val="00736D58"/>
    <w:rsid w:val="0073703F"/>
    <w:rsid w:val="0073747C"/>
    <w:rsid w:val="00737F76"/>
    <w:rsid w:val="0074007E"/>
    <w:rsid w:val="00740BD1"/>
    <w:rsid w:val="00740E99"/>
    <w:rsid w:val="007410E1"/>
    <w:rsid w:val="00741116"/>
    <w:rsid w:val="00741FA4"/>
    <w:rsid w:val="00742B4C"/>
    <w:rsid w:val="0074534D"/>
    <w:rsid w:val="007462A4"/>
    <w:rsid w:val="007472B2"/>
    <w:rsid w:val="00750E27"/>
    <w:rsid w:val="007516C3"/>
    <w:rsid w:val="007520D5"/>
    <w:rsid w:val="00753E3D"/>
    <w:rsid w:val="00754595"/>
    <w:rsid w:val="007547E8"/>
    <w:rsid w:val="007557B0"/>
    <w:rsid w:val="00755B1E"/>
    <w:rsid w:val="0075757B"/>
    <w:rsid w:val="00757A67"/>
    <w:rsid w:val="00757D04"/>
    <w:rsid w:val="00761C98"/>
    <w:rsid w:val="00763E86"/>
    <w:rsid w:val="007647B9"/>
    <w:rsid w:val="0076516E"/>
    <w:rsid w:val="0076545A"/>
    <w:rsid w:val="00766C2D"/>
    <w:rsid w:val="00767489"/>
    <w:rsid w:val="00767653"/>
    <w:rsid w:val="00767DB5"/>
    <w:rsid w:val="00772682"/>
    <w:rsid w:val="00772C18"/>
    <w:rsid w:val="00774D42"/>
    <w:rsid w:val="00775BB0"/>
    <w:rsid w:val="00781843"/>
    <w:rsid w:val="00782993"/>
    <w:rsid w:val="00786616"/>
    <w:rsid w:val="00787447"/>
    <w:rsid w:val="0079092F"/>
    <w:rsid w:val="00790E84"/>
    <w:rsid w:val="00791A07"/>
    <w:rsid w:val="00793158"/>
    <w:rsid w:val="0079353A"/>
    <w:rsid w:val="00793A59"/>
    <w:rsid w:val="00793D5F"/>
    <w:rsid w:val="007945C4"/>
    <w:rsid w:val="00794AF7"/>
    <w:rsid w:val="007954E6"/>
    <w:rsid w:val="00795873"/>
    <w:rsid w:val="007966F5"/>
    <w:rsid w:val="00796D98"/>
    <w:rsid w:val="007A031D"/>
    <w:rsid w:val="007A074E"/>
    <w:rsid w:val="007A175F"/>
    <w:rsid w:val="007A1820"/>
    <w:rsid w:val="007A1E13"/>
    <w:rsid w:val="007A2179"/>
    <w:rsid w:val="007A2226"/>
    <w:rsid w:val="007A3B83"/>
    <w:rsid w:val="007A3B87"/>
    <w:rsid w:val="007A5F5D"/>
    <w:rsid w:val="007A666B"/>
    <w:rsid w:val="007A6A5E"/>
    <w:rsid w:val="007B072C"/>
    <w:rsid w:val="007B2030"/>
    <w:rsid w:val="007B225A"/>
    <w:rsid w:val="007B27AC"/>
    <w:rsid w:val="007B2F3A"/>
    <w:rsid w:val="007B4A93"/>
    <w:rsid w:val="007B5689"/>
    <w:rsid w:val="007B5E2B"/>
    <w:rsid w:val="007B5F47"/>
    <w:rsid w:val="007B62E2"/>
    <w:rsid w:val="007B6D0E"/>
    <w:rsid w:val="007C0B71"/>
    <w:rsid w:val="007C132D"/>
    <w:rsid w:val="007C1BD0"/>
    <w:rsid w:val="007C1E35"/>
    <w:rsid w:val="007C2636"/>
    <w:rsid w:val="007C3E86"/>
    <w:rsid w:val="007C4085"/>
    <w:rsid w:val="007C4879"/>
    <w:rsid w:val="007C6973"/>
    <w:rsid w:val="007C714B"/>
    <w:rsid w:val="007C7613"/>
    <w:rsid w:val="007D0308"/>
    <w:rsid w:val="007D10E0"/>
    <w:rsid w:val="007D231F"/>
    <w:rsid w:val="007D2754"/>
    <w:rsid w:val="007D28E1"/>
    <w:rsid w:val="007D480D"/>
    <w:rsid w:val="007D49D4"/>
    <w:rsid w:val="007D5269"/>
    <w:rsid w:val="007D57F9"/>
    <w:rsid w:val="007D7467"/>
    <w:rsid w:val="007E03D1"/>
    <w:rsid w:val="007E059F"/>
    <w:rsid w:val="007E0F38"/>
    <w:rsid w:val="007E1FF3"/>
    <w:rsid w:val="007E2D3F"/>
    <w:rsid w:val="007E322D"/>
    <w:rsid w:val="007E3571"/>
    <w:rsid w:val="007E42CB"/>
    <w:rsid w:val="007E6641"/>
    <w:rsid w:val="007F2A70"/>
    <w:rsid w:val="007F2F74"/>
    <w:rsid w:val="007F307F"/>
    <w:rsid w:val="007F329B"/>
    <w:rsid w:val="007F6258"/>
    <w:rsid w:val="007F7E1C"/>
    <w:rsid w:val="008006E6"/>
    <w:rsid w:val="00800C9E"/>
    <w:rsid w:val="00801584"/>
    <w:rsid w:val="008024FA"/>
    <w:rsid w:val="00802D48"/>
    <w:rsid w:val="00802D88"/>
    <w:rsid w:val="008032B4"/>
    <w:rsid w:val="00805074"/>
    <w:rsid w:val="00805D1B"/>
    <w:rsid w:val="008126C8"/>
    <w:rsid w:val="00812ADE"/>
    <w:rsid w:val="008144D3"/>
    <w:rsid w:val="00814988"/>
    <w:rsid w:val="00816C46"/>
    <w:rsid w:val="0081776D"/>
    <w:rsid w:val="008177F8"/>
    <w:rsid w:val="008226B6"/>
    <w:rsid w:val="00822C2A"/>
    <w:rsid w:val="00823759"/>
    <w:rsid w:val="008242F5"/>
    <w:rsid w:val="0082444E"/>
    <w:rsid w:val="008244AE"/>
    <w:rsid w:val="00824FC1"/>
    <w:rsid w:val="00825294"/>
    <w:rsid w:val="008253DD"/>
    <w:rsid w:val="008256F9"/>
    <w:rsid w:val="00825835"/>
    <w:rsid w:val="0082618C"/>
    <w:rsid w:val="008261DC"/>
    <w:rsid w:val="00826560"/>
    <w:rsid w:val="00826CF1"/>
    <w:rsid w:val="00827202"/>
    <w:rsid w:val="00833713"/>
    <w:rsid w:val="00835317"/>
    <w:rsid w:val="008363C5"/>
    <w:rsid w:val="0083673D"/>
    <w:rsid w:val="00836A65"/>
    <w:rsid w:val="00837359"/>
    <w:rsid w:val="0084073A"/>
    <w:rsid w:val="00841304"/>
    <w:rsid w:val="00841599"/>
    <w:rsid w:val="008422B7"/>
    <w:rsid w:val="0084234E"/>
    <w:rsid w:val="00842FD9"/>
    <w:rsid w:val="008440AC"/>
    <w:rsid w:val="00844146"/>
    <w:rsid w:val="008444DB"/>
    <w:rsid w:val="00845DB6"/>
    <w:rsid w:val="00847A20"/>
    <w:rsid w:val="0085081A"/>
    <w:rsid w:val="00850C51"/>
    <w:rsid w:val="00851A7E"/>
    <w:rsid w:val="00851D7D"/>
    <w:rsid w:val="008530BB"/>
    <w:rsid w:val="00853222"/>
    <w:rsid w:val="00855772"/>
    <w:rsid w:val="008557C3"/>
    <w:rsid w:val="008568BE"/>
    <w:rsid w:val="0086164C"/>
    <w:rsid w:val="00861B5F"/>
    <w:rsid w:val="00862543"/>
    <w:rsid w:val="0086299F"/>
    <w:rsid w:val="00862E95"/>
    <w:rsid w:val="00863F47"/>
    <w:rsid w:val="00864A13"/>
    <w:rsid w:val="00866C01"/>
    <w:rsid w:val="00867A71"/>
    <w:rsid w:val="00867D30"/>
    <w:rsid w:val="00873135"/>
    <w:rsid w:val="00873706"/>
    <w:rsid w:val="00873F70"/>
    <w:rsid w:val="008745AE"/>
    <w:rsid w:val="00876465"/>
    <w:rsid w:val="00877BA1"/>
    <w:rsid w:val="00881A83"/>
    <w:rsid w:val="00881D28"/>
    <w:rsid w:val="008822E8"/>
    <w:rsid w:val="00882839"/>
    <w:rsid w:val="008849E0"/>
    <w:rsid w:val="00885B4D"/>
    <w:rsid w:val="00887043"/>
    <w:rsid w:val="00887795"/>
    <w:rsid w:val="00891793"/>
    <w:rsid w:val="00891B6A"/>
    <w:rsid w:val="00893F1C"/>
    <w:rsid w:val="008953EF"/>
    <w:rsid w:val="008A189D"/>
    <w:rsid w:val="008A51F9"/>
    <w:rsid w:val="008A6C44"/>
    <w:rsid w:val="008A756E"/>
    <w:rsid w:val="008B2E0F"/>
    <w:rsid w:val="008B35E1"/>
    <w:rsid w:val="008B3A35"/>
    <w:rsid w:val="008B4194"/>
    <w:rsid w:val="008B45EE"/>
    <w:rsid w:val="008B518E"/>
    <w:rsid w:val="008B529C"/>
    <w:rsid w:val="008B5D5F"/>
    <w:rsid w:val="008B5F4B"/>
    <w:rsid w:val="008B61E7"/>
    <w:rsid w:val="008B7959"/>
    <w:rsid w:val="008C154D"/>
    <w:rsid w:val="008C4793"/>
    <w:rsid w:val="008C5923"/>
    <w:rsid w:val="008C6BBF"/>
    <w:rsid w:val="008C7DE8"/>
    <w:rsid w:val="008C7F84"/>
    <w:rsid w:val="008D03BD"/>
    <w:rsid w:val="008D06DB"/>
    <w:rsid w:val="008D160E"/>
    <w:rsid w:val="008D3189"/>
    <w:rsid w:val="008D4436"/>
    <w:rsid w:val="008D4873"/>
    <w:rsid w:val="008D5C82"/>
    <w:rsid w:val="008D5D3C"/>
    <w:rsid w:val="008D6873"/>
    <w:rsid w:val="008E05C6"/>
    <w:rsid w:val="008E08AA"/>
    <w:rsid w:val="008E1E78"/>
    <w:rsid w:val="008E21FC"/>
    <w:rsid w:val="008E2FCE"/>
    <w:rsid w:val="008E428A"/>
    <w:rsid w:val="008E622E"/>
    <w:rsid w:val="008F158E"/>
    <w:rsid w:val="008F1878"/>
    <w:rsid w:val="008F2579"/>
    <w:rsid w:val="008F3891"/>
    <w:rsid w:val="008F65FC"/>
    <w:rsid w:val="008F7984"/>
    <w:rsid w:val="00900844"/>
    <w:rsid w:val="00900A26"/>
    <w:rsid w:val="009011C2"/>
    <w:rsid w:val="0090445B"/>
    <w:rsid w:val="00904A3F"/>
    <w:rsid w:val="009055DF"/>
    <w:rsid w:val="00907E8E"/>
    <w:rsid w:val="00910FB6"/>
    <w:rsid w:val="00911031"/>
    <w:rsid w:val="0091117E"/>
    <w:rsid w:val="00911252"/>
    <w:rsid w:val="009119BD"/>
    <w:rsid w:val="009122E6"/>
    <w:rsid w:val="00912699"/>
    <w:rsid w:val="00912906"/>
    <w:rsid w:val="00912C24"/>
    <w:rsid w:val="0091379F"/>
    <w:rsid w:val="00914B3B"/>
    <w:rsid w:val="00916A74"/>
    <w:rsid w:val="00916DC6"/>
    <w:rsid w:val="0091781B"/>
    <w:rsid w:val="00917BF7"/>
    <w:rsid w:val="009211FD"/>
    <w:rsid w:val="00921D78"/>
    <w:rsid w:val="009231B3"/>
    <w:rsid w:val="0092341C"/>
    <w:rsid w:val="0092387A"/>
    <w:rsid w:val="00923B4B"/>
    <w:rsid w:val="00923DAA"/>
    <w:rsid w:val="00926415"/>
    <w:rsid w:val="00926D62"/>
    <w:rsid w:val="00927423"/>
    <w:rsid w:val="0092769A"/>
    <w:rsid w:val="009328EB"/>
    <w:rsid w:val="00933FCC"/>
    <w:rsid w:val="009344AC"/>
    <w:rsid w:val="009354CE"/>
    <w:rsid w:val="00936180"/>
    <w:rsid w:val="0093758D"/>
    <w:rsid w:val="009402CF"/>
    <w:rsid w:val="0094286F"/>
    <w:rsid w:val="009436CD"/>
    <w:rsid w:val="00944314"/>
    <w:rsid w:val="009447C4"/>
    <w:rsid w:val="00945350"/>
    <w:rsid w:val="00945E0E"/>
    <w:rsid w:val="00950624"/>
    <w:rsid w:val="00951454"/>
    <w:rsid w:val="009525A7"/>
    <w:rsid w:val="009528CD"/>
    <w:rsid w:val="0095353D"/>
    <w:rsid w:val="00954BA2"/>
    <w:rsid w:val="00954C97"/>
    <w:rsid w:val="00954E4C"/>
    <w:rsid w:val="00955F75"/>
    <w:rsid w:val="00956269"/>
    <w:rsid w:val="00956B5C"/>
    <w:rsid w:val="00956E67"/>
    <w:rsid w:val="0096190A"/>
    <w:rsid w:val="009624E5"/>
    <w:rsid w:val="00963763"/>
    <w:rsid w:val="009646C8"/>
    <w:rsid w:val="00970C8D"/>
    <w:rsid w:val="00971102"/>
    <w:rsid w:val="00971BE9"/>
    <w:rsid w:val="00971DF4"/>
    <w:rsid w:val="00975097"/>
    <w:rsid w:val="009758CD"/>
    <w:rsid w:val="009768BD"/>
    <w:rsid w:val="00976E15"/>
    <w:rsid w:val="00976FDB"/>
    <w:rsid w:val="00977363"/>
    <w:rsid w:val="00977EDD"/>
    <w:rsid w:val="00977FB0"/>
    <w:rsid w:val="00980AD5"/>
    <w:rsid w:val="00980C3E"/>
    <w:rsid w:val="00981000"/>
    <w:rsid w:val="009818AB"/>
    <w:rsid w:val="00981C47"/>
    <w:rsid w:val="00981E2A"/>
    <w:rsid w:val="00983A5A"/>
    <w:rsid w:val="00984B29"/>
    <w:rsid w:val="009858DD"/>
    <w:rsid w:val="00990B7B"/>
    <w:rsid w:val="00990D26"/>
    <w:rsid w:val="009914AF"/>
    <w:rsid w:val="00992A75"/>
    <w:rsid w:val="00994BA7"/>
    <w:rsid w:val="0099504D"/>
    <w:rsid w:val="00996A39"/>
    <w:rsid w:val="0099797B"/>
    <w:rsid w:val="009A0992"/>
    <w:rsid w:val="009A0D74"/>
    <w:rsid w:val="009A178D"/>
    <w:rsid w:val="009A22EC"/>
    <w:rsid w:val="009A284C"/>
    <w:rsid w:val="009A2869"/>
    <w:rsid w:val="009A28A0"/>
    <w:rsid w:val="009A2E25"/>
    <w:rsid w:val="009A36E8"/>
    <w:rsid w:val="009A3D3E"/>
    <w:rsid w:val="009A3D96"/>
    <w:rsid w:val="009A5D62"/>
    <w:rsid w:val="009A6D40"/>
    <w:rsid w:val="009A758E"/>
    <w:rsid w:val="009B0C0D"/>
    <w:rsid w:val="009B1016"/>
    <w:rsid w:val="009B3A35"/>
    <w:rsid w:val="009B45A6"/>
    <w:rsid w:val="009C0A42"/>
    <w:rsid w:val="009C100D"/>
    <w:rsid w:val="009C1744"/>
    <w:rsid w:val="009C178A"/>
    <w:rsid w:val="009C1ADE"/>
    <w:rsid w:val="009C2B5F"/>
    <w:rsid w:val="009C4D56"/>
    <w:rsid w:val="009C50D0"/>
    <w:rsid w:val="009C5ABE"/>
    <w:rsid w:val="009C6396"/>
    <w:rsid w:val="009C6F41"/>
    <w:rsid w:val="009C7A3F"/>
    <w:rsid w:val="009C7B21"/>
    <w:rsid w:val="009D213B"/>
    <w:rsid w:val="009D2843"/>
    <w:rsid w:val="009D62C4"/>
    <w:rsid w:val="009E021D"/>
    <w:rsid w:val="009E022A"/>
    <w:rsid w:val="009E0332"/>
    <w:rsid w:val="009E124A"/>
    <w:rsid w:val="009E2AA1"/>
    <w:rsid w:val="009E3B01"/>
    <w:rsid w:val="009E467D"/>
    <w:rsid w:val="009E5388"/>
    <w:rsid w:val="009E5436"/>
    <w:rsid w:val="009E5EE2"/>
    <w:rsid w:val="009E6341"/>
    <w:rsid w:val="009E6785"/>
    <w:rsid w:val="009E6A51"/>
    <w:rsid w:val="009F0959"/>
    <w:rsid w:val="009F0A9C"/>
    <w:rsid w:val="009F0D4F"/>
    <w:rsid w:val="009F1506"/>
    <w:rsid w:val="009F2CE1"/>
    <w:rsid w:val="009F61C9"/>
    <w:rsid w:val="009F63C5"/>
    <w:rsid w:val="00A00C1D"/>
    <w:rsid w:val="00A01ED7"/>
    <w:rsid w:val="00A01F6C"/>
    <w:rsid w:val="00A02FD0"/>
    <w:rsid w:val="00A04076"/>
    <w:rsid w:val="00A041D6"/>
    <w:rsid w:val="00A05312"/>
    <w:rsid w:val="00A0640A"/>
    <w:rsid w:val="00A0793B"/>
    <w:rsid w:val="00A127FE"/>
    <w:rsid w:val="00A13758"/>
    <w:rsid w:val="00A14692"/>
    <w:rsid w:val="00A1525C"/>
    <w:rsid w:val="00A16282"/>
    <w:rsid w:val="00A167F1"/>
    <w:rsid w:val="00A16820"/>
    <w:rsid w:val="00A16A17"/>
    <w:rsid w:val="00A16ACE"/>
    <w:rsid w:val="00A16B53"/>
    <w:rsid w:val="00A17EA3"/>
    <w:rsid w:val="00A17F02"/>
    <w:rsid w:val="00A20168"/>
    <w:rsid w:val="00A21132"/>
    <w:rsid w:val="00A215F7"/>
    <w:rsid w:val="00A2448B"/>
    <w:rsid w:val="00A2455F"/>
    <w:rsid w:val="00A25F5F"/>
    <w:rsid w:val="00A274E1"/>
    <w:rsid w:val="00A27A58"/>
    <w:rsid w:val="00A3204F"/>
    <w:rsid w:val="00A32E2F"/>
    <w:rsid w:val="00A346B9"/>
    <w:rsid w:val="00A35603"/>
    <w:rsid w:val="00A36D9E"/>
    <w:rsid w:val="00A40208"/>
    <w:rsid w:val="00A408A1"/>
    <w:rsid w:val="00A40BAE"/>
    <w:rsid w:val="00A412E6"/>
    <w:rsid w:val="00A41367"/>
    <w:rsid w:val="00A41CAC"/>
    <w:rsid w:val="00A42CA9"/>
    <w:rsid w:val="00A42E94"/>
    <w:rsid w:val="00A4315B"/>
    <w:rsid w:val="00A43DC0"/>
    <w:rsid w:val="00A4443A"/>
    <w:rsid w:val="00A44BE8"/>
    <w:rsid w:val="00A461D7"/>
    <w:rsid w:val="00A4632E"/>
    <w:rsid w:val="00A46390"/>
    <w:rsid w:val="00A46C46"/>
    <w:rsid w:val="00A47BBF"/>
    <w:rsid w:val="00A50739"/>
    <w:rsid w:val="00A50AA3"/>
    <w:rsid w:val="00A513A3"/>
    <w:rsid w:val="00A513C1"/>
    <w:rsid w:val="00A515FB"/>
    <w:rsid w:val="00A519E1"/>
    <w:rsid w:val="00A51AE7"/>
    <w:rsid w:val="00A52A75"/>
    <w:rsid w:val="00A52AC9"/>
    <w:rsid w:val="00A52D69"/>
    <w:rsid w:val="00A53068"/>
    <w:rsid w:val="00A5481F"/>
    <w:rsid w:val="00A54CFF"/>
    <w:rsid w:val="00A5722F"/>
    <w:rsid w:val="00A60B06"/>
    <w:rsid w:val="00A60B7B"/>
    <w:rsid w:val="00A60BC5"/>
    <w:rsid w:val="00A61648"/>
    <w:rsid w:val="00A63217"/>
    <w:rsid w:val="00A638F7"/>
    <w:rsid w:val="00A63F52"/>
    <w:rsid w:val="00A64593"/>
    <w:rsid w:val="00A65F47"/>
    <w:rsid w:val="00A66146"/>
    <w:rsid w:val="00A66209"/>
    <w:rsid w:val="00A7188B"/>
    <w:rsid w:val="00A7188C"/>
    <w:rsid w:val="00A71A30"/>
    <w:rsid w:val="00A75841"/>
    <w:rsid w:val="00A76499"/>
    <w:rsid w:val="00A76816"/>
    <w:rsid w:val="00A77534"/>
    <w:rsid w:val="00A77662"/>
    <w:rsid w:val="00A807DF"/>
    <w:rsid w:val="00A81146"/>
    <w:rsid w:val="00A818F4"/>
    <w:rsid w:val="00A81B1B"/>
    <w:rsid w:val="00A829BC"/>
    <w:rsid w:val="00A82E48"/>
    <w:rsid w:val="00A83011"/>
    <w:rsid w:val="00A83021"/>
    <w:rsid w:val="00A83D5B"/>
    <w:rsid w:val="00A84882"/>
    <w:rsid w:val="00A84DCC"/>
    <w:rsid w:val="00A86037"/>
    <w:rsid w:val="00A872EE"/>
    <w:rsid w:val="00A87AE0"/>
    <w:rsid w:val="00A905C7"/>
    <w:rsid w:val="00A92592"/>
    <w:rsid w:val="00A93FCB"/>
    <w:rsid w:val="00A94355"/>
    <w:rsid w:val="00A94578"/>
    <w:rsid w:val="00A958CA"/>
    <w:rsid w:val="00A96008"/>
    <w:rsid w:val="00A963BB"/>
    <w:rsid w:val="00A96615"/>
    <w:rsid w:val="00A96858"/>
    <w:rsid w:val="00AA04BC"/>
    <w:rsid w:val="00AA066D"/>
    <w:rsid w:val="00AA0989"/>
    <w:rsid w:val="00AA1020"/>
    <w:rsid w:val="00AA1F7B"/>
    <w:rsid w:val="00AA4959"/>
    <w:rsid w:val="00AA51BF"/>
    <w:rsid w:val="00AA6C45"/>
    <w:rsid w:val="00AA791D"/>
    <w:rsid w:val="00AB03C3"/>
    <w:rsid w:val="00AB0513"/>
    <w:rsid w:val="00AB1E69"/>
    <w:rsid w:val="00AB51B4"/>
    <w:rsid w:val="00AB541B"/>
    <w:rsid w:val="00AB5B5B"/>
    <w:rsid w:val="00AB649A"/>
    <w:rsid w:val="00AB6B76"/>
    <w:rsid w:val="00AB7300"/>
    <w:rsid w:val="00AC2DEC"/>
    <w:rsid w:val="00AC4518"/>
    <w:rsid w:val="00AC4BAF"/>
    <w:rsid w:val="00AC4D36"/>
    <w:rsid w:val="00AC504C"/>
    <w:rsid w:val="00AC5A0C"/>
    <w:rsid w:val="00AC60BF"/>
    <w:rsid w:val="00AD0D09"/>
    <w:rsid w:val="00AD22DE"/>
    <w:rsid w:val="00AD279F"/>
    <w:rsid w:val="00AD3602"/>
    <w:rsid w:val="00AD3B08"/>
    <w:rsid w:val="00AD47DA"/>
    <w:rsid w:val="00AD5D06"/>
    <w:rsid w:val="00AD73C3"/>
    <w:rsid w:val="00AE00A7"/>
    <w:rsid w:val="00AE0D4E"/>
    <w:rsid w:val="00AE13C5"/>
    <w:rsid w:val="00AE16C4"/>
    <w:rsid w:val="00AE2123"/>
    <w:rsid w:val="00AE3CB1"/>
    <w:rsid w:val="00AE40B2"/>
    <w:rsid w:val="00AE4B0C"/>
    <w:rsid w:val="00AE4FFF"/>
    <w:rsid w:val="00AE5DA5"/>
    <w:rsid w:val="00AE7C7A"/>
    <w:rsid w:val="00AF08C0"/>
    <w:rsid w:val="00AF117D"/>
    <w:rsid w:val="00AF1BEC"/>
    <w:rsid w:val="00AF3129"/>
    <w:rsid w:val="00AF3640"/>
    <w:rsid w:val="00AF4414"/>
    <w:rsid w:val="00AF467F"/>
    <w:rsid w:val="00AF5574"/>
    <w:rsid w:val="00AF5F46"/>
    <w:rsid w:val="00AF7A3F"/>
    <w:rsid w:val="00B00B28"/>
    <w:rsid w:val="00B00C6A"/>
    <w:rsid w:val="00B015DA"/>
    <w:rsid w:val="00B0184B"/>
    <w:rsid w:val="00B01CE7"/>
    <w:rsid w:val="00B03734"/>
    <w:rsid w:val="00B0411B"/>
    <w:rsid w:val="00B04478"/>
    <w:rsid w:val="00B04698"/>
    <w:rsid w:val="00B04E47"/>
    <w:rsid w:val="00B0541F"/>
    <w:rsid w:val="00B0728A"/>
    <w:rsid w:val="00B07848"/>
    <w:rsid w:val="00B07E1B"/>
    <w:rsid w:val="00B1221E"/>
    <w:rsid w:val="00B12946"/>
    <w:rsid w:val="00B12BFC"/>
    <w:rsid w:val="00B13ABE"/>
    <w:rsid w:val="00B155E6"/>
    <w:rsid w:val="00B163BA"/>
    <w:rsid w:val="00B17029"/>
    <w:rsid w:val="00B200F4"/>
    <w:rsid w:val="00B2076A"/>
    <w:rsid w:val="00B2156E"/>
    <w:rsid w:val="00B21672"/>
    <w:rsid w:val="00B22B78"/>
    <w:rsid w:val="00B22E81"/>
    <w:rsid w:val="00B23043"/>
    <w:rsid w:val="00B2333F"/>
    <w:rsid w:val="00B244DE"/>
    <w:rsid w:val="00B25303"/>
    <w:rsid w:val="00B26241"/>
    <w:rsid w:val="00B26426"/>
    <w:rsid w:val="00B26BB1"/>
    <w:rsid w:val="00B2767A"/>
    <w:rsid w:val="00B27A02"/>
    <w:rsid w:val="00B27BE5"/>
    <w:rsid w:val="00B30C4F"/>
    <w:rsid w:val="00B30E5B"/>
    <w:rsid w:val="00B33754"/>
    <w:rsid w:val="00B343FC"/>
    <w:rsid w:val="00B34747"/>
    <w:rsid w:val="00B36746"/>
    <w:rsid w:val="00B3720B"/>
    <w:rsid w:val="00B43A39"/>
    <w:rsid w:val="00B45AF4"/>
    <w:rsid w:val="00B46A34"/>
    <w:rsid w:val="00B4707F"/>
    <w:rsid w:val="00B47FC3"/>
    <w:rsid w:val="00B5036A"/>
    <w:rsid w:val="00B52C65"/>
    <w:rsid w:val="00B53094"/>
    <w:rsid w:val="00B53184"/>
    <w:rsid w:val="00B5349E"/>
    <w:rsid w:val="00B537E1"/>
    <w:rsid w:val="00B55020"/>
    <w:rsid w:val="00B566B0"/>
    <w:rsid w:val="00B575DD"/>
    <w:rsid w:val="00B57F5B"/>
    <w:rsid w:val="00B600EB"/>
    <w:rsid w:val="00B61322"/>
    <w:rsid w:val="00B617C1"/>
    <w:rsid w:val="00B61F9A"/>
    <w:rsid w:val="00B61FB5"/>
    <w:rsid w:val="00B62A98"/>
    <w:rsid w:val="00B65796"/>
    <w:rsid w:val="00B6703B"/>
    <w:rsid w:val="00B67E6C"/>
    <w:rsid w:val="00B70A52"/>
    <w:rsid w:val="00B7125C"/>
    <w:rsid w:val="00B71406"/>
    <w:rsid w:val="00B725AD"/>
    <w:rsid w:val="00B73599"/>
    <w:rsid w:val="00B736E0"/>
    <w:rsid w:val="00B739F2"/>
    <w:rsid w:val="00B74C85"/>
    <w:rsid w:val="00B74E89"/>
    <w:rsid w:val="00B7513A"/>
    <w:rsid w:val="00B7552D"/>
    <w:rsid w:val="00B762ED"/>
    <w:rsid w:val="00B763DB"/>
    <w:rsid w:val="00B77F2B"/>
    <w:rsid w:val="00B80B27"/>
    <w:rsid w:val="00B80F9D"/>
    <w:rsid w:val="00B80FD3"/>
    <w:rsid w:val="00B81833"/>
    <w:rsid w:val="00B81FC4"/>
    <w:rsid w:val="00B82D93"/>
    <w:rsid w:val="00B83CC2"/>
    <w:rsid w:val="00B83F46"/>
    <w:rsid w:val="00B8418A"/>
    <w:rsid w:val="00B847B4"/>
    <w:rsid w:val="00B851C9"/>
    <w:rsid w:val="00B85953"/>
    <w:rsid w:val="00B86879"/>
    <w:rsid w:val="00B873CE"/>
    <w:rsid w:val="00B87F5B"/>
    <w:rsid w:val="00B87FEA"/>
    <w:rsid w:val="00B92203"/>
    <w:rsid w:val="00B92AE2"/>
    <w:rsid w:val="00B949CC"/>
    <w:rsid w:val="00B94EDD"/>
    <w:rsid w:val="00B95786"/>
    <w:rsid w:val="00B95890"/>
    <w:rsid w:val="00B96CF6"/>
    <w:rsid w:val="00B970EF"/>
    <w:rsid w:val="00B976FC"/>
    <w:rsid w:val="00B977E1"/>
    <w:rsid w:val="00BA01C3"/>
    <w:rsid w:val="00BA14CA"/>
    <w:rsid w:val="00BA3D82"/>
    <w:rsid w:val="00BA4860"/>
    <w:rsid w:val="00BA74F7"/>
    <w:rsid w:val="00BA76F6"/>
    <w:rsid w:val="00BA78D7"/>
    <w:rsid w:val="00BA7D26"/>
    <w:rsid w:val="00BB0D56"/>
    <w:rsid w:val="00BB0EE1"/>
    <w:rsid w:val="00BB0F6D"/>
    <w:rsid w:val="00BB15F0"/>
    <w:rsid w:val="00BB165B"/>
    <w:rsid w:val="00BB3A6E"/>
    <w:rsid w:val="00BB3A7E"/>
    <w:rsid w:val="00BB4FC5"/>
    <w:rsid w:val="00BB58A2"/>
    <w:rsid w:val="00BB5CD3"/>
    <w:rsid w:val="00BB67AA"/>
    <w:rsid w:val="00BB726A"/>
    <w:rsid w:val="00BB7375"/>
    <w:rsid w:val="00BB7570"/>
    <w:rsid w:val="00BC02A7"/>
    <w:rsid w:val="00BC0A79"/>
    <w:rsid w:val="00BC0F5E"/>
    <w:rsid w:val="00BC119A"/>
    <w:rsid w:val="00BC11DD"/>
    <w:rsid w:val="00BC13A3"/>
    <w:rsid w:val="00BC1B82"/>
    <w:rsid w:val="00BC217E"/>
    <w:rsid w:val="00BC263F"/>
    <w:rsid w:val="00BC28A2"/>
    <w:rsid w:val="00BC2EF0"/>
    <w:rsid w:val="00BC42CE"/>
    <w:rsid w:val="00BC5499"/>
    <w:rsid w:val="00BC57B6"/>
    <w:rsid w:val="00BC6262"/>
    <w:rsid w:val="00BC6CE7"/>
    <w:rsid w:val="00BC71A6"/>
    <w:rsid w:val="00BD06E1"/>
    <w:rsid w:val="00BD0BEA"/>
    <w:rsid w:val="00BD0FD6"/>
    <w:rsid w:val="00BD124E"/>
    <w:rsid w:val="00BD1790"/>
    <w:rsid w:val="00BD1A88"/>
    <w:rsid w:val="00BD22E4"/>
    <w:rsid w:val="00BD23EB"/>
    <w:rsid w:val="00BD2EEB"/>
    <w:rsid w:val="00BD3967"/>
    <w:rsid w:val="00BD6030"/>
    <w:rsid w:val="00BE18EE"/>
    <w:rsid w:val="00BE364B"/>
    <w:rsid w:val="00BE3E39"/>
    <w:rsid w:val="00BE49FA"/>
    <w:rsid w:val="00BE5FFD"/>
    <w:rsid w:val="00BE60EE"/>
    <w:rsid w:val="00BE62C5"/>
    <w:rsid w:val="00BE6EFC"/>
    <w:rsid w:val="00BF0107"/>
    <w:rsid w:val="00BF1292"/>
    <w:rsid w:val="00BF1F09"/>
    <w:rsid w:val="00BF2617"/>
    <w:rsid w:val="00BF28DC"/>
    <w:rsid w:val="00BF4C49"/>
    <w:rsid w:val="00BF6394"/>
    <w:rsid w:val="00BF65AB"/>
    <w:rsid w:val="00BF67BA"/>
    <w:rsid w:val="00BF6B7E"/>
    <w:rsid w:val="00BF7D30"/>
    <w:rsid w:val="00C00435"/>
    <w:rsid w:val="00C00696"/>
    <w:rsid w:val="00C00A96"/>
    <w:rsid w:val="00C013BB"/>
    <w:rsid w:val="00C017CD"/>
    <w:rsid w:val="00C01AA1"/>
    <w:rsid w:val="00C01B2B"/>
    <w:rsid w:val="00C0431D"/>
    <w:rsid w:val="00C04E3E"/>
    <w:rsid w:val="00C053DF"/>
    <w:rsid w:val="00C05586"/>
    <w:rsid w:val="00C1037E"/>
    <w:rsid w:val="00C10D2A"/>
    <w:rsid w:val="00C11955"/>
    <w:rsid w:val="00C11BF0"/>
    <w:rsid w:val="00C12B8D"/>
    <w:rsid w:val="00C136A0"/>
    <w:rsid w:val="00C139C5"/>
    <w:rsid w:val="00C13F4A"/>
    <w:rsid w:val="00C14354"/>
    <w:rsid w:val="00C14CC3"/>
    <w:rsid w:val="00C16734"/>
    <w:rsid w:val="00C16FE0"/>
    <w:rsid w:val="00C20C74"/>
    <w:rsid w:val="00C21161"/>
    <w:rsid w:val="00C2350D"/>
    <w:rsid w:val="00C2351F"/>
    <w:rsid w:val="00C252EC"/>
    <w:rsid w:val="00C300BE"/>
    <w:rsid w:val="00C301A0"/>
    <w:rsid w:val="00C30838"/>
    <w:rsid w:val="00C3096E"/>
    <w:rsid w:val="00C329B7"/>
    <w:rsid w:val="00C33AFA"/>
    <w:rsid w:val="00C33F9F"/>
    <w:rsid w:val="00C33FE7"/>
    <w:rsid w:val="00C35BE0"/>
    <w:rsid w:val="00C3784A"/>
    <w:rsid w:val="00C404B3"/>
    <w:rsid w:val="00C42C23"/>
    <w:rsid w:val="00C4368D"/>
    <w:rsid w:val="00C44AD8"/>
    <w:rsid w:val="00C4620E"/>
    <w:rsid w:val="00C479CA"/>
    <w:rsid w:val="00C50EE4"/>
    <w:rsid w:val="00C50EF1"/>
    <w:rsid w:val="00C513E4"/>
    <w:rsid w:val="00C51495"/>
    <w:rsid w:val="00C52319"/>
    <w:rsid w:val="00C528A0"/>
    <w:rsid w:val="00C54FA2"/>
    <w:rsid w:val="00C55166"/>
    <w:rsid w:val="00C5519C"/>
    <w:rsid w:val="00C558C2"/>
    <w:rsid w:val="00C56388"/>
    <w:rsid w:val="00C57656"/>
    <w:rsid w:val="00C60A12"/>
    <w:rsid w:val="00C61D07"/>
    <w:rsid w:val="00C620C9"/>
    <w:rsid w:val="00C62EFE"/>
    <w:rsid w:val="00C63A1D"/>
    <w:rsid w:val="00C642DA"/>
    <w:rsid w:val="00C643B6"/>
    <w:rsid w:val="00C6667D"/>
    <w:rsid w:val="00C66E0C"/>
    <w:rsid w:val="00C66F9F"/>
    <w:rsid w:val="00C7082D"/>
    <w:rsid w:val="00C70848"/>
    <w:rsid w:val="00C717D1"/>
    <w:rsid w:val="00C71B00"/>
    <w:rsid w:val="00C73409"/>
    <w:rsid w:val="00C744AC"/>
    <w:rsid w:val="00C74555"/>
    <w:rsid w:val="00C755DB"/>
    <w:rsid w:val="00C802A8"/>
    <w:rsid w:val="00C80BC8"/>
    <w:rsid w:val="00C81604"/>
    <w:rsid w:val="00C8160E"/>
    <w:rsid w:val="00C833D4"/>
    <w:rsid w:val="00C83670"/>
    <w:rsid w:val="00C83EF6"/>
    <w:rsid w:val="00C83F2E"/>
    <w:rsid w:val="00C84662"/>
    <w:rsid w:val="00C864C8"/>
    <w:rsid w:val="00C86BF2"/>
    <w:rsid w:val="00C873E8"/>
    <w:rsid w:val="00C87CDC"/>
    <w:rsid w:val="00C90285"/>
    <w:rsid w:val="00C9130C"/>
    <w:rsid w:val="00C914E9"/>
    <w:rsid w:val="00C9201A"/>
    <w:rsid w:val="00C922F3"/>
    <w:rsid w:val="00C933B6"/>
    <w:rsid w:val="00C933D3"/>
    <w:rsid w:val="00C950CA"/>
    <w:rsid w:val="00C951CA"/>
    <w:rsid w:val="00C959CC"/>
    <w:rsid w:val="00C975D0"/>
    <w:rsid w:val="00CA06AF"/>
    <w:rsid w:val="00CA1B95"/>
    <w:rsid w:val="00CA1C93"/>
    <w:rsid w:val="00CA2FF8"/>
    <w:rsid w:val="00CA3B65"/>
    <w:rsid w:val="00CA4A6A"/>
    <w:rsid w:val="00CA56F0"/>
    <w:rsid w:val="00CA5D23"/>
    <w:rsid w:val="00CA5F4B"/>
    <w:rsid w:val="00CA6270"/>
    <w:rsid w:val="00CA6727"/>
    <w:rsid w:val="00CA77AC"/>
    <w:rsid w:val="00CB080F"/>
    <w:rsid w:val="00CB2B51"/>
    <w:rsid w:val="00CB2CF0"/>
    <w:rsid w:val="00CB2FDB"/>
    <w:rsid w:val="00CB3785"/>
    <w:rsid w:val="00CB4C3C"/>
    <w:rsid w:val="00CB708D"/>
    <w:rsid w:val="00CB75B8"/>
    <w:rsid w:val="00CC0E16"/>
    <w:rsid w:val="00CC28FC"/>
    <w:rsid w:val="00CC2A92"/>
    <w:rsid w:val="00CC2FF6"/>
    <w:rsid w:val="00CC35E6"/>
    <w:rsid w:val="00CC36F4"/>
    <w:rsid w:val="00CC47EC"/>
    <w:rsid w:val="00CC5108"/>
    <w:rsid w:val="00CC69D3"/>
    <w:rsid w:val="00CC7511"/>
    <w:rsid w:val="00CC7A0E"/>
    <w:rsid w:val="00CD00F3"/>
    <w:rsid w:val="00CD03EE"/>
    <w:rsid w:val="00CD10B5"/>
    <w:rsid w:val="00CD1F1A"/>
    <w:rsid w:val="00CD2044"/>
    <w:rsid w:val="00CD3A74"/>
    <w:rsid w:val="00CD4989"/>
    <w:rsid w:val="00CD4B71"/>
    <w:rsid w:val="00CD6059"/>
    <w:rsid w:val="00CE0945"/>
    <w:rsid w:val="00CE1A47"/>
    <w:rsid w:val="00CE1F21"/>
    <w:rsid w:val="00CE3054"/>
    <w:rsid w:val="00CE3101"/>
    <w:rsid w:val="00CE3434"/>
    <w:rsid w:val="00CE432F"/>
    <w:rsid w:val="00CE6532"/>
    <w:rsid w:val="00CF0B4D"/>
    <w:rsid w:val="00CF0C18"/>
    <w:rsid w:val="00CF11FB"/>
    <w:rsid w:val="00CF2FD7"/>
    <w:rsid w:val="00CF4439"/>
    <w:rsid w:val="00CF4C37"/>
    <w:rsid w:val="00CF6ACC"/>
    <w:rsid w:val="00CF6E19"/>
    <w:rsid w:val="00D00EBE"/>
    <w:rsid w:val="00D02956"/>
    <w:rsid w:val="00D031C8"/>
    <w:rsid w:val="00D035E2"/>
    <w:rsid w:val="00D079F9"/>
    <w:rsid w:val="00D11BE8"/>
    <w:rsid w:val="00D131FE"/>
    <w:rsid w:val="00D13C79"/>
    <w:rsid w:val="00D16DB3"/>
    <w:rsid w:val="00D173D8"/>
    <w:rsid w:val="00D17DB2"/>
    <w:rsid w:val="00D17EB4"/>
    <w:rsid w:val="00D20BD4"/>
    <w:rsid w:val="00D21553"/>
    <w:rsid w:val="00D22560"/>
    <w:rsid w:val="00D22CD9"/>
    <w:rsid w:val="00D23517"/>
    <w:rsid w:val="00D2362A"/>
    <w:rsid w:val="00D25257"/>
    <w:rsid w:val="00D25879"/>
    <w:rsid w:val="00D2738A"/>
    <w:rsid w:val="00D27DE5"/>
    <w:rsid w:val="00D27F45"/>
    <w:rsid w:val="00D30D1E"/>
    <w:rsid w:val="00D30EE3"/>
    <w:rsid w:val="00D313B8"/>
    <w:rsid w:val="00D316C6"/>
    <w:rsid w:val="00D3240B"/>
    <w:rsid w:val="00D33A83"/>
    <w:rsid w:val="00D34051"/>
    <w:rsid w:val="00D34AA1"/>
    <w:rsid w:val="00D354D4"/>
    <w:rsid w:val="00D361C0"/>
    <w:rsid w:val="00D36485"/>
    <w:rsid w:val="00D36D6C"/>
    <w:rsid w:val="00D37575"/>
    <w:rsid w:val="00D377EE"/>
    <w:rsid w:val="00D408B9"/>
    <w:rsid w:val="00D40DCB"/>
    <w:rsid w:val="00D42DB4"/>
    <w:rsid w:val="00D43619"/>
    <w:rsid w:val="00D45461"/>
    <w:rsid w:val="00D5013B"/>
    <w:rsid w:val="00D52610"/>
    <w:rsid w:val="00D52E35"/>
    <w:rsid w:val="00D5325D"/>
    <w:rsid w:val="00D53DE1"/>
    <w:rsid w:val="00D54B91"/>
    <w:rsid w:val="00D551A2"/>
    <w:rsid w:val="00D55A78"/>
    <w:rsid w:val="00D55D35"/>
    <w:rsid w:val="00D5672E"/>
    <w:rsid w:val="00D61E99"/>
    <w:rsid w:val="00D6263D"/>
    <w:rsid w:val="00D62D03"/>
    <w:rsid w:val="00D63D14"/>
    <w:rsid w:val="00D642EE"/>
    <w:rsid w:val="00D64D36"/>
    <w:rsid w:val="00D6509D"/>
    <w:rsid w:val="00D651B6"/>
    <w:rsid w:val="00D651E5"/>
    <w:rsid w:val="00D653D7"/>
    <w:rsid w:val="00D657DD"/>
    <w:rsid w:val="00D6628A"/>
    <w:rsid w:val="00D6648F"/>
    <w:rsid w:val="00D678FB"/>
    <w:rsid w:val="00D67E43"/>
    <w:rsid w:val="00D701CE"/>
    <w:rsid w:val="00D70E24"/>
    <w:rsid w:val="00D715BE"/>
    <w:rsid w:val="00D73E3E"/>
    <w:rsid w:val="00D75723"/>
    <w:rsid w:val="00D7708D"/>
    <w:rsid w:val="00D77361"/>
    <w:rsid w:val="00D77518"/>
    <w:rsid w:val="00D77DAA"/>
    <w:rsid w:val="00D77E9C"/>
    <w:rsid w:val="00D81934"/>
    <w:rsid w:val="00D836F3"/>
    <w:rsid w:val="00D846FD"/>
    <w:rsid w:val="00D85219"/>
    <w:rsid w:val="00D86115"/>
    <w:rsid w:val="00D86F41"/>
    <w:rsid w:val="00D91129"/>
    <w:rsid w:val="00D91898"/>
    <w:rsid w:val="00D9256C"/>
    <w:rsid w:val="00D93164"/>
    <w:rsid w:val="00D93539"/>
    <w:rsid w:val="00D94280"/>
    <w:rsid w:val="00D94498"/>
    <w:rsid w:val="00D96919"/>
    <w:rsid w:val="00D96F78"/>
    <w:rsid w:val="00DA09C2"/>
    <w:rsid w:val="00DA1B85"/>
    <w:rsid w:val="00DA325A"/>
    <w:rsid w:val="00DA48A6"/>
    <w:rsid w:val="00DA5462"/>
    <w:rsid w:val="00DA6ADA"/>
    <w:rsid w:val="00DA7314"/>
    <w:rsid w:val="00DA732E"/>
    <w:rsid w:val="00DA78C5"/>
    <w:rsid w:val="00DB1AD3"/>
    <w:rsid w:val="00DB1C8A"/>
    <w:rsid w:val="00DB240F"/>
    <w:rsid w:val="00DB2BB6"/>
    <w:rsid w:val="00DB3D6C"/>
    <w:rsid w:val="00DB549E"/>
    <w:rsid w:val="00DB6570"/>
    <w:rsid w:val="00DB6FB9"/>
    <w:rsid w:val="00DB77CB"/>
    <w:rsid w:val="00DB7AEE"/>
    <w:rsid w:val="00DC0BC2"/>
    <w:rsid w:val="00DC0DC9"/>
    <w:rsid w:val="00DC122F"/>
    <w:rsid w:val="00DC24B7"/>
    <w:rsid w:val="00DC3F46"/>
    <w:rsid w:val="00DC46E2"/>
    <w:rsid w:val="00DC4726"/>
    <w:rsid w:val="00DC48F1"/>
    <w:rsid w:val="00DC4C42"/>
    <w:rsid w:val="00DC57CC"/>
    <w:rsid w:val="00DC61D0"/>
    <w:rsid w:val="00DC7DAE"/>
    <w:rsid w:val="00DD047D"/>
    <w:rsid w:val="00DD1A96"/>
    <w:rsid w:val="00DD1EED"/>
    <w:rsid w:val="00DD2525"/>
    <w:rsid w:val="00DD2651"/>
    <w:rsid w:val="00DD297A"/>
    <w:rsid w:val="00DD29C5"/>
    <w:rsid w:val="00DD2A74"/>
    <w:rsid w:val="00DD3EF2"/>
    <w:rsid w:val="00DD4042"/>
    <w:rsid w:val="00DD475D"/>
    <w:rsid w:val="00DD5164"/>
    <w:rsid w:val="00DD57E9"/>
    <w:rsid w:val="00DD60BE"/>
    <w:rsid w:val="00DD63C0"/>
    <w:rsid w:val="00DD7086"/>
    <w:rsid w:val="00DD7EF6"/>
    <w:rsid w:val="00DE1E47"/>
    <w:rsid w:val="00DE3372"/>
    <w:rsid w:val="00DE338B"/>
    <w:rsid w:val="00DE34E0"/>
    <w:rsid w:val="00DE3D0D"/>
    <w:rsid w:val="00DE4E90"/>
    <w:rsid w:val="00DE5B97"/>
    <w:rsid w:val="00DE73FC"/>
    <w:rsid w:val="00DE74DF"/>
    <w:rsid w:val="00DF1DA2"/>
    <w:rsid w:val="00DF1EFC"/>
    <w:rsid w:val="00DF228D"/>
    <w:rsid w:val="00DF46F6"/>
    <w:rsid w:val="00DF574A"/>
    <w:rsid w:val="00DF721D"/>
    <w:rsid w:val="00DF78C4"/>
    <w:rsid w:val="00E00BBC"/>
    <w:rsid w:val="00E02979"/>
    <w:rsid w:val="00E02B41"/>
    <w:rsid w:val="00E02E78"/>
    <w:rsid w:val="00E03965"/>
    <w:rsid w:val="00E05D08"/>
    <w:rsid w:val="00E06531"/>
    <w:rsid w:val="00E0719D"/>
    <w:rsid w:val="00E0782B"/>
    <w:rsid w:val="00E07D5B"/>
    <w:rsid w:val="00E13505"/>
    <w:rsid w:val="00E13C6E"/>
    <w:rsid w:val="00E13C98"/>
    <w:rsid w:val="00E1475B"/>
    <w:rsid w:val="00E14D3B"/>
    <w:rsid w:val="00E15522"/>
    <w:rsid w:val="00E1727B"/>
    <w:rsid w:val="00E205A2"/>
    <w:rsid w:val="00E21D18"/>
    <w:rsid w:val="00E221DE"/>
    <w:rsid w:val="00E2372A"/>
    <w:rsid w:val="00E24CE6"/>
    <w:rsid w:val="00E25064"/>
    <w:rsid w:val="00E252D9"/>
    <w:rsid w:val="00E2572F"/>
    <w:rsid w:val="00E25CE7"/>
    <w:rsid w:val="00E27283"/>
    <w:rsid w:val="00E31596"/>
    <w:rsid w:val="00E345B6"/>
    <w:rsid w:val="00E34C8C"/>
    <w:rsid w:val="00E350EA"/>
    <w:rsid w:val="00E36374"/>
    <w:rsid w:val="00E37F5C"/>
    <w:rsid w:val="00E40863"/>
    <w:rsid w:val="00E410C0"/>
    <w:rsid w:val="00E41396"/>
    <w:rsid w:val="00E43722"/>
    <w:rsid w:val="00E44B0B"/>
    <w:rsid w:val="00E45764"/>
    <w:rsid w:val="00E46BBF"/>
    <w:rsid w:val="00E46D63"/>
    <w:rsid w:val="00E50245"/>
    <w:rsid w:val="00E50492"/>
    <w:rsid w:val="00E5171B"/>
    <w:rsid w:val="00E51738"/>
    <w:rsid w:val="00E51B6C"/>
    <w:rsid w:val="00E532F0"/>
    <w:rsid w:val="00E53D4C"/>
    <w:rsid w:val="00E540C2"/>
    <w:rsid w:val="00E55F13"/>
    <w:rsid w:val="00E55F71"/>
    <w:rsid w:val="00E56389"/>
    <w:rsid w:val="00E61AF2"/>
    <w:rsid w:val="00E62702"/>
    <w:rsid w:val="00E62EF9"/>
    <w:rsid w:val="00E63BC1"/>
    <w:rsid w:val="00E6498B"/>
    <w:rsid w:val="00E64B15"/>
    <w:rsid w:val="00E65000"/>
    <w:rsid w:val="00E650A9"/>
    <w:rsid w:val="00E6517E"/>
    <w:rsid w:val="00E66F1D"/>
    <w:rsid w:val="00E67A5B"/>
    <w:rsid w:val="00E67DEA"/>
    <w:rsid w:val="00E67F5F"/>
    <w:rsid w:val="00E709F0"/>
    <w:rsid w:val="00E72885"/>
    <w:rsid w:val="00E72A0C"/>
    <w:rsid w:val="00E72CEA"/>
    <w:rsid w:val="00E73D1B"/>
    <w:rsid w:val="00E744AF"/>
    <w:rsid w:val="00E746EF"/>
    <w:rsid w:val="00E74E79"/>
    <w:rsid w:val="00E769A1"/>
    <w:rsid w:val="00E76C59"/>
    <w:rsid w:val="00E8119B"/>
    <w:rsid w:val="00E81C2F"/>
    <w:rsid w:val="00E81DC5"/>
    <w:rsid w:val="00E82A5F"/>
    <w:rsid w:val="00E83A9F"/>
    <w:rsid w:val="00E8422B"/>
    <w:rsid w:val="00E84874"/>
    <w:rsid w:val="00E84ED3"/>
    <w:rsid w:val="00E85D99"/>
    <w:rsid w:val="00E86627"/>
    <w:rsid w:val="00E907F2"/>
    <w:rsid w:val="00E93918"/>
    <w:rsid w:val="00E94669"/>
    <w:rsid w:val="00E9469C"/>
    <w:rsid w:val="00E951D8"/>
    <w:rsid w:val="00E9710F"/>
    <w:rsid w:val="00EA0143"/>
    <w:rsid w:val="00EA18CF"/>
    <w:rsid w:val="00EA19C6"/>
    <w:rsid w:val="00EA47D1"/>
    <w:rsid w:val="00EA4A61"/>
    <w:rsid w:val="00EA5D96"/>
    <w:rsid w:val="00EA68B3"/>
    <w:rsid w:val="00EA74E9"/>
    <w:rsid w:val="00EA769E"/>
    <w:rsid w:val="00EB12EB"/>
    <w:rsid w:val="00EB3C68"/>
    <w:rsid w:val="00EB3E33"/>
    <w:rsid w:val="00EB6BB1"/>
    <w:rsid w:val="00EB7257"/>
    <w:rsid w:val="00EC017C"/>
    <w:rsid w:val="00EC0900"/>
    <w:rsid w:val="00EC0A52"/>
    <w:rsid w:val="00EC1596"/>
    <w:rsid w:val="00EC2C51"/>
    <w:rsid w:val="00EC3259"/>
    <w:rsid w:val="00EC34AF"/>
    <w:rsid w:val="00EC4BD7"/>
    <w:rsid w:val="00EC7191"/>
    <w:rsid w:val="00EC7320"/>
    <w:rsid w:val="00ED0F36"/>
    <w:rsid w:val="00ED1116"/>
    <w:rsid w:val="00ED17FE"/>
    <w:rsid w:val="00ED1925"/>
    <w:rsid w:val="00ED201C"/>
    <w:rsid w:val="00ED21A7"/>
    <w:rsid w:val="00ED2DFB"/>
    <w:rsid w:val="00ED2E80"/>
    <w:rsid w:val="00ED4A95"/>
    <w:rsid w:val="00ED6AE8"/>
    <w:rsid w:val="00ED7A05"/>
    <w:rsid w:val="00EE048B"/>
    <w:rsid w:val="00EE1545"/>
    <w:rsid w:val="00EE1C9C"/>
    <w:rsid w:val="00EE2C5B"/>
    <w:rsid w:val="00EE3E86"/>
    <w:rsid w:val="00EE44D9"/>
    <w:rsid w:val="00EE5288"/>
    <w:rsid w:val="00EE5A32"/>
    <w:rsid w:val="00EE712C"/>
    <w:rsid w:val="00EF0639"/>
    <w:rsid w:val="00EF0F30"/>
    <w:rsid w:val="00EF1BF7"/>
    <w:rsid w:val="00EF22CE"/>
    <w:rsid w:val="00EF2CE4"/>
    <w:rsid w:val="00EF377D"/>
    <w:rsid w:val="00EF3910"/>
    <w:rsid w:val="00EF6220"/>
    <w:rsid w:val="00F003CD"/>
    <w:rsid w:val="00F010F3"/>
    <w:rsid w:val="00F015ED"/>
    <w:rsid w:val="00F03B88"/>
    <w:rsid w:val="00F04061"/>
    <w:rsid w:val="00F05A8A"/>
    <w:rsid w:val="00F06699"/>
    <w:rsid w:val="00F07DA7"/>
    <w:rsid w:val="00F11E24"/>
    <w:rsid w:val="00F13117"/>
    <w:rsid w:val="00F132E1"/>
    <w:rsid w:val="00F13906"/>
    <w:rsid w:val="00F13DA7"/>
    <w:rsid w:val="00F14695"/>
    <w:rsid w:val="00F14EB6"/>
    <w:rsid w:val="00F15257"/>
    <w:rsid w:val="00F15848"/>
    <w:rsid w:val="00F15937"/>
    <w:rsid w:val="00F159EA"/>
    <w:rsid w:val="00F1643C"/>
    <w:rsid w:val="00F17A98"/>
    <w:rsid w:val="00F17CB1"/>
    <w:rsid w:val="00F225AA"/>
    <w:rsid w:val="00F2268E"/>
    <w:rsid w:val="00F22FA0"/>
    <w:rsid w:val="00F232CE"/>
    <w:rsid w:val="00F23AA2"/>
    <w:rsid w:val="00F24027"/>
    <w:rsid w:val="00F24E77"/>
    <w:rsid w:val="00F2601A"/>
    <w:rsid w:val="00F27A20"/>
    <w:rsid w:val="00F27C77"/>
    <w:rsid w:val="00F27CBC"/>
    <w:rsid w:val="00F32CCE"/>
    <w:rsid w:val="00F32D76"/>
    <w:rsid w:val="00F3410B"/>
    <w:rsid w:val="00F34361"/>
    <w:rsid w:val="00F35E78"/>
    <w:rsid w:val="00F36772"/>
    <w:rsid w:val="00F37DA6"/>
    <w:rsid w:val="00F37E83"/>
    <w:rsid w:val="00F4162D"/>
    <w:rsid w:val="00F41BD7"/>
    <w:rsid w:val="00F463F8"/>
    <w:rsid w:val="00F46A98"/>
    <w:rsid w:val="00F46ADC"/>
    <w:rsid w:val="00F47909"/>
    <w:rsid w:val="00F47B3E"/>
    <w:rsid w:val="00F47B51"/>
    <w:rsid w:val="00F47C1E"/>
    <w:rsid w:val="00F47F30"/>
    <w:rsid w:val="00F51871"/>
    <w:rsid w:val="00F55011"/>
    <w:rsid w:val="00F55ADF"/>
    <w:rsid w:val="00F5667A"/>
    <w:rsid w:val="00F56910"/>
    <w:rsid w:val="00F57984"/>
    <w:rsid w:val="00F57BE4"/>
    <w:rsid w:val="00F60324"/>
    <w:rsid w:val="00F6094B"/>
    <w:rsid w:val="00F61015"/>
    <w:rsid w:val="00F61255"/>
    <w:rsid w:val="00F612AD"/>
    <w:rsid w:val="00F6272B"/>
    <w:rsid w:val="00F63C01"/>
    <w:rsid w:val="00F64878"/>
    <w:rsid w:val="00F679A4"/>
    <w:rsid w:val="00F67BD6"/>
    <w:rsid w:val="00F67F37"/>
    <w:rsid w:val="00F7091A"/>
    <w:rsid w:val="00F709FE"/>
    <w:rsid w:val="00F7110A"/>
    <w:rsid w:val="00F71C2B"/>
    <w:rsid w:val="00F721F0"/>
    <w:rsid w:val="00F7359F"/>
    <w:rsid w:val="00F73898"/>
    <w:rsid w:val="00F74868"/>
    <w:rsid w:val="00F7587E"/>
    <w:rsid w:val="00F7597C"/>
    <w:rsid w:val="00F765C2"/>
    <w:rsid w:val="00F76B07"/>
    <w:rsid w:val="00F76FF4"/>
    <w:rsid w:val="00F77417"/>
    <w:rsid w:val="00F80541"/>
    <w:rsid w:val="00F80E57"/>
    <w:rsid w:val="00F81867"/>
    <w:rsid w:val="00F81FAA"/>
    <w:rsid w:val="00F824CB"/>
    <w:rsid w:val="00F854B6"/>
    <w:rsid w:val="00F854F4"/>
    <w:rsid w:val="00F85536"/>
    <w:rsid w:val="00F855C9"/>
    <w:rsid w:val="00F87100"/>
    <w:rsid w:val="00F87739"/>
    <w:rsid w:val="00F8785E"/>
    <w:rsid w:val="00F87E79"/>
    <w:rsid w:val="00F905B5"/>
    <w:rsid w:val="00F91383"/>
    <w:rsid w:val="00F92F64"/>
    <w:rsid w:val="00F93450"/>
    <w:rsid w:val="00F94F95"/>
    <w:rsid w:val="00FA05C5"/>
    <w:rsid w:val="00FA0CD8"/>
    <w:rsid w:val="00FA0D53"/>
    <w:rsid w:val="00FA0F21"/>
    <w:rsid w:val="00FA1245"/>
    <w:rsid w:val="00FA3769"/>
    <w:rsid w:val="00FA3C77"/>
    <w:rsid w:val="00FA44E0"/>
    <w:rsid w:val="00FA463B"/>
    <w:rsid w:val="00FA5B5E"/>
    <w:rsid w:val="00FA5C3D"/>
    <w:rsid w:val="00FA6613"/>
    <w:rsid w:val="00FA7224"/>
    <w:rsid w:val="00FA7C98"/>
    <w:rsid w:val="00FA7CDB"/>
    <w:rsid w:val="00FA7E4E"/>
    <w:rsid w:val="00FB101E"/>
    <w:rsid w:val="00FB11AE"/>
    <w:rsid w:val="00FB1309"/>
    <w:rsid w:val="00FB291B"/>
    <w:rsid w:val="00FB34E1"/>
    <w:rsid w:val="00FB3588"/>
    <w:rsid w:val="00FB61C0"/>
    <w:rsid w:val="00FB666A"/>
    <w:rsid w:val="00FB6C46"/>
    <w:rsid w:val="00FB7C3D"/>
    <w:rsid w:val="00FC00FB"/>
    <w:rsid w:val="00FC0C49"/>
    <w:rsid w:val="00FC13C3"/>
    <w:rsid w:val="00FC2F9C"/>
    <w:rsid w:val="00FC390D"/>
    <w:rsid w:val="00FC52D4"/>
    <w:rsid w:val="00FC5AF2"/>
    <w:rsid w:val="00FC6904"/>
    <w:rsid w:val="00FC70DE"/>
    <w:rsid w:val="00FC73CC"/>
    <w:rsid w:val="00FC7F8F"/>
    <w:rsid w:val="00FD0927"/>
    <w:rsid w:val="00FD3023"/>
    <w:rsid w:val="00FD30B3"/>
    <w:rsid w:val="00FD3A59"/>
    <w:rsid w:val="00FD3DEE"/>
    <w:rsid w:val="00FD4AB3"/>
    <w:rsid w:val="00FD5A09"/>
    <w:rsid w:val="00FD618E"/>
    <w:rsid w:val="00FD7776"/>
    <w:rsid w:val="00FD7BA6"/>
    <w:rsid w:val="00FD7BB2"/>
    <w:rsid w:val="00FE08C8"/>
    <w:rsid w:val="00FE44C7"/>
    <w:rsid w:val="00FE6764"/>
    <w:rsid w:val="00FE68EC"/>
    <w:rsid w:val="00FE7542"/>
    <w:rsid w:val="00FF01A1"/>
    <w:rsid w:val="00FF0AE8"/>
    <w:rsid w:val="00FF13BD"/>
    <w:rsid w:val="00FF38CF"/>
    <w:rsid w:val="00FF4D42"/>
    <w:rsid w:val="00FF5049"/>
    <w:rsid w:val="00FF5210"/>
    <w:rsid w:val="0112863C"/>
    <w:rsid w:val="013D3E51"/>
    <w:rsid w:val="01ADC79E"/>
    <w:rsid w:val="020442EA"/>
    <w:rsid w:val="023AA37B"/>
    <w:rsid w:val="0240C387"/>
    <w:rsid w:val="025F577C"/>
    <w:rsid w:val="0268D914"/>
    <w:rsid w:val="03D177FA"/>
    <w:rsid w:val="040324E0"/>
    <w:rsid w:val="04157372"/>
    <w:rsid w:val="04AB5242"/>
    <w:rsid w:val="04F76B6D"/>
    <w:rsid w:val="051AA5F1"/>
    <w:rsid w:val="05477C78"/>
    <w:rsid w:val="0584AEC1"/>
    <w:rsid w:val="076AD15D"/>
    <w:rsid w:val="081D89BC"/>
    <w:rsid w:val="0972C5CC"/>
    <w:rsid w:val="09900D22"/>
    <w:rsid w:val="0A8E296C"/>
    <w:rsid w:val="0AA801A0"/>
    <w:rsid w:val="0B276C58"/>
    <w:rsid w:val="0C8FBFCE"/>
    <w:rsid w:val="0D8DE714"/>
    <w:rsid w:val="0DEB867E"/>
    <w:rsid w:val="0E1E0E93"/>
    <w:rsid w:val="0F41CCF3"/>
    <w:rsid w:val="0F5BEAAC"/>
    <w:rsid w:val="0F83C73C"/>
    <w:rsid w:val="0FB534D5"/>
    <w:rsid w:val="0FFAA9CE"/>
    <w:rsid w:val="10055F10"/>
    <w:rsid w:val="11510536"/>
    <w:rsid w:val="11511951"/>
    <w:rsid w:val="11DA21A3"/>
    <w:rsid w:val="130D5E0B"/>
    <w:rsid w:val="1368AED1"/>
    <w:rsid w:val="144F7CBF"/>
    <w:rsid w:val="14981638"/>
    <w:rsid w:val="14BFA2A1"/>
    <w:rsid w:val="14FD7653"/>
    <w:rsid w:val="153CEB65"/>
    <w:rsid w:val="157B9561"/>
    <w:rsid w:val="15C3717B"/>
    <w:rsid w:val="1631F28A"/>
    <w:rsid w:val="16BF432D"/>
    <w:rsid w:val="17728851"/>
    <w:rsid w:val="17D630C3"/>
    <w:rsid w:val="18398D41"/>
    <w:rsid w:val="186413A1"/>
    <w:rsid w:val="1902A1EE"/>
    <w:rsid w:val="197541E2"/>
    <w:rsid w:val="19BC69F6"/>
    <w:rsid w:val="1A264028"/>
    <w:rsid w:val="1B6F0DBB"/>
    <w:rsid w:val="1BCBFE17"/>
    <w:rsid w:val="1BE2C894"/>
    <w:rsid w:val="1C18778F"/>
    <w:rsid w:val="1D3A927F"/>
    <w:rsid w:val="1D5B5246"/>
    <w:rsid w:val="1DCB4A99"/>
    <w:rsid w:val="1DD92B71"/>
    <w:rsid w:val="1DED88E0"/>
    <w:rsid w:val="1DF45425"/>
    <w:rsid w:val="1E20AA4C"/>
    <w:rsid w:val="1F0233E2"/>
    <w:rsid w:val="1F6FC2F5"/>
    <w:rsid w:val="20A9D30B"/>
    <w:rsid w:val="21B34AF6"/>
    <w:rsid w:val="21BC7FDC"/>
    <w:rsid w:val="22BA7581"/>
    <w:rsid w:val="22F59E60"/>
    <w:rsid w:val="24966C96"/>
    <w:rsid w:val="249E89CE"/>
    <w:rsid w:val="2511DB82"/>
    <w:rsid w:val="25582C65"/>
    <w:rsid w:val="25658814"/>
    <w:rsid w:val="28D0D809"/>
    <w:rsid w:val="2A8011D2"/>
    <w:rsid w:val="2B78DAD1"/>
    <w:rsid w:val="2B94459C"/>
    <w:rsid w:val="2BD5865D"/>
    <w:rsid w:val="2C8720C3"/>
    <w:rsid w:val="2CB39060"/>
    <w:rsid w:val="2DB04C99"/>
    <w:rsid w:val="2E0629A8"/>
    <w:rsid w:val="2EED058C"/>
    <w:rsid w:val="2FD07D04"/>
    <w:rsid w:val="309D6EF4"/>
    <w:rsid w:val="313C8B8A"/>
    <w:rsid w:val="329FE10C"/>
    <w:rsid w:val="32A8ABAB"/>
    <w:rsid w:val="3417D5EE"/>
    <w:rsid w:val="346E0629"/>
    <w:rsid w:val="34BBC50D"/>
    <w:rsid w:val="34DC1C1C"/>
    <w:rsid w:val="34E20C3E"/>
    <w:rsid w:val="3529D04C"/>
    <w:rsid w:val="3571705C"/>
    <w:rsid w:val="357E686D"/>
    <w:rsid w:val="3659C8C2"/>
    <w:rsid w:val="37481F17"/>
    <w:rsid w:val="37CFA857"/>
    <w:rsid w:val="37FEBF36"/>
    <w:rsid w:val="39516DA0"/>
    <w:rsid w:val="39B36BBD"/>
    <w:rsid w:val="3A3564D1"/>
    <w:rsid w:val="3ABAB692"/>
    <w:rsid w:val="3B3AF1C2"/>
    <w:rsid w:val="3B559512"/>
    <w:rsid w:val="3B825F6F"/>
    <w:rsid w:val="3C894EFC"/>
    <w:rsid w:val="3D6E5D4F"/>
    <w:rsid w:val="3D75953D"/>
    <w:rsid w:val="3DB0EE0E"/>
    <w:rsid w:val="3DCB4589"/>
    <w:rsid w:val="3E401F89"/>
    <w:rsid w:val="3EF7CC6D"/>
    <w:rsid w:val="3F16B7E3"/>
    <w:rsid w:val="3F2134B2"/>
    <w:rsid w:val="3FA4C76A"/>
    <w:rsid w:val="3FDB73AC"/>
    <w:rsid w:val="3FEBB88D"/>
    <w:rsid w:val="414ECDA6"/>
    <w:rsid w:val="41EAE926"/>
    <w:rsid w:val="42338CB1"/>
    <w:rsid w:val="42D9907C"/>
    <w:rsid w:val="43235AA0"/>
    <w:rsid w:val="441D34FE"/>
    <w:rsid w:val="447560DD"/>
    <w:rsid w:val="44F8DB51"/>
    <w:rsid w:val="4542BA41"/>
    <w:rsid w:val="45758F06"/>
    <w:rsid w:val="45BAEA9C"/>
    <w:rsid w:val="45F59218"/>
    <w:rsid w:val="4631B3A2"/>
    <w:rsid w:val="4768D983"/>
    <w:rsid w:val="47A3ABD0"/>
    <w:rsid w:val="4840F451"/>
    <w:rsid w:val="49F0FEA1"/>
    <w:rsid w:val="4A25C141"/>
    <w:rsid w:val="4A4DC437"/>
    <w:rsid w:val="4A57E173"/>
    <w:rsid w:val="4B1E3DEA"/>
    <w:rsid w:val="4BB30BC3"/>
    <w:rsid w:val="4C90F3F1"/>
    <w:rsid w:val="4CC21537"/>
    <w:rsid w:val="4CDF2725"/>
    <w:rsid w:val="4D621706"/>
    <w:rsid w:val="4DA9CD65"/>
    <w:rsid w:val="4DB238F0"/>
    <w:rsid w:val="4E5A68B3"/>
    <w:rsid w:val="509F12F9"/>
    <w:rsid w:val="50D6AC64"/>
    <w:rsid w:val="51035ED5"/>
    <w:rsid w:val="52D656D0"/>
    <w:rsid w:val="542401DF"/>
    <w:rsid w:val="54FB8BA6"/>
    <w:rsid w:val="551D6495"/>
    <w:rsid w:val="5524F010"/>
    <w:rsid w:val="55664111"/>
    <w:rsid w:val="55AA3802"/>
    <w:rsid w:val="56D99AD3"/>
    <w:rsid w:val="57214D4C"/>
    <w:rsid w:val="57BEBA6F"/>
    <w:rsid w:val="57E29ADA"/>
    <w:rsid w:val="5895D7BC"/>
    <w:rsid w:val="59FB7C86"/>
    <w:rsid w:val="5A47937C"/>
    <w:rsid w:val="5A778297"/>
    <w:rsid w:val="5AC124AB"/>
    <w:rsid w:val="5AD16210"/>
    <w:rsid w:val="5B75B971"/>
    <w:rsid w:val="5C7F29AE"/>
    <w:rsid w:val="5C9876FC"/>
    <w:rsid w:val="5CDD06FA"/>
    <w:rsid w:val="5E0CF5B1"/>
    <w:rsid w:val="5EB4DD09"/>
    <w:rsid w:val="5F4CB1B2"/>
    <w:rsid w:val="5F8A7480"/>
    <w:rsid w:val="6097C58A"/>
    <w:rsid w:val="60DFF13D"/>
    <w:rsid w:val="61A7F3CA"/>
    <w:rsid w:val="628A930B"/>
    <w:rsid w:val="63CAC225"/>
    <w:rsid w:val="645131CD"/>
    <w:rsid w:val="64A02928"/>
    <w:rsid w:val="653B8F4C"/>
    <w:rsid w:val="654195C4"/>
    <w:rsid w:val="657FF872"/>
    <w:rsid w:val="668AE3A3"/>
    <w:rsid w:val="66B52C77"/>
    <w:rsid w:val="6786A087"/>
    <w:rsid w:val="67DCB34F"/>
    <w:rsid w:val="6947B441"/>
    <w:rsid w:val="6951EC2A"/>
    <w:rsid w:val="6AF1CDB0"/>
    <w:rsid w:val="6B50987C"/>
    <w:rsid w:val="6C1646E2"/>
    <w:rsid w:val="6C825722"/>
    <w:rsid w:val="6CB9B634"/>
    <w:rsid w:val="6CBB6901"/>
    <w:rsid w:val="6CC3BFC9"/>
    <w:rsid w:val="6EED30B4"/>
    <w:rsid w:val="6F276ADF"/>
    <w:rsid w:val="6F4CB4CA"/>
    <w:rsid w:val="6F6C4A21"/>
    <w:rsid w:val="70219DF8"/>
    <w:rsid w:val="712BBB06"/>
    <w:rsid w:val="7141268F"/>
    <w:rsid w:val="715A2DEA"/>
    <w:rsid w:val="71DA163E"/>
    <w:rsid w:val="729040C0"/>
    <w:rsid w:val="72B9D736"/>
    <w:rsid w:val="73D669C6"/>
    <w:rsid w:val="73F5C70A"/>
    <w:rsid w:val="7452C428"/>
    <w:rsid w:val="75173181"/>
    <w:rsid w:val="7530803D"/>
    <w:rsid w:val="75A3F5B5"/>
    <w:rsid w:val="75FAB1A1"/>
    <w:rsid w:val="7602D763"/>
    <w:rsid w:val="7825E398"/>
    <w:rsid w:val="7843DF3C"/>
    <w:rsid w:val="78CDDFFC"/>
    <w:rsid w:val="7964E0D1"/>
    <w:rsid w:val="797C829C"/>
    <w:rsid w:val="79B55F17"/>
    <w:rsid w:val="79C3816A"/>
    <w:rsid w:val="7AF2DD3B"/>
    <w:rsid w:val="7B17CD17"/>
    <w:rsid w:val="7B569C1B"/>
    <w:rsid w:val="7BAE0BCA"/>
    <w:rsid w:val="7BF4A0E8"/>
    <w:rsid w:val="7C4EC425"/>
    <w:rsid w:val="7CA9E64C"/>
    <w:rsid w:val="7E42B67C"/>
    <w:rsid w:val="7F570985"/>
    <w:rsid w:val="7FF2ED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867577"/>
  <w15:chartTrackingRefBased/>
  <w15:docId w15:val="{0D0734AB-7809-402F-B388-6B103543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94498"/>
    <w:pPr>
      <w:spacing w:after="0" w:line="260" w:lineRule="exact"/>
    </w:pPr>
    <w:rPr>
      <w:rFonts w:ascii="Arial" w:eastAsia="Times New Roman" w:hAnsi="Arial" w:cs="Times New Roman"/>
      <w:sz w:val="20"/>
      <w:szCs w:val="24"/>
      <w:lang w:val="en-US"/>
    </w:rPr>
  </w:style>
  <w:style w:type="paragraph" w:styleId="Naslov1">
    <w:name w:val="heading 1"/>
    <w:basedOn w:val="Navaden"/>
    <w:link w:val="Naslov1Znak"/>
    <w:uiPriority w:val="9"/>
    <w:qFormat/>
    <w:rsid w:val="00127F9B"/>
    <w:pPr>
      <w:spacing w:before="75" w:after="150" w:line="540" w:lineRule="atLeast"/>
      <w:outlineLvl w:val="0"/>
    </w:pPr>
    <w:rPr>
      <w:rFonts w:ascii="Roboto" w:hAnsi="Roboto" w:cs="Arial"/>
      <w:color w:val="231F20"/>
      <w:kern w:val="36"/>
      <w:sz w:val="42"/>
      <w:szCs w:val="42"/>
      <w:lang w:val="sl-SI" w:eastAsia="sl-SI"/>
    </w:rPr>
  </w:style>
  <w:style w:type="paragraph" w:styleId="Naslov2">
    <w:name w:val="heading 2"/>
    <w:basedOn w:val="Navaden"/>
    <w:next w:val="Navaden"/>
    <w:link w:val="Naslov2Znak"/>
    <w:uiPriority w:val="9"/>
    <w:unhideWhenUsed/>
    <w:qFormat/>
    <w:rsid w:val="00C21161"/>
    <w:pPr>
      <w:keepNext/>
      <w:keepLines/>
      <w:spacing w:before="40"/>
      <w:outlineLvl w:val="1"/>
    </w:pPr>
    <w:rPr>
      <w:rFonts w:ascii="Century Gothic" w:eastAsiaTheme="majorEastAsia" w:hAnsi="Century Gothic" w:cstheme="majorBidi"/>
      <w:color w:val="000000" w:themeColor="text1"/>
      <w:sz w:val="22"/>
      <w:szCs w:val="26"/>
    </w:rPr>
  </w:style>
  <w:style w:type="paragraph" w:styleId="Naslov3">
    <w:name w:val="heading 3"/>
    <w:basedOn w:val="Navaden"/>
    <w:next w:val="Navaden"/>
    <w:link w:val="Naslov3Znak"/>
    <w:uiPriority w:val="9"/>
    <w:unhideWhenUsed/>
    <w:qFormat/>
    <w:rsid w:val="000546B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dpisi">
    <w:name w:val="podpisi"/>
    <w:basedOn w:val="Navaden"/>
    <w:qFormat/>
    <w:rsid w:val="00D94498"/>
    <w:pPr>
      <w:tabs>
        <w:tab w:val="left" w:pos="3402"/>
      </w:tabs>
    </w:pPr>
    <w:rPr>
      <w:lang w:val="it-IT"/>
    </w:rPr>
  </w:style>
  <w:style w:type="table" w:styleId="Tabelamrea">
    <w:name w:val="Table Grid"/>
    <w:basedOn w:val="Navadnatabela"/>
    <w:uiPriority w:val="39"/>
    <w:rsid w:val="00D94498"/>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rsid w:val="00D94498"/>
    <w:rPr>
      <w:sz w:val="16"/>
      <w:szCs w:val="16"/>
    </w:rPr>
  </w:style>
  <w:style w:type="paragraph" w:styleId="Pripombabesedilo">
    <w:name w:val="annotation text"/>
    <w:basedOn w:val="Navaden"/>
    <w:link w:val="PripombabesediloZnak"/>
    <w:uiPriority w:val="99"/>
    <w:rsid w:val="00D94498"/>
    <w:pPr>
      <w:spacing w:line="240" w:lineRule="auto"/>
    </w:pPr>
    <w:rPr>
      <w:szCs w:val="20"/>
    </w:rPr>
  </w:style>
  <w:style w:type="character" w:customStyle="1" w:styleId="PripombabesediloZnak">
    <w:name w:val="Pripomba – besedilo Znak"/>
    <w:basedOn w:val="Privzetapisavaodstavka"/>
    <w:link w:val="Pripombabesedilo"/>
    <w:uiPriority w:val="99"/>
    <w:rsid w:val="00D94498"/>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D9449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4498"/>
    <w:rPr>
      <w:rFonts w:ascii="Segoe UI" w:eastAsia="Times New Roman" w:hAnsi="Segoe UI" w:cs="Segoe UI"/>
      <w:sz w:val="18"/>
      <w:szCs w:val="18"/>
      <w:lang w:val="en-US"/>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
    <w:basedOn w:val="Navaden"/>
    <w:link w:val="OdstavekseznamaZnak"/>
    <w:uiPriority w:val="34"/>
    <w:qFormat/>
    <w:rsid w:val="00956269"/>
    <w:pPr>
      <w:spacing w:after="160" w:line="259" w:lineRule="auto"/>
      <w:ind w:left="720"/>
      <w:contextualSpacing/>
    </w:pPr>
    <w:rPr>
      <w:rFonts w:asciiTheme="minorHAnsi" w:eastAsiaTheme="minorHAnsi" w:hAnsiTheme="minorHAnsi" w:cstheme="minorBidi"/>
      <w:sz w:val="22"/>
      <w:szCs w:val="22"/>
      <w:lang w:val="sl-SI"/>
    </w:rPr>
  </w:style>
  <w:style w:type="paragraph" w:customStyle="1" w:styleId="Default">
    <w:name w:val="Default"/>
    <w:rsid w:val="009F1506"/>
    <w:pPr>
      <w:autoSpaceDE w:val="0"/>
      <w:autoSpaceDN w:val="0"/>
      <w:adjustRightInd w:val="0"/>
      <w:spacing w:after="0" w:line="240" w:lineRule="auto"/>
    </w:pPr>
    <w:rPr>
      <w:rFonts w:ascii="EUAlbertina" w:hAnsi="EUAlbertina" w:cs="EUAlbertina"/>
      <w:color w:val="000000"/>
      <w:sz w:val="24"/>
      <w:szCs w:val="24"/>
    </w:rPr>
  </w:style>
  <w:style w:type="paragraph" w:styleId="Zadevapripombe">
    <w:name w:val="annotation subject"/>
    <w:basedOn w:val="Pripombabesedilo"/>
    <w:next w:val="Pripombabesedilo"/>
    <w:link w:val="ZadevapripombeZnak"/>
    <w:uiPriority w:val="99"/>
    <w:semiHidden/>
    <w:unhideWhenUsed/>
    <w:rsid w:val="00FA0CD8"/>
    <w:rPr>
      <w:b/>
      <w:bCs/>
    </w:rPr>
  </w:style>
  <w:style w:type="character" w:customStyle="1" w:styleId="ZadevapripombeZnak">
    <w:name w:val="Zadeva pripombe Znak"/>
    <w:basedOn w:val="PripombabesediloZnak"/>
    <w:link w:val="Zadevapripombe"/>
    <w:uiPriority w:val="99"/>
    <w:semiHidden/>
    <w:rsid w:val="00FA0CD8"/>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127F9B"/>
    <w:rPr>
      <w:rFonts w:ascii="Roboto" w:eastAsia="Times New Roman" w:hAnsi="Roboto" w:cs="Arial"/>
      <w:color w:val="231F20"/>
      <w:kern w:val="36"/>
      <w:sz w:val="42"/>
      <w:szCs w:val="42"/>
      <w:lang w:eastAsia="sl-SI"/>
    </w:rPr>
  </w:style>
  <w:style w:type="character" w:styleId="Krepko">
    <w:name w:val="Strong"/>
    <w:basedOn w:val="Privzetapisavaodstavka"/>
    <w:uiPriority w:val="22"/>
    <w:qFormat/>
    <w:rsid w:val="00F06699"/>
    <w:rPr>
      <w:b/>
      <w:bCs/>
    </w:rPr>
  </w:style>
  <w:style w:type="character" w:customStyle="1" w:styleId="blue2">
    <w:name w:val="blue2"/>
    <w:basedOn w:val="Privzetapisavaodstavka"/>
    <w:rsid w:val="00F06699"/>
    <w:rPr>
      <w:color w:val="0971CE"/>
    </w:rPr>
  </w:style>
  <w:style w:type="paragraph" w:styleId="Naslov">
    <w:name w:val="Title"/>
    <w:basedOn w:val="Naslov1"/>
    <w:next w:val="Navaden"/>
    <w:link w:val="NaslovZnak"/>
    <w:qFormat/>
    <w:rsid w:val="00203492"/>
    <w:pPr>
      <w:keepNext/>
      <w:numPr>
        <w:numId w:val="8"/>
      </w:numPr>
      <w:spacing w:before="240" w:after="0" w:line="260" w:lineRule="exact"/>
      <w:contextualSpacing/>
    </w:pPr>
    <w:rPr>
      <w:rFonts w:ascii="Arial" w:hAnsi="Arial" w:cs="Times New Roman"/>
      <w:b/>
      <w:color w:val="auto"/>
      <w:spacing w:val="-10"/>
      <w:kern w:val="28"/>
      <w:sz w:val="20"/>
      <w:szCs w:val="56"/>
    </w:rPr>
  </w:style>
  <w:style w:type="character" w:customStyle="1" w:styleId="NaslovZnak">
    <w:name w:val="Naslov Znak"/>
    <w:basedOn w:val="Privzetapisavaodstavka"/>
    <w:link w:val="Naslov"/>
    <w:rsid w:val="00203492"/>
    <w:rPr>
      <w:rFonts w:ascii="Arial" w:eastAsia="Times New Roman" w:hAnsi="Arial" w:cs="Times New Roman"/>
      <w:b/>
      <w:spacing w:val="-10"/>
      <w:kern w:val="28"/>
      <w:sz w:val="20"/>
      <w:szCs w:val="56"/>
      <w:lang w:eastAsia="sl-SI"/>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
    <w:basedOn w:val="Privzetapisavaodstavka"/>
    <w:link w:val="Odstavekseznama"/>
    <w:uiPriority w:val="34"/>
    <w:qFormat/>
    <w:locked/>
    <w:rsid w:val="00B155E6"/>
  </w:style>
  <w:style w:type="paragraph" w:styleId="Revizija">
    <w:name w:val="Revision"/>
    <w:hidden/>
    <w:uiPriority w:val="99"/>
    <w:semiHidden/>
    <w:rsid w:val="008568BE"/>
    <w:pPr>
      <w:spacing w:after="0" w:line="240" w:lineRule="auto"/>
    </w:pPr>
    <w:rPr>
      <w:rFonts w:ascii="Arial" w:eastAsia="Times New Roman" w:hAnsi="Arial" w:cs="Times New Roman"/>
      <w:sz w:val="20"/>
      <w:szCs w:val="24"/>
      <w:lang w:val="en-US"/>
    </w:rPr>
  </w:style>
  <w:style w:type="paragraph" w:styleId="Navadensplet">
    <w:name w:val="Normal (Web)"/>
    <w:basedOn w:val="Navaden"/>
    <w:uiPriority w:val="99"/>
    <w:unhideWhenUsed/>
    <w:rsid w:val="00984B29"/>
    <w:pPr>
      <w:spacing w:after="120" w:line="240" w:lineRule="auto"/>
    </w:pPr>
    <w:rPr>
      <w:rFonts w:ascii="Times New Roman" w:hAnsi="Times New Roman"/>
      <w:color w:val="162C4B"/>
      <w:sz w:val="24"/>
      <w:lang w:val="sl-SI" w:eastAsia="sl-SI"/>
    </w:rPr>
  </w:style>
  <w:style w:type="character" w:customStyle="1" w:styleId="Naslov2Znak">
    <w:name w:val="Naslov 2 Znak"/>
    <w:basedOn w:val="Privzetapisavaodstavka"/>
    <w:link w:val="Naslov2"/>
    <w:uiPriority w:val="9"/>
    <w:rsid w:val="00C21161"/>
    <w:rPr>
      <w:rFonts w:ascii="Century Gothic" w:eastAsiaTheme="majorEastAsia" w:hAnsi="Century Gothic" w:cstheme="majorBidi"/>
      <w:color w:val="000000" w:themeColor="text1"/>
      <w:szCs w:val="26"/>
      <w:lang w:val="en-US"/>
    </w:rPr>
  </w:style>
  <w:style w:type="paragraph" w:styleId="NaslovTOC">
    <w:name w:val="TOC Heading"/>
    <w:basedOn w:val="Naslov1"/>
    <w:next w:val="Navaden"/>
    <w:uiPriority w:val="39"/>
    <w:unhideWhenUsed/>
    <w:qFormat/>
    <w:rsid w:val="00127F9B"/>
    <w:pPr>
      <w:keepNext/>
      <w:keepLines/>
      <w:spacing w:before="240" w:after="0" w:line="259" w:lineRule="auto"/>
      <w:outlineLvl w:val="9"/>
    </w:pPr>
    <w:rPr>
      <w:rFonts w:asciiTheme="majorHAnsi" w:eastAsiaTheme="majorEastAsia" w:hAnsiTheme="majorHAnsi" w:cstheme="majorBidi"/>
      <w:color w:val="2F5496" w:themeColor="accent1" w:themeShade="BF"/>
      <w:kern w:val="0"/>
      <w:sz w:val="32"/>
      <w:szCs w:val="32"/>
    </w:rPr>
  </w:style>
  <w:style w:type="paragraph" w:styleId="Kazalovsebine2">
    <w:name w:val="toc 2"/>
    <w:basedOn w:val="Navaden"/>
    <w:next w:val="Navaden"/>
    <w:autoRedefine/>
    <w:uiPriority w:val="39"/>
    <w:unhideWhenUsed/>
    <w:rsid w:val="006B5CF3"/>
    <w:pPr>
      <w:tabs>
        <w:tab w:val="right" w:leader="dot" w:pos="9062"/>
      </w:tabs>
      <w:spacing w:after="100" w:line="259" w:lineRule="auto"/>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1D2BDE"/>
    <w:pPr>
      <w:tabs>
        <w:tab w:val="left" w:pos="440"/>
        <w:tab w:val="right" w:leader="dot" w:pos="9062"/>
      </w:tabs>
      <w:spacing w:after="100" w:line="259" w:lineRule="auto"/>
    </w:pPr>
    <w:rPr>
      <w:rFonts w:ascii="Century Gothic" w:eastAsiaTheme="minorEastAsia" w:hAnsi="Century Gothic"/>
      <w:noProof/>
      <w:sz w:val="22"/>
      <w:szCs w:val="22"/>
      <w:lang w:val="sl-SI" w:eastAsia="sl-SI"/>
    </w:rPr>
  </w:style>
  <w:style w:type="paragraph" w:styleId="Kazalovsebine3">
    <w:name w:val="toc 3"/>
    <w:basedOn w:val="Navaden"/>
    <w:next w:val="Navaden"/>
    <w:autoRedefine/>
    <w:uiPriority w:val="39"/>
    <w:unhideWhenUsed/>
    <w:rsid w:val="003972F4"/>
    <w:pPr>
      <w:tabs>
        <w:tab w:val="left" w:pos="1320"/>
        <w:tab w:val="right" w:leader="dot" w:pos="9062"/>
      </w:tabs>
      <w:spacing w:after="100" w:line="259" w:lineRule="auto"/>
    </w:pPr>
    <w:rPr>
      <w:rFonts w:asciiTheme="minorHAnsi" w:eastAsiaTheme="minorEastAsia" w:hAnsiTheme="minorHAnsi" w:cstheme="minorHAnsi"/>
      <w:noProof/>
      <w:sz w:val="22"/>
      <w:szCs w:val="22"/>
      <w:lang w:val="sl-SI" w:eastAsia="sl-SI"/>
    </w:rPr>
  </w:style>
  <w:style w:type="character" w:styleId="Hiperpovezava">
    <w:name w:val="Hyperlink"/>
    <w:basedOn w:val="Privzetapisavaodstavka"/>
    <w:uiPriority w:val="99"/>
    <w:unhideWhenUsed/>
    <w:rsid w:val="00127F9B"/>
    <w:rPr>
      <w:color w:val="0563C1" w:themeColor="hyperlink"/>
      <w:u w:val="single"/>
    </w:rPr>
  </w:style>
  <w:style w:type="paragraph" w:styleId="Glava">
    <w:name w:val="header"/>
    <w:basedOn w:val="Navaden"/>
    <w:link w:val="GlavaZnak"/>
    <w:unhideWhenUsed/>
    <w:rsid w:val="00491613"/>
    <w:pPr>
      <w:tabs>
        <w:tab w:val="center" w:pos="4536"/>
        <w:tab w:val="right" w:pos="9072"/>
      </w:tabs>
      <w:spacing w:line="240" w:lineRule="auto"/>
    </w:pPr>
  </w:style>
  <w:style w:type="character" w:customStyle="1" w:styleId="GlavaZnak">
    <w:name w:val="Glava Znak"/>
    <w:basedOn w:val="Privzetapisavaodstavka"/>
    <w:link w:val="Glava"/>
    <w:rsid w:val="00491613"/>
    <w:rPr>
      <w:rFonts w:ascii="Arial" w:eastAsia="Times New Roman" w:hAnsi="Arial" w:cs="Times New Roman"/>
      <w:sz w:val="20"/>
      <w:szCs w:val="24"/>
      <w:lang w:val="en-US"/>
    </w:rPr>
  </w:style>
  <w:style w:type="paragraph" w:styleId="Noga">
    <w:name w:val="footer"/>
    <w:basedOn w:val="Navaden"/>
    <w:link w:val="NogaZnak"/>
    <w:uiPriority w:val="99"/>
    <w:unhideWhenUsed/>
    <w:rsid w:val="00491613"/>
    <w:pPr>
      <w:tabs>
        <w:tab w:val="center" w:pos="4536"/>
        <w:tab w:val="right" w:pos="9072"/>
      </w:tabs>
      <w:spacing w:line="240" w:lineRule="auto"/>
    </w:pPr>
  </w:style>
  <w:style w:type="character" w:customStyle="1" w:styleId="NogaZnak">
    <w:name w:val="Noga Znak"/>
    <w:basedOn w:val="Privzetapisavaodstavka"/>
    <w:link w:val="Noga"/>
    <w:uiPriority w:val="99"/>
    <w:rsid w:val="00491613"/>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861B5F"/>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861B5F"/>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861B5F"/>
    <w:rPr>
      <w:vertAlign w:val="superscript"/>
    </w:rPr>
  </w:style>
  <w:style w:type="character" w:customStyle="1" w:styleId="Nerazreenaomemba1">
    <w:name w:val="Nerazrešena omemba1"/>
    <w:basedOn w:val="Privzetapisavaodstavka"/>
    <w:uiPriority w:val="99"/>
    <w:semiHidden/>
    <w:unhideWhenUsed/>
    <w:rsid w:val="00CD6059"/>
    <w:rPr>
      <w:color w:val="605E5C"/>
      <w:shd w:val="clear" w:color="auto" w:fill="E1DFDD"/>
    </w:rPr>
  </w:style>
  <w:style w:type="character" w:styleId="SledenaHiperpovezava">
    <w:name w:val="FollowedHyperlink"/>
    <w:basedOn w:val="Privzetapisavaodstavka"/>
    <w:uiPriority w:val="99"/>
    <w:semiHidden/>
    <w:unhideWhenUsed/>
    <w:rsid w:val="006F3DE6"/>
    <w:rPr>
      <w:color w:val="954F72" w:themeColor="followedHyperlink"/>
      <w:u w:val="single"/>
    </w:rPr>
  </w:style>
  <w:style w:type="character" w:styleId="Poudarek">
    <w:name w:val="Emphasis"/>
    <w:basedOn w:val="Privzetapisavaodstavka"/>
    <w:uiPriority w:val="20"/>
    <w:qFormat/>
    <w:rsid w:val="005930E6"/>
    <w:rPr>
      <w:i/>
      <w:iCs/>
    </w:rPr>
  </w:style>
  <w:style w:type="character" w:customStyle="1" w:styleId="Naslov3Znak">
    <w:name w:val="Naslov 3 Znak"/>
    <w:basedOn w:val="Privzetapisavaodstavka"/>
    <w:link w:val="Naslov3"/>
    <w:uiPriority w:val="9"/>
    <w:rsid w:val="000546B1"/>
    <w:rPr>
      <w:rFonts w:asciiTheme="majorHAnsi" w:eastAsiaTheme="majorEastAsia" w:hAnsiTheme="majorHAnsi" w:cstheme="majorBidi"/>
      <w:color w:val="1F3763" w:themeColor="accent1" w:themeShade="7F"/>
      <w:sz w:val="24"/>
      <w:szCs w:val="24"/>
      <w:lang w:val="en-US"/>
    </w:rPr>
  </w:style>
  <w:style w:type="paragraph" w:customStyle="1" w:styleId="article-paragraph">
    <w:name w:val="article-paragraph"/>
    <w:basedOn w:val="Navaden"/>
    <w:rsid w:val="006529E6"/>
    <w:pPr>
      <w:spacing w:before="100" w:beforeAutospacing="1" w:after="100" w:afterAutospacing="1" w:line="240" w:lineRule="auto"/>
    </w:pPr>
    <w:rPr>
      <w:rFonts w:ascii="Times New Roman" w:hAnsi="Times New Roman"/>
      <w:sz w:val="24"/>
      <w:lang w:val="sl-SI" w:eastAsia="sl-SI"/>
    </w:rPr>
  </w:style>
  <w:style w:type="numbering" w:customStyle="1" w:styleId="Slog1">
    <w:name w:val="Slog1"/>
    <w:uiPriority w:val="99"/>
    <w:rsid w:val="00CB2FDB"/>
    <w:pPr>
      <w:numPr>
        <w:numId w:val="39"/>
      </w:numPr>
    </w:pPr>
  </w:style>
  <w:style w:type="paragraph" w:customStyle="1" w:styleId="datumtevilka">
    <w:name w:val="datum številka"/>
    <w:basedOn w:val="Navaden"/>
    <w:qFormat/>
    <w:rsid w:val="001D0423"/>
    <w:pPr>
      <w:tabs>
        <w:tab w:val="left" w:pos="1701"/>
      </w:tabs>
    </w:pPr>
    <w:rPr>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842389">
      <w:bodyDiv w:val="1"/>
      <w:marLeft w:val="0"/>
      <w:marRight w:val="0"/>
      <w:marTop w:val="945"/>
      <w:marBottom w:val="0"/>
      <w:divBdr>
        <w:top w:val="none" w:sz="0" w:space="0" w:color="auto"/>
        <w:left w:val="none" w:sz="0" w:space="0" w:color="auto"/>
        <w:bottom w:val="none" w:sz="0" w:space="0" w:color="auto"/>
        <w:right w:val="none" w:sz="0" w:space="0" w:color="auto"/>
      </w:divBdr>
      <w:divsChild>
        <w:div w:id="320426964">
          <w:marLeft w:val="0"/>
          <w:marRight w:val="0"/>
          <w:marTop w:val="0"/>
          <w:marBottom w:val="0"/>
          <w:divBdr>
            <w:top w:val="none" w:sz="0" w:space="0" w:color="auto"/>
            <w:left w:val="none" w:sz="0" w:space="0" w:color="auto"/>
            <w:bottom w:val="none" w:sz="0" w:space="0" w:color="auto"/>
            <w:right w:val="none" w:sz="0" w:space="0" w:color="auto"/>
          </w:divBdr>
          <w:divsChild>
            <w:div w:id="1630084492">
              <w:marLeft w:val="0"/>
              <w:marRight w:val="0"/>
              <w:marTop w:val="0"/>
              <w:marBottom w:val="0"/>
              <w:divBdr>
                <w:top w:val="none" w:sz="0" w:space="0" w:color="auto"/>
                <w:left w:val="none" w:sz="0" w:space="0" w:color="auto"/>
                <w:bottom w:val="none" w:sz="0" w:space="0" w:color="auto"/>
                <w:right w:val="none" w:sz="0" w:space="0" w:color="auto"/>
              </w:divBdr>
              <w:divsChild>
                <w:div w:id="366640766">
                  <w:marLeft w:val="0"/>
                  <w:marRight w:val="0"/>
                  <w:marTop w:val="0"/>
                  <w:marBottom w:val="0"/>
                  <w:divBdr>
                    <w:top w:val="none" w:sz="0" w:space="0" w:color="auto"/>
                    <w:left w:val="none" w:sz="0" w:space="0" w:color="auto"/>
                    <w:bottom w:val="none" w:sz="0" w:space="0" w:color="auto"/>
                    <w:right w:val="none" w:sz="0" w:space="0" w:color="auto"/>
                  </w:divBdr>
                  <w:divsChild>
                    <w:div w:id="1701279666">
                      <w:marLeft w:val="-225"/>
                      <w:marRight w:val="-225"/>
                      <w:marTop w:val="0"/>
                      <w:marBottom w:val="0"/>
                      <w:divBdr>
                        <w:top w:val="none" w:sz="0" w:space="0" w:color="auto"/>
                        <w:left w:val="none" w:sz="0" w:space="0" w:color="auto"/>
                        <w:bottom w:val="none" w:sz="0" w:space="0" w:color="auto"/>
                        <w:right w:val="none" w:sz="0" w:space="0" w:color="auto"/>
                      </w:divBdr>
                      <w:divsChild>
                        <w:div w:id="833423230">
                          <w:marLeft w:val="0"/>
                          <w:marRight w:val="0"/>
                          <w:marTop w:val="0"/>
                          <w:marBottom w:val="0"/>
                          <w:divBdr>
                            <w:top w:val="none" w:sz="0" w:space="0" w:color="auto"/>
                            <w:left w:val="none" w:sz="0" w:space="0" w:color="auto"/>
                            <w:bottom w:val="none" w:sz="0" w:space="0" w:color="auto"/>
                            <w:right w:val="none" w:sz="0" w:space="0" w:color="auto"/>
                          </w:divBdr>
                          <w:divsChild>
                            <w:div w:id="302276676">
                              <w:marLeft w:val="-225"/>
                              <w:marRight w:val="-225"/>
                              <w:marTop w:val="0"/>
                              <w:marBottom w:val="0"/>
                              <w:divBdr>
                                <w:top w:val="none" w:sz="0" w:space="0" w:color="auto"/>
                                <w:left w:val="none" w:sz="0" w:space="0" w:color="auto"/>
                                <w:bottom w:val="none" w:sz="0" w:space="0" w:color="auto"/>
                                <w:right w:val="none" w:sz="0" w:space="0" w:color="auto"/>
                              </w:divBdr>
                              <w:divsChild>
                                <w:div w:id="228687094">
                                  <w:marLeft w:val="0"/>
                                  <w:marRight w:val="0"/>
                                  <w:marTop w:val="0"/>
                                  <w:marBottom w:val="0"/>
                                  <w:divBdr>
                                    <w:top w:val="none" w:sz="0" w:space="0" w:color="auto"/>
                                    <w:left w:val="none" w:sz="0" w:space="0" w:color="auto"/>
                                    <w:bottom w:val="none" w:sz="0" w:space="0" w:color="auto"/>
                                    <w:right w:val="none" w:sz="0" w:space="0" w:color="auto"/>
                                  </w:divBdr>
                                  <w:divsChild>
                                    <w:div w:id="1901866921">
                                      <w:marLeft w:val="0"/>
                                      <w:marRight w:val="0"/>
                                      <w:marTop w:val="720"/>
                                      <w:marBottom w:val="0"/>
                                      <w:divBdr>
                                        <w:top w:val="none" w:sz="0" w:space="0" w:color="auto"/>
                                        <w:left w:val="none" w:sz="0" w:space="0" w:color="auto"/>
                                        <w:bottom w:val="none" w:sz="0" w:space="0" w:color="auto"/>
                                        <w:right w:val="none" w:sz="0" w:space="0" w:color="auto"/>
                                      </w:divBdr>
                                      <w:divsChild>
                                        <w:div w:id="140983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948340">
      <w:bodyDiv w:val="1"/>
      <w:marLeft w:val="0"/>
      <w:marRight w:val="0"/>
      <w:marTop w:val="0"/>
      <w:marBottom w:val="0"/>
      <w:divBdr>
        <w:top w:val="none" w:sz="0" w:space="0" w:color="auto"/>
        <w:left w:val="none" w:sz="0" w:space="0" w:color="auto"/>
        <w:bottom w:val="none" w:sz="0" w:space="0" w:color="auto"/>
        <w:right w:val="none" w:sz="0" w:space="0" w:color="auto"/>
      </w:divBdr>
      <w:divsChild>
        <w:div w:id="1009989886">
          <w:marLeft w:val="0"/>
          <w:marRight w:val="0"/>
          <w:marTop w:val="0"/>
          <w:marBottom w:val="0"/>
          <w:divBdr>
            <w:top w:val="none" w:sz="0" w:space="0" w:color="auto"/>
            <w:left w:val="none" w:sz="0" w:space="0" w:color="auto"/>
            <w:bottom w:val="none" w:sz="0" w:space="0" w:color="auto"/>
            <w:right w:val="none" w:sz="0" w:space="0" w:color="auto"/>
          </w:divBdr>
          <w:divsChild>
            <w:div w:id="786236468">
              <w:marLeft w:val="0"/>
              <w:marRight w:val="0"/>
              <w:marTop w:val="0"/>
              <w:marBottom w:val="0"/>
              <w:divBdr>
                <w:top w:val="none" w:sz="0" w:space="0" w:color="auto"/>
                <w:left w:val="none" w:sz="0" w:space="0" w:color="auto"/>
                <w:bottom w:val="none" w:sz="0" w:space="0" w:color="auto"/>
                <w:right w:val="none" w:sz="0" w:space="0" w:color="auto"/>
              </w:divBdr>
              <w:divsChild>
                <w:div w:id="108623341">
                  <w:marLeft w:val="0"/>
                  <w:marRight w:val="0"/>
                  <w:marTop w:val="0"/>
                  <w:marBottom w:val="0"/>
                  <w:divBdr>
                    <w:top w:val="none" w:sz="0" w:space="0" w:color="auto"/>
                    <w:left w:val="none" w:sz="0" w:space="0" w:color="auto"/>
                    <w:bottom w:val="none" w:sz="0" w:space="0" w:color="auto"/>
                    <w:right w:val="none" w:sz="0" w:space="0" w:color="auto"/>
                  </w:divBdr>
                  <w:divsChild>
                    <w:div w:id="1763643456">
                      <w:marLeft w:val="0"/>
                      <w:marRight w:val="0"/>
                      <w:marTop w:val="450"/>
                      <w:marBottom w:val="0"/>
                      <w:divBdr>
                        <w:top w:val="none" w:sz="0" w:space="0" w:color="auto"/>
                        <w:left w:val="none" w:sz="0" w:space="0" w:color="auto"/>
                        <w:bottom w:val="none" w:sz="0" w:space="0" w:color="auto"/>
                        <w:right w:val="none" w:sz="0" w:space="0" w:color="auto"/>
                      </w:divBdr>
                      <w:divsChild>
                        <w:div w:id="1670212618">
                          <w:marLeft w:val="0"/>
                          <w:marRight w:val="0"/>
                          <w:marTop w:val="0"/>
                          <w:marBottom w:val="0"/>
                          <w:divBdr>
                            <w:top w:val="none" w:sz="0" w:space="0" w:color="auto"/>
                            <w:left w:val="none" w:sz="0" w:space="0" w:color="auto"/>
                            <w:bottom w:val="none" w:sz="0" w:space="0" w:color="auto"/>
                            <w:right w:val="none" w:sz="0" w:space="0" w:color="auto"/>
                          </w:divBdr>
                          <w:divsChild>
                            <w:div w:id="279993526">
                              <w:marLeft w:val="0"/>
                              <w:marRight w:val="0"/>
                              <w:marTop w:val="0"/>
                              <w:marBottom w:val="0"/>
                              <w:divBdr>
                                <w:top w:val="none" w:sz="0" w:space="0" w:color="auto"/>
                                <w:left w:val="none" w:sz="0" w:space="0" w:color="auto"/>
                                <w:bottom w:val="none" w:sz="0" w:space="0" w:color="auto"/>
                                <w:right w:val="none" w:sz="0" w:space="0" w:color="auto"/>
                              </w:divBdr>
                              <w:divsChild>
                                <w:div w:id="178979390">
                                  <w:marLeft w:val="0"/>
                                  <w:marRight w:val="0"/>
                                  <w:marTop w:val="0"/>
                                  <w:marBottom w:val="0"/>
                                  <w:divBdr>
                                    <w:top w:val="none" w:sz="0" w:space="0" w:color="auto"/>
                                    <w:left w:val="none" w:sz="0" w:space="0" w:color="auto"/>
                                    <w:bottom w:val="none" w:sz="0" w:space="0" w:color="auto"/>
                                    <w:right w:val="none" w:sz="0" w:space="0" w:color="auto"/>
                                  </w:divBdr>
                                  <w:divsChild>
                                    <w:div w:id="1690838269">
                                      <w:marLeft w:val="0"/>
                                      <w:marRight w:val="0"/>
                                      <w:marTop w:val="0"/>
                                      <w:marBottom w:val="0"/>
                                      <w:divBdr>
                                        <w:top w:val="none" w:sz="0" w:space="0" w:color="auto"/>
                                        <w:left w:val="none" w:sz="0" w:space="0" w:color="auto"/>
                                        <w:bottom w:val="none" w:sz="0" w:space="0" w:color="auto"/>
                                        <w:right w:val="none" w:sz="0" w:space="0" w:color="auto"/>
                                      </w:divBdr>
                                      <w:divsChild>
                                        <w:div w:id="824325176">
                                          <w:marLeft w:val="0"/>
                                          <w:marRight w:val="0"/>
                                          <w:marTop w:val="0"/>
                                          <w:marBottom w:val="0"/>
                                          <w:divBdr>
                                            <w:top w:val="none" w:sz="0" w:space="0" w:color="auto"/>
                                            <w:left w:val="none" w:sz="0" w:space="0" w:color="auto"/>
                                            <w:bottom w:val="none" w:sz="0" w:space="0" w:color="auto"/>
                                            <w:right w:val="none" w:sz="0" w:space="0" w:color="auto"/>
                                          </w:divBdr>
                                          <w:divsChild>
                                            <w:div w:id="1413694370">
                                              <w:marLeft w:val="0"/>
                                              <w:marRight w:val="0"/>
                                              <w:marTop w:val="0"/>
                                              <w:marBottom w:val="0"/>
                                              <w:divBdr>
                                                <w:top w:val="none" w:sz="0" w:space="0" w:color="auto"/>
                                                <w:left w:val="none" w:sz="0" w:space="0" w:color="auto"/>
                                                <w:bottom w:val="none" w:sz="0" w:space="0" w:color="auto"/>
                                                <w:right w:val="none" w:sz="0" w:space="0" w:color="auto"/>
                                              </w:divBdr>
                                              <w:divsChild>
                                                <w:div w:id="183710946">
                                                  <w:marLeft w:val="0"/>
                                                  <w:marRight w:val="0"/>
                                                  <w:marTop w:val="0"/>
                                                  <w:marBottom w:val="0"/>
                                                  <w:divBdr>
                                                    <w:top w:val="none" w:sz="0" w:space="0" w:color="auto"/>
                                                    <w:left w:val="none" w:sz="0" w:space="0" w:color="auto"/>
                                                    <w:bottom w:val="none" w:sz="0" w:space="0" w:color="auto"/>
                                                    <w:right w:val="none" w:sz="0" w:space="0" w:color="auto"/>
                                                  </w:divBdr>
                                                  <w:divsChild>
                                                    <w:div w:id="8742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0549777">
      <w:bodyDiv w:val="1"/>
      <w:marLeft w:val="0"/>
      <w:marRight w:val="0"/>
      <w:marTop w:val="0"/>
      <w:marBottom w:val="0"/>
      <w:divBdr>
        <w:top w:val="none" w:sz="0" w:space="0" w:color="auto"/>
        <w:left w:val="none" w:sz="0" w:space="0" w:color="auto"/>
        <w:bottom w:val="none" w:sz="0" w:space="0" w:color="auto"/>
        <w:right w:val="none" w:sz="0" w:space="0" w:color="auto"/>
      </w:divBdr>
    </w:div>
    <w:div w:id="739400961">
      <w:bodyDiv w:val="1"/>
      <w:marLeft w:val="0"/>
      <w:marRight w:val="0"/>
      <w:marTop w:val="0"/>
      <w:marBottom w:val="0"/>
      <w:divBdr>
        <w:top w:val="none" w:sz="0" w:space="0" w:color="auto"/>
        <w:left w:val="none" w:sz="0" w:space="0" w:color="auto"/>
        <w:bottom w:val="none" w:sz="0" w:space="0" w:color="auto"/>
        <w:right w:val="none" w:sz="0" w:space="0" w:color="auto"/>
      </w:divBdr>
    </w:div>
    <w:div w:id="769197792">
      <w:bodyDiv w:val="1"/>
      <w:marLeft w:val="0"/>
      <w:marRight w:val="0"/>
      <w:marTop w:val="0"/>
      <w:marBottom w:val="0"/>
      <w:divBdr>
        <w:top w:val="none" w:sz="0" w:space="0" w:color="auto"/>
        <w:left w:val="none" w:sz="0" w:space="0" w:color="auto"/>
        <w:bottom w:val="none" w:sz="0" w:space="0" w:color="auto"/>
        <w:right w:val="none" w:sz="0" w:space="0" w:color="auto"/>
      </w:divBdr>
      <w:divsChild>
        <w:div w:id="231350062">
          <w:marLeft w:val="0"/>
          <w:marRight w:val="0"/>
          <w:marTop w:val="0"/>
          <w:marBottom w:val="0"/>
          <w:divBdr>
            <w:top w:val="none" w:sz="0" w:space="0" w:color="auto"/>
            <w:left w:val="none" w:sz="0" w:space="0" w:color="auto"/>
            <w:bottom w:val="none" w:sz="0" w:space="0" w:color="auto"/>
            <w:right w:val="none" w:sz="0" w:space="0" w:color="auto"/>
          </w:divBdr>
          <w:divsChild>
            <w:div w:id="1876000010">
              <w:marLeft w:val="0"/>
              <w:marRight w:val="0"/>
              <w:marTop w:val="0"/>
              <w:marBottom w:val="0"/>
              <w:divBdr>
                <w:top w:val="none" w:sz="0" w:space="0" w:color="auto"/>
                <w:left w:val="none" w:sz="0" w:space="0" w:color="auto"/>
                <w:bottom w:val="none" w:sz="0" w:space="0" w:color="auto"/>
                <w:right w:val="none" w:sz="0" w:space="0" w:color="auto"/>
              </w:divBdr>
              <w:divsChild>
                <w:div w:id="1703357376">
                  <w:marLeft w:val="0"/>
                  <w:marRight w:val="0"/>
                  <w:marTop w:val="0"/>
                  <w:marBottom w:val="0"/>
                  <w:divBdr>
                    <w:top w:val="none" w:sz="0" w:space="0" w:color="auto"/>
                    <w:left w:val="none" w:sz="0" w:space="0" w:color="auto"/>
                    <w:bottom w:val="none" w:sz="0" w:space="0" w:color="auto"/>
                    <w:right w:val="none" w:sz="0" w:space="0" w:color="auto"/>
                  </w:divBdr>
                  <w:divsChild>
                    <w:div w:id="1161846022">
                      <w:marLeft w:val="0"/>
                      <w:marRight w:val="0"/>
                      <w:marTop w:val="0"/>
                      <w:marBottom w:val="0"/>
                      <w:divBdr>
                        <w:top w:val="none" w:sz="0" w:space="0" w:color="auto"/>
                        <w:left w:val="none" w:sz="0" w:space="0" w:color="auto"/>
                        <w:bottom w:val="none" w:sz="0" w:space="0" w:color="auto"/>
                        <w:right w:val="none" w:sz="0" w:space="0" w:color="auto"/>
                      </w:divBdr>
                      <w:divsChild>
                        <w:div w:id="806048208">
                          <w:marLeft w:val="-450"/>
                          <w:marRight w:val="-450"/>
                          <w:marTop w:val="0"/>
                          <w:marBottom w:val="0"/>
                          <w:divBdr>
                            <w:top w:val="none" w:sz="0" w:space="0" w:color="auto"/>
                            <w:left w:val="none" w:sz="0" w:space="0" w:color="auto"/>
                            <w:bottom w:val="none" w:sz="0" w:space="0" w:color="auto"/>
                            <w:right w:val="none" w:sz="0" w:space="0" w:color="auto"/>
                          </w:divBdr>
                          <w:divsChild>
                            <w:div w:id="506673237">
                              <w:marLeft w:val="0"/>
                              <w:marRight w:val="0"/>
                              <w:marTop w:val="0"/>
                              <w:marBottom w:val="0"/>
                              <w:divBdr>
                                <w:top w:val="none" w:sz="0" w:space="0" w:color="auto"/>
                                <w:left w:val="none" w:sz="0" w:space="0" w:color="auto"/>
                                <w:bottom w:val="none" w:sz="0" w:space="0" w:color="auto"/>
                                <w:right w:val="none" w:sz="0" w:space="0" w:color="auto"/>
                              </w:divBdr>
                              <w:divsChild>
                                <w:div w:id="1052851659">
                                  <w:marLeft w:val="0"/>
                                  <w:marRight w:val="0"/>
                                  <w:marTop w:val="0"/>
                                  <w:marBottom w:val="0"/>
                                  <w:divBdr>
                                    <w:top w:val="none" w:sz="0" w:space="0" w:color="auto"/>
                                    <w:left w:val="none" w:sz="0" w:space="0" w:color="auto"/>
                                    <w:bottom w:val="none" w:sz="0" w:space="0" w:color="auto"/>
                                    <w:right w:val="none" w:sz="0" w:space="0" w:color="auto"/>
                                  </w:divBdr>
                                  <w:divsChild>
                                    <w:div w:id="1173493583">
                                      <w:marLeft w:val="0"/>
                                      <w:marRight w:val="0"/>
                                      <w:marTop w:val="0"/>
                                      <w:marBottom w:val="0"/>
                                      <w:divBdr>
                                        <w:top w:val="none" w:sz="0" w:space="0" w:color="auto"/>
                                        <w:left w:val="none" w:sz="0" w:space="0" w:color="auto"/>
                                        <w:bottom w:val="none" w:sz="0" w:space="0" w:color="auto"/>
                                        <w:right w:val="none" w:sz="0" w:space="0" w:color="auto"/>
                                      </w:divBdr>
                                      <w:divsChild>
                                        <w:div w:id="79498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742393">
      <w:bodyDiv w:val="1"/>
      <w:marLeft w:val="0"/>
      <w:marRight w:val="0"/>
      <w:marTop w:val="0"/>
      <w:marBottom w:val="0"/>
      <w:divBdr>
        <w:top w:val="none" w:sz="0" w:space="0" w:color="auto"/>
        <w:left w:val="none" w:sz="0" w:space="0" w:color="auto"/>
        <w:bottom w:val="none" w:sz="0" w:space="0" w:color="auto"/>
        <w:right w:val="none" w:sz="0" w:space="0" w:color="auto"/>
      </w:divBdr>
    </w:div>
    <w:div w:id="1549876585">
      <w:bodyDiv w:val="1"/>
      <w:marLeft w:val="0"/>
      <w:marRight w:val="0"/>
      <w:marTop w:val="0"/>
      <w:marBottom w:val="0"/>
      <w:divBdr>
        <w:top w:val="none" w:sz="0" w:space="0" w:color="auto"/>
        <w:left w:val="none" w:sz="0" w:space="0" w:color="auto"/>
        <w:bottom w:val="none" w:sz="0" w:space="0" w:color="auto"/>
        <w:right w:val="none" w:sz="0" w:space="0" w:color="auto"/>
      </w:divBdr>
    </w:div>
    <w:div w:id="1755013127">
      <w:bodyDiv w:val="1"/>
      <w:marLeft w:val="0"/>
      <w:marRight w:val="0"/>
      <w:marTop w:val="0"/>
      <w:marBottom w:val="0"/>
      <w:divBdr>
        <w:top w:val="none" w:sz="0" w:space="0" w:color="auto"/>
        <w:left w:val="none" w:sz="0" w:space="0" w:color="auto"/>
        <w:bottom w:val="none" w:sz="0" w:space="0" w:color="auto"/>
        <w:right w:val="none" w:sz="0" w:space="0" w:color="auto"/>
      </w:divBdr>
      <w:divsChild>
        <w:div w:id="193468731">
          <w:marLeft w:val="-225"/>
          <w:marRight w:val="-225"/>
          <w:marTop w:val="0"/>
          <w:marBottom w:val="0"/>
          <w:divBdr>
            <w:top w:val="none" w:sz="0" w:space="0" w:color="auto"/>
            <w:left w:val="none" w:sz="0" w:space="0" w:color="auto"/>
            <w:bottom w:val="none" w:sz="0" w:space="0" w:color="auto"/>
            <w:right w:val="none" w:sz="0" w:space="0" w:color="auto"/>
          </w:divBdr>
        </w:div>
        <w:div w:id="342634220">
          <w:marLeft w:val="-225"/>
          <w:marRight w:val="-225"/>
          <w:marTop w:val="0"/>
          <w:marBottom w:val="0"/>
          <w:divBdr>
            <w:top w:val="none" w:sz="0" w:space="0" w:color="auto"/>
            <w:left w:val="none" w:sz="0" w:space="0" w:color="auto"/>
            <w:bottom w:val="none" w:sz="0" w:space="0" w:color="auto"/>
            <w:right w:val="none" w:sz="0" w:space="0" w:color="auto"/>
          </w:divBdr>
        </w:div>
        <w:div w:id="411439092">
          <w:marLeft w:val="-225"/>
          <w:marRight w:val="-225"/>
          <w:marTop w:val="0"/>
          <w:marBottom w:val="0"/>
          <w:divBdr>
            <w:top w:val="none" w:sz="0" w:space="0" w:color="auto"/>
            <w:left w:val="none" w:sz="0" w:space="0" w:color="auto"/>
            <w:bottom w:val="none" w:sz="0" w:space="0" w:color="auto"/>
            <w:right w:val="none" w:sz="0" w:space="0" w:color="auto"/>
          </w:divBdr>
        </w:div>
        <w:div w:id="533470243">
          <w:marLeft w:val="-225"/>
          <w:marRight w:val="-225"/>
          <w:marTop w:val="0"/>
          <w:marBottom w:val="0"/>
          <w:divBdr>
            <w:top w:val="none" w:sz="0" w:space="0" w:color="auto"/>
            <w:left w:val="none" w:sz="0" w:space="0" w:color="auto"/>
            <w:bottom w:val="none" w:sz="0" w:space="0" w:color="auto"/>
            <w:right w:val="none" w:sz="0" w:space="0" w:color="auto"/>
          </w:divBdr>
        </w:div>
        <w:div w:id="644359950">
          <w:marLeft w:val="-225"/>
          <w:marRight w:val="-225"/>
          <w:marTop w:val="0"/>
          <w:marBottom w:val="0"/>
          <w:divBdr>
            <w:top w:val="none" w:sz="0" w:space="0" w:color="auto"/>
            <w:left w:val="none" w:sz="0" w:space="0" w:color="auto"/>
            <w:bottom w:val="none" w:sz="0" w:space="0" w:color="auto"/>
            <w:right w:val="none" w:sz="0" w:space="0" w:color="auto"/>
          </w:divBdr>
        </w:div>
        <w:div w:id="1370492069">
          <w:marLeft w:val="-225"/>
          <w:marRight w:val="-225"/>
          <w:marTop w:val="0"/>
          <w:marBottom w:val="0"/>
          <w:divBdr>
            <w:top w:val="none" w:sz="0" w:space="0" w:color="auto"/>
            <w:left w:val="none" w:sz="0" w:space="0" w:color="auto"/>
            <w:bottom w:val="none" w:sz="0" w:space="0" w:color="auto"/>
            <w:right w:val="none" w:sz="0" w:space="0" w:color="auto"/>
          </w:divBdr>
        </w:div>
        <w:div w:id="1721855890">
          <w:marLeft w:val="-225"/>
          <w:marRight w:val="-225"/>
          <w:marTop w:val="0"/>
          <w:marBottom w:val="0"/>
          <w:divBdr>
            <w:top w:val="none" w:sz="0" w:space="0" w:color="auto"/>
            <w:left w:val="none" w:sz="0" w:space="0" w:color="auto"/>
            <w:bottom w:val="none" w:sz="0" w:space="0" w:color="auto"/>
            <w:right w:val="none" w:sz="0" w:space="0" w:color="auto"/>
          </w:divBdr>
        </w:div>
        <w:div w:id="1809929723">
          <w:marLeft w:val="-225"/>
          <w:marRight w:val="-225"/>
          <w:marTop w:val="0"/>
          <w:marBottom w:val="0"/>
          <w:divBdr>
            <w:top w:val="none" w:sz="0" w:space="0" w:color="auto"/>
            <w:left w:val="none" w:sz="0" w:space="0" w:color="auto"/>
            <w:bottom w:val="none" w:sz="0" w:space="0" w:color="auto"/>
            <w:right w:val="none" w:sz="0" w:space="0" w:color="auto"/>
          </w:divBdr>
        </w:div>
        <w:div w:id="1980764485">
          <w:marLeft w:val="-225"/>
          <w:marRight w:val="-225"/>
          <w:marTop w:val="0"/>
          <w:marBottom w:val="0"/>
          <w:divBdr>
            <w:top w:val="none" w:sz="0" w:space="0" w:color="auto"/>
            <w:left w:val="none" w:sz="0" w:space="0" w:color="auto"/>
            <w:bottom w:val="none" w:sz="0" w:space="0" w:color="auto"/>
            <w:right w:val="none" w:sz="0" w:space="0" w:color="auto"/>
          </w:divBdr>
        </w:div>
      </w:divsChild>
    </w:div>
    <w:div w:id="1763647410">
      <w:bodyDiv w:val="1"/>
      <w:marLeft w:val="0"/>
      <w:marRight w:val="0"/>
      <w:marTop w:val="0"/>
      <w:marBottom w:val="0"/>
      <w:divBdr>
        <w:top w:val="none" w:sz="0" w:space="0" w:color="auto"/>
        <w:left w:val="none" w:sz="0" w:space="0" w:color="auto"/>
        <w:bottom w:val="none" w:sz="0" w:space="0" w:color="auto"/>
        <w:right w:val="none" w:sz="0" w:space="0" w:color="auto"/>
      </w:divBdr>
    </w:div>
    <w:div w:id="1824735811">
      <w:bodyDiv w:val="1"/>
      <w:marLeft w:val="0"/>
      <w:marRight w:val="0"/>
      <w:marTop w:val="945"/>
      <w:marBottom w:val="0"/>
      <w:divBdr>
        <w:top w:val="none" w:sz="0" w:space="0" w:color="auto"/>
        <w:left w:val="none" w:sz="0" w:space="0" w:color="auto"/>
        <w:bottom w:val="none" w:sz="0" w:space="0" w:color="auto"/>
        <w:right w:val="none" w:sz="0" w:space="0" w:color="auto"/>
      </w:divBdr>
      <w:divsChild>
        <w:div w:id="1761173543">
          <w:marLeft w:val="0"/>
          <w:marRight w:val="0"/>
          <w:marTop w:val="0"/>
          <w:marBottom w:val="0"/>
          <w:divBdr>
            <w:top w:val="none" w:sz="0" w:space="0" w:color="auto"/>
            <w:left w:val="none" w:sz="0" w:space="0" w:color="auto"/>
            <w:bottom w:val="none" w:sz="0" w:space="0" w:color="auto"/>
            <w:right w:val="none" w:sz="0" w:space="0" w:color="auto"/>
          </w:divBdr>
          <w:divsChild>
            <w:div w:id="898974941">
              <w:marLeft w:val="0"/>
              <w:marRight w:val="0"/>
              <w:marTop w:val="0"/>
              <w:marBottom w:val="0"/>
              <w:divBdr>
                <w:top w:val="none" w:sz="0" w:space="0" w:color="auto"/>
                <w:left w:val="none" w:sz="0" w:space="0" w:color="auto"/>
                <w:bottom w:val="none" w:sz="0" w:space="0" w:color="auto"/>
                <w:right w:val="none" w:sz="0" w:space="0" w:color="auto"/>
              </w:divBdr>
              <w:divsChild>
                <w:div w:id="1974171361">
                  <w:marLeft w:val="0"/>
                  <w:marRight w:val="0"/>
                  <w:marTop w:val="0"/>
                  <w:marBottom w:val="0"/>
                  <w:divBdr>
                    <w:top w:val="none" w:sz="0" w:space="0" w:color="auto"/>
                    <w:left w:val="none" w:sz="0" w:space="0" w:color="auto"/>
                    <w:bottom w:val="none" w:sz="0" w:space="0" w:color="auto"/>
                    <w:right w:val="none" w:sz="0" w:space="0" w:color="auto"/>
                  </w:divBdr>
                  <w:divsChild>
                    <w:div w:id="1354772306">
                      <w:marLeft w:val="-225"/>
                      <w:marRight w:val="-225"/>
                      <w:marTop w:val="0"/>
                      <w:marBottom w:val="0"/>
                      <w:divBdr>
                        <w:top w:val="none" w:sz="0" w:space="0" w:color="auto"/>
                        <w:left w:val="none" w:sz="0" w:space="0" w:color="auto"/>
                        <w:bottom w:val="none" w:sz="0" w:space="0" w:color="auto"/>
                        <w:right w:val="none" w:sz="0" w:space="0" w:color="auto"/>
                      </w:divBdr>
                      <w:divsChild>
                        <w:div w:id="13881">
                          <w:marLeft w:val="0"/>
                          <w:marRight w:val="0"/>
                          <w:marTop w:val="0"/>
                          <w:marBottom w:val="0"/>
                          <w:divBdr>
                            <w:top w:val="none" w:sz="0" w:space="0" w:color="auto"/>
                            <w:left w:val="none" w:sz="0" w:space="0" w:color="auto"/>
                            <w:bottom w:val="none" w:sz="0" w:space="0" w:color="auto"/>
                            <w:right w:val="none" w:sz="0" w:space="0" w:color="auto"/>
                          </w:divBdr>
                          <w:divsChild>
                            <w:div w:id="1945113942">
                              <w:marLeft w:val="-225"/>
                              <w:marRight w:val="-225"/>
                              <w:marTop w:val="0"/>
                              <w:marBottom w:val="0"/>
                              <w:divBdr>
                                <w:top w:val="none" w:sz="0" w:space="0" w:color="auto"/>
                                <w:left w:val="none" w:sz="0" w:space="0" w:color="auto"/>
                                <w:bottom w:val="none" w:sz="0" w:space="0" w:color="auto"/>
                                <w:right w:val="none" w:sz="0" w:space="0" w:color="auto"/>
                              </w:divBdr>
                              <w:divsChild>
                                <w:div w:id="2041473288">
                                  <w:marLeft w:val="0"/>
                                  <w:marRight w:val="0"/>
                                  <w:marTop w:val="0"/>
                                  <w:marBottom w:val="0"/>
                                  <w:divBdr>
                                    <w:top w:val="none" w:sz="0" w:space="0" w:color="auto"/>
                                    <w:left w:val="none" w:sz="0" w:space="0" w:color="auto"/>
                                    <w:bottom w:val="none" w:sz="0" w:space="0" w:color="auto"/>
                                    <w:right w:val="none" w:sz="0" w:space="0" w:color="auto"/>
                                  </w:divBdr>
                                  <w:divsChild>
                                    <w:div w:id="500971040">
                                      <w:marLeft w:val="0"/>
                                      <w:marRight w:val="0"/>
                                      <w:marTop w:val="720"/>
                                      <w:marBottom w:val="0"/>
                                      <w:divBdr>
                                        <w:top w:val="none" w:sz="0" w:space="0" w:color="auto"/>
                                        <w:left w:val="none" w:sz="0" w:space="0" w:color="auto"/>
                                        <w:bottom w:val="none" w:sz="0" w:space="0" w:color="auto"/>
                                        <w:right w:val="none" w:sz="0" w:space="0" w:color="auto"/>
                                      </w:divBdr>
                                      <w:divsChild>
                                        <w:div w:id="434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0297812">
      <w:bodyDiv w:val="1"/>
      <w:marLeft w:val="0"/>
      <w:marRight w:val="0"/>
      <w:marTop w:val="0"/>
      <w:marBottom w:val="0"/>
      <w:divBdr>
        <w:top w:val="none" w:sz="0" w:space="0" w:color="auto"/>
        <w:left w:val="none" w:sz="0" w:space="0" w:color="auto"/>
        <w:bottom w:val="none" w:sz="0" w:space="0" w:color="auto"/>
        <w:right w:val="none" w:sz="0" w:space="0" w:color="auto"/>
      </w:divBdr>
    </w:div>
    <w:div w:id="1897736851">
      <w:bodyDiv w:val="1"/>
      <w:marLeft w:val="0"/>
      <w:marRight w:val="0"/>
      <w:marTop w:val="0"/>
      <w:marBottom w:val="0"/>
      <w:divBdr>
        <w:top w:val="none" w:sz="0" w:space="0" w:color="auto"/>
        <w:left w:val="none" w:sz="0" w:space="0" w:color="auto"/>
        <w:bottom w:val="none" w:sz="0" w:space="0" w:color="auto"/>
        <w:right w:val="none" w:sz="0" w:space="0" w:color="auto"/>
      </w:divBdr>
    </w:div>
    <w:div w:id="2015066780">
      <w:bodyDiv w:val="1"/>
      <w:marLeft w:val="0"/>
      <w:marRight w:val="0"/>
      <w:marTop w:val="0"/>
      <w:marBottom w:val="0"/>
      <w:divBdr>
        <w:top w:val="none" w:sz="0" w:space="0" w:color="auto"/>
        <w:left w:val="none" w:sz="0" w:space="0" w:color="auto"/>
        <w:bottom w:val="none" w:sz="0" w:space="0" w:color="auto"/>
        <w:right w:val="none" w:sz="0" w:space="0" w:color="auto"/>
      </w:divBdr>
      <w:divsChild>
        <w:div w:id="454297120">
          <w:marLeft w:val="0"/>
          <w:marRight w:val="0"/>
          <w:marTop w:val="0"/>
          <w:marBottom w:val="0"/>
          <w:divBdr>
            <w:top w:val="none" w:sz="0" w:space="0" w:color="auto"/>
            <w:left w:val="none" w:sz="0" w:space="0" w:color="auto"/>
            <w:bottom w:val="none" w:sz="0" w:space="0" w:color="auto"/>
            <w:right w:val="none" w:sz="0" w:space="0" w:color="auto"/>
          </w:divBdr>
          <w:divsChild>
            <w:div w:id="55855927">
              <w:marLeft w:val="0"/>
              <w:marRight w:val="0"/>
              <w:marTop w:val="0"/>
              <w:marBottom w:val="0"/>
              <w:divBdr>
                <w:top w:val="none" w:sz="0" w:space="0" w:color="auto"/>
                <w:left w:val="none" w:sz="0" w:space="0" w:color="auto"/>
                <w:bottom w:val="none" w:sz="0" w:space="0" w:color="auto"/>
                <w:right w:val="none" w:sz="0" w:space="0" w:color="auto"/>
              </w:divBdr>
              <w:divsChild>
                <w:div w:id="894900412">
                  <w:marLeft w:val="0"/>
                  <w:marRight w:val="0"/>
                  <w:marTop w:val="0"/>
                  <w:marBottom w:val="0"/>
                  <w:divBdr>
                    <w:top w:val="none" w:sz="0" w:space="0" w:color="auto"/>
                    <w:left w:val="none" w:sz="0" w:space="0" w:color="auto"/>
                    <w:bottom w:val="none" w:sz="0" w:space="0" w:color="auto"/>
                    <w:right w:val="none" w:sz="0" w:space="0" w:color="auto"/>
                  </w:divBdr>
                  <w:divsChild>
                    <w:div w:id="1447888708">
                      <w:marLeft w:val="0"/>
                      <w:marRight w:val="0"/>
                      <w:marTop w:val="0"/>
                      <w:marBottom w:val="0"/>
                      <w:divBdr>
                        <w:top w:val="none" w:sz="0" w:space="0" w:color="auto"/>
                        <w:left w:val="none" w:sz="0" w:space="0" w:color="auto"/>
                        <w:bottom w:val="none" w:sz="0" w:space="0" w:color="auto"/>
                        <w:right w:val="none" w:sz="0" w:space="0" w:color="auto"/>
                      </w:divBdr>
                      <w:divsChild>
                        <w:div w:id="1790471758">
                          <w:marLeft w:val="0"/>
                          <w:marRight w:val="0"/>
                          <w:marTop w:val="0"/>
                          <w:marBottom w:val="0"/>
                          <w:divBdr>
                            <w:top w:val="none" w:sz="0" w:space="0" w:color="auto"/>
                            <w:left w:val="none" w:sz="0" w:space="0" w:color="auto"/>
                            <w:bottom w:val="none" w:sz="0" w:space="0" w:color="auto"/>
                            <w:right w:val="none" w:sz="0" w:space="0" w:color="auto"/>
                          </w:divBdr>
                          <w:divsChild>
                            <w:div w:id="1666935681">
                              <w:marLeft w:val="0"/>
                              <w:marRight w:val="0"/>
                              <w:marTop w:val="0"/>
                              <w:marBottom w:val="0"/>
                              <w:divBdr>
                                <w:top w:val="none" w:sz="0" w:space="0" w:color="auto"/>
                                <w:left w:val="none" w:sz="0" w:space="0" w:color="auto"/>
                                <w:bottom w:val="none" w:sz="0" w:space="0" w:color="auto"/>
                                <w:right w:val="none" w:sz="0" w:space="0" w:color="auto"/>
                              </w:divBdr>
                              <w:divsChild>
                                <w:div w:id="889420244">
                                  <w:marLeft w:val="-225"/>
                                  <w:marRight w:val="-225"/>
                                  <w:marTop w:val="0"/>
                                  <w:marBottom w:val="0"/>
                                  <w:divBdr>
                                    <w:top w:val="none" w:sz="0" w:space="0" w:color="auto"/>
                                    <w:left w:val="none" w:sz="0" w:space="0" w:color="auto"/>
                                    <w:bottom w:val="none" w:sz="0" w:space="0" w:color="auto"/>
                                    <w:right w:val="none" w:sz="0" w:space="0" w:color="auto"/>
                                  </w:divBdr>
                                  <w:divsChild>
                                    <w:div w:id="1086998584">
                                      <w:marLeft w:val="0"/>
                                      <w:marRight w:val="0"/>
                                      <w:marTop w:val="0"/>
                                      <w:marBottom w:val="0"/>
                                      <w:divBdr>
                                        <w:top w:val="none" w:sz="0" w:space="0" w:color="auto"/>
                                        <w:left w:val="none" w:sz="0" w:space="0" w:color="auto"/>
                                        <w:bottom w:val="none" w:sz="0" w:space="0" w:color="auto"/>
                                        <w:right w:val="none" w:sz="0" w:space="0" w:color="auto"/>
                                      </w:divBdr>
                                      <w:divsChild>
                                        <w:div w:id="1414353460">
                                          <w:marLeft w:val="0"/>
                                          <w:marRight w:val="0"/>
                                          <w:marTop w:val="0"/>
                                          <w:marBottom w:val="0"/>
                                          <w:divBdr>
                                            <w:top w:val="none" w:sz="0" w:space="0" w:color="auto"/>
                                            <w:left w:val="none" w:sz="0" w:space="0" w:color="auto"/>
                                            <w:bottom w:val="none" w:sz="0" w:space="0" w:color="auto"/>
                                            <w:right w:val="none" w:sz="0" w:space="0" w:color="auto"/>
                                          </w:divBdr>
                                          <w:divsChild>
                                            <w:div w:id="1693722022">
                                              <w:marLeft w:val="0"/>
                                              <w:marRight w:val="0"/>
                                              <w:marTop w:val="0"/>
                                              <w:marBottom w:val="0"/>
                                              <w:divBdr>
                                                <w:top w:val="none" w:sz="0" w:space="0" w:color="auto"/>
                                                <w:left w:val="none" w:sz="0" w:space="0" w:color="auto"/>
                                                <w:bottom w:val="none" w:sz="0" w:space="0" w:color="auto"/>
                                                <w:right w:val="none" w:sz="0" w:space="0" w:color="auto"/>
                                              </w:divBdr>
                                              <w:divsChild>
                                                <w:div w:id="1086194557">
                                                  <w:marLeft w:val="0"/>
                                                  <w:marRight w:val="0"/>
                                                  <w:marTop w:val="0"/>
                                                  <w:marBottom w:val="0"/>
                                                  <w:divBdr>
                                                    <w:top w:val="none" w:sz="0" w:space="0" w:color="auto"/>
                                                    <w:left w:val="none" w:sz="0" w:space="0" w:color="auto"/>
                                                    <w:bottom w:val="none" w:sz="0" w:space="0" w:color="auto"/>
                                                    <w:right w:val="none" w:sz="0" w:space="0" w:color="auto"/>
                                                  </w:divBdr>
                                                  <w:divsChild>
                                                    <w:div w:id="2022923949">
                                                      <w:marLeft w:val="0"/>
                                                      <w:marRight w:val="0"/>
                                                      <w:marTop w:val="0"/>
                                                      <w:marBottom w:val="0"/>
                                                      <w:divBdr>
                                                        <w:top w:val="none" w:sz="0" w:space="0" w:color="auto"/>
                                                        <w:left w:val="none" w:sz="0" w:space="0" w:color="auto"/>
                                                        <w:bottom w:val="none" w:sz="0" w:space="0" w:color="auto"/>
                                                        <w:right w:val="none" w:sz="0" w:space="0" w:color="auto"/>
                                                      </w:divBdr>
                                                      <w:divsChild>
                                                        <w:div w:id="1994798170">
                                                          <w:marLeft w:val="0"/>
                                                          <w:marRight w:val="0"/>
                                                          <w:marTop w:val="0"/>
                                                          <w:marBottom w:val="0"/>
                                                          <w:divBdr>
                                                            <w:top w:val="none" w:sz="0" w:space="0" w:color="auto"/>
                                                            <w:left w:val="none" w:sz="0" w:space="0" w:color="auto"/>
                                                            <w:bottom w:val="none" w:sz="0" w:space="0" w:color="auto"/>
                                                            <w:right w:val="none" w:sz="0" w:space="0" w:color="auto"/>
                                                          </w:divBdr>
                                                          <w:divsChild>
                                                            <w:div w:id="20073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8-01-3347" TargetMode="External"/><Relationship Id="rId13" Type="http://schemas.openxmlformats.org/officeDocument/2006/relationships/hyperlink" Target="http://www.uradni-list.si/1/objava.jsp?sop=2018-01-0457" TargetMode="External"/><Relationship Id="rId3" Type="http://schemas.openxmlformats.org/officeDocument/2006/relationships/hyperlink" Target="file:///C:\Users\Lucija\AppData\Local\Temp\notesF68211\(https:\www.akos-rs.si\radijski-spekter\raziscite\mobilna-omrezja" TargetMode="External"/><Relationship Id="rId7" Type="http://schemas.openxmlformats.org/officeDocument/2006/relationships/hyperlink" Target="http://www.uradni-list.si/1/objava.jsp?sop=2007-01-4692" TargetMode="External"/><Relationship Id="rId12" Type="http://schemas.openxmlformats.org/officeDocument/2006/relationships/hyperlink" Target="http://www.uradni-list.si/1/objava.jsp?sop=2015-01-0505" TargetMode="External"/><Relationship Id="rId17" Type="http://schemas.openxmlformats.org/officeDocument/2006/relationships/hyperlink" Target="https://www.akos-rs.si/fileadmin/user_upload/dokumenti/Zakonodaja/Priporocila_agencije/Priporocilo_v__zvezi_s_skupno_uporabo.pdf" TargetMode="External"/><Relationship Id="rId2" Type="http://schemas.openxmlformats.org/officeDocument/2006/relationships/hyperlink" Target="http://www.ericsson.com/res/thecompany/docs/corporate-responsibility/2013/ericsson-broadband-final-071013.pdf" TargetMode="External"/><Relationship Id="rId16" Type="http://schemas.openxmlformats.org/officeDocument/2006/relationships/hyperlink" Target="http://www.uradni-list.si/1/objava.jsp?sop=2020-01-1195" TargetMode="External"/><Relationship Id="rId1" Type="http://schemas.openxmlformats.org/officeDocument/2006/relationships/hyperlink" Target="http://www.itu.int/ITU-D/treg/broadband/ITU-BB-Reports_Impact-of-Broadband-on-the-Economy.pdf" TargetMode="External"/><Relationship Id="rId6" Type="http://schemas.openxmlformats.org/officeDocument/2006/relationships/hyperlink" Target="https://digital-strategy.ec.europa.eu/en/library/cybersecurity-5g-networks-eu-toolbox-risk-mitigating-measures" TargetMode="External"/><Relationship Id="rId11" Type="http://schemas.openxmlformats.org/officeDocument/2006/relationships/hyperlink" Target="http://www.uradni-list.si/1/objava.jsp?sop=2012-01-1700" TargetMode="External"/><Relationship Id="rId5" Type="http://schemas.openxmlformats.org/officeDocument/2006/relationships/hyperlink" Target="https://www.akos-rs.si/fileadmin/user_upload/Povzetek_analize_mobilnega_trga.pdf" TargetMode="External"/><Relationship Id="rId15" Type="http://schemas.openxmlformats.org/officeDocument/2006/relationships/hyperlink" Target="http://www.uradni-list.si/1/objava.jsp?sop=2020-01-0901" TargetMode="External"/><Relationship Id="rId10" Type="http://schemas.openxmlformats.org/officeDocument/2006/relationships/hyperlink" Target="http://www.uradni-list.si/1/objava.jsp?sop=2010-01-2763" TargetMode="External"/><Relationship Id="rId4" Type="http://schemas.openxmlformats.org/officeDocument/2006/relationships/hyperlink" Target="https://www.stat.si/obcine/sl/Theme/Index/PrebivalstvoGostota" TargetMode="External"/><Relationship Id="rId9" Type="http://schemas.openxmlformats.org/officeDocument/2006/relationships/hyperlink" Target="http://www.uradni-list.si/1/objava.jsp?sop=2009-01-3437" TargetMode="External"/><Relationship Id="rId1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6069296E8EAB4290015936173ED319" ma:contentTypeVersion="2" ma:contentTypeDescription="Create a new document." ma:contentTypeScope="" ma:versionID="502b2164bcfbe98bcbf16ecb007b5965">
  <xsd:schema xmlns:xsd="http://www.w3.org/2001/XMLSchema" xmlns:xs="http://www.w3.org/2001/XMLSchema" xmlns:p="http://schemas.microsoft.com/office/2006/metadata/properties" xmlns:ns2="185dcec3-6e42-483f-b703-1220eea8c69f" targetNamespace="http://schemas.microsoft.com/office/2006/metadata/properties" ma:root="true" ma:fieldsID="f155ca44a20a3f53fcd6c88330b9a45e" ns2:_="">
    <xsd:import namespace="185dcec3-6e42-483f-b703-1220eea8c69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dcec3-6e42-483f-b703-1220eea8c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40BAE-60E1-4BD6-9047-4EABF5426CC3}">
  <ds:schemaRefs>
    <ds:schemaRef ds:uri="http://schemas.openxmlformats.org/officeDocument/2006/bibliography"/>
  </ds:schemaRefs>
</ds:datastoreItem>
</file>

<file path=customXml/itemProps2.xml><?xml version="1.0" encoding="utf-8"?>
<ds:datastoreItem xmlns:ds="http://schemas.openxmlformats.org/officeDocument/2006/customXml" ds:itemID="{886AAA65-E744-45F9-9BBE-7D9E5F328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dcec3-6e42-483f-b703-1220eea8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B0F36-A8B1-4243-9C3E-1F7545B6B105}">
  <ds:schemaRefs>
    <ds:schemaRef ds:uri="http://schemas.microsoft.com/sharepoint/v3/contenttype/forms"/>
  </ds:schemaRefs>
</ds:datastoreItem>
</file>

<file path=customXml/itemProps4.xml><?xml version="1.0" encoding="utf-8"?>
<ds:datastoreItem xmlns:ds="http://schemas.openxmlformats.org/officeDocument/2006/customXml" ds:itemID="{EB220C63-81E4-47FE-A2C5-9B200A7F9B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36</Pages>
  <Words>11500</Words>
  <Characters>65553</Characters>
  <Application>Microsoft Office Word</Application>
  <DocSecurity>0</DocSecurity>
  <Lines>546</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76900</CharactersWithSpaces>
  <SharedDoc>false</SharedDoc>
  <HLinks>
    <vt:vector size="312" baseType="variant">
      <vt:variant>
        <vt:i4>1835068</vt:i4>
      </vt:variant>
      <vt:variant>
        <vt:i4>206</vt:i4>
      </vt:variant>
      <vt:variant>
        <vt:i4>0</vt:i4>
      </vt:variant>
      <vt:variant>
        <vt:i4>5</vt:i4>
      </vt:variant>
      <vt:variant>
        <vt:lpwstr/>
      </vt:variant>
      <vt:variant>
        <vt:lpwstr>_Toc108704588</vt:lpwstr>
      </vt:variant>
      <vt:variant>
        <vt:i4>1835068</vt:i4>
      </vt:variant>
      <vt:variant>
        <vt:i4>200</vt:i4>
      </vt:variant>
      <vt:variant>
        <vt:i4>0</vt:i4>
      </vt:variant>
      <vt:variant>
        <vt:i4>5</vt:i4>
      </vt:variant>
      <vt:variant>
        <vt:lpwstr/>
      </vt:variant>
      <vt:variant>
        <vt:lpwstr>_Toc108704587</vt:lpwstr>
      </vt:variant>
      <vt:variant>
        <vt:i4>1835068</vt:i4>
      </vt:variant>
      <vt:variant>
        <vt:i4>194</vt:i4>
      </vt:variant>
      <vt:variant>
        <vt:i4>0</vt:i4>
      </vt:variant>
      <vt:variant>
        <vt:i4>5</vt:i4>
      </vt:variant>
      <vt:variant>
        <vt:lpwstr/>
      </vt:variant>
      <vt:variant>
        <vt:lpwstr>_Toc108704586</vt:lpwstr>
      </vt:variant>
      <vt:variant>
        <vt:i4>1835068</vt:i4>
      </vt:variant>
      <vt:variant>
        <vt:i4>188</vt:i4>
      </vt:variant>
      <vt:variant>
        <vt:i4>0</vt:i4>
      </vt:variant>
      <vt:variant>
        <vt:i4>5</vt:i4>
      </vt:variant>
      <vt:variant>
        <vt:lpwstr/>
      </vt:variant>
      <vt:variant>
        <vt:lpwstr>_Toc108704585</vt:lpwstr>
      </vt:variant>
      <vt:variant>
        <vt:i4>1835068</vt:i4>
      </vt:variant>
      <vt:variant>
        <vt:i4>182</vt:i4>
      </vt:variant>
      <vt:variant>
        <vt:i4>0</vt:i4>
      </vt:variant>
      <vt:variant>
        <vt:i4>5</vt:i4>
      </vt:variant>
      <vt:variant>
        <vt:lpwstr/>
      </vt:variant>
      <vt:variant>
        <vt:lpwstr>_Toc108704584</vt:lpwstr>
      </vt:variant>
      <vt:variant>
        <vt:i4>1835068</vt:i4>
      </vt:variant>
      <vt:variant>
        <vt:i4>176</vt:i4>
      </vt:variant>
      <vt:variant>
        <vt:i4>0</vt:i4>
      </vt:variant>
      <vt:variant>
        <vt:i4>5</vt:i4>
      </vt:variant>
      <vt:variant>
        <vt:lpwstr/>
      </vt:variant>
      <vt:variant>
        <vt:lpwstr>_Toc108704583</vt:lpwstr>
      </vt:variant>
      <vt:variant>
        <vt:i4>1835068</vt:i4>
      </vt:variant>
      <vt:variant>
        <vt:i4>170</vt:i4>
      </vt:variant>
      <vt:variant>
        <vt:i4>0</vt:i4>
      </vt:variant>
      <vt:variant>
        <vt:i4>5</vt:i4>
      </vt:variant>
      <vt:variant>
        <vt:lpwstr/>
      </vt:variant>
      <vt:variant>
        <vt:lpwstr>_Toc108704582</vt:lpwstr>
      </vt:variant>
      <vt:variant>
        <vt:i4>1835068</vt:i4>
      </vt:variant>
      <vt:variant>
        <vt:i4>164</vt:i4>
      </vt:variant>
      <vt:variant>
        <vt:i4>0</vt:i4>
      </vt:variant>
      <vt:variant>
        <vt:i4>5</vt:i4>
      </vt:variant>
      <vt:variant>
        <vt:lpwstr/>
      </vt:variant>
      <vt:variant>
        <vt:lpwstr>_Toc108704581</vt:lpwstr>
      </vt:variant>
      <vt:variant>
        <vt:i4>1835068</vt:i4>
      </vt:variant>
      <vt:variant>
        <vt:i4>158</vt:i4>
      </vt:variant>
      <vt:variant>
        <vt:i4>0</vt:i4>
      </vt:variant>
      <vt:variant>
        <vt:i4>5</vt:i4>
      </vt:variant>
      <vt:variant>
        <vt:lpwstr/>
      </vt:variant>
      <vt:variant>
        <vt:lpwstr>_Toc108704580</vt:lpwstr>
      </vt:variant>
      <vt:variant>
        <vt:i4>1245244</vt:i4>
      </vt:variant>
      <vt:variant>
        <vt:i4>152</vt:i4>
      </vt:variant>
      <vt:variant>
        <vt:i4>0</vt:i4>
      </vt:variant>
      <vt:variant>
        <vt:i4>5</vt:i4>
      </vt:variant>
      <vt:variant>
        <vt:lpwstr/>
      </vt:variant>
      <vt:variant>
        <vt:lpwstr>_Toc108704579</vt:lpwstr>
      </vt:variant>
      <vt:variant>
        <vt:i4>1245244</vt:i4>
      </vt:variant>
      <vt:variant>
        <vt:i4>146</vt:i4>
      </vt:variant>
      <vt:variant>
        <vt:i4>0</vt:i4>
      </vt:variant>
      <vt:variant>
        <vt:i4>5</vt:i4>
      </vt:variant>
      <vt:variant>
        <vt:lpwstr/>
      </vt:variant>
      <vt:variant>
        <vt:lpwstr>_Toc108704578</vt:lpwstr>
      </vt:variant>
      <vt:variant>
        <vt:i4>1245244</vt:i4>
      </vt:variant>
      <vt:variant>
        <vt:i4>140</vt:i4>
      </vt:variant>
      <vt:variant>
        <vt:i4>0</vt:i4>
      </vt:variant>
      <vt:variant>
        <vt:i4>5</vt:i4>
      </vt:variant>
      <vt:variant>
        <vt:lpwstr/>
      </vt:variant>
      <vt:variant>
        <vt:lpwstr>_Toc108704577</vt:lpwstr>
      </vt:variant>
      <vt:variant>
        <vt:i4>1245244</vt:i4>
      </vt:variant>
      <vt:variant>
        <vt:i4>134</vt:i4>
      </vt:variant>
      <vt:variant>
        <vt:i4>0</vt:i4>
      </vt:variant>
      <vt:variant>
        <vt:i4>5</vt:i4>
      </vt:variant>
      <vt:variant>
        <vt:lpwstr/>
      </vt:variant>
      <vt:variant>
        <vt:lpwstr>_Toc108704576</vt:lpwstr>
      </vt:variant>
      <vt:variant>
        <vt:i4>1245244</vt:i4>
      </vt:variant>
      <vt:variant>
        <vt:i4>128</vt:i4>
      </vt:variant>
      <vt:variant>
        <vt:i4>0</vt:i4>
      </vt:variant>
      <vt:variant>
        <vt:i4>5</vt:i4>
      </vt:variant>
      <vt:variant>
        <vt:lpwstr/>
      </vt:variant>
      <vt:variant>
        <vt:lpwstr>_Toc108704575</vt:lpwstr>
      </vt:variant>
      <vt:variant>
        <vt:i4>1245244</vt:i4>
      </vt:variant>
      <vt:variant>
        <vt:i4>122</vt:i4>
      </vt:variant>
      <vt:variant>
        <vt:i4>0</vt:i4>
      </vt:variant>
      <vt:variant>
        <vt:i4>5</vt:i4>
      </vt:variant>
      <vt:variant>
        <vt:lpwstr/>
      </vt:variant>
      <vt:variant>
        <vt:lpwstr>_Toc108704574</vt:lpwstr>
      </vt:variant>
      <vt:variant>
        <vt:i4>1245244</vt:i4>
      </vt:variant>
      <vt:variant>
        <vt:i4>116</vt:i4>
      </vt:variant>
      <vt:variant>
        <vt:i4>0</vt:i4>
      </vt:variant>
      <vt:variant>
        <vt:i4>5</vt:i4>
      </vt:variant>
      <vt:variant>
        <vt:lpwstr/>
      </vt:variant>
      <vt:variant>
        <vt:lpwstr>_Toc108704573</vt:lpwstr>
      </vt:variant>
      <vt:variant>
        <vt:i4>1245244</vt:i4>
      </vt:variant>
      <vt:variant>
        <vt:i4>110</vt:i4>
      </vt:variant>
      <vt:variant>
        <vt:i4>0</vt:i4>
      </vt:variant>
      <vt:variant>
        <vt:i4>5</vt:i4>
      </vt:variant>
      <vt:variant>
        <vt:lpwstr/>
      </vt:variant>
      <vt:variant>
        <vt:lpwstr>_Toc108704572</vt:lpwstr>
      </vt:variant>
      <vt:variant>
        <vt:i4>1245244</vt:i4>
      </vt:variant>
      <vt:variant>
        <vt:i4>104</vt:i4>
      </vt:variant>
      <vt:variant>
        <vt:i4>0</vt:i4>
      </vt:variant>
      <vt:variant>
        <vt:i4>5</vt:i4>
      </vt:variant>
      <vt:variant>
        <vt:lpwstr/>
      </vt:variant>
      <vt:variant>
        <vt:lpwstr>_Toc108704571</vt:lpwstr>
      </vt:variant>
      <vt:variant>
        <vt:i4>1245244</vt:i4>
      </vt:variant>
      <vt:variant>
        <vt:i4>98</vt:i4>
      </vt:variant>
      <vt:variant>
        <vt:i4>0</vt:i4>
      </vt:variant>
      <vt:variant>
        <vt:i4>5</vt:i4>
      </vt:variant>
      <vt:variant>
        <vt:lpwstr/>
      </vt:variant>
      <vt:variant>
        <vt:lpwstr>_Toc108704570</vt:lpwstr>
      </vt:variant>
      <vt:variant>
        <vt:i4>1179708</vt:i4>
      </vt:variant>
      <vt:variant>
        <vt:i4>92</vt:i4>
      </vt:variant>
      <vt:variant>
        <vt:i4>0</vt:i4>
      </vt:variant>
      <vt:variant>
        <vt:i4>5</vt:i4>
      </vt:variant>
      <vt:variant>
        <vt:lpwstr/>
      </vt:variant>
      <vt:variant>
        <vt:lpwstr>_Toc108704569</vt:lpwstr>
      </vt:variant>
      <vt:variant>
        <vt:i4>1179708</vt:i4>
      </vt:variant>
      <vt:variant>
        <vt:i4>86</vt:i4>
      </vt:variant>
      <vt:variant>
        <vt:i4>0</vt:i4>
      </vt:variant>
      <vt:variant>
        <vt:i4>5</vt:i4>
      </vt:variant>
      <vt:variant>
        <vt:lpwstr/>
      </vt:variant>
      <vt:variant>
        <vt:lpwstr>_Toc108704568</vt:lpwstr>
      </vt:variant>
      <vt:variant>
        <vt:i4>1179708</vt:i4>
      </vt:variant>
      <vt:variant>
        <vt:i4>80</vt:i4>
      </vt:variant>
      <vt:variant>
        <vt:i4>0</vt:i4>
      </vt:variant>
      <vt:variant>
        <vt:i4>5</vt:i4>
      </vt:variant>
      <vt:variant>
        <vt:lpwstr/>
      </vt:variant>
      <vt:variant>
        <vt:lpwstr>_Toc108704567</vt:lpwstr>
      </vt:variant>
      <vt:variant>
        <vt:i4>1179708</vt:i4>
      </vt:variant>
      <vt:variant>
        <vt:i4>74</vt:i4>
      </vt:variant>
      <vt:variant>
        <vt:i4>0</vt:i4>
      </vt:variant>
      <vt:variant>
        <vt:i4>5</vt:i4>
      </vt:variant>
      <vt:variant>
        <vt:lpwstr/>
      </vt:variant>
      <vt:variant>
        <vt:lpwstr>_Toc108704566</vt:lpwstr>
      </vt:variant>
      <vt:variant>
        <vt:i4>1179708</vt:i4>
      </vt:variant>
      <vt:variant>
        <vt:i4>68</vt:i4>
      </vt:variant>
      <vt:variant>
        <vt:i4>0</vt:i4>
      </vt:variant>
      <vt:variant>
        <vt:i4>5</vt:i4>
      </vt:variant>
      <vt:variant>
        <vt:lpwstr/>
      </vt:variant>
      <vt:variant>
        <vt:lpwstr>_Toc108704565</vt:lpwstr>
      </vt:variant>
      <vt:variant>
        <vt:i4>1179708</vt:i4>
      </vt:variant>
      <vt:variant>
        <vt:i4>62</vt:i4>
      </vt:variant>
      <vt:variant>
        <vt:i4>0</vt:i4>
      </vt:variant>
      <vt:variant>
        <vt:i4>5</vt:i4>
      </vt:variant>
      <vt:variant>
        <vt:lpwstr/>
      </vt:variant>
      <vt:variant>
        <vt:lpwstr>_Toc108704564</vt:lpwstr>
      </vt:variant>
      <vt:variant>
        <vt:i4>1179708</vt:i4>
      </vt:variant>
      <vt:variant>
        <vt:i4>56</vt:i4>
      </vt:variant>
      <vt:variant>
        <vt:i4>0</vt:i4>
      </vt:variant>
      <vt:variant>
        <vt:i4>5</vt:i4>
      </vt:variant>
      <vt:variant>
        <vt:lpwstr/>
      </vt:variant>
      <vt:variant>
        <vt:lpwstr>_Toc108704563</vt:lpwstr>
      </vt:variant>
      <vt:variant>
        <vt:i4>1179708</vt:i4>
      </vt:variant>
      <vt:variant>
        <vt:i4>50</vt:i4>
      </vt:variant>
      <vt:variant>
        <vt:i4>0</vt:i4>
      </vt:variant>
      <vt:variant>
        <vt:i4>5</vt:i4>
      </vt:variant>
      <vt:variant>
        <vt:lpwstr/>
      </vt:variant>
      <vt:variant>
        <vt:lpwstr>_Toc108704562</vt:lpwstr>
      </vt:variant>
      <vt:variant>
        <vt:i4>1179708</vt:i4>
      </vt:variant>
      <vt:variant>
        <vt:i4>44</vt:i4>
      </vt:variant>
      <vt:variant>
        <vt:i4>0</vt:i4>
      </vt:variant>
      <vt:variant>
        <vt:i4>5</vt:i4>
      </vt:variant>
      <vt:variant>
        <vt:lpwstr/>
      </vt:variant>
      <vt:variant>
        <vt:lpwstr>_Toc108704561</vt:lpwstr>
      </vt:variant>
      <vt:variant>
        <vt:i4>1179708</vt:i4>
      </vt:variant>
      <vt:variant>
        <vt:i4>38</vt:i4>
      </vt:variant>
      <vt:variant>
        <vt:i4>0</vt:i4>
      </vt:variant>
      <vt:variant>
        <vt:i4>5</vt:i4>
      </vt:variant>
      <vt:variant>
        <vt:lpwstr/>
      </vt:variant>
      <vt:variant>
        <vt:lpwstr>_Toc108704560</vt:lpwstr>
      </vt:variant>
      <vt:variant>
        <vt:i4>1114172</vt:i4>
      </vt:variant>
      <vt:variant>
        <vt:i4>32</vt:i4>
      </vt:variant>
      <vt:variant>
        <vt:i4>0</vt:i4>
      </vt:variant>
      <vt:variant>
        <vt:i4>5</vt:i4>
      </vt:variant>
      <vt:variant>
        <vt:lpwstr/>
      </vt:variant>
      <vt:variant>
        <vt:lpwstr>_Toc108704559</vt:lpwstr>
      </vt:variant>
      <vt:variant>
        <vt:i4>1114172</vt:i4>
      </vt:variant>
      <vt:variant>
        <vt:i4>26</vt:i4>
      </vt:variant>
      <vt:variant>
        <vt:i4>0</vt:i4>
      </vt:variant>
      <vt:variant>
        <vt:i4>5</vt:i4>
      </vt:variant>
      <vt:variant>
        <vt:lpwstr/>
      </vt:variant>
      <vt:variant>
        <vt:lpwstr>_Toc108704558</vt:lpwstr>
      </vt:variant>
      <vt:variant>
        <vt:i4>1114172</vt:i4>
      </vt:variant>
      <vt:variant>
        <vt:i4>20</vt:i4>
      </vt:variant>
      <vt:variant>
        <vt:i4>0</vt:i4>
      </vt:variant>
      <vt:variant>
        <vt:i4>5</vt:i4>
      </vt:variant>
      <vt:variant>
        <vt:lpwstr/>
      </vt:variant>
      <vt:variant>
        <vt:lpwstr>_Toc108704557</vt:lpwstr>
      </vt:variant>
      <vt:variant>
        <vt:i4>1114172</vt:i4>
      </vt:variant>
      <vt:variant>
        <vt:i4>14</vt:i4>
      </vt:variant>
      <vt:variant>
        <vt:i4>0</vt:i4>
      </vt:variant>
      <vt:variant>
        <vt:i4>5</vt:i4>
      </vt:variant>
      <vt:variant>
        <vt:lpwstr/>
      </vt:variant>
      <vt:variant>
        <vt:lpwstr>_Toc108704556</vt:lpwstr>
      </vt:variant>
      <vt:variant>
        <vt:i4>1114172</vt:i4>
      </vt:variant>
      <vt:variant>
        <vt:i4>8</vt:i4>
      </vt:variant>
      <vt:variant>
        <vt:i4>0</vt:i4>
      </vt:variant>
      <vt:variant>
        <vt:i4>5</vt:i4>
      </vt:variant>
      <vt:variant>
        <vt:lpwstr/>
      </vt:variant>
      <vt:variant>
        <vt:lpwstr>_Toc108704555</vt:lpwstr>
      </vt:variant>
      <vt:variant>
        <vt:i4>1114172</vt:i4>
      </vt:variant>
      <vt:variant>
        <vt:i4>2</vt:i4>
      </vt:variant>
      <vt:variant>
        <vt:i4>0</vt:i4>
      </vt:variant>
      <vt:variant>
        <vt:i4>5</vt:i4>
      </vt:variant>
      <vt:variant>
        <vt:lpwstr/>
      </vt:variant>
      <vt:variant>
        <vt:lpwstr>_Toc108704554</vt:lpwstr>
      </vt:variant>
      <vt:variant>
        <vt:i4>4980759</vt:i4>
      </vt:variant>
      <vt:variant>
        <vt:i4>48</vt:i4>
      </vt:variant>
      <vt:variant>
        <vt:i4>0</vt:i4>
      </vt:variant>
      <vt:variant>
        <vt:i4>5</vt:i4>
      </vt:variant>
      <vt:variant>
        <vt:lpwstr>https://www.akos-rs.si/fileadmin/user_upload/dokumenti/Javna_posvetovanja_in_razpisi/2022/Priporocilo_v_zvezi_s_postopki_zago_P.pdf</vt:lpwstr>
      </vt:variant>
      <vt:variant>
        <vt:lpwstr/>
      </vt:variant>
      <vt:variant>
        <vt:i4>7667795</vt:i4>
      </vt:variant>
      <vt:variant>
        <vt:i4>45</vt:i4>
      </vt:variant>
      <vt:variant>
        <vt:i4>0</vt:i4>
      </vt:variant>
      <vt:variant>
        <vt:i4>5</vt:i4>
      </vt:variant>
      <vt:variant>
        <vt:lpwstr>https://www.akos-rs.si/fileadmin/user_upload/Priporocilo_v__zvezi_s_skupno_uporabo.pdf</vt:lpwstr>
      </vt:variant>
      <vt:variant>
        <vt:lpwstr/>
      </vt:variant>
      <vt:variant>
        <vt:i4>8192041</vt:i4>
      </vt:variant>
      <vt:variant>
        <vt:i4>42</vt:i4>
      </vt:variant>
      <vt:variant>
        <vt:i4>0</vt:i4>
      </vt:variant>
      <vt:variant>
        <vt:i4>5</vt:i4>
      </vt:variant>
      <vt:variant>
        <vt:lpwstr>http://www.uradni-list.si/1/objava.jsp?sop=2020-01-1195</vt:lpwstr>
      </vt:variant>
      <vt:variant>
        <vt:lpwstr/>
      </vt:variant>
      <vt:variant>
        <vt:i4>7667745</vt:i4>
      </vt:variant>
      <vt:variant>
        <vt:i4>39</vt:i4>
      </vt:variant>
      <vt:variant>
        <vt:i4>0</vt:i4>
      </vt:variant>
      <vt:variant>
        <vt:i4>5</vt:i4>
      </vt:variant>
      <vt:variant>
        <vt:lpwstr>http://www.uradni-list.si/1/objava.jsp?sop=2020-01-0901</vt:lpwstr>
      </vt:variant>
      <vt:variant>
        <vt:lpwstr/>
      </vt:variant>
      <vt:variant>
        <vt:i4>7471139</vt:i4>
      </vt:variant>
      <vt:variant>
        <vt:i4>36</vt:i4>
      </vt:variant>
      <vt:variant>
        <vt:i4>0</vt:i4>
      </vt:variant>
      <vt:variant>
        <vt:i4>5</vt:i4>
      </vt:variant>
      <vt:variant>
        <vt:lpwstr>http://www.uradni-list.si/1/objava.jsp?sop=2018-01-1356</vt:lpwstr>
      </vt:variant>
      <vt:variant>
        <vt:lpwstr/>
      </vt:variant>
      <vt:variant>
        <vt:i4>7536676</vt:i4>
      </vt:variant>
      <vt:variant>
        <vt:i4>33</vt:i4>
      </vt:variant>
      <vt:variant>
        <vt:i4>0</vt:i4>
      </vt:variant>
      <vt:variant>
        <vt:i4>5</vt:i4>
      </vt:variant>
      <vt:variant>
        <vt:lpwstr>http://www.uradni-list.si/1/objava.jsp?sop=2018-01-0457</vt:lpwstr>
      </vt:variant>
      <vt:variant>
        <vt:lpwstr/>
      </vt:variant>
      <vt:variant>
        <vt:i4>7733288</vt:i4>
      </vt:variant>
      <vt:variant>
        <vt:i4>30</vt:i4>
      </vt:variant>
      <vt:variant>
        <vt:i4>0</vt:i4>
      </vt:variant>
      <vt:variant>
        <vt:i4>5</vt:i4>
      </vt:variant>
      <vt:variant>
        <vt:lpwstr>http://www.uradni-list.si/1/objava.jsp?sop=2015-01-0505</vt:lpwstr>
      </vt:variant>
      <vt:variant>
        <vt:lpwstr/>
      </vt:variant>
      <vt:variant>
        <vt:i4>7798829</vt:i4>
      </vt:variant>
      <vt:variant>
        <vt:i4>27</vt:i4>
      </vt:variant>
      <vt:variant>
        <vt:i4>0</vt:i4>
      </vt:variant>
      <vt:variant>
        <vt:i4>5</vt:i4>
      </vt:variant>
      <vt:variant>
        <vt:lpwstr>http://www.uradni-list.si/1/objava.jsp?sop=2012-01-1700</vt:lpwstr>
      </vt:variant>
      <vt:variant>
        <vt:lpwstr/>
      </vt:variant>
      <vt:variant>
        <vt:i4>7471151</vt:i4>
      </vt:variant>
      <vt:variant>
        <vt:i4>24</vt:i4>
      </vt:variant>
      <vt:variant>
        <vt:i4>0</vt:i4>
      </vt:variant>
      <vt:variant>
        <vt:i4>5</vt:i4>
      </vt:variant>
      <vt:variant>
        <vt:lpwstr>http://www.uradni-list.si/1/objava.jsp?sop=2010-01-2763</vt:lpwstr>
      </vt:variant>
      <vt:variant>
        <vt:lpwstr/>
      </vt:variant>
      <vt:variant>
        <vt:i4>7798821</vt:i4>
      </vt:variant>
      <vt:variant>
        <vt:i4>21</vt:i4>
      </vt:variant>
      <vt:variant>
        <vt:i4>0</vt:i4>
      </vt:variant>
      <vt:variant>
        <vt:i4>5</vt:i4>
      </vt:variant>
      <vt:variant>
        <vt:lpwstr>http://www.uradni-list.si/1/objava.jsp?sop=2009-01-3437</vt:lpwstr>
      </vt:variant>
      <vt:variant>
        <vt:lpwstr/>
      </vt:variant>
      <vt:variant>
        <vt:i4>7340067</vt:i4>
      </vt:variant>
      <vt:variant>
        <vt:i4>18</vt:i4>
      </vt:variant>
      <vt:variant>
        <vt:i4>0</vt:i4>
      </vt:variant>
      <vt:variant>
        <vt:i4>5</vt:i4>
      </vt:variant>
      <vt:variant>
        <vt:lpwstr>http://www.uradni-list.si/1/objava.jsp?sop=2008-01-3347</vt:lpwstr>
      </vt:variant>
      <vt:variant>
        <vt:lpwstr/>
      </vt:variant>
      <vt:variant>
        <vt:i4>7995433</vt:i4>
      </vt:variant>
      <vt:variant>
        <vt:i4>15</vt:i4>
      </vt:variant>
      <vt:variant>
        <vt:i4>0</vt:i4>
      </vt:variant>
      <vt:variant>
        <vt:i4>5</vt:i4>
      </vt:variant>
      <vt:variant>
        <vt:lpwstr>http://www.uradni-list.si/1/objava.jsp?sop=2007-01-4692</vt:lpwstr>
      </vt:variant>
      <vt:variant>
        <vt:lpwstr/>
      </vt:variant>
      <vt:variant>
        <vt:i4>8061036</vt:i4>
      </vt:variant>
      <vt:variant>
        <vt:i4>12</vt:i4>
      </vt:variant>
      <vt:variant>
        <vt:i4>0</vt:i4>
      </vt:variant>
      <vt:variant>
        <vt:i4>5</vt:i4>
      </vt:variant>
      <vt:variant>
        <vt:lpwstr>https://digital-strategy.ec.europa.eu/en/library/cybersecurity-5g-networks-eu-toolbox-risk-mitigating-measures</vt:lpwstr>
      </vt:variant>
      <vt:variant>
        <vt:lpwstr/>
      </vt:variant>
      <vt:variant>
        <vt:i4>1179660</vt:i4>
      </vt:variant>
      <vt:variant>
        <vt:i4>9</vt:i4>
      </vt:variant>
      <vt:variant>
        <vt:i4>0</vt:i4>
      </vt:variant>
      <vt:variant>
        <vt:i4>5</vt:i4>
      </vt:variant>
      <vt:variant>
        <vt:lpwstr>https://www.akos-rs.si/fileadmin/user_upload/Povzetek_analize_mobilnega_trga.pdf</vt:lpwstr>
      </vt:variant>
      <vt:variant>
        <vt:lpwstr/>
      </vt:variant>
      <vt:variant>
        <vt:i4>1638492</vt:i4>
      </vt:variant>
      <vt:variant>
        <vt:i4>6</vt:i4>
      </vt:variant>
      <vt:variant>
        <vt:i4>0</vt:i4>
      </vt:variant>
      <vt:variant>
        <vt:i4>5</vt:i4>
      </vt:variant>
      <vt:variant>
        <vt:lpwstr>https://www.akos-rs.si/radijski-spekter/raziscite/mobilna-omrezja</vt:lpwstr>
      </vt:variant>
      <vt:variant>
        <vt:lpwstr/>
      </vt:variant>
      <vt:variant>
        <vt:i4>4456543</vt:i4>
      </vt:variant>
      <vt:variant>
        <vt:i4>3</vt:i4>
      </vt:variant>
      <vt:variant>
        <vt:i4>0</vt:i4>
      </vt:variant>
      <vt:variant>
        <vt:i4>5</vt:i4>
      </vt:variant>
      <vt:variant>
        <vt:lpwstr>http://www.ericsson.com/res/thecompany/docs/corporate-responsibility/2013/ericsson-broadband-final-071013.pdf</vt:lpwstr>
      </vt:variant>
      <vt:variant>
        <vt:lpwstr/>
      </vt:variant>
      <vt:variant>
        <vt:i4>1310765</vt:i4>
      </vt:variant>
      <vt:variant>
        <vt:i4>0</vt:i4>
      </vt:variant>
      <vt:variant>
        <vt:i4>0</vt:i4>
      </vt:variant>
      <vt:variant>
        <vt:i4>5</vt:i4>
      </vt:variant>
      <vt:variant>
        <vt:lpwstr>http://www.itu.int/ITU-D/treg/broadband/ITU-BB-Reports_Impact-of-Broadband-on-the-Economy.pdf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Jarc</dc:creator>
  <cp:keywords/>
  <dc:description/>
  <cp:lastModifiedBy>Mitja Kobe</cp:lastModifiedBy>
  <cp:revision>6</cp:revision>
  <cp:lastPrinted>2022-08-18T23:16:00Z</cp:lastPrinted>
  <dcterms:created xsi:type="dcterms:W3CDTF">2023-08-28T14:05:00Z</dcterms:created>
  <dcterms:modified xsi:type="dcterms:W3CDTF">2023-09-01T05:47:00Z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0x010100736069296E8EAB4290015936173ED319</vt:lpwstr>
  </property>
</Properties>
</file>