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934CB" w14:textId="77777777" w:rsidR="002D52D2" w:rsidRDefault="00B43CDE">
      <w:r>
        <w:rPr>
          <w:b/>
        </w:rPr>
        <w:t>AVGUST 2026 -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7"/>
        <w:gridCol w:w="2657"/>
        <w:gridCol w:w="846"/>
        <w:gridCol w:w="745"/>
        <w:gridCol w:w="921"/>
        <w:gridCol w:w="1136"/>
        <w:gridCol w:w="5327"/>
        <w:gridCol w:w="1027"/>
      </w:tblGrid>
      <w:tr w:rsidR="00C65956" w14:paraId="3E4CD7AE" w14:textId="77777777" w:rsidTr="00C65956">
        <w:tc>
          <w:tcPr>
            <w:tcW w:w="720" w:type="dxa"/>
            <w:vMerge w:val="restart"/>
            <w:shd w:val="clear" w:color="auto" w:fill="C8C800"/>
          </w:tcPr>
          <w:p w14:paraId="264B149B" w14:textId="77777777" w:rsidR="002D52D2" w:rsidRDefault="00B43CDE">
            <w:pPr>
              <w:jc w:val="center"/>
            </w:pPr>
            <w:r>
              <w:rPr>
                <w:b/>
                <w:sz w:val="16"/>
              </w:rPr>
              <w:t>Št.</w:t>
            </w:r>
          </w:p>
        </w:tc>
        <w:tc>
          <w:tcPr>
            <w:tcW w:w="1440" w:type="dxa"/>
            <w:vMerge w:val="restart"/>
            <w:shd w:val="clear" w:color="auto" w:fill="C8C800"/>
          </w:tcPr>
          <w:p w14:paraId="29625561" w14:textId="77777777" w:rsidR="002D52D2" w:rsidRDefault="00B43CDE">
            <w:pPr>
              <w:jc w:val="center"/>
            </w:pPr>
            <w:r>
              <w:rPr>
                <w:b/>
                <w:sz w:val="16"/>
              </w:rPr>
              <w:t>Pritožbeni razlogi</w:t>
            </w:r>
          </w:p>
        </w:tc>
        <w:tc>
          <w:tcPr>
            <w:tcW w:w="720" w:type="dxa"/>
            <w:vMerge w:val="restart"/>
            <w:shd w:val="clear" w:color="auto" w:fill="C8C800"/>
          </w:tcPr>
          <w:p w14:paraId="3C722043" w14:textId="77777777" w:rsidR="002D52D2" w:rsidRDefault="00B43CDE">
            <w:pPr>
              <w:jc w:val="center"/>
            </w:pPr>
            <w:r>
              <w:rPr>
                <w:b/>
                <w:sz w:val="16"/>
              </w:rPr>
              <w:t>Datum pritožbe</w:t>
            </w:r>
          </w:p>
        </w:tc>
        <w:tc>
          <w:tcPr>
            <w:tcW w:w="720" w:type="dxa"/>
            <w:vMerge w:val="restart"/>
            <w:shd w:val="clear" w:color="auto" w:fill="C8C800"/>
          </w:tcPr>
          <w:p w14:paraId="014C82C2" w14:textId="77777777" w:rsidR="002D52D2" w:rsidRDefault="00B43CDE">
            <w:pPr>
              <w:jc w:val="center"/>
            </w:pPr>
            <w:r>
              <w:rPr>
                <w:b/>
                <w:sz w:val="16"/>
              </w:rPr>
              <w:t>Datum senata</w:t>
            </w:r>
          </w:p>
        </w:tc>
        <w:tc>
          <w:tcPr>
            <w:tcW w:w="720" w:type="dxa"/>
            <w:vMerge w:val="restart"/>
            <w:shd w:val="clear" w:color="auto" w:fill="C8C800"/>
          </w:tcPr>
          <w:p w14:paraId="6F410CD6" w14:textId="77777777" w:rsidR="002D52D2" w:rsidRDefault="00B43CDE">
            <w:pPr>
              <w:jc w:val="center"/>
            </w:pPr>
            <w:r>
              <w:rPr>
                <w:b/>
                <w:sz w:val="16"/>
              </w:rPr>
              <w:t>Št. zadeve</w:t>
            </w:r>
          </w:p>
        </w:tc>
        <w:tc>
          <w:tcPr>
            <w:tcW w:w="0" w:type="auto"/>
            <w:gridSpan w:val="3"/>
            <w:shd w:val="clear" w:color="auto" w:fill="C8C800"/>
          </w:tcPr>
          <w:p w14:paraId="2D966F12" w14:textId="77777777" w:rsidR="002D52D2" w:rsidRDefault="00B43CDE">
            <w:pPr>
              <w:jc w:val="center"/>
            </w:pPr>
            <w:r>
              <w:rPr>
                <w:b/>
                <w:sz w:val="16"/>
              </w:rPr>
              <w:t>ODLOČITEV SENATA</w:t>
            </w:r>
          </w:p>
        </w:tc>
      </w:tr>
      <w:tr w:rsidR="002D52D2" w14:paraId="5D1759DD" w14:textId="77777777">
        <w:tc>
          <w:tcPr>
            <w:tcW w:w="0" w:type="auto"/>
            <w:vMerge/>
          </w:tcPr>
          <w:p w14:paraId="24FB0CC6" w14:textId="77777777" w:rsidR="002D52D2" w:rsidRDefault="002D52D2"/>
        </w:tc>
        <w:tc>
          <w:tcPr>
            <w:tcW w:w="0" w:type="auto"/>
            <w:vMerge/>
          </w:tcPr>
          <w:p w14:paraId="4E25C43F" w14:textId="77777777" w:rsidR="002D52D2" w:rsidRDefault="002D52D2"/>
        </w:tc>
        <w:tc>
          <w:tcPr>
            <w:tcW w:w="0" w:type="auto"/>
            <w:vMerge/>
          </w:tcPr>
          <w:p w14:paraId="19E68732" w14:textId="77777777" w:rsidR="002D52D2" w:rsidRDefault="002D52D2"/>
        </w:tc>
        <w:tc>
          <w:tcPr>
            <w:tcW w:w="0" w:type="auto"/>
            <w:vMerge/>
          </w:tcPr>
          <w:p w14:paraId="3BDD48A1" w14:textId="77777777" w:rsidR="002D52D2" w:rsidRDefault="002D52D2"/>
        </w:tc>
        <w:tc>
          <w:tcPr>
            <w:tcW w:w="0" w:type="auto"/>
            <w:vMerge/>
          </w:tcPr>
          <w:p w14:paraId="33381C8F" w14:textId="77777777" w:rsidR="002D52D2" w:rsidRDefault="002D52D2"/>
        </w:tc>
        <w:tc>
          <w:tcPr>
            <w:tcW w:w="1440" w:type="dxa"/>
            <w:shd w:val="clear" w:color="auto" w:fill="C8C800"/>
          </w:tcPr>
          <w:p w14:paraId="0AAC6C26" w14:textId="77777777" w:rsidR="002D52D2" w:rsidRDefault="00B43CDE">
            <w:pPr>
              <w:jc w:val="center"/>
            </w:pPr>
            <w:r>
              <w:rPr>
                <w:b/>
                <w:sz w:val="16"/>
              </w:rPr>
              <w:t>Policijska uprava</w:t>
            </w:r>
          </w:p>
        </w:tc>
        <w:tc>
          <w:tcPr>
            <w:tcW w:w="7200" w:type="dxa"/>
            <w:shd w:val="clear" w:color="auto" w:fill="C8C800"/>
          </w:tcPr>
          <w:p w14:paraId="13BDAB40" w14:textId="77777777" w:rsidR="002D52D2" w:rsidRDefault="00B43CDE">
            <w:pPr>
              <w:jc w:val="center"/>
            </w:pPr>
            <w:r>
              <w:rPr>
                <w:b/>
                <w:sz w:val="16"/>
              </w:rPr>
              <w:t>Kratka vsebina</w:t>
            </w:r>
          </w:p>
        </w:tc>
        <w:tc>
          <w:tcPr>
            <w:tcW w:w="1440" w:type="dxa"/>
            <w:shd w:val="clear" w:color="auto" w:fill="C8C800"/>
          </w:tcPr>
          <w:p w14:paraId="6E5F67A0" w14:textId="77777777" w:rsidR="002D52D2" w:rsidRDefault="00B43CDE">
            <w:pPr>
              <w:jc w:val="center"/>
            </w:pPr>
            <w:r>
              <w:rPr>
                <w:b/>
                <w:sz w:val="16"/>
              </w:rPr>
              <w:t>Utemeljen (DA/NE)</w:t>
            </w:r>
          </w:p>
        </w:tc>
      </w:tr>
      <w:tr w:rsidR="002D52D2" w14:paraId="56AD458C" w14:textId="77777777">
        <w:tc>
          <w:tcPr>
            <w:tcW w:w="0" w:type="auto"/>
          </w:tcPr>
          <w:p w14:paraId="63DF4D1F" w14:textId="77777777" w:rsidR="002D52D2" w:rsidRDefault="00B43CDE">
            <w:r>
              <w:rPr>
                <w:sz w:val="16"/>
              </w:rPr>
              <w:t>1</w:t>
            </w:r>
          </w:p>
        </w:tc>
        <w:tc>
          <w:tcPr>
            <w:tcW w:w="0" w:type="auto"/>
          </w:tcPr>
          <w:p w14:paraId="4FD3C785" w14:textId="31AE8506" w:rsidR="008C6902" w:rsidRDefault="00B43CDE">
            <w:pPr>
              <w:rPr>
                <w:sz w:val="16"/>
              </w:rPr>
            </w:pPr>
            <w:r>
              <w:rPr>
                <w:sz w:val="16"/>
              </w:rPr>
              <w:t xml:space="preserve">- </w:t>
            </w:r>
            <w:r w:rsidR="008C6902">
              <w:rPr>
                <w:sz w:val="16"/>
              </w:rPr>
              <w:t>P</w:t>
            </w:r>
            <w:r>
              <w:rPr>
                <w:sz w:val="16"/>
              </w:rPr>
              <w:t xml:space="preserve">ostopek s pritožnikoma je bil rasno </w:t>
            </w:r>
            <w:r>
              <w:rPr>
                <w:sz w:val="16"/>
              </w:rPr>
              <w:t xml:space="preserve">motiviran (14. člen Ustave RS -  Enakost pred zakonom in 34. člen Ustave RS – Pravica do osebnega dostojanstva in varnosti)  </w:t>
            </w:r>
          </w:p>
          <w:p w14:paraId="52FAA16B" w14:textId="77777777" w:rsidR="008C6902" w:rsidRDefault="00B43CDE">
            <w:pPr>
              <w:rPr>
                <w:sz w:val="16"/>
              </w:rPr>
            </w:pPr>
            <w:r>
              <w:rPr>
                <w:sz w:val="16"/>
              </w:rPr>
              <w:t xml:space="preserve">- pritožnika sta bila podvržena nečloveškemu in ponižujočemu ravnanju policistov (18. člen Ustave RS – Prepoved mučenja), </w:t>
            </w:r>
          </w:p>
          <w:p w14:paraId="089E964D" w14:textId="2AFAA2BC" w:rsidR="002D52D2" w:rsidRDefault="00B43CDE">
            <w:r>
              <w:rPr>
                <w:sz w:val="16"/>
              </w:rPr>
              <w:t xml:space="preserve">- </w:t>
            </w:r>
            <w:r w:rsidR="008C6902">
              <w:rPr>
                <w:sz w:val="16"/>
              </w:rPr>
              <w:t>p</w:t>
            </w:r>
            <w:r>
              <w:rPr>
                <w:sz w:val="16"/>
              </w:rPr>
              <w:t>olicisti pritožniku niso zagotovili temeljnih pravnih jamstev (22. člen Ustave RS – Enako varstvo pravic in 29. člen Ustave RS – Pravna jamstva v kazenskem postopku).</w:t>
            </w:r>
          </w:p>
        </w:tc>
        <w:tc>
          <w:tcPr>
            <w:tcW w:w="0" w:type="auto"/>
          </w:tcPr>
          <w:p w14:paraId="46F8BB00" w14:textId="7A91C563" w:rsidR="002D52D2" w:rsidRDefault="00B43CDE">
            <w:r>
              <w:rPr>
                <w:sz w:val="16"/>
              </w:rPr>
              <w:t>6.</w:t>
            </w:r>
            <w:r w:rsidR="00C65956">
              <w:rPr>
                <w:sz w:val="16"/>
              </w:rPr>
              <w:t xml:space="preserve"> </w:t>
            </w:r>
            <w:r>
              <w:rPr>
                <w:sz w:val="16"/>
              </w:rPr>
              <w:t>11.</w:t>
            </w:r>
            <w:r w:rsidR="00C65956">
              <w:rPr>
                <w:sz w:val="16"/>
              </w:rPr>
              <w:t xml:space="preserve"> </w:t>
            </w:r>
            <w:r>
              <w:rPr>
                <w:sz w:val="16"/>
              </w:rPr>
              <w:t>2025</w:t>
            </w:r>
          </w:p>
        </w:tc>
        <w:tc>
          <w:tcPr>
            <w:tcW w:w="0" w:type="auto"/>
          </w:tcPr>
          <w:p w14:paraId="4F2ABD39" w14:textId="02F832DB" w:rsidR="002D52D2" w:rsidRDefault="00B43CDE">
            <w:r>
              <w:rPr>
                <w:sz w:val="16"/>
              </w:rPr>
              <w:t>27.</w:t>
            </w:r>
            <w:r w:rsidR="00C65956">
              <w:rPr>
                <w:sz w:val="16"/>
              </w:rPr>
              <w:t xml:space="preserve"> </w:t>
            </w:r>
            <w:r>
              <w:rPr>
                <w:sz w:val="16"/>
              </w:rPr>
              <w:t>8.</w:t>
            </w:r>
            <w:r w:rsidR="00C65956">
              <w:rPr>
                <w:sz w:val="16"/>
              </w:rPr>
              <w:t xml:space="preserve"> </w:t>
            </w:r>
            <w:r>
              <w:rPr>
                <w:sz w:val="16"/>
              </w:rPr>
              <w:t>2026</w:t>
            </w:r>
          </w:p>
        </w:tc>
        <w:tc>
          <w:tcPr>
            <w:tcW w:w="0" w:type="auto"/>
          </w:tcPr>
          <w:p w14:paraId="35AA25D3" w14:textId="77777777" w:rsidR="002D52D2" w:rsidRDefault="00B43CDE">
            <w:r>
              <w:rPr>
                <w:sz w:val="16"/>
              </w:rPr>
              <w:t>2600-520/2025</w:t>
            </w:r>
          </w:p>
        </w:tc>
        <w:tc>
          <w:tcPr>
            <w:tcW w:w="0" w:type="auto"/>
          </w:tcPr>
          <w:p w14:paraId="5B79DBA1" w14:textId="77777777" w:rsidR="002D52D2" w:rsidRDefault="00B43CDE">
            <w:r>
              <w:rPr>
                <w:sz w:val="16"/>
              </w:rPr>
              <w:t>PU LJUBLJANA</w:t>
            </w:r>
          </w:p>
        </w:tc>
        <w:tc>
          <w:tcPr>
            <w:tcW w:w="0" w:type="auto"/>
          </w:tcPr>
          <w:p w14:paraId="0F921B5E" w14:textId="26EDB6B5" w:rsidR="008C6902" w:rsidRDefault="00B43CDE">
            <w:pPr>
              <w:rPr>
                <w:sz w:val="16"/>
              </w:rPr>
            </w:pPr>
            <w:r>
              <w:rPr>
                <w:sz w:val="16"/>
              </w:rPr>
              <w:t xml:space="preserve">Več oseb je okrog 21. ure poklicalo na 113 </w:t>
            </w:r>
            <w:r>
              <w:rPr>
                <w:sz w:val="16"/>
              </w:rPr>
              <w:t xml:space="preserve">in želelo intervencijo policije, ker sta v gostinskem lokalu v centru mesta, dva temnopolta moška nadlegovala goste, jim verbalno grozila in jih pozival k pretepu. </w:t>
            </w:r>
            <w:r>
              <w:rPr>
                <w:sz w:val="16"/>
              </w:rPr>
              <w:t>OKC je na kraj napotil več patrulj. Policisti so ob vstopu v lokal zaznali, da kršitev še vedno traja. Eden izmed kršiteljev je za vrat držal drugega moškega in ga spustil takoj, ko je zagledal policiste. S kršitvijo je v prisotnosti policistov nadaljeval in ni upošteval navodil in ukazov policistov, zato so policisti uporabili prisilna sredstva (telesno silo in sredstva za vezanje in vklepanje) ter osebo odstranili iz lokala. Ker je s kršitvijo nadaljeval tudi zunaj, je policist na podlagi ZP-1 zoper njega</w:t>
            </w:r>
            <w:r>
              <w:rPr>
                <w:sz w:val="16"/>
              </w:rPr>
              <w:t xml:space="preserve"> odredil pridržanje do streznitve. Z intervencijskim vozilom je bil odpeljan s kraja in nameščen v prostore policije, kjer se je izvajalo pridržanje. Ob izpustitvi, mu je bil zaradi kršitev določil ZJRM-2 izdan in vročen plačilni nalog.</w:t>
            </w:r>
            <w:r>
              <w:rPr>
                <w:sz w:val="16"/>
              </w:rPr>
              <w:t xml:space="preserve"> Drug kršitelj ob začetku postopka ni upošteval navodil in ukazov policista in je s steklenico v roki vstopal v osebni prostor policistov. Policist je uporabili prisilna sredstva (telesno silo), pri čemer se je ob izvajanju strokovnega prijema pritožnik zaradi opitosti opotekel in obesil na roko policista ter mu zaradi t.i. teže telesa, spolzel na tla. Pristopili so drugi policisti, ga obrnili na trebuh in poskušali vkleniti. Ker se je aktivno upiral mu sprva niso mogli nadeti lisic. Ko je bil vklenjen, je </w:t>
            </w:r>
            <w:r>
              <w:rPr>
                <w:sz w:val="16"/>
              </w:rPr>
              <w:t>izgubil zavest. Policist ga je obrnil na bok v položaj za nezavestnega in preko OKC zagotovil, da so na kraj prišli reševalci, ki so ga pregledali in odpeljali v zdravstveno ustanovo na nadaljnje preiskave. S kršitvijo je nadaljeval v bolnici. Intenziteta kršitve je bila takšna, da mu je zdravnik moral dati pomirjevalo. Ko je bil z njim naslednji dan opravljen razgovor se dogodkov s prejšnjega dne ni spomnil. Več policistov je postopke snemalo s telesnimi kamerami. Iz posnetkov je bilo ugotovljeno, da posto</w:t>
            </w:r>
            <w:r>
              <w:rPr>
                <w:sz w:val="16"/>
              </w:rPr>
              <w:t xml:space="preserve">pek ni bil rasno motiviran in so policisti v komunikaciji bili profesionalni.      </w:t>
            </w:r>
          </w:p>
          <w:p w14:paraId="29B54B4D" w14:textId="19F30AF8" w:rsidR="008C6902" w:rsidRDefault="00B43CDE" w:rsidP="008C6902">
            <w:pPr>
              <w:jc w:val="right"/>
              <w:rPr>
                <w:sz w:val="16"/>
              </w:rPr>
            </w:pPr>
            <w:r>
              <w:rPr>
                <w:sz w:val="16"/>
              </w:rPr>
              <w:t>NE</w:t>
            </w:r>
          </w:p>
          <w:p w14:paraId="4E8B873A" w14:textId="77777777" w:rsidR="008C6902" w:rsidRDefault="00B43CDE">
            <w:pPr>
              <w:rPr>
                <w:sz w:val="16"/>
              </w:rPr>
            </w:pPr>
            <w:r>
              <w:rPr>
                <w:sz w:val="16"/>
              </w:rPr>
              <w:t xml:space="preserve">Intervencija in ravnanja policistov pri izvedbi policijskih nalog so bila </w:t>
            </w:r>
            <w:r>
              <w:rPr>
                <w:sz w:val="16"/>
              </w:rPr>
              <w:lastRenderedPageBreak/>
              <w:t>preverjena v skladu z nadzorstveno funkcijo na več nivojih. Iz mnenj nadzornih komisij izhaja, da so bila prisilna sredstva uporabljena zakonito in sorazmerno. Prav tako ni bilo dokazov, ki bi potrjevali očitke o nečloveškem in ponižujočem ravnanju.</w:t>
            </w:r>
          </w:p>
          <w:p w14:paraId="3A78E4FE" w14:textId="59CF9A1B" w:rsidR="008C6902" w:rsidRDefault="00B43CDE" w:rsidP="008C6902">
            <w:pPr>
              <w:jc w:val="right"/>
              <w:rPr>
                <w:sz w:val="16"/>
              </w:rPr>
            </w:pPr>
            <w:r>
              <w:rPr>
                <w:sz w:val="16"/>
              </w:rPr>
              <w:t xml:space="preserve">NE </w:t>
            </w:r>
          </w:p>
          <w:p w14:paraId="20BC6FB2" w14:textId="77777777" w:rsidR="008C6902" w:rsidRDefault="00B43CDE">
            <w:pPr>
              <w:rPr>
                <w:sz w:val="16"/>
              </w:rPr>
            </w:pPr>
            <w:r>
              <w:rPr>
                <w:sz w:val="16"/>
              </w:rPr>
              <w:t xml:space="preserve">Pritožniku je bila za kršitve izdana odločba o prekršku (plačilni nalog). Iz mnenja nadzornih organov izhaja, da pritožniku pred izdajo odločbe ni bila dana možnost, da se o kršitvah, ki se mu očitajo izjavi. </w:t>
            </w:r>
          </w:p>
          <w:p w14:paraId="6CEB905E" w14:textId="0C57D614" w:rsidR="002D52D2" w:rsidRDefault="00B43CDE" w:rsidP="008C6902">
            <w:pPr>
              <w:jc w:val="right"/>
            </w:pPr>
            <w:r>
              <w:rPr>
                <w:sz w:val="16"/>
              </w:rPr>
              <w:t>DA</w:t>
            </w:r>
          </w:p>
        </w:tc>
        <w:tc>
          <w:tcPr>
            <w:tcW w:w="0" w:type="auto"/>
          </w:tcPr>
          <w:p w14:paraId="240E6108" w14:textId="77777777" w:rsidR="002D52D2" w:rsidRDefault="00B43CDE">
            <w:r>
              <w:rPr>
                <w:sz w:val="16"/>
              </w:rPr>
              <w:lastRenderedPageBreak/>
              <w:t>DA</w:t>
            </w:r>
          </w:p>
        </w:tc>
      </w:tr>
      <w:tr w:rsidR="002D52D2" w14:paraId="1485DBB0" w14:textId="77777777">
        <w:tc>
          <w:tcPr>
            <w:tcW w:w="0" w:type="auto"/>
          </w:tcPr>
          <w:p w14:paraId="5051FD4D" w14:textId="77777777" w:rsidR="002D52D2" w:rsidRDefault="00B43CDE">
            <w:r>
              <w:rPr>
                <w:sz w:val="16"/>
              </w:rPr>
              <w:t>2</w:t>
            </w:r>
          </w:p>
        </w:tc>
        <w:tc>
          <w:tcPr>
            <w:tcW w:w="0" w:type="auto"/>
          </w:tcPr>
          <w:p w14:paraId="74ED8D95" w14:textId="40762C42" w:rsidR="008C6902" w:rsidRDefault="00B43CDE">
            <w:pPr>
              <w:rPr>
                <w:sz w:val="16"/>
              </w:rPr>
            </w:pPr>
            <w:r>
              <w:rPr>
                <w:sz w:val="16"/>
              </w:rPr>
              <w:t xml:space="preserve">- Opustitev dejanja oziroma neukrepanje policistov </w:t>
            </w:r>
            <w:r w:rsidR="008C6902">
              <w:rPr>
                <w:sz w:val="16"/>
              </w:rPr>
              <w:t xml:space="preserve">– </w:t>
            </w:r>
            <w:r w:rsidR="004458DE">
              <w:rPr>
                <w:sz w:val="16"/>
              </w:rPr>
              <w:t xml:space="preserve">Enako </w:t>
            </w:r>
            <w:r w:rsidR="008C6902">
              <w:rPr>
                <w:sz w:val="16"/>
              </w:rPr>
              <w:t>varstvo pravic (22. člen Ustave RS).</w:t>
            </w:r>
          </w:p>
          <w:p w14:paraId="746F4CF5" w14:textId="012EBF33" w:rsidR="002D52D2" w:rsidRDefault="00B43CDE">
            <w:r>
              <w:rPr>
                <w:sz w:val="16"/>
              </w:rPr>
              <w:t xml:space="preserve">- </w:t>
            </w:r>
            <w:r w:rsidR="008C6902">
              <w:rPr>
                <w:sz w:val="16"/>
              </w:rPr>
              <w:t>o</w:t>
            </w:r>
            <w:r>
              <w:rPr>
                <w:sz w:val="16"/>
              </w:rPr>
              <w:t>pustitev dejanja oziroma neukrepanje policistov glede pravice do uporabe svojega jezika in pisave</w:t>
            </w:r>
            <w:r w:rsidR="008C6902">
              <w:rPr>
                <w:sz w:val="16"/>
              </w:rPr>
              <w:t xml:space="preserve"> </w:t>
            </w:r>
            <w:r w:rsidR="008C6902">
              <w:rPr>
                <w:sz w:val="16"/>
              </w:rPr>
              <w:t xml:space="preserve">– </w:t>
            </w:r>
            <w:r w:rsidR="004458DE">
              <w:rPr>
                <w:sz w:val="16"/>
              </w:rPr>
              <w:t xml:space="preserve">Enako </w:t>
            </w:r>
            <w:r w:rsidR="008C6902">
              <w:rPr>
                <w:sz w:val="16"/>
              </w:rPr>
              <w:t>varstvo pravic (22. člen Ustave RS).</w:t>
            </w:r>
          </w:p>
        </w:tc>
        <w:tc>
          <w:tcPr>
            <w:tcW w:w="0" w:type="auto"/>
          </w:tcPr>
          <w:p w14:paraId="6CE858F9" w14:textId="76C1E4EF" w:rsidR="002D52D2" w:rsidRDefault="00B43CDE">
            <w:r>
              <w:rPr>
                <w:sz w:val="16"/>
              </w:rPr>
              <w:t>18</w:t>
            </w:r>
            <w:r w:rsidR="008C6902">
              <w:rPr>
                <w:sz w:val="16"/>
              </w:rPr>
              <w:t xml:space="preserve">. </w:t>
            </w:r>
            <w:r>
              <w:rPr>
                <w:sz w:val="16"/>
              </w:rPr>
              <w:t>4.</w:t>
            </w:r>
            <w:r w:rsidR="008C6902">
              <w:rPr>
                <w:sz w:val="16"/>
              </w:rPr>
              <w:t xml:space="preserve"> </w:t>
            </w:r>
            <w:r>
              <w:rPr>
                <w:sz w:val="16"/>
              </w:rPr>
              <w:t>2026</w:t>
            </w:r>
          </w:p>
        </w:tc>
        <w:tc>
          <w:tcPr>
            <w:tcW w:w="0" w:type="auto"/>
          </w:tcPr>
          <w:p w14:paraId="28AA3FF8" w14:textId="45BA62FB" w:rsidR="002D52D2" w:rsidRDefault="00B43CDE">
            <w:r>
              <w:rPr>
                <w:sz w:val="16"/>
              </w:rPr>
              <w:t>27.</w:t>
            </w:r>
            <w:r w:rsidR="008C6902">
              <w:rPr>
                <w:sz w:val="16"/>
              </w:rPr>
              <w:t xml:space="preserve"> </w:t>
            </w:r>
            <w:r>
              <w:rPr>
                <w:sz w:val="16"/>
              </w:rPr>
              <w:t>8.</w:t>
            </w:r>
            <w:r w:rsidR="008C6902">
              <w:rPr>
                <w:sz w:val="16"/>
              </w:rPr>
              <w:t xml:space="preserve"> </w:t>
            </w:r>
            <w:r>
              <w:rPr>
                <w:sz w:val="16"/>
              </w:rPr>
              <w:t>2026</w:t>
            </w:r>
          </w:p>
        </w:tc>
        <w:tc>
          <w:tcPr>
            <w:tcW w:w="0" w:type="auto"/>
          </w:tcPr>
          <w:p w14:paraId="2664DC25" w14:textId="77777777" w:rsidR="002D52D2" w:rsidRDefault="00B43CDE">
            <w:r>
              <w:rPr>
                <w:sz w:val="16"/>
              </w:rPr>
              <w:t>2600-209/2025</w:t>
            </w:r>
          </w:p>
        </w:tc>
        <w:tc>
          <w:tcPr>
            <w:tcW w:w="0" w:type="auto"/>
          </w:tcPr>
          <w:p w14:paraId="065E431F" w14:textId="77777777" w:rsidR="002D52D2" w:rsidRDefault="00B43CDE">
            <w:r>
              <w:rPr>
                <w:sz w:val="16"/>
              </w:rPr>
              <w:t>PU LJUBLJANA</w:t>
            </w:r>
          </w:p>
        </w:tc>
        <w:tc>
          <w:tcPr>
            <w:tcW w:w="0" w:type="auto"/>
          </w:tcPr>
          <w:p w14:paraId="36C5FC8B" w14:textId="77777777" w:rsidR="009222F8" w:rsidRDefault="00B43CDE">
            <w:pPr>
              <w:rPr>
                <w:sz w:val="16"/>
              </w:rPr>
            </w:pPr>
            <w:r>
              <w:rPr>
                <w:sz w:val="16"/>
              </w:rPr>
              <w:t xml:space="preserve">Status policista je bil izkazan z razporedom dela in uporabo službenega vozila. Ustavitev z neoznačenim službenim vozilom, opravljanje nalog v civilnih oblačilih ter preverjanje listin so imeli podlago v ugotovljenih okoliščinah postopka. Navedba o prepisovanju podatkov z ameriške vizumske nalepke ni bila potrjena. Zaradi nasprotujočih si izjav glede začetne predstavitve policista na tej podlagi ni bilo mogoče ugotoviti opustitve dolžnega ravnanja in kršitve pravice do enakega varstva pravic                </w:t>
            </w:r>
            <w:r>
              <w:rPr>
                <w:sz w:val="16"/>
              </w:rPr>
              <w:t xml:space="preserve">                                                                                                  </w:t>
            </w:r>
          </w:p>
          <w:p w14:paraId="2DFC3839" w14:textId="4005BA39" w:rsidR="009222F8" w:rsidRDefault="00B43CDE" w:rsidP="009222F8">
            <w:pPr>
              <w:jc w:val="right"/>
              <w:rPr>
                <w:sz w:val="16"/>
              </w:rPr>
            </w:pPr>
            <w:r>
              <w:rPr>
                <w:sz w:val="16"/>
              </w:rPr>
              <w:t xml:space="preserve">NE  </w:t>
            </w:r>
          </w:p>
          <w:p w14:paraId="22BD940D" w14:textId="762B80C9" w:rsidR="009222F8" w:rsidRDefault="00B43CDE">
            <w:pPr>
              <w:rPr>
                <w:sz w:val="16"/>
              </w:rPr>
            </w:pPr>
            <w:r>
              <w:rPr>
                <w:sz w:val="16"/>
              </w:rPr>
              <w:t xml:space="preserve">Pritožnik je angleški jezik razumel in ga med postopkom uporabljal. Ko je </w:t>
            </w:r>
            <w:r>
              <w:rPr>
                <w:sz w:val="16"/>
              </w:rPr>
              <w:t>zahtevali tolmača, policist zahteve ni zavrnil, temveč je začel ravnati v smeri njegove zagotovitve. Zahtevo je pritožni nato umaknil in sprejel nadaljevanje postopka v angleškem jeziku. Dejstvo, da odpoved zahtevi po tolmaču ni bila zapisana v plačilnem nalogu, ne spremeni ugotovitve, da ni bilo omogočeno sporazumevanje v jeziku, ki ga</w:t>
            </w:r>
            <w:r w:rsidR="00AC44A3">
              <w:rPr>
                <w:sz w:val="16"/>
              </w:rPr>
              <w:t xml:space="preserve"> </w:t>
            </w:r>
            <w:r>
              <w:rPr>
                <w:sz w:val="16"/>
              </w:rPr>
              <w:t xml:space="preserve">je pritožnik razumel.                                                                                                                  </w:t>
            </w:r>
          </w:p>
          <w:p w14:paraId="6941C145" w14:textId="6476202F" w:rsidR="002D52D2" w:rsidRDefault="00B43CDE" w:rsidP="009222F8">
            <w:pPr>
              <w:jc w:val="right"/>
            </w:pPr>
            <w:r>
              <w:rPr>
                <w:sz w:val="16"/>
              </w:rPr>
              <w:t>NE</w:t>
            </w:r>
          </w:p>
        </w:tc>
        <w:tc>
          <w:tcPr>
            <w:tcW w:w="0" w:type="auto"/>
          </w:tcPr>
          <w:p w14:paraId="1AA05913" w14:textId="77777777" w:rsidR="002D52D2" w:rsidRDefault="00B43CDE">
            <w:r>
              <w:rPr>
                <w:sz w:val="16"/>
              </w:rPr>
              <w:t>NE</w:t>
            </w:r>
          </w:p>
        </w:tc>
      </w:tr>
      <w:tr w:rsidR="002D52D2" w14:paraId="349AD8D8" w14:textId="77777777">
        <w:tc>
          <w:tcPr>
            <w:tcW w:w="0" w:type="auto"/>
          </w:tcPr>
          <w:p w14:paraId="6E49A1BD" w14:textId="77777777" w:rsidR="002D52D2" w:rsidRDefault="00B43CDE">
            <w:r>
              <w:rPr>
                <w:sz w:val="16"/>
              </w:rPr>
              <w:t>3</w:t>
            </w:r>
          </w:p>
        </w:tc>
        <w:tc>
          <w:tcPr>
            <w:tcW w:w="0" w:type="auto"/>
          </w:tcPr>
          <w:p w14:paraId="32676CF8" w14:textId="7A85AF37" w:rsidR="008C6902" w:rsidRDefault="00B43CDE">
            <w:pPr>
              <w:rPr>
                <w:sz w:val="16"/>
              </w:rPr>
            </w:pPr>
            <w:r>
              <w:rPr>
                <w:sz w:val="16"/>
              </w:rPr>
              <w:t>-</w:t>
            </w:r>
            <w:r w:rsidR="008C6902">
              <w:rPr>
                <w:sz w:val="16"/>
              </w:rPr>
              <w:t xml:space="preserve"> N</w:t>
            </w:r>
            <w:r>
              <w:rPr>
                <w:sz w:val="16"/>
              </w:rPr>
              <w:t xml:space="preserve">estrokovna in nenatančna komunikacija policistke ob sprejemu prijave kaznivega dejanja – </w:t>
            </w:r>
            <w:r w:rsidR="004458DE">
              <w:rPr>
                <w:sz w:val="16"/>
              </w:rPr>
              <w:t>E</w:t>
            </w:r>
            <w:r>
              <w:rPr>
                <w:sz w:val="16"/>
              </w:rPr>
              <w:t xml:space="preserve">nakost pred zakonom (14. člen Ustave RS), </w:t>
            </w:r>
          </w:p>
          <w:p w14:paraId="19CEAF59" w14:textId="65272A57" w:rsidR="002D52D2" w:rsidRDefault="00B43CDE">
            <w:r>
              <w:rPr>
                <w:sz w:val="16"/>
              </w:rPr>
              <w:t>-</w:t>
            </w:r>
            <w:r w:rsidR="008C6902">
              <w:rPr>
                <w:sz w:val="16"/>
              </w:rPr>
              <w:t xml:space="preserve"> </w:t>
            </w:r>
            <w:r>
              <w:rPr>
                <w:sz w:val="16"/>
              </w:rPr>
              <w:t>dvom v strokoven, neodvisen in zakonit postop</w:t>
            </w:r>
            <w:r>
              <w:rPr>
                <w:sz w:val="16"/>
              </w:rPr>
              <w:t>e</w:t>
            </w:r>
            <w:r w:rsidR="008C6902">
              <w:rPr>
                <w:sz w:val="16"/>
              </w:rPr>
              <w:t>k</w:t>
            </w:r>
            <w:r>
              <w:rPr>
                <w:sz w:val="16"/>
              </w:rPr>
              <w:t xml:space="preserve"> preiskave kaznivega dejanja s strani policije – </w:t>
            </w:r>
            <w:r w:rsidR="004458DE">
              <w:rPr>
                <w:sz w:val="16"/>
              </w:rPr>
              <w:t xml:space="preserve">Enako </w:t>
            </w:r>
            <w:r>
              <w:rPr>
                <w:sz w:val="16"/>
              </w:rPr>
              <w:t>varstvo pravic (22. člen Ustave RS)</w:t>
            </w:r>
          </w:p>
        </w:tc>
        <w:tc>
          <w:tcPr>
            <w:tcW w:w="0" w:type="auto"/>
          </w:tcPr>
          <w:p w14:paraId="29299B29" w14:textId="5086859E" w:rsidR="002D52D2" w:rsidRDefault="00B43CDE">
            <w:r>
              <w:rPr>
                <w:sz w:val="16"/>
              </w:rPr>
              <w:t>10.</w:t>
            </w:r>
            <w:r w:rsidR="004458DE">
              <w:rPr>
                <w:sz w:val="16"/>
              </w:rPr>
              <w:t xml:space="preserve"> </w:t>
            </w:r>
            <w:r>
              <w:rPr>
                <w:sz w:val="16"/>
              </w:rPr>
              <w:t>2.</w:t>
            </w:r>
            <w:r w:rsidR="004458DE">
              <w:rPr>
                <w:sz w:val="16"/>
              </w:rPr>
              <w:t xml:space="preserve"> </w:t>
            </w:r>
            <w:r>
              <w:rPr>
                <w:sz w:val="16"/>
              </w:rPr>
              <w:t>2026</w:t>
            </w:r>
          </w:p>
        </w:tc>
        <w:tc>
          <w:tcPr>
            <w:tcW w:w="0" w:type="auto"/>
          </w:tcPr>
          <w:p w14:paraId="3C3245B7" w14:textId="76CB84DB" w:rsidR="002D52D2" w:rsidRDefault="00B43CDE">
            <w:r>
              <w:rPr>
                <w:sz w:val="16"/>
              </w:rPr>
              <w:t>25.</w:t>
            </w:r>
            <w:r w:rsidR="008C6902">
              <w:rPr>
                <w:sz w:val="16"/>
              </w:rPr>
              <w:t xml:space="preserve"> </w:t>
            </w:r>
            <w:r>
              <w:rPr>
                <w:sz w:val="16"/>
              </w:rPr>
              <w:t>8.</w:t>
            </w:r>
            <w:r w:rsidR="008C6902">
              <w:rPr>
                <w:sz w:val="16"/>
              </w:rPr>
              <w:t xml:space="preserve"> </w:t>
            </w:r>
            <w:r>
              <w:rPr>
                <w:sz w:val="16"/>
              </w:rPr>
              <w:t>2026</w:t>
            </w:r>
          </w:p>
        </w:tc>
        <w:tc>
          <w:tcPr>
            <w:tcW w:w="0" w:type="auto"/>
          </w:tcPr>
          <w:p w14:paraId="6FA964CE" w14:textId="77777777" w:rsidR="002D52D2" w:rsidRDefault="00B43CDE">
            <w:r>
              <w:rPr>
                <w:sz w:val="16"/>
              </w:rPr>
              <w:t>2600-67/2026</w:t>
            </w:r>
          </w:p>
        </w:tc>
        <w:tc>
          <w:tcPr>
            <w:tcW w:w="0" w:type="auto"/>
          </w:tcPr>
          <w:p w14:paraId="508D1F2E" w14:textId="77777777" w:rsidR="002D52D2" w:rsidRDefault="00B43CDE">
            <w:r>
              <w:rPr>
                <w:sz w:val="16"/>
              </w:rPr>
              <w:t>PU KOPER</w:t>
            </w:r>
          </w:p>
        </w:tc>
        <w:tc>
          <w:tcPr>
            <w:tcW w:w="0" w:type="auto"/>
          </w:tcPr>
          <w:p w14:paraId="2AF67156" w14:textId="03EC07F4" w:rsidR="004458DE" w:rsidRDefault="00B43CDE">
            <w:pPr>
              <w:rPr>
                <w:sz w:val="16"/>
              </w:rPr>
            </w:pPr>
            <w:r>
              <w:rPr>
                <w:sz w:val="16"/>
              </w:rPr>
              <w:t xml:space="preserve">Pritožnica je podala kazensko ovadbo na zapisnik o </w:t>
            </w:r>
            <w:r>
              <w:rPr>
                <w:sz w:val="16"/>
              </w:rPr>
              <w:t>sprejemu ustne ovadbe, katerega je sprejela policistka. V času sprejemanja prijave pritožnice, je policistka prejela tudi telefonske klice kar je pritožnica dojela kot nestrokovnost</w:t>
            </w:r>
            <w:r>
              <w:rPr>
                <w:sz w:val="16"/>
              </w:rPr>
              <w:t>. Sprejetje klicev samo po sebi ne pomeni, da bi, policistka prijavo pritožnice zaradi tega napisala nestrokovno oziroma nenatančno,</w:t>
            </w:r>
            <w:r>
              <w:rPr>
                <w:sz w:val="16"/>
              </w:rPr>
              <w:t xml:space="preserve"> in sicer da v naznanitvi naj ne bi napisala vseh podatkov, ki jih je pritožnica povedala. Med sprejemom kazenske ovadbe in tudi po zaključku, je policistka, pritožnico seznanila z možnostjo, da svojo ovadbo dopolni kadarkoli. Iz pritožbene dokumentacije je razvidno, da je policistka naznanitev suma kaznivega dejanja, dosledno evidentirala, prav tako je pritožnici skozi podajo zapisnika, vseskozi postavljala dodatna </w:t>
            </w:r>
            <w:r>
              <w:rPr>
                <w:sz w:val="16"/>
              </w:rPr>
              <w:lastRenderedPageBreak/>
              <w:t xml:space="preserve">vprašanja z namenom, da dogodke opiše čimbolj natančno in podrobno. Prav tako je policistka </w:t>
            </w:r>
            <w:r>
              <w:rPr>
                <w:sz w:val="16"/>
              </w:rPr>
              <w:t>vprašala po morebitnih pričah, opažanjih ter dokazih ter tudi vprašanja, ki so se nanašala na počutje otroka pritožnice. Policistka je pritožnici tudi podala navodilo, da dokaze, v obliki fotografij in posnetkov zbere na elektronski nosilec podatkov. Pritožnica je bila seznanjena, da ji je policistka vedno na voljo, ko bo prišla na policijsko postajo, saj je policistka pritožnico vedno tudi sprejela, kljub temu, da bi lahko pritožnica, podala dopolnitev svoje izjave, tudi kateremu drugemu policistu, ki je b</w:t>
            </w:r>
            <w:r>
              <w:rPr>
                <w:sz w:val="16"/>
              </w:rPr>
              <w:t xml:space="preserve">il v tistem času v službi. Policistka je tudi zaznala stisko pritožnice, zaradi česar je obvestila pristojni center za socialno delo, ki je na policijsko postajo napotil strokovno delavko, ki se je vključila v postopek, iz česar izhaja, da je policistka strokovno in zakonito izvajala naloge s pritožnico pri izvajanju postopka. </w:t>
            </w:r>
          </w:p>
          <w:p w14:paraId="3EBA17F4" w14:textId="77777777" w:rsidR="004458DE" w:rsidRDefault="00B43CDE" w:rsidP="004458DE">
            <w:pPr>
              <w:jc w:val="right"/>
              <w:rPr>
                <w:sz w:val="16"/>
              </w:rPr>
            </w:pPr>
            <w:r>
              <w:rPr>
                <w:sz w:val="16"/>
              </w:rPr>
              <w:t>NE</w:t>
            </w:r>
          </w:p>
          <w:p w14:paraId="47E83884" w14:textId="0435B047" w:rsidR="009222F8" w:rsidRDefault="00B43CDE">
            <w:pPr>
              <w:rPr>
                <w:sz w:val="16"/>
              </w:rPr>
            </w:pPr>
            <w:r>
              <w:rPr>
                <w:sz w:val="16"/>
              </w:rPr>
              <w:t>Iz razgovorov in dokumentacije je bilo ugotovljeno, da je bila od naznanjenem kaznivem dejanju izdelana individualna ocena stopnje ogroženosti ter obveščen pristojni center za socialno delo. Na PP je bil pritožnici zasežen USB medij, kateri je bil pregledan in ovrednoten. Iz dokumentacije izhaja, da so bile v zvezi vsebine, katero je pritožnica podala na zapisnik o sprejemu ustne ovadbe, opravljena tudi zbiranja obvestil od družinskih članov in drugih oseb, prav tako so bili opravljeni razgovori z zaposleni</w:t>
            </w:r>
            <w:r>
              <w:rPr>
                <w:sz w:val="16"/>
              </w:rPr>
              <w:t xml:space="preserve">mi v družinskem podjetju, zdravstveno ustanovo ter pridobljeno mnenje pristojnega centra za socialno delo. Na podlagi vseh zbranih obvestil, ugotovljenih dejstev in okoliščin, suma storitve kaznivega dejanja, katerega je naznanila pritožnica, policisti tekom preiskave niso utemeljili, zaradi česar o so na podlagi 10. odstavka 148. člena Zakona o kazenskem postopku, na Okrožno državno tožilstvo podali poročilo.                                                                                                   </w:t>
            </w:r>
            <w:r>
              <w:rPr>
                <w:sz w:val="16"/>
              </w:rPr>
              <w:t xml:space="preserve">                                               </w:t>
            </w:r>
          </w:p>
          <w:p w14:paraId="50F21ABA" w14:textId="5DE57C8E" w:rsidR="002D52D2" w:rsidRDefault="00B43CDE" w:rsidP="009222F8">
            <w:pPr>
              <w:jc w:val="right"/>
            </w:pPr>
            <w:r>
              <w:rPr>
                <w:sz w:val="16"/>
              </w:rPr>
              <w:t>NE</w:t>
            </w:r>
          </w:p>
        </w:tc>
        <w:tc>
          <w:tcPr>
            <w:tcW w:w="0" w:type="auto"/>
          </w:tcPr>
          <w:p w14:paraId="72F82470" w14:textId="77777777" w:rsidR="002D52D2" w:rsidRDefault="00B43CDE">
            <w:r>
              <w:rPr>
                <w:sz w:val="16"/>
              </w:rPr>
              <w:lastRenderedPageBreak/>
              <w:t>NE</w:t>
            </w:r>
          </w:p>
        </w:tc>
      </w:tr>
    </w:tbl>
    <w:p w14:paraId="337DAF8F" w14:textId="77777777" w:rsidR="00B43CDE" w:rsidRDefault="00B43CDE"/>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D52D2"/>
    <w:rsid w:val="002D47B9"/>
    <w:rsid w:val="002D52D2"/>
    <w:rsid w:val="004458DE"/>
    <w:rsid w:val="004D1DBC"/>
    <w:rsid w:val="006F7A66"/>
    <w:rsid w:val="00705E97"/>
    <w:rsid w:val="008C6902"/>
    <w:rsid w:val="009222F8"/>
    <w:rsid w:val="00AC44A3"/>
    <w:rsid w:val="00B43CDE"/>
    <w:rsid w:val="00C65956"/>
    <w:rsid w:val="00E511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4330"/>
  <w15:docId w15:val="{B58A00B5-EC68-4DBA-979B-484F01DB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1182</Words>
  <Characters>6739</Characters>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2026-09-01T07:02:00Z</dcterms:created>
  <dcterms:modified xsi:type="dcterms:W3CDTF">2026-09-01T08:55:00Z</dcterms:modified>
</cp:coreProperties>
</file>