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(Uradni list RS, št. 63/07 – uradno prečiščeno besedilo, 65/08, 69/08-ZTFI-A, 69/08-ZZavar-E, 40/12-ZUJF</w:t>
      </w:r>
      <w:r w:rsidR="005D77D9" w:rsidRPr="00F53D1C">
        <w:rPr>
          <w:rFonts w:cs="Arial"/>
          <w:color w:val="000000" w:themeColor="text1"/>
          <w:sz w:val="20"/>
        </w:rPr>
        <w:t xml:space="preserve">, 158/20 – </w:t>
      </w:r>
      <w:proofErr w:type="spellStart"/>
      <w:r w:rsidR="005D77D9" w:rsidRPr="00F53D1C">
        <w:rPr>
          <w:rFonts w:cs="Arial"/>
          <w:color w:val="000000" w:themeColor="text1"/>
          <w:sz w:val="20"/>
        </w:rPr>
        <w:t>ZIntPK</w:t>
      </w:r>
      <w:proofErr w:type="spellEnd"/>
      <w:r w:rsidR="005D77D9" w:rsidRPr="00F53D1C">
        <w:rPr>
          <w:rFonts w:cs="Arial"/>
          <w:color w:val="000000" w:themeColor="text1"/>
          <w:sz w:val="20"/>
        </w:rPr>
        <w:t>-C in 203/20 – ZIUPOPDVE</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objavlja javni natečaj za zasedbo</w:t>
      </w:r>
      <w:r w:rsidR="00C05E08" w:rsidRPr="00F53D1C">
        <w:rPr>
          <w:rFonts w:cs="Arial"/>
          <w:color w:val="000000" w:themeColor="text1"/>
          <w:sz w:val="20"/>
        </w:rPr>
        <w:t xml:space="preserve"> uradnišk</w:t>
      </w:r>
      <w:r w:rsidR="006945ED" w:rsidRPr="00F53D1C">
        <w:rPr>
          <w:rFonts w:cs="Arial"/>
          <w:color w:val="000000" w:themeColor="text1"/>
          <w:sz w:val="20"/>
        </w:rPr>
        <w:t>ega</w:t>
      </w:r>
      <w:r w:rsidR="00C05E08" w:rsidRPr="00F53D1C">
        <w:rPr>
          <w:rFonts w:cs="Arial"/>
          <w:color w:val="000000" w:themeColor="text1"/>
          <w:sz w:val="20"/>
        </w:rPr>
        <w:t xml:space="preserve"> delovn</w:t>
      </w:r>
      <w:r w:rsidR="006945ED" w:rsidRPr="00F53D1C">
        <w:rPr>
          <w:rFonts w:cs="Arial"/>
          <w:color w:val="000000" w:themeColor="text1"/>
          <w:sz w:val="20"/>
        </w:rPr>
        <w:t>ega</w:t>
      </w:r>
      <w:r w:rsidR="00C05E08" w:rsidRPr="00F53D1C">
        <w:rPr>
          <w:rFonts w:cs="Arial"/>
          <w:color w:val="000000" w:themeColor="text1"/>
          <w:sz w:val="20"/>
        </w:rPr>
        <w:t xml:space="preserve"> mest</w:t>
      </w:r>
      <w:r w:rsidR="006945ED" w:rsidRPr="00F53D1C">
        <w:rPr>
          <w:rFonts w:cs="Arial"/>
          <w:color w:val="000000" w:themeColor="text1"/>
          <w:sz w:val="20"/>
        </w:rPr>
        <w:t>a</w:t>
      </w:r>
      <w:r w:rsidR="00B93993" w:rsidRPr="00F53D1C">
        <w:rPr>
          <w:rFonts w:cs="Arial"/>
          <w:color w:val="000000" w:themeColor="text1"/>
          <w:sz w:val="20"/>
        </w:rPr>
        <w:t>, ki bo postalo prosto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B93993" w:rsidP="00F53D1C">
      <w:pPr>
        <w:spacing w:line="260" w:lineRule="exact"/>
        <w:rPr>
          <w:rFonts w:cs="Arial"/>
          <w:bCs/>
          <w:color w:val="000000" w:themeColor="text1"/>
          <w:sz w:val="20"/>
        </w:rPr>
      </w:pPr>
      <w:bookmarkStart w:id="0" w:name="_GoBack"/>
      <w:r w:rsidRPr="00F53D1C">
        <w:rPr>
          <w:rStyle w:val="Krepko"/>
          <w:rFonts w:cs="Arial"/>
          <w:color w:val="000000" w:themeColor="text1"/>
          <w:sz w:val="20"/>
        </w:rPr>
        <w:t xml:space="preserve">VIŠJI </w:t>
      </w:r>
      <w:r w:rsidR="004B781C" w:rsidRPr="00F53D1C">
        <w:rPr>
          <w:rStyle w:val="Krepko"/>
          <w:rFonts w:cs="Arial"/>
          <w:color w:val="000000" w:themeColor="text1"/>
          <w:sz w:val="20"/>
        </w:rPr>
        <w:t xml:space="preserve">SVETOVALEC </w:t>
      </w:r>
      <w:r w:rsidR="004B781C" w:rsidRPr="00F53D1C">
        <w:rPr>
          <w:rFonts w:cs="Arial"/>
          <w:color w:val="000000" w:themeColor="text1"/>
          <w:sz w:val="20"/>
        </w:rPr>
        <w:t>(</w:t>
      </w:r>
      <w:r w:rsidR="00A568B1" w:rsidRPr="00F53D1C">
        <w:rPr>
          <w:rFonts w:cs="Arial"/>
          <w:color w:val="000000" w:themeColor="text1"/>
          <w:sz w:val="20"/>
        </w:rPr>
        <w:t xml:space="preserve">šifra DM </w:t>
      </w:r>
      <w:r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Pr="00F53D1C">
        <w:rPr>
          <w:rFonts w:cs="Arial"/>
          <w:bCs/>
          <w:color w:val="000000" w:themeColor="text1"/>
          <w:sz w:val="20"/>
        </w:rPr>
        <w:t>varnost in zdravje pri delu</w:t>
      </w:r>
      <w:bookmarkEnd w:id="0"/>
      <w:r w:rsidR="00A568B1" w:rsidRPr="00F53D1C">
        <w:rPr>
          <w:rFonts w:cs="Arial"/>
          <w:bCs/>
          <w:color w:val="000000" w:themeColor="text1"/>
          <w:sz w:val="20"/>
        </w:rPr>
        <w:t xml:space="preserve"> (izvaja se v nazivu </w:t>
      </w:r>
      <w:r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1C603E" w:rsidRPr="00F53D1C" w:rsidRDefault="004B781C"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visokošolsko strokovno izobraževanje (prejšnje)/visokošolska strokovna izobrazba (prejšnja): </w:t>
      </w:r>
      <w:r w:rsidR="00B93993" w:rsidRPr="00F53D1C">
        <w:rPr>
          <w:rFonts w:cs="Arial"/>
          <w:color w:val="000000" w:themeColor="text1"/>
          <w:sz w:val="20"/>
        </w:rPr>
        <w:t>varnost in zdravje pri delu</w:t>
      </w:r>
      <w:r w:rsidRPr="00F53D1C">
        <w:rPr>
          <w:rFonts w:cs="Arial"/>
          <w:color w:val="000000" w:themeColor="text1"/>
          <w:sz w:val="20"/>
        </w:rPr>
        <w:t>,</w:t>
      </w:r>
    </w:p>
    <w:p w:rsidR="001C603E"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w:t>
      </w:r>
      <w:r w:rsidR="00361E70" w:rsidRPr="00F53D1C">
        <w:rPr>
          <w:rFonts w:cs="Arial"/>
          <w:color w:val="000000" w:themeColor="text1"/>
          <w:sz w:val="20"/>
        </w:rPr>
        <w:t xml:space="preserve">ošolsko strokovno izobraževanje </w:t>
      </w:r>
      <w:r w:rsidRPr="00F53D1C">
        <w:rPr>
          <w:rFonts w:cs="Arial"/>
          <w:color w:val="000000" w:themeColor="text1"/>
          <w:sz w:val="20"/>
        </w:rPr>
        <w:t>(prva b</w:t>
      </w:r>
      <w:r w:rsidR="001C603E" w:rsidRPr="00F53D1C">
        <w:rPr>
          <w:rFonts w:cs="Arial"/>
          <w:color w:val="000000" w:themeColor="text1"/>
          <w:sz w:val="20"/>
        </w:rPr>
        <w:t xml:space="preserve">olonjska stopnja)/visokošolska </w:t>
      </w:r>
      <w:r w:rsidRPr="00F53D1C">
        <w:rPr>
          <w:rFonts w:cs="Arial"/>
          <w:color w:val="000000" w:themeColor="text1"/>
          <w:sz w:val="20"/>
        </w:rPr>
        <w:t>strokovna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Pr="00F53D1C">
        <w:rPr>
          <w:rFonts w:cs="Arial"/>
          <w:color w:val="000000" w:themeColor="text1"/>
          <w:sz w:val="20"/>
        </w:rPr>
        <w:t>,</w:t>
      </w:r>
    </w:p>
    <w:p w:rsidR="004B781C"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visokošolsko univerzitetno izobraževanje (prva b</w:t>
      </w:r>
      <w:r w:rsidR="001C603E" w:rsidRPr="00F53D1C">
        <w:rPr>
          <w:rFonts w:cs="Arial"/>
          <w:color w:val="000000" w:themeColor="text1"/>
          <w:sz w:val="20"/>
        </w:rPr>
        <w:t xml:space="preserve">olonjska stopnja)/visokošolska </w:t>
      </w:r>
      <w:r w:rsidRPr="00F53D1C">
        <w:rPr>
          <w:rFonts w:cs="Arial"/>
          <w:color w:val="000000" w:themeColor="text1"/>
          <w:sz w:val="20"/>
        </w:rPr>
        <w:t>univerzitetna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00C05E08" w:rsidRPr="00F53D1C">
        <w:rPr>
          <w:rFonts w:cs="Arial"/>
          <w:color w:val="000000" w:themeColor="text1"/>
          <w:sz w:val="20"/>
        </w:rPr>
        <w:t>,</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F53D1C">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F53D1C">
      <w:pPr>
        <w:pStyle w:val="Odstavekseznama"/>
        <w:numPr>
          <w:ilvl w:val="0"/>
          <w:numId w:val="41"/>
        </w:num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F53D1C">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F53D1C">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Pr="00F53D1C"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35</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EE5E77" w:rsidP="00F53D1C">
      <w:pPr>
        <w:tabs>
          <w:tab w:val="left" w:pos="3402"/>
        </w:tabs>
        <w:autoSpaceDE w:val="0"/>
        <w:autoSpaceDN w:val="0"/>
        <w:adjustRightInd w:val="0"/>
        <w:spacing w:line="260" w:lineRule="exact"/>
        <w:rPr>
          <w:rFonts w:cs="Arial"/>
          <w:color w:val="000000" w:themeColor="text1"/>
          <w:sz w:val="20"/>
        </w:rPr>
      </w:pPr>
      <w:r w:rsidRPr="00F53D1C">
        <w:rPr>
          <w:rFonts w:cs="Arial"/>
          <w:color w:val="000000" w:themeColor="text1"/>
          <w:sz w:val="20"/>
        </w:rPr>
        <w:t xml:space="preserve">Kandidat vloži prijavo v pisni obliki, na priloženem obrazcu </w:t>
      </w:r>
      <w:r w:rsidRPr="00F53D1C">
        <w:rPr>
          <w:rFonts w:cs="Arial"/>
          <w:b/>
          <w:color w:val="000000" w:themeColor="text1"/>
          <w:sz w:val="20"/>
        </w:rPr>
        <w:t>"Vloga za zaposlitev"</w:t>
      </w:r>
      <w:r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lastRenderedPageBreak/>
        <w:t>svetovalec, št. 1100-</w:t>
      </w:r>
      <w:r w:rsidR="00BC3CFE" w:rsidRPr="00F53D1C">
        <w:rPr>
          <w:rFonts w:cs="Arial"/>
          <w:b/>
          <w:color w:val="000000" w:themeColor="text1"/>
          <w:sz w:val="20"/>
        </w:rPr>
        <w:t>122</w:t>
      </w:r>
      <w:r w:rsidR="00A33DE6" w:rsidRPr="00F53D1C">
        <w:rPr>
          <w:rFonts w:cs="Arial"/>
          <w:b/>
          <w:color w:val="000000" w:themeColor="text1"/>
          <w:sz w:val="20"/>
        </w:rPr>
        <w:t>/</w:t>
      </w:r>
      <w:r w:rsidR="00BC3CFE" w:rsidRPr="00F53D1C">
        <w:rPr>
          <w:rFonts w:cs="Arial"/>
          <w:b/>
          <w:color w:val="000000" w:themeColor="text1"/>
          <w:sz w:val="20"/>
        </w:rPr>
        <w:t>2021</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C35FB">
        <w:rPr>
          <w:rFonts w:cs="Arial"/>
          <w:b/>
          <w:color w:val="000000" w:themeColor="text1"/>
          <w:sz w:val="20"/>
        </w:rPr>
        <w:t>8</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xml:space="preserve">. Informacije o izvedbi postopka: ga. Sabina </w:t>
      </w:r>
      <w:proofErr w:type="spellStart"/>
      <w:r w:rsidRPr="00F53D1C">
        <w:rPr>
          <w:rFonts w:cs="Arial"/>
          <w:color w:val="000000" w:themeColor="text1"/>
          <w:sz w:val="20"/>
        </w:rPr>
        <w:t>Bernjak</w:t>
      </w:r>
      <w:proofErr w:type="spellEnd"/>
      <w:r w:rsidRPr="00F53D1C">
        <w:rPr>
          <w:rFonts w:cs="Arial"/>
          <w:color w:val="000000" w:themeColor="text1"/>
          <w:sz w:val="20"/>
        </w:rPr>
        <w:t>, Urad za organizacijo in kadre, tel. 01 428 50 17.</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D642F">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D642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2"/>
  </w:num>
  <w:num w:numId="4">
    <w:abstractNumId w:val="9"/>
  </w:num>
  <w:num w:numId="5">
    <w:abstractNumId w:val="22"/>
  </w:num>
  <w:num w:numId="6">
    <w:abstractNumId w:val="35"/>
  </w:num>
  <w:num w:numId="7">
    <w:abstractNumId w:val="25"/>
  </w:num>
  <w:num w:numId="8">
    <w:abstractNumId w:val="8"/>
  </w:num>
  <w:num w:numId="9">
    <w:abstractNumId w:val="2"/>
  </w:num>
  <w:num w:numId="10">
    <w:abstractNumId w:val="12"/>
  </w:num>
  <w:num w:numId="11">
    <w:abstractNumId w:val="14"/>
  </w:num>
  <w:num w:numId="12">
    <w:abstractNumId w:val="27"/>
  </w:num>
  <w:num w:numId="13">
    <w:abstractNumId w:val="6"/>
  </w:num>
  <w:num w:numId="14">
    <w:abstractNumId w:val="10"/>
  </w:num>
  <w:num w:numId="15">
    <w:abstractNumId w:val="41"/>
  </w:num>
  <w:num w:numId="16">
    <w:abstractNumId w:val="28"/>
  </w:num>
  <w:num w:numId="17">
    <w:abstractNumId w:val="20"/>
  </w:num>
  <w:num w:numId="18">
    <w:abstractNumId w:val="4"/>
  </w:num>
  <w:num w:numId="19">
    <w:abstractNumId w:val="18"/>
  </w:num>
  <w:num w:numId="20">
    <w:abstractNumId w:val="29"/>
  </w:num>
  <w:num w:numId="21">
    <w:abstractNumId w:val="42"/>
  </w:num>
  <w:num w:numId="22">
    <w:abstractNumId w:val="39"/>
  </w:num>
  <w:num w:numId="23">
    <w:abstractNumId w:val="16"/>
  </w:num>
  <w:num w:numId="24">
    <w:abstractNumId w:val="13"/>
  </w:num>
  <w:num w:numId="25">
    <w:abstractNumId w:val="15"/>
  </w:num>
  <w:num w:numId="26">
    <w:abstractNumId w:val="37"/>
  </w:num>
  <w:num w:numId="27">
    <w:abstractNumId w:val="19"/>
  </w:num>
  <w:num w:numId="28">
    <w:abstractNumId w:val="33"/>
  </w:num>
  <w:num w:numId="29">
    <w:abstractNumId w:val="26"/>
  </w:num>
  <w:num w:numId="30">
    <w:abstractNumId w:val="17"/>
  </w:num>
  <w:num w:numId="31">
    <w:abstractNumId w:val="1"/>
  </w:num>
  <w:num w:numId="32">
    <w:abstractNumId w:val="23"/>
  </w:num>
  <w:num w:numId="33">
    <w:abstractNumId w:val="38"/>
  </w:num>
  <w:num w:numId="34">
    <w:abstractNumId w:val="5"/>
  </w:num>
  <w:num w:numId="35">
    <w:abstractNumId w:val="21"/>
  </w:num>
  <w:num w:numId="36">
    <w:abstractNumId w:val="3"/>
  </w:num>
  <w:num w:numId="37">
    <w:abstractNumId w:val="0"/>
  </w:num>
  <w:num w:numId="38">
    <w:abstractNumId w:val="40"/>
  </w:num>
  <w:num w:numId="39">
    <w:abstractNumId w:val="36"/>
  </w:num>
  <w:num w:numId="40">
    <w:abstractNumId w:val="34"/>
  </w:num>
  <w:num w:numId="41">
    <w:abstractNumId w:val="7"/>
  </w:num>
  <w:num w:numId="42">
    <w:abstractNumId w:val="3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D642F"/>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20637"/>
    <w:rsid w:val="00B27E48"/>
    <w:rsid w:val="00B31FF3"/>
    <w:rsid w:val="00B33AA9"/>
    <w:rsid w:val="00B5225E"/>
    <w:rsid w:val="00B70BAD"/>
    <w:rsid w:val="00B80E6E"/>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719D"/>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1125</Words>
  <Characters>6700</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7810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25318) v Sekretariatu, Uradu za organizacijo in kadre, Službi za varnost in zdravje pri delu</dc:title>
  <dc:subject/>
  <dc:creator>Barbara Čop</dc:creator>
  <cp:keywords/>
  <dc:description/>
  <cp:lastModifiedBy>MNZ TS</cp:lastModifiedBy>
  <cp:revision>6</cp:revision>
  <cp:lastPrinted>2019-01-09T13:20:00Z</cp:lastPrinted>
  <dcterms:created xsi:type="dcterms:W3CDTF">2021-03-11T08:23:00Z</dcterms:created>
  <dcterms:modified xsi:type="dcterms:W3CDTF">2021-03-22T06:50:00Z</dcterms:modified>
</cp:coreProperties>
</file>