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V – ZA PREHRANO </w:t>
      </w:r>
      <w:r w:rsidRPr="0051295C">
        <w:rPr>
          <w:rStyle w:val="Krepko"/>
          <w:rFonts w:cs="Arial"/>
          <w:b w:val="0"/>
          <w:color w:val="000000" w:themeColor="text1"/>
          <w:sz w:val="20"/>
        </w:rPr>
        <w:t>(26833</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Uradu za logistiko, Službi za nastanitev in prehrano, Oddelku za prehrano.</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51295C"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Pr="00146E9B">
        <w:rPr>
          <w:rFonts w:cs="Arial"/>
          <w:color w:val="000000" w:themeColor="text1"/>
          <w:sz w:val="20"/>
        </w:rPr>
        <w:t xml:space="preserve">najmanj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5622ED"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sidRPr="005622ED">
        <w:rPr>
          <w:rFonts w:ascii="Arial" w:hAnsi="Arial" w:cs="Arial"/>
          <w:color w:val="000000" w:themeColor="text1"/>
          <w:sz w:val="20"/>
          <w:szCs w:val="20"/>
        </w:rPr>
        <w:t>strežba pijač in ostalih prodajnih artiklov</w:t>
      </w:r>
      <w:r>
        <w:rPr>
          <w:rFonts w:ascii="Arial" w:hAnsi="Arial" w:cs="Arial"/>
          <w:color w:val="000000" w:themeColor="text1"/>
          <w:sz w:val="20"/>
          <w:szCs w:val="20"/>
        </w:rPr>
        <w:t>.</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prehrano,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150</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FF409E">
        <w:rPr>
          <w:rFonts w:cs="Arial"/>
          <w:b/>
          <w:color w:val="000000" w:themeColor="text1"/>
          <w:sz w:val="20"/>
        </w:rPr>
        <w:t>8</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C6" w:rsidRDefault="009334C6">
      <w:r>
        <w:separator/>
      </w:r>
    </w:p>
  </w:endnote>
  <w:endnote w:type="continuationSeparator" w:id="0">
    <w:p w:rsidR="009334C6" w:rsidRDefault="0093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FF409E">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FF409E">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C6" w:rsidRDefault="009334C6">
      <w:r>
        <w:separator/>
      </w:r>
    </w:p>
  </w:footnote>
  <w:footnote w:type="continuationSeparator" w:id="0">
    <w:p w:rsidR="009334C6" w:rsidRDefault="0093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FD03B"/>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4939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10</cp:revision>
  <cp:lastPrinted>2019-03-18T14:02:00Z</cp:lastPrinted>
  <dcterms:created xsi:type="dcterms:W3CDTF">2019-07-04T11:23:00Z</dcterms:created>
  <dcterms:modified xsi:type="dcterms:W3CDTF">2019-07-22T08:01:00Z</dcterms:modified>
</cp:coreProperties>
</file>