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9B" w:rsidRPr="005958F8" w:rsidRDefault="00BB529B" w:rsidP="005958F8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</w:pPr>
      <w:bookmarkStart w:id="0" w:name="_GoBack"/>
      <w:bookmarkEnd w:id="0"/>
      <w:r w:rsidRPr="00BB529B"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  <w:t>Seznam držav s poslabšano epidemiološko situacijo</w:t>
      </w:r>
      <w:r w:rsidRPr="005958F8">
        <w:rPr>
          <w:rFonts w:ascii="Arial" w:eastAsia="Times New Roman" w:hAnsi="Arial" w:cs="Arial"/>
          <w:b/>
          <w:bCs/>
          <w:sz w:val="24"/>
          <w:szCs w:val="24"/>
          <w:lang w:val="sl-SI" w:eastAsia="sl-SI"/>
        </w:rPr>
        <w:t xml:space="preserve"> (t. i. rdeči seznam)</w:t>
      </w:r>
    </w:p>
    <w:p w:rsid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Katar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Bahrajn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Čile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4.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Kuvajt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5.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Peru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6.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Armenija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7.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Džibuti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8.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Oman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9.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Brazilija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10.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Panama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11.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Belorusija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trike/>
          <w:sz w:val="20"/>
          <w:szCs w:val="20"/>
          <w:lang w:val="sl-SI" w:eastAsia="sl-SI"/>
        </w:rPr>
        <w:t>Andora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(črtana 17. 7. 2020 in z istim dnem dodana na zeleni seznam)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12.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Singapur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13.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Švedska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14.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Maldivi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15.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Sao Tome in Principe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16.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Združeni arabski emirati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17.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Združene države Amerike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18.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proofErr w:type="spellStart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Saudova</w:t>
      </w:r>
      <w:proofErr w:type="spellEnd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Arabija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19.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 xml:space="preserve">Rusija 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20.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Moldavija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21.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 xml:space="preserve">Gibraltar 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22.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 xml:space="preserve">Bolivija 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23.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Portoriko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24.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Gabon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25.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proofErr w:type="spellStart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Kajmanski</w:t>
      </w:r>
      <w:proofErr w:type="spellEnd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otoki 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lastRenderedPageBreak/>
        <w:t>26.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Dominikanska republika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27.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Republika Južna Afrika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28.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Iran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trike/>
          <w:sz w:val="20"/>
          <w:szCs w:val="20"/>
          <w:lang w:val="sl-SI" w:eastAsia="sl-SI"/>
        </w:rPr>
        <w:t>Združeno kraljestvo Velike Britanije in Severne Irske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(črtano 17. 7. 2020 in z istim dnem dodana na zeleni seznam)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29.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Severna Makedonija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30.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 xml:space="preserve">Srbija 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31.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Bosna in Hercegovina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32.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Kosovo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33.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Portugalska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34.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Albanija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35.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Luksemburg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36.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Črna gora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37.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Kitajska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38.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Alžirija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39.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Kazahstan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40.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Honduras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41.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Izrael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42.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Ekvatorialna Gvineja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43.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Zelenortski otoki (dodani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44.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Kolumbija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45.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 xml:space="preserve">Otoki </w:t>
      </w:r>
      <w:proofErr w:type="spellStart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Turks</w:t>
      </w:r>
      <w:proofErr w:type="spellEnd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in </w:t>
      </w:r>
      <w:proofErr w:type="spellStart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Caicos</w:t>
      </w:r>
      <w:proofErr w:type="spellEnd"/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(dodan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46.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Azerbajdžan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47.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Irak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48.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Deviški otoki Združenih držav (dodani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49.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Kirgizija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50.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Argentina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51.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Sejšeli (dodan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lastRenderedPageBreak/>
        <w:t>52.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Kostarika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53.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Ekvador (dodan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54.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Gvatemala (dodana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>55.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ab/>
        <w:t>Mehika (dodan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a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56.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Salvador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P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57.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val="sl-SI" w:eastAsia="sl-SI"/>
        </w:rPr>
        <w:t>Esvatini</w:t>
      </w:r>
      <w:proofErr w:type="spellEnd"/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Default="00F93AF6" w:rsidP="00F93A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58.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ab/>
        <w:t>Surinam (dodan</w:t>
      </w:r>
      <w:r w:rsidRPr="00F93AF6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17. 7. 2020)</w:t>
      </w:r>
    </w:p>
    <w:p w:rsidR="00F93AF6" w:rsidRDefault="00F93AF6" w:rsidP="00F93AF6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val="sl-SI" w:eastAsia="sl-SI"/>
        </w:rPr>
      </w:pPr>
    </w:p>
    <w:p w:rsidR="005958F8" w:rsidRPr="005958F8" w:rsidRDefault="005958F8" w:rsidP="00F93AF6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5958F8">
        <w:rPr>
          <w:rFonts w:ascii="Arial" w:eastAsia="Times New Roman" w:hAnsi="Arial" w:cs="Arial"/>
          <w:b/>
          <w:sz w:val="20"/>
          <w:szCs w:val="20"/>
          <w:lang w:val="sl-SI" w:eastAsia="sl-SI"/>
        </w:rPr>
        <w:t>14-dnevna karantena</w:t>
      </w:r>
      <w:r w:rsidRPr="005958F8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se odredi vsem osebam, ki vstopajo v Slovenijo in imajo stalno ali začasno prebivališče v državah s poslabšano epidemiološko situacijo (t. i. rdeči seznam) in vsem osebam ne glede na državljanstvo ali državo bivanja, ki prihajajo v Slovenijo iz teh držav.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*</w:t>
      </w:r>
    </w:p>
    <w:p w:rsidR="00BB529B" w:rsidRPr="005958F8" w:rsidRDefault="005958F8" w:rsidP="005958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* I</w:t>
      </w:r>
      <w:r w:rsidR="00BB529B" w:rsidRPr="005958F8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zjeme</w:t>
      </w:r>
      <w:r w:rsidR="00BB529B" w:rsidRPr="005958F8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(omogočen vstop brez omejitev in karantene) veljajo le za:</w:t>
      </w:r>
    </w:p>
    <w:p w:rsidR="00BB529B" w:rsidRP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o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 gospodarskem prometu oziroma dejavnostih, ki se ob prehodu meje izkaže z dokazili o opravljanju prometa oziroma dejavnosti v Republiki Sloveniji ali tujini (potrdilo o opravljeni prijavi začetka izvajanja storitev in potrdilo A1 v skladu z zakonom, ki ureja čezmejno izvajanje storitev) in se vrača čez mejo v 24 urah po vstopu oziroma predloži negativni izvid testa na prisotnost SARS-CoV-2 (COVID-19). Kadar gre za osebo, ki je zaposlena pri tujem podjetju, ki izvaja storitev v Republiki Sloveniji in pri tem biva v Republiki Sloveniji, mora ta oseba ob prehodu meje predložiti tudi naslov prebivališča v Republiki Sloveniji in negativni izvid testa na prisotnost SARS-CoV-2 (COVID-19) (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2.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o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, ki 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je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napoten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ali z opravljanja nalog v sektorju mednarodnega prevoza in to ob prehodu meje izkazuje s »Spričevalom za delavce v sektorju mednarodnega prevoza« iz Priloge 3 Sporočila Komisije o izvajanju zelenih voznih pasov iz Smernic glede ukrepov za upravljanje meja za zaščito zdravja in zagotovitev razpoložljivosti blaga in bistvenih storitev ali z drugo ustrezno listino, iz katere je mogoče razbrati, da jo je napotil delodajalec (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3.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o, ki izvaja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prevoz blaga v Republiko Slovenijo ali iz Republike Slovenije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ter za tovorni promet v tranzitu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in 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 xml:space="preserve">ki 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zapusti Republiko Slovenijo v 12 urah po vstopu (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4.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 xml:space="preserve">o, 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ki potuje v tranzitu čez Republiko Slovenijo v drugo državo v 12 urah po vstopu (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5.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);</w:t>
      </w:r>
    </w:p>
    <w:p w:rsidR="00BB529B" w:rsidRDefault="00BB529B" w:rsidP="00BB529B">
      <w:pPr>
        <w:pStyle w:val="Odstavekseznam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Default="00BB529B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oseb</w:t>
      </w:r>
      <w:r w:rsidR="005C52F5">
        <w:rPr>
          <w:rFonts w:ascii="Arial" w:eastAsia="Times New Roman" w:hAnsi="Arial" w:cs="Arial"/>
          <w:sz w:val="20"/>
          <w:szCs w:val="20"/>
          <w:lang w:val="sl-SI" w:eastAsia="sl-SI"/>
        </w:rPr>
        <w:t xml:space="preserve">o 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z diplomatskim potnim listom (</w:t>
      </w:r>
      <w:r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6. točka 10. člena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>) in</w:t>
      </w:r>
    </w:p>
    <w:p w:rsidR="00BB529B" w:rsidRPr="00BB529B" w:rsidRDefault="00BB529B" w:rsidP="00BB529B">
      <w:pPr>
        <w:pStyle w:val="Odstavekseznama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5C52F5" w:rsidP="00BB529B">
      <w:pPr>
        <w:pStyle w:val="Odstavekseznama"/>
        <w:numPr>
          <w:ilvl w:val="0"/>
          <w:numId w:val="6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>osebo</w:t>
      </w:r>
      <w:r w:rsidR="00BB529B" w:rsidRPr="00BB529B">
        <w:rPr>
          <w:rFonts w:ascii="Arial" w:eastAsia="Times New Roman" w:hAnsi="Arial" w:cs="Arial"/>
          <w:sz w:val="20"/>
          <w:szCs w:val="20"/>
          <w:lang w:val="sl-SI" w:eastAsia="sl-SI"/>
        </w:rPr>
        <w:t>, ki zagotavlja storitve, za katere ji je potrdilo izdalo pristojno ministrstvo, in bi lahko, zaradi neizvajanja teh storitev, zaradi odreditve karantene prišlo do večje družbene ali gospodarske škode (</w:t>
      </w:r>
      <w:r w:rsidR="00BB529B" w:rsidRPr="00BB529B">
        <w:rPr>
          <w:rFonts w:ascii="Arial" w:eastAsia="Times New Roman" w:hAnsi="Arial" w:cs="Arial"/>
          <w:b/>
          <w:sz w:val="20"/>
          <w:szCs w:val="20"/>
          <w:lang w:val="sl-SI" w:eastAsia="sl-SI"/>
        </w:rPr>
        <w:t>7. točka 10. člena</w:t>
      </w:r>
      <w:r w:rsidR="00BB529B" w:rsidRPr="00BB529B">
        <w:rPr>
          <w:rFonts w:ascii="Arial" w:eastAsia="Times New Roman" w:hAnsi="Arial" w:cs="Arial"/>
          <w:sz w:val="20"/>
          <w:szCs w:val="20"/>
          <w:lang w:val="sl-SI" w:eastAsia="sl-SI"/>
        </w:rPr>
        <w:t>).</w:t>
      </w:r>
    </w:p>
    <w:p w:rsidR="00BB529B" w:rsidRDefault="00BB529B" w:rsidP="00BB52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BB529B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Dodatno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za izjemi iz 2. in 7. točke velja, da morajo te osebe ob prehodu meje predložiti </w:t>
      </w:r>
      <w:r w:rsidRPr="00BB529B">
        <w:rPr>
          <w:rFonts w:ascii="Arial" w:eastAsia="Times New Roman" w:hAnsi="Arial" w:cs="Arial"/>
          <w:b/>
          <w:bCs/>
          <w:sz w:val="20"/>
          <w:szCs w:val="20"/>
          <w:lang w:val="sl-SI" w:eastAsia="sl-SI"/>
        </w:rPr>
        <w:t>negativni izvid testa</w:t>
      </w:r>
      <w:r w:rsidRPr="00BB529B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na prisotnost COVID-19, ki ni starejši od 36 ur in je bil opravljen v državi članici Evropske unije ali schengenskega območja ali v organizaciji oziroma pri posamezniku, ki ju je pooblastil Nacionalni inštitut za javno zdravje.</w:t>
      </w:r>
    </w:p>
    <w:p w:rsidR="00BB529B" w:rsidRDefault="00BB529B" w:rsidP="00BB52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sl-SI" w:eastAsia="sl-SI"/>
        </w:rPr>
      </w:pPr>
    </w:p>
    <w:p w:rsidR="00BB529B" w:rsidRPr="00BB529B" w:rsidRDefault="005958F8" w:rsidP="00F93AF6">
      <w:pPr>
        <w:spacing w:before="100" w:beforeAutospacing="1" w:after="100" w:afterAutospacing="1" w:line="276" w:lineRule="auto"/>
        <w:jc w:val="right"/>
        <w:rPr>
          <w:rFonts w:ascii="Arial" w:eastAsia="Times New Roman" w:hAnsi="Arial" w:cs="Arial"/>
          <w:sz w:val="20"/>
          <w:szCs w:val="20"/>
          <w:lang w:val="sl-SI" w:eastAsia="sl-SI"/>
        </w:rPr>
      </w:pPr>
      <w:r w:rsidRPr="005958F8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 xml:space="preserve">Seznam posodobljen </w:t>
      </w:r>
      <w:r w:rsidR="00C12F0C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1</w:t>
      </w:r>
      <w:r w:rsidR="00B423C3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7</w:t>
      </w:r>
      <w:r w:rsidRPr="005958F8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 xml:space="preserve">. </w:t>
      </w:r>
      <w:r w:rsidR="00DA6D89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7</w:t>
      </w:r>
      <w:r w:rsidRPr="005958F8">
        <w:rPr>
          <w:rFonts w:ascii="Arial" w:eastAsia="Times New Roman" w:hAnsi="Arial" w:cs="Arial"/>
          <w:bCs/>
          <w:color w:val="7F7F7F" w:themeColor="text1" w:themeTint="80"/>
          <w:sz w:val="20"/>
          <w:szCs w:val="20"/>
          <w:lang w:val="sl-SI" w:eastAsia="sl-SI"/>
        </w:rPr>
        <w:t>. 2020.</w:t>
      </w:r>
    </w:p>
    <w:sectPr w:rsidR="00BB529B" w:rsidRPr="00BB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CB9"/>
    <w:multiLevelType w:val="multilevel"/>
    <w:tmpl w:val="454C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5754"/>
    <w:multiLevelType w:val="multilevel"/>
    <w:tmpl w:val="EF02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400E6"/>
    <w:multiLevelType w:val="hybridMultilevel"/>
    <w:tmpl w:val="6C86EF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734F9"/>
    <w:multiLevelType w:val="hybridMultilevel"/>
    <w:tmpl w:val="0846DC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25B76"/>
    <w:multiLevelType w:val="hybridMultilevel"/>
    <w:tmpl w:val="CEBA48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2625"/>
    <w:multiLevelType w:val="hybridMultilevel"/>
    <w:tmpl w:val="2CB69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B"/>
    <w:rsid w:val="00575883"/>
    <w:rsid w:val="005958F8"/>
    <w:rsid w:val="005C52F5"/>
    <w:rsid w:val="00B423C3"/>
    <w:rsid w:val="00BB529B"/>
    <w:rsid w:val="00C12F0C"/>
    <w:rsid w:val="00CC1FBC"/>
    <w:rsid w:val="00DA6D89"/>
    <w:rsid w:val="00E53C03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F222-67C7-48CE-AB57-267DD3B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BB529B"/>
    <w:rPr>
      <w:b/>
      <w:bCs/>
    </w:rPr>
  </w:style>
  <w:style w:type="paragraph" w:styleId="Odstavekseznama">
    <w:name w:val="List Paragraph"/>
    <w:basedOn w:val="Navaden"/>
    <w:uiPriority w:val="34"/>
    <w:qFormat/>
    <w:rsid w:val="00BB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Marlena</dc:creator>
  <cp:keywords/>
  <dc:description/>
  <cp:lastModifiedBy>Mirjana Vertič Gotal</cp:lastModifiedBy>
  <cp:revision>2</cp:revision>
  <dcterms:created xsi:type="dcterms:W3CDTF">2020-07-17T13:31:00Z</dcterms:created>
  <dcterms:modified xsi:type="dcterms:W3CDTF">2020-07-17T13:31:00Z</dcterms:modified>
</cp:coreProperties>
</file>