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8E" w:rsidRDefault="00C14822">
      <w:pPr>
        <w:spacing w:after="781" w:line="259" w:lineRule="auto"/>
        <w:ind w:left="15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27578E" w:rsidRDefault="00C14822">
      <w:pPr>
        <w:spacing w:after="0" w:line="265" w:lineRule="auto"/>
        <w:ind w:left="25"/>
        <w:jc w:val="left"/>
      </w:pPr>
      <w:r>
        <w:rPr>
          <w:noProof/>
        </w:rPr>
        <w:drawing>
          <wp:inline distT="0" distB="0" distL="0" distR="0">
            <wp:extent cx="1572904" cy="769370"/>
            <wp:effectExtent l="0" t="0" r="8255" b="0"/>
            <wp:docPr id="14" name="Picture 14" descr="emblem EU" title="emblem E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904" cy="76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3"/>
        </w:rPr>
        <w:t>EVROPSKA</w:t>
      </w:r>
      <w:r>
        <w:rPr>
          <w:rFonts w:ascii="Arial" w:eastAsia="Arial" w:hAnsi="Arial" w:cs="Arial"/>
        </w:rPr>
        <w:t xml:space="preserve"> </w:t>
      </w:r>
    </w:p>
    <w:p w:rsidR="0027578E" w:rsidRDefault="00C14822">
      <w:pPr>
        <w:spacing w:after="1000" w:line="265" w:lineRule="auto"/>
        <w:ind w:left="25"/>
        <w:jc w:val="left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3"/>
        </w:rPr>
        <w:t xml:space="preserve">KOMISIJA </w:t>
      </w:r>
    </w:p>
    <w:p w:rsidR="0027578E" w:rsidRDefault="00C14822">
      <w:pPr>
        <w:spacing w:after="0" w:line="265" w:lineRule="auto"/>
        <w:jc w:val="center"/>
      </w:pPr>
      <w:r>
        <w:t xml:space="preserve">Bruselj, 27.11.2019  </w:t>
      </w:r>
    </w:p>
    <w:p w:rsidR="0027578E" w:rsidRDefault="00C14822">
      <w:pPr>
        <w:spacing w:after="518" w:line="265" w:lineRule="auto"/>
        <w:ind w:right="53"/>
        <w:jc w:val="center"/>
      </w:pPr>
      <w:r>
        <w:t xml:space="preserve">C(2019) 8544 </w:t>
      </w:r>
      <w:proofErr w:type="spellStart"/>
      <w:r>
        <w:t>final</w:t>
      </w:r>
      <w:proofErr w:type="spellEnd"/>
      <w:r>
        <w:t xml:space="preserve"> </w:t>
      </w:r>
    </w:p>
    <w:p w:rsidR="0027578E" w:rsidRDefault="00C14822">
      <w:pPr>
        <w:spacing w:after="494" w:line="259" w:lineRule="auto"/>
        <w:ind w:left="1141" w:firstLine="0"/>
        <w:jc w:val="center"/>
      </w:pPr>
      <w:r>
        <w:rPr>
          <w:i/>
          <w:sz w:val="32"/>
        </w:rPr>
        <w:t xml:space="preserve"> </w:t>
      </w:r>
    </w:p>
    <w:p w:rsidR="0027578E" w:rsidRDefault="00C14822">
      <w:pPr>
        <w:spacing w:after="327" w:line="265" w:lineRule="auto"/>
        <w:ind w:left="10" w:right="63"/>
        <w:jc w:val="center"/>
      </w:pPr>
      <w:r>
        <w:rPr>
          <w:b/>
        </w:rPr>
        <w:t xml:space="preserve">IZVEDBENI SKLEP KOMISIJE </w:t>
      </w:r>
    </w:p>
    <w:p w:rsidR="0027578E" w:rsidRDefault="00C14822">
      <w:pPr>
        <w:spacing w:after="327" w:line="265" w:lineRule="auto"/>
        <w:ind w:left="10" w:right="60"/>
        <w:jc w:val="center"/>
      </w:pPr>
      <w:r>
        <w:rPr>
          <w:b/>
        </w:rPr>
        <w:t xml:space="preserve">z dne 27.11.2019 </w:t>
      </w:r>
    </w:p>
    <w:p w:rsidR="0027578E" w:rsidRDefault="00C14822">
      <w:pPr>
        <w:numPr>
          <w:ilvl w:val="0"/>
          <w:numId w:val="1"/>
        </w:numPr>
        <w:spacing w:after="0" w:line="265" w:lineRule="auto"/>
        <w:ind w:right="34" w:hanging="180"/>
        <w:jc w:val="center"/>
      </w:pPr>
      <w:r>
        <w:rPr>
          <w:b/>
        </w:rPr>
        <w:t xml:space="preserve">spremembi Sklepa Komisije C(2015) 5126 o odobritvi nacionalnega programa </w:t>
      </w:r>
    </w:p>
    <w:p w:rsidR="0027578E" w:rsidRDefault="00C14822">
      <w:pPr>
        <w:spacing w:after="689" w:line="265" w:lineRule="auto"/>
        <w:ind w:left="10" w:right="60"/>
        <w:jc w:val="center"/>
      </w:pPr>
      <w:r>
        <w:rPr>
          <w:b/>
        </w:rPr>
        <w:t xml:space="preserve">Republike Slovenije za podporo iz Sklada za notranjo varnost za obdobje 2014–2020 </w:t>
      </w:r>
    </w:p>
    <w:p w:rsidR="0027578E" w:rsidRDefault="00C14822">
      <w:pPr>
        <w:tabs>
          <w:tab w:val="center" w:pos="4505"/>
          <w:tab w:val="center" w:pos="9016"/>
        </w:tabs>
        <w:spacing w:after="5517" w:line="209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(BESEDILO V SLOVENSKEM JEZIKU JE EDINO VERODOSTOJNO) </w:t>
      </w:r>
      <w:r>
        <w:tab/>
        <w:t xml:space="preserve"> </w:t>
      </w:r>
    </w:p>
    <w:p w:rsidR="0027578E" w:rsidRDefault="00C14822">
      <w:pPr>
        <w:spacing w:after="0" w:line="259" w:lineRule="auto"/>
        <w:ind w:left="131" w:firstLine="0"/>
        <w:jc w:val="center"/>
      </w:pPr>
      <w:r>
        <w:rPr>
          <w:rFonts w:ascii="Arial" w:eastAsia="Arial" w:hAnsi="Arial" w:cs="Arial"/>
          <w:b/>
          <w:sz w:val="48"/>
        </w:rPr>
        <w:lastRenderedPageBreak/>
        <w:t xml:space="preserve"> </w:t>
      </w:r>
    </w:p>
    <w:p w:rsidR="0027578E" w:rsidRDefault="00C14822">
      <w:pPr>
        <w:spacing w:after="327" w:line="265" w:lineRule="auto"/>
        <w:ind w:left="10" w:right="6"/>
        <w:jc w:val="center"/>
      </w:pPr>
      <w:r>
        <w:rPr>
          <w:b/>
        </w:rPr>
        <w:t xml:space="preserve">IZVEDBENI SKLEP KOMISIJE </w:t>
      </w:r>
    </w:p>
    <w:p w:rsidR="0027578E" w:rsidRDefault="00C14822">
      <w:pPr>
        <w:spacing w:after="327" w:line="265" w:lineRule="auto"/>
        <w:ind w:left="10" w:right="4"/>
        <w:jc w:val="center"/>
      </w:pPr>
      <w:r>
        <w:rPr>
          <w:b/>
        </w:rPr>
        <w:t xml:space="preserve">z dne 27.11.2019 </w:t>
      </w:r>
    </w:p>
    <w:p w:rsidR="0027578E" w:rsidRDefault="00C14822">
      <w:pPr>
        <w:numPr>
          <w:ilvl w:val="0"/>
          <w:numId w:val="1"/>
        </w:numPr>
        <w:spacing w:after="0" w:line="265" w:lineRule="auto"/>
        <w:ind w:right="34" w:hanging="180"/>
        <w:jc w:val="center"/>
      </w:pPr>
      <w:r>
        <w:rPr>
          <w:b/>
        </w:rPr>
        <w:t xml:space="preserve">spremembi Sklepa Komisije C(2015) </w:t>
      </w:r>
      <w:r>
        <w:rPr>
          <w:b/>
        </w:rPr>
        <w:t xml:space="preserve">5126 o odobritvi nacionalnega programa </w:t>
      </w:r>
    </w:p>
    <w:p w:rsidR="0027578E" w:rsidRDefault="00C14822">
      <w:pPr>
        <w:spacing w:after="331" w:line="259" w:lineRule="auto"/>
        <w:ind w:left="211" w:firstLine="0"/>
        <w:jc w:val="left"/>
      </w:pPr>
      <w:r>
        <w:rPr>
          <w:b/>
        </w:rPr>
        <w:t xml:space="preserve">Republike Slovenije za podporo iz Sklada za notranjo varnost za obdobje 2014–2020 </w:t>
      </w:r>
    </w:p>
    <w:p w:rsidR="0027578E" w:rsidRDefault="00C14822">
      <w:pPr>
        <w:spacing w:after="572" w:line="265" w:lineRule="auto"/>
        <w:ind w:left="10" w:right="9"/>
        <w:jc w:val="center"/>
      </w:pPr>
      <w:r>
        <w:t xml:space="preserve">(BESEDILO V SLOVENSKEM JEZIKU JE EDINO VERODOSTOJNO) </w:t>
      </w:r>
    </w:p>
    <w:p w:rsidR="0027578E" w:rsidRDefault="00C14822">
      <w:pPr>
        <w:spacing w:after="145"/>
        <w:ind w:left="-5"/>
      </w:pPr>
      <w:r>
        <w:t xml:space="preserve">EVROPSKA KOMISIJA JE – </w:t>
      </w:r>
    </w:p>
    <w:p w:rsidR="0027578E" w:rsidRDefault="00C14822">
      <w:pPr>
        <w:ind w:left="-5"/>
      </w:pPr>
      <w:r>
        <w:t xml:space="preserve">ob upoštevanju Pogodbe o delovanju Evropske unije, </w:t>
      </w:r>
    </w:p>
    <w:p w:rsidR="0027578E" w:rsidRDefault="00C14822">
      <w:pPr>
        <w:ind w:left="-5"/>
      </w:pPr>
      <w:r>
        <w:t xml:space="preserve">ob </w:t>
      </w:r>
      <w:r>
        <w:t>upoštevanju Uredbe (EU) št. 515/2014 Evropskega parlamenta in Sveta z dne 16. aprila 2014 o vzpostavitvi instrumenta za finančno podporo na področju zunanjih meja in vizumov v okviru Sklada za notranjo varnost in o razveljavitvi Odločbe št. 574/2007/ES</w:t>
      </w:r>
      <w:r>
        <w:rPr>
          <w:vertAlign w:val="superscript"/>
        </w:rPr>
        <w:footnoteReference w:id="1"/>
      </w:r>
      <w:r>
        <w:t xml:space="preserve">, </w:t>
      </w:r>
    </w:p>
    <w:p w:rsidR="0027578E" w:rsidRDefault="00C14822">
      <w:pPr>
        <w:spacing w:after="2"/>
        <w:ind w:left="-5"/>
      </w:pPr>
      <w:r>
        <w:t xml:space="preserve">ob upoštevanju Uredbe (EU) št. 514/2014 Evropskega parlamenta in Sveta z dne 16. aprila </w:t>
      </w:r>
    </w:p>
    <w:p w:rsidR="0027578E" w:rsidRDefault="00C14822">
      <w:pPr>
        <w:spacing w:after="92"/>
        <w:ind w:left="-5"/>
      </w:pPr>
      <w:r>
        <w:t>2014 o splošnih določbah o Skladu za migracije, azil in vključevanje ter o instrumentu za finančno podporo na področju policijskega sodelovanja, preprečevanja kriminala in boja proti njemu ter obvladovanja kriz</w:t>
      </w:r>
      <w:r>
        <w:rPr>
          <w:vertAlign w:val="superscript"/>
        </w:rPr>
        <w:t>2</w:t>
      </w:r>
      <w:r>
        <w:t xml:space="preserve"> in zlasti člena 14(9) Uredbe, ob upoštevanju</w:t>
      </w:r>
      <w:r>
        <w:t xml:space="preserve"> naslednjega: </w:t>
      </w:r>
    </w:p>
    <w:p w:rsidR="0027578E" w:rsidRDefault="00C14822">
      <w:pPr>
        <w:numPr>
          <w:ilvl w:val="0"/>
          <w:numId w:val="2"/>
        </w:numPr>
        <w:spacing w:after="19"/>
        <w:ind w:hanging="708"/>
      </w:pPr>
      <w:r>
        <w:t xml:space="preserve">S Sklepom Komisije C(2015) 5126 je bil odobren nacionalni program Slovenije za podporo iz Sklada za notranjo varnost za obdobje 2014–2020, ki je bil predložen </w:t>
      </w:r>
    </w:p>
    <w:p w:rsidR="0027578E" w:rsidRDefault="00C14822">
      <w:pPr>
        <w:spacing w:after="147"/>
        <w:ind w:left="718"/>
      </w:pPr>
      <w:r>
        <w:t>23. junija 2015, in določen najvišji prispevek iz Sklada za notranjo varnost za n</w:t>
      </w:r>
      <w:r>
        <w:t xml:space="preserve">acionalni program Slovenije. Navedeni sklep je bil nazadnje spremenjen z Izvedbenim sklepom Komisije C(2018) 8364 z dne 12. decembra 2018. </w:t>
      </w:r>
    </w:p>
    <w:p w:rsidR="0027578E" w:rsidRDefault="00C14822">
      <w:pPr>
        <w:numPr>
          <w:ilvl w:val="0"/>
          <w:numId w:val="2"/>
        </w:numPr>
        <w:spacing w:after="165"/>
        <w:ind w:hanging="708"/>
      </w:pPr>
      <w:r>
        <w:t>V skladu s členom 85(1) Uredbe (EU) 2018/1240 Evropskega parlamenta in Sveta o vzpostavitvi Evropskega sistema za po</w:t>
      </w:r>
      <w:r>
        <w:t>tovalne informacije in odobritve (ETIAS)</w:t>
      </w:r>
      <w:r>
        <w:rPr>
          <w:vertAlign w:val="superscript"/>
        </w:rPr>
        <w:footnoteReference w:id="2"/>
      </w:r>
      <w:r>
        <w:t xml:space="preserve"> se stroški držav članic v zvezi z razvojem nacionalnih komponent informacijskega sistema ETIAS, vključno s stroški povezovanja obstoječih nacionalnih mejnih infrastruktur in povezovanja z nacionalnimi enotnimi vmes</w:t>
      </w:r>
      <w:r>
        <w:t xml:space="preserve">niki ter stroški </w:t>
      </w:r>
      <w:proofErr w:type="spellStart"/>
      <w:r>
        <w:t>gostiteljstva</w:t>
      </w:r>
      <w:proofErr w:type="spellEnd"/>
      <w:r>
        <w:t xml:space="preserve"> nacionalnih enotnih vmesnikov in ustanovitve nacionalnih enot ETIAS, krijejo iz splošnega proračuna Unije. </w:t>
      </w:r>
    </w:p>
    <w:p w:rsidR="0027578E" w:rsidRDefault="00C14822">
      <w:pPr>
        <w:numPr>
          <w:ilvl w:val="0"/>
          <w:numId w:val="2"/>
        </w:numPr>
        <w:ind w:hanging="708"/>
      </w:pPr>
      <w:r>
        <w:t>V skladu s členom 2(1)(c) Delegirane uredbe Komisije (EU) 2019/946</w:t>
      </w:r>
      <w:r>
        <w:rPr>
          <w:vertAlign w:val="superscript"/>
        </w:rPr>
        <w:footnoteReference w:id="3"/>
      </w:r>
      <w:r>
        <w:t xml:space="preserve"> </w:t>
      </w:r>
      <w:r>
        <w:t xml:space="preserve">se državam članicam in pridruženim schengenskim državam za kritje stroškov iz člena 85(1) Uredbe (EU) 2018/1240 dodeli skupni znesek v višini 96 500 000 EUR. Ta znesek se dodeli v enakih deležih, tako vsaka država članica in vsaka pridružena schengenska </w:t>
      </w:r>
    </w:p>
    <w:p w:rsidR="0027578E" w:rsidRDefault="00C14822">
      <w:pPr>
        <w:spacing w:after="145"/>
        <w:ind w:left="718"/>
      </w:pPr>
      <w:r>
        <w:lastRenderedPageBreak/>
        <w:t>d</w:t>
      </w:r>
      <w:r>
        <w:t>ržava prejme 3 216 666,66 EUR.</w:t>
      </w:r>
      <w:r>
        <w:rPr>
          <w:color w:val="1F497D"/>
        </w:rPr>
        <w:t xml:space="preserve"> </w:t>
      </w:r>
      <w:r>
        <w:t xml:space="preserve">Od tega zneska bi bilo treba 1 216 666,66 EUR kriti iz proračunske vrstice 18 02 01 01, preostala 2 000 000 EUR pa iz proračunske vrstice 18 02 01 03. </w:t>
      </w:r>
    </w:p>
    <w:p w:rsidR="0027578E" w:rsidRDefault="00C14822">
      <w:pPr>
        <w:numPr>
          <w:ilvl w:val="0"/>
          <w:numId w:val="2"/>
        </w:numPr>
        <w:spacing w:after="19"/>
        <w:ind w:hanging="708"/>
      </w:pPr>
      <w:r>
        <w:t>V skladu s členom 5(4) Uredbe (EU) 2018/1861 Evropskega parlamenta in Sve</w:t>
      </w:r>
      <w:r>
        <w:t>ta o vzpostavitvi, delovanju in uporabi schengenskega informacijskega sistema na področju mejnih kontrol</w:t>
      </w:r>
      <w:r>
        <w:rPr>
          <w:vertAlign w:val="superscript"/>
        </w:rPr>
        <w:footnoteReference w:id="4"/>
      </w:r>
      <w:r>
        <w:t xml:space="preserve"> se državam članicam in pridruženim schengenskim državam za kritje stroškov, povezanih s hitrim in učinkovitim posodabljanjem zadevnih nacionalnih sist</w:t>
      </w:r>
      <w:r>
        <w:t xml:space="preserve">emov v skladu z zahtevami Uredbe, dodeli skupni znesek v višini </w:t>
      </w:r>
    </w:p>
    <w:p w:rsidR="0027578E" w:rsidRDefault="00C14822">
      <w:pPr>
        <w:spacing w:after="141"/>
        <w:ind w:left="718"/>
      </w:pPr>
      <w:r>
        <w:t xml:space="preserve">36 810 000 EUR. Ta znesek se dodeli v enakih deležih, tako vsaka država članica in vsaka pridružena schengenska država prejme 1 227 000 EUR. </w:t>
      </w:r>
    </w:p>
    <w:p w:rsidR="0027578E" w:rsidRDefault="00C14822">
      <w:pPr>
        <w:numPr>
          <w:ilvl w:val="0"/>
          <w:numId w:val="2"/>
        </w:numPr>
        <w:spacing w:after="147"/>
        <w:ind w:hanging="708"/>
      </w:pPr>
      <w:r>
        <w:t>V skladu s členom 5(7) Uredbe (EU) št. 515/2014 p</w:t>
      </w:r>
      <w:r>
        <w:t xml:space="preserve">ridružene schengenske države (Islandija, Lihtenštajn, Norveška in Švica) sodelujejo v instrumentu, pri čemer se sklenejo dogovori med Unijo in temi državami o njihovih finančnih prispevkih v ta instrument. </w:t>
      </w:r>
    </w:p>
    <w:p w:rsidR="0027578E" w:rsidRDefault="00C14822">
      <w:pPr>
        <w:numPr>
          <w:ilvl w:val="0"/>
          <w:numId w:val="2"/>
        </w:numPr>
        <w:spacing w:after="143"/>
        <w:ind w:hanging="708"/>
      </w:pPr>
      <w:r>
        <w:t>V skladu s členom 11(2)(b) sporazumov, podpisanih</w:t>
      </w:r>
      <w:r>
        <w:t xml:space="preserve"> med Evropsko unijo ter Islandijo</w:t>
      </w:r>
      <w:r>
        <w:rPr>
          <w:vertAlign w:val="superscript"/>
        </w:rPr>
        <w:footnoteReference w:id="5"/>
      </w:r>
      <w:r>
        <w:t>, Lihtenštajnom</w:t>
      </w:r>
      <w:r>
        <w:rPr>
          <w:vertAlign w:val="superscript"/>
        </w:rPr>
        <w:footnoteReference w:id="6"/>
      </w:r>
      <w:r>
        <w:t>, Norveško</w:t>
      </w:r>
      <w:r>
        <w:rPr>
          <w:vertAlign w:val="superscript"/>
        </w:rPr>
        <w:footnoteReference w:id="7"/>
      </w:r>
      <w:r>
        <w:t xml:space="preserve"> oziroma Švico</w:t>
      </w:r>
      <w:r>
        <w:rPr>
          <w:vertAlign w:val="superscript"/>
        </w:rPr>
        <w:footnoteReference w:id="8"/>
      </w:r>
      <w:r>
        <w:t xml:space="preserve">, se državam članicam in pridruženim schengenskim državam dodeli skupni znesek v višini 79 088 035 EUR za kritje stroškov, povezanih z razvojem informacijskih sistemov iz člena 15 </w:t>
      </w:r>
      <w:r>
        <w:t>Uredbe (EU) št. 515/2014, zlasti s ciljem izboljšati upravljanje ter nadzor potovalnih tokov na zunanjih mejah z okrepitvijo kontrol in hkratno pospešitvijo prehajanja meja za redne potnike</w:t>
      </w:r>
      <w:r>
        <w:rPr>
          <w:vertAlign w:val="superscript"/>
        </w:rPr>
        <w:footnoteReference w:id="9"/>
      </w:r>
      <w:r>
        <w:t xml:space="preserve">.  </w:t>
      </w:r>
    </w:p>
    <w:p w:rsidR="0027578E" w:rsidRDefault="00C14822">
      <w:pPr>
        <w:numPr>
          <w:ilvl w:val="0"/>
          <w:numId w:val="2"/>
        </w:numPr>
        <w:spacing w:after="144"/>
        <w:ind w:hanging="708"/>
      </w:pPr>
      <w:r>
        <w:t xml:space="preserve">To dodatno financiranje za informacijske sisteme ni namenjeno </w:t>
      </w:r>
      <w:r>
        <w:t>ozko opredeljeni vrsti stroškov, temveč lahko pokriva najrazličnejše stroške v zvezi s temi informacijskimi sistemi, vključno z nakupom, posodabljanjem, vzdrževanjem in delovanjem. Takšni stroški se med državami članicami precej razlikujejo zaradi dejavnik</w:t>
      </w:r>
      <w:r>
        <w:t xml:space="preserve">ov, kot so dolžina zunanje meje, število mejnih prehodov ali število oseb, ki prečkajo mejo, zato ne bi bilo primerno, da se to dodatno financiranje dodeli državam članicam v enakih deležih. </w:t>
      </w:r>
    </w:p>
    <w:p w:rsidR="0027578E" w:rsidRDefault="00C14822">
      <w:pPr>
        <w:numPr>
          <w:ilvl w:val="0"/>
          <w:numId w:val="2"/>
        </w:numPr>
        <w:spacing w:after="23"/>
        <w:ind w:hanging="708"/>
      </w:pPr>
      <w:r>
        <w:t xml:space="preserve">To dodatno financiranje je primerno dodeliti državam članicam v </w:t>
      </w:r>
      <w:r>
        <w:t xml:space="preserve">skladu s pristopom, uporabljenim za dodelitev osnovnih zneskov, ki so iz Sklada za notranjo varnost namenjeni za meje in vizume, in sicer s kombinacijo minimalnega zneska </w:t>
      </w:r>
    </w:p>
    <w:p w:rsidR="0027578E" w:rsidRDefault="00C14822">
      <w:pPr>
        <w:spacing w:after="83" w:line="2090" w:lineRule="auto"/>
        <w:ind w:left="10" w:right="-6"/>
        <w:jc w:val="right"/>
      </w:pPr>
      <w:r>
        <w:lastRenderedPageBreak/>
        <w:t xml:space="preserve">1 500 000 EUR za vsako sodelujočo državo članico in ključa za porazdelitev zneskov </w:t>
      </w:r>
    </w:p>
    <w:p w:rsidR="0027578E" w:rsidRDefault="00C14822">
      <w:pPr>
        <w:spacing w:after="145"/>
        <w:ind w:left="718"/>
      </w:pPr>
      <w:r>
        <w:t>iz Sklada za notranjo varnost, namenjenih za meje in vizume, kot je določeno v uvodni izjavi (38) Uredbe (EU) št. 515/2014. S tem pristopom je zagotovljeno, da ob upoštevanju razpoložljivih sredstev vsaka država članica prejme razumen znesek, ki ji omogoča</w:t>
      </w:r>
      <w:r>
        <w:t xml:space="preserve"> kritje nekaterih znatnih stroškov, nastalih z razvojem zadevnih informacijskih sistemov, pri čemer se upoštevajo tudi znatno višji stroški, ki jih imajo države članice z daljšimi zunanjimi mejami in večjim čezmejnim prometom. </w:t>
      </w:r>
    </w:p>
    <w:p w:rsidR="0027578E" w:rsidRDefault="00C14822">
      <w:pPr>
        <w:numPr>
          <w:ilvl w:val="0"/>
          <w:numId w:val="2"/>
        </w:numPr>
        <w:ind w:hanging="708"/>
      </w:pPr>
      <w:r>
        <w:t xml:space="preserve">V skladu s temi izračuni bi </w:t>
      </w:r>
      <w:r>
        <w:t xml:space="preserve">bilo treba Sloveniji za razvoj informacijskih sistemov dodeliti znesek v višini 2 290 501,53 EUR.  </w:t>
      </w:r>
    </w:p>
    <w:p w:rsidR="0027578E" w:rsidRDefault="00C14822">
      <w:pPr>
        <w:numPr>
          <w:ilvl w:val="0"/>
          <w:numId w:val="2"/>
        </w:numPr>
        <w:ind w:hanging="708"/>
      </w:pPr>
      <w:r>
        <w:t xml:space="preserve">Slovenija je 13. </w:t>
      </w:r>
      <w:r>
        <w:t xml:space="preserve">septembra 2019 prek sistema elektronske izmenjave podatkov Komisije (SFC2014) predložila revidiran nacionalni program, ki upošteva dodatni prispevek Unije. </w:t>
      </w:r>
    </w:p>
    <w:p w:rsidR="0027578E" w:rsidRDefault="00C14822">
      <w:pPr>
        <w:numPr>
          <w:ilvl w:val="0"/>
          <w:numId w:val="2"/>
        </w:numPr>
        <w:spacing w:after="95"/>
        <w:ind w:hanging="708"/>
      </w:pPr>
      <w:r>
        <w:t xml:space="preserve">Ta sklep je sklep o financiranju v smislu člena 110 Uredbe (EU, </w:t>
      </w:r>
      <w:proofErr w:type="spellStart"/>
      <w:r>
        <w:t>Euratom</w:t>
      </w:r>
      <w:proofErr w:type="spellEnd"/>
      <w:r>
        <w:t>) 2018/1046 Evropskega parla</w:t>
      </w:r>
      <w:r>
        <w:t>menta in Sveta</w:t>
      </w:r>
      <w:r>
        <w:rPr>
          <w:vertAlign w:val="superscript"/>
        </w:rPr>
        <w:footnoteReference w:id="10"/>
      </w:r>
      <w:r>
        <w:t xml:space="preserve"> ter pravna obveznost v smislu točke (37) njenega člena 2. </w:t>
      </w:r>
    </w:p>
    <w:p w:rsidR="0027578E" w:rsidRDefault="00C14822">
      <w:pPr>
        <w:numPr>
          <w:ilvl w:val="0"/>
          <w:numId w:val="2"/>
        </w:numPr>
        <w:spacing w:after="277" w:line="347" w:lineRule="auto"/>
        <w:ind w:hanging="708"/>
      </w:pPr>
      <w:r>
        <w:t xml:space="preserve">Sklep C(2015) 5126 bi bilo zato treba ustrezno spremeniti – SPREJELA NASLEDNJI SKLEP:  </w:t>
      </w:r>
    </w:p>
    <w:p w:rsidR="0027578E" w:rsidRDefault="00C14822">
      <w:pPr>
        <w:spacing w:after="0" w:line="342" w:lineRule="auto"/>
        <w:ind w:left="-15" w:right="3615" w:firstLine="4220"/>
      </w:pPr>
      <w:r>
        <w:rPr>
          <w:i/>
        </w:rPr>
        <w:t xml:space="preserve">Člen 1 </w:t>
      </w:r>
      <w:r>
        <w:t xml:space="preserve">Sklep C(2015) 5126 se spremeni: </w:t>
      </w:r>
    </w:p>
    <w:p w:rsidR="0027578E" w:rsidRDefault="00C14822">
      <w:pPr>
        <w:spacing w:after="101" w:line="259" w:lineRule="auto"/>
        <w:ind w:left="0" w:firstLine="0"/>
        <w:jc w:val="left"/>
      </w:pPr>
      <w:r>
        <w:t xml:space="preserve"> </w:t>
      </w:r>
    </w:p>
    <w:p w:rsidR="0027578E" w:rsidRDefault="00C14822">
      <w:pPr>
        <w:tabs>
          <w:tab w:val="center" w:pos="2466"/>
        </w:tabs>
        <w:spacing w:after="378"/>
        <w:ind w:left="-15" w:firstLine="0"/>
        <w:jc w:val="left"/>
      </w:pPr>
      <w:r>
        <w:t xml:space="preserve">(1) </w:t>
      </w:r>
      <w:r>
        <w:tab/>
        <w:t xml:space="preserve">člen 1 se nadomesti z naslednjim: </w:t>
      </w:r>
    </w:p>
    <w:p w:rsidR="0027578E" w:rsidRDefault="00C14822">
      <w:pPr>
        <w:pStyle w:val="Naslov1"/>
      </w:pPr>
      <w:r>
        <w:t xml:space="preserve">„Člen 1 </w:t>
      </w:r>
    </w:p>
    <w:p w:rsidR="0027578E" w:rsidRDefault="00C14822">
      <w:pPr>
        <w:ind w:left="-5"/>
      </w:pPr>
      <w:r>
        <w:t>Re</w:t>
      </w:r>
      <w:r>
        <w:t xml:space="preserve">vidirani nacionalni program Slovenije za podporo iz Sklada za notranjo varnost za obdobje od 1. januarja 2014 do 31. decembra 2020, ki je bil v končni različici predložen 13. septembra 2019, se odobri.“; </w:t>
      </w:r>
    </w:p>
    <w:p w:rsidR="0027578E" w:rsidRDefault="00C14822">
      <w:pPr>
        <w:tabs>
          <w:tab w:val="center" w:pos="2466"/>
        </w:tabs>
        <w:spacing w:after="378"/>
        <w:ind w:left="-15" w:firstLine="0"/>
        <w:jc w:val="left"/>
      </w:pPr>
      <w:r>
        <w:t xml:space="preserve">(2) </w:t>
      </w:r>
      <w:r>
        <w:tab/>
        <w:t xml:space="preserve">člen 2 se nadomesti z naslednjim: </w:t>
      </w:r>
    </w:p>
    <w:p w:rsidR="0027578E" w:rsidRDefault="00C14822">
      <w:pPr>
        <w:pStyle w:val="Naslov1"/>
        <w:spacing w:after="142"/>
      </w:pPr>
      <w:r>
        <w:t xml:space="preserve">„Člen 2 </w:t>
      </w:r>
    </w:p>
    <w:p w:rsidR="0027578E" w:rsidRDefault="00C14822">
      <w:pPr>
        <w:numPr>
          <w:ilvl w:val="0"/>
          <w:numId w:val="3"/>
        </w:numPr>
        <w:ind w:hanging="850"/>
      </w:pPr>
      <w:r>
        <w:t>Na</w:t>
      </w:r>
      <w:r>
        <w:t xml:space="preserve">jvišji prispevek iz Sklada za notranjo varnost za nacionalni program Slovenije znaša 58 436 510,19 EUR in se financira iz splošnega proračuna Unije: </w:t>
      </w:r>
    </w:p>
    <w:p w:rsidR="0027578E" w:rsidRDefault="00C14822">
      <w:pPr>
        <w:numPr>
          <w:ilvl w:val="1"/>
          <w:numId w:val="3"/>
        </w:numPr>
        <w:ind w:hanging="566"/>
      </w:pPr>
      <w:r>
        <w:lastRenderedPageBreak/>
        <w:t xml:space="preserve">proračunska vrstica 18 02 01 01: 41 181 139,19 EUR; </w:t>
      </w:r>
    </w:p>
    <w:p w:rsidR="0027578E" w:rsidRDefault="00C14822">
      <w:pPr>
        <w:numPr>
          <w:ilvl w:val="1"/>
          <w:numId w:val="3"/>
        </w:numPr>
        <w:spacing w:after="0" w:line="374" w:lineRule="auto"/>
        <w:ind w:hanging="566"/>
      </w:pPr>
      <w:r>
        <w:t xml:space="preserve">proračunska vrstica 18 02 01 02: 11 255 371 EUR; (c) </w:t>
      </w:r>
      <w:r>
        <w:tab/>
        <w:t xml:space="preserve">proračunska vrstica 18 02 01 03: 6 000 000 EUR. </w:t>
      </w:r>
    </w:p>
    <w:p w:rsidR="0027578E" w:rsidRDefault="00C14822">
      <w:pPr>
        <w:numPr>
          <w:ilvl w:val="0"/>
          <w:numId w:val="3"/>
        </w:numPr>
        <w:ind w:hanging="850"/>
      </w:pPr>
      <w:r>
        <w:t xml:space="preserve">Najvišji prispevek iz proračunske vrstice 18 02 01 01 je sestavljen iz: </w:t>
      </w:r>
    </w:p>
    <w:p w:rsidR="0027578E" w:rsidRDefault="00C14822">
      <w:pPr>
        <w:numPr>
          <w:ilvl w:val="1"/>
          <w:numId w:val="3"/>
        </w:numPr>
        <w:ind w:hanging="566"/>
      </w:pPr>
      <w:r>
        <w:t xml:space="preserve">osnovnega zneska v višini 30 669 103 EUR, dodeljenega v skladu s Prilogo I k Uredbi (EU) št. 515/2014; </w:t>
      </w:r>
    </w:p>
    <w:p w:rsidR="0027578E" w:rsidRDefault="00C14822">
      <w:pPr>
        <w:numPr>
          <w:ilvl w:val="1"/>
          <w:numId w:val="3"/>
        </w:numPr>
        <w:ind w:hanging="566"/>
      </w:pPr>
      <w:r>
        <w:t>dodatnega zneska v višini 635</w:t>
      </w:r>
      <w:r>
        <w:t xml:space="preserve"> 040 EUR za posebne ukrepe, dodeljenega v skladu s členom 7 Uredbe (EU) št. 515/2014; </w:t>
      </w:r>
    </w:p>
    <w:p w:rsidR="0027578E" w:rsidRDefault="00C14822">
      <w:pPr>
        <w:numPr>
          <w:ilvl w:val="1"/>
          <w:numId w:val="3"/>
        </w:numPr>
        <w:spacing w:after="21"/>
        <w:ind w:hanging="566"/>
      </w:pPr>
      <w:r>
        <w:t xml:space="preserve">dodatnega zneska v višini 2 730 228 EUR, dodeljenega v skladu s </w:t>
      </w:r>
    </w:p>
    <w:p w:rsidR="0027578E" w:rsidRDefault="00C14822">
      <w:pPr>
        <w:ind w:left="1426"/>
      </w:pPr>
      <w:r>
        <w:t xml:space="preserve">členom 6(1)(c) in členom 8 Uredbe (EU) št. 515/2014; </w:t>
      </w:r>
    </w:p>
    <w:p w:rsidR="0027578E" w:rsidRDefault="00C14822">
      <w:pPr>
        <w:numPr>
          <w:ilvl w:val="1"/>
          <w:numId w:val="3"/>
        </w:numPr>
        <w:spacing w:after="120" w:line="254" w:lineRule="auto"/>
        <w:ind w:hanging="566"/>
      </w:pPr>
      <w:r>
        <w:t>dodatnega zneska v višini 2 412 600 EUR za izvajan</w:t>
      </w:r>
      <w:r>
        <w:t xml:space="preserve">je Uredbe (EU) 2017/2226 Evropskega parlamenta in Sveta o vzpostavitvi sistema vstopa/izstopa (SVI) ter v skladu s členom 5(5)(b) Uredbe (EU) št. 515/2014 in členom 2(b) Delegirane uredbe Komisije (EU) 2018/1728; </w:t>
      </w:r>
    </w:p>
    <w:p w:rsidR="0027578E" w:rsidRDefault="00C14822">
      <w:pPr>
        <w:numPr>
          <w:ilvl w:val="1"/>
          <w:numId w:val="3"/>
        </w:numPr>
        <w:ind w:hanging="566"/>
      </w:pPr>
      <w:r>
        <w:t>dodatnega zneska v višini 1 216 666,66 EUR</w:t>
      </w:r>
      <w:r>
        <w:t xml:space="preserve"> za izvajanje Uredbe (EU) 2018/1240 Evropskega parlamenta in Sveta o vzpostavitvi Evropskega sistema za potovalne informacije in odobritve (ETIAS) ter v skladu s členom 5(5)(b) Uredbe (EU) št. 515/2014 in členom 2(1)(c) Delegirane uredbe Komisije (EU) 2019</w:t>
      </w:r>
      <w:r>
        <w:t xml:space="preserve">/946; </w:t>
      </w:r>
    </w:p>
    <w:p w:rsidR="0027578E" w:rsidRDefault="00C14822">
      <w:pPr>
        <w:numPr>
          <w:ilvl w:val="1"/>
          <w:numId w:val="3"/>
        </w:numPr>
        <w:ind w:hanging="566"/>
      </w:pPr>
      <w:r>
        <w:t>dodatnega zneska v višini 1 227 000 EUR za izvajanje Uredbe (EU) 2018/1861 Evropskega parlamenta in Sveta o vzpostavitvi, delovanju in uporabi schengenskega informacijskega sistema na področju mejnih kontrol ter v skladu s členom 5(5)(b) Uredbe (EU)</w:t>
      </w:r>
      <w:r>
        <w:t xml:space="preserve"> št. 515/2014; </w:t>
      </w:r>
    </w:p>
    <w:p w:rsidR="0027578E" w:rsidRDefault="00C14822">
      <w:pPr>
        <w:numPr>
          <w:ilvl w:val="1"/>
          <w:numId w:val="3"/>
        </w:numPr>
        <w:ind w:hanging="566"/>
      </w:pPr>
      <w:r>
        <w:t xml:space="preserve">dodatnega zneska v višini 2 290 501,53 EUR za razvoj informacijskih sistemov iz člena 15 Uredbe (EU) št. 515/2014. </w:t>
      </w:r>
    </w:p>
    <w:p w:rsidR="0027578E" w:rsidRDefault="00C14822">
      <w:pPr>
        <w:numPr>
          <w:ilvl w:val="0"/>
          <w:numId w:val="3"/>
        </w:numPr>
        <w:ind w:hanging="850"/>
      </w:pPr>
      <w:r>
        <w:t xml:space="preserve">Najvišji prispevek iz proračunske vrstice 18 02 01 03 je sestavljen iz: </w:t>
      </w:r>
    </w:p>
    <w:p w:rsidR="0027578E" w:rsidRDefault="00C14822">
      <w:pPr>
        <w:numPr>
          <w:ilvl w:val="1"/>
          <w:numId w:val="3"/>
        </w:numPr>
        <w:ind w:hanging="566"/>
      </w:pPr>
      <w:r>
        <w:t xml:space="preserve">zneska v višini 4 000 000 </w:t>
      </w:r>
      <w:r>
        <w:t xml:space="preserve">EUR za izvajanje Uredbe (EU) 2017/2226 Evropskega parlamenta in Sveta o vzpostavitvi sistema vstopa/izstopa (SVI) ter v skladu s členom 5(5)(b) Uredbe (EU) št. 515/2014 in členom 2(b) Delegirane uredbe Komisije (EU) 2018/1728;  </w:t>
      </w:r>
    </w:p>
    <w:p w:rsidR="0027578E" w:rsidRDefault="00C14822">
      <w:pPr>
        <w:numPr>
          <w:ilvl w:val="1"/>
          <w:numId w:val="3"/>
        </w:numPr>
        <w:spacing w:after="25"/>
        <w:ind w:hanging="566"/>
      </w:pPr>
      <w:r>
        <w:t>dodatnega zneska v višini 2</w:t>
      </w:r>
      <w:r>
        <w:t xml:space="preserve"> 000 000 EUR za izvajanje Uredbe (EU) 2018/1240 Evropskega parlamenta in Sveta o vzpostavitvi Evropskega sistema za potovalne informacije in odobritve (ETIAS) ter v skladu s členom 5(5)(b) Uredbe (EU) št. 515/2014 in členom 2(1)(c) Delegirane uredbe Komisi</w:t>
      </w:r>
      <w:r>
        <w:t xml:space="preserve">je (EU) </w:t>
      </w:r>
    </w:p>
    <w:p w:rsidR="0027578E" w:rsidRDefault="00C14822">
      <w:pPr>
        <w:ind w:left="1426"/>
      </w:pPr>
      <w:r>
        <w:t xml:space="preserve">2019/946.“ </w:t>
      </w:r>
    </w:p>
    <w:p w:rsidR="0027578E" w:rsidRDefault="00C14822">
      <w:pPr>
        <w:spacing w:after="0" w:line="342" w:lineRule="auto"/>
        <w:ind w:left="-15" w:right="3910" w:firstLine="4220"/>
      </w:pPr>
      <w:r>
        <w:rPr>
          <w:i/>
        </w:rPr>
        <w:t xml:space="preserve">Člen 2 </w:t>
      </w:r>
      <w:r>
        <w:t xml:space="preserve">Ta sklep je naslovljen na Republiko Slovenijo. </w:t>
      </w:r>
    </w:p>
    <w:p w:rsidR="0027578E" w:rsidRDefault="00C14822">
      <w:pPr>
        <w:spacing w:after="698"/>
        <w:ind w:left="-5"/>
      </w:pPr>
      <w:r>
        <w:t xml:space="preserve">V Bruslju, 27.11.2019 </w:t>
      </w:r>
    </w:p>
    <w:p w:rsidR="0027578E" w:rsidRDefault="00C14822">
      <w:pPr>
        <w:tabs>
          <w:tab w:val="center" w:pos="4845"/>
        </w:tabs>
        <w:spacing w:after="0" w:line="265" w:lineRule="auto"/>
        <w:ind w:left="-15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Za Komisijo </w:t>
      </w:r>
    </w:p>
    <w:p w:rsidR="0027578E" w:rsidRDefault="00C14822">
      <w:pPr>
        <w:tabs>
          <w:tab w:val="center" w:pos="5622"/>
        </w:tabs>
        <w:spacing w:after="0" w:line="265" w:lineRule="auto"/>
        <w:ind w:left="-15" w:firstLine="0"/>
        <w:jc w:val="left"/>
      </w:pPr>
      <w:r>
        <w:rPr>
          <w:i/>
        </w:rPr>
        <w:lastRenderedPageBreak/>
        <w:t xml:space="preserve"> </w:t>
      </w:r>
      <w:r>
        <w:rPr>
          <w:i/>
        </w:rPr>
        <w:tab/>
      </w:r>
      <w:proofErr w:type="spellStart"/>
      <w:r>
        <w:rPr>
          <w:i/>
        </w:rPr>
        <w:t>Dimitris</w:t>
      </w:r>
      <w:proofErr w:type="spellEnd"/>
      <w:r>
        <w:rPr>
          <w:i/>
        </w:rPr>
        <w:t xml:space="preserve"> AVRAMOPOULOS </w:t>
      </w:r>
    </w:p>
    <w:p w:rsidR="0027578E" w:rsidRDefault="00C14822">
      <w:pPr>
        <w:tabs>
          <w:tab w:val="center" w:pos="4944"/>
        </w:tabs>
        <w:spacing w:after="663" w:line="265" w:lineRule="auto"/>
        <w:ind w:left="-15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Član Komisije </w:t>
      </w:r>
    </w:p>
    <w:p w:rsidR="0027578E" w:rsidRDefault="00C14822">
      <w:pPr>
        <w:spacing w:after="156" w:line="259" w:lineRule="auto"/>
        <w:ind w:left="0" w:right="997" w:firstLine="0"/>
        <w:jc w:val="right"/>
      </w:pPr>
      <w:bookmarkStart w:id="0" w:name="_GoBack"/>
      <w:r>
        <w:rPr>
          <w:noProof/>
        </w:rPr>
        <w:drawing>
          <wp:inline distT="0" distB="0" distL="0" distR="0">
            <wp:extent cx="2390775" cy="1295400"/>
            <wp:effectExtent l="0" t="0" r="9525" b="0"/>
            <wp:docPr id="972" name="Picture 972" descr="podpis direktorja pisarne Komisije" title="podpis direktorja pisarne Komisi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" name="Picture 9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 </w:t>
      </w:r>
    </w:p>
    <w:p w:rsidR="0027578E" w:rsidRDefault="00C14822">
      <w:pPr>
        <w:spacing w:after="0" w:line="259" w:lineRule="auto"/>
        <w:ind w:left="0" w:firstLine="0"/>
        <w:jc w:val="left"/>
      </w:pPr>
      <w:r>
        <w:t xml:space="preserve"> </w:t>
      </w:r>
    </w:p>
    <w:sectPr w:rsidR="0027578E">
      <w:footerReference w:type="even" r:id="rId9"/>
      <w:footerReference w:type="default" r:id="rId10"/>
      <w:footerReference w:type="first" r:id="rId11"/>
      <w:pgSz w:w="11906" w:h="16838"/>
      <w:pgMar w:top="1140" w:right="1413" w:bottom="710" w:left="1416" w:header="708" w:footer="71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14822">
      <w:pPr>
        <w:spacing w:after="0" w:line="240" w:lineRule="auto"/>
      </w:pPr>
      <w:r>
        <w:separator/>
      </w:r>
    </w:p>
  </w:endnote>
  <w:endnote w:type="continuationSeparator" w:id="0">
    <w:p w:rsidR="00000000" w:rsidRDefault="00C1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78E" w:rsidRDefault="00C14822">
    <w:pPr>
      <w:tabs>
        <w:tab w:val="center" w:pos="4537"/>
        <w:tab w:val="right" w:pos="9922"/>
      </w:tabs>
      <w:spacing w:after="0" w:line="259" w:lineRule="auto"/>
      <w:ind w:left="-850" w:right="-845" w:firstLine="0"/>
      <w:jc w:val="left"/>
    </w:pPr>
    <w:r>
      <w:rPr>
        <w:rFonts w:ascii="Arial" w:eastAsia="Arial" w:hAnsi="Arial" w:cs="Arial"/>
        <w:b/>
        <w:sz w:val="48"/>
      </w:rPr>
      <w:t xml:space="preserve">SL </w:t>
    </w:r>
    <w:r>
      <w:rPr>
        <w:rFonts w:ascii="Arial" w:eastAsia="Arial" w:hAnsi="Arial" w:cs="Arial"/>
        <w:b/>
        <w:sz w:val="4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rPr>
        <w:sz w:val="37"/>
        <w:vertAlign w:val="subscript"/>
      </w:rPr>
      <w:t xml:space="preserve"> </w:t>
    </w:r>
    <w:r>
      <w:rPr>
        <w:sz w:val="37"/>
        <w:vertAlign w:val="subscript"/>
      </w:rPr>
      <w:tab/>
      <w:t xml:space="preserve"> </w:t>
    </w:r>
    <w:r>
      <w:rPr>
        <w:rFonts w:ascii="Arial" w:eastAsia="Arial" w:hAnsi="Arial" w:cs="Arial"/>
        <w:b/>
        <w:sz w:val="48"/>
      </w:rPr>
      <w:t xml:space="preserve">SL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78E" w:rsidRDefault="00C14822">
    <w:pPr>
      <w:tabs>
        <w:tab w:val="center" w:pos="4537"/>
        <w:tab w:val="right" w:pos="9922"/>
      </w:tabs>
      <w:spacing w:after="0" w:line="259" w:lineRule="auto"/>
      <w:ind w:left="-850" w:right="-845" w:firstLine="0"/>
      <w:jc w:val="left"/>
    </w:pPr>
    <w:r>
      <w:rPr>
        <w:rFonts w:ascii="Arial" w:eastAsia="Arial" w:hAnsi="Arial" w:cs="Arial"/>
        <w:b/>
        <w:sz w:val="48"/>
      </w:rPr>
      <w:t xml:space="preserve">SL </w:t>
    </w:r>
    <w:r>
      <w:rPr>
        <w:rFonts w:ascii="Arial" w:eastAsia="Arial" w:hAnsi="Arial" w:cs="Arial"/>
        <w:b/>
        <w:sz w:val="4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  <w:r>
      <w:rPr>
        <w:sz w:val="37"/>
        <w:vertAlign w:val="subscript"/>
      </w:rPr>
      <w:t xml:space="preserve"> </w:t>
    </w:r>
    <w:r>
      <w:rPr>
        <w:sz w:val="37"/>
        <w:vertAlign w:val="subscript"/>
      </w:rPr>
      <w:tab/>
      <w:t xml:space="preserve"> </w:t>
    </w:r>
    <w:r>
      <w:rPr>
        <w:rFonts w:ascii="Arial" w:eastAsia="Arial" w:hAnsi="Arial" w:cs="Arial"/>
        <w:b/>
        <w:sz w:val="48"/>
      </w:rPr>
      <w:t xml:space="preserve">SL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78E" w:rsidRDefault="00C14822">
    <w:pPr>
      <w:tabs>
        <w:tab w:val="right" w:pos="9922"/>
      </w:tabs>
      <w:spacing w:after="0" w:line="259" w:lineRule="auto"/>
      <w:ind w:left="-850" w:right="-845" w:firstLine="0"/>
      <w:jc w:val="left"/>
    </w:pPr>
    <w:r>
      <w:rPr>
        <w:rFonts w:ascii="Arial" w:eastAsia="Arial" w:hAnsi="Arial" w:cs="Arial"/>
        <w:b/>
        <w:sz w:val="48"/>
      </w:rPr>
      <w:t xml:space="preserve">SL </w:t>
    </w:r>
    <w:r>
      <w:rPr>
        <w:rFonts w:ascii="Arial" w:eastAsia="Arial" w:hAnsi="Arial" w:cs="Arial"/>
        <w:b/>
        <w:sz w:val="48"/>
      </w:rPr>
      <w:tab/>
    </w:r>
    <w:r>
      <w:t xml:space="preserve"> </w:t>
    </w:r>
    <w:proofErr w:type="spellStart"/>
    <w:r>
      <w:rPr>
        <w:rFonts w:ascii="Arial" w:eastAsia="Arial" w:hAnsi="Arial" w:cs="Arial"/>
        <w:b/>
        <w:sz w:val="48"/>
      </w:rPr>
      <w:t>SL</w:t>
    </w:r>
    <w:proofErr w:type="spellEnd"/>
    <w:r>
      <w:rPr>
        <w:rFonts w:ascii="Arial" w:eastAsia="Arial" w:hAnsi="Arial" w:cs="Arial"/>
        <w:b/>
        <w:sz w:val="4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78E" w:rsidRDefault="00C14822">
      <w:pPr>
        <w:spacing w:after="0" w:line="267" w:lineRule="auto"/>
        <w:ind w:left="0" w:right="10" w:firstLine="0"/>
      </w:pPr>
      <w:r>
        <w:separator/>
      </w:r>
    </w:p>
  </w:footnote>
  <w:footnote w:type="continuationSeparator" w:id="0">
    <w:p w:rsidR="0027578E" w:rsidRDefault="00C14822">
      <w:pPr>
        <w:spacing w:after="0" w:line="267" w:lineRule="auto"/>
        <w:ind w:left="0" w:right="10" w:firstLine="0"/>
      </w:pPr>
      <w:r>
        <w:continuationSeparator/>
      </w:r>
    </w:p>
  </w:footnote>
  <w:footnote w:id="1">
    <w:p w:rsidR="0027578E" w:rsidRDefault="00C14822">
      <w:pPr>
        <w:pStyle w:val="footnotedescription"/>
        <w:spacing w:after="0" w:line="267" w:lineRule="auto"/>
        <w:ind w:left="0" w:right="10" w:firstLine="0"/>
      </w:pPr>
      <w:r>
        <w:rPr>
          <w:rStyle w:val="footnotemark"/>
        </w:rPr>
        <w:footnoteRef/>
      </w:r>
      <w:r>
        <w:t xml:space="preserve"> UL L 150, 20.5.2014, str. 143. V skladu s členom 19 navedene uredbe se za ta instrument uporabljajo določbe Uredbe (EU) št. 514/2014. </w:t>
      </w:r>
      <w:r>
        <w:rPr>
          <w:vertAlign w:val="superscript"/>
        </w:rPr>
        <w:t>2</w:t>
      </w:r>
      <w:r>
        <w:t xml:space="preserve"> UL L 150, 20.5.2014, str. 112. </w:t>
      </w:r>
    </w:p>
  </w:footnote>
  <w:footnote w:id="2">
    <w:p w:rsidR="0027578E" w:rsidRDefault="00C14822">
      <w:pPr>
        <w:pStyle w:val="footnotedescription"/>
        <w:spacing w:after="3" w:line="249" w:lineRule="auto"/>
        <w:ind w:right="2"/>
      </w:pPr>
      <w:r>
        <w:rPr>
          <w:rStyle w:val="footnotemark"/>
        </w:rPr>
        <w:footnoteRef/>
      </w:r>
      <w:r>
        <w:t xml:space="preserve"> </w:t>
      </w:r>
      <w:r>
        <w:t>Uredba (EU) 2018/1240 Evropskega parlamenta in Sveta z dne 12. septembra 2018 o vzpostavitvi Evropskega sistema za potovalne informacije in odobritve (ETIAS) ter spremembi uredb (EU) št. 1077/2011, (EU) št. 515/2014, (EU) 2016/399, (EU) 2016/1624 in (EU) 2</w:t>
      </w:r>
      <w:r>
        <w:t xml:space="preserve">017/2226 (UL L 236, 19.9.2018, str. 1). </w:t>
      </w:r>
    </w:p>
  </w:footnote>
  <w:footnote w:id="3">
    <w:p w:rsidR="0027578E" w:rsidRDefault="00C14822">
      <w:pPr>
        <w:pStyle w:val="footnotedescription"/>
        <w:spacing w:after="0" w:line="289" w:lineRule="auto"/>
        <w:ind w:right="3"/>
      </w:pPr>
      <w:r>
        <w:rPr>
          <w:rStyle w:val="footnotemark"/>
        </w:rPr>
        <w:footnoteRef/>
      </w:r>
      <w:r>
        <w:t xml:space="preserve"> </w:t>
      </w:r>
      <w:r>
        <w:t>Delegirana uredba Komisije (EU) 2019/946 z dne 12. marca 2019 o dopolnitvi Uredbe (EU) št. 515/2014 Evropskega parlamenta in Sveta v zvezi z dodelitvijo sredstev iz splošnega proračuna Unije za kritje stroškov raz</w:t>
      </w:r>
      <w:r>
        <w:t xml:space="preserve">voja evropskega sistema za potovalne informacije in odobritve. </w:t>
      </w:r>
    </w:p>
  </w:footnote>
  <w:footnote w:id="4">
    <w:p w:rsidR="0027578E" w:rsidRDefault="00C14822">
      <w:pPr>
        <w:pStyle w:val="footnotedescription"/>
        <w:spacing w:after="35" w:line="248" w:lineRule="auto"/>
        <w:ind w:right="5"/>
      </w:pPr>
      <w:r>
        <w:rPr>
          <w:rStyle w:val="footnotemark"/>
        </w:rPr>
        <w:footnoteRef/>
      </w:r>
      <w:r>
        <w:t xml:space="preserve"> </w:t>
      </w:r>
      <w:r>
        <w:t>Uredba (EU) 2018/1861 Evropskega parlamenta in Sveta z dne 28. novembra 2018 o vzpostavitvi, delovanju in uporabi schengenskega informacijskega sistema (SIS) na področju mejnih kontrol, o sp</w:t>
      </w:r>
      <w:r>
        <w:t xml:space="preserve">remembi Konvencije o izvajanju Schengenskega sporazuma ter o spremembi in razveljavitvi Uredbe (ES) št. 1987/2006. </w:t>
      </w:r>
    </w:p>
  </w:footnote>
  <w:footnote w:id="5">
    <w:p w:rsidR="0027578E" w:rsidRDefault="00C14822">
      <w:pPr>
        <w:pStyle w:val="footnotedescription"/>
        <w:spacing w:after="26"/>
        <w:ind w:right="1"/>
      </w:pPr>
      <w:r>
        <w:rPr>
          <w:rStyle w:val="footnotemark"/>
        </w:rPr>
        <w:footnoteRef/>
      </w:r>
      <w:r>
        <w:t xml:space="preserve"> </w:t>
      </w:r>
      <w:r>
        <w:t>Sporazum med Evropsko unijo in Islandijo o dopolnilnih pravilih v zvezi z instrumentom za finančno podporo na področju zunanjih meja in vi</w:t>
      </w:r>
      <w:r>
        <w:t xml:space="preserve">zumov v okviru Sklada za notranjo varnost za obdobje 2014– 2020 (UL L 72, 15.3.2018, str. 3). </w:t>
      </w:r>
    </w:p>
  </w:footnote>
  <w:footnote w:id="6">
    <w:p w:rsidR="0027578E" w:rsidRDefault="00C14822">
      <w:pPr>
        <w:pStyle w:val="footnotedescription"/>
        <w:spacing w:after="20" w:line="249" w:lineRule="auto"/>
        <w:ind w:right="11"/>
      </w:pPr>
      <w:r>
        <w:rPr>
          <w:rStyle w:val="footnotemark"/>
        </w:rPr>
        <w:footnoteRef/>
      </w:r>
      <w:r>
        <w:t xml:space="preserve"> </w:t>
      </w:r>
      <w:r>
        <w:t>Sporazum med Evropsko unijo in Kneževino Lihtenštajn o dopolnilnih pravilih v zvezi z instrumentom za finančno podporo na področju zunanjih meja in vizumov v o</w:t>
      </w:r>
      <w:r>
        <w:t xml:space="preserve">kviru Sklada za notranjo varnost za obdobje 2014–2020 (UL L 7, 12.1.2017, str. 4). </w:t>
      </w:r>
    </w:p>
  </w:footnote>
  <w:footnote w:id="7">
    <w:p w:rsidR="0027578E" w:rsidRDefault="00C14822">
      <w:pPr>
        <w:pStyle w:val="footnotedescription"/>
        <w:spacing w:after="17"/>
        <w:ind w:right="9"/>
      </w:pPr>
      <w:r>
        <w:rPr>
          <w:rStyle w:val="footnotemark"/>
        </w:rPr>
        <w:footnoteRef/>
      </w:r>
      <w:r>
        <w:t xml:space="preserve"> </w:t>
      </w:r>
      <w:r>
        <w:t xml:space="preserve">Sporazum med Evropsko unijo in Kraljevino Norveško o dopolnilnih pravilih v zvezi z instrumentom za finančno podporo na področju zunanjih meja in vizumov v okviru Sklada </w:t>
      </w:r>
      <w:r>
        <w:t xml:space="preserve">za notranjo varnost za obdobje 2014–2020 (UL L 75, 21.3.2017, str. 3). </w:t>
      </w:r>
    </w:p>
  </w:footnote>
  <w:footnote w:id="8">
    <w:p w:rsidR="0027578E" w:rsidRDefault="00C14822">
      <w:pPr>
        <w:pStyle w:val="footnotedescription"/>
        <w:spacing w:after="38" w:line="251" w:lineRule="auto"/>
        <w:ind w:right="8"/>
      </w:pPr>
      <w:r>
        <w:rPr>
          <w:rStyle w:val="footnotemark"/>
        </w:rPr>
        <w:footnoteRef/>
      </w:r>
      <w:r>
        <w:t xml:space="preserve"> </w:t>
      </w:r>
      <w:r>
        <w:t>Sporazum med Evropsko unijo in Švicarsko konfederacijo o dopolnilnih pravilih v zvezi z instrumentom za finančno podporo na področju zunanjih meja in vizumov v okviru Sklada za notra</w:t>
      </w:r>
      <w:r>
        <w:t xml:space="preserve">njo varnost za obdobje 2014–2020 (UL L 165, 2.7.2018, str. 3). </w:t>
      </w:r>
    </w:p>
  </w:footnote>
  <w:footnote w:id="9">
    <w:p w:rsidR="0027578E" w:rsidRDefault="00C14822">
      <w:pPr>
        <w:pStyle w:val="footnotedescription"/>
        <w:spacing w:after="0" w:line="260" w:lineRule="auto"/>
        <w:ind w:left="720" w:right="0" w:hanging="720"/>
      </w:pPr>
      <w:r>
        <w:rPr>
          <w:rStyle w:val="footnotemark"/>
        </w:rPr>
        <w:footnoteRef/>
      </w:r>
      <w:r>
        <w:t xml:space="preserve"> </w:t>
      </w:r>
      <w:r>
        <w:t xml:space="preserve">Ta znesek je odvisen od potrditve razpoložljivosti prispevkov pridruženih schengenskih držav za leti 2019 in 2020. </w:t>
      </w:r>
    </w:p>
  </w:footnote>
  <w:footnote w:id="10">
    <w:p w:rsidR="0027578E" w:rsidRDefault="00C14822">
      <w:pPr>
        <w:pStyle w:val="footnotedescription"/>
        <w:spacing w:after="0" w:line="281" w:lineRule="auto"/>
        <w:ind w:left="720" w:right="0" w:hanging="720"/>
      </w:pPr>
      <w:r>
        <w:rPr>
          <w:rStyle w:val="footnotemark"/>
        </w:rPr>
        <w:footnoteRef/>
      </w:r>
      <w:r>
        <w:t xml:space="preserve"> </w:t>
      </w:r>
      <w:r>
        <w:t xml:space="preserve">Uredba (EU, </w:t>
      </w:r>
      <w:proofErr w:type="spellStart"/>
      <w:r>
        <w:t>Euratom</w:t>
      </w:r>
      <w:proofErr w:type="spellEnd"/>
      <w:r>
        <w:t xml:space="preserve">) 2018/1046 Evropskega parlamenta in Sveta z dne 18. </w:t>
      </w:r>
      <w:r>
        <w:t xml:space="preserve">julija 2018 o finančnih pravilih, ki se uporabljajo za splošni proračun Unije (UL L 193, 30.7.2018, str. 1).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C19C1"/>
    <w:multiLevelType w:val="hybridMultilevel"/>
    <w:tmpl w:val="7612EBBC"/>
    <w:lvl w:ilvl="0" w:tplc="0D26B4B2">
      <w:start w:val="1"/>
      <w:numFmt w:val="decimal"/>
      <w:lvlText w:val="(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7E7C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8BB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8C74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827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2040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28DC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620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C8A9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906527"/>
    <w:multiLevelType w:val="hybridMultilevel"/>
    <w:tmpl w:val="AE7C5D82"/>
    <w:lvl w:ilvl="0" w:tplc="A72606F8">
      <w:start w:val="1"/>
      <w:numFmt w:val="bullet"/>
      <w:lvlText w:val="o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E147E">
      <w:start w:val="1"/>
      <w:numFmt w:val="bullet"/>
      <w:lvlText w:val="o"/>
      <w:lvlJc w:val="left"/>
      <w:pPr>
        <w:ind w:left="1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726612">
      <w:start w:val="1"/>
      <w:numFmt w:val="bullet"/>
      <w:lvlText w:val="▪"/>
      <w:lvlJc w:val="left"/>
      <w:pPr>
        <w:ind w:left="2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C8AC6A">
      <w:start w:val="1"/>
      <w:numFmt w:val="bullet"/>
      <w:lvlText w:val="•"/>
      <w:lvlJc w:val="left"/>
      <w:pPr>
        <w:ind w:left="2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E850BE">
      <w:start w:val="1"/>
      <w:numFmt w:val="bullet"/>
      <w:lvlText w:val="o"/>
      <w:lvlJc w:val="left"/>
      <w:pPr>
        <w:ind w:left="3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587AC8">
      <w:start w:val="1"/>
      <w:numFmt w:val="bullet"/>
      <w:lvlText w:val="▪"/>
      <w:lvlJc w:val="left"/>
      <w:pPr>
        <w:ind w:left="4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3E7BCC">
      <w:start w:val="1"/>
      <w:numFmt w:val="bullet"/>
      <w:lvlText w:val="•"/>
      <w:lvlJc w:val="left"/>
      <w:pPr>
        <w:ind w:left="5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428AC6">
      <w:start w:val="1"/>
      <w:numFmt w:val="bullet"/>
      <w:lvlText w:val="o"/>
      <w:lvlJc w:val="left"/>
      <w:pPr>
        <w:ind w:left="58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9CCE72">
      <w:start w:val="1"/>
      <w:numFmt w:val="bullet"/>
      <w:lvlText w:val="▪"/>
      <w:lvlJc w:val="left"/>
      <w:pPr>
        <w:ind w:left="65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4E7E4F"/>
    <w:multiLevelType w:val="hybridMultilevel"/>
    <w:tmpl w:val="EF10FFFA"/>
    <w:lvl w:ilvl="0" w:tplc="D9E0FABC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4CF89E">
      <w:start w:val="1"/>
      <w:numFmt w:val="lowerLetter"/>
      <w:lvlText w:val="(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E81CA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1E18B6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C4A17A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988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08AC0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A20A2E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FE53C6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8E"/>
    <w:rsid w:val="0027578E"/>
    <w:rsid w:val="00C14822"/>
    <w:rsid w:val="00E8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261B"/>
  <w15:docId w15:val="{615B9ADD-4BCE-41E4-BF27-0D90DFA2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17" w:line="257" w:lineRule="auto"/>
      <w:ind w:left="294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96"/>
      <w:ind w:left="10" w:right="3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i/>
      <w:color w:val="000000"/>
      <w:sz w:val="24"/>
    </w:rPr>
  </w:style>
  <w:style w:type="paragraph" w:customStyle="1" w:styleId="footnotedescription">
    <w:name w:val="footnote description"/>
    <w:next w:val="Navaden"/>
    <w:link w:val="footnotedescriptionChar"/>
    <w:hidden/>
    <w:pPr>
      <w:spacing w:after="10" w:line="252" w:lineRule="auto"/>
      <w:ind w:left="708" w:right="4" w:hanging="708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Krušič</dc:creator>
  <cp:keywords/>
  <cp:lastModifiedBy>Maja Krušič</cp:lastModifiedBy>
  <cp:revision>3</cp:revision>
  <dcterms:created xsi:type="dcterms:W3CDTF">2023-04-24T14:31:00Z</dcterms:created>
  <dcterms:modified xsi:type="dcterms:W3CDTF">2023-04-24T14:32:00Z</dcterms:modified>
</cp:coreProperties>
</file>