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06" w:rsidRDefault="004377B8">
      <w:pPr>
        <w:spacing w:after="782" w:line="259" w:lineRule="auto"/>
        <w:ind w:left="15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B36706" w:rsidRDefault="004377B8">
      <w:pPr>
        <w:spacing w:after="0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1572361" cy="770515"/>
            <wp:effectExtent l="0" t="0" r="8890" b="0"/>
            <wp:docPr id="15" name="Picture 15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361" cy="7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B36706" w:rsidRDefault="004377B8">
      <w:pPr>
        <w:tabs>
          <w:tab w:val="center" w:pos="3101"/>
          <w:tab w:val="center" w:pos="8899"/>
        </w:tabs>
        <w:spacing w:after="100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 xml:space="preserve">KOMISIJA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B36706" w:rsidRDefault="004377B8">
      <w:pPr>
        <w:spacing w:after="0" w:line="265" w:lineRule="auto"/>
        <w:ind w:left="2889" w:right="66"/>
        <w:jc w:val="center"/>
      </w:pPr>
      <w:r>
        <w:t xml:space="preserve">Bruselj, 27.9.2018 </w:t>
      </w:r>
    </w:p>
    <w:p w:rsidR="00B36706" w:rsidRDefault="004377B8">
      <w:pPr>
        <w:spacing w:after="519" w:line="265" w:lineRule="auto"/>
        <w:ind w:left="2889"/>
        <w:jc w:val="center"/>
      </w:pPr>
      <w:r>
        <w:t xml:space="preserve">C(2018) 6188 </w:t>
      </w:r>
      <w:proofErr w:type="spellStart"/>
      <w:r>
        <w:t>final</w:t>
      </w:r>
      <w:proofErr w:type="spellEnd"/>
      <w:r>
        <w:t xml:space="preserve"> </w:t>
      </w:r>
    </w:p>
    <w:p w:rsidR="00B36706" w:rsidRDefault="004377B8">
      <w:pPr>
        <w:spacing w:after="495" w:line="259" w:lineRule="auto"/>
        <w:ind w:left="1139" w:firstLine="0"/>
        <w:jc w:val="center"/>
      </w:pPr>
      <w:r>
        <w:rPr>
          <w:i/>
          <w:sz w:val="32"/>
        </w:rPr>
        <w:t xml:space="preserve"> </w:t>
      </w:r>
    </w:p>
    <w:p w:rsidR="00B36706" w:rsidRDefault="004377B8">
      <w:pPr>
        <w:spacing w:after="327" w:line="265" w:lineRule="auto"/>
        <w:ind w:left="10" w:right="65"/>
        <w:jc w:val="center"/>
      </w:pPr>
      <w:r>
        <w:rPr>
          <w:b/>
        </w:rPr>
        <w:t xml:space="preserve">IZVEDBENI SKLEP KOMISIJE </w:t>
      </w:r>
    </w:p>
    <w:p w:rsidR="00B36706" w:rsidRDefault="004377B8">
      <w:pPr>
        <w:spacing w:after="327" w:line="265" w:lineRule="auto"/>
        <w:ind w:left="10" w:right="62"/>
        <w:jc w:val="center"/>
      </w:pPr>
      <w:r>
        <w:rPr>
          <w:b/>
        </w:rPr>
        <w:t xml:space="preserve">z dne 27.9.2018 </w:t>
      </w:r>
    </w:p>
    <w:p w:rsidR="00B36706" w:rsidRDefault="004377B8">
      <w:pPr>
        <w:numPr>
          <w:ilvl w:val="0"/>
          <w:numId w:val="1"/>
        </w:numPr>
        <w:spacing w:after="0" w:line="265" w:lineRule="auto"/>
        <w:ind w:right="33" w:hanging="180"/>
        <w:jc w:val="center"/>
      </w:pPr>
      <w:r>
        <w:rPr>
          <w:b/>
        </w:rPr>
        <w:t xml:space="preserve">spremembi Sklepa Komisije C(2015) 5126 o odobritvi nacionalnega programa </w:t>
      </w:r>
    </w:p>
    <w:p w:rsidR="00B36706" w:rsidRDefault="004377B8">
      <w:pPr>
        <w:spacing w:after="688" w:line="265" w:lineRule="auto"/>
        <w:ind w:left="10" w:right="62"/>
        <w:jc w:val="center"/>
      </w:pPr>
      <w:r>
        <w:rPr>
          <w:b/>
        </w:rPr>
        <w:t xml:space="preserve">Republike Slovenije za podporo iz Sklada za notranjo varnost za obdobje 2014–2020 </w:t>
      </w:r>
    </w:p>
    <w:p w:rsidR="00B36706" w:rsidRDefault="004377B8">
      <w:pPr>
        <w:tabs>
          <w:tab w:val="center" w:pos="4504"/>
          <w:tab w:val="center" w:pos="9016"/>
        </w:tabs>
        <w:spacing w:after="730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(BESEDILO V SLOVENSKEM JEZIKU JE EDINO VERODOSTOJNO) </w:t>
      </w:r>
      <w:r>
        <w:tab/>
        <w:t xml:space="preserve"> </w:t>
      </w:r>
    </w:p>
    <w:p w:rsidR="00B36706" w:rsidRDefault="004377B8">
      <w:pPr>
        <w:spacing w:after="0" w:line="259" w:lineRule="auto"/>
        <w:ind w:left="129" w:firstLine="0"/>
        <w:jc w:val="center"/>
      </w:pPr>
      <w:r>
        <w:rPr>
          <w:rFonts w:ascii="Arial" w:eastAsia="Arial" w:hAnsi="Arial" w:cs="Arial"/>
          <w:b/>
          <w:sz w:val="48"/>
        </w:rPr>
        <w:lastRenderedPageBreak/>
        <w:t xml:space="preserve"> </w:t>
      </w:r>
    </w:p>
    <w:p w:rsidR="00B36706" w:rsidRDefault="004377B8">
      <w:pPr>
        <w:spacing w:after="327" w:line="265" w:lineRule="auto"/>
        <w:ind w:left="10" w:right="2"/>
        <w:jc w:val="center"/>
      </w:pPr>
      <w:r>
        <w:rPr>
          <w:b/>
        </w:rPr>
        <w:t xml:space="preserve">IZVEDBENI SKLEP KOMISIJE </w:t>
      </w:r>
    </w:p>
    <w:p w:rsidR="00B36706" w:rsidRDefault="004377B8">
      <w:pPr>
        <w:spacing w:after="327" w:line="265" w:lineRule="auto"/>
        <w:ind w:left="10" w:right="2"/>
        <w:jc w:val="center"/>
      </w:pPr>
      <w:r>
        <w:rPr>
          <w:b/>
        </w:rPr>
        <w:t xml:space="preserve">z dne 27.9.2018 </w:t>
      </w:r>
    </w:p>
    <w:p w:rsidR="00B36706" w:rsidRDefault="004377B8">
      <w:pPr>
        <w:numPr>
          <w:ilvl w:val="0"/>
          <w:numId w:val="1"/>
        </w:numPr>
        <w:spacing w:after="0" w:line="265" w:lineRule="auto"/>
        <w:ind w:right="33" w:hanging="180"/>
        <w:jc w:val="center"/>
      </w:pPr>
      <w:r>
        <w:rPr>
          <w:b/>
        </w:rPr>
        <w:t>spremembi Sklepa Komisije C(2015) 5126 o odobritvi nacionalnega program</w:t>
      </w:r>
      <w:r>
        <w:rPr>
          <w:b/>
        </w:rPr>
        <w:t xml:space="preserve">a </w:t>
      </w:r>
    </w:p>
    <w:p w:rsidR="00B36706" w:rsidRDefault="004377B8">
      <w:pPr>
        <w:spacing w:after="327" w:line="265" w:lineRule="auto"/>
        <w:ind w:left="10" w:right="2"/>
        <w:jc w:val="center"/>
      </w:pPr>
      <w:r>
        <w:rPr>
          <w:b/>
        </w:rPr>
        <w:t xml:space="preserve">Republike Slovenije za podporo iz Sklada za notranjo varnost za obdobje 2014–2020 </w:t>
      </w:r>
    </w:p>
    <w:p w:rsidR="00B36706" w:rsidRDefault="004377B8">
      <w:pPr>
        <w:spacing w:after="572" w:line="265" w:lineRule="auto"/>
        <w:ind w:left="10" w:right="5"/>
        <w:jc w:val="center"/>
      </w:pPr>
      <w:r>
        <w:t xml:space="preserve">(BESEDILO V SLOVENSKEM JEZIKU JE EDINO VERODOSTOJNO) </w:t>
      </w:r>
    </w:p>
    <w:p w:rsidR="00B36706" w:rsidRDefault="004377B8">
      <w:pPr>
        <w:ind w:left="-5"/>
      </w:pPr>
      <w:r>
        <w:t xml:space="preserve">EVROPSKA KOMISIJA JE – </w:t>
      </w:r>
    </w:p>
    <w:p w:rsidR="00B36706" w:rsidRDefault="004377B8">
      <w:pPr>
        <w:spacing w:after="87"/>
        <w:ind w:left="-5"/>
      </w:pPr>
      <w:r>
        <w:t>ob upoštevanju Pogodbe o delovanju Evropske unije, ob upoštevanju Uredbe (EU) št. 514/2014 E</w:t>
      </w:r>
      <w:r>
        <w:t>vropskega parlamenta in Sveta z dne 16. aprila 2014 o splošnih določbah o Skladu za migracije, azil in vključevanje ter o instrumentu za finančno podporo na področju policijskega sodelovanja, preprečevanja kriminala in boja proti njemu ter obvladovanja kri</w:t>
      </w:r>
      <w:r>
        <w:t>z</w:t>
      </w:r>
      <w:r>
        <w:rPr>
          <w:vertAlign w:val="superscript"/>
        </w:rPr>
        <w:footnoteReference w:id="1"/>
      </w:r>
      <w:r>
        <w:t xml:space="preserve"> in zlasti člena 14(9) Uredbe, ob upoštevanju naslednjega: </w:t>
      </w:r>
    </w:p>
    <w:p w:rsidR="00B36706" w:rsidRDefault="004377B8">
      <w:pPr>
        <w:numPr>
          <w:ilvl w:val="0"/>
          <w:numId w:val="2"/>
        </w:numPr>
        <w:spacing w:after="14"/>
        <w:ind w:hanging="709"/>
      </w:pPr>
      <w:r>
        <w:t xml:space="preserve">S Sklepom Komisije C(2015) 5126 je bil odobren nacionalni program Slovenije za podporo iz Sklada za notranjo varnost za obdobje 2014–2020, ki je bil predložen </w:t>
      </w:r>
    </w:p>
    <w:p w:rsidR="00B36706" w:rsidRDefault="004377B8">
      <w:pPr>
        <w:ind w:left="719"/>
      </w:pPr>
      <w:r>
        <w:t>23. junija 2015, in določen najviš</w:t>
      </w:r>
      <w:r>
        <w:t xml:space="preserve">ji prispevek iz Sklada za notranjo varnost za nacionalni program Slovenije. </w:t>
      </w:r>
    </w:p>
    <w:p w:rsidR="00B36706" w:rsidRDefault="004377B8">
      <w:pPr>
        <w:numPr>
          <w:ilvl w:val="0"/>
          <w:numId w:val="2"/>
        </w:numPr>
        <w:ind w:hanging="709"/>
      </w:pPr>
      <w:r>
        <w:t>V skladu s členom 6(1)(c) in členom 8 Uredbe (EU) št. 515/2014 Evropskega parlamenta in Sveta o vzpostavitvi instrumenta za finančno podporo na področju zunanjih meja in vizumov</w:t>
      </w:r>
      <w:r>
        <w:rPr>
          <w:vertAlign w:val="superscript"/>
        </w:rPr>
        <w:footnoteReference w:id="2"/>
      </w:r>
      <w:r>
        <w:t xml:space="preserve"> </w:t>
      </w:r>
      <w:r>
        <w:t xml:space="preserve">je po vmesnem pregledu na voljo znesek v višini 128 milijonov EUR in se dodeli nacionalnim programom držav članic.  </w:t>
      </w:r>
    </w:p>
    <w:p w:rsidR="00B36706" w:rsidRDefault="004377B8">
      <w:pPr>
        <w:numPr>
          <w:ilvl w:val="0"/>
          <w:numId w:val="2"/>
        </w:numPr>
        <w:spacing w:after="174"/>
        <w:ind w:hanging="709"/>
      </w:pPr>
      <w:r>
        <w:t>V skladu s členom 5(7) Uredbe (EU) št. 515/2014 pridružene schengenske države (Norveška, Lihtenštajn, Islandija in Švica) sodelujejo v inst</w:t>
      </w:r>
      <w:r>
        <w:t>rumentu, treba pa je skleniti dogovore o finančnih prispevkih med Unijo in temi državami. V času vmesnega pregleda so bili sklenjeni sporazumi med Evropsko unijo, Norveško</w:t>
      </w:r>
      <w:r>
        <w:rPr>
          <w:vertAlign w:val="superscript"/>
        </w:rPr>
        <w:footnoteReference w:id="3"/>
      </w:r>
      <w:r>
        <w:t>, Islandijo</w:t>
      </w:r>
      <w:r>
        <w:rPr>
          <w:vertAlign w:val="superscript"/>
        </w:rPr>
        <w:footnoteReference w:id="4"/>
      </w:r>
      <w:r>
        <w:t xml:space="preserve"> in Lihtenštajnom</w:t>
      </w:r>
      <w:r>
        <w:rPr>
          <w:vertAlign w:val="superscript"/>
        </w:rPr>
        <w:footnoteReference w:id="5"/>
      </w:r>
      <w:r>
        <w:t xml:space="preserve">.  </w:t>
      </w:r>
    </w:p>
    <w:p w:rsidR="00B36706" w:rsidRDefault="004377B8">
      <w:pPr>
        <w:numPr>
          <w:ilvl w:val="0"/>
          <w:numId w:val="2"/>
        </w:numPr>
        <w:ind w:hanging="709"/>
      </w:pPr>
      <w:r>
        <w:lastRenderedPageBreak/>
        <w:t xml:space="preserve">V skladu s členom </w:t>
      </w:r>
      <w:r>
        <w:t xml:space="preserve">11 navedenih sporazumov se skupni znesek letnih plačil za leti 2016 in 2017, prejetih od Norveške, Islandije in Lihtenštajna, ki so namenski prejemki, razporedi v 75-odstotnem deležu za vmesni pregled iz člena 8 Uredbe (EU) </w:t>
      </w:r>
    </w:p>
    <w:p w:rsidR="00B36706" w:rsidRDefault="004377B8">
      <w:pPr>
        <w:ind w:left="719"/>
      </w:pPr>
      <w:r>
        <w:t>št. 515/2014. Tako se 30 617 92</w:t>
      </w:r>
      <w:r>
        <w:t xml:space="preserve">5 EUR razdeli med države članice v skladu z vmesnim razdelitvenim ključem. </w:t>
      </w:r>
    </w:p>
    <w:p w:rsidR="00B36706" w:rsidRDefault="004377B8">
      <w:pPr>
        <w:numPr>
          <w:ilvl w:val="0"/>
          <w:numId w:val="2"/>
        </w:numPr>
        <w:spacing w:after="0"/>
        <w:ind w:hanging="709"/>
      </w:pPr>
      <w:r>
        <w:t>Pri razdelitvi tega skupnega zneska v višini 158 617 925 EUR med države članice je Komisija upoštevala obremenitev držav članic pri upravljanju meja, vključno z dejavnostmi iskanja</w:t>
      </w:r>
      <w:r>
        <w:t xml:space="preserve"> in reševanja, do katerih utegne priti med operacijami varovanja meja na morju, poročila, pripravljena v okviru schengenskega ocenjevalnega in spremljevalnega mehanizma, stopnje ogroženosti na zunanjih mejah za obdobje 2017–</w:t>
      </w:r>
    </w:p>
    <w:p w:rsidR="00B36706" w:rsidRDefault="004377B8">
      <w:pPr>
        <w:spacing w:after="90" w:line="265" w:lineRule="auto"/>
        <w:ind w:left="10" w:right="108"/>
        <w:jc w:val="right"/>
      </w:pPr>
      <w:r>
        <w:t>2020 ter dejavnike, ki so vpliv</w:t>
      </w:r>
      <w:r>
        <w:t xml:space="preserve">ali na varnost na zunanjih mejah v obdobju 2014–2016.  </w:t>
      </w:r>
    </w:p>
    <w:p w:rsidR="00B36706" w:rsidRDefault="004377B8">
      <w:pPr>
        <w:numPr>
          <w:ilvl w:val="0"/>
          <w:numId w:val="2"/>
        </w:numPr>
        <w:ind w:hanging="709"/>
      </w:pPr>
      <w:r>
        <w:t xml:space="preserve">Slovenija je 22. junija 2018 prek sistema elektronske izmenjave podatkov Komisije SFC2014 predložila revidiran nacionalni program, ki upošteva dodatni prispevek Unije. </w:t>
      </w:r>
    </w:p>
    <w:p w:rsidR="00B36706" w:rsidRDefault="004377B8">
      <w:pPr>
        <w:numPr>
          <w:ilvl w:val="0"/>
          <w:numId w:val="2"/>
        </w:numPr>
        <w:spacing w:after="94"/>
        <w:ind w:hanging="709"/>
      </w:pPr>
      <w:r>
        <w:t>Ta sklep je sklep o financiranj</w:t>
      </w:r>
      <w:r>
        <w:t xml:space="preserve">u v smislu člena 84 Uredbe (EU, </w:t>
      </w:r>
      <w:proofErr w:type="spellStart"/>
      <w:r>
        <w:t>Euratom</w:t>
      </w:r>
      <w:proofErr w:type="spellEnd"/>
      <w:r>
        <w:t>) št. 966/2012 Evropskega parlamenta in Sveta</w:t>
      </w:r>
      <w:r>
        <w:rPr>
          <w:vertAlign w:val="superscript"/>
        </w:rPr>
        <w:footnoteReference w:id="6"/>
      </w:r>
      <w:r>
        <w:t xml:space="preserve"> in pravna obveznost v smislu člena 85 navedene uredbe. </w:t>
      </w:r>
    </w:p>
    <w:p w:rsidR="00B36706" w:rsidRDefault="004377B8">
      <w:pPr>
        <w:numPr>
          <w:ilvl w:val="0"/>
          <w:numId w:val="2"/>
        </w:numPr>
        <w:spacing w:after="278" w:line="347" w:lineRule="auto"/>
        <w:ind w:hanging="709"/>
      </w:pPr>
      <w:r>
        <w:t xml:space="preserve">Sklep C(2015) 5126 bi bilo zato treba ustrezno spremeniti – SPREJELA NASLEDNJI SKLEP:  </w:t>
      </w:r>
    </w:p>
    <w:p w:rsidR="00B36706" w:rsidRDefault="004377B8">
      <w:pPr>
        <w:spacing w:after="47" w:line="341" w:lineRule="auto"/>
        <w:ind w:left="-15" w:right="3615" w:firstLine="4220"/>
      </w:pPr>
      <w:r>
        <w:rPr>
          <w:i/>
        </w:rPr>
        <w:t xml:space="preserve">Člen 1 </w:t>
      </w:r>
      <w:r>
        <w:t xml:space="preserve">Sklep C(2015) 5126 </w:t>
      </w:r>
      <w:r>
        <w:t xml:space="preserve">se spremeni: </w:t>
      </w:r>
    </w:p>
    <w:p w:rsidR="00B36706" w:rsidRDefault="004377B8">
      <w:pPr>
        <w:tabs>
          <w:tab w:val="center" w:pos="2465"/>
        </w:tabs>
        <w:spacing w:after="358"/>
        <w:ind w:left="-15" w:firstLine="0"/>
        <w:jc w:val="left"/>
      </w:pPr>
      <w:r>
        <w:t>(1)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člen 1 se nadomesti z naslednjim: </w:t>
      </w:r>
    </w:p>
    <w:p w:rsidR="00B36706" w:rsidRDefault="004377B8">
      <w:pPr>
        <w:pStyle w:val="Naslov1"/>
      </w:pPr>
      <w:r>
        <w:t xml:space="preserve">„Člen 1 </w:t>
      </w:r>
    </w:p>
    <w:p w:rsidR="00B36706" w:rsidRDefault="004377B8">
      <w:pPr>
        <w:spacing w:after="3"/>
        <w:ind w:left="-5"/>
      </w:pPr>
      <w:r>
        <w:t xml:space="preserve">Revidirani nacionalni program Slovenije za podporo iz Sklada za notranjo varnost za obdobje od 1. januarja 2014 do 31. decembra 2020, ki je bil v končni različici predložen </w:t>
      </w:r>
    </w:p>
    <w:p w:rsidR="00B36706" w:rsidRDefault="004377B8">
      <w:pPr>
        <w:ind w:left="-5"/>
      </w:pPr>
      <w:r>
        <w:t>22. junija 2018, se</w:t>
      </w:r>
      <w:r>
        <w:t xml:space="preserve"> odobri.“; </w:t>
      </w:r>
    </w:p>
    <w:p w:rsidR="00B36706" w:rsidRDefault="004377B8">
      <w:pPr>
        <w:tabs>
          <w:tab w:val="center" w:pos="2465"/>
        </w:tabs>
        <w:spacing w:after="375"/>
        <w:ind w:left="-15" w:firstLine="0"/>
        <w:jc w:val="left"/>
      </w:pPr>
      <w:r>
        <w:t>(2)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člen 2 se nadomesti z naslednjim: </w:t>
      </w:r>
    </w:p>
    <w:p w:rsidR="00B36706" w:rsidRDefault="004377B8">
      <w:pPr>
        <w:pStyle w:val="Naslov1"/>
        <w:spacing w:after="141"/>
      </w:pPr>
      <w:r>
        <w:t xml:space="preserve">„Člen 2 </w:t>
      </w:r>
    </w:p>
    <w:p w:rsidR="00B36706" w:rsidRDefault="004377B8">
      <w:pPr>
        <w:numPr>
          <w:ilvl w:val="0"/>
          <w:numId w:val="3"/>
        </w:numPr>
        <w:ind w:hanging="850"/>
      </w:pPr>
      <w:r>
        <w:t xml:space="preserve">Najvišji prispevek iz Sklada za notranjo varnost za nacionalni program Slovenije znaša 45 289 742 EUR in se financira iz splošnega proračuna Unije: </w:t>
      </w:r>
    </w:p>
    <w:p w:rsidR="00B36706" w:rsidRDefault="004377B8">
      <w:pPr>
        <w:numPr>
          <w:ilvl w:val="1"/>
          <w:numId w:val="3"/>
        </w:numPr>
        <w:spacing w:after="6" w:line="367" w:lineRule="auto"/>
        <w:ind w:hanging="568"/>
      </w:pPr>
      <w:r>
        <w:t xml:space="preserve">proračunska vrstica 18 02 01 01: 34 034 371 </w:t>
      </w:r>
      <w:r>
        <w:t>EUR; (b)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proračunska vrstica 18 02 01 02: 11 255 371 EUR. </w:t>
      </w:r>
    </w:p>
    <w:p w:rsidR="00B36706" w:rsidRDefault="004377B8">
      <w:pPr>
        <w:numPr>
          <w:ilvl w:val="0"/>
          <w:numId w:val="3"/>
        </w:numPr>
        <w:ind w:hanging="850"/>
      </w:pPr>
      <w:r>
        <w:t xml:space="preserve">Najvišji prispevek iz proračunske vrstice 18 02 01 01 je sestavljen iz: </w:t>
      </w:r>
    </w:p>
    <w:p w:rsidR="00B36706" w:rsidRDefault="004377B8">
      <w:pPr>
        <w:numPr>
          <w:ilvl w:val="1"/>
          <w:numId w:val="3"/>
        </w:numPr>
        <w:ind w:hanging="568"/>
      </w:pPr>
      <w:r>
        <w:t xml:space="preserve">osnovnega zneska v višini 30 669 103 EUR, dodeljenega v skladu s Prilogo I k Uredbi (EU) št. 515/2014; </w:t>
      </w:r>
    </w:p>
    <w:p w:rsidR="00B36706" w:rsidRDefault="004377B8">
      <w:pPr>
        <w:numPr>
          <w:ilvl w:val="1"/>
          <w:numId w:val="3"/>
        </w:numPr>
        <w:ind w:hanging="568"/>
      </w:pPr>
      <w:r>
        <w:lastRenderedPageBreak/>
        <w:t xml:space="preserve">dodatnega zneska v </w:t>
      </w:r>
      <w:r>
        <w:t xml:space="preserve">višini 635 040 EUR za posebni ukrep, dodeljenega v skladu s členom 7 navedene uredbe, in </w:t>
      </w:r>
    </w:p>
    <w:p w:rsidR="00B36706" w:rsidRDefault="004377B8">
      <w:pPr>
        <w:numPr>
          <w:ilvl w:val="1"/>
          <w:numId w:val="3"/>
        </w:numPr>
        <w:spacing w:after="21" w:line="265" w:lineRule="auto"/>
        <w:ind w:hanging="568"/>
      </w:pPr>
      <w:r>
        <w:t xml:space="preserve">dodatnega zneska v višini 2 730 228 EUR, dodeljenega v skladu s </w:t>
      </w:r>
    </w:p>
    <w:p w:rsidR="00B36706" w:rsidRDefault="004377B8">
      <w:pPr>
        <w:ind w:left="1428"/>
      </w:pPr>
      <w:r>
        <w:t xml:space="preserve">členom 6(1)(c) in členom 8 Uredbe (EU) št. 515/2014.“ </w:t>
      </w:r>
    </w:p>
    <w:p w:rsidR="00B36706" w:rsidRDefault="004377B8">
      <w:pPr>
        <w:spacing w:after="1" w:line="341" w:lineRule="auto"/>
        <w:ind w:left="-15" w:right="3908" w:firstLine="4220"/>
      </w:pPr>
      <w:r>
        <w:rPr>
          <w:i/>
        </w:rPr>
        <w:t xml:space="preserve">Člen 2 </w:t>
      </w:r>
      <w:r>
        <w:t>Ta sklep je naslovljen na Republiko Slo</w:t>
      </w:r>
      <w:r>
        <w:t xml:space="preserve">venijo. </w:t>
      </w:r>
    </w:p>
    <w:p w:rsidR="00B36706" w:rsidRDefault="004377B8">
      <w:pPr>
        <w:spacing w:after="695"/>
        <w:ind w:left="-5"/>
      </w:pPr>
      <w:r>
        <w:t xml:space="preserve">V Bruslju, 27.9.2018 </w:t>
      </w:r>
    </w:p>
    <w:p w:rsidR="00B36706" w:rsidRDefault="004377B8">
      <w:pPr>
        <w:tabs>
          <w:tab w:val="center" w:pos="484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B36706" w:rsidRDefault="004377B8">
      <w:pPr>
        <w:tabs>
          <w:tab w:val="center" w:pos="5621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B36706" w:rsidRDefault="004377B8">
      <w:pPr>
        <w:tabs>
          <w:tab w:val="center" w:pos="4942"/>
        </w:tabs>
        <w:spacing w:after="382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Član Komisije </w:t>
      </w:r>
    </w:p>
    <w:p w:rsidR="00B36706" w:rsidRDefault="004377B8">
      <w:pPr>
        <w:spacing w:after="247" w:line="259" w:lineRule="auto"/>
        <w:ind w:left="4252" w:firstLine="0"/>
        <w:jc w:val="left"/>
      </w:pPr>
      <w:bookmarkStart w:id="0" w:name="_GoBack"/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618" name="Picture 618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Picture 6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706" w:rsidRDefault="004377B8">
      <w:pPr>
        <w:spacing w:after="0" w:line="259" w:lineRule="auto"/>
        <w:ind w:left="0" w:firstLine="0"/>
        <w:jc w:val="left"/>
      </w:pPr>
      <w:r>
        <w:t xml:space="preserve"> </w:t>
      </w:r>
    </w:p>
    <w:sectPr w:rsidR="00B36706">
      <w:footerReference w:type="even" r:id="rId9"/>
      <w:footerReference w:type="default" r:id="rId10"/>
      <w:footerReference w:type="first" r:id="rId11"/>
      <w:pgSz w:w="11908" w:h="16838"/>
      <w:pgMar w:top="1140" w:right="1416" w:bottom="709" w:left="1417" w:header="708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77B8">
      <w:pPr>
        <w:spacing w:after="0" w:line="240" w:lineRule="auto"/>
      </w:pPr>
      <w:r>
        <w:separator/>
      </w:r>
    </w:p>
  </w:endnote>
  <w:endnote w:type="continuationSeparator" w:id="0">
    <w:p w:rsidR="00000000" w:rsidRDefault="0043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6" w:rsidRDefault="004377B8">
    <w:pPr>
      <w:tabs>
        <w:tab w:val="center" w:pos="4535"/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6" w:rsidRDefault="004377B8">
    <w:pPr>
      <w:tabs>
        <w:tab w:val="center" w:pos="4535"/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rPr>
        <w:sz w:val="37"/>
        <w:vertAlign w:val="subscript"/>
      </w:rPr>
      <w:t xml:space="preserve"> </w:t>
    </w:r>
    <w:r>
      <w:rPr>
        <w:sz w:val="37"/>
        <w:vertAlign w:val="subscript"/>
      </w:rPr>
      <w:tab/>
      <w:t xml:space="preserve"> </w:t>
    </w:r>
    <w:r>
      <w:rPr>
        <w:rFonts w:ascii="Arial" w:eastAsia="Arial" w:hAnsi="Arial" w:cs="Arial"/>
        <w:b/>
        <w:sz w:val="48"/>
      </w:rPr>
      <w:t xml:space="preserve">SL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06" w:rsidRDefault="004377B8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06" w:rsidRDefault="004377B8">
      <w:pPr>
        <w:tabs>
          <w:tab w:val="center" w:pos="1940"/>
        </w:tabs>
        <w:spacing w:after="21" w:line="259" w:lineRule="auto"/>
        <w:ind w:left="0" w:firstLine="0"/>
        <w:jc w:val="left"/>
      </w:pPr>
      <w:r>
        <w:separator/>
      </w:r>
    </w:p>
  </w:footnote>
  <w:footnote w:type="continuationSeparator" w:id="0">
    <w:p w:rsidR="00B36706" w:rsidRDefault="004377B8">
      <w:pPr>
        <w:tabs>
          <w:tab w:val="center" w:pos="1940"/>
        </w:tabs>
        <w:spacing w:after="21" w:line="259" w:lineRule="auto"/>
        <w:ind w:left="0" w:firstLine="0"/>
        <w:jc w:val="left"/>
      </w:pPr>
      <w:r>
        <w:continuationSeparator/>
      </w:r>
    </w:p>
  </w:footnote>
  <w:footnote w:id="1">
    <w:p w:rsidR="00B36706" w:rsidRDefault="004377B8">
      <w:pPr>
        <w:pStyle w:val="footnotedescription"/>
        <w:tabs>
          <w:tab w:val="center" w:pos="1940"/>
        </w:tabs>
        <w:spacing w:after="21" w:line="259" w:lineRule="auto"/>
        <w:ind w:left="0" w:firstLine="0"/>
        <w:jc w:val="left"/>
      </w:pPr>
      <w:r>
        <w:rPr>
          <w:rStyle w:val="footnotemark"/>
        </w:rPr>
        <w:footnoteRef/>
      </w:r>
      <w:r>
        <w:t xml:space="preserve"> UL </w:t>
      </w:r>
      <w:r>
        <w:t xml:space="preserve">L 150, 20.5.2014, str. 112. </w:t>
      </w:r>
    </w:p>
  </w:footnote>
  <w:footnote w:id="2">
    <w:p w:rsidR="00B36706" w:rsidRDefault="004377B8">
      <w:pPr>
        <w:pStyle w:val="footnotedescription"/>
        <w:ind w:right="1"/>
      </w:pPr>
      <w:r>
        <w:rPr>
          <w:rStyle w:val="footnotemark"/>
        </w:rPr>
        <w:footnoteRef/>
      </w:r>
      <w:r>
        <w:t xml:space="preserve"> </w:t>
      </w:r>
      <w:r>
        <w:t xml:space="preserve">Uredba (EU) št. 515/2014 Evropskega parlamenta in Sveta z dne 16. aprila 2014 o vzpostavitvi instrumenta za finančno podporo na področju zunanjih meja in vizumov v okviru Sklada za notranjo varnost in o razveljavitvi Odločbe </w:t>
      </w:r>
      <w:r>
        <w:t>št. 574/2007/ES (UL L 150, 20.5.2014, str. 143).</w:t>
      </w:r>
      <w:r>
        <w:rPr>
          <w:b/>
        </w:rPr>
        <w:t xml:space="preserve"> </w:t>
      </w:r>
    </w:p>
  </w:footnote>
  <w:footnote w:id="3">
    <w:p w:rsidR="00B36706" w:rsidRDefault="004377B8">
      <w:pPr>
        <w:pStyle w:val="footnotedescription"/>
        <w:spacing w:after="10" w:line="266" w:lineRule="auto"/>
        <w:ind w:right="3"/>
      </w:pPr>
      <w:r>
        <w:rPr>
          <w:rStyle w:val="footnotemark"/>
        </w:rPr>
        <w:footnoteRef/>
      </w:r>
      <w:r>
        <w:t xml:space="preserve"> </w:t>
      </w:r>
      <w:r>
        <w:t>Sporazum med Evropsko unijo in Kraljevino Norveško o dopolnilnih pravilih v zvezi z instrumentom za finančno podporo na področju zunanjih meja in vizumov v okviru Sklada za notranjo varnost za obdobje 201</w:t>
      </w:r>
      <w:r>
        <w:t xml:space="preserve">4–2020 (UL L 75, 21.3.2017, str. 3–11). </w:t>
      </w:r>
    </w:p>
  </w:footnote>
  <w:footnote w:id="4">
    <w:p w:rsidR="00B36706" w:rsidRDefault="004377B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Sporazum med Evropsko unijo in Islandijo o dopolnilnih pravilih v zvezi z instrumentom za finančno podporo na področju zunanjih meja in vizumov v okviru Sklada za notranjo varnost za obdobje 2014– 2020 (UL L 72, 1</w:t>
      </w:r>
      <w:r>
        <w:t xml:space="preserve">5.3.2018, str. 3–11). </w:t>
      </w:r>
    </w:p>
  </w:footnote>
  <w:footnote w:id="5">
    <w:p w:rsidR="00B36706" w:rsidRDefault="004377B8">
      <w:pPr>
        <w:pStyle w:val="footnotedescription"/>
        <w:spacing w:after="0" w:line="272" w:lineRule="auto"/>
        <w:ind w:right="1"/>
      </w:pPr>
      <w:r>
        <w:rPr>
          <w:rStyle w:val="footnotemark"/>
        </w:rPr>
        <w:footnoteRef/>
      </w:r>
      <w:r>
        <w:t xml:space="preserve"> </w:t>
      </w:r>
      <w:r>
        <w:t>Sporazum med Evropsko unijo in Kneževino Lihtenštajn o dopolnilnih pravilih v zvezi z instrumentom za finančno podporo na področju zunanjih meja in vizumov v okviru Sklada za notranjo varnost za obdobje 2014–2020 (UL L 7, 12.1.2017</w:t>
      </w:r>
      <w:r>
        <w:t xml:space="preserve">, str. 4–13). </w:t>
      </w:r>
    </w:p>
  </w:footnote>
  <w:footnote w:id="6">
    <w:p w:rsidR="00B36706" w:rsidRDefault="004377B8">
      <w:pPr>
        <w:pStyle w:val="footnotedescription"/>
        <w:spacing w:after="0" w:line="279" w:lineRule="auto"/>
        <w:jc w:val="left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št. 966/2012 Evropskega parlamenta in Sveta z dne 25. oktobra 2012 o finančnih pravilih, ki se uporabljajo za splošni proračun Unije (UL L 298, 26.10.2012,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1F5D"/>
    <w:multiLevelType w:val="hybridMultilevel"/>
    <w:tmpl w:val="D402E086"/>
    <w:lvl w:ilvl="0" w:tplc="0FE2957E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C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A0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48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6F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23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1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6F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34C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97ADC"/>
    <w:multiLevelType w:val="hybridMultilevel"/>
    <w:tmpl w:val="143CA586"/>
    <w:lvl w:ilvl="0" w:tplc="7CC867DC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A8CA2">
      <w:start w:val="1"/>
      <w:numFmt w:val="lowerLetter"/>
      <w:lvlText w:val="(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049FA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4BD2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4B2D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EE80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031C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2A62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8E7F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75C3E"/>
    <w:multiLevelType w:val="hybridMultilevel"/>
    <w:tmpl w:val="FCCA7ED8"/>
    <w:lvl w:ilvl="0" w:tplc="92C4CCC2">
      <w:start w:val="1"/>
      <w:numFmt w:val="bullet"/>
      <w:lvlText w:val="o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0A1E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65354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657AC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EE05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8626E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99BE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8E8F0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23664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6"/>
    <w:rsid w:val="004377B8"/>
    <w:rsid w:val="00984C1F"/>
    <w:rsid w:val="00B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8B78E-0091-4920-AC2D-E6C5A2C1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35" w:line="261" w:lineRule="auto"/>
      <w:ind w:left="28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95"/>
      <w:ind w:left="10" w:right="1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8" w:line="267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Krušič</dc:creator>
  <cp:keywords/>
  <cp:lastModifiedBy>Maja Krušič</cp:lastModifiedBy>
  <cp:revision>3</cp:revision>
  <dcterms:created xsi:type="dcterms:W3CDTF">2023-04-24T14:19:00Z</dcterms:created>
  <dcterms:modified xsi:type="dcterms:W3CDTF">2023-04-24T14:20:00Z</dcterms:modified>
</cp:coreProperties>
</file>