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C6" w:rsidRPr="00517E82" w:rsidRDefault="003837C6" w:rsidP="00517E82">
      <w:pPr>
        <w:spacing w:after="0"/>
        <w:jc w:val="both"/>
        <w:rPr>
          <w:rFonts w:ascii="Arial" w:hAnsi="Arial" w:cs="Arial"/>
          <w:b/>
          <w:sz w:val="36"/>
          <w:szCs w:val="36"/>
        </w:rPr>
      </w:pPr>
      <w:bookmarkStart w:id="0" w:name="_GoBack"/>
      <w:bookmarkEnd w:id="0"/>
    </w:p>
    <w:p w:rsidR="00692710" w:rsidRPr="00517E82" w:rsidRDefault="00692710" w:rsidP="00517E82">
      <w:pPr>
        <w:spacing w:after="0"/>
        <w:jc w:val="center"/>
        <w:rPr>
          <w:rFonts w:ascii="Arial" w:hAnsi="Arial" w:cs="Arial"/>
          <w:sz w:val="18"/>
          <w:szCs w:val="18"/>
        </w:rPr>
      </w:pPr>
      <w:r w:rsidRPr="00517E82">
        <w:rPr>
          <w:rFonts w:ascii="Arial" w:hAnsi="Arial" w:cs="Arial"/>
          <w:b/>
          <w:sz w:val="36"/>
          <w:szCs w:val="36"/>
        </w:rPr>
        <w:t>TEHNIČNE ZNAČILNOSTI UKREPOV OBVEŠČANJA IN OBJAVLJANJA</w:t>
      </w:r>
    </w:p>
    <w:p w:rsidR="003837C6" w:rsidRDefault="003837C6" w:rsidP="00517E82">
      <w:pPr>
        <w:spacing w:after="0"/>
        <w:jc w:val="both"/>
        <w:rPr>
          <w:rFonts w:ascii="Arial" w:hAnsi="Arial" w:cs="Arial"/>
        </w:rPr>
      </w:pPr>
    </w:p>
    <w:p w:rsidR="005F5BC0" w:rsidRPr="00517E82" w:rsidRDefault="005F5BC0" w:rsidP="00517E82">
      <w:pPr>
        <w:spacing w:after="0"/>
        <w:jc w:val="both"/>
        <w:rPr>
          <w:rFonts w:ascii="Arial" w:hAnsi="Arial" w:cs="Arial"/>
        </w:rPr>
      </w:pPr>
    </w:p>
    <w:p w:rsidR="00906BB1" w:rsidRPr="00517E82" w:rsidRDefault="00906BB1" w:rsidP="00517E82">
      <w:pPr>
        <w:spacing w:after="0"/>
        <w:jc w:val="both"/>
        <w:rPr>
          <w:rFonts w:ascii="Arial" w:hAnsi="Arial" w:cs="Arial"/>
        </w:rPr>
      </w:pPr>
      <w:r w:rsidRPr="00517E82">
        <w:rPr>
          <w:rFonts w:ascii="Arial" w:hAnsi="Arial" w:cs="Arial"/>
        </w:rPr>
        <w:t xml:space="preserve">Navodila glede emblema in določitve standardnih barv so definirana v </w:t>
      </w:r>
      <w:r w:rsidR="00517E82" w:rsidRPr="00517E82">
        <w:rPr>
          <w:rFonts w:ascii="Arial" w:hAnsi="Arial" w:cs="Arial"/>
        </w:rPr>
        <w:t>Izvedbeni uredbi Komisije (EU) št. 1049/2014 z dne 30. julija 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906BB1" w:rsidRPr="00517E82" w:rsidRDefault="00906BB1" w:rsidP="00517E82">
      <w:pPr>
        <w:spacing w:after="0"/>
        <w:jc w:val="both"/>
        <w:rPr>
          <w:rFonts w:ascii="Arial" w:hAnsi="Arial" w:cs="Arial"/>
        </w:rPr>
      </w:pPr>
    </w:p>
    <w:p w:rsidR="00692710" w:rsidRPr="00517E82" w:rsidRDefault="00906BB1" w:rsidP="00517E82">
      <w:pPr>
        <w:spacing w:after="0"/>
        <w:jc w:val="both"/>
        <w:rPr>
          <w:rFonts w:ascii="Arial" w:hAnsi="Arial" w:cs="Arial"/>
        </w:rPr>
      </w:pPr>
      <w:r w:rsidRPr="00517E82">
        <w:rPr>
          <w:rFonts w:ascii="Arial" w:hAnsi="Arial" w:cs="Arial"/>
        </w:rPr>
        <w:t>Logotipi in emblemi so na voljo na spletnem mestu OO (</w:t>
      </w:r>
      <w:hyperlink r:id="rId7" w:history="1">
        <w:r w:rsidRPr="00517E82">
          <w:rPr>
            <w:rStyle w:val="Hiperpovezava"/>
            <w:rFonts w:ascii="Arial" w:hAnsi="Arial" w:cs="Arial"/>
          </w:rPr>
          <w:t>http://www.mnz.gov.si/si/o_ministrstvu/crpanje_evropskih_sredstev/sklad_za_notranjo_varnost_in_sklad_za_azil_migracije_in_vkljucevanje_2014_2020/prirocniki_pravilniki_in_navodila/</w:t>
        </w:r>
      </w:hyperlink>
      <w:r w:rsidRPr="00517E82">
        <w:rPr>
          <w:rFonts w:ascii="Arial" w:hAnsi="Arial" w:cs="Arial"/>
        </w:rPr>
        <w:t>).</w:t>
      </w:r>
    </w:p>
    <w:p w:rsidR="00517E82" w:rsidRDefault="00517E82" w:rsidP="00517E82">
      <w:pPr>
        <w:spacing w:after="0"/>
        <w:jc w:val="center"/>
        <w:rPr>
          <w:rFonts w:ascii="Arial" w:hAnsi="Arial" w:cs="Arial"/>
          <w:b/>
        </w:rPr>
      </w:pPr>
    </w:p>
    <w:p w:rsidR="005F5BC0" w:rsidRPr="00517E82" w:rsidRDefault="005F5BC0" w:rsidP="00517E82">
      <w:pPr>
        <w:spacing w:after="0"/>
        <w:jc w:val="center"/>
        <w:rPr>
          <w:rFonts w:ascii="Arial" w:hAnsi="Arial" w:cs="Arial"/>
          <w:b/>
        </w:rPr>
      </w:pPr>
    </w:p>
    <w:p w:rsidR="00517E82" w:rsidRPr="005F5BC0" w:rsidRDefault="00517E82" w:rsidP="00517E82">
      <w:pPr>
        <w:spacing w:after="0"/>
        <w:jc w:val="center"/>
        <w:rPr>
          <w:rFonts w:ascii="Arial" w:hAnsi="Arial" w:cs="Arial"/>
          <w:b/>
          <w:sz w:val="28"/>
          <w:szCs w:val="28"/>
        </w:rPr>
      </w:pPr>
      <w:r w:rsidRPr="005F5BC0">
        <w:rPr>
          <w:rFonts w:ascii="Arial" w:hAnsi="Arial" w:cs="Arial"/>
          <w:b/>
          <w:sz w:val="28"/>
          <w:szCs w:val="28"/>
        </w:rPr>
        <w:t>Navodila glede emblema in določitev standardnih barv</w:t>
      </w:r>
    </w:p>
    <w:p w:rsidR="00517E82" w:rsidRDefault="00517E82" w:rsidP="00517E82">
      <w:pPr>
        <w:spacing w:after="0"/>
        <w:jc w:val="both"/>
        <w:rPr>
          <w:rFonts w:ascii="Arial" w:hAnsi="Arial" w:cs="Arial"/>
        </w:rPr>
      </w:pPr>
    </w:p>
    <w:p w:rsidR="005F5BC0" w:rsidRPr="00517E82" w:rsidRDefault="005F5BC0" w:rsidP="00517E82">
      <w:pPr>
        <w:spacing w:after="0"/>
        <w:jc w:val="both"/>
        <w:rPr>
          <w:rFonts w:ascii="Arial" w:hAnsi="Arial" w:cs="Arial"/>
        </w:rPr>
      </w:pPr>
    </w:p>
    <w:p w:rsidR="00517E82" w:rsidRPr="00517E82" w:rsidRDefault="00517E82" w:rsidP="00517E82">
      <w:pPr>
        <w:spacing w:after="0"/>
        <w:jc w:val="both"/>
        <w:rPr>
          <w:rFonts w:ascii="Arial" w:hAnsi="Arial" w:cs="Arial"/>
          <w:b/>
        </w:rPr>
      </w:pPr>
      <w:r w:rsidRPr="00517E82">
        <w:rPr>
          <w:rFonts w:ascii="Arial" w:hAnsi="Arial" w:cs="Arial"/>
          <w:b/>
        </w:rPr>
        <w:t>Opis simbola</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 xml:space="preserve">Na nebesno modri podlagi dvanajst zlatih zvezd sestavlja krog, ki predstavlja zvezo evropskih narodov. Število zvezd je stalno, dvanajst je simbol popolnosti in enotnosti. Za podrobnosti in navodila glej: </w:t>
      </w:r>
      <w:hyperlink r:id="rId8" w:history="1">
        <w:r w:rsidRPr="00517E82">
          <w:rPr>
            <w:rStyle w:val="Hiperpovezava"/>
            <w:rFonts w:ascii="Arial" w:hAnsi="Arial" w:cs="Arial"/>
          </w:rPr>
          <w:t>http://ec.europa.eu/dgs/communication/services/visual_identity/pdf/use-emblem_sl.pdf</w:t>
        </w:r>
      </w:hyperlink>
      <w:r w:rsidRPr="00517E82">
        <w:rPr>
          <w:rFonts w:ascii="Arial" w:hAnsi="Arial" w:cs="Arial"/>
        </w:rPr>
        <w:t>.</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b/>
        </w:rPr>
      </w:pPr>
      <w:r w:rsidRPr="00517E82">
        <w:rPr>
          <w:rFonts w:ascii="Arial" w:hAnsi="Arial" w:cs="Arial"/>
          <w:b/>
        </w:rPr>
        <w:t>Heraldični opis</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Na azurno modri podlagi je dvanajst zlatih peterokrakih zvezd, katerih kraki se ne stikajo.</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b/>
        </w:rPr>
      </w:pPr>
      <w:r w:rsidRPr="00517E82">
        <w:rPr>
          <w:rFonts w:ascii="Arial" w:hAnsi="Arial" w:cs="Arial"/>
          <w:b/>
        </w:rPr>
        <w:t>Geometrični opis</w:t>
      </w:r>
    </w:p>
    <w:p w:rsidR="00517E82" w:rsidRPr="00517E82" w:rsidRDefault="00517E82" w:rsidP="00517E82">
      <w:pPr>
        <w:spacing w:after="0"/>
        <w:jc w:val="both"/>
        <w:rPr>
          <w:rFonts w:ascii="Arial" w:hAnsi="Arial" w:cs="Arial"/>
        </w:rPr>
      </w:pPr>
    </w:p>
    <w:p w:rsidR="00906BB1" w:rsidRPr="00517E82" w:rsidRDefault="00517E82" w:rsidP="00517E82">
      <w:pPr>
        <w:spacing w:after="0"/>
        <w:jc w:val="both"/>
        <w:rPr>
          <w:rFonts w:ascii="Arial" w:hAnsi="Arial" w:cs="Arial"/>
        </w:rPr>
      </w:pPr>
      <w:r w:rsidRPr="00517E82">
        <w:rPr>
          <w:rFonts w:ascii="Arial" w:hAnsi="Arial" w:cs="Arial"/>
        </w:rPr>
        <w:t>Emblem ima obliko modre pravokotne zastave, katere osnovnica je 1,5-krat daljša od višine. Dvanajst zlatih zvezd, ki so enakomerno porazdeljene, tvori nevidni krog, katerega središče je sečišče diagonal pravokotnika. Polmer kroga je enak tretjini višine pravokotnika. Vsaka od zvezd ima pet krakov, ki ležijo na obodu nevidnega kroga, katerega polmer je enak osemnajstini višine pravokotnika. Vse zvezde so pokončne, tj. en krak je pokončen, dva pa sta v ravni liniji, pravokotno na navpično stranico pravokotnika. Krog je urejen tako, da so zvezde razporejene kot številčnica na uri. Njihovo število je nespremenljivo.</w:t>
      </w:r>
    </w:p>
    <w:p w:rsidR="005F5BC0" w:rsidRDefault="00AF32BA" w:rsidP="00517E82">
      <w:pPr>
        <w:spacing w:after="0"/>
        <w:jc w:val="both"/>
        <w:rPr>
          <w:rFonts w:ascii="Arial" w:hAnsi="Arial" w:cs="Arial"/>
        </w:rPr>
      </w:pPr>
      <w:r w:rsidRPr="00517E82">
        <w:rPr>
          <w:rFonts w:ascii="Arial" w:hAnsi="Arial" w:cs="Arial"/>
          <w:noProof/>
          <w:lang w:eastAsia="sl-SI"/>
        </w:rPr>
        <w:lastRenderedPageBreak/>
        <w:drawing>
          <wp:inline distT="0" distB="0" distL="0" distR="0">
            <wp:extent cx="3848100" cy="2647950"/>
            <wp:effectExtent l="0" t="0" r="0" b="0"/>
            <wp:docPr id="1" name="Slika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0" cy="2647950"/>
                    </a:xfrm>
                    <a:prstGeom prst="rect">
                      <a:avLst/>
                    </a:prstGeom>
                    <a:noFill/>
                    <a:ln>
                      <a:noFill/>
                    </a:ln>
                  </pic:spPr>
                </pic:pic>
              </a:graphicData>
            </a:graphic>
          </wp:inline>
        </w:drawing>
      </w:r>
    </w:p>
    <w:p w:rsidR="005F5BC0" w:rsidRPr="00517E82" w:rsidRDefault="005F5BC0" w:rsidP="00517E82">
      <w:pPr>
        <w:spacing w:after="0"/>
        <w:jc w:val="both"/>
        <w:rPr>
          <w:rFonts w:ascii="Arial" w:hAnsi="Arial" w:cs="Arial"/>
        </w:rPr>
      </w:pPr>
    </w:p>
    <w:p w:rsidR="00517E82" w:rsidRPr="00517E82" w:rsidRDefault="00517E82" w:rsidP="00517E82">
      <w:pPr>
        <w:spacing w:after="0"/>
        <w:jc w:val="both"/>
        <w:rPr>
          <w:rFonts w:ascii="Arial" w:hAnsi="Arial" w:cs="Arial"/>
          <w:b/>
        </w:rPr>
      </w:pPr>
      <w:r w:rsidRPr="00517E82">
        <w:rPr>
          <w:rFonts w:ascii="Arial" w:hAnsi="Arial" w:cs="Arial"/>
          <w:b/>
        </w:rPr>
        <w:t>Predpisane barve</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Emblem je v naslednjih barvah:</w:t>
      </w:r>
    </w:p>
    <w:p w:rsidR="00517E82" w:rsidRPr="00517E82" w:rsidRDefault="00517E82" w:rsidP="00517E82">
      <w:pPr>
        <w:numPr>
          <w:ilvl w:val="0"/>
          <w:numId w:val="1"/>
        </w:numPr>
        <w:spacing w:after="0"/>
        <w:jc w:val="both"/>
        <w:rPr>
          <w:rFonts w:ascii="Arial" w:hAnsi="Arial" w:cs="Arial"/>
        </w:rPr>
      </w:pPr>
      <w:r w:rsidRPr="00517E82">
        <w:rPr>
          <w:rFonts w:ascii="Arial" w:hAnsi="Arial" w:cs="Arial"/>
        </w:rPr>
        <w:t>PANTONE REFLEX BLUE za površino pravokotnika;</w:t>
      </w:r>
    </w:p>
    <w:p w:rsidR="00517E82" w:rsidRPr="00517E82" w:rsidRDefault="00517E82" w:rsidP="00517E82">
      <w:pPr>
        <w:numPr>
          <w:ilvl w:val="0"/>
          <w:numId w:val="1"/>
        </w:numPr>
        <w:spacing w:after="0"/>
        <w:jc w:val="both"/>
        <w:rPr>
          <w:rFonts w:ascii="Arial" w:hAnsi="Arial" w:cs="Arial"/>
        </w:rPr>
      </w:pPr>
      <w:r w:rsidRPr="00517E82">
        <w:rPr>
          <w:rFonts w:ascii="Arial" w:hAnsi="Arial" w:cs="Arial"/>
        </w:rPr>
        <w:t>PANTONE YELLOW za zvezde.</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i/>
        </w:rPr>
      </w:pPr>
      <w:r w:rsidRPr="00517E82">
        <w:rPr>
          <w:rFonts w:ascii="Arial" w:hAnsi="Arial" w:cs="Arial"/>
          <w:i/>
        </w:rPr>
        <w:t>Štiribarvni postopek</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Če se uporablja štiribarvni postopek, ustvarite obe standardni barvi s pomočjo štirih barv štiribarvnega postopka. PANTONE YELLOW je mogoče doseči z uporabo 100 % „</w:t>
      </w:r>
      <w:proofErr w:type="spellStart"/>
      <w:r w:rsidRPr="00517E82">
        <w:rPr>
          <w:rFonts w:ascii="Arial" w:hAnsi="Arial" w:cs="Arial"/>
        </w:rPr>
        <w:t>Process</w:t>
      </w:r>
      <w:proofErr w:type="spellEnd"/>
      <w:r w:rsidRPr="00517E82">
        <w:rPr>
          <w:rFonts w:ascii="Arial" w:hAnsi="Arial" w:cs="Arial"/>
        </w:rPr>
        <w:t xml:space="preserve"> </w:t>
      </w:r>
      <w:proofErr w:type="spellStart"/>
      <w:r w:rsidRPr="00517E82">
        <w:rPr>
          <w:rFonts w:ascii="Arial" w:hAnsi="Arial" w:cs="Arial"/>
        </w:rPr>
        <w:t>Yellow</w:t>
      </w:r>
      <w:proofErr w:type="spellEnd"/>
      <w:r w:rsidRPr="00517E82">
        <w:rPr>
          <w:rFonts w:ascii="Arial" w:hAnsi="Arial" w:cs="Arial"/>
        </w:rPr>
        <w:t>“. PANTONE REFLEX BLUE je mogoče doseči z mešanjem 100 % „</w:t>
      </w:r>
      <w:proofErr w:type="spellStart"/>
      <w:r w:rsidRPr="00517E82">
        <w:rPr>
          <w:rFonts w:ascii="Arial" w:hAnsi="Arial" w:cs="Arial"/>
        </w:rPr>
        <w:t>Process</w:t>
      </w:r>
      <w:proofErr w:type="spellEnd"/>
      <w:r w:rsidRPr="00517E82">
        <w:rPr>
          <w:rFonts w:ascii="Arial" w:hAnsi="Arial" w:cs="Arial"/>
        </w:rPr>
        <w:t xml:space="preserve"> </w:t>
      </w:r>
      <w:proofErr w:type="spellStart"/>
      <w:r w:rsidRPr="00517E82">
        <w:rPr>
          <w:rFonts w:ascii="Arial" w:hAnsi="Arial" w:cs="Arial"/>
        </w:rPr>
        <w:t>Cyan</w:t>
      </w:r>
      <w:proofErr w:type="spellEnd"/>
      <w:r w:rsidRPr="00517E82">
        <w:rPr>
          <w:rFonts w:ascii="Arial" w:hAnsi="Arial" w:cs="Arial"/>
        </w:rPr>
        <w:t>“ in 80 % „</w:t>
      </w:r>
      <w:proofErr w:type="spellStart"/>
      <w:r w:rsidRPr="00517E82">
        <w:rPr>
          <w:rFonts w:ascii="Arial" w:hAnsi="Arial" w:cs="Arial"/>
        </w:rPr>
        <w:t>Process</w:t>
      </w:r>
      <w:proofErr w:type="spellEnd"/>
      <w:r w:rsidRPr="00517E82">
        <w:rPr>
          <w:rFonts w:ascii="Arial" w:hAnsi="Arial" w:cs="Arial"/>
        </w:rPr>
        <w:t xml:space="preserve"> </w:t>
      </w:r>
      <w:proofErr w:type="spellStart"/>
      <w:r w:rsidRPr="00517E82">
        <w:rPr>
          <w:rFonts w:ascii="Arial" w:hAnsi="Arial" w:cs="Arial"/>
        </w:rPr>
        <w:t>Magenta</w:t>
      </w:r>
      <w:proofErr w:type="spellEnd"/>
      <w:r w:rsidRPr="00517E82">
        <w:rPr>
          <w:rFonts w:ascii="Arial" w:hAnsi="Arial" w:cs="Arial"/>
        </w:rPr>
        <w:t>“.</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i/>
        </w:rPr>
      </w:pPr>
      <w:r w:rsidRPr="00517E82">
        <w:rPr>
          <w:rFonts w:ascii="Arial" w:hAnsi="Arial" w:cs="Arial"/>
          <w:i/>
        </w:rPr>
        <w:t>Internet</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Na spletni paleti PANTONE REFLEX BLUE ustreza barvi RGB:0/0/153 (</w:t>
      </w:r>
      <w:proofErr w:type="spellStart"/>
      <w:r w:rsidRPr="00517E82">
        <w:rPr>
          <w:rFonts w:ascii="Arial" w:hAnsi="Arial" w:cs="Arial"/>
        </w:rPr>
        <w:t>heksadecimalna</w:t>
      </w:r>
      <w:proofErr w:type="spellEnd"/>
      <w:r w:rsidRPr="00517E82">
        <w:rPr>
          <w:rFonts w:ascii="Arial" w:hAnsi="Arial" w:cs="Arial"/>
        </w:rPr>
        <w:t xml:space="preserve"> vrednost: 003399), PANTONE YELLOW pa barvi RGB:255/204/0 (</w:t>
      </w:r>
      <w:proofErr w:type="spellStart"/>
      <w:r w:rsidRPr="00517E82">
        <w:rPr>
          <w:rFonts w:ascii="Arial" w:hAnsi="Arial" w:cs="Arial"/>
        </w:rPr>
        <w:t>heksadecimalna</w:t>
      </w:r>
      <w:proofErr w:type="spellEnd"/>
      <w:r w:rsidRPr="00517E82">
        <w:rPr>
          <w:rFonts w:ascii="Arial" w:hAnsi="Arial" w:cs="Arial"/>
        </w:rPr>
        <w:t xml:space="preserve"> vrednost: FFCC00).</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b/>
        </w:rPr>
      </w:pPr>
      <w:r w:rsidRPr="00517E82">
        <w:rPr>
          <w:rFonts w:ascii="Arial" w:hAnsi="Arial" w:cs="Arial"/>
          <w:b/>
        </w:rPr>
        <w:t>Enobarvna reprodukcija</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Če uporabljate črno, očrtajte pravokotnik s črno in natisnite črne zvezde na beli podlagi.</w:t>
      </w:r>
    </w:p>
    <w:p w:rsidR="00517E82" w:rsidRPr="00517E82" w:rsidRDefault="00517E82" w:rsidP="00517E82">
      <w:pPr>
        <w:spacing w:after="0"/>
        <w:jc w:val="both"/>
        <w:rPr>
          <w:rFonts w:ascii="Arial" w:hAnsi="Arial" w:cs="Arial"/>
        </w:rPr>
      </w:pPr>
    </w:p>
    <w:p w:rsidR="00517E82" w:rsidRPr="00517E82" w:rsidRDefault="00AF32BA" w:rsidP="00517E82">
      <w:pPr>
        <w:spacing w:after="0"/>
        <w:jc w:val="both"/>
        <w:rPr>
          <w:rFonts w:ascii="Arial" w:hAnsi="Arial" w:cs="Arial"/>
        </w:rPr>
      </w:pPr>
      <w:r w:rsidRPr="00517E82">
        <w:rPr>
          <w:rFonts w:ascii="Arial" w:hAnsi="Arial" w:cs="Arial"/>
          <w:noProof/>
          <w:lang w:eastAsia="sl-SI"/>
        </w:rPr>
        <w:drawing>
          <wp:inline distT="0" distB="0" distL="0" distR="0">
            <wp:extent cx="2286000" cy="1543050"/>
            <wp:effectExtent l="0" t="0" r="0" b="0"/>
            <wp:docPr id="2" name="Slika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43050"/>
                    </a:xfrm>
                    <a:prstGeom prst="rect">
                      <a:avLst/>
                    </a:prstGeom>
                    <a:noFill/>
                    <a:ln>
                      <a:noFill/>
                    </a:ln>
                  </pic:spPr>
                </pic:pic>
              </a:graphicData>
            </a:graphic>
          </wp:inline>
        </w:drawing>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lastRenderedPageBreak/>
        <w:t>Če uporabljate modro (</w:t>
      </w:r>
      <w:proofErr w:type="spellStart"/>
      <w:r w:rsidRPr="00517E82">
        <w:rPr>
          <w:rFonts w:ascii="Arial" w:hAnsi="Arial" w:cs="Arial"/>
        </w:rPr>
        <w:t>Reflex</w:t>
      </w:r>
      <w:proofErr w:type="spellEnd"/>
      <w:r w:rsidRPr="00517E82">
        <w:rPr>
          <w:rFonts w:ascii="Arial" w:hAnsi="Arial" w:cs="Arial"/>
        </w:rPr>
        <w:t xml:space="preserve"> </w:t>
      </w:r>
      <w:proofErr w:type="spellStart"/>
      <w:r w:rsidRPr="00517E82">
        <w:rPr>
          <w:rFonts w:ascii="Arial" w:hAnsi="Arial" w:cs="Arial"/>
        </w:rPr>
        <w:t>Blue</w:t>
      </w:r>
      <w:proofErr w:type="spellEnd"/>
      <w:r w:rsidRPr="00517E82">
        <w:rPr>
          <w:rFonts w:ascii="Arial" w:hAnsi="Arial" w:cs="Arial"/>
        </w:rPr>
        <w:t xml:space="preserve">), uporabite 100 % </w:t>
      </w:r>
      <w:proofErr w:type="spellStart"/>
      <w:r w:rsidRPr="00517E82">
        <w:rPr>
          <w:rFonts w:ascii="Arial" w:hAnsi="Arial" w:cs="Arial"/>
        </w:rPr>
        <w:t>Reflex</w:t>
      </w:r>
      <w:proofErr w:type="spellEnd"/>
      <w:r w:rsidRPr="00517E82">
        <w:rPr>
          <w:rFonts w:ascii="Arial" w:hAnsi="Arial" w:cs="Arial"/>
        </w:rPr>
        <w:t xml:space="preserve"> </w:t>
      </w:r>
      <w:proofErr w:type="spellStart"/>
      <w:r w:rsidRPr="00517E82">
        <w:rPr>
          <w:rFonts w:ascii="Arial" w:hAnsi="Arial" w:cs="Arial"/>
        </w:rPr>
        <w:t>Blue</w:t>
      </w:r>
      <w:proofErr w:type="spellEnd"/>
      <w:r w:rsidRPr="00517E82">
        <w:rPr>
          <w:rFonts w:ascii="Arial" w:hAnsi="Arial" w:cs="Arial"/>
        </w:rPr>
        <w:t>, zvezde pa naj ostanejo bele.</w:t>
      </w:r>
    </w:p>
    <w:p w:rsidR="00517E82" w:rsidRPr="00517E82" w:rsidRDefault="00517E82" w:rsidP="00517E82">
      <w:pPr>
        <w:spacing w:after="0"/>
        <w:jc w:val="both"/>
        <w:rPr>
          <w:rFonts w:ascii="Arial" w:hAnsi="Arial" w:cs="Arial"/>
        </w:rPr>
      </w:pPr>
    </w:p>
    <w:p w:rsidR="00517E82" w:rsidRPr="00517E82" w:rsidRDefault="00AF32BA" w:rsidP="00517E82">
      <w:pPr>
        <w:spacing w:after="0"/>
        <w:jc w:val="both"/>
        <w:rPr>
          <w:rFonts w:ascii="Arial" w:hAnsi="Arial" w:cs="Arial"/>
        </w:rPr>
      </w:pPr>
      <w:r w:rsidRPr="00517E82">
        <w:rPr>
          <w:rFonts w:ascii="Arial" w:hAnsi="Arial" w:cs="Arial"/>
          <w:noProof/>
          <w:lang w:eastAsia="sl-SI"/>
        </w:rPr>
        <w:drawing>
          <wp:inline distT="0" distB="0" distL="0" distR="0">
            <wp:extent cx="2381250" cy="1590675"/>
            <wp:effectExtent l="0" t="0" r="0" b="0"/>
            <wp:docPr id="3" name="Slika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b/>
        </w:rPr>
      </w:pPr>
      <w:r w:rsidRPr="00517E82">
        <w:rPr>
          <w:rFonts w:ascii="Arial" w:hAnsi="Arial" w:cs="Arial"/>
          <w:b/>
        </w:rPr>
        <w:t>Reprodukcija na barvnem ozadju</w:t>
      </w:r>
    </w:p>
    <w:p w:rsidR="00517E82" w:rsidRP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Če se večbarvnemu ozadju ni mogoče izogniti, naj bo pravokotnik obdan z belim robom s širino, ki je enaka 1/25 višine pravokotnika.</w:t>
      </w:r>
    </w:p>
    <w:p w:rsidR="00517E82" w:rsidRPr="00517E82" w:rsidRDefault="00517E82" w:rsidP="00517E82">
      <w:pPr>
        <w:spacing w:after="0"/>
        <w:jc w:val="both"/>
        <w:rPr>
          <w:rFonts w:ascii="Arial" w:hAnsi="Arial" w:cs="Arial"/>
        </w:rPr>
      </w:pPr>
    </w:p>
    <w:p w:rsidR="00517E82" w:rsidRPr="00517E82" w:rsidRDefault="00AF32BA" w:rsidP="00517E82">
      <w:pPr>
        <w:spacing w:after="0"/>
        <w:jc w:val="both"/>
        <w:rPr>
          <w:rFonts w:ascii="Arial" w:hAnsi="Arial" w:cs="Arial"/>
        </w:rPr>
      </w:pPr>
      <w:r w:rsidRPr="00517E82">
        <w:rPr>
          <w:rFonts w:ascii="Arial" w:hAnsi="Arial" w:cs="Arial"/>
          <w:noProof/>
          <w:lang w:eastAsia="sl-SI"/>
        </w:rPr>
        <w:drawing>
          <wp:inline distT="0" distB="0" distL="0" distR="0">
            <wp:extent cx="2647950" cy="2171700"/>
            <wp:effectExtent l="0" t="0" r="0" b="0"/>
            <wp:docPr id="4" name="Slika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2171700"/>
                    </a:xfrm>
                    <a:prstGeom prst="rect">
                      <a:avLst/>
                    </a:prstGeom>
                    <a:noFill/>
                    <a:ln>
                      <a:noFill/>
                    </a:ln>
                  </pic:spPr>
                </pic:pic>
              </a:graphicData>
            </a:graphic>
          </wp:inline>
        </w:drawing>
      </w:r>
    </w:p>
    <w:p w:rsidR="00517E82" w:rsidRPr="00517E82" w:rsidRDefault="00517E82" w:rsidP="00517E82">
      <w:pPr>
        <w:spacing w:after="0"/>
        <w:jc w:val="both"/>
        <w:rPr>
          <w:rFonts w:ascii="Arial" w:hAnsi="Arial" w:cs="Arial"/>
        </w:rPr>
      </w:pPr>
    </w:p>
    <w:p w:rsidR="00517E82" w:rsidRPr="00845DD0" w:rsidRDefault="00517E82" w:rsidP="00517E82">
      <w:pPr>
        <w:spacing w:after="0"/>
        <w:jc w:val="both"/>
        <w:rPr>
          <w:rFonts w:ascii="Arial" w:hAnsi="Arial" w:cs="Arial"/>
          <w:b/>
        </w:rPr>
      </w:pPr>
      <w:r w:rsidRPr="00845DD0">
        <w:rPr>
          <w:rFonts w:ascii="Arial" w:hAnsi="Arial" w:cs="Arial"/>
          <w:b/>
        </w:rPr>
        <w:t>Uporaba besedila o prejemu sredstev EU</w:t>
      </w:r>
    </w:p>
    <w:p w:rsidR="00517E82" w:rsidRDefault="00517E82" w:rsidP="00517E82">
      <w:pPr>
        <w:spacing w:after="0"/>
        <w:jc w:val="both"/>
        <w:rPr>
          <w:rFonts w:ascii="Arial" w:hAnsi="Arial" w:cs="Arial"/>
        </w:rPr>
      </w:pPr>
    </w:p>
    <w:p w:rsidR="00517E82" w:rsidRPr="00517E82" w:rsidRDefault="00517E82" w:rsidP="00517E82">
      <w:pPr>
        <w:spacing w:after="0"/>
        <w:jc w:val="both"/>
        <w:rPr>
          <w:rFonts w:ascii="Arial" w:hAnsi="Arial" w:cs="Arial"/>
        </w:rPr>
      </w:pPr>
      <w:r w:rsidRPr="00517E82">
        <w:rPr>
          <w:rFonts w:ascii="Arial" w:hAnsi="Arial" w:cs="Arial"/>
        </w:rPr>
        <w:t>Višina emblema EU je najmanj 1 cm.</w:t>
      </w:r>
      <w:r w:rsidR="00845DD0">
        <w:rPr>
          <w:rFonts w:ascii="Arial" w:hAnsi="Arial" w:cs="Arial"/>
        </w:rPr>
        <w:t xml:space="preserve"> </w:t>
      </w:r>
      <w:r w:rsidRPr="00517E82">
        <w:rPr>
          <w:rFonts w:ascii="Arial" w:hAnsi="Arial" w:cs="Arial"/>
        </w:rPr>
        <w:t>Ime Evropska unija se vedno izpiše v celoti.</w:t>
      </w:r>
      <w:r w:rsidR="00845DD0">
        <w:rPr>
          <w:rFonts w:ascii="Arial" w:hAnsi="Arial" w:cs="Arial"/>
        </w:rPr>
        <w:t xml:space="preserve"> </w:t>
      </w:r>
      <w:r w:rsidRPr="00517E82">
        <w:rPr>
          <w:rFonts w:ascii="Arial" w:hAnsi="Arial" w:cs="Arial"/>
        </w:rPr>
        <w:t xml:space="preserve">V povezavi z emblemom EU se lahko uporabi katera koli od naslednjih pisav: </w:t>
      </w:r>
      <w:proofErr w:type="spellStart"/>
      <w:r w:rsidRPr="00517E82">
        <w:rPr>
          <w:rFonts w:ascii="Arial" w:hAnsi="Arial" w:cs="Arial"/>
        </w:rPr>
        <w:t>Arial</w:t>
      </w:r>
      <w:proofErr w:type="spellEnd"/>
      <w:r w:rsidRPr="00517E82">
        <w:rPr>
          <w:rFonts w:ascii="Arial" w:hAnsi="Arial" w:cs="Arial"/>
        </w:rPr>
        <w:t xml:space="preserve">, </w:t>
      </w:r>
      <w:proofErr w:type="spellStart"/>
      <w:r w:rsidRPr="00517E82">
        <w:rPr>
          <w:rFonts w:ascii="Arial" w:hAnsi="Arial" w:cs="Arial"/>
        </w:rPr>
        <w:t>Calibri</w:t>
      </w:r>
      <w:proofErr w:type="spellEnd"/>
      <w:r w:rsidRPr="00517E82">
        <w:rPr>
          <w:rFonts w:ascii="Arial" w:hAnsi="Arial" w:cs="Arial"/>
        </w:rPr>
        <w:t xml:space="preserve">, </w:t>
      </w:r>
      <w:proofErr w:type="spellStart"/>
      <w:r w:rsidRPr="00517E82">
        <w:rPr>
          <w:rFonts w:ascii="Arial" w:hAnsi="Arial" w:cs="Arial"/>
        </w:rPr>
        <w:t>Garamond</w:t>
      </w:r>
      <w:proofErr w:type="spellEnd"/>
      <w:r w:rsidRPr="00517E82">
        <w:rPr>
          <w:rFonts w:ascii="Arial" w:hAnsi="Arial" w:cs="Arial"/>
        </w:rPr>
        <w:t xml:space="preserve">, </w:t>
      </w:r>
      <w:proofErr w:type="spellStart"/>
      <w:r w:rsidRPr="00517E82">
        <w:rPr>
          <w:rFonts w:ascii="Arial" w:hAnsi="Arial" w:cs="Arial"/>
        </w:rPr>
        <w:t>Trebuchet</w:t>
      </w:r>
      <w:proofErr w:type="spellEnd"/>
      <w:r w:rsidRPr="00517E82">
        <w:rPr>
          <w:rFonts w:ascii="Arial" w:hAnsi="Arial" w:cs="Arial"/>
        </w:rPr>
        <w:t xml:space="preserve">, </w:t>
      </w:r>
      <w:proofErr w:type="spellStart"/>
      <w:r w:rsidRPr="00517E82">
        <w:rPr>
          <w:rFonts w:ascii="Arial" w:hAnsi="Arial" w:cs="Arial"/>
        </w:rPr>
        <w:t>Tahoma</w:t>
      </w:r>
      <w:proofErr w:type="spellEnd"/>
      <w:r w:rsidRPr="00517E82">
        <w:rPr>
          <w:rFonts w:ascii="Arial" w:hAnsi="Arial" w:cs="Arial"/>
        </w:rPr>
        <w:t xml:space="preserve">, </w:t>
      </w:r>
      <w:proofErr w:type="spellStart"/>
      <w:r w:rsidRPr="00517E82">
        <w:rPr>
          <w:rFonts w:ascii="Arial" w:hAnsi="Arial" w:cs="Arial"/>
        </w:rPr>
        <w:t>Verdana</w:t>
      </w:r>
      <w:proofErr w:type="spellEnd"/>
      <w:r w:rsidRPr="00517E82">
        <w:rPr>
          <w:rFonts w:ascii="Arial" w:hAnsi="Arial" w:cs="Arial"/>
        </w:rPr>
        <w:t>.</w:t>
      </w:r>
      <w:r w:rsidR="00845DD0">
        <w:rPr>
          <w:rFonts w:ascii="Arial" w:hAnsi="Arial" w:cs="Arial"/>
        </w:rPr>
        <w:t xml:space="preserve"> </w:t>
      </w:r>
      <w:r w:rsidRPr="00517E82">
        <w:rPr>
          <w:rFonts w:ascii="Arial" w:hAnsi="Arial" w:cs="Arial"/>
        </w:rPr>
        <w:t xml:space="preserve">Ležeči tisk, </w:t>
      </w:r>
      <w:proofErr w:type="spellStart"/>
      <w:r w:rsidRPr="00517E82">
        <w:rPr>
          <w:rFonts w:ascii="Arial" w:hAnsi="Arial" w:cs="Arial"/>
        </w:rPr>
        <w:t>podčrtave</w:t>
      </w:r>
      <w:proofErr w:type="spellEnd"/>
      <w:r w:rsidRPr="00517E82">
        <w:rPr>
          <w:rFonts w:ascii="Arial" w:hAnsi="Arial" w:cs="Arial"/>
        </w:rPr>
        <w:t xml:space="preserve"> in uporaba besedilnih učinkov niso dovoljeni.</w:t>
      </w:r>
      <w:r w:rsidR="00845DD0">
        <w:rPr>
          <w:rFonts w:ascii="Arial" w:hAnsi="Arial" w:cs="Arial"/>
        </w:rPr>
        <w:t xml:space="preserve"> </w:t>
      </w:r>
      <w:r w:rsidRPr="00517E82">
        <w:rPr>
          <w:rFonts w:ascii="Arial" w:hAnsi="Arial" w:cs="Arial"/>
        </w:rPr>
        <w:t>Položaj besedila glede na emblem EU ni predpisan, vendar se besedilo in emblem nikakor ne smeta prekrivati.</w:t>
      </w:r>
      <w:r>
        <w:rPr>
          <w:rFonts w:ascii="Arial" w:hAnsi="Arial" w:cs="Arial"/>
        </w:rPr>
        <w:t xml:space="preserve"> </w:t>
      </w:r>
      <w:r w:rsidRPr="00517E82">
        <w:rPr>
          <w:rFonts w:ascii="Arial" w:hAnsi="Arial" w:cs="Arial"/>
        </w:rPr>
        <w:t>Velikost pisave je sorazmerna z velikostjo emblema.</w:t>
      </w:r>
      <w:r>
        <w:rPr>
          <w:rFonts w:ascii="Arial" w:hAnsi="Arial" w:cs="Arial"/>
        </w:rPr>
        <w:t xml:space="preserve"> </w:t>
      </w:r>
      <w:r w:rsidRPr="00517E82">
        <w:rPr>
          <w:rFonts w:ascii="Arial" w:hAnsi="Arial" w:cs="Arial"/>
        </w:rPr>
        <w:t xml:space="preserve">Barva pisave je </w:t>
      </w:r>
      <w:proofErr w:type="spellStart"/>
      <w:r w:rsidRPr="00517E82">
        <w:rPr>
          <w:rFonts w:ascii="Arial" w:hAnsi="Arial" w:cs="Arial"/>
        </w:rPr>
        <w:t>reflex</w:t>
      </w:r>
      <w:proofErr w:type="spellEnd"/>
      <w:r w:rsidRPr="00517E82">
        <w:rPr>
          <w:rFonts w:ascii="Arial" w:hAnsi="Arial" w:cs="Arial"/>
        </w:rPr>
        <w:t xml:space="preserve"> </w:t>
      </w:r>
      <w:proofErr w:type="spellStart"/>
      <w:r w:rsidRPr="00517E82">
        <w:rPr>
          <w:rFonts w:ascii="Arial" w:hAnsi="Arial" w:cs="Arial"/>
        </w:rPr>
        <w:t>blue</w:t>
      </w:r>
      <w:proofErr w:type="spellEnd"/>
      <w:r w:rsidRPr="00517E82">
        <w:rPr>
          <w:rFonts w:ascii="Arial" w:hAnsi="Arial" w:cs="Arial"/>
        </w:rPr>
        <w:t xml:space="preserve"> (enaka modra barva kot za zastavo EU), črna ali bela, odvisno od ozadja.</w:t>
      </w:r>
    </w:p>
    <w:sectPr w:rsidR="00517E82" w:rsidRPr="00517E82" w:rsidSect="00517E8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63" w:rsidRDefault="00882563" w:rsidP="003837C6">
      <w:pPr>
        <w:spacing w:after="0" w:line="240" w:lineRule="auto"/>
      </w:pPr>
      <w:r>
        <w:separator/>
      </w:r>
    </w:p>
  </w:endnote>
  <w:endnote w:type="continuationSeparator" w:id="0">
    <w:p w:rsidR="00882563" w:rsidRDefault="00882563" w:rsidP="0038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63" w:rsidRDefault="00882563" w:rsidP="003837C6">
      <w:pPr>
        <w:spacing w:after="0" w:line="240" w:lineRule="auto"/>
      </w:pPr>
      <w:r>
        <w:separator/>
      </w:r>
    </w:p>
  </w:footnote>
  <w:footnote w:type="continuationSeparator" w:id="0">
    <w:p w:rsidR="00882563" w:rsidRDefault="00882563" w:rsidP="0038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E82" w:rsidRDefault="00AF32BA" w:rsidP="00517E82">
    <w:pPr>
      <w:pStyle w:val="Glava"/>
    </w:pPr>
    <w:r>
      <w:rPr>
        <w:noProof/>
        <w:lang w:eastAsia="sl-SI"/>
      </w:rPr>
      <w:drawing>
        <wp:inline distT="0" distB="0" distL="0" distR="0">
          <wp:extent cx="3181350" cy="352425"/>
          <wp:effectExtent l="0" t="0" r="0" b="0"/>
          <wp:docPr id="5" name="Slika 5"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517E82">
      <w:t xml:space="preserve">                                                       </w:t>
    </w:r>
    <w:r w:rsidRPr="00DE4F1C">
      <w:rPr>
        <w:noProof/>
        <w:lang w:eastAsia="sl-SI"/>
      </w:rPr>
      <w:drawing>
        <wp:inline distT="0" distB="0" distL="0" distR="0">
          <wp:extent cx="838200" cy="781050"/>
          <wp:effectExtent l="0" t="0" r="0" b="0"/>
          <wp:docPr id="6" name="Slika 6"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I Sploš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p w:rsidR="00517E82" w:rsidRDefault="00517E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3EA5"/>
    <w:multiLevelType w:val="hybridMultilevel"/>
    <w:tmpl w:val="767CD088"/>
    <w:lvl w:ilvl="0" w:tplc="57CEF4F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6"/>
    <w:rsid w:val="00031C61"/>
    <w:rsid w:val="001823A8"/>
    <w:rsid w:val="003837C6"/>
    <w:rsid w:val="003E7928"/>
    <w:rsid w:val="00517E82"/>
    <w:rsid w:val="005F5BC0"/>
    <w:rsid w:val="00692710"/>
    <w:rsid w:val="007C4A23"/>
    <w:rsid w:val="00845DD0"/>
    <w:rsid w:val="00882563"/>
    <w:rsid w:val="00906BB1"/>
    <w:rsid w:val="009A494C"/>
    <w:rsid w:val="00AF32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FC520-A920-470B-A361-95254F0C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837C6"/>
    <w:pPr>
      <w:tabs>
        <w:tab w:val="center" w:pos="4536"/>
        <w:tab w:val="right" w:pos="9072"/>
      </w:tabs>
    </w:pPr>
  </w:style>
  <w:style w:type="character" w:customStyle="1" w:styleId="GlavaZnak">
    <w:name w:val="Glava Znak"/>
    <w:link w:val="Glava"/>
    <w:uiPriority w:val="99"/>
    <w:rsid w:val="003837C6"/>
    <w:rPr>
      <w:sz w:val="22"/>
      <w:szCs w:val="22"/>
      <w:lang w:eastAsia="en-US"/>
    </w:rPr>
  </w:style>
  <w:style w:type="paragraph" w:styleId="Noga">
    <w:name w:val="footer"/>
    <w:basedOn w:val="Navaden"/>
    <w:link w:val="NogaZnak"/>
    <w:uiPriority w:val="99"/>
    <w:unhideWhenUsed/>
    <w:rsid w:val="003837C6"/>
    <w:pPr>
      <w:tabs>
        <w:tab w:val="center" w:pos="4536"/>
        <w:tab w:val="right" w:pos="9072"/>
      </w:tabs>
    </w:pPr>
  </w:style>
  <w:style w:type="character" w:customStyle="1" w:styleId="NogaZnak">
    <w:name w:val="Noga Znak"/>
    <w:link w:val="Noga"/>
    <w:uiPriority w:val="99"/>
    <w:rsid w:val="003837C6"/>
    <w:rPr>
      <w:sz w:val="22"/>
      <w:szCs w:val="22"/>
      <w:lang w:eastAsia="en-US"/>
    </w:rPr>
  </w:style>
  <w:style w:type="character" w:styleId="Hiperpovezava">
    <w:name w:val="Hyperlink"/>
    <w:uiPriority w:val="99"/>
    <w:unhideWhenUsed/>
    <w:rsid w:val="00906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dgs/communication/services/visual_identity/pdf/use-emblem_s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nz.gov.si/si/o_ministrstvu/crpanje_evropskih_sredstev/sklad_za_notranjo_varnost_in_sklad_za_azil_migracije_in_vkljucevanje_2014_2020/prirocniki_pravilniki_in_navodila/"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3737</CharactersWithSpaces>
  <SharedDoc>false</SharedDoc>
  <HLinks>
    <vt:vector size="12" baseType="variant">
      <vt:variant>
        <vt:i4>4259844</vt:i4>
      </vt:variant>
      <vt:variant>
        <vt:i4>3</vt:i4>
      </vt:variant>
      <vt:variant>
        <vt:i4>0</vt:i4>
      </vt:variant>
      <vt:variant>
        <vt:i4>5</vt:i4>
      </vt:variant>
      <vt:variant>
        <vt:lpwstr>http://ec.europa.eu/dgs/communication/services/visual_identity/pdf/use-emblem_sl.pdf</vt:lpwstr>
      </vt:variant>
      <vt:variant>
        <vt:lpwstr/>
      </vt:variant>
      <vt:variant>
        <vt:i4>4063338</vt:i4>
      </vt:variant>
      <vt:variant>
        <vt:i4>0</vt:i4>
      </vt:variant>
      <vt:variant>
        <vt:i4>0</vt:i4>
      </vt:variant>
      <vt:variant>
        <vt:i4>5</vt:i4>
      </vt:variant>
      <vt:variant>
        <vt:lpwstr>http://www.mnz.gov.si/si/o_ministrstvu/crpanje_evropskih_sredstev/sklad_za_notranjo_varnost_in_sklad_za_azil_migracije_in_vkljucevanje_2014_2020/prirocniki_pravilniki_in_navodila/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Beznec</cp:lastModifiedBy>
  <cp:revision>2</cp:revision>
  <dcterms:created xsi:type="dcterms:W3CDTF">2022-10-05T08:41:00Z</dcterms:created>
  <dcterms:modified xsi:type="dcterms:W3CDTF">2022-10-05T08:41:00Z</dcterms:modified>
</cp:coreProperties>
</file>